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3C" w:rsidRPr="005249A5" w:rsidRDefault="0025113C" w:rsidP="0025113C">
      <w:pPr>
        <w:rPr>
          <w:lang w:val="es-MX"/>
        </w:rPr>
      </w:pPr>
    </w:p>
    <w:p w:rsidR="0025113C" w:rsidRPr="005249A5" w:rsidRDefault="0025113C" w:rsidP="0025113C">
      <w:pPr>
        <w:rPr>
          <w:rFonts w:asciiTheme="majorHAnsi" w:hAnsiTheme="majorHAnsi"/>
          <w:sz w:val="40"/>
          <w:szCs w:val="40"/>
          <w:lang w:val="es-MX"/>
        </w:rPr>
      </w:pPr>
    </w:p>
    <w:p w:rsidR="0025113C" w:rsidRPr="005249A5" w:rsidRDefault="0025113C" w:rsidP="0025113C">
      <w:pPr>
        <w:rPr>
          <w:rFonts w:asciiTheme="majorHAnsi" w:hAnsiTheme="majorHAnsi"/>
          <w:sz w:val="40"/>
          <w:szCs w:val="40"/>
          <w:lang w:val="es-MX"/>
        </w:rPr>
      </w:pPr>
    </w:p>
    <w:p w:rsidR="0025113C" w:rsidRPr="005249A5" w:rsidRDefault="0025113C" w:rsidP="0025113C">
      <w:pPr>
        <w:rPr>
          <w:rFonts w:asciiTheme="majorHAnsi" w:hAnsiTheme="majorHAnsi"/>
          <w:sz w:val="40"/>
          <w:szCs w:val="40"/>
          <w:lang w:val="es-MX"/>
        </w:rPr>
      </w:pPr>
    </w:p>
    <w:p w:rsidR="0025113C" w:rsidRPr="005249A5" w:rsidRDefault="0025113C" w:rsidP="0025113C">
      <w:pPr>
        <w:rPr>
          <w:rFonts w:asciiTheme="majorHAnsi" w:hAnsiTheme="majorHAnsi"/>
          <w:color w:val="1F497D" w:themeColor="text2"/>
          <w:sz w:val="48"/>
          <w:szCs w:val="48"/>
          <w:lang w:val="es-MX"/>
        </w:rPr>
      </w:pPr>
      <w:r w:rsidRPr="005249A5">
        <w:rPr>
          <w:rFonts w:asciiTheme="majorHAnsi" w:hAnsiTheme="majorHAnsi"/>
          <w:color w:val="1F497D" w:themeColor="text2"/>
          <w:sz w:val="48"/>
          <w:szCs w:val="48"/>
          <w:lang w:val="es-MX"/>
        </w:rPr>
        <w:t>Impacto del crimen en el</w:t>
      </w:r>
      <w:bookmarkStart w:id="0" w:name="_GoBack"/>
      <w:bookmarkEnd w:id="0"/>
      <w:r w:rsidRPr="005249A5">
        <w:rPr>
          <w:rFonts w:asciiTheme="majorHAnsi" w:hAnsiTheme="majorHAnsi"/>
          <w:color w:val="1F497D" w:themeColor="text2"/>
          <w:sz w:val="48"/>
          <w:szCs w:val="48"/>
          <w:lang w:val="es-MX"/>
        </w:rPr>
        <w:t xml:space="preserve"> precio de las viviendas</w:t>
      </w:r>
      <w:r w:rsidR="00D42E85">
        <w:rPr>
          <w:rStyle w:val="FootnoteReference"/>
          <w:rFonts w:asciiTheme="majorHAnsi" w:hAnsiTheme="majorHAnsi"/>
          <w:color w:val="1F497D" w:themeColor="text2"/>
          <w:sz w:val="48"/>
          <w:szCs w:val="48"/>
          <w:lang w:val="es-MX"/>
        </w:rPr>
        <w:footnoteReference w:id="1"/>
      </w:r>
    </w:p>
    <w:p w:rsidR="0025113C" w:rsidRPr="005249A5" w:rsidRDefault="0025113C" w:rsidP="0025113C">
      <w:pPr>
        <w:rPr>
          <w:lang w:val="es-MX"/>
        </w:rPr>
      </w:pPr>
    </w:p>
    <w:p w:rsidR="00582B5E" w:rsidRPr="00E97102" w:rsidRDefault="0025113C" w:rsidP="002B4EE5">
      <w:pPr>
        <w:jc w:val="right"/>
        <w:rPr>
          <w:sz w:val="32"/>
          <w:szCs w:val="32"/>
          <w:lang w:val="es-MX"/>
        </w:rPr>
      </w:pPr>
      <w:r w:rsidRPr="005249A5">
        <w:rPr>
          <w:sz w:val="32"/>
          <w:szCs w:val="32"/>
          <w:lang w:val="es-MX"/>
        </w:rPr>
        <w:t>Sebastián Galiani</w:t>
      </w:r>
      <w:r w:rsidR="00485F98" w:rsidRPr="00485F98">
        <w:rPr>
          <w:sz w:val="32"/>
          <w:szCs w:val="32"/>
          <w:vertAlign w:val="superscript"/>
          <w:lang w:val="es-MX"/>
        </w:rPr>
        <w:t>*</w:t>
      </w:r>
      <w:r w:rsidRPr="005249A5">
        <w:rPr>
          <w:sz w:val="32"/>
          <w:szCs w:val="32"/>
          <w:lang w:val="es-MX"/>
        </w:rPr>
        <w:t>, Enrique Seira</w:t>
      </w:r>
      <w:r w:rsidR="00485F98" w:rsidRPr="00485F98">
        <w:rPr>
          <w:sz w:val="32"/>
          <w:szCs w:val="32"/>
          <w:vertAlign w:val="superscript"/>
          <w:lang w:val="es-MX"/>
        </w:rPr>
        <w:t>**</w:t>
      </w:r>
      <w:r w:rsidR="00E97102">
        <w:rPr>
          <w:rFonts w:cstheme="minorHAnsi"/>
          <w:color w:val="222222"/>
          <w:sz w:val="32"/>
          <w:szCs w:val="32"/>
          <w:shd w:val="clear" w:color="auto" w:fill="FFFFFF"/>
        </w:rPr>
        <w:t>, B</w:t>
      </w:r>
      <w:r w:rsidR="00E97102" w:rsidRPr="00E97102">
        <w:rPr>
          <w:rFonts w:cstheme="minorHAnsi"/>
          <w:color w:val="222222"/>
          <w:sz w:val="32"/>
          <w:szCs w:val="32"/>
          <w:shd w:val="clear" w:color="auto" w:fill="FFFFFF"/>
        </w:rPr>
        <w:t>eatriz Magaloni</w:t>
      </w:r>
      <w:r w:rsidR="00E97102" w:rsidRPr="00485F98">
        <w:rPr>
          <w:sz w:val="32"/>
          <w:szCs w:val="32"/>
          <w:vertAlign w:val="superscript"/>
          <w:lang w:val="es-MX"/>
        </w:rPr>
        <w:t>*</w:t>
      </w:r>
      <w:r w:rsidR="00E97102">
        <w:rPr>
          <w:sz w:val="32"/>
          <w:szCs w:val="32"/>
          <w:vertAlign w:val="superscript"/>
          <w:lang w:val="es-MX"/>
        </w:rPr>
        <w:t>*</w:t>
      </w:r>
      <w:r w:rsidR="00E97102" w:rsidRPr="00485F98">
        <w:rPr>
          <w:sz w:val="32"/>
          <w:szCs w:val="32"/>
          <w:vertAlign w:val="superscript"/>
          <w:lang w:val="es-MX"/>
        </w:rPr>
        <w:t>*</w:t>
      </w:r>
    </w:p>
    <w:p w:rsidR="0025113C" w:rsidRPr="005249A5" w:rsidRDefault="009E5A4C" w:rsidP="002B4EE5">
      <w:pPr>
        <w:jc w:val="right"/>
        <w:rPr>
          <w:sz w:val="28"/>
          <w:szCs w:val="28"/>
          <w:lang w:val="es-MX"/>
        </w:rPr>
      </w:pPr>
      <w:r>
        <w:rPr>
          <w:sz w:val="28"/>
          <w:szCs w:val="28"/>
          <w:lang w:val="es-MX"/>
        </w:rPr>
        <w:t>Diciembre</w:t>
      </w:r>
      <w:r w:rsidR="00766C80" w:rsidRPr="005249A5">
        <w:rPr>
          <w:sz w:val="28"/>
          <w:szCs w:val="28"/>
          <w:lang w:val="es-MX"/>
        </w:rPr>
        <w:t xml:space="preserve"> 2012</w:t>
      </w: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Pr="005249A5" w:rsidRDefault="0025113C" w:rsidP="00582B5E">
      <w:pPr>
        <w:rPr>
          <w:lang w:val="es-MX"/>
        </w:rPr>
      </w:pPr>
    </w:p>
    <w:p w:rsidR="0025113C" w:rsidRDefault="0025113C" w:rsidP="00582B5E">
      <w:pPr>
        <w:rPr>
          <w:lang w:val="es-MX"/>
        </w:rPr>
      </w:pPr>
    </w:p>
    <w:p w:rsidR="00715A56" w:rsidRPr="005249A5" w:rsidRDefault="00715A56" w:rsidP="00582B5E">
      <w:pPr>
        <w:rPr>
          <w:lang w:val="es-MX"/>
        </w:rPr>
      </w:pPr>
    </w:p>
    <w:p w:rsidR="00E8409D" w:rsidRDefault="00E8409D" w:rsidP="002C1FEB">
      <w:pPr>
        <w:widowControl w:val="0"/>
        <w:rPr>
          <w:rFonts w:cstheme="minorHAnsi"/>
          <w:sz w:val="20"/>
          <w:szCs w:val="20"/>
          <w:lang w:val="es-MX"/>
        </w:rPr>
      </w:pPr>
    </w:p>
    <w:p w:rsidR="002C1FEB" w:rsidRDefault="002C1FEB" w:rsidP="002C1FEB">
      <w:pPr>
        <w:widowControl w:val="0"/>
        <w:rPr>
          <w:rFonts w:cstheme="minorHAnsi"/>
          <w:sz w:val="20"/>
          <w:szCs w:val="20"/>
          <w:lang w:val="es-MX"/>
        </w:rPr>
      </w:pPr>
    </w:p>
    <w:p w:rsidR="002C1FEB" w:rsidRPr="00E8409D" w:rsidRDefault="006F4388" w:rsidP="006F4388">
      <w:pPr>
        <w:widowControl w:val="0"/>
        <w:tabs>
          <w:tab w:val="left" w:pos="6420"/>
        </w:tabs>
        <w:rPr>
          <w:rFonts w:cstheme="minorHAnsi"/>
          <w:sz w:val="20"/>
          <w:szCs w:val="20"/>
          <w:lang w:val="es-MX"/>
        </w:rPr>
      </w:pPr>
      <w:r>
        <w:rPr>
          <w:rFonts w:cstheme="minorHAnsi"/>
          <w:sz w:val="20"/>
          <w:szCs w:val="20"/>
          <w:lang w:val="es-MX"/>
        </w:rPr>
        <w:lastRenderedPageBreak/>
        <w:tab/>
      </w:r>
    </w:p>
    <w:p w:rsidR="0025113C" w:rsidRPr="00715A56" w:rsidRDefault="00E8409D" w:rsidP="00715A56">
      <w:pPr>
        <w:rPr>
          <w:sz w:val="18"/>
          <w:szCs w:val="18"/>
        </w:rPr>
      </w:pPr>
      <w:bookmarkStart w:id="1" w:name="_Toc340428157"/>
      <w:r w:rsidRPr="00715A56">
        <w:rPr>
          <w:sz w:val="18"/>
          <w:szCs w:val="18"/>
        </w:rPr>
        <w:t xml:space="preserve">*University of Maryland, **Instituto </w:t>
      </w:r>
      <w:r w:rsidR="002C1FEB" w:rsidRPr="00715A56">
        <w:rPr>
          <w:sz w:val="18"/>
          <w:szCs w:val="18"/>
        </w:rPr>
        <w:t>Tecnológico Autónomo de México</w:t>
      </w:r>
      <w:bookmarkEnd w:id="1"/>
      <w:r w:rsidR="00E97102">
        <w:rPr>
          <w:sz w:val="18"/>
          <w:szCs w:val="18"/>
        </w:rPr>
        <w:t>, ***</w:t>
      </w:r>
      <w:r w:rsidR="00E97102">
        <w:rPr>
          <w:rFonts w:cstheme="minorHAnsi"/>
          <w:color w:val="222222"/>
          <w:sz w:val="18"/>
          <w:szCs w:val="18"/>
          <w:shd w:val="clear" w:color="auto" w:fill="FFFFFF"/>
        </w:rPr>
        <w:t>Stanford U</w:t>
      </w:r>
      <w:r w:rsidR="00E97102" w:rsidRPr="00E97102">
        <w:rPr>
          <w:rFonts w:cstheme="minorHAnsi"/>
          <w:color w:val="222222"/>
          <w:sz w:val="18"/>
          <w:szCs w:val="18"/>
          <w:shd w:val="clear" w:color="auto" w:fill="FFFFFF"/>
        </w:rPr>
        <w:t>niversity</w:t>
      </w:r>
      <w:r w:rsidR="00E97102">
        <w:rPr>
          <w:rFonts w:cstheme="minorHAnsi"/>
          <w:color w:val="222222"/>
          <w:sz w:val="18"/>
          <w:szCs w:val="18"/>
          <w:shd w:val="clear" w:color="auto" w:fill="FFFFFF"/>
        </w:rPr>
        <w:t>.</w:t>
      </w:r>
    </w:p>
    <w:p w:rsidR="006F4388" w:rsidRDefault="006F4388" w:rsidP="002C1FEB">
      <w:pPr>
        <w:pStyle w:val="Titulocontnuo"/>
        <w:keepNext w:val="0"/>
        <w:keepLines w:val="0"/>
        <w:widowControl w:val="0"/>
        <w:rPr>
          <w:rFonts w:asciiTheme="minorHAnsi" w:hAnsiTheme="minorHAnsi" w:cstheme="minorHAnsi"/>
          <w:noProof w:val="0"/>
          <w:sz w:val="20"/>
          <w:szCs w:val="20"/>
          <w:lang w:val="es-ES"/>
        </w:rPr>
      </w:pPr>
    </w:p>
    <w:p w:rsidR="00715A56" w:rsidRDefault="00715A56" w:rsidP="002C1FEB">
      <w:pPr>
        <w:pStyle w:val="Titulocontnuo"/>
        <w:keepNext w:val="0"/>
        <w:keepLines w:val="0"/>
        <w:widowControl w:val="0"/>
        <w:rPr>
          <w:rFonts w:asciiTheme="minorHAnsi" w:hAnsiTheme="minorHAnsi" w:cstheme="minorHAnsi"/>
          <w:noProof w:val="0"/>
          <w:sz w:val="20"/>
          <w:szCs w:val="20"/>
          <w:lang w:val="es-ES"/>
        </w:rPr>
      </w:pPr>
    </w:p>
    <w:sdt>
      <w:sdtPr>
        <w:rPr>
          <w:rFonts w:asciiTheme="minorHAnsi" w:eastAsiaTheme="minorEastAsia" w:hAnsiTheme="minorHAnsi" w:cstheme="minorBidi"/>
          <w:b w:val="0"/>
          <w:bCs w:val="0"/>
          <w:color w:val="auto"/>
          <w:sz w:val="22"/>
          <w:szCs w:val="22"/>
        </w:rPr>
        <w:id w:val="2131902767"/>
        <w:docPartObj>
          <w:docPartGallery w:val="Table of Contents"/>
          <w:docPartUnique/>
        </w:docPartObj>
      </w:sdtPr>
      <w:sdtEndPr/>
      <w:sdtContent>
        <w:p w:rsidR="00715A56" w:rsidRDefault="00715A56">
          <w:pPr>
            <w:pStyle w:val="TOCHeading"/>
          </w:pPr>
          <w:r>
            <w:t>Contenido</w:t>
          </w:r>
        </w:p>
        <w:p w:rsidR="00715A56" w:rsidRDefault="006155C2">
          <w:pPr>
            <w:pStyle w:val="TOC1"/>
            <w:tabs>
              <w:tab w:val="right" w:leader="dot" w:pos="8494"/>
            </w:tabs>
            <w:rPr>
              <w:noProof/>
            </w:rPr>
          </w:pPr>
          <w:r>
            <w:fldChar w:fldCharType="begin"/>
          </w:r>
          <w:r w:rsidR="00715A56">
            <w:instrText xml:space="preserve"> TOC \o "1-3" \h \z \u </w:instrText>
          </w:r>
          <w:r>
            <w:fldChar w:fldCharType="separate"/>
          </w:r>
        </w:p>
        <w:p w:rsidR="00715A56" w:rsidRDefault="00A70D70">
          <w:pPr>
            <w:pStyle w:val="TOC1"/>
            <w:tabs>
              <w:tab w:val="left" w:pos="440"/>
              <w:tab w:val="right" w:leader="dot" w:pos="8494"/>
            </w:tabs>
            <w:rPr>
              <w:noProof/>
            </w:rPr>
          </w:pPr>
          <w:hyperlink w:anchor="_Toc340428158" w:history="1">
            <w:r w:rsidR="00715A56" w:rsidRPr="00B9331B">
              <w:rPr>
                <w:rStyle w:val="Hyperlink"/>
                <w:noProof/>
                <w:lang w:val="es-MX"/>
              </w:rPr>
              <w:t>1.</w:t>
            </w:r>
            <w:r w:rsidR="00715A56">
              <w:rPr>
                <w:noProof/>
              </w:rPr>
              <w:tab/>
            </w:r>
            <w:r w:rsidR="00715A56" w:rsidRPr="00B9331B">
              <w:rPr>
                <w:rStyle w:val="Hyperlink"/>
                <w:noProof/>
                <w:lang w:val="es-MX"/>
              </w:rPr>
              <w:t>Introducción</w:t>
            </w:r>
            <w:r w:rsidR="00715A56">
              <w:rPr>
                <w:noProof/>
                <w:webHidden/>
              </w:rPr>
              <w:tab/>
            </w:r>
            <w:r w:rsidR="006155C2">
              <w:rPr>
                <w:noProof/>
                <w:webHidden/>
              </w:rPr>
              <w:fldChar w:fldCharType="begin"/>
            </w:r>
            <w:r w:rsidR="00715A56">
              <w:rPr>
                <w:noProof/>
                <w:webHidden/>
              </w:rPr>
              <w:instrText xml:space="preserve"> PAGEREF _Toc340428158 \h </w:instrText>
            </w:r>
            <w:r w:rsidR="006155C2">
              <w:rPr>
                <w:noProof/>
                <w:webHidden/>
              </w:rPr>
            </w:r>
            <w:r w:rsidR="006155C2">
              <w:rPr>
                <w:noProof/>
                <w:webHidden/>
              </w:rPr>
              <w:fldChar w:fldCharType="separate"/>
            </w:r>
            <w:r w:rsidR="00F24CF6">
              <w:rPr>
                <w:noProof/>
                <w:webHidden/>
              </w:rPr>
              <w:t>2</w:t>
            </w:r>
            <w:r w:rsidR="006155C2">
              <w:rPr>
                <w:noProof/>
                <w:webHidden/>
              </w:rPr>
              <w:fldChar w:fldCharType="end"/>
            </w:r>
          </w:hyperlink>
        </w:p>
        <w:p w:rsidR="00715A56" w:rsidRDefault="00A70D70">
          <w:pPr>
            <w:pStyle w:val="TOC2"/>
            <w:tabs>
              <w:tab w:val="right" w:leader="dot" w:pos="8494"/>
            </w:tabs>
            <w:rPr>
              <w:noProof/>
            </w:rPr>
          </w:pPr>
          <w:hyperlink w:anchor="_Toc340428159" w:history="1">
            <w:r w:rsidR="00715A56">
              <w:rPr>
                <w:rStyle w:val="Hyperlink"/>
                <w:noProof/>
                <w:lang w:val="es-MX"/>
              </w:rPr>
              <w:t>Literatura Intern</w:t>
            </w:r>
            <w:r w:rsidR="00715A56" w:rsidRPr="00B9331B">
              <w:rPr>
                <w:rStyle w:val="Hyperlink"/>
                <w:noProof/>
                <w:lang w:val="es-MX"/>
              </w:rPr>
              <w:t>acional</w:t>
            </w:r>
            <w:r w:rsidR="00715A56">
              <w:rPr>
                <w:noProof/>
                <w:webHidden/>
              </w:rPr>
              <w:tab/>
            </w:r>
            <w:r w:rsidR="006155C2">
              <w:rPr>
                <w:noProof/>
                <w:webHidden/>
              </w:rPr>
              <w:fldChar w:fldCharType="begin"/>
            </w:r>
            <w:r w:rsidR="00715A56">
              <w:rPr>
                <w:noProof/>
                <w:webHidden/>
              </w:rPr>
              <w:instrText xml:space="preserve"> PAGEREF _Toc340428159 \h </w:instrText>
            </w:r>
            <w:r w:rsidR="006155C2">
              <w:rPr>
                <w:noProof/>
                <w:webHidden/>
              </w:rPr>
            </w:r>
            <w:r w:rsidR="006155C2">
              <w:rPr>
                <w:noProof/>
                <w:webHidden/>
              </w:rPr>
              <w:fldChar w:fldCharType="separate"/>
            </w:r>
            <w:r w:rsidR="00F24CF6">
              <w:rPr>
                <w:noProof/>
                <w:webHidden/>
              </w:rPr>
              <w:t>7</w:t>
            </w:r>
            <w:r w:rsidR="006155C2">
              <w:rPr>
                <w:noProof/>
                <w:webHidden/>
              </w:rPr>
              <w:fldChar w:fldCharType="end"/>
            </w:r>
          </w:hyperlink>
        </w:p>
        <w:p w:rsidR="00715A56" w:rsidRDefault="00A70D70">
          <w:pPr>
            <w:pStyle w:val="TOC1"/>
            <w:tabs>
              <w:tab w:val="left" w:pos="440"/>
              <w:tab w:val="right" w:leader="dot" w:pos="8494"/>
            </w:tabs>
            <w:rPr>
              <w:noProof/>
            </w:rPr>
          </w:pPr>
          <w:hyperlink w:anchor="_Toc340428160" w:history="1">
            <w:r w:rsidR="00715A56" w:rsidRPr="00B9331B">
              <w:rPr>
                <w:rStyle w:val="Hyperlink"/>
                <w:noProof/>
                <w:lang w:val="es-MX"/>
              </w:rPr>
              <w:t>2.</w:t>
            </w:r>
            <w:r w:rsidR="00715A56">
              <w:rPr>
                <w:noProof/>
              </w:rPr>
              <w:tab/>
            </w:r>
            <w:r w:rsidR="00715A56" w:rsidRPr="00B9331B">
              <w:rPr>
                <w:rStyle w:val="Hyperlink"/>
                <w:noProof/>
                <w:lang w:val="es-MX"/>
              </w:rPr>
              <w:t>Datos</w:t>
            </w:r>
            <w:r w:rsidR="00715A56">
              <w:rPr>
                <w:noProof/>
                <w:webHidden/>
              </w:rPr>
              <w:tab/>
            </w:r>
            <w:r w:rsidR="006155C2">
              <w:rPr>
                <w:noProof/>
                <w:webHidden/>
              </w:rPr>
              <w:fldChar w:fldCharType="begin"/>
            </w:r>
            <w:r w:rsidR="00715A56">
              <w:rPr>
                <w:noProof/>
                <w:webHidden/>
              </w:rPr>
              <w:instrText xml:space="preserve"> PAGEREF _Toc340428160 \h </w:instrText>
            </w:r>
            <w:r w:rsidR="006155C2">
              <w:rPr>
                <w:noProof/>
                <w:webHidden/>
              </w:rPr>
            </w:r>
            <w:r w:rsidR="006155C2">
              <w:rPr>
                <w:noProof/>
                <w:webHidden/>
              </w:rPr>
              <w:fldChar w:fldCharType="separate"/>
            </w:r>
            <w:r w:rsidR="00F24CF6">
              <w:rPr>
                <w:noProof/>
                <w:webHidden/>
              </w:rPr>
              <w:t>10</w:t>
            </w:r>
            <w:r w:rsidR="006155C2">
              <w:rPr>
                <w:noProof/>
                <w:webHidden/>
              </w:rPr>
              <w:fldChar w:fldCharType="end"/>
            </w:r>
          </w:hyperlink>
        </w:p>
        <w:p w:rsidR="00715A56" w:rsidRDefault="00A70D70">
          <w:pPr>
            <w:pStyle w:val="TOC1"/>
            <w:tabs>
              <w:tab w:val="left" w:pos="440"/>
              <w:tab w:val="right" w:leader="dot" w:pos="8494"/>
            </w:tabs>
            <w:rPr>
              <w:noProof/>
            </w:rPr>
          </w:pPr>
          <w:hyperlink w:anchor="_Toc340428161" w:history="1">
            <w:r w:rsidR="00715A56" w:rsidRPr="00B9331B">
              <w:rPr>
                <w:rStyle w:val="Hyperlink"/>
                <w:noProof/>
                <w:lang w:val="es-MX"/>
              </w:rPr>
              <w:t>3.</w:t>
            </w:r>
            <w:r w:rsidR="00715A56">
              <w:rPr>
                <w:noProof/>
              </w:rPr>
              <w:tab/>
            </w:r>
            <w:r w:rsidR="00715A56" w:rsidRPr="00B9331B">
              <w:rPr>
                <w:rStyle w:val="Hyperlink"/>
                <w:noProof/>
                <w:lang w:val="es-MX"/>
              </w:rPr>
              <w:t>Estadística descriptiva</w:t>
            </w:r>
            <w:r w:rsidR="00715A56">
              <w:rPr>
                <w:noProof/>
                <w:webHidden/>
              </w:rPr>
              <w:tab/>
            </w:r>
            <w:r w:rsidR="006155C2">
              <w:rPr>
                <w:noProof/>
                <w:webHidden/>
              </w:rPr>
              <w:fldChar w:fldCharType="begin"/>
            </w:r>
            <w:r w:rsidR="00715A56">
              <w:rPr>
                <w:noProof/>
                <w:webHidden/>
              </w:rPr>
              <w:instrText xml:space="preserve"> PAGEREF _Toc340428161 \h </w:instrText>
            </w:r>
            <w:r w:rsidR="006155C2">
              <w:rPr>
                <w:noProof/>
                <w:webHidden/>
              </w:rPr>
            </w:r>
            <w:r w:rsidR="006155C2">
              <w:rPr>
                <w:noProof/>
                <w:webHidden/>
              </w:rPr>
              <w:fldChar w:fldCharType="separate"/>
            </w:r>
            <w:r w:rsidR="00F24CF6">
              <w:rPr>
                <w:noProof/>
                <w:webHidden/>
              </w:rPr>
              <w:t>15</w:t>
            </w:r>
            <w:r w:rsidR="006155C2">
              <w:rPr>
                <w:noProof/>
                <w:webHidden/>
              </w:rPr>
              <w:fldChar w:fldCharType="end"/>
            </w:r>
          </w:hyperlink>
        </w:p>
        <w:p w:rsidR="00715A56" w:rsidRDefault="00A70D70">
          <w:pPr>
            <w:pStyle w:val="TOC1"/>
            <w:tabs>
              <w:tab w:val="left" w:pos="440"/>
              <w:tab w:val="right" w:leader="dot" w:pos="8494"/>
            </w:tabs>
            <w:rPr>
              <w:noProof/>
            </w:rPr>
          </w:pPr>
          <w:hyperlink w:anchor="_Toc340428162" w:history="1">
            <w:r w:rsidR="00715A56" w:rsidRPr="00B9331B">
              <w:rPr>
                <w:rStyle w:val="Hyperlink"/>
                <w:rFonts w:eastAsia="Times New Roman"/>
                <w:noProof/>
                <w:lang w:val="es-MX"/>
              </w:rPr>
              <w:t>4.</w:t>
            </w:r>
            <w:r w:rsidR="00715A56">
              <w:rPr>
                <w:noProof/>
              </w:rPr>
              <w:tab/>
            </w:r>
            <w:r w:rsidR="00715A56" w:rsidRPr="00B9331B">
              <w:rPr>
                <w:rStyle w:val="Hyperlink"/>
                <w:rFonts w:eastAsia="Times New Roman"/>
                <w:noProof/>
                <w:shd w:val="clear" w:color="auto" w:fill="FFFFFF"/>
                <w:lang w:val="es-MX"/>
              </w:rPr>
              <w:t>Resultados</w:t>
            </w:r>
            <w:r w:rsidR="00715A56">
              <w:rPr>
                <w:noProof/>
                <w:webHidden/>
              </w:rPr>
              <w:tab/>
            </w:r>
            <w:r w:rsidR="006155C2">
              <w:rPr>
                <w:noProof/>
                <w:webHidden/>
              </w:rPr>
              <w:fldChar w:fldCharType="begin"/>
            </w:r>
            <w:r w:rsidR="00715A56">
              <w:rPr>
                <w:noProof/>
                <w:webHidden/>
              </w:rPr>
              <w:instrText xml:space="preserve"> PAGEREF _Toc340428162 \h </w:instrText>
            </w:r>
            <w:r w:rsidR="006155C2">
              <w:rPr>
                <w:noProof/>
                <w:webHidden/>
              </w:rPr>
            </w:r>
            <w:r w:rsidR="006155C2">
              <w:rPr>
                <w:noProof/>
                <w:webHidden/>
              </w:rPr>
              <w:fldChar w:fldCharType="separate"/>
            </w:r>
            <w:r w:rsidR="00F24CF6">
              <w:rPr>
                <w:noProof/>
                <w:webHidden/>
              </w:rPr>
              <w:t>17</w:t>
            </w:r>
            <w:r w:rsidR="006155C2">
              <w:rPr>
                <w:noProof/>
                <w:webHidden/>
              </w:rPr>
              <w:fldChar w:fldCharType="end"/>
            </w:r>
          </w:hyperlink>
        </w:p>
        <w:p w:rsidR="00715A56" w:rsidRDefault="00A70D70">
          <w:pPr>
            <w:pStyle w:val="TOC1"/>
            <w:tabs>
              <w:tab w:val="left" w:pos="440"/>
              <w:tab w:val="right" w:leader="dot" w:pos="8494"/>
            </w:tabs>
            <w:rPr>
              <w:noProof/>
            </w:rPr>
          </w:pPr>
          <w:hyperlink w:anchor="_Toc340428163" w:history="1">
            <w:r w:rsidR="00715A56" w:rsidRPr="00B9331B">
              <w:rPr>
                <w:rStyle w:val="Hyperlink"/>
                <w:rFonts w:eastAsia="Times New Roman"/>
                <w:noProof/>
                <w:lang w:val="es-MX"/>
              </w:rPr>
              <w:t>5.</w:t>
            </w:r>
            <w:r w:rsidR="00715A56">
              <w:rPr>
                <w:noProof/>
              </w:rPr>
              <w:tab/>
            </w:r>
            <w:r w:rsidR="00715A56" w:rsidRPr="00B9331B">
              <w:rPr>
                <w:rStyle w:val="Hyperlink"/>
                <w:rFonts w:eastAsia="Times New Roman"/>
                <w:noProof/>
                <w:shd w:val="clear" w:color="auto" w:fill="FFFFFF"/>
                <w:lang w:val="es-MX"/>
              </w:rPr>
              <w:t>Conclusiones</w:t>
            </w:r>
            <w:r w:rsidR="00715A56">
              <w:rPr>
                <w:noProof/>
                <w:webHidden/>
              </w:rPr>
              <w:tab/>
            </w:r>
            <w:r w:rsidR="006155C2">
              <w:rPr>
                <w:noProof/>
                <w:webHidden/>
              </w:rPr>
              <w:fldChar w:fldCharType="begin"/>
            </w:r>
            <w:r w:rsidR="00715A56">
              <w:rPr>
                <w:noProof/>
                <w:webHidden/>
              </w:rPr>
              <w:instrText xml:space="preserve"> PAGEREF _Toc340428163 \h </w:instrText>
            </w:r>
            <w:r w:rsidR="006155C2">
              <w:rPr>
                <w:noProof/>
                <w:webHidden/>
              </w:rPr>
            </w:r>
            <w:r w:rsidR="006155C2">
              <w:rPr>
                <w:noProof/>
                <w:webHidden/>
              </w:rPr>
              <w:fldChar w:fldCharType="separate"/>
            </w:r>
            <w:r w:rsidR="00F24CF6">
              <w:rPr>
                <w:noProof/>
                <w:webHidden/>
              </w:rPr>
              <w:t>19</w:t>
            </w:r>
            <w:r w:rsidR="006155C2">
              <w:rPr>
                <w:noProof/>
                <w:webHidden/>
              </w:rPr>
              <w:fldChar w:fldCharType="end"/>
            </w:r>
          </w:hyperlink>
        </w:p>
        <w:p w:rsidR="00715A56" w:rsidRDefault="00A70D70">
          <w:pPr>
            <w:pStyle w:val="TOC1"/>
            <w:tabs>
              <w:tab w:val="left" w:pos="440"/>
              <w:tab w:val="right" w:leader="dot" w:pos="8494"/>
            </w:tabs>
            <w:rPr>
              <w:noProof/>
            </w:rPr>
          </w:pPr>
          <w:hyperlink w:anchor="_Toc340428164" w:history="1">
            <w:r w:rsidR="00715A56" w:rsidRPr="00B9331B">
              <w:rPr>
                <w:rStyle w:val="Hyperlink"/>
                <w:rFonts w:eastAsia="Times New Roman"/>
                <w:noProof/>
                <w:lang w:val="es-MX"/>
              </w:rPr>
              <w:t>6.</w:t>
            </w:r>
            <w:r w:rsidR="00715A56">
              <w:rPr>
                <w:noProof/>
              </w:rPr>
              <w:tab/>
            </w:r>
            <w:r w:rsidR="00715A56" w:rsidRPr="00B9331B">
              <w:rPr>
                <w:rStyle w:val="Hyperlink"/>
                <w:rFonts w:eastAsia="Times New Roman"/>
                <w:noProof/>
                <w:shd w:val="clear" w:color="auto" w:fill="FFFFFF"/>
                <w:lang w:val="es-MX"/>
              </w:rPr>
              <w:t>Referencias</w:t>
            </w:r>
            <w:r w:rsidR="00715A56">
              <w:rPr>
                <w:noProof/>
                <w:webHidden/>
              </w:rPr>
              <w:tab/>
            </w:r>
            <w:r w:rsidR="006155C2">
              <w:rPr>
                <w:noProof/>
                <w:webHidden/>
              </w:rPr>
              <w:fldChar w:fldCharType="begin"/>
            </w:r>
            <w:r w:rsidR="00715A56">
              <w:rPr>
                <w:noProof/>
                <w:webHidden/>
              </w:rPr>
              <w:instrText xml:space="preserve"> PAGEREF _Toc340428164 \h </w:instrText>
            </w:r>
            <w:r w:rsidR="006155C2">
              <w:rPr>
                <w:noProof/>
                <w:webHidden/>
              </w:rPr>
            </w:r>
            <w:r w:rsidR="006155C2">
              <w:rPr>
                <w:noProof/>
                <w:webHidden/>
              </w:rPr>
              <w:fldChar w:fldCharType="separate"/>
            </w:r>
            <w:r w:rsidR="00F24CF6">
              <w:rPr>
                <w:noProof/>
                <w:webHidden/>
              </w:rPr>
              <w:t>19</w:t>
            </w:r>
            <w:r w:rsidR="006155C2">
              <w:rPr>
                <w:noProof/>
                <w:webHidden/>
              </w:rPr>
              <w:fldChar w:fldCharType="end"/>
            </w:r>
          </w:hyperlink>
        </w:p>
        <w:p w:rsidR="00715A56" w:rsidRDefault="00A70D70">
          <w:pPr>
            <w:pStyle w:val="TOC1"/>
            <w:tabs>
              <w:tab w:val="left" w:pos="440"/>
              <w:tab w:val="right" w:leader="dot" w:pos="8494"/>
            </w:tabs>
            <w:rPr>
              <w:noProof/>
            </w:rPr>
          </w:pPr>
          <w:hyperlink w:anchor="_Toc340428165" w:history="1">
            <w:r w:rsidR="00715A56" w:rsidRPr="00B9331B">
              <w:rPr>
                <w:rStyle w:val="Hyperlink"/>
                <w:rFonts w:eastAsia="Times New Roman"/>
                <w:noProof/>
                <w:lang w:val="es-MX"/>
              </w:rPr>
              <w:t>7.</w:t>
            </w:r>
            <w:r w:rsidR="00715A56">
              <w:rPr>
                <w:noProof/>
              </w:rPr>
              <w:tab/>
            </w:r>
            <w:r w:rsidR="00715A56" w:rsidRPr="00B9331B">
              <w:rPr>
                <w:rStyle w:val="Hyperlink"/>
                <w:rFonts w:eastAsia="Times New Roman"/>
                <w:noProof/>
                <w:shd w:val="clear" w:color="auto" w:fill="FFFFFF"/>
                <w:lang w:val="es-MX"/>
              </w:rPr>
              <w:t>Anexos</w:t>
            </w:r>
            <w:r w:rsidR="00715A56">
              <w:rPr>
                <w:noProof/>
                <w:webHidden/>
              </w:rPr>
              <w:tab/>
            </w:r>
            <w:r w:rsidR="006155C2">
              <w:rPr>
                <w:noProof/>
                <w:webHidden/>
              </w:rPr>
              <w:fldChar w:fldCharType="begin"/>
            </w:r>
            <w:r w:rsidR="00715A56">
              <w:rPr>
                <w:noProof/>
                <w:webHidden/>
              </w:rPr>
              <w:instrText xml:space="preserve"> PAGEREF _Toc340428165 \h </w:instrText>
            </w:r>
            <w:r w:rsidR="006155C2">
              <w:rPr>
                <w:noProof/>
                <w:webHidden/>
              </w:rPr>
            </w:r>
            <w:r w:rsidR="006155C2">
              <w:rPr>
                <w:noProof/>
                <w:webHidden/>
              </w:rPr>
              <w:fldChar w:fldCharType="separate"/>
            </w:r>
            <w:r w:rsidR="00F24CF6">
              <w:rPr>
                <w:noProof/>
                <w:webHidden/>
              </w:rPr>
              <w:t>20</w:t>
            </w:r>
            <w:r w:rsidR="006155C2">
              <w:rPr>
                <w:noProof/>
                <w:webHidden/>
              </w:rPr>
              <w:fldChar w:fldCharType="end"/>
            </w:r>
          </w:hyperlink>
        </w:p>
        <w:p w:rsidR="00715A56" w:rsidRDefault="00A70D70">
          <w:pPr>
            <w:pStyle w:val="TOC2"/>
            <w:tabs>
              <w:tab w:val="right" w:leader="dot" w:pos="8494"/>
            </w:tabs>
            <w:rPr>
              <w:noProof/>
            </w:rPr>
          </w:pPr>
          <w:hyperlink w:anchor="_Toc340428166" w:history="1">
            <w:r w:rsidR="00715A56" w:rsidRPr="00B9331B">
              <w:rPr>
                <w:rStyle w:val="Hyperlink"/>
                <w:noProof/>
                <w:lang w:val="es-MX"/>
              </w:rPr>
              <w:t>7.1 Anexo I. Estadística descriptiva</w:t>
            </w:r>
            <w:r w:rsidR="00715A56">
              <w:rPr>
                <w:noProof/>
                <w:webHidden/>
              </w:rPr>
              <w:tab/>
            </w:r>
            <w:r w:rsidR="006155C2">
              <w:rPr>
                <w:noProof/>
                <w:webHidden/>
              </w:rPr>
              <w:fldChar w:fldCharType="begin"/>
            </w:r>
            <w:r w:rsidR="00715A56">
              <w:rPr>
                <w:noProof/>
                <w:webHidden/>
              </w:rPr>
              <w:instrText xml:space="preserve"> PAGEREF _Toc340428166 \h </w:instrText>
            </w:r>
            <w:r w:rsidR="006155C2">
              <w:rPr>
                <w:noProof/>
                <w:webHidden/>
              </w:rPr>
            </w:r>
            <w:r w:rsidR="006155C2">
              <w:rPr>
                <w:noProof/>
                <w:webHidden/>
              </w:rPr>
              <w:fldChar w:fldCharType="separate"/>
            </w:r>
            <w:r w:rsidR="00F24CF6">
              <w:rPr>
                <w:noProof/>
                <w:webHidden/>
              </w:rPr>
              <w:t>20</w:t>
            </w:r>
            <w:r w:rsidR="006155C2">
              <w:rPr>
                <w:noProof/>
                <w:webHidden/>
              </w:rPr>
              <w:fldChar w:fldCharType="end"/>
            </w:r>
          </w:hyperlink>
        </w:p>
        <w:p w:rsidR="00715A56" w:rsidRDefault="00A70D70">
          <w:pPr>
            <w:pStyle w:val="TOC2"/>
            <w:tabs>
              <w:tab w:val="right" w:leader="dot" w:pos="8494"/>
            </w:tabs>
            <w:rPr>
              <w:noProof/>
            </w:rPr>
          </w:pPr>
          <w:hyperlink w:anchor="_Toc340428167" w:history="1">
            <w:r w:rsidR="00715A56" w:rsidRPr="00B9331B">
              <w:rPr>
                <w:rStyle w:val="Hyperlink"/>
                <w:noProof/>
                <w:lang w:val="es-MX"/>
              </w:rPr>
              <w:t>7.2 Anexo II. Regresiones</w:t>
            </w:r>
            <w:r w:rsidR="00715A56">
              <w:rPr>
                <w:noProof/>
                <w:webHidden/>
              </w:rPr>
              <w:tab/>
            </w:r>
            <w:r w:rsidR="006155C2">
              <w:rPr>
                <w:noProof/>
                <w:webHidden/>
              </w:rPr>
              <w:fldChar w:fldCharType="begin"/>
            </w:r>
            <w:r w:rsidR="00715A56">
              <w:rPr>
                <w:noProof/>
                <w:webHidden/>
              </w:rPr>
              <w:instrText xml:space="preserve"> PAGEREF _Toc340428167 \h </w:instrText>
            </w:r>
            <w:r w:rsidR="006155C2">
              <w:rPr>
                <w:noProof/>
                <w:webHidden/>
              </w:rPr>
            </w:r>
            <w:r w:rsidR="006155C2">
              <w:rPr>
                <w:noProof/>
                <w:webHidden/>
              </w:rPr>
              <w:fldChar w:fldCharType="separate"/>
            </w:r>
            <w:r w:rsidR="00F24CF6">
              <w:rPr>
                <w:noProof/>
                <w:webHidden/>
              </w:rPr>
              <w:t>27</w:t>
            </w:r>
            <w:r w:rsidR="006155C2">
              <w:rPr>
                <w:noProof/>
                <w:webHidden/>
              </w:rPr>
              <w:fldChar w:fldCharType="end"/>
            </w:r>
          </w:hyperlink>
        </w:p>
        <w:p w:rsidR="00715A56" w:rsidRDefault="006155C2">
          <w:r>
            <w:rPr>
              <w:b/>
              <w:bCs/>
            </w:rPr>
            <w:fldChar w:fldCharType="end"/>
          </w:r>
        </w:p>
      </w:sdtContent>
    </w:sdt>
    <w:p w:rsidR="00715A56" w:rsidRDefault="00715A56" w:rsidP="002C1FEB">
      <w:pPr>
        <w:pStyle w:val="Titulocontnuo"/>
        <w:keepNext w:val="0"/>
        <w:keepLines w:val="0"/>
        <w:widowControl w:val="0"/>
        <w:rPr>
          <w:rFonts w:asciiTheme="minorHAnsi" w:hAnsiTheme="minorHAnsi" w:cstheme="minorHAnsi"/>
          <w:noProof w:val="0"/>
          <w:sz w:val="20"/>
          <w:szCs w:val="20"/>
          <w:lang w:val="es-ES"/>
        </w:rPr>
      </w:pPr>
    </w:p>
    <w:p w:rsidR="002C1FEB" w:rsidRDefault="002C1FEB"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Default="00030717" w:rsidP="002C1FEB">
      <w:pPr>
        <w:pStyle w:val="Titulocontnuo"/>
        <w:keepNext w:val="0"/>
        <w:keepLines w:val="0"/>
        <w:widowControl w:val="0"/>
        <w:rPr>
          <w:lang w:val="es-MX"/>
        </w:rPr>
      </w:pPr>
    </w:p>
    <w:p w:rsidR="00030717" w:rsidRPr="005249A5" w:rsidRDefault="00030717" w:rsidP="002C1FEB">
      <w:pPr>
        <w:pStyle w:val="Titulocontnuo"/>
        <w:keepNext w:val="0"/>
        <w:keepLines w:val="0"/>
        <w:widowControl w:val="0"/>
        <w:rPr>
          <w:lang w:val="es-MX"/>
        </w:rPr>
      </w:pPr>
    </w:p>
    <w:p w:rsidR="00457227" w:rsidRDefault="00457227" w:rsidP="002C1FEB">
      <w:pPr>
        <w:pStyle w:val="Heading1"/>
        <w:keepNext w:val="0"/>
        <w:keepLines w:val="0"/>
        <w:widowControl w:val="0"/>
        <w:numPr>
          <w:ilvl w:val="0"/>
          <w:numId w:val="2"/>
        </w:numPr>
        <w:rPr>
          <w:lang w:val="es-MX"/>
        </w:rPr>
      </w:pPr>
      <w:bookmarkStart w:id="2" w:name="_Toc340428158"/>
      <w:r w:rsidRPr="005249A5">
        <w:rPr>
          <w:lang w:val="es-MX"/>
        </w:rPr>
        <w:t>Introducción</w:t>
      </w:r>
      <w:bookmarkEnd w:id="2"/>
    </w:p>
    <w:p w:rsidR="00F348B7" w:rsidRPr="00F348B7" w:rsidRDefault="00F348B7" w:rsidP="00F348B7">
      <w:pPr>
        <w:rPr>
          <w:lang w:val="es-MX"/>
        </w:rPr>
      </w:pPr>
    </w:p>
    <w:p w:rsidR="00E9163F" w:rsidRPr="005249A5" w:rsidRDefault="00E9163F" w:rsidP="002C1FEB">
      <w:pPr>
        <w:widowControl w:val="0"/>
        <w:spacing w:after="0" w:line="240" w:lineRule="auto"/>
        <w:rPr>
          <w:lang w:val="es-MX"/>
        </w:rPr>
      </w:pPr>
    </w:p>
    <w:p w:rsidR="005249A5" w:rsidRPr="005249A5" w:rsidRDefault="005249A5" w:rsidP="00F348B7">
      <w:pPr>
        <w:widowControl w:val="0"/>
        <w:spacing w:after="0" w:line="360" w:lineRule="auto"/>
        <w:jc w:val="both"/>
        <w:rPr>
          <w:lang w:val="es-MX"/>
        </w:rPr>
      </w:pPr>
      <w:r w:rsidRPr="005249A5">
        <w:rPr>
          <w:lang w:val="es-MX"/>
        </w:rPr>
        <w:t xml:space="preserve">En México, ya suman más de 50,000 los homicidios </w:t>
      </w:r>
      <w:r w:rsidR="00E858D5">
        <w:rPr>
          <w:lang w:val="es-MX"/>
        </w:rPr>
        <w:t>relacionados con</w:t>
      </w:r>
      <w:r w:rsidRPr="005249A5">
        <w:rPr>
          <w:lang w:val="es-MX"/>
        </w:rPr>
        <w:t xml:space="preserve"> </w:t>
      </w:r>
      <w:r w:rsidR="00E858D5">
        <w:rPr>
          <w:lang w:val="es-MX"/>
        </w:rPr>
        <w:t>el</w:t>
      </w:r>
      <w:r w:rsidRPr="005249A5">
        <w:rPr>
          <w:lang w:val="es-MX"/>
        </w:rPr>
        <w:t xml:space="preserve"> crimen organizado</w:t>
      </w:r>
      <w:r w:rsidRPr="005249A5">
        <w:rPr>
          <w:rStyle w:val="FootnoteReference"/>
          <w:lang w:val="es-MX"/>
        </w:rPr>
        <w:footnoteReference w:id="2"/>
      </w:r>
      <w:r w:rsidRPr="005249A5">
        <w:rPr>
          <w:lang w:val="es-MX"/>
        </w:rPr>
        <w:t>.  Este aumento ha sido dramático, considerando que en el sexenio (2001-2006) se registraron 8,901 casos</w:t>
      </w:r>
      <w:sdt>
        <w:sdtPr>
          <w:rPr>
            <w:lang w:val="es-MX"/>
          </w:rPr>
          <w:id w:val="350755113"/>
          <w:citation/>
        </w:sdtPr>
        <w:sdtEndPr/>
        <w:sdtContent>
          <w:r w:rsidR="006155C2" w:rsidRPr="005249A5">
            <w:rPr>
              <w:lang w:val="es-MX"/>
            </w:rPr>
            <w:fldChar w:fldCharType="begin"/>
          </w:r>
          <w:r w:rsidRPr="005249A5">
            <w:rPr>
              <w:lang w:val="es-MX"/>
            </w:rPr>
            <w:instrText xml:space="preserve"> CITATION Rios2012 \l 2058 </w:instrText>
          </w:r>
          <w:r w:rsidR="006155C2" w:rsidRPr="005249A5">
            <w:rPr>
              <w:lang w:val="es-MX"/>
            </w:rPr>
            <w:fldChar w:fldCharType="separate"/>
          </w:r>
          <w:r w:rsidRPr="005249A5">
            <w:rPr>
              <w:lang w:val="es-MX"/>
            </w:rPr>
            <w:t xml:space="preserve"> (Rios, 2012)</w:t>
          </w:r>
          <w:r w:rsidR="006155C2" w:rsidRPr="005249A5">
            <w:rPr>
              <w:lang w:val="es-MX"/>
            </w:rPr>
            <w:fldChar w:fldCharType="end"/>
          </w:r>
        </w:sdtContent>
      </w:sdt>
      <w:r w:rsidRPr="005249A5">
        <w:rPr>
          <w:lang w:val="es-MX"/>
        </w:rPr>
        <w:t>. En general, los asesinatos relacionados al crimen organizado parecen producto de batalla</w:t>
      </w:r>
      <w:r w:rsidR="002910DF">
        <w:rPr>
          <w:lang w:val="es-MX"/>
        </w:rPr>
        <w:t xml:space="preserve">s entre </w:t>
      </w:r>
      <w:r w:rsidR="002910DF" w:rsidRPr="002910DF">
        <w:rPr>
          <w:i/>
          <w:lang w:val="es-MX"/>
        </w:rPr>
        <w:t>carteles de la droga</w:t>
      </w:r>
      <w:r w:rsidR="00F1652C">
        <w:rPr>
          <w:lang w:val="es-MX"/>
        </w:rPr>
        <w:t xml:space="preserve">, </w:t>
      </w:r>
      <w:r w:rsidRPr="005249A5">
        <w:rPr>
          <w:lang w:val="es-MX"/>
        </w:rPr>
        <w:t>orga</w:t>
      </w:r>
      <w:r>
        <w:rPr>
          <w:lang w:val="es-MX"/>
        </w:rPr>
        <w:t>nizaciones criminales cuyo fin ú</w:t>
      </w:r>
      <w:r w:rsidRPr="005249A5">
        <w:rPr>
          <w:lang w:val="es-MX"/>
        </w:rPr>
        <w:t>ltimo es el trasiego de narcóticos ilegales, en particular, haci</w:t>
      </w:r>
      <w:r w:rsidR="00F1652C">
        <w:rPr>
          <w:lang w:val="es-MX"/>
        </w:rPr>
        <w:t>a los Estados Unidos de América.</w:t>
      </w:r>
      <w:r w:rsidRPr="005249A5">
        <w:rPr>
          <w:lang w:val="es-MX"/>
        </w:rPr>
        <w:t xml:space="preserve"> </w:t>
      </w:r>
      <w:r w:rsidR="00F1652C">
        <w:rPr>
          <w:lang w:val="es-MX"/>
        </w:rPr>
        <w:t>Sin embargo</w:t>
      </w:r>
      <w:r w:rsidRPr="005249A5">
        <w:rPr>
          <w:lang w:val="es-MX"/>
        </w:rPr>
        <w:t>, también han sido victimas de la espiral de violencia civiles, periodistas, funcionarios públicos y fuerzas gubernamentales. La tendencia de homicidios ha sido, en promedio, creciente desde que el Gobierno comenz</w:t>
      </w:r>
      <w:r w:rsidR="002910DF">
        <w:rPr>
          <w:lang w:val="es-MX"/>
        </w:rPr>
        <w:t>ó una lucha frontal contra los carteles de la droga</w:t>
      </w:r>
      <w:r w:rsidRPr="005249A5">
        <w:rPr>
          <w:rStyle w:val="FootnoteReference"/>
          <w:lang w:val="es-MX"/>
        </w:rPr>
        <w:footnoteReference w:id="3"/>
      </w:r>
      <w:r w:rsidRPr="005249A5">
        <w:rPr>
          <w:lang w:val="es-MX"/>
        </w:rPr>
        <w:t xml:space="preserve"> (ver gráfica 1</w:t>
      </w:r>
      <w:r w:rsidR="00F1652C">
        <w:rPr>
          <w:lang w:val="es-MX"/>
        </w:rPr>
        <w:t xml:space="preserve">), aunque </w:t>
      </w:r>
      <w:r w:rsidRPr="005249A5">
        <w:rPr>
          <w:lang w:val="es-MX"/>
        </w:rPr>
        <w:t xml:space="preserve">parece </w:t>
      </w:r>
      <w:r w:rsidR="00F1652C">
        <w:rPr>
          <w:lang w:val="es-MX"/>
        </w:rPr>
        <w:t>estabilizarse</w:t>
      </w:r>
      <w:r w:rsidRPr="005249A5">
        <w:rPr>
          <w:lang w:val="es-MX"/>
        </w:rPr>
        <w:t xml:space="preserve"> en 2011</w:t>
      </w:r>
      <w:r w:rsidRPr="005249A5">
        <w:rPr>
          <w:rStyle w:val="FootnoteReference"/>
          <w:lang w:val="es-MX"/>
        </w:rPr>
        <w:footnoteReference w:id="4"/>
      </w:r>
      <w:r w:rsidRPr="005249A5">
        <w:rPr>
          <w:lang w:val="es-MX"/>
        </w:rPr>
        <w:t xml:space="preserve">. </w:t>
      </w:r>
    </w:p>
    <w:p w:rsidR="005249A5" w:rsidRPr="005249A5" w:rsidRDefault="005249A5" w:rsidP="00F348B7">
      <w:pPr>
        <w:spacing w:after="0" w:line="360" w:lineRule="auto"/>
        <w:ind w:firstLine="360"/>
        <w:jc w:val="both"/>
        <w:rPr>
          <w:lang w:val="es-MX"/>
        </w:rPr>
      </w:pPr>
      <w:r w:rsidRPr="005249A5">
        <w:rPr>
          <w:lang w:val="es-MX"/>
        </w:rPr>
        <w:t xml:space="preserve">Cabe destacar que los homicidios </w:t>
      </w:r>
      <w:r w:rsidR="00F1652C">
        <w:rPr>
          <w:lang w:val="es-MX"/>
        </w:rPr>
        <w:t>asociados</w:t>
      </w:r>
      <w:r w:rsidRPr="005249A5">
        <w:rPr>
          <w:lang w:val="es-MX"/>
        </w:rPr>
        <w:t xml:space="preserve"> al crimen organizado </w:t>
      </w:r>
      <w:r w:rsidR="00F1652C">
        <w:rPr>
          <w:lang w:val="es-MX"/>
        </w:rPr>
        <w:t>representan</w:t>
      </w:r>
      <w:r w:rsidRPr="005249A5">
        <w:rPr>
          <w:lang w:val="es-MX"/>
        </w:rPr>
        <w:t xml:space="preserve"> una gran proporción de los homicidios totales ocurridos en México. En el año 2007, estos casos representaban </w:t>
      </w:r>
      <w:r w:rsidR="00F1652C">
        <w:rPr>
          <w:lang w:val="es-MX"/>
        </w:rPr>
        <w:t xml:space="preserve">el 31.9 porciento </w:t>
      </w:r>
      <w:r w:rsidRPr="005249A5">
        <w:rPr>
          <w:lang w:val="es-MX"/>
        </w:rPr>
        <w:t xml:space="preserve">del total </w:t>
      </w:r>
      <w:r w:rsidR="00F1652C">
        <w:rPr>
          <w:lang w:val="es-MX"/>
        </w:rPr>
        <w:t>registrado</w:t>
      </w:r>
      <w:r w:rsidRPr="005249A5">
        <w:rPr>
          <w:lang w:val="es-MX"/>
        </w:rPr>
        <w:t xml:space="preserve"> por el Instituto Nacional de Estadística y Geografía (INEGI); mientras </w:t>
      </w:r>
      <w:r w:rsidR="00F1652C">
        <w:rPr>
          <w:lang w:val="es-MX"/>
        </w:rPr>
        <w:t>que para</w:t>
      </w:r>
      <w:r w:rsidRPr="005249A5">
        <w:rPr>
          <w:lang w:val="es-MX"/>
        </w:rPr>
        <w:t xml:space="preserve"> </w:t>
      </w:r>
      <w:r w:rsidR="00F1652C">
        <w:rPr>
          <w:lang w:val="es-MX"/>
        </w:rPr>
        <w:t>2010 y</w:t>
      </w:r>
      <w:r w:rsidRPr="005249A5">
        <w:rPr>
          <w:lang w:val="es-MX"/>
        </w:rPr>
        <w:t xml:space="preserve"> 2011 representaron el</w:t>
      </w:r>
      <w:r w:rsidR="00F1652C">
        <w:rPr>
          <w:lang w:val="es-MX"/>
        </w:rPr>
        <w:t xml:space="preserve"> 63.4</w:t>
      </w:r>
      <w:r w:rsidRPr="005249A5">
        <w:rPr>
          <w:lang w:val="es-MX"/>
        </w:rPr>
        <w:t xml:space="preserve"> y el 53.8</w:t>
      </w:r>
      <w:r w:rsidR="00F1652C">
        <w:rPr>
          <w:lang w:val="es-MX"/>
        </w:rPr>
        <w:t xml:space="preserve"> porciento</w:t>
      </w:r>
      <w:r w:rsidRPr="005249A5">
        <w:rPr>
          <w:lang w:val="es-MX"/>
        </w:rPr>
        <w:t xml:space="preserve"> respectivamente </w:t>
      </w:r>
      <w:sdt>
        <w:sdtPr>
          <w:rPr>
            <w:lang w:val="es-MX"/>
          </w:rPr>
          <w:id w:val="5866480"/>
          <w:citation/>
        </w:sdtPr>
        <w:sdtEndPr/>
        <w:sdtContent>
          <w:r w:rsidR="006155C2" w:rsidRPr="005249A5">
            <w:rPr>
              <w:lang w:val="es-MX"/>
            </w:rPr>
            <w:fldChar w:fldCharType="begin"/>
          </w:r>
          <w:r w:rsidRPr="005249A5">
            <w:rPr>
              <w:lang w:val="es-MX"/>
            </w:rPr>
            <w:instrText xml:space="preserve"> CITATION Mol12 \l 2058 </w:instrText>
          </w:r>
          <w:r w:rsidR="006155C2" w:rsidRPr="005249A5">
            <w:rPr>
              <w:lang w:val="es-MX"/>
            </w:rPr>
            <w:fldChar w:fldCharType="separate"/>
          </w:r>
          <w:r w:rsidRPr="005249A5">
            <w:rPr>
              <w:lang w:val="es-MX"/>
            </w:rPr>
            <w:t>(Molzahn, Ríos, &amp; A. Shirk, 2012)</w:t>
          </w:r>
          <w:r w:rsidR="006155C2" w:rsidRPr="005249A5">
            <w:rPr>
              <w:lang w:val="es-MX"/>
            </w:rPr>
            <w:fldChar w:fldCharType="end"/>
          </w:r>
        </w:sdtContent>
      </w:sdt>
      <w:r w:rsidRPr="005249A5">
        <w:rPr>
          <w:lang w:val="es-MX"/>
        </w:rPr>
        <w:t xml:space="preserve">.  </w:t>
      </w:r>
    </w:p>
    <w:p w:rsidR="005249A5" w:rsidRPr="005249A5" w:rsidRDefault="005249A5" w:rsidP="00F348B7">
      <w:pPr>
        <w:spacing w:after="0" w:line="360" w:lineRule="auto"/>
        <w:ind w:firstLine="360"/>
        <w:jc w:val="both"/>
        <w:rPr>
          <w:lang w:val="es-MX"/>
        </w:rPr>
      </w:pPr>
      <w:r w:rsidRPr="005249A5">
        <w:rPr>
          <w:lang w:val="es-MX"/>
        </w:rPr>
        <w:t xml:space="preserve">Con algunas excepciones (“Cartel de Sinaloa” y </w:t>
      </w:r>
      <w:r w:rsidR="00F1652C">
        <w:rPr>
          <w:lang w:val="es-MX"/>
        </w:rPr>
        <w:t xml:space="preserve">posiblemente “los Zetas”), los </w:t>
      </w:r>
      <w:r w:rsidRPr="005249A5">
        <w:rPr>
          <w:lang w:val="es-MX"/>
        </w:rPr>
        <w:t>cartel</w:t>
      </w:r>
      <w:r w:rsidR="00F1652C">
        <w:rPr>
          <w:lang w:val="es-MX"/>
        </w:rPr>
        <w:t>es</w:t>
      </w:r>
      <w:r w:rsidRPr="005249A5">
        <w:rPr>
          <w:lang w:val="es-MX"/>
        </w:rPr>
        <w:t xml:space="preserve"> se han debilitado y dividido. Además, las actividades delictivas que realizan se han diversificado en crímenes que suelen tener un impacto directo para la población, </w:t>
      </w:r>
      <w:r w:rsidR="00F1652C">
        <w:rPr>
          <w:lang w:val="es-MX"/>
        </w:rPr>
        <w:t xml:space="preserve">como </w:t>
      </w:r>
      <w:r w:rsidRPr="005249A5">
        <w:rPr>
          <w:lang w:val="es-MX"/>
        </w:rPr>
        <w:t xml:space="preserve">por ejemplo: secuestro, extorsión y robo de vehículos (Molzahn, Ríos, &amp; A. Shirk, 2012; Guerrero-Gutiérrez, 2011).  </w:t>
      </w:r>
    </w:p>
    <w:p w:rsidR="005249A5" w:rsidRPr="005249A5" w:rsidRDefault="005249A5" w:rsidP="00F348B7">
      <w:pPr>
        <w:spacing w:after="0" w:line="360" w:lineRule="auto"/>
        <w:ind w:firstLine="360"/>
        <w:jc w:val="both"/>
        <w:rPr>
          <w:lang w:val="es-MX"/>
        </w:rPr>
      </w:pPr>
      <w:r w:rsidRPr="005249A5">
        <w:rPr>
          <w:lang w:val="es-MX"/>
        </w:rPr>
        <w:t>Ha aumentado la violencia focalizada en contra de determinados grupos, por ejemplo, en contra de autoridades gubernamentales</w:t>
      </w:r>
      <w:r w:rsidRPr="005249A5">
        <w:rPr>
          <w:rStyle w:val="FootnoteReference"/>
          <w:lang w:val="es-MX"/>
        </w:rPr>
        <w:footnoteReference w:id="5"/>
      </w:r>
      <w:r w:rsidR="00F1652C">
        <w:rPr>
          <w:lang w:val="es-MX"/>
        </w:rPr>
        <w:t xml:space="preserve"> y periodistas</w:t>
      </w:r>
      <w:r w:rsidRPr="005249A5">
        <w:rPr>
          <w:lang w:val="es-MX"/>
        </w:rPr>
        <w:t xml:space="preserve">. Sólo en el año 2010, asesinaron a 10 periodistas en el país. Dichos fallecimientos representaron el 12.6 % de los periodistas asesinados </w:t>
      </w:r>
      <w:r w:rsidRPr="005249A5">
        <w:rPr>
          <w:lang w:val="es-MX"/>
        </w:rPr>
        <w:lastRenderedPageBreak/>
        <w:t>en el mundo, convirtiendo a México en el segundo lugar mundial con más incidencia sobre ese crimen (sólo superado por Pakistán)</w:t>
      </w:r>
      <w:r w:rsidRPr="005249A5">
        <w:rPr>
          <w:rStyle w:val="FootnoteReference"/>
          <w:lang w:val="es-MX"/>
        </w:rPr>
        <w:footnoteReference w:id="6"/>
      </w:r>
      <w:r w:rsidRPr="005249A5">
        <w:rPr>
          <w:lang w:val="es-MX"/>
        </w:rPr>
        <w:t>. Otros grupos donde se han experimentado aumentos en la incidencia de fallecimientos relacionados al</w:t>
      </w:r>
      <w:r w:rsidR="00F1652C">
        <w:rPr>
          <w:lang w:val="es-MX"/>
        </w:rPr>
        <w:t xml:space="preserve"> crimen organizado son en los jó</w:t>
      </w:r>
      <w:r w:rsidRPr="005249A5">
        <w:rPr>
          <w:lang w:val="es-MX"/>
        </w:rPr>
        <w:t xml:space="preserve">venes y las mujeres. Para cada día del 2011, 47 </w:t>
      </w:r>
      <w:r w:rsidR="00F1652C">
        <w:rPr>
          <w:lang w:val="es-MX"/>
        </w:rPr>
        <w:t>personas fueron asesinadas de la</w:t>
      </w:r>
      <w:r w:rsidRPr="005249A5">
        <w:rPr>
          <w:lang w:val="es-MX"/>
        </w:rPr>
        <w:t>s cuales tres fu</w:t>
      </w:r>
      <w:r w:rsidR="008C40C6">
        <w:rPr>
          <w:lang w:val="es-MX"/>
        </w:rPr>
        <w:t>eron previamente torturadas y</w:t>
      </w:r>
      <w:r w:rsidR="00F1652C">
        <w:rPr>
          <w:lang w:val="es-MX"/>
        </w:rPr>
        <w:t xml:space="preserve"> una</w:t>
      </w:r>
      <w:r w:rsidRPr="005249A5">
        <w:rPr>
          <w:lang w:val="es-MX"/>
        </w:rPr>
        <w:t xml:space="preserve"> fue </w:t>
      </w:r>
      <w:r w:rsidR="00F1652C">
        <w:rPr>
          <w:lang w:val="es-MX"/>
        </w:rPr>
        <w:t>decapitada</w:t>
      </w:r>
      <w:r w:rsidRPr="005249A5">
        <w:rPr>
          <w:lang w:val="es-MX"/>
        </w:rPr>
        <w:t>.</w:t>
      </w:r>
      <w:r w:rsidRPr="005249A5">
        <w:rPr>
          <w:rStyle w:val="FootnoteReference"/>
          <w:lang w:val="es-MX"/>
        </w:rPr>
        <w:footnoteReference w:id="7"/>
      </w:r>
    </w:p>
    <w:p w:rsidR="005249A5" w:rsidRPr="005249A5" w:rsidRDefault="005249A5" w:rsidP="001B29D0">
      <w:pPr>
        <w:spacing w:after="0"/>
        <w:jc w:val="both"/>
        <w:rPr>
          <w:lang w:val="es-MX"/>
        </w:rPr>
      </w:pPr>
      <w:r w:rsidRPr="005249A5">
        <w:rPr>
          <w:noProof/>
          <w:lang w:val="en-US" w:eastAsia="en-US"/>
        </w:rPr>
        <w:drawing>
          <wp:inline distT="0" distB="0" distL="0" distR="0">
            <wp:extent cx="5361945" cy="3635655"/>
            <wp:effectExtent l="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361726" cy="3635506"/>
                    </a:xfrm>
                    <a:prstGeom prst="rect">
                      <a:avLst/>
                    </a:prstGeom>
                    <a:noFill/>
                    <a:ln w="9525">
                      <a:noFill/>
                      <a:miter lim="800000"/>
                      <a:headEnd/>
                      <a:tailEnd/>
                    </a:ln>
                  </pic:spPr>
                </pic:pic>
              </a:graphicData>
            </a:graphic>
          </wp:inline>
        </w:drawing>
      </w:r>
    </w:p>
    <w:p w:rsidR="005249A5" w:rsidRDefault="00750648" w:rsidP="00F348B7">
      <w:pPr>
        <w:spacing w:after="0" w:line="240" w:lineRule="auto"/>
        <w:jc w:val="both"/>
        <w:rPr>
          <w:sz w:val="18"/>
          <w:szCs w:val="18"/>
          <w:lang w:val="es-MX"/>
        </w:rPr>
      </w:pPr>
      <w:r>
        <w:rPr>
          <w:sz w:val="18"/>
          <w:szCs w:val="18"/>
          <w:lang w:val="es-MX"/>
        </w:rPr>
        <w:t>Gráfico</w:t>
      </w:r>
      <w:r w:rsidR="005249A5" w:rsidRPr="002910DF">
        <w:rPr>
          <w:sz w:val="18"/>
          <w:szCs w:val="18"/>
          <w:lang w:val="es-MX"/>
        </w:rPr>
        <w:t xml:space="preserve"> 1</w:t>
      </w:r>
      <w:r w:rsidR="00DC78FA">
        <w:rPr>
          <w:sz w:val="18"/>
          <w:szCs w:val="18"/>
          <w:lang w:val="es-MX"/>
        </w:rPr>
        <w:t>.</w:t>
      </w:r>
      <w:r w:rsidR="005249A5" w:rsidRPr="002910DF">
        <w:rPr>
          <w:sz w:val="18"/>
          <w:szCs w:val="18"/>
          <w:lang w:val="es-MX"/>
        </w:rPr>
        <w:t xml:space="preserve"> Homicidios relacionados al crimen organizado en México. Fuente: elaboración pr</w:t>
      </w:r>
      <w:r w:rsidR="002910DF">
        <w:rPr>
          <w:sz w:val="18"/>
          <w:szCs w:val="18"/>
          <w:lang w:val="es-MX"/>
        </w:rPr>
        <w:t>opia con información de la base</w:t>
      </w:r>
      <w:r w:rsidR="005249A5" w:rsidRPr="002910DF">
        <w:rPr>
          <w:sz w:val="18"/>
          <w:szCs w:val="18"/>
          <w:lang w:val="es-MX"/>
        </w:rPr>
        <w:t xml:space="preserve"> “Fallecimientos por presunta rivalidad </w:t>
      </w:r>
      <w:r w:rsidR="00DC78FA" w:rsidRPr="002910DF">
        <w:rPr>
          <w:sz w:val="18"/>
          <w:szCs w:val="18"/>
          <w:lang w:val="es-MX"/>
        </w:rPr>
        <w:t>delincuencial”</w:t>
      </w:r>
      <w:r w:rsidR="00DC78FA">
        <w:rPr>
          <w:sz w:val="18"/>
          <w:szCs w:val="18"/>
          <w:lang w:val="es-MX"/>
        </w:rPr>
        <w:t xml:space="preserve">, </w:t>
      </w:r>
      <w:r w:rsidR="003869E1">
        <w:rPr>
          <w:sz w:val="18"/>
          <w:szCs w:val="18"/>
          <w:lang w:val="es-MX"/>
        </w:rPr>
        <w:t>Pre</w:t>
      </w:r>
      <w:r w:rsidR="007D4D16">
        <w:rPr>
          <w:sz w:val="18"/>
          <w:szCs w:val="18"/>
          <w:lang w:val="es-MX"/>
        </w:rPr>
        <w:t>sidencia de la República.</w:t>
      </w:r>
    </w:p>
    <w:p w:rsidR="002910DF" w:rsidRPr="002910DF" w:rsidRDefault="002910DF" w:rsidP="002910DF">
      <w:pPr>
        <w:spacing w:after="0"/>
        <w:jc w:val="both"/>
        <w:rPr>
          <w:sz w:val="18"/>
          <w:szCs w:val="18"/>
          <w:lang w:val="es-MX"/>
        </w:rPr>
      </w:pPr>
    </w:p>
    <w:p w:rsidR="00CB46AD" w:rsidRDefault="00D16E45" w:rsidP="00F348B7">
      <w:pPr>
        <w:spacing w:after="0" w:line="360" w:lineRule="auto"/>
        <w:ind w:firstLine="357"/>
        <w:jc w:val="both"/>
        <w:rPr>
          <w:lang w:val="es-MX"/>
        </w:rPr>
      </w:pPr>
      <w:r>
        <w:rPr>
          <w:lang w:val="es-MX"/>
        </w:rPr>
        <w:t xml:space="preserve"> Los homicidios relacionados con el</w:t>
      </w:r>
      <w:r w:rsidR="005249A5" w:rsidRPr="005249A5">
        <w:rPr>
          <w:lang w:val="es-MX"/>
        </w:rPr>
        <w:t xml:space="preserve"> crimen organizado no se distribuyen de manera uniforme a través del territorio nacional. Al contrario, pocos Estados, municipios y ciudades del país concentran una gran proporción de los casos. Por ejemplo, en 2011, sólo 3 de los 32 Estados de la república (Chihuahua, Sinaloa y Tamaulipas) concentraron</w:t>
      </w:r>
      <w:r>
        <w:rPr>
          <w:lang w:val="es-MX"/>
        </w:rPr>
        <w:t xml:space="preserve"> el 41 porciento</w:t>
      </w:r>
      <w:r w:rsidR="005249A5" w:rsidRPr="005249A5">
        <w:rPr>
          <w:lang w:val="es-MX"/>
        </w:rPr>
        <w:t xml:space="preserve"> de los homicidios. Asimismo</w:t>
      </w:r>
      <w:r>
        <w:rPr>
          <w:lang w:val="es-MX"/>
        </w:rPr>
        <w:t>, sólo</w:t>
      </w:r>
      <w:r w:rsidR="005249A5" w:rsidRPr="005249A5">
        <w:rPr>
          <w:lang w:val="es-MX"/>
        </w:rPr>
        <w:t xml:space="preserve"> cinco ciudades (Ciudad Juárez, Culiacán, Tijuana, Chihuahua y Acapulco) acumularon 12,070 homicidios </w:t>
      </w:r>
      <w:r>
        <w:rPr>
          <w:lang w:val="es-MX"/>
        </w:rPr>
        <w:t>asociados</w:t>
      </w:r>
      <w:r w:rsidR="005249A5" w:rsidRPr="005249A5">
        <w:rPr>
          <w:lang w:val="es-MX"/>
        </w:rPr>
        <w:t xml:space="preserve"> al crimen organizado, aproximadamente </w:t>
      </w:r>
      <w:r>
        <w:rPr>
          <w:lang w:val="es-MX"/>
        </w:rPr>
        <w:t>el 25 porciento</w:t>
      </w:r>
      <w:r w:rsidR="005249A5" w:rsidRPr="005249A5">
        <w:rPr>
          <w:lang w:val="es-MX"/>
        </w:rPr>
        <w:t xml:space="preserve"> de todos los homicidios de este tipo acumulados desde el 2006. </w:t>
      </w:r>
    </w:p>
    <w:p w:rsidR="00CB46AD" w:rsidRDefault="00CB46AD" w:rsidP="00F348B7">
      <w:pPr>
        <w:spacing w:after="0" w:line="360" w:lineRule="auto"/>
        <w:ind w:firstLine="357"/>
        <w:jc w:val="both"/>
        <w:rPr>
          <w:lang w:val="es-MX"/>
        </w:rPr>
      </w:pPr>
      <w:r>
        <w:rPr>
          <w:lang w:val="es-MX"/>
        </w:rPr>
        <w:t>Las graficas 1a y 1b muestran que la violencia se concentra en pocos municipios, y que la intensidad y la expansión de la violencia tiene un importante componente temporal. Esta variación temporal es esencial para nuestra estrategia de estimación, ya que usamos efectos fijos a nivel localidad.</w:t>
      </w:r>
    </w:p>
    <w:p w:rsidR="00CB46AD" w:rsidRDefault="00CB46AD" w:rsidP="00CB46AD">
      <w:pPr>
        <w:spacing w:after="0" w:line="360" w:lineRule="auto"/>
        <w:ind w:firstLine="357"/>
        <w:jc w:val="center"/>
        <w:rPr>
          <w:lang w:val="es-MX"/>
        </w:rPr>
      </w:pPr>
      <w:r>
        <w:rPr>
          <w:noProof/>
          <w:lang w:val="en-US" w:eastAsia="en-US"/>
        </w:rPr>
        <w:lastRenderedPageBreak/>
        <w:drawing>
          <wp:inline distT="0" distB="0" distL="0" distR="0">
            <wp:extent cx="4659828" cy="3269748"/>
            <wp:effectExtent l="19050" t="0" r="742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62214" cy="3271422"/>
                    </a:xfrm>
                    <a:prstGeom prst="rect">
                      <a:avLst/>
                    </a:prstGeom>
                    <a:noFill/>
                    <a:ln w="9525">
                      <a:noFill/>
                      <a:miter lim="800000"/>
                      <a:headEnd/>
                      <a:tailEnd/>
                    </a:ln>
                  </pic:spPr>
                </pic:pic>
              </a:graphicData>
            </a:graphic>
          </wp:inline>
        </w:drawing>
      </w:r>
    </w:p>
    <w:p w:rsidR="00CB46AD" w:rsidRPr="00CB46AD" w:rsidRDefault="00CB46AD" w:rsidP="00CB46AD">
      <w:pPr>
        <w:spacing w:after="0" w:line="240" w:lineRule="auto"/>
        <w:ind w:firstLine="357"/>
        <w:jc w:val="center"/>
        <w:rPr>
          <w:b/>
          <w:lang w:val="es-MX"/>
        </w:rPr>
      </w:pPr>
      <w:r w:rsidRPr="00CB46AD">
        <w:rPr>
          <w:b/>
          <w:lang w:val="es-MX"/>
        </w:rPr>
        <w:t>Grafica 1a: Numero de homicidios relacionados con el narcotráfico a nivel municipio 2007</w:t>
      </w:r>
    </w:p>
    <w:p w:rsidR="00CB46AD" w:rsidRDefault="00CB46AD" w:rsidP="00CB46AD">
      <w:pPr>
        <w:spacing w:after="0" w:line="240" w:lineRule="auto"/>
        <w:ind w:firstLine="357"/>
        <w:jc w:val="center"/>
        <w:rPr>
          <w:lang w:val="es-MX"/>
        </w:rPr>
      </w:pPr>
      <w:r>
        <w:rPr>
          <w:lang w:val="es-MX"/>
        </w:rPr>
        <w:t>Fuente: Calderon, Diaz-Cayeros, Magaloni, Robles, y Olarte (2012)</w:t>
      </w:r>
    </w:p>
    <w:p w:rsidR="00CB46AD" w:rsidRDefault="00CB46AD" w:rsidP="00CB46AD">
      <w:pPr>
        <w:spacing w:after="0" w:line="240" w:lineRule="auto"/>
        <w:ind w:firstLine="357"/>
        <w:jc w:val="center"/>
        <w:rPr>
          <w:lang w:val="es-MX"/>
        </w:rPr>
      </w:pPr>
    </w:p>
    <w:p w:rsidR="00CB46AD" w:rsidRDefault="00CB46AD" w:rsidP="00CB46AD">
      <w:pPr>
        <w:spacing w:after="0" w:line="360" w:lineRule="auto"/>
        <w:ind w:firstLine="357"/>
        <w:jc w:val="center"/>
        <w:rPr>
          <w:lang w:val="es-MX"/>
        </w:rPr>
      </w:pPr>
      <w:r>
        <w:rPr>
          <w:noProof/>
          <w:lang w:val="en-US" w:eastAsia="en-US"/>
        </w:rPr>
        <w:drawing>
          <wp:inline distT="0" distB="0" distL="0" distR="0">
            <wp:extent cx="4315443" cy="2853409"/>
            <wp:effectExtent l="19050" t="0" r="8907"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15029" cy="2853136"/>
                    </a:xfrm>
                    <a:prstGeom prst="rect">
                      <a:avLst/>
                    </a:prstGeom>
                    <a:noFill/>
                    <a:ln w="9525">
                      <a:noFill/>
                      <a:miter lim="800000"/>
                      <a:headEnd/>
                      <a:tailEnd/>
                    </a:ln>
                  </pic:spPr>
                </pic:pic>
              </a:graphicData>
            </a:graphic>
          </wp:inline>
        </w:drawing>
      </w:r>
    </w:p>
    <w:p w:rsidR="00CB46AD" w:rsidRPr="00CB46AD" w:rsidRDefault="00CB46AD" w:rsidP="00CB46AD">
      <w:pPr>
        <w:spacing w:after="0" w:line="240" w:lineRule="auto"/>
        <w:ind w:firstLine="357"/>
        <w:jc w:val="center"/>
        <w:rPr>
          <w:b/>
          <w:lang w:val="es-MX"/>
        </w:rPr>
      </w:pPr>
      <w:r w:rsidRPr="00CB46AD">
        <w:rPr>
          <w:b/>
          <w:lang w:val="es-MX"/>
        </w:rPr>
        <w:t>Grafica 1a: Numero de homicidios relacionados con el narcotráfico a nivel municipio 2007</w:t>
      </w:r>
      <w:r>
        <w:rPr>
          <w:b/>
          <w:lang w:val="es-MX"/>
        </w:rPr>
        <w:t>-2010</w:t>
      </w:r>
    </w:p>
    <w:p w:rsidR="00CB46AD" w:rsidRDefault="00CB46AD" w:rsidP="00CB46AD">
      <w:pPr>
        <w:spacing w:after="0" w:line="240" w:lineRule="auto"/>
        <w:ind w:firstLine="357"/>
        <w:jc w:val="center"/>
        <w:rPr>
          <w:lang w:val="es-MX"/>
        </w:rPr>
      </w:pPr>
      <w:r>
        <w:rPr>
          <w:lang w:val="es-MX"/>
        </w:rPr>
        <w:t>Fuente: Calderon, Diaz-Cayeros, Magaloni, Robles, y Olarte (2012)</w:t>
      </w:r>
    </w:p>
    <w:p w:rsidR="00CB46AD" w:rsidRDefault="00CB46AD" w:rsidP="00F348B7">
      <w:pPr>
        <w:spacing w:after="0" w:line="360" w:lineRule="auto"/>
        <w:ind w:firstLine="357"/>
        <w:jc w:val="both"/>
        <w:rPr>
          <w:lang w:val="es-MX"/>
        </w:rPr>
      </w:pPr>
    </w:p>
    <w:p w:rsidR="00CB46AD" w:rsidRPr="005249A5" w:rsidRDefault="00CB46AD" w:rsidP="00F348B7">
      <w:pPr>
        <w:spacing w:after="0" w:line="360" w:lineRule="auto"/>
        <w:ind w:firstLine="357"/>
        <w:jc w:val="both"/>
        <w:rPr>
          <w:lang w:val="es-MX"/>
        </w:rPr>
      </w:pPr>
    </w:p>
    <w:p w:rsidR="005249A5" w:rsidRPr="005249A5" w:rsidRDefault="005249A5" w:rsidP="00F348B7">
      <w:pPr>
        <w:spacing w:after="0" w:line="360" w:lineRule="auto"/>
        <w:ind w:firstLine="357"/>
        <w:jc w:val="both"/>
        <w:rPr>
          <w:lang w:val="es-MX"/>
        </w:rPr>
      </w:pPr>
      <w:r w:rsidRPr="005249A5">
        <w:rPr>
          <w:lang w:val="es-MX"/>
        </w:rPr>
        <w:t>No obstante, también existe una tendencia hacia la dispersión en</w:t>
      </w:r>
      <w:r w:rsidR="00767E97">
        <w:rPr>
          <w:lang w:val="es-MX"/>
        </w:rPr>
        <w:t xml:space="preserve"> la violencia. E</w:t>
      </w:r>
      <w:r w:rsidRPr="005249A5">
        <w:rPr>
          <w:lang w:val="es-MX"/>
        </w:rPr>
        <w:t xml:space="preserve">videncia de ello es que en 2010 los tres Estados más violentos acumulaban el 50 % (en contraste con el 41 </w:t>
      </w:r>
      <w:r w:rsidR="00767E97">
        <w:rPr>
          <w:lang w:val="es-MX"/>
        </w:rPr>
        <w:t>porciento</w:t>
      </w:r>
      <w:r w:rsidRPr="005249A5">
        <w:rPr>
          <w:lang w:val="es-MX"/>
        </w:rPr>
        <w:t xml:space="preserve"> en el 2011)</w:t>
      </w:r>
      <w:r w:rsidRPr="00767E97">
        <w:rPr>
          <w:vertAlign w:val="superscript"/>
          <w:lang w:val="es-MX"/>
        </w:rPr>
        <w:footnoteReference w:id="8"/>
      </w:r>
      <w:r w:rsidRPr="005249A5">
        <w:rPr>
          <w:lang w:val="es-MX"/>
        </w:rPr>
        <w:t>.</w:t>
      </w:r>
    </w:p>
    <w:p w:rsidR="005249A5" w:rsidRPr="005249A5" w:rsidRDefault="005249A5" w:rsidP="005249A5">
      <w:pPr>
        <w:spacing w:after="0"/>
        <w:ind w:firstLine="360"/>
        <w:jc w:val="both"/>
        <w:rPr>
          <w:lang w:val="es-MX"/>
        </w:rPr>
      </w:pPr>
      <w:r w:rsidRPr="005249A5">
        <w:rPr>
          <w:noProof/>
          <w:lang w:val="en-US" w:eastAsia="en-US"/>
        </w:rPr>
        <w:lastRenderedPageBreak/>
        <w:drawing>
          <wp:inline distT="0" distB="0" distL="0" distR="0">
            <wp:extent cx="5263116" cy="357254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73987" cy="3579919"/>
                    </a:xfrm>
                    <a:prstGeom prst="rect">
                      <a:avLst/>
                    </a:prstGeom>
                    <a:noFill/>
                    <a:ln w="9525">
                      <a:noFill/>
                      <a:miter lim="800000"/>
                      <a:headEnd/>
                      <a:tailEnd/>
                    </a:ln>
                  </pic:spPr>
                </pic:pic>
              </a:graphicData>
            </a:graphic>
          </wp:inline>
        </w:drawing>
      </w:r>
    </w:p>
    <w:p w:rsidR="005249A5" w:rsidRDefault="0007697A" w:rsidP="00F348B7">
      <w:pPr>
        <w:spacing w:after="0" w:line="240" w:lineRule="auto"/>
        <w:jc w:val="both"/>
        <w:rPr>
          <w:sz w:val="18"/>
          <w:szCs w:val="18"/>
          <w:lang w:val="es-MX"/>
        </w:rPr>
      </w:pPr>
      <w:r>
        <w:rPr>
          <w:sz w:val="18"/>
          <w:szCs w:val="18"/>
          <w:lang w:val="es-MX"/>
        </w:rPr>
        <w:t>Gr</w:t>
      </w:r>
      <w:r w:rsidR="00750648">
        <w:rPr>
          <w:sz w:val="18"/>
          <w:szCs w:val="18"/>
          <w:lang w:val="es-MX"/>
        </w:rPr>
        <w:t>áfico</w:t>
      </w:r>
      <w:r>
        <w:rPr>
          <w:sz w:val="18"/>
          <w:szCs w:val="18"/>
          <w:lang w:val="es-MX"/>
        </w:rPr>
        <w:t xml:space="preserve"> 2</w:t>
      </w:r>
      <w:r w:rsidR="005249A5" w:rsidRPr="00767E97">
        <w:rPr>
          <w:sz w:val="18"/>
          <w:szCs w:val="18"/>
          <w:lang w:val="es-MX"/>
        </w:rPr>
        <w:t>. Municipios con más de 1 fallecimiento relacionado al crimen organizado durante el año. Fuente: elaboración propia con información de la base: “Fallecimientos por presunta rivalidad delincuencial</w:t>
      </w:r>
      <w:r w:rsidR="003869E1">
        <w:rPr>
          <w:sz w:val="18"/>
          <w:szCs w:val="18"/>
          <w:lang w:val="es-MX"/>
        </w:rPr>
        <w:t>”</w:t>
      </w:r>
      <w:r>
        <w:rPr>
          <w:sz w:val="18"/>
          <w:szCs w:val="18"/>
          <w:lang w:val="es-MX"/>
        </w:rPr>
        <w:t>,</w:t>
      </w:r>
      <w:r w:rsidR="003869E1">
        <w:rPr>
          <w:sz w:val="18"/>
          <w:szCs w:val="18"/>
          <w:lang w:val="es-MX"/>
        </w:rPr>
        <w:t xml:space="preserve"> Presidencia de la República.</w:t>
      </w:r>
    </w:p>
    <w:p w:rsidR="00767E97" w:rsidRPr="00767E97" w:rsidRDefault="00767E97" w:rsidP="00767E97">
      <w:pPr>
        <w:spacing w:after="0"/>
        <w:jc w:val="both"/>
        <w:rPr>
          <w:sz w:val="18"/>
          <w:szCs w:val="18"/>
          <w:lang w:val="es-MX"/>
        </w:rPr>
      </w:pPr>
    </w:p>
    <w:p w:rsidR="005249A5" w:rsidRPr="005249A5" w:rsidRDefault="005249A5" w:rsidP="00F348B7">
      <w:pPr>
        <w:spacing w:after="0" w:line="360" w:lineRule="auto"/>
        <w:ind w:firstLine="357"/>
        <w:jc w:val="both"/>
        <w:rPr>
          <w:lang w:val="es-MX"/>
        </w:rPr>
      </w:pPr>
      <w:r w:rsidRPr="005249A5">
        <w:rPr>
          <w:lang w:val="es-MX"/>
        </w:rPr>
        <w:t>En la Tabla  1, se puede observar una tendencia creciente del número de municipio</w:t>
      </w:r>
      <w:r w:rsidR="00767E97">
        <w:rPr>
          <w:lang w:val="es-MX"/>
        </w:rPr>
        <w:t>s</w:t>
      </w:r>
      <w:r w:rsidRPr="005249A5">
        <w:rPr>
          <w:lang w:val="es-MX"/>
        </w:rPr>
        <w:t xml:space="preserve"> donde al menos ocurrió un homicidio en  los primeros 9 meses de cada año</w:t>
      </w:r>
      <w:r w:rsidRPr="00767E97">
        <w:rPr>
          <w:vertAlign w:val="superscript"/>
          <w:lang w:val="es-MX"/>
        </w:rPr>
        <w:footnoteReference w:id="9"/>
      </w:r>
      <w:r w:rsidRPr="005249A5">
        <w:rPr>
          <w:lang w:val="es-MX"/>
        </w:rPr>
        <w:t xml:space="preserve">. </w:t>
      </w:r>
    </w:p>
    <w:p w:rsidR="005249A5" w:rsidRPr="005249A5" w:rsidRDefault="005249A5" w:rsidP="00F348B7">
      <w:pPr>
        <w:spacing w:after="0" w:line="360" w:lineRule="auto"/>
        <w:ind w:firstLine="357"/>
        <w:jc w:val="both"/>
        <w:rPr>
          <w:lang w:val="es-MX"/>
        </w:rPr>
      </w:pPr>
      <w:r w:rsidRPr="005249A5">
        <w:rPr>
          <w:lang w:val="es-MX"/>
        </w:rPr>
        <w:t xml:space="preserve">Otro síntoma de la dispersión es la diminución moderada de la violencia en los lugares más violentos y el aumento en lugares menos violentos. Entre 2009 y 2012, hubo una disminución promedio del </w:t>
      </w:r>
      <w:r w:rsidR="00767E97">
        <w:rPr>
          <w:lang w:val="es-MX"/>
        </w:rPr>
        <w:t>12.2 porciento</w:t>
      </w:r>
      <w:r w:rsidRPr="005249A5">
        <w:rPr>
          <w:lang w:val="es-MX"/>
        </w:rPr>
        <w:t xml:space="preserve"> en los homicidios de los 5 municipios más violentos en 2009 (Ciudad Juárez, Culiacán, Tijuana y Gómez Palacio), y un aumento promedio del 3276.5</w:t>
      </w:r>
      <w:r w:rsidR="00767E97">
        <w:rPr>
          <w:lang w:val="es-MX"/>
        </w:rPr>
        <w:t xml:space="preserve"> porciento</w:t>
      </w:r>
      <w:r w:rsidRPr="005249A5">
        <w:rPr>
          <w:lang w:val="es-MX"/>
        </w:rPr>
        <w:t xml:space="preserve"> en los 14 municipios siguientes</w:t>
      </w:r>
      <w:sdt>
        <w:sdtPr>
          <w:rPr>
            <w:lang w:val="es-MX"/>
          </w:rPr>
          <w:id w:val="46662309"/>
          <w:citation/>
        </w:sdtPr>
        <w:sdtEndPr/>
        <w:sdtContent>
          <w:r w:rsidR="006155C2" w:rsidRPr="005249A5">
            <w:rPr>
              <w:lang w:val="es-MX"/>
            </w:rPr>
            <w:fldChar w:fldCharType="begin"/>
          </w:r>
          <w:r w:rsidRPr="005249A5">
            <w:rPr>
              <w:lang w:val="es-MX"/>
            </w:rPr>
            <w:instrText xml:space="preserve"> CITATION Gue11 \l 2058 </w:instrText>
          </w:r>
          <w:r w:rsidR="006155C2" w:rsidRPr="005249A5">
            <w:rPr>
              <w:lang w:val="es-MX"/>
            </w:rPr>
            <w:fldChar w:fldCharType="separate"/>
          </w:r>
          <w:r w:rsidRPr="005249A5">
            <w:rPr>
              <w:lang w:val="es-MX"/>
            </w:rPr>
            <w:t xml:space="preserve"> (Guerrero-Gutiérrez, 2011)</w:t>
          </w:r>
          <w:r w:rsidR="006155C2" w:rsidRPr="005249A5">
            <w:rPr>
              <w:lang w:val="es-MX"/>
            </w:rPr>
            <w:fldChar w:fldCharType="end"/>
          </w:r>
        </w:sdtContent>
      </w:sdt>
      <w:r w:rsidRPr="005249A5">
        <w:rPr>
          <w:lang w:val="es-MX"/>
        </w:rPr>
        <w:t>.</w:t>
      </w:r>
    </w:p>
    <w:p w:rsidR="005249A5" w:rsidRPr="005249A5" w:rsidRDefault="005249A5" w:rsidP="00F348B7">
      <w:pPr>
        <w:spacing w:after="0" w:line="360" w:lineRule="auto"/>
        <w:ind w:firstLine="357"/>
        <w:jc w:val="both"/>
        <w:rPr>
          <w:lang w:val="es-MX"/>
        </w:rPr>
      </w:pPr>
      <w:r w:rsidRPr="005249A5">
        <w:rPr>
          <w:lang w:val="es-MX"/>
        </w:rPr>
        <w:t xml:space="preserve"> La violencia suele ser</w:t>
      </w:r>
      <w:r w:rsidR="00767E97">
        <w:rPr>
          <w:lang w:val="es-MX"/>
        </w:rPr>
        <w:t xml:space="preserve"> de aparición espontá</w:t>
      </w:r>
      <w:r w:rsidRPr="005249A5">
        <w:rPr>
          <w:lang w:val="es-MX"/>
        </w:rPr>
        <w:t xml:space="preserve">nea </w:t>
      </w:r>
      <w:r w:rsidR="00767E97">
        <w:rPr>
          <w:lang w:val="es-MX"/>
        </w:rPr>
        <w:t>y seguir una tendencia de brote epidemiológico</w:t>
      </w:r>
      <w:r w:rsidRPr="005249A5">
        <w:rPr>
          <w:lang w:val="es-MX"/>
        </w:rPr>
        <w:t>. Después de que el</w:t>
      </w:r>
      <w:r w:rsidR="00767E97">
        <w:rPr>
          <w:lang w:val="es-MX"/>
        </w:rPr>
        <w:t xml:space="preserve"> brote de homicidios supera un umbral estadístico</w:t>
      </w:r>
      <w:r w:rsidRPr="005249A5">
        <w:rPr>
          <w:lang w:val="es-MX"/>
        </w:rPr>
        <w:t xml:space="preserve">, el promedio mensual de homicidios se mantiene en un nivel superior al promedio anterior </w:t>
      </w:r>
      <w:sdt>
        <w:sdtPr>
          <w:rPr>
            <w:lang w:val="es-MX"/>
          </w:rPr>
          <w:id w:val="46662306"/>
          <w:citation/>
        </w:sdtPr>
        <w:sdtEndPr/>
        <w:sdtContent>
          <w:r w:rsidR="006155C2" w:rsidRPr="005249A5">
            <w:rPr>
              <w:lang w:val="es-MX"/>
            </w:rPr>
            <w:fldChar w:fldCharType="begin"/>
          </w:r>
          <w:r w:rsidRPr="005249A5">
            <w:rPr>
              <w:lang w:val="es-MX"/>
            </w:rPr>
            <w:instrText xml:space="preserve"> CITATION Gue11 \l 2058 </w:instrText>
          </w:r>
          <w:r w:rsidR="006155C2" w:rsidRPr="005249A5">
            <w:rPr>
              <w:lang w:val="es-MX"/>
            </w:rPr>
            <w:fldChar w:fldCharType="separate"/>
          </w:r>
          <w:r w:rsidRPr="005249A5">
            <w:rPr>
              <w:lang w:val="es-MX"/>
            </w:rPr>
            <w:t>(Guerrero-Gutiérrez, 2011)</w:t>
          </w:r>
          <w:r w:rsidR="006155C2" w:rsidRPr="005249A5">
            <w:rPr>
              <w:lang w:val="es-MX"/>
            </w:rPr>
            <w:fldChar w:fldCharType="end"/>
          </w:r>
        </w:sdtContent>
      </w:sdt>
      <w:r w:rsidR="00767E97">
        <w:rPr>
          <w:lang w:val="es-MX"/>
        </w:rPr>
        <w:t>. Estos brotes suelen</w:t>
      </w:r>
      <w:r w:rsidRPr="005249A5">
        <w:rPr>
          <w:lang w:val="es-MX"/>
        </w:rPr>
        <w:t xml:space="preserve"> ser ocasionado</w:t>
      </w:r>
      <w:r w:rsidR="00767E97">
        <w:rPr>
          <w:lang w:val="es-MX"/>
        </w:rPr>
        <w:t>s</w:t>
      </w:r>
      <w:r w:rsidRPr="005249A5">
        <w:rPr>
          <w:lang w:val="es-MX"/>
        </w:rPr>
        <w:t xml:space="preserve"> por confrontaciones entre dos carteles o </w:t>
      </w:r>
      <w:r w:rsidR="00767E97">
        <w:rPr>
          <w:lang w:val="es-MX"/>
        </w:rPr>
        <w:t>entre distintas facciones del mismo</w:t>
      </w:r>
      <w:r w:rsidRPr="005249A5">
        <w:rPr>
          <w:lang w:val="es-MX"/>
        </w:rPr>
        <w:t>.</w:t>
      </w:r>
    </w:p>
    <w:p w:rsidR="00CB46AD" w:rsidRDefault="00CB46AD" w:rsidP="004E1679">
      <w:pPr>
        <w:spacing w:after="0"/>
        <w:ind w:firstLine="360"/>
        <w:rPr>
          <w:noProof/>
          <w:lang w:val="es-MX" w:eastAsia="es-MX"/>
        </w:rPr>
      </w:pPr>
    </w:p>
    <w:p w:rsidR="005249A5" w:rsidRPr="005249A5" w:rsidRDefault="005249A5" w:rsidP="004E1679">
      <w:pPr>
        <w:spacing w:after="0"/>
        <w:ind w:firstLine="360"/>
        <w:rPr>
          <w:lang w:val="es-MX"/>
        </w:rPr>
      </w:pPr>
      <w:r w:rsidRPr="005249A5">
        <w:rPr>
          <w:noProof/>
          <w:lang w:val="en-US" w:eastAsia="en-US"/>
        </w:rPr>
        <w:lastRenderedPageBreak/>
        <w:drawing>
          <wp:inline distT="0" distB="0" distL="0" distR="0">
            <wp:extent cx="5191125" cy="3933667"/>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191366" cy="3933850"/>
                    </a:xfrm>
                    <a:prstGeom prst="rect">
                      <a:avLst/>
                    </a:prstGeom>
                    <a:noFill/>
                    <a:ln w="9525">
                      <a:noFill/>
                      <a:miter lim="800000"/>
                      <a:headEnd/>
                      <a:tailEnd/>
                    </a:ln>
                  </pic:spPr>
                </pic:pic>
              </a:graphicData>
            </a:graphic>
          </wp:inline>
        </w:drawing>
      </w:r>
    </w:p>
    <w:p w:rsidR="005249A5" w:rsidRDefault="00750648" w:rsidP="00F348B7">
      <w:pPr>
        <w:spacing w:after="0" w:line="240" w:lineRule="auto"/>
        <w:jc w:val="both"/>
        <w:rPr>
          <w:sz w:val="18"/>
          <w:szCs w:val="18"/>
          <w:lang w:val="es-MX"/>
        </w:rPr>
      </w:pPr>
      <w:r>
        <w:rPr>
          <w:sz w:val="18"/>
          <w:szCs w:val="18"/>
          <w:lang w:val="es-MX"/>
        </w:rPr>
        <w:t>Gráfico</w:t>
      </w:r>
      <w:r w:rsidR="00455B1B">
        <w:rPr>
          <w:sz w:val="18"/>
          <w:szCs w:val="18"/>
          <w:lang w:val="es-MX"/>
        </w:rPr>
        <w:t xml:space="preserve"> 3</w:t>
      </w:r>
      <w:r w:rsidR="005249A5" w:rsidRPr="0070694A">
        <w:rPr>
          <w:sz w:val="18"/>
          <w:szCs w:val="18"/>
          <w:lang w:val="es-MX"/>
        </w:rPr>
        <w:t>. Fallecimientos relacionados al crimen organizado en la ZMM</w:t>
      </w:r>
      <w:r w:rsidR="005249A5" w:rsidRPr="0070694A">
        <w:rPr>
          <w:sz w:val="18"/>
          <w:szCs w:val="18"/>
          <w:lang w:val="es-MX"/>
        </w:rPr>
        <w:footnoteReference w:id="10"/>
      </w:r>
      <w:r w:rsidR="005249A5" w:rsidRPr="0070694A">
        <w:rPr>
          <w:sz w:val="18"/>
          <w:szCs w:val="18"/>
          <w:lang w:val="es-MX"/>
        </w:rPr>
        <w:t>.</w:t>
      </w:r>
      <w:r w:rsidR="00455B1B">
        <w:rPr>
          <w:sz w:val="18"/>
          <w:szCs w:val="18"/>
          <w:lang w:val="es-MX"/>
        </w:rPr>
        <w:t xml:space="preserve"> </w:t>
      </w:r>
      <w:r w:rsidR="005249A5" w:rsidRPr="0070694A">
        <w:rPr>
          <w:sz w:val="18"/>
          <w:szCs w:val="18"/>
          <w:lang w:val="es-MX"/>
        </w:rPr>
        <w:t>Fuente: elaboración propia con información de la base: “Fallecimientos por pr</w:t>
      </w:r>
      <w:r w:rsidR="00455B1B">
        <w:rPr>
          <w:sz w:val="18"/>
          <w:szCs w:val="18"/>
          <w:lang w:val="es-MX"/>
        </w:rPr>
        <w:t>esunta rivalidad delincuencial”, Presidencia de la República.</w:t>
      </w:r>
    </w:p>
    <w:p w:rsidR="0070694A" w:rsidRDefault="0070694A" w:rsidP="005249A5">
      <w:pPr>
        <w:spacing w:after="0"/>
        <w:ind w:firstLine="360"/>
        <w:jc w:val="both"/>
        <w:rPr>
          <w:sz w:val="18"/>
          <w:szCs w:val="18"/>
          <w:lang w:val="es-MX"/>
        </w:rPr>
      </w:pPr>
    </w:p>
    <w:p w:rsidR="00CB46AD" w:rsidRPr="0070694A" w:rsidRDefault="00CB46AD" w:rsidP="005249A5">
      <w:pPr>
        <w:spacing w:after="0"/>
        <w:ind w:firstLine="360"/>
        <w:jc w:val="both"/>
        <w:rPr>
          <w:sz w:val="18"/>
          <w:szCs w:val="18"/>
          <w:lang w:val="es-MX"/>
        </w:rPr>
      </w:pPr>
    </w:p>
    <w:p w:rsidR="005249A5" w:rsidRPr="005249A5" w:rsidRDefault="005249A5" w:rsidP="00F348B7">
      <w:pPr>
        <w:spacing w:after="0" w:line="360" w:lineRule="auto"/>
        <w:ind w:firstLine="360"/>
        <w:jc w:val="both"/>
        <w:rPr>
          <w:lang w:val="es-MX"/>
        </w:rPr>
      </w:pPr>
      <w:r w:rsidRPr="005249A5">
        <w:rPr>
          <w:lang w:val="es-MX"/>
        </w:rPr>
        <w:t>Estados Unidos de América es el mercado final de casi toda la producción y trasieg</w:t>
      </w:r>
      <w:r w:rsidR="00ED427C">
        <w:rPr>
          <w:lang w:val="es-MX"/>
        </w:rPr>
        <w:t>o de estupefacientes en México. D</w:t>
      </w:r>
      <w:r w:rsidRPr="005249A5">
        <w:rPr>
          <w:lang w:val="es-MX"/>
        </w:rPr>
        <w:t>e acuerdo con la Secretaría de Seguridad Pública (SSP), el valor de su mercado es de 16,203.9 millones de dólares</w:t>
      </w:r>
      <w:r w:rsidRPr="00ED427C">
        <w:rPr>
          <w:vertAlign w:val="superscript"/>
          <w:lang w:val="es-MX"/>
        </w:rPr>
        <w:footnoteReference w:id="11"/>
      </w:r>
      <w:r w:rsidRPr="00ED427C">
        <w:rPr>
          <w:vertAlign w:val="superscript"/>
          <w:lang w:val="es-MX"/>
        </w:rPr>
        <w:t xml:space="preserve"> </w:t>
      </w:r>
      <w:r w:rsidRPr="005249A5">
        <w:rPr>
          <w:lang w:val="es-MX"/>
        </w:rPr>
        <w:t>(aunque no hay consenso al respecto</w:t>
      </w:r>
      <w:r w:rsidRPr="00ED427C">
        <w:rPr>
          <w:vertAlign w:val="superscript"/>
          <w:lang w:val="es-MX"/>
        </w:rPr>
        <w:footnoteReference w:id="12"/>
      </w:r>
      <w:r w:rsidRPr="005249A5">
        <w:rPr>
          <w:lang w:val="es-MX"/>
        </w:rPr>
        <w:t>). Por su parte, el merca</w:t>
      </w:r>
      <w:r w:rsidR="00ED427C">
        <w:rPr>
          <w:lang w:val="es-MX"/>
        </w:rPr>
        <w:t>do mexicano es de sólo el 3.45 porciento</w:t>
      </w:r>
      <w:r w:rsidRPr="005249A5">
        <w:rPr>
          <w:lang w:val="es-MX"/>
        </w:rPr>
        <w:t xml:space="preserve"> </w:t>
      </w:r>
      <w:r w:rsidR="00ED427C">
        <w:rPr>
          <w:lang w:val="es-MX"/>
        </w:rPr>
        <w:t>d</w:t>
      </w:r>
      <w:r w:rsidRPr="005249A5">
        <w:rPr>
          <w:lang w:val="es-MX"/>
        </w:rPr>
        <w:t>el tamaño del mercado estadounidense.</w:t>
      </w:r>
      <w:r w:rsidRPr="00ED427C">
        <w:rPr>
          <w:vertAlign w:val="superscript"/>
          <w:lang w:val="es-MX"/>
        </w:rPr>
        <w:footnoteReference w:id="13"/>
      </w:r>
      <w:r w:rsidR="00ED427C">
        <w:rPr>
          <w:lang w:val="es-MX"/>
        </w:rPr>
        <w:t xml:space="preserve"> Las ganancias de los carteles</w:t>
      </w:r>
      <w:r w:rsidRPr="005249A5">
        <w:rPr>
          <w:lang w:val="es-MX"/>
        </w:rPr>
        <w:t xml:space="preserve"> se calculan entre los  2,660  y los 7,980 millones de dólares, siendo la Cocaína y la Mariguana (en primer y segundo lugar respectivamente) las drogas que generan mayores ganancias </w:t>
      </w:r>
      <w:sdt>
        <w:sdtPr>
          <w:rPr>
            <w:lang w:val="es-MX"/>
          </w:rPr>
          <w:id w:val="46662266"/>
          <w:citation/>
        </w:sdtPr>
        <w:sdtEndPr/>
        <w:sdtContent>
          <w:r w:rsidR="006155C2" w:rsidRPr="005249A5">
            <w:rPr>
              <w:lang w:val="es-MX"/>
            </w:rPr>
            <w:fldChar w:fldCharType="begin"/>
          </w:r>
          <w:r w:rsidRPr="005249A5">
            <w:rPr>
              <w:lang w:val="es-MX"/>
            </w:rPr>
            <w:instrText xml:space="preserve"> CITATION Gue11 \l 2058 </w:instrText>
          </w:r>
          <w:r w:rsidR="006155C2" w:rsidRPr="005249A5">
            <w:rPr>
              <w:lang w:val="es-MX"/>
            </w:rPr>
            <w:fldChar w:fldCharType="separate"/>
          </w:r>
          <w:r w:rsidRPr="005249A5">
            <w:rPr>
              <w:lang w:val="es-MX"/>
            </w:rPr>
            <w:t>(Guerrero-Gutiérrez, 2011)</w:t>
          </w:r>
          <w:r w:rsidR="006155C2" w:rsidRPr="005249A5">
            <w:rPr>
              <w:lang w:val="es-MX"/>
            </w:rPr>
            <w:fldChar w:fldCharType="end"/>
          </w:r>
        </w:sdtContent>
      </w:sdt>
      <w:r w:rsidRPr="005249A5">
        <w:rPr>
          <w:lang w:val="es-MX"/>
        </w:rPr>
        <w:t>.</w:t>
      </w:r>
    </w:p>
    <w:p w:rsidR="005249A5" w:rsidRPr="005249A5" w:rsidRDefault="005249A5" w:rsidP="00F348B7">
      <w:pPr>
        <w:spacing w:after="0" w:line="360" w:lineRule="auto"/>
        <w:ind w:firstLine="360"/>
        <w:jc w:val="both"/>
        <w:rPr>
          <w:lang w:val="es-MX"/>
        </w:rPr>
      </w:pPr>
      <w:r w:rsidRPr="005249A5">
        <w:rPr>
          <w:lang w:val="es-MX"/>
        </w:rPr>
        <w:t>En el sexenio (2006-2012), el Pre</w:t>
      </w:r>
      <w:r w:rsidR="006D3867">
        <w:rPr>
          <w:lang w:val="es-MX"/>
        </w:rPr>
        <w:t>sidente Felipe Calderón propició</w:t>
      </w:r>
      <w:r w:rsidRPr="005249A5">
        <w:rPr>
          <w:lang w:val="es-MX"/>
        </w:rPr>
        <w:t xml:space="preserve"> una estrategia de combate frontal contra el crimen organizado. El debilitamiento de los grupos criminales ha sido uno de los ejes centrales de su estr</w:t>
      </w:r>
      <w:r w:rsidR="006D3867">
        <w:rPr>
          <w:lang w:val="es-MX"/>
        </w:rPr>
        <w:t>ategia. Dicho propósito se llevó</w:t>
      </w:r>
      <w:r w:rsidRPr="005249A5">
        <w:rPr>
          <w:lang w:val="es-MX"/>
        </w:rPr>
        <w:t xml:space="preserve"> acabo, en un principio, con la eliminación de los líderes de las organizaciones criminales de manera uni</w:t>
      </w:r>
      <w:r w:rsidR="006D3867">
        <w:rPr>
          <w:lang w:val="es-MX"/>
        </w:rPr>
        <w:t>forme entre todos los carteles</w:t>
      </w:r>
      <w:r w:rsidR="00BD019E">
        <w:rPr>
          <w:lang w:val="es-MX"/>
        </w:rPr>
        <w:t>. Si bien esta maniobra logró</w:t>
      </w:r>
      <w:r w:rsidRPr="005249A5">
        <w:rPr>
          <w:lang w:val="es-MX"/>
        </w:rPr>
        <w:t xml:space="preserve"> debilitar y fragmentar</w:t>
      </w:r>
      <w:r w:rsidR="00BD019E">
        <w:rPr>
          <w:lang w:val="es-MX"/>
        </w:rPr>
        <w:t xml:space="preserve"> varias estructuras criminales, también aumentó</w:t>
      </w:r>
      <w:r w:rsidRPr="005249A5">
        <w:rPr>
          <w:lang w:val="es-MX"/>
        </w:rPr>
        <w:t xml:space="preserve"> la </w:t>
      </w:r>
      <w:r w:rsidRPr="005249A5">
        <w:rPr>
          <w:lang w:val="es-MX"/>
        </w:rPr>
        <w:lastRenderedPageBreak/>
        <w:t xml:space="preserve">violencia ya que actuó como un subsidio  (disminución de las barreras de entrada) para las organizaciones rivales </w:t>
      </w:r>
      <w:sdt>
        <w:sdtPr>
          <w:rPr>
            <w:lang w:val="es-MX"/>
          </w:rPr>
          <w:id w:val="46662277"/>
          <w:citation/>
        </w:sdtPr>
        <w:sdtEndPr/>
        <w:sdtContent>
          <w:r w:rsidR="006155C2" w:rsidRPr="005249A5">
            <w:rPr>
              <w:lang w:val="es-MX"/>
            </w:rPr>
            <w:fldChar w:fldCharType="begin"/>
          </w:r>
          <w:r w:rsidRPr="005249A5">
            <w:rPr>
              <w:lang w:val="es-MX"/>
            </w:rPr>
            <w:instrText xml:space="preserve"> CITATION Gue09 \l 2058 </w:instrText>
          </w:r>
          <w:r w:rsidR="006155C2" w:rsidRPr="005249A5">
            <w:rPr>
              <w:lang w:val="es-MX"/>
            </w:rPr>
            <w:fldChar w:fldCharType="separate"/>
          </w:r>
          <w:r w:rsidRPr="005249A5">
            <w:rPr>
              <w:lang w:val="es-MX"/>
            </w:rPr>
            <w:t>(Guerrero, 2009)</w:t>
          </w:r>
          <w:r w:rsidR="006155C2" w:rsidRPr="005249A5">
            <w:rPr>
              <w:lang w:val="es-MX"/>
            </w:rPr>
            <w:fldChar w:fldCharType="end"/>
          </w:r>
        </w:sdtContent>
      </w:sdt>
      <w:r w:rsidRPr="005249A5">
        <w:rPr>
          <w:lang w:val="es-MX"/>
        </w:rPr>
        <w:t>. El proceso de reorganización después de un cambio en el status quo suele ser violento ya que hay confrontaciones entre grupos rivales</w:t>
      </w:r>
      <w:r w:rsidRPr="00BD019E">
        <w:rPr>
          <w:vertAlign w:val="superscript"/>
          <w:lang w:val="es-MX"/>
        </w:rPr>
        <w:footnoteReference w:id="14"/>
      </w:r>
      <w:r w:rsidRPr="005249A5">
        <w:rPr>
          <w:lang w:val="es-MX"/>
        </w:rPr>
        <w:t xml:space="preserve"> para posicionarse en el lugar del cartel debilitado. En particular, existe evidencia sobre el aumento de la probabilidad de que ocu</w:t>
      </w:r>
      <w:r w:rsidR="00BD019E">
        <w:rPr>
          <w:lang w:val="es-MX"/>
        </w:rPr>
        <w:t>rra algún homicidio relacionado</w:t>
      </w:r>
      <w:r w:rsidRPr="005249A5">
        <w:rPr>
          <w:lang w:val="es-MX"/>
        </w:rPr>
        <w:t xml:space="preserve"> al crimen organizado en los municipios </w:t>
      </w:r>
      <w:r w:rsidR="00BD019E">
        <w:rPr>
          <w:lang w:val="es-MX"/>
        </w:rPr>
        <w:t>en que ganó</w:t>
      </w:r>
      <w:r w:rsidRPr="005249A5">
        <w:rPr>
          <w:lang w:val="es-MX"/>
        </w:rPr>
        <w:t xml:space="preserve"> un presidente municip</w:t>
      </w:r>
      <w:r w:rsidR="00BD019E">
        <w:rPr>
          <w:lang w:val="es-MX"/>
        </w:rPr>
        <w:t>al del Partido Acción Nacional</w:t>
      </w:r>
      <w:r w:rsidRPr="005249A5">
        <w:rPr>
          <w:lang w:val="es-MX"/>
        </w:rPr>
        <w:t xml:space="preserve"> (PAN)</w:t>
      </w:r>
      <w:r w:rsidRPr="00BD019E">
        <w:rPr>
          <w:vertAlign w:val="superscript"/>
          <w:lang w:val="es-MX"/>
        </w:rPr>
        <w:footnoteReference w:id="15"/>
      </w:r>
      <w:r w:rsidRPr="005249A5">
        <w:rPr>
          <w:lang w:val="es-MX"/>
        </w:rPr>
        <w:t>. Se considera que los alcaldes del PAN trabajan en mayor coordinación con el Gobierno Federal y, por</w:t>
      </w:r>
      <w:r w:rsidR="00BD019E">
        <w:rPr>
          <w:lang w:val="es-MX"/>
        </w:rPr>
        <w:t xml:space="preserve"> lo tanto, vuelven más efectiva</w:t>
      </w:r>
      <w:r w:rsidRPr="005249A5">
        <w:rPr>
          <w:lang w:val="es-MX"/>
        </w:rPr>
        <w:t xml:space="preserve"> la política federal de seguridad  </w:t>
      </w:r>
      <w:sdt>
        <w:sdtPr>
          <w:rPr>
            <w:lang w:val="es-MX"/>
          </w:rPr>
          <w:id w:val="46662278"/>
          <w:citation/>
        </w:sdtPr>
        <w:sdtEndPr/>
        <w:sdtContent>
          <w:r w:rsidR="006155C2" w:rsidRPr="005249A5">
            <w:rPr>
              <w:lang w:val="es-MX"/>
            </w:rPr>
            <w:fldChar w:fldCharType="begin"/>
          </w:r>
          <w:r w:rsidRPr="005249A5">
            <w:rPr>
              <w:lang w:val="es-MX"/>
            </w:rPr>
            <w:instrText xml:space="preserve"> CITATION Del11 \l 2058 </w:instrText>
          </w:r>
          <w:r w:rsidR="006155C2" w:rsidRPr="005249A5">
            <w:rPr>
              <w:lang w:val="es-MX"/>
            </w:rPr>
            <w:fldChar w:fldCharType="separate"/>
          </w:r>
          <w:r w:rsidRPr="005249A5">
            <w:rPr>
              <w:lang w:val="es-MX"/>
            </w:rPr>
            <w:t>(Dell, 2011)</w:t>
          </w:r>
          <w:r w:rsidR="006155C2" w:rsidRPr="005249A5">
            <w:rPr>
              <w:lang w:val="es-MX"/>
            </w:rPr>
            <w:fldChar w:fldCharType="end"/>
          </w:r>
        </w:sdtContent>
      </w:sdt>
      <w:r w:rsidRPr="005249A5">
        <w:rPr>
          <w:lang w:val="es-MX"/>
        </w:rPr>
        <w:t>.</w:t>
      </w:r>
    </w:p>
    <w:p w:rsidR="005249A5" w:rsidRPr="005249A5" w:rsidRDefault="005249A5" w:rsidP="00F348B7">
      <w:pPr>
        <w:spacing w:after="0" w:line="360" w:lineRule="auto"/>
        <w:ind w:firstLine="360"/>
        <w:jc w:val="both"/>
        <w:rPr>
          <w:lang w:val="es-MX"/>
        </w:rPr>
      </w:pPr>
      <w:r w:rsidRPr="005249A5">
        <w:rPr>
          <w:lang w:val="es-MX"/>
        </w:rPr>
        <w:t xml:space="preserve">A pesar de no ser el país más violento de América (El Salvador tiene una tasa de homicidios el doble de alta, por ejemplo), México presenta crímenes que son ampliamente difundidos por los medios de comunicación. Los </w:t>
      </w:r>
      <w:r w:rsidR="002359A9" w:rsidRPr="005249A5">
        <w:rPr>
          <w:lang w:val="es-MX"/>
        </w:rPr>
        <w:t>mismos</w:t>
      </w:r>
      <w:r w:rsidRPr="005249A5">
        <w:rPr>
          <w:lang w:val="es-MX"/>
        </w:rPr>
        <w:t xml:space="preserve"> criminales realizan sus</w:t>
      </w:r>
      <w:r w:rsidR="002359A9">
        <w:rPr>
          <w:lang w:val="es-MX"/>
        </w:rPr>
        <w:t xml:space="preserve"> actos</w:t>
      </w:r>
      <w:r w:rsidRPr="005249A5">
        <w:rPr>
          <w:lang w:val="es-MX"/>
        </w:rPr>
        <w:t xml:space="preserve"> con el fin de convertirlos en noticia y así difundir las </w:t>
      </w:r>
      <w:r w:rsidR="002359A9">
        <w:rPr>
          <w:lang w:val="es-MX"/>
        </w:rPr>
        <w:t>advertencias contra sus rivales</w:t>
      </w:r>
      <w:sdt>
        <w:sdtPr>
          <w:rPr>
            <w:lang w:val="es-MX"/>
          </w:rPr>
          <w:id w:val="7202415"/>
          <w:citation/>
        </w:sdtPr>
        <w:sdtEndPr/>
        <w:sdtContent>
          <w:r w:rsidR="006155C2" w:rsidRPr="005249A5">
            <w:rPr>
              <w:lang w:val="es-MX"/>
            </w:rPr>
            <w:fldChar w:fldCharType="begin"/>
          </w:r>
          <w:r w:rsidRPr="005249A5">
            <w:rPr>
              <w:lang w:val="es-MX"/>
            </w:rPr>
            <w:instrText xml:space="preserve"> CITATION Rio11 \l 2058 </w:instrText>
          </w:r>
          <w:r w:rsidR="006155C2" w:rsidRPr="005249A5">
            <w:rPr>
              <w:lang w:val="es-MX"/>
            </w:rPr>
            <w:fldChar w:fldCharType="separate"/>
          </w:r>
          <w:r w:rsidRPr="005249A5">
            <w:rPr>
              <w:lang w:val="es-MX"/>
            </w:rPr>
            <w:t xml:space="preserve"> (Rios, Violencia mediática, 2011)</w:t>
          </w:r>
          <w:r w:rsidR="006155C2" w:rsidRPr="005249A5">
            <w:rPr>
              <w:lang w:val="es-MX"/>
            </w:rPr>
            <w:fldChar w:fldCharType="end"/>
          </w:r>
        </w:sdtContent>
      </w:sdt>
      <w:r w:rsidRPr="005249A5">
        <w:rPr>
          <w:lang w:val="es-MX"/>
        </w:rPr>
        <w:t>. Algunos de los actos recurrentes, producto del crimen organizado, son disparos contra multitud</w:t>
      </w:r>
      <w:r w:rsidR="002359A9">
        <w:rPr>
          <w:lang w:val="es-MX"/>
        </w:rPr>
        <w:t>es en plazas pú</w:t>
      </w:r>
      <w:r w:rsidRPr="005249A5">
        <w:rPr>
          <w:lang w:val="es-MX"/>
        </w:rPr>
        <w:t>blica</w:t>
      </w:r>
      <w:r w:rsidR="002359A9">
        <w:rPr>
          <w:lang w:val="es-MX"/>
        </w:rPr>
        <w:t>s</w:t>
      </w:r>
      <w:r w:rsidRPr="005249A5">
        <w:rPr>
          <w:lang w:val="es-MX"/>
        </w:rPr>
        <w:t xml:space="preserve">, cuerpos colgando de puentes, cabezas de decapitados colocadas enfrente de edificios públicos, cuerpos depositados en fosas comunes y mensajes en los asesinatos con advertencia hacia otros grupos criminales o las autoridades. </w:t>
      </w:r>
      <w:r w:rsidR="004F1FFF">
        <w:rPr>
          <w:lang w:val="es-MX"/>
        </w:rPr>
        <w:t>E</w:t>
      </w:r>
      <w:r w:rsidR="002359A9">
        <w:rPr>
          <w:lang w:val="es-MX"/>
        </w:rPr>
        <w:t>l aumento en el</w:t>
      </w:r>
      <w:r w:rsidRPr="005249A5">
        <w:rPr>
          <w:lang w:val="es-MX"/>
        </w:rPr>
        <w:t xml:space="preserve"> número de ca</w:t>
      </w:r>
      <w:r w:rsidR="002359A9">
        <w:rPr>
          <w:lang w:val="es-MX"/>
        </w:rPr>
        <w:t>sos de tortura y decapitaciones, pasando</w:t>
      </w:r>
      <w:r w:rsidR="004F1FFF">
        <w:rPr>
          <w:lang w:val="es-MX"/>
        </w:rPr>
        <w:t xml:space="preserve"> del 3.4 porciento en el 2010 a</w:t>
      </w:r>
      <w:r w:rsidR="002359A9">
        <w:rPr>
          <w:lang w:val="es-MX"/>
        </w:rPr>
        <w:t xml:space="preserve"> 7.8 porciento en 2011</w:t>
      </w:r>
      <w:r w:rsidR="004F1FFF">
        <w:rPr>
          <w:lang w:val="es-MX"/>
        </w:rPr>
        <w:t>, es e</w:t>
      </w:r>
      <w:r w:rsidR="004F1FFF" w:rsidRPr="005249A5">
        <w:rPr>
          <w:lang w:val="es-MX"/>
        </w:rPr>
        <w:t>videncia de un</w:t>
      </w:r>
      <w:r w:rsidR="004F1FFF">
        <w:rPr>
          <w:lang w:val="es-MX"/>
        </w:rPr>
        <w:t xml:space="preserve"> aumento en la brutalidad</w:t>
      </w:r>
      <w:r w:rsidR="004F1FFF" w:rsidRPr="005249A5">
        <w:rPr>
          <w:lang w:val="es-MX"/>
        </w:rPr>
        <w:t xml:space="preserve"> con la</w:t>
      </w:r>
      <w:r w:rsidR="004F1FFF">
        <w:rPr>
          <w:lang w:val="es-MX"/>
        </w:rPr>
        <w:t xml:space="preserve"> que se realizan los asesinatos </w:t>
      </w:r>
      <w:r w:rsidRPr="005249A5">
        <w:rPr>
          <w:lang w:val="es-MX"/>
        </w:rPr>
        <w:t xml:space="preserve"> </w:t>
      </w:r>
      <w:sdt>
        <w:sdtPr>
          <w:rPr>
            <w:lang w:val="es-MX"/>
          </w:rPr>
          <w:id w:val="7202416"/>
          <w:citation/>
        </w:sdtPr>
        <w:sdtEndPr/>
        <w:sdtContent>
          <w:r w:rsidR="006155C2" w:rsidRPr="005249A5">
            <w:rPr>
              <w:lang w:val="es-MX"/>
            </w:rPr>
            <w:fldChar w:fldCharType="begin"/>
          </w:r>
          <w:r w:rsidRPr="005249A5">
            <w:rPr>
              <w:lang w:val="es-MX"/>
            </w:rPr>
            <w:instrText xml:space="preserve"> CITATION Mol12 \l 2058 </w:instrText>
          </w:r>
          <w:r w:rsidR="006155C2" w:rsidRPr="005249A5">
            <w:rPr>
              <w:lang w:val="es-MX"/>
            </w:rPr>
            <w:fldChar w:fldCharType="separate"/>
          </w:r>
          <w:r w:rsidRPr="005249A5">
            <w:rPr>
              <w:lang w:val="es-MX"/>
            </w:rPr>
            <w:t>(Molzahn, Ríos, &amp; A. Shirk, 2012)</w:t>
          </w:r>
          <w:r w:rsidR="006155C2" w:rsidRPr="005249A5">
            <w:rPr>
              <w:lang w:val="es-MX"/>
            </w:rPr>
            <w:fldChar w:fldCharType="end"/>
          </w:r>
        </w:sdtContent>
      </w:sdt>
      <w:r w:rsidRPr="005249A5">
        <w:rPr>
          <w:lang w:val="es-MX"/>
        </w:rPr>
        <w:t xml:space="preserve">. En consecuencia, la percepción sobre la seguridad pública se ha visto deteriorada a </w:t>
      </w:r>
      <w:r w:rsidR="002359A9">
        <w:rPr>
          <w:lang w:val="es-MX"/>
        </w:rPr>
        <w:t>lo largo del sexenio. Según la</w:t>
      </w:r>
      <w:r w:rsidRPr="005249A5">
        <w:rPr>
          <w:lang w:val="es-MX"/>
        </w:rPr>
        <w:t xml:space="preserve"> “Encuesta Nacional de Victimización y Percepción sobre Inseguridad” (ENVIPE)</w:t>
      </w:r>
      <w:r w:rsidRPr="002359A9">
        <w:rPr>
          <w:vertAlign w:val="superscript"/>
          <w:lang w:val="es-MX"/>
        </w:rPr>
        <w:footnoteReference w:id="16"/>
      </w:r>
      <w:r w:rsidRPr="002359A9">
        <w:rPr>
          <w:lang w:val="es-MX"/>
        </w:rPr>
        <w:t>,</w:t>
      </w:r>
      <w:r w:rsidR="002359A9">
        <w:rPr>
          <w:lang w:val="es-MX"/>
        </w:rPr>
        <w:t xml:space="preserve"> en el 2011 el 57.5 porciento</w:t>
      </w:r>
      <w:r w:rsidRPr="005249A5">
        <w:rPr>
          <w:lang w:val="es-MX"/>
        </w:rPr>
        <w:t xml:space="preserve"> de los encuestados conc</w:t>
      </w:r>
      <w:r w:rsidR="002359A9">
        <w:rPr>
          <w:lang w:val="es-MX"/>
        </w:rPr>
        <w:t>ordaba</w:t>
      </w:r>
      <w:r w:rsidRPr="005249A5">
        <w:rPr>
          <w:lang w:val="es-MX"/>
        </w:rPr>
        <w:t xml:space="preserve"> co</w:t>
      </w:r>
      <w:r w:rsidR="002359A9">
        <w:rPr>
          <w:lang w:val="es-MX"/>
        </w:rPr>
        <w:t>n que la inseguridad era</w:t>
      </w:r>
      <w:r w:rsidRPr="005249A5">
        <w:rPr>
          <w:lang w:val="es-MX"/>
        </w:rPr>
        <w:t xml:space="preserve"> uno problemas que preocupa</w:t>
      </w:r>
      <w:r w:rsidR="002359A9">
        <w:rPr>
          <w:lang w:val="es-MX"/>
        </w:rPr>
        <w:t>ba</w:t>
      </w:r>
      <w:r w:rsidRPr="005249A5">
        <w:rPr>
          <w:lang w:val="es-MX"/>
        </w:rPr>
        <w:t xml:space="preserve"> a la población mexicana. </w:t>
      </w:r>
    </w:p>
    <w:p w:rsidR="005249A5" w:rsidRPr="005249A5" w:rsidRDefault="005249A5" w:rsidP="00F348B7">
      <w:pPr>
        <w:spacing w:after="0" w:line="360" w:lineRule="auto"/>
        <w:ind w:firstLine="360"/>
        <w:jc w:val="both"/>
        <w:rPr>
          <w:lang w:val="es-MX"/>
        </w:rPr>
      </w:pPr>
      <w:r w:rsidRPr="005249A5">
        <w:rPr>
          <w:lang w:val="es-MX"/>
        </w:rPr>
        <w:t>Los comportamientos brutales de las organizaciones criminales pueden ser explicados por una lógica de competencia estilo empresaria. Dichas organizaciones compiten por el control de algún punto de trasiego o distribución</w:t>
      </w:r>
      <w:r w:rsidRPr="002359A9">
        <w:rPr>
          <w:vertAlign w:val="superscript"/>
          <w:lang w:val="es-MX"/>
        </w:rPr>
        <w:footnoteReference w:id="17"/>
      </w:r>
      <w:r w:rsidRPr="005249A5">
        <w:rPr>
          <w:lang w:val="es-MX"/>
        </w:rPr>
        <w:t xml:space="preserve"> mediante el uso de la fuerza en contra de sus competidores y el soborno de las autoridades. En este marco, </w:t>
      </w:r>
      <w:r w:rsidR="002359A9">
        <w:rPr>
          <w:lang w:val="es-MX"/>
        </w:rPr>
        <w:t xml:space="preserve">la señalización </w:t>
      </w:r>
      <w:r w:rsidRPr="005249A5">
        <w:rPr>
          <w:lang w:val="es-MX"/>
        </w:rPr>
        <w:t>hacia los demás competidores se refl</w:t>
      </w:r>
      <w:r w:rsidR="002359A9">
        <w:rPr>
          <w:lang w:val="es-MX"/>
        </w:rPr>
        <w:t>eja en el nivel de violencia o coerción</w:t>
      </w:r>
      <w:r w:rsidRPr="005249A5">
        <w:rPr>
          <w:lang w:val="es-MX"/>
        </w:rPr>
        <w:t xml:space="preserve"> que pueden ejercer </w:t>
      </w:r>
      <w:sdt>
        <w:sdtPr>
          <w:rPr>
            <w:lang w:val="es-MX"/>
          </w:rPr>
          <w:id w:val="46662255"/>
          <w:citation/>
        </w:sdtPr>
        <w:sdtEndPr/>
        <w:sdtContent>
          <w:r w:rsidR="006155C2" w:rsidRPr="005249A5">
            <w:rPr>
              <w:lang w:val="es-MX"/>
            </w:rPr>
            <w:fldChar w:fldCharType="begin"/>
          </w:r>
          <w:r w:rsidRPr="005249A5">
            <w:rPr>
              <w:lang w:val="es-MX"/>
            </w:rPr>
            <w:instrText xml:space="preserve"> CITATION Gue09 \l 2058 </w:instrText>
          </w:r>
          <w:r w:rsidR="006155C2" w:rsidRPr="005249A5">
            <w:rPr>
              <w:lang w:val="es-MX"/>
            </w:rPr>
            <w:fldChar w:fldCharType="separate"/>
          </w:r>
          <w:r w:rsidRPr="005249A5">
            <w:rPr>
              <w:lang w:val="es-MX"/>
            </w:rPr>
            <w:t>(Guerrero, 2009)</w:t>
          </w:r>
          <w:r w:rsidR="006155C2" w:rsidRPr="005249A5">
            <w:rPr>
              <w:lang w:val="es-MX"/>
            </w:rPr>
            <w:fldChar w:fldCharType="end"/>
          </w:r>
        </w:sdtContent>
      </w:sdt>
      <w:r w:rsidRPr="005249A5">
        <w:rPr>
          <w:lang w:val="es-MX"/>
        </w:rPr>
        <w:t>. Otro incentivo para ejercer violencia es el posicionarse como una amenaza creíble ante la sociedad y así facilitar su extorsión</w:t>
      </w:r>
      <w:r w:rsidRPr="002359A9">
        <w:rPr>
          <w:vertAlign w:val="superscript"/>
          <w:lang w:val="es-MX"/>
        </w:rPr>
        <w:footnoteReference w:id="18"/>
      </w:r>
      <w:r w:rsidRPr="005249A5">
        <w:rPr>
          <w:lang w:val="es-MX"/>
        </w:rPr>
        <w:t xml:space="preserve">. </w:t>
      </w:r>
      <w:r w:rsidRPr="005249A5">
        <w:rPr>
          <w:lang w:val="es-MX"/>
        </w:rPr>
        <w:lastRenderedPageBreak/>
        <w:t>Evidencia del éxito de dichas campañas es que la extorsión se</w:t>
      </w:r>
      <w:r w:rsidR="002359A9">
        <w:rPr>
          <w:lang w:val="es-MX"/>
        </w:rPr>
        <w:t xml:space="preserve"> ha</w:t>
      </w:r>
      <w:r w:rsidRPr="005249A5">
        <w:rPr>
          <w:lang w:val="es-MX"/>
        </w:rPr>
        <w:t xml:space="preserve"> triplicado entre el 2004 y el 2009 </w:t>
      </w:r>
      <w:sdt>
        <w:sdtPr>
          <w:rPr>
            <w:lang w:val="es-MX"/>
          </w:rPr>
          <w:id w:val="46662265"/>
          <w:citation/>
        </w:sdtPr>
        <w:sdtEndPr/>
        <w:sdtContent>
          <w:r w:rsidR="006155C2" w:rsidRPr="005249A5">
            <w:rPr>
              <w:lang w:val="es-MX"/>
            </w:rPr>
            <w:fldChar w:fldCharType="begin"/>
          </w:r>
          <w:r w:rsidRPr="005249A5">
            <w:rPr>
              <w:lang w:val="es-MX"/>
            </w:rPr>
            <w:instrText xml:space="preserve"> CITATION Gue11 \l 2058 </w:instrText>
          </w:r>
          <w:r w:rsidR="006155C2" w:rsidRPr="005249A5">
            <w:rPr>
              <w:lang w:val="es-MX"/>
            </w:rPr>
            <w:fldChar w:fldCharType="separate"/>
          </w:r>
          <w:r w:rsidRPr="005249A5">
            <w:rPr>
              <w:lang w:val="es-MX"/>
            </w:rPr>
            <w:t>(Guerrero-Gutiérrez, 2011)</w:t>
          </w:r>
          <w:r w:rsidR="006155C2" w:rsidRPr="005249A5">
            <w:rPr>
              <w:lang w:val="es-MX"/>
            </w:rPr>
            <w:fldChar w:fldCharType="end"/>
          </w:r>
        </w:sdtContent>
      </w:sdt>
      <w:r w:rsidRPr="005249A5">
        <w:rPr>
          <w:lang w:val="es-MX"/>
        </w:rPr>
        <w:t>.</w:t>
      </w:r>
    </w:p>
    <w:p w:rsidR="002359A9" w:rsidRDefault="005249A5" w:rsidP="00F348B7">
      <w:pPr>
        <w:spacing w:after="0" w:line="360" w:lineRule="auto"/>
        <w:ind w:firstLine="360"/>
        <w:jc w:val="both"/>
        <w:rPr>
          <w:lang w:val="es-MX"/>
        </w:rPr>
      </w:pPr>
      <w:r w:rsidRPr="005249A5">
        <w:rPr>
          <w:lang w:val="es-MX"/>
        </w:rPr>
        <w:t>Se cree que este contexto puede tener serias implicaciones en la economía del país, en particular, en l</w:t>
      </w:r>
      <w:r w:rsidR="00BD6B40">
        <w:rPr>
          <w:lang w:val="es-MX"/>
        </w:rPr>
        <w:t>a disminución del precio de las viviendas</w:t>
      </w:r>
      <w:r w:rsidRPr="005249A5">
        <w:rPr>
          <w:lang w:val="es-MX"/>
        </w:rPr>
        <w:t>.</w:t>
      </w:r>
    </w:p>
    <w:p w:rsidR="007A7D7E" w:rsidRPr="005249A5" w:rsidRDefault="007A7D7E" w:rsidP="009150F2">
      <w:pPr>
        <w:jc w:val="both"/>
        <w:rPr>
          <w:lang w:val="es-MX"/>
        </w:rPr>
      </w:pPr>
    </w:p>
    <w:p w:rsidR="00E9163F" w:rsidRDefault="003500F1" w:rsidP="002359A9">
      <w:pPr>
        <w:pStyle w:val="Heading2"/>
        <w:rPr>
          <w:sz w:val="24"/>
          <w:szCs w:val="24"/>
          <w:lang w:val="es-MX"/>
        </w:rPr>
      </w:pPr>
      <w:bookmarkStart w:id="3" w:name="_Toc340428159"/>
      <w:r w:rsidRPr="005249A5">
        <w:rPr>
          <w:sz w:val="24"/>
          <w:szCs w:val="24"/>
          <w:lang w:val="es-MX"/>
        </w:rPr>
        <w:t>Liter</w:t>
      </w:r>
      <w:r w:rsidR="00E9163F" w:rsidRPr="005249A5">
        <w:rPr>
          <w:sz w:val="24"/>
          <w:szCs w:val="24"/>
          <w:lang w:val="es-MX"/>
        </w:rPr>
        <w:t xml:space="preserve">atura </w:t>
      </w:r>
      <w:r w:rsidR="003F423F" w:rsidRPr="005249A5">
        <w:rPr>
          <w:sz w:val="24"/>
          <w:szCs w:val="24"/>
          <w:lang w:val="es-MX"/>
        </w:rPr>
        <w:t>Internacional</w:t>
      </w:r>
      <w:bookmarkEnd w:id="3"/>
    </w:p>
    <w:p w:rsidR="00E07A1F" w:rsidRDefault="00E07A1F" w:rsidP="00E07A1F">
      <w:pPr>
        <w:spacing w:after="0" w:line="360" w:lineRule="auto"/>
        <w:ind w:firstLine="360"/>
        <w:jc w:val="both"/>
        <w:rPr>
          <w:lang w:val="es-MX"/>
        </w:rPr>
      </w:pPr>
    </w:p>
    <w:p w:rsidR="00E07A1F" w:rsidRPr="00E07A1F" w:rsidRDefault="00E07A1F" w:rsidP="00E07A1F">
      <w:pPr>
        <w:spacing w:after="0" w:line="360" w:lineRule="auto"/>
        <w:ind w:firstLine="360"/>
        <w:jc w:val="both"/>
        <w:rPr>
          <w:lang w:val="es-MX"/>
        </w:rPr>
      </w:pPr>
      <w:r>
        <w:rPr>
          <w:lang w:val="es-MX"/>
        </w:rPr>
        <w:t xml:space="preserve">Antes de proceder al </w:t>
      </w:r>
      <w:r w:rsidR="008E48F7">
        <w:rPr>
          <w:lang w:val="es-MX"/>
        </w:rPr>
        <w:t>análisis</w:t>
      </w:r>
      <w:r>
        <w:rPr>
          <w:lang w:val="es-MX"/>
        </w:rPr>
        <w:t xml:space="preserve"> de la literatura, </w:t>
      </w:r>
      <w:r w:rsidR="008E48F7">
        <w:rPr>
          <w:lang w:val="es-MX"/>
        </w:rPr>
        <w:t>quisiéramos</w:t>
      </w:r>
      <w:r>
        <w:rPr>
          <w:lang w:val="es-MX"/>
        </w:rPr>
        <w:t xml:space="preserve"> establecer que el tamaño de los efectos que estamos encontrando es con</w:t>
      </w:r>
      <w:r w:rsidR="008E48F7">
        <w:rPr>
          <w:lang w:val="es-MX"/>
        </w:rPr>
        <w:t>sistente</w:t>
      </w:r>
      <w:r>
        <w:rPr>
          <w:lang w:val="es-MX"/>
        </w:rPr>
        <w:t xml:space="preserve"> co</w:t>
      </w:r>
      <w:r w:rsidR="008E48F7">
        <w:rPr>
          <w:lang w:val="es-MX"/>
        </w:rPr>
        <w:t>n esta literatura. Beesley y Mueller (2012) encuentran efectos de 1 % a 3.5%</w:t>
      </w:r>
      <w:r>
        <w:rPr>
          <w:lang w:val="es-MX"/>
        </w:rPr>
        <w:t xml:space="preserve"> </w:t>
      </w:r>
      <w:r w:rsidR="008E48F7">
        <w:rPr>
          <w:lang w:val="es-MX"/>
        </w:rPr>
        <w:t xml:space="preserve">en el precio de las casas </w:t>
      </w:r>
      <w:r>
        <w:rPr>
          <w:lang w:val="es-MX"/>
        </w:rPr>
        <w:t xml:space="preserve">por reducción en la violencia. Gibbons (2004) encuentra que in incremento en el crimen de propiedad disminuye el </w:t>
      </w:r>
      <w:r w:rsidR="008E48F7">
        <w:rPr>
          <w:lang w:val="es-MX"/>
        </w:rPr>
        <w:t xml:space="preserve">precio de los inmuebles en 10%, </w:t>
      </w:r>
      <w:r w:rsidR="008E48F7" w:rsidRPr="005249A5">
        <w:rPr>
          <w:lang w:val="es-MX"/>
        </w:rPr>
        <w:t>Linden y Rockoff (2008)</w:t>
      </w:r>
      <w:r w:rsidR="008E48F7">
        <w:rPr>
          <w:lang w:val="es-MX"/>
        </w:rPr>
        <w:t xml:space="preserve"> encuentran reducciones de 4% en el precio de las casas por la llegada de un "sex offender". Nosotros encontramos efectos cercanos a 1% o 2%.</w:t>
      </w:r>
    </w:p>
    <w:p w:rsidR="0022268B" w:rsidRPr="005249A5" w:rsidRDefault="0022268B" w:rsidP="00E9163F">
      <w:pPr>
        <w:spacing w:after="0" w:line="240" w:lineRule="auto"/>
        <w:rPr>
          <w:rFonts w:ascii="Arial" w:eastAsia="Times New Roman" w:hAnsi="Arial" w:cs="Arial"/>
          <w:color w:val="222222"/>
          <w:sz w:val="16"/>
          <w:szCs w:val="16"/>
          <w:shd w:val="clear" w:color="auto" w:fill="FFFFFF"/>
          <w:lang w:val="es-MX"/>
        </w:rPr>
      </w:pPr>
    </w:p>
    <w:p w:rsidR="00CD757B" w:rsidRPr="005249A5" w:rsidRDefault="00CD757B" w:rsidP="00E9163F">
      <w:pPr>
        <w:spacing w:after="0" w:line="240" w:lineRule="auto"/>
        <w:rPr>
          <w:rFonts w:ascii="Arial" w:eastAsia="Times New Roman" w:hAnsi="Arial" w:cs="Arial"/>
          <w:color w:val="222222"/>
          <w:sz w:val="16"/>
          <w:szCs w:val="16"/>
          <w:shd w:val="clear" w:color="auto" w:fill="FFFFFF"/>
          <w:lang w:val="es-MX"/>
        </w:rPr>
      </w:pPr>
    </w:p>
    <w:p w:rsidR="00597404" w:rsidRPr="004E1679" w:rsidRDefault="0022268B" w:rsidP="009E3E3A">
      <w:pPr>
        <w:pStyle w:val="ListParagraph"/>
        <w:numPr>
          <w:ilvl w:val="0"/>
          <w:numId w:val="4"/>
        </w:numPr>
        <w:spacing w:after="0"/>
        <w:ind w:left="426" w:hanging="426"/>
        <w:jc w:val="both"/>
        <w:rPr>
          <w:lang w:val="en-US"/>
        </w:rPr>
      </w:pPr>
      <w:r w:rsidRPr="004E1679">
        <w:rPr>
          <w:i/>
          <w:lang w:val="en-US"/>
        </w:rPr>
        <w:t>Estimating the Peace Dividend: The Impact of Violence on House Prices in Northern Ireland</w:t>
      </w:r>
      <w:r w:rsidR="00597404" w:rsidRPr="004E1679">
        <w:rPr>
          <w:i/>
          <w:lang w:val="en-US"/>
        </w:rPr>
        <w:t>.</w:t>
      </w:r>
      <w:r w:rsidR="00597404" w:rsidRPr="004E1679">
        <w:rPr>
          <w:lang w:val="en-US"/>
        </w:rPr>
        <w:t xml:space="preserve"> </w:t>
      </w:r>
      <w:r w:rsidRPr="004E1679">
        <w:rPr>
          <w:lang w:val="en-US"/>
        </w:rPr>
        <w:t xml:space="preserve"> </w:t>
      </w:r>
    </w:p>
    <w:p w:rsidR="00597404" w:rsidRPr="004E1679" w:rsidRDefault="00597404" w:rsidP="00597404">
      <w:pPr>
        <w:spacing w:after="0"/>
        <w:ind w:firstLine="360"/>
        <w:jc w:val="both"/>
        <w:rPr>
          <w:lang w:val="en-US"/>
        </w:rPr>
      </w:pPr>
    </w:p>
    <w:p w:rsidR="0022268B" w:rsidRPr="005249A5" w:rsidRDefault="00597404" w:rsidP="00F348B7">
      <w:pPr>
        <w:spacing w:after="0" w:line="360" w:lineRule="auto"/>
        <w:ind w:firstLine="360"/>
        <w:jc w:val="both"/>
        <w:rPr>
          <w:lang w:val="es-MX"/>
        </w:rPr>
      </w:pPr>
      <w:r w:rsidRPr="005249A5">
        <w:rPr>
          <w:lang w:val="es-MX"/>
        </w:rPr>
        <w:t>Beasley y Mueller (2012) busca</w:t>
      </w:r>
      <w:r w:rsidR="0022268B" w:rsidRPr="005249A5">
        <w:rPr>
          <w:lang w:val="es-MX"/>
        </w:rPr>
        <w:t xml:space="preserve"> estimar el dividendo asociado a la paz en el caso </w:t>
      </w:r>
      <w:r w:rsidR="000D2480" w:rsidRPr="005249A5">
        <w:rPr>
          <w:lang w:val="es-MX"/>
        </w:rPr>
        <w:t>Irlanda del Norte</w:t>
      </w:r>
      <w:r w:rsidR="0022268B" w:rsidRPr="005249A5">
        <w:rPr>
          <w:lang w:val="es-MX"/>
        </w:rPr>
        <w:t xml:space="preserve">. </w:t>
      </w:r>
      <w:r w:rsidRPr="005249A5">
        <w:rPr>
          <w:lang w:val="es-MX"/>
        </w:rPr>
        <w:t>Aprovecha</w:t>
      </w:r>
      <w:r w:rsidR="00472E2E" w:rsidRPr="005249A5">
        <w:rPr>
          <w:lang w:val="es-MX"/>
        </w:rPr>
        <w:t xml:space="preserve"> un período conflictivo en la historia de la región, la lucha por la reforma política de Irlanda del Norte, que comienza en 1969 y termina aproximadamente en 1994. Los autores primero</w:t>
      </w:r>
      <w:r w:rsidR="0022268B" w:rsidRPr="005249A5">
        <w:rPr>
          <w:lang w:val="es-MX"/>
        </w:rPr>
        <w:t xml:space="preserve"> identifican una correlación negativa entre homicidios y precios de viviendas y luego estiman los parámetros de un modelo de Markov utilizando situaciones de conflicto y paz como estados latentes. </w:t>
      </w:r>
      <w:r w:rsidR="009B5725" w:rsidRPr="005249A5">
        <w:rPr>
          <w:lang w:val="es-MX"/>
        </w:rPr>
        <w:t>U</w:t>
      </w:r>
      <w:r w:rsidR="0022268B" w:rsidRPr="005249A5">
        <w:rPr>
          <w:lang w:val="es-MX"/>
        </w:rPr>
        <w:t xml:space="preserve">tilizan el modelo para estimar el tamaño </w:t>
      </w:r>
      <w:r w:rsidR="00DB53E9" w:rsidRPr="005249A5">
        <w:rPr>
          <w:lang w:val="es-MX"/>
        </w:rPr>
        <w:t>del dividendo asociado a la paz</w:t>
      </w:r>
      <w:r w:rsidR="0022268B" w:rsidRPr="005249A5">
        <w:rPr>
          <w:lang w:val="es-MX"/>
        </w:rPr>
        <w:t xml:space="preserve"> capturado por las variaciones en el precio de las </w:t>
      </w:r>
      <w:r w:rsidR="00DB53E9" w:rsidRPr="005249A5">
        <w:rPr>
          <w:lang w:val="es-MX"/>
        </w:rPr>
        <w:t>viviendas</w:t>
      </w:r>
      <w:r w:rsidR="0022268B" w:rsidRPr="005249A5">
        <w:rPr>
          <w:lang w:val="es-MX"/>
        </w:rPr>
        <w:t>.</w:t>
      </w:r>
    </w:p>
    <w:p w:rsidR="007A7FD6" w:rsidRPr="005249A5" w:rsidRDefault="00E704D3" w:rsidP="00F348B7">
      <w:pPr>
        <w:spacing w:after="0" w:line="360" w:lineRule="auto"/>
        <w:ind w:firstLine="708"/>
        <w:jc w:val="both"/>
        <w:rPr>
          <w:lang w:val="es-MX"/>
        </w:rPr>
      </w:pPr>
      <w:r w:rsidRPr="005249A5">
        <w:rPr>
          <w:lang w:val="es-MX"/>
        </w:rPr>
        <w:t>El estudio se basa en la aseveración de que l</w:t>
      </w:r>
      <w:r w:rsidR="00EF4BFC" w:rsidRPr="005249A5">
        <w:rPr>
          <w:lang w:val="es-MX"/>
        </w:rPr>
        <w:t xml:space="preserve">as viviendas son activos cuyos precios reflejan </w:t>
      </w:r>
      <w:r w:rsidR="00530D67" w:rsidRPr="005249A5">
        <w:rPr>
          <w:lang w:val="es-MX"/>
        </w:rPr>
        <w:t>el atractivo presente y futuro</w:t>
      </w:r>
      <w:r w:rsidR="00EF4BFC" w:rsidRPr="005249A5">
        <w:rPr>
          <w:lang w:val="es-MX"/>
        </w:rPr>
        <w:t xml:space="preserve"> de vivir en </w:t>
      </w:r>
      <w:r w:rsidR="00BA7B45" w:rsidRPr="005249A5">
        <w:rPr>
          <w:lang w:val="es-MX"/>
        </w:rPr>
        <w:t>la zona en donde están ubicadas</w:t>
      </w:r>
      <w:r w:rsidR="00EF4BFC" w:rsidRPr="005249A5">
        <w:rPr>
          <w:lang w:val="es-MX"/>
        </w:rPr>
        <w:t xml:space="preserve">. </w:t>
      </w:r>
      <w:r w:rsidR="0040624C" w:rsidRPr="005249A5">
        <w:rPr>
          <w:lang w:val="es-MX"/>
        </w:rPr>
        <w:t xml:space="preserve"> Analizando las consecuencias económicas del proceso de paz, </w:t>
      </w:r>
      <w:r w:rsidR="00206F2A" w:rsidRPr="005249A5">
        <w:rPr>
          <w:lang w:val="es-MX"/>
        </w:rPr>
        <w:t>los autores esperan que</w:t>
      </w:r>
      <w:r w:rsidR="00BA7B45" w:rsidRPr="005249A5">
        <w:rPr>
          <w:lang w:val="es-MX"/>
        </w:rPr>
        <w:t xml:space="preserve"> los beneficios estén concentrados</w:t>
      </w:r>
      <w:r w:rsidR="0040624C" w:rsidRPr="005249A5">
        <w:rPr>
          <w:lang w:val="es-MX"/>
        </w:rPr>
        <w:t xml:space="preserve"> en las áreas </w:t>
      </w:r>
      <w:r w:rsidR="00530D67" w:rsidRPr="005249A5">
        <w:rPr>
          <w:lang w:val="es-MX"/>
        </w:rPr>
        <w:t xml:space="preserve">donde la violencia previa </w:t>
      </w:r>
      <w:r w:rsidR="00206F2A" w:rsidRPr="005249A5">
        <w:rPr>
          <w:lang w:val="es-MX"/>
        </w:rPr>
        <w:t>es</w:t>
      </w:r>
      <w:r w:rsidR="0040624C" w:rsidRPr="005249A5">
        <w:rPr>
          <w:lang w:val="es-MX"/>
        </w:rPr>
        <w:t xml:space="preserve"> </w:t>
      </w:r>
      <w:r w:rsidR="00530D67" w:rsidRPr="005249A5">
        <w:rPr>
          <w:lang w:val="es-MX"/>
        </w:rPr>
        <w:t>mayor</w:t>
      </w:r>
      <w:r w:rsidR="0040624C" w:rsidRPr="005249A5">
        <w:rPr>
          <w:lang w:val="es-MX"/>
        </w:rPr>
        <w:t xml:space="preserve">. </w:t>
      </w:r>
      <w:r w:rsidR="000D2480" w:rsidRPr="005249A5">
        <w:rPr>
          <w:lang w:val="es-MX"/>
        </w:rPr>
        <w:t>Con este objetivo, e</w:t>
      </w:r>
      <w:r w:rsidR="0040624C" w:rsidRPr="005249A5">
        <w:rPr>
          <w:lang w:val="es-MX"/>
        </w:rPr>
        <w:t>xplotan la variabilidad int</w:t>
      </w:r>
      <w:r w:rsidR="00206F2A" w:rsidRPr="005249A5">
        <w:rPr>
          <w:lang w:val="es-MX"/>
        </w:rPr>
        <w:t>ra-</w:t>
      </w:r>
      <w:r w:rsidR="00530D67" w:rsidRPr="005249A5">
        <w:rPr>
          <w:lang w:val="es-MX"/>
        </w:rPr>
        <w:t xml:space="preserve">regional en la violencia </w:t>
      </w:r>
      <w:r w:rsidR="000D2480" w:rsidRPr="005249A5">
        <w:rPr>
          <w:lang w:val="es-MX"/>
        </w:rPr>
        <w:t xml:space="preserve">- muertes a nivel regional asociadas a conflicto - </w:t>
      </w:r>
      <w:r w:rsidR="00530D67" w:rsidRPr="005249A5">
        <w:rPr>
          <w:lang w:val="es-MX"/>
        </w:rPr>
        <w:t>y en</w:t>
      </w:r>
      <w:r w:rsidR="0040624C" w:rsidRPr="005249A5">
        <w:rPr>
          <w:lang w:val="es-MX"/>
        </w:rPr>
        <w:t xml:space="preserve"> los precios de las viviendas a trav</w:t>
      </w:r>
      <w:r w:rsidR="000D2480" w:rsidRPr="005249A5">
        <w:rPr>
          <w:lang w:val="es-MX"/>
        </w:rPr>
        <w:t xml:space="preserve">és del tiempo. </w:t>
      </w:r>
      <w:r w:rsidR="000C7090" w:rsidRPr="005249A5">
        <w:rPr>
          <w:lang w:val="es-MX"/>
        </w:rPr>
        <w:t>Se considera dividendo por la paz al</w:t>
      </w:r>
      <w:r w:rsidR="00454FFF" w:rsidRPr="005249A5">
        <w:rPr>
          <w:lang w:val="es-MX"/>
        </w:rPr>
        <w:t xml:space="preserve"> aumento en el precio de una vivienda en respuesta a una reducci</w:t>
      </w:r>
      <w:r w:rsidR="000C7090" w:rsidRPr="005249A5">
        <w:rPr>
          <w:lang w:val="es-MX"/>
        </w:rPr>
        <w:t>ón en el número de</w:t>
      </w:r>
      <w:r w:rsidR="00454FFF" w:rsidRPr="005249A5">
        <w:rPr>
          <w:lang w:val="es-MX"/>
        </w:rPr>
        <w:t xml:space="preserve"> asesinatos</w:t>
      </w:r>
      <w:r w:rsidRPr="005249A5">
        <w:rPr>
          <w:lang w:val="es-MX"/>
        </w:rPr>
        <w:t xml:space="preserve"> en la zona</w:t>
      </w:r>
      <w:r w:rsidR="00454FFF" w:rsidRPr="005249A5">
        <w:rPr>
          <w:lang w:val="es-MX"/>
        </w:rPr>
        <w:t>.</w:t>
      </w:r>
      <w:r w:rsidR="007A7FD6" w:rsidRPr="005249A5">
        <w:rPr>
          <w:lang w:val="es-MX"/>
        </w:rPr>
        <w:t xml:space="preserve"> </w:t>
      </w:r>
      <w:r w:rsidR="00F83C5A" w:rsidRPr="005249A5">
        <w:rPr>
          <w:lang w:val="es-MX"/>
        </w:rPr>
        <w:t>Su</w:t>
      </w:r>
      <w:r w:rsidR="007A7FD6" w:rsidRPr="005249A5">
        <w:rPr>
          <w:lang w:val="es-MX"/>
        </w:rPr>
        <w:t xml:space="preserve"> análisis empírico sugiere que</w:t>
      </w:r>
      <w:r w:rsidR="00206F2A" w:rsidRPr="005249A5">
        <w:rPr>
          <w:lang w:val="es-MX"/>
        </w:rPr>
        <w:t>, efectivamente,</w:t>
      </w:r>
      <w:r w:rsidR="007A7FD6" w:rsidRPr="005249A5">
        <w:rPr>
          <w:lang w:val="es-MX"/>
        </w:rPr>
        <w:t xml:space="preserve"> hay mayo</w:t>
      </w:r>
      <w:r w:rsidR="00D1629B" w:rsidRPr="005249A5">
        <w:rPr>
          <w:lang w:val="es-MX"/>
        </w:rPr>
        <w:t>res dividendos de paz en las reg</w:t>
      </w:r>
      <w:r w:rsidR="00B05310" w:rsidRPr="005249A5">
        <w:rPr>
          <w:lang w:val="es-MX"/>
        </w:rPr>
        <w:t>iones de</w:t>
      </w:r>
      <w:r w:rsidR="007A7FD6" w:rsidRPr="005249A5">
        <w:rPr>
          <w:lang w:val="es-MX"/>
        </w:rPr>
        <w:t xml:space="preserve"> Irlanda</w:t>
      </w:r>
      <w:r w:rsidR="000C7090" w:rsidRPr="005249A5">
        <w:rPr>
          <w:lang w:val="es-MX"/>
        </w:rPr>
        <w:t xml:space="preserve"> del Norte</w:t>
      </w:r>
      <w:r w:rsidR="007A7FD6" w:rsidRPr="005249A5">
        <w:rPr>
          <w:lang w:val="es-MX"/>
        </w:rPr>
        <w:t xml:space="preserve"> donde la violencia fue más severa y persistente.</w:t>
      </w:r>
      <w:r w:rsidR="00B05310" w:rsidRPr="005249A5">
        <w:rPr>
          <w:lang w:val="es-MX"/>
        </w:rPr>
        <w:t xml:space="preserve"> </w:t>
      </w:r>
      <w:r w:rsidR="00A529DE" w:rsidRPr="005249A5">
        <w:rPr>
          <w:lang w:val="es-MX"/>
        </w:rPr>
        <w:t>Tambi</w:t>
      </w:r>
      <w:r w:rsidR="00F83C5A" w:rsidRPr="005249A5">
        <w:rPr>
          <w:lang w:val="es-MX"/>
        </w:rPr>
        <w:t>én</w:t>
      </w:r>
      <w:r w:rsidR="00A529DE" w:rsidRPr="005249A5">
        <w:rPr>
          <w:lang w:val="es-MX"/>
        </w:rPr>
        <w:t xml:space="preserve"> encuentra</w:t>
      </w:r>
      <w:r w:rsidR="00F83C5A" w:rsidRPr="005249A5">
        <w:rPr>
          <w:lang w:val="es-MX"/>
        </w:rPr>
        <w:t>n</w:t>
      </w:r>
      <w:r w:rsidR="00A529DE" w:rsidRPr="005249A5">
        <w:rPr>
          <w:lang w:val="es-MX"/>
        </w:rPr>
        <w:t xml:space="preserve"> </w:t>
      </w:r>
      <w:r w:rsidR="003B76FC" w:rsidRPr="005249A5">
        <w:rPr>
          <w:lang w:val="es-MX"/>
        </w:rPr>
        <w:t>evidencia de efectos derrame entre regiones</w:t>
      </w:r>
      <w:r w:rsidR="00F83C5A" w:rsidRPr="005249A5">
        <w:rPr>
          <w:lang w:val="es-MX"/>
        </w:rPr>
        <w:t>, es decir, que la</w:t>
      </w:r>
      <w:r w:rsidR="003B76FC" w:rsidRPr="005249A5">
        <w:rPr>
          <w:lang w:val="es-MX"/>
        </w:rPr>
        <w:t xml:space="preserve"> violencia en una zona </w:t>
      </w:r>
      <w:r w:rsidR="00F83C5A" w:rsidRPr="005249A5">
        <w:rPr>
          <w:lang w:val="es-MX"/>
        </w:rPr>
        <w:t xml:space="preserve">determinada </w:t>
      </w:r>
      <w:r w:rsidR="003B76FC" w:rsidRPr="005249A5">
        <w:rPr>
          <w:lang w:val="es-MX"/>
        </w:rPr>
        <w:t xml:space="preserve">parece aumentar los precios de las </w:t>
      </w:r>
      <w:r w:rsidR="000C7090" w:rsidRPr="005249A5">
        <w:rPr>
          <w:lang w:val="es-MX"/>
        </w:rPr>
        <w:t>viviendas</w:t>
      </w:r>
      <w:r w:rsidR="003B76FC" w:rsidRPr="005249A5">
        <w:rPr>
          <w:lang w:val="es-MX"/>
        </w:rPr>
        <w:t xml:space="preserve"> </w:t>
      </w:r>
      <w:r w:rsidRPr="005249A5">
        <w:rPr>
          <w:lang w:val="es-MX"/>
        </w:rPr>
        <w:t xml:space="preserve">ubicadas </w:t>
      </w:r>
      <w:r w:rsidR="003B76FC" w:rsidRPr="005249A5">
        <w:rPr>
          <w:lang w:val="es-MX"/>
        </w:rPr>
        <w:t>en zonas a</w:t>
      </w:r>
      <w:r w:rsidR="00D1629B" w:rsidRPr="005249A5">
        <w:rPr>
          <w:lang w:val="es-MX"/>
        </w:rPr>
        <w:t>d</w:t>
      </w:r>
      <w:r w:rsidR="000C7090" w:rsidRPr="005249A5">
        <w:rPr>
          <w:lang w:val="es-MX"/>
        </w:rPr>
        <w:t>y</w:t>
      </w:r>
      <w:r w:rsidR="003B76FC" w:rsidRPr="005249A5">
        <w:rPr>
          <w:lang w:val="es-MX"/>
        </w:rPr>
        <w:t xml:space="preserve">acentes. </w:t>
      </w:r>
    </w:p>
    <w:p w:rsidR="0022268B" w:rsidRPr="005249A5" w:rsidRDefault="0017161A" w:rsidP="00F348B7">
      <w:pPr>
        <w:spacing w:after="0" w:line="360" w:lineRule="auto"/>
        <w:ind w:firstLine="708"/>
        <w:jc w:val="both"/>
        <w:rPr>
          <w:lang w:val="es-MX"/>
        </w:rPr>
      </w:pPr>
      <w:r w:rsidRPr="005249A5">
        <w:rPr>
          <w:lang w:val="es-MX"/>
        </w:rPr>
        <w:t>Los autores u</w:t>
      </w:r>
      <w:r w:rsidR="00ED67A4" w:rsidRPr="005249A5">
        <w:rPr>
          <w:lang w:val="es-MX"/>
        </w:rPr>
        <w:t>tilizan o</w:t>
      </w:r>
      <w:r w:rsidR="000E3148" w:rsidRPr="005249A5">
        <w:rPr>
          <w:lang w:val="es-MX"/>
        </w:rPr>
        <w:t xml:space="preserve">bservaciones cuatrimestrales en 11 regiones </w:t>
      </w:r>
      <w:r w:rsidR="009C2DE3" w:rsidRPr="005249A5">
        <w:rPr>
          <w:lang w:val="es-MX"/>
        </w:rPr>
        <w:t>de Irlanda del Norte desde o</w:t>
      </w:r>
      <w:r w:rsidR="000E3148" w:rsidRPr="005249A5">
        <w:rPr>
          <w:lang w:val="es-MX"/>
        </w:rPr>
        <w:t xml:space="preserve">ctubre de 1984. </w:t>
      </w:r>
      <w:r w:rsidR="0022268B" w:rsidRPr="005249A5">
        <w:rPr>
          <w:lang w:val="es-MX"/>
        </w:rPr>
        <w:t>Definen el índice de precios como el promedio del precio</w:t>
      </w:r>
      <w:r w:rsidR="00ED075C" w:rsidRPr="005249A5">
        <w:rPr>
          <w:lang w:val="es-MX"/>
        </w:rPr>
        <w:t xml:space="preserve"> de venta</w:t>
      </w:r>
      <w:r w:rsidR="0022268B" w:rsidRPr="005249A5">
        <w:rPr>
          <w:lang w:val="es-MX"/>
        </w:rPr>
        <w:t xml:space="preserve"> de las </w:t>
      </w:r>
      <w:r w:rsidR="009C2DE3" w:rsidRPr="005249A5">
        <w:rPr>
          <w:lang w:val="es-MX"/>
        </w:rPr>
        <w:lastRenderedPageBreak/>
        <w:t>viviendas</w:t>
      </w:r>
      <w:r w:rsidR="00ED075C" w:rsidRPr="005249A5">
        <w:rPr>
          <w:lang w:val="es-MX"/>
        </w:rPr>
        <w:t xml:space="preserve"> en cada región y e</w:t>
      </w:r>
      <w:r w:rsidR="00E963DB" w:rsidRPr="005249A5">
        <w:rPr>
          <w:lang w:val="es-MX"/>
        </w:rPr>
        <w:t>stiman la relación entre precios de las casas y asesinatos usando el siguiente modelo semi-logarítmico:</w:t>
      </w:r>
    </w:p>
    <w:p w:rsidR="009C2DE3" w:rsidRPr="005249A5" w:rsidRDefault="009C2DE3" w:rsidP="0017161A">
      <w:pPr>
        <w:spacing w:after="0"/>
        <w:ind w:firstLine="708"/>
        <w:jc w:val="both"/>
        <w:rPr>
          <w:lang w:val="es-MX"/>
        </w:rPr>
      </w:pPr>
    </w:p>
    <w:p w:rsidR="00E963DB" w:rsidRPr="005249A5" w:rsidRDefault="00A70D70" w:rsidP="0017161A">
      <w:pPr>
        <w:spacing w:after="0"/>
        <w:jc w:val="center"/>
        <w:rPr>
          <w:lang w:val="es-MX"/>
        </w:rPr>
      </w:pPr>
      <m:oMathPara>
        <m:oMathParaPr>
          <m:jc m:val="center"/>
        </m:oMathParaPr>
        <m:oMath>
          <m:func>
            <m:funcPr>
              <m:ctrlPr>
                <w:rPr>
                  <w:rFonts w:ascii="Cambria Math" w:hAnsi="Cambria Math"/>
                  <w:i/>
                  <w:lang w:val="es-MX"/>
                </w:rPr>
              </m:ctrlPr>
            </m:funcPr>
            <m:fName>
              <m:r>
                <m:rPr>
                  <m:sty m:val="p"/>
                </m:rPr>
                <w:rPr>
                  <w:rFonts w:ascii="Cambria Math" w:hAnsi="Cambria Math"/>
                  <w:lang w:val="es-MX"/>
                </w:rPr>
                <m:t>ln</m:t>
              </m:r>
            </m:fName>
            <m:e>
              <m:d>
                <m:dPr>
                  <m:ctrlPr>
                    <w:rPr>
                      <w:rFonts w:ascii="Cambria Math" w:hAnsi="Cambria Math"/>
                      <w:i/>
                      <w:lang w:val="es-MX"/>
                    </w:rPr>
                  </m:ctrlPr>
                </m:dPr>
                <m:e>
                  <m:sSub>
                    <m:sSubPr>
                      <m:ctrlPr>
                        <w:rPr>
                          <w:rFonts w:ascii="Cambria Math" w:hAnsi="Cambria Math"/>
                          <w:i/>
                          <w:lang w:val="es-MX"/>
                        </w:rPr>
                      </m:ctrlPr>
                    </m:sSubPr>
                    <m:e>
                      <m:r>
                        <w:rPr>
                          <w:rFonts w:ascii="Cambria Math" w:hAnsi="Cambria Math"/>
                          <w:lang w:val="es-MX"/>
                        </w:rPr>
                        <m:t>H</m:t>
                      </m:r>
                    </m:e>
                    <m:sub>
                      <m:r>
                        <w:rPr>
                          <w:rFonts w:ascii="Cambria Math" w:hAnsi="Cambria Math"/>
                          <w:lang w:val="es-MX"/>
                        </w:rPr>
                        <m:t>rt</m:t>
                      </m:r>
                    </m:sub>
                  </m:sSub>
                </m:e>
              </m:d>
            </m:e>
          </m:func>
          <m:r>
            <w:rPr>
              <w:rFonts w:ascii="Cambria Math" w:hAnsi="Cambria Math"/>
              <w:lang w:val="es-MX"/>
            </w:rPr>
            <m:t xml:space="preserve">= </m:t>
          </m:r>
          <m:sSub>
            <m:sSubPr>
              <m:ctrlPr>
                <w:rPr>
                  <w:rFonts w:ascii="Cambria Math" w:hAnsi="Cambria Math"/>
                  <w:i/>
                  <w:lang w:val="es-MX"/>
                </w:rPr>
              </m:ctrlPr>
            </m:sSubPr>
            <m:e>
              <m:r>
                <w:rPr>
                  <w:rFonts w:ascii="Cambria Math" w:hAnsi="Cambria Math"/>
                  <w:lang w:val="es-MX"/>
                </w:rPr>
                <m:t>α</m:t>
              </m:r>
            </m:e>
            <m:sub>
              <m:r>
                <w:rPr>
                  <w:rFonts w:ascii="Cambria Math" w:hAnsi="Cambria Math"/>
                  <w:lang w:val="es-MX"/>
                </w:rPr>
                <m:t>r</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α</m:t>
              </m:r>
            </m:e>
            <m:sub>
              <m:r>
                <w:rPr>
                  <w:rFonts w:ascii="Cambria Math" w:hAnsi="Cambria Math"/>
                  <w:lang w:val="es-MX"/>
                </w:rPr>
                <m:t>t</m:t>
              </m:r>
            </m:sub>
          </m:sSub>
          <m:r>
            <w:rPr>
              <w:rFonts w:ascii="Cambria Math" w:hAnsi="Cambria Math"/>
              <w:lang w:val="es-MX"/>
            </w:rPr>
            <m:t>+β</m:t>
          </m:r>
          <m:sSub>
            <m:sSubPr>
              <m:ctrlPr>
                <w:rPr>
                  <w:rFonts w:ascii="Cambria Math" w:hAnsi="Cambria Math"/>
                  <w:i/>
                  <w:lang w:val="es-MX"/>
                </w:rPr>
              </m:ctrlPr>
            </m:sSubPr>
            <m:e>
              <m:r>
                <w:rPr>
                  <w:rFonts w:ascii="Cambria Math" w:hAnsi="Cambria Math"/>
                  <w:lang w:val="es-MX"/>
                </w:rPr>
                <m:t>y</m:t>
              </m:r>
            </m:e>
            <m:sub>
              <m:r>
                <w:rPr>
                  <w:rFonts w:ascii="Cambria Math" w:hAnsi="Cambria Math"/>
                  <w:lang w:val="es-MX"/>
                </w:rPr>
                <m:t>rt-1</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ε</m:t>
              </m:r>
            </m:e>
            <m:sub>
              <m:r>
                <w:rPr>
                  <w:rFonts w:ascii="Cambria Math" w:hAnsi="Cambria Math"/>
                  <w:lang w:val="es-MX"/>
                </w:rPr>
                <m:t>rt</m:t>
              </m:r>
            </m:sub>
          </m:sSub>
        </m:oMath>
      </m:oMathPara>
    </w:p>
    <w:p w:rsidR="009C2DE3" w:rsidRPr="005249A5" w:rsidRDefault="009C2DE3" w:rsidP="0017161A">
      <w:pPr>
        <w:spacing w:after="0"/>
        <w:jc w:val="center"/>
        <w:rPr>
          <w:lang w:val="es-MX"/>
        </w:rPr>
      </w:pPr>
    </w:p>
    <w:p w:rsidR="00D366A7" w:rsidRPr="005249A5" w:rsidRDefault="00A70D70" w:rsidP="00F348B7">
      <w:pPr>
        <w:spacing w:after="0" w:line="360" w:lineRule="auto"/>
        <w:jc w:val="both"/>
        <w:rPr>
          <w:lang w:val="es-MX"/>
        </w:rPr>
      </w:pPr>
      <m:oMath>
        <m:func>
          <m:funcPr>
            <m:ctrlPr>
              <w:rPr>
                <w:rFonts w:ascii="Cambria Math" w:hAnsi="Cambria Math"/>
                <w:i/>
                <w:lang w:val="es-MX"/>
              </w:rPr>
            </m:ctrlPr>
          </m:funcPr>
          <m:fName>
            <m:r>
              <m:rPr>
                <m:sty m:val="p"/>
              </m:rPr>
              <w:rPr>
                <w:rFonts w:ascii="Cambria Math" w:hAnsi="Cambria Math"/>
                <w:lang w:val="es-MX"/>
              </w:rPr>
              <m:t>ln</m:t>
            </m:r>
          </m:fName>
          <m:e>
            <m:d>
              <m:dPr>
                <m:ctrlPr>
                  <w:rPr>
                    <w:rFonts w:ascii="Cambria Math" w:hAnsi="Cambria Math"/>
                    <w:i/>
                    <w:lang w:val="es-MX"/>
                  </w:rPr>
                </m:ctrlPr>
              </m:dPr>
              <m:e>
                <m:sSub>
                  <m:sSubPr>
                    <m:ctrlPr>
                      <w:rPr>
                        <w:rFonts w:ascii="Cambria Math" w:hAnsi="Cambria Math"/>
                        <w:i/>
                        <w:lang w:val="es-MX"/>
                      </w:rPr>
                    </m:ctrlPr>
                  </m:sSubPr>
                  <m:e>
                    <m:r>
                      <w:rPr>
                        <w:rFonts w:ascii="Cambria Math" w:hAnsi="Cambria Math"/>
                        <w:lang w:val="es-MX"/>
                      </w:rPr>
                      <m:t>H</m:t>
                    </m:r>
                  </m:e>
                  <m:sub>
                    <m:r>
                      <w:rPr>
                        <w:rFonts w:ascii="Cambria Math" w:hAnsi="Cambria Math"/>
                        <w:lang w:val="es-MX"/>
                      </w:rPr>
                      <m:t>rt</m:t>
                    </m:r>
                  </m:sub>
                </m:sSub>
              </m:e>
            </m:d>
          </m:e>
        </m:func>
      </m:oMath>
      <w:r w:rsidR="00AF7468" w:rsidRPr="005249A5">
        <w:rPr>
          <w:lang w:val="es-MX"/>
        </w:rPr>
        <w:t xml:space="preserve"> </w:t>
      </w:r>
      <w:r w:rsidR="00F348B7">
        <w:rPr>
          <w:lang w:val="es-MX"/>
        </w:rPr>
        <w:t xml:space="preserve"> </w:t>
      </w:r>
      <w:r w:rsidR="00AF7468" w:rsidRPr="005249A5">
        <w:rPr>
          <w:lang w:val="es-MX"/>
        </w:rPr>
        <w:t>es el logaritmo natural del índice de precio de las viviendas en la región</w:t>
      </w:r>
      <w:r w:rsidR="00AF7468" w:rsidRPr="005249A5">
        <w:rPr>
          <w:i/>
          <w:lang w:val="es-MX"/>
        </w:rPr>
        <w:t xml:space="preserve"> </w:t>
      </w:r>
      <w:r w:rsidR="009C2DE3" w:rsidRPr="005249A5">
        <w:rPr>
          <w:i/>
          <w:lang w:val="es-MX"/>
        </w:rPr>
        <w:t>r</w:t>
      </w:r>
      <w:r w:rsidR="00AF7468" w:rsidRPr="005249A5">
        <w:rPr>
          <w:lang w:val="es-MX"/>
        </w:rPr>
        <w:t xml:space="preserve"> en la fecha </w:t>
      </w:r>
      <w:r w:rsidR="00AF7468" w:rsidRPr="005249A5">
        <w:rPr>
          <w:i/>
          <w:lang w:val="es-MX"/>
        </w:rPr>
        <w:t>t</w:t>
      </w:r>
      <w:r w:rsidR="00AF7468" w:rsidRPr="005249A5">
        <w:rPr>
          <w:lang w:val="es-MX"/>
        </w:rPr>
        <w:t xml:space="preserve">, </w:t>
      </w:r>
      <m:oMath>
        <m:sSub>
          <m:sSubPr>
            <m:ctrlPr>
              <w:rPr>
                <w:rFonts w:ascii="Cambria Math" w:hAnsi="Cambria Math"/>
                <w:i/>
                <w:lang w:val="es-MX"/>
              </w:rPr>
            </m:ctrlPr>
          </m:sSubPr>
          <m:e>
            <m:r>
              <w:rPr>
                <w:rFonts w:ascii="Cambria Math" w:hAnsi="Cambria Math"/>
                <w:lang w:val="es-MX"/>
              </w:rPr>
              <m:t>y</m:t>
            </m:r>
          </m:e>
          <m:sub>
            <m:r>
              <w:rPr>
                <w:rFonts w:ascii="Cambria Math" w:hAnsi="Cambria Math"/>
                <w:lang w:val="es-MX"/>
              </w:rPr>
              <m:t>rt-1</m:t>
            </m:r>
          </m:sub>
        </m:sSub>
      </m:oMath>
      <w:r w:rsidR="00AF7468" w:rsidRPr="005249A5">
        <w:rPr>
          <w:lang w:val="es-MX"/>
        </w:rPr>
        <w:t xml:space="preserve"> es el número</w:t>
      </w:r>
      <w:r w:rsidR="00C8146A" w:rsidRPr="005249A5">
        <w:rPr>
          <w:lang w:val="es-MX"/>
        </w:rPr>
        <w:t xml:space="preserve"> de asesinatos en la región </w:t>
      </w:r>
      <w:r w:rsidR="00C8146A" w:rsidRPr="005249A5">
        <w:rPr>
          <w:i/>
          <w:lang w:val="es-MX"/>
        </w:rPr>
        <w:t>r</w:t>
      </w:r>
      <w:r w:rsidR="00C8146A" w:rsidRPr="005249A5">
        <w:rPr>
          <w:lang w:val="es-MX"/>
        </w:rPr>
        <w:t>, rezagado un cuatrimestre, con controles regionales y cuatrimestrales.</w:t>
      </w:r>
      <w:r w:rsidR="00F9466F" w:rsidRPr="005249A5">
        <w:rPr>
          <w:lang w:val="es-MX"/>
        </w:rPr>
        <w:t xml:space="preserve"> Para atender posibles aumentos en los precios asociados al contexto económico, también incluyen la tasa de desempleo como control. </w:t>
      </w:r>
      <w:r w:rsidR="00D72ACA" w:rsidRPr="005249A5">
        <w:rPr>
          <w:lang w:val="es-MX"/>
        </w:rPr>
        <w:t xml:space="preserve"> </w:t>
      </w:r>
      <w:r w:rsidR="00516058" w:rsidRPr="005249A5">
        <w:rPr>
          <w:lang w:val="es-MX"/>
        </w:rPr>
        <w:t>Encuentran que</w:t>
      </w:r>
      <w:r w:rsidR="00D72ACA" w:rsidRPr="005249A5">
        <w:rPr>
          <w:lang w:val="es-MX"/>
        </w:rPr>
        <w:t xml:space="preserve"> </w:t>
      </w:r>
      <m:oMath>
        <m:r>
          <w:rPr>
            <w:rFonts w:ascii="Cambria Math" w:hAnsi="Cambria Math"/>
            <w:lang w:val="es-MX"/>
          </w:rPr>
          <m:t>β</m:t>
        </m:r>
      </m:oMath>
      <w:r w:rsidR="00D72ACA" w:rsidRPr="005249A5">
        <w:rPr>
          <w:lang w:val="es-MX"/>
        </w:rPr>
        <w:t xml:space="preserve"> </w:t>
      </w:r>
      <w:r w:rsidR="00557F66" w:rsidRPr="005249A5">
        <w:rPr>
          <w:lang w:val="es-MX"/>
        </w:rPr>
        <w:t>– interpretado como el efecto tratamiento promedio de un asesinato sobre el índice de precios de</w:t>
      </w:r>
      <w:r w:rsidR="00F9466F" w:rsidRPr="005249A5">
        <w:rPr>
          <w:lang w:val="es-MX"/>
        </w:rPr>
        <w:t xml:space="preserve"> las</w:t>
      </w:r>
      <w:r w:rsidR="00557F66" w:rsidRPr="005249A5">
        <w:rPr>
          <w:lang w:val="es-MX"/>
        </w:rPr>
        <w:t xml:space="preserve"> viviendas -</w:t>
      </w:r>
      <w:r w:rsidR="009C2DE3" w:rsidRPr="005249A5">
        <w:rPr>
          <w:lang w:val="es-MX"/>
        </w:rPr>
        <w:t xml:space="preserve"> </w:t>
      </w:r>
      <w:r w:rsidR="00557F66" w:rsidRPr="005249A5">
        <w:rPr>
          <w:lang w:val="es-MX"/>
        </w:rPr>
        <w:t xml:space="preserve"> resulta significativo y tiene el signo negativo esperado</w:t>
      </w:r>
      <w:r w:rsidR="00D72ACA" w:rsidRPr="005249A5">
        <w:rPr>
          <w:lang w:val="es-MX"/>
        </w:rPr>
        <w:t>.  Luego, desarrollan un m</w:t>
      </w:r>
      <w:r w:rsidR="0022268B" w:rsidRPr="005249A5">
        <w:rPr>
          <w:lang w:val="es-MX"/>
        </w:rPr>
        <w:t>odelo sobre la relación entre precios y violencia</w:t>
      </w:r>
      <w:r w:rsidR="00557F66" w:rsidRPr="005249A5">
        <w:rPr>
          <w:lang w:val="es-MX"/>
        </w:rPr>
        <w:t xml:space="preserve">, estiman sus </w:t>
      </w:r>
      <w:r w:rsidR="0022268B" w:rsidRPr="005249A5">
        <w:rPr>
          <w:lang w:val="es-MX"/>
        </w:rPr>
        <w:t>parámetros</w:t>
      </w:r>
      <w:r w:rsidR="00557F66" w:rsidRPr="005249A5">
        <w:rPr>
          <w:lang w:val="es-MX"/>
        </w:rPr>
        <w:t xml:space="preserve"> y</w:t>
      </w:r>
      <w:r w:rsidR="00533708" w:rsidRPr="005249A5">
        <w:rPr>
          <w:lang w:val="es-MX"/>
        </w:rPr>
        <w:t xml:space="preserve"> crea</w:t>
      </w:r>
      <w:r w:rsidR="00557F66" w:rsidRPr="005249A5">
        <w:rPr>
          <w:lang w:val="es-MX"/>
        </w:rPr>
        <w:t>n</w:t>
      </w:r>
      <w:r w:rsidR="00533708" w:rsidRPr="005249A5">
        <w:rPr>
          <w:lang w:val="es-MX"/>
        </w:rPr>
        <w:t xml:space="preserve"> </w:t>
      </w:r>
      <w:r w:rsidR="00557F66" w:rsidRPr="005249A5">
        <w:rPr>
          <w:lang w:val="es-MX"/>
        </w:rPr>
        <w:t>una medida computada del número esperado de</w:t>
      </w:r>
      <w:r w:rsidR="00533708" w:rsidRPr="005249A5">
        <w:rPr>
          <w:lang w:val="es-MX"/>
        </w:rPr>
        <w:t xml:space="preserve"> asesinatos futuros. </w:t>
      </w:r>
      <w:r w:rsidR="00557F66" w:rsidRPr="005249A5">
        <w:rPr>
          <w:lang w:val="es-MX"/>
        </w:rPr>
        <w:t>Con esta medida, e</w:t>
      </w:r>
      <w:r w:rsidR="00533708" w:rsidRPr="005249A5">
        <w:rPr>
          <w:lang w:val="es-MX"/>
        </w:rPr>
        <w:t>ncuentran</w:t>
      </w:r>
      <w:r w:rsidR="00557F66" w:rsidRPr="005249A5">
        <w:rPr>
          <w:lang w:val="es-MX"/>
        </w:rPr>
        <w:t xml:space="preserve"> nuevamente</w:t>
      </w:r>
      <w:r w:rsidR="00533708" w:rsidRPr="005249A5">
        <w:rPr>
          <w:lang w:val="es-MX"/>
        </w:rPr>
        <w:t xml:space="preserve"> una correlación significativa entre la medida rezagada de la violencia y los precios de las viviendas.</w:t>
      </w:r>
    </w:p>
    <w:p w:rsidR="00597404" w:rsidRDefault="00597404" w:rsidP="00427142">
      <w:pPr>
        <w:spacing w:after="0"/>
        <w:jc w:val="both"/>
        <w:rPr>
          <w:lang w:val="es-MX"/>
        </w:rPr>
      </w:pPr>
    </w:p>
    <w:p w:rsidR="002A4CDB" w:rsidRPr="005249A5" w:rsidRDefault="002A4CDB" w:rsidP="00427142">
      <w:pPr>
        <w:spacing w:after="0"/>
        <w:jc w:val="both"/>
        <w:rPr>
          <w:lang w:val="es-MX"/>
        </w:rPr>
      </w:pPr>
    </w:p>
    <w:p w:rsidR="00597404" w:rsidRPr="004E1679" w:rsidRDefault="00597404" w:rsidP="009E3E3A">
      <w:pPr>
        <w:pStyle w:val="ListParagraph"/>
        <w:numPr>
          <w:ilvl w:val="0"/>
          <w:numId w:val="4"/>
        </w:numPr>
        <w:spacing w:after="0"/>
        <w:ind w:left="426" w:hanging="426"/>
        <w:jc w:val="both"/>
        <w:rPr>
          <w:lang w:val="en-US"/>
        </w:rPr>
      </w:pPr>
      <w:r w:rsidRPr="004E1679">
        <w:rPr>
          <w:i/>
          <w:lang w:val="en-US"/>
        </w:rPr>
        <w:t>Estimates of the Impact of Crime Risk on Property Values from Megan’s Laws.</w:t>
      </w:r>
    </w:p>
    <w:p w:rsidR="00597404" w:rsidRPr="004E1679" w:rsidRDefault="00597404" w:rsidP="00A56D1D">
      <w:pPr>
        <w:spacing w:after="0"/>
        <w:ind w:firstLine="360"/>
        <w:jc w:val="both"/>
        <w:rPr>
          <w:lang w:val="en-US"/>
        </w:rPr>
      </w:pPr>
    </w:p>
    <w:p w:rsidR="004B7316" w:rsidRPr="005249A5" w:rsidRDefault="004B7316" w:rsidP="00F348B7">
      <w:pPr>
        <w:spacing w:after="0" w:line="360" w:lineRule="auto"/>
        <w:ind w:firstLine="357"/>
        <w:jc w:val="both"/>
        <w:rPr>
          <w:lang w:val="es-MX"/>
        </w:rPr>
      </w:pPr>
      <w:r w:rsidRPr="005249A5">
        <w:rPr>
          <w:lang w:val="es-MX"/>
        </w:rPr>
        <w:t xml:space="preserve">Linden y Rockoff </w:t>
      </w:r>
      <w:r w:rsidR="00597404" w:rsidRPr="005249A5">
        <w:rPr>
          <w:lang w:val="es-MX"/>
        </w:rPr>
        <w:t>(2008) desarrolla</w:t>
      </w:r>
      <w:r w:rsidRPr="005249A5">
        <w:rPr>
          <w:lang w:val="es-MX"/>
        </w:rPr>
        <w:t xml:space="preserve"> una estrategia de identificaci</w:t>
      </w:r>
      <w:r w:rsidR="00597404" w:rsidRPr="005249A5">
        <w:rPr>
          <w:lang w:val="es-MX"/>
        </w:rPr>
        <w:t xml:space="preserve">ón similar. </w:t>
      </w:r>
      <w:r w:rsidRPr="005249A5">
        <w:rPr>
          <w:lang w:val="es-MX"/>
        </w:rPr>
        <w:t>La ley de Megan, motivada por la violación y asesinato de una niña de 7 años de edad, impuso la notificación p</w:t>
      </w:r>
      <w:r w:rsidR="00FE1A78" w:rsidRPr="005249A5">
        <w:rPr>
          <w:lang w:val="es-MX"/>
        </w:rPr>
        <w:t>ública del paradero</w:t>
      </w:r>
      <w:r w:rsidRPr="005249A5">
        <w:rPr>
          <w:lang w:val="es-MX"/>
        </w:rPr>
        <w:t xml:space="preserve"> y descripción de los delincuentes sexuales convictos en cada uno de los Estados</w:t>
      </w:r>
      <w:r w:rsidR="00006B38" w:rsidRPr="005249A5">
        <w:rPr>
          <w:lang w:val="es-MX"/>
        </w:rPr>
        <w:t xml:space="preserve"> de los Estados Unidos</w:t>
      </w:r>
      <w:r w:rsidRPr="005249A5">
        <w:rPr>
          <w:lang w:val="es-MX"/>
        </w:rPr>
        <w:t xml:space="preserve">. Haciendo uso de la existencia de un registro público del paradero </w:t>
      </w:r>
      <w:r w:rsidR="002453F1" w:rsidRPr="005249A5">
        <w:rPr>
          <w:lang w:val="es-MX"/>
        </w:rPr>
        <w:t xml:space="preserve">exacto </w:t>
      </w:r>
      <w:r w:rsidRPr="005249A5">
        <w:rPr>
          <w:lang w:val="es-MX"/>
        </w:rPr>
        <w:t>de delincuentes sexuales,</w:t>
      </w:r>
      <w:r w:rsidR="002453F1" w:rsidRPr="005249A5">
        <w:rPr>
          <w:lang w:val="es-MX"/>
        </w:rPr>
        <w:t xml:space="preserve"> la fecha de su mudanza y datos del mercado inmobiliario,</w:t>
      </w:r>
      <w:r w:rsidRPr="005249A5">
        <w:rPr>
          <w:lang w:val="es-MX"/>
        </w:rPr>
        <w:t xml:space="preserve"> los autores </w:t>
      </w:r>
      <w:r w:rsidR="00FE1A78" w:rsidRPr="005249A5">
        <w:rPr>
          <w:lang w:val="es-MX"/>
        </w:rPr>
        <w:t>buscan</w:t>
      </w:r>
      <w:r w:rsidRPr="005249A5">
        <w:rPr>
          <w:lang w:val="es-MX"/>
        </w:rPr>
        <w:t xml:space="preserve"> evaluar si, en respuesta al efecto local </w:t>
      </w:r>
      <w:r w:rsidR="00262A70" w:rsidRPr="005249A5">
        <w:rPr>
          <w:lang w:val="es-MX"/>
        </w:rPr>
        <w:t>d</w:t>
      </w:r>
      <w:r w:rsidRPr="005249A5">
        <w:rPr>
          <w:lang w:val="es-MX"/>
        </w:rPr>
        <w:t xml:space="preserve">el crimen, los residentes </w:t>
      </w:r>
      <w:r w:rsidR="00262A70" w:rsidRPr="005249A5">
        <w:rPr>
          <w:lang w:val="es-MX"/>
        </w:rPr>
        <w:t>se</w:t>
      </w:r>
      <w:r w:rsidRPr="005249A5">
        <w:rPr>
          <w:lang w:val="es-MX"/>
        </w:rPr>
        <w:t xml:space="preserve"> mud</w:t>
      </w:r>
      <w:r w:rsidR="00262A70" w:rsidRPr="005249A5">
        <w:rPr>
          <w:lang w:val="es-MX"/>
        </w:rPr>
        <w:t>an</w:t>
      </w:r>
      <w:r w:rsidRPr="005249A5">
        <w:rPr>
          <w:lang w:val="es-MX"/>
        </w:rPr>
        <w:t xml:space="preserve"> de las zonas con altas tasas de crim</w:t>
      </w:r>
      <w:r w:rsidR="00FE1A78" w:rsidRPr="005249A5">
        <w:rPr>
          <w:lang w:val="es-MX"/>
        </w:rPr>
        <w:t>inalidad</w:t>
      </w:r>
      <w:r w:rsidRPr="005249A5">
        <w:rPr>
          <w:lang w:val="es-MX"/>
        </w:rPr>
        <w:t xml:space="preserve">, lo cual debería </w:t>
      </w:r>
      <w:r w:rsidR="00FE1A78" w:rsidRPr="005249A5">
        <w:rPr>
          <w:lang w:val="es-MX"/>
        </w:rPr>
        <w:t>reflejarse</w:t>
      </w:r>
      <w:r w:rsidRPr="005249A5">
        <w:rPr>
          <w:lang w:val="es-MX"/>
        </w:rPr>
        <w:t xml:space="preserve"> e</w:t>
      </w:r>
      <w:r w:rsidR="002453F1" w:rsidRPr="005249A5">
        <w:rPr>
          <w:lang w:val="es-MX"/>
        </w:rPr>
        <w:t>n el mercado inmobiliario local</w:t>
      </w:r>
      <w:r w:rsidRPr="005249A5">
        <w:rPr>
          <w:lang w:val="es-MX"/>
        </w:rPr>
        <w:t xml:space="preserve">. </w:t>
      </w:r>
      <w:r w:rsidR="002453F1" w:rsidRPr="005249A5">
        <w:rPr>
          <w:lang w:val="es-MX"/>
        </w:rPr>
        <w:t>Buscan estimar</w:t>
      </w:r>
      <w:r w:rsidRPr="005249A5">
        <w:rPr>
          <w:lang w:val="es-MX"/>
        </w:rPr>
        <w:t xml:space="preserve"> el valor que los individuos le adjudican al  hecho de vivir</w:t>
      </w:r>
      <w:r w:rsidR="002453F1" w:rsidRPr="005249A5">
        <w:rPr>
          <w:lang w:val="es-MX"/>
        </w:rPr>
        <w:t xml:space="preserve"> cerca de un criminal convicto, </w:t>
      </w:r>
      <w:r w:rsidR="00006B38" w:rsidRPr="005249A5">
        <w:rPr>
          <w:lang w:val="es-MX"/>
        </w:rPr>
        <w:t>aprovechando tanto la varianza inter</w:t>
      </w:r>
      <w:r w:rsidR="005249A5" w:rsidRPr="005249A5">
        <w:rPr>
          <w:lang w:val="es-MX"/>
        </w:rPr>
        <w:t>-</w:t>
      </w:r>
      <w:r w:rsidR="00006B38" w:rsidRPr="005249A5">
        <w:rPr>
          <w:lang w:val="es-MX"/>
        </w:rPr>
        <w:t>temporal como la de</w:t>
      </w:r>
      <w:r w:rsidRPr="005249A5">
        <w:rPr>
          <w:lang w:val="es-MX"/>
        </w:rPr>
        <w:t xml:space="preserve"> corte transversal. </w:t>
      </w:r>
    </w:p>
    <w:p w:rsidR="00B03599" w:rsidRPr="005249A5" w:rsidRDefault="00A56D1D" w:rsidP="00F348B7">
      <w:pPr>
        <w:spacing w:after="0" w:line="360" w:lineRule="auto"/>
        <w:ind w:firstLine="357"/>
        <w:jc w:val="both"/>
        <w:rPr>
          <w:lang w:val="es-MX"/>
        </w:rPr>
      </w:pPr>
      <w:r w:rsidRPr="005249A5">
        <w:rPr>
          <w:lang w:val="es-MX"/>
        </w:rPr>
        <w:t>Una de las potenciales dificultades para</w:t>
      </w:r>
      <w:r w:rsidR="004B7316" w:rsidRPr="005249A5">
        <w:rPr>
          <w:lang w:val="es-MX"/>
        </w:rPr>
        <w:t xml:space="preserve"> identificar la función de precio hedónica para </w:t>
      </w:r>
      <w:r w:rsidR="00406679" w:rsidRPr="005249A5">
        <w:rPr>
          <w:lang w:val="es-MX"/>
        </w:rPr>
        <w:t xml:space="preserve">las comodidades </w:t>
      </w:r>
      <w:r w:rsidR="004B7316" w:rsidRPr="005249A5">
        <w:rPr>
          <w:lang w:val="es-MX"/>
        </w:rPr>
        <w:t xml:space="preserve">de las </w:t>
      </w:r>
      <w:r w:rsidR="00406679" w:rsidRPr="005249A5">
        <w:rPr>
          <w:lang w:val="es-MX"/>
        </w:rPr>
        <w:t>viviendas y sus localidades</w:t>
      </w:r>
      <w:r w:rsidRPr="005249A5">
        <w:rPr>
          <w:lang w:val="es-MX"/>
        </w:rPr>
        <w:t>, es que la</w:t>
      </w:r>
      <w:r w:rsidR="004B7316" w:rsidRPr="005249A5">
        <w:rPr>
          <w:lang w:val="es-MX"/>
        </w:rPr>
        <w:t xml:space="preserve"> variaci</w:t>
      </w:r>
      <w:r w:rsidRPr="005249A5">
        <w:rPr>
          <w:lang w:val="es-MX"/>
        </w:rPr>
        <w:t xml:space="preserve">ón en la </w:t>
      </w:r>
      <w:r w:rsidR="004B7316" w:rsidRPr="005249A5">
        <w:rPr>
          <w:lang w:val="es-MX"/>
        </w:rPr>
        <w:t>local</w:t>
      </w:r>
      <w:r w:rsidR="00406679" w:rsidRPr="005249A5">
        <w:rPr>
          <w:lang w:val="es-MX"/>
        </w:rPr>
        <w:t>idad</w:t>
      </w:r>
      <w:r w:rsidR="004B7316" w:rsidRPr="005249A5">
        <w:rPr>
          <w:lang w:val="es-MX"/>
        </w:rPr>
        <w:t xml:space="preserve"> puede estar correlacionada con factores inobservables. </w:t>
      </w:r>
      <w:r w:rsidR="00B03599" w:rsidRPr="005249A5">
        <w:rPr>
          <w:lang w:val="es-MX"/>
        </w:rPr>
        <w:t>Por otro lado</w:t>
      </w:r>
      <w:r w:rsidR="004B7316" w:rsidRPr="005249A5">
        <w:rPr>
          <w:lang w:val="es-MX"/>
        </w:rPr>
        <w:t>,</w:t>
      </w:r>
      <w:r w:rsidR="00B03599" w:rsidRPr="005249A5">
        <w:rPr>
          <w:lang w:val="es-MX"/>
        </w:rPr>
        <w:t xml:space="preserve"> los autores plantean que</w:t>
      </w:r>
      <w:r w:rsidR="004B7316" w:rsidRPr="005249A5">
        <w:rPr>
          <w:lang w:val="es-MX"/>
        </w:rPr>
        <w:t xml:space="preserve"> si la oferta de largo plazo de las viviendas es elástica, los cambios en la demanda por propiedad</w:t>
      </w:r>
      <w:r w:rsidR="00DC0847" w:rsidRPr="005249A5">
        <w:rPr>
          <w:lang w:val="es-MX"/>
        </w:rPr>
        <w:t>es</w:t>
      </w:r>
      <w:r w:rsidR="004B7316" w:rsidRPr="005249A5">
        <w:rPr>
          <w:lang w:val="es-MX"/>
        </w:rPr>
        <w:t xml:space="preserve"> local</w:t>
      </w:r>
      <w:r w:rsidR="00DC0847" w:rsidRPr="005249A5">
        <w:rPr>
          <w:lang w:val="es-MX"/>
        </w:rPr>
        <w:t>es</w:t>
      </w:r>
      <w:r w:rsidR="004B7316" w:rsidRPr="005249A5">
        <w:rPr>
          <w:lang w:val="es-MX"/>
        </w:rPr>
        <w:t xml:space="preserve">, en equilibrio, </w:t>
      </w:r>
      <w:r w:rsidR="00B03599" w:rsidRPr="005249A5">
        <w:rPr>
          <w:lang w:val="es-MX"/>
        </w:rPr>
        <w:t>se reflejarían en el n</w:t>
      </w:r>
      <w:r w:rsidR="00DC0847" w:rsidRPr="005249A5">
        <w:rPr>
          <w:lang w:val="es-MX"/>
        </w:rPr>
        <w:t>úmero de viviendas</w:t>
      </w:r>
      <w:r w:rsidR="00B03599" w:rsidRPr="005249A5">
        <w:rPr>
          <w:lang w:val="es-MX"/>
        </w:rPr>
        <w:t xml:space="preserve"> vendidas en lugar de en sus precios. </w:t>
      </w:r>
      <w:r w:rsidR="004B7316" w:rsidRPr="005249A5">
        <w:rPr>
          <w:lang w:val="es-MX"/>
        </w:rPr>
        <w:t xml:space="preserve">Una estrategia empírica efectiva puede </w:t>
      </w:r>
      <w:r w:rsidR="00B03599" w:rsidRPr="005249A5">
        <w:rPr>
          <w:lang w:val="es-MX"/>
        </w:rPr>
        <w:t>consistir en estudiar</w:t>
      </w:r>
      <w:r w:rsidR="004B7316" w:rsidRPr="005249A5">
        <w:rPr>
          <w:lang w:val="es-MX"/>
        </w:rPr>
        <w:t xml:space="preserve"> cambios de corto plazo en</w:t>
      </w:r>
      <w:r w:rsidR="00B03599" w:rsidRPr="005249A5">
        <w:rPr>
          <w:lang w:val="es-MX"/>
        </w:rPr>
        <w:t xml:space="preserve"> los</w:t>
      </w:r>
      <w:r w:rsidR="004B7316" w:rsidRPr="005249A5">
        <w:rPr>
          <w:lang w:val="es-MX"/>
        </w:rPr>
        <w:t xml:space="preserve"> valores de las propiedades </w:t>
      </w:r>
      <w:r w:rsidR="00B03599" w:rsidRPr="005249A5">
        <w:rPr>
          <w:lang w:val="es-MX"/>
        </w:rPr>
        <w:t xml:space="preserve">como respuesta </w:t>
      </w:r>
      <w:r w:rsidR="004B7316" w:rsidRPr="005249A5">
        <w:rPr>
          <w:lang w:val="es-MX"/>
        </w:rPr>
        <w:t xml:space="preserve"> a cambios exógenos en los servicios/comodidades locales. </w:t>
      </w:r>
    </w:p>
    <w:p w:rsidR="004B7316" w:rsidRPr="005249A5" w:rsidRDefault="004B7316" w:rsidP="00F348B7">
      <w:pPr>
        <w:spacing w:after="0" w:line="360" w:lineRule="auto"/>
        <w:ind w:firstLine="357"/>
        <w:jc w:val="both"/>
        <w:rPr>
          <w:lang w:val="es-MX"/>
        </w:rPr>
      </w:pPr>
      <w:r w:rsidRPr="005249A5">
        <w:rPr>
          <w:lang w:val="es-MX"/>
        </w:rPr>
        <w:t>Los delincuentes sexuales, por motivos asociados a preferencias y a ingresos, tienden a asentarse en zonas donde los precios de las viviendas son bajos</w:t>
      </w:r>
      <w:r w:rsidR="00B03599" w:rsidRPr="005249A5">
        <w:rPr>
          <w:lang w:val="es-MX"/>
        </w:rPr>
        <w:t>,</w:t>
      </w:r>
      <w:r w:rsidRPr="005249A5">
        <w:rPr>
          <w:lang w:val="es-MX"/>
        </w:rPr>
        <w:t xml:space="preserve"> lo que hace difícil identificar el impacto comparando zonas con y sin delincuentes. </w:t>
      </w:r>
      <w:r w:rsidR="00B03599" w:rsidRPr="005249A5">
        <w:rPr>
          <w:lang w:val="es-MX"/>
        </w:rPr>
        <w:t>Sin embargo, conocer</w:t>
      </w:r>
      <w:r w:rsidR="00B038D5" w:rsidRPr="005249A5">
        <w:rPr>
          <w:lang w:val="es-MX"/>
        </w:rPr>
        <w:t xml:space="preserve"> su</w:t>
      </w:r>
      <w:r w:rsidR="00B03599" w:rsidRPr="005249A5">
        <w:rPr>
          <w:lang w:val="es-MX"/>
        </w:rPr>
        <w:t xml:space="preserve"> ubicación</w:t>
      </w:r>
      <w:r w:rsidRPr="005249A5">
        <w:rPr>
          <w:lang w:val="es-MX"/>
        </w:rPr>
        <w:t xml:space="preserve"> </w:t>
      </w:r>
      <w:r w:rsidR="00B03599" w:rsidRPr="005249A5">
        <w:rPr>
          <w:lang w:val="es-MX"/>
        </w:rPr>
        <w:t xml:space="preserve">y fecha de </w:t>
      </w:r>
      <w:r w:rsidR="00B03599" w:rsidRPr="005249A5">
        <w:rPr>
          <w:lang w:val="es-MX"/>
        </w:rPr>
        <w:lastRenderedPageBreak/>
        <w:t>mudanza</w:t>
      </w:r>
      <w:r w:rsidR="00B038D5" w:rsidRPr="005249A5">
        <w:rPr>
          <w:lang w:val="es-MX"/>
        </w:rPr>
        <w:t xml:space="preserve"> </w:t>
      </w:r>
      <w:r w:rsidRPr="005249A5">
        <w:rPr>
          <w:lang w:val="es-MX"/>
        </w:rPr>
        <w:t>permite comparar la misma casa y las casas muy cercanas (y por ende homogéneas) antes y después</w:t>
      </w:r>
      <w:r w:rsidR="00B03599" w:rsidRPr="005249A5">
        <w:rPr>
          <w:lang w:val="es-MX"/>
        </w:rPr>
        <w:t xml:space="preserve"> de su llegada.</w:t>
      </w:r>
      <w:r w:rsidRPr="005249A5">
        <w:rPr>
          <w:lang w:val="es-MX"/>
        </w:rPr>
        <w:t xml:space="preserve"> La dimensión temporal permite controlar por diferencias prexistentes en </w:t>
      </w:r>
      <w:r w:rsidR="000B5791" w:rsidRPr="005249A5">
        <w:rPr>
          <w:lang w:val="es-MX"/>
        </w:rPr>
        <w:t>el valor de las propiedades.</w:t>
      </w:r>
      <w:r w:rsidRPr="005249A5">
        <w:rPr>
          <w:lang w:val="es-MX"/>
        </w:rPr>
        <w:t xml:space="preserve"> </w:t>
      </w:r>
      <w:r w:rsidR="009D6907" w:rsidRPr="005249A5">
        <w:rPr>
          <w:lang w:val="es-MX"/>
        </w:rPr>
        <w:t xml:space="preserve">Reconocen el </w:t>
      </w:r>
      <w:r w:rsidRPr="005249A5">
        <w:rPr>
          <w:lang w:val="es-MX"/>
        </w:rPr>
        <w:t xml:space="preserve">problema </w:t>
      </w:r>
      <w:r w:rsidR="009D6907" w:rsidRPr="005249A5">
        <w:rPr>
          <w:lang w:val="es-MX"/>
        </w:rPr>
        <w:t>potencial</w:t>
      </w:r>
      <w:r w:rsidRPr="005249A5">
        <w:rPr>
          <w:lang w:val="es-MX"/>
        </w:rPr>
        <w:t xml:space="preserve"> </w:t>
      </w:r>
      <w:r w:rsidR="009D6907" w:rsidRPr="005249A5">
        <w:rPr>
          <w:lang w:val="es-MX"/>
        </w:rPr>
        <w:t xml:space="preserve">asociado a </w:t>
      </w:r>
      <w:r w:rsidRPr="005249A5">
        <w:rPr>
          <w:lang w:val="es-MX"/>
        </w:rPr>
        <w:t xml:space="preserve">que solamente se </w:t>
      </w:r>
      <w:r w:rsidR="009D6907" w:rsidRPr="005249A5">
        <w:rPr>
          <w:lang w:val="es-MX"/>
        </w:rPr>
        <w:t>observan</w:t>
      </w:r>
      <w:r w:rsidRPr="005249A5">
        <w:rPr>
          <w:lang w:val="es-MX"/>
        </w:rPr>
        <w:t xml:space="preserve"> precios pa</w:t>
      </w:r>
      <w:r w:rsidR="00D81FB3" w:rsidRPr="005249A5">
        <w:rPr>
          <w:lang w:val="es-MX"/>
        </w:rPr>
        <w:t>ra aquellas casas que se venden: s</w:t>
      </w:r>
      <w:r w:rsidRPr="005249A5">
        <w:rPr>
          <w:lang w:val="es-MX"/>
        </w:rPr>
        <w:t xml:space="preserve">i la composición </w:t>
      </w:r>
      <w:r w:rsidR="00701559" w:rsidRPr="005249A5">
        <w:rPr>
          <w:lang w:val="es-MX"/>
        </w:rPr>
        <w:t>de los vendedores y compradores de</w:t>
      </w:r>
      <w:r w:rsidRPr="005249A5">
        <w:rPr>
          <w:lang w:val="es-MX"/>
        </w:rPr>
        <w:t xml:space="preserve"> casas cambia</w:t>
      </w:r>
      <w:r w:rsidR="009D6907" w:rsidRPr="005249A5">
        <w:rPr>
          <w:lang w:val="es-MX"/>
        </w:rPr>
        <w:t>ra</w:t>
      </w:r>
      <w:r w:rsidRPr="005249A5">
        <w:rPr>
          <w:lang w:val="es-MX"/>
        </w:rPr>
        <w:t xml:space="preserve"> con la llegada de un delincuente sexual, los precios </w:t>
      </w:r>
      <w:r w:rsidR="009D6907" w:rsidRPr="005249A5">
        <w:rPr>
          <w:lang w:val="es-MX"/>
        </w:rPr>
        <w:t>observados</w:t>
      </w:r>
      <w:r w:rsidRPr="005249A5">
        <w:rPr>
          <w:lang w:val="es-MX"/>
        </w:rPr>
        <w:t xml:space="preserve"> </w:t>
      </w:r>
      <w:r w:rsidR="00DB25E1" w:rsidRPr="005249A5">
        <w:rPr>
          <w:lang w:val="es-MX"/>
        </w:rPr>
        <w:t>podrían</w:t>
      </w:r>
      <w:r w:rsidRPr="005249A5">
        <w:rPr>
          <w:lang w:val="es-MX"/>
        </w:rPr>
        <w:t xml:space="preserve"> no ser indicativos de la disposición promedio a pagar por no</w:t>
      </w:r>
      <w:r w:rsidR="009D6907" w:rsidRPr="005249A5">
        <w:rPr>
          <w:lang w:val="es-MX"/>
        </w:rPr>
        <w:t xml:space="preserve"> </w:t>
      </w:r>
      <w:r w:rsidRPr="005249A5">
        <w:rPr>
          <w:lang w:val="es-MX"/>
        </w:rPr>
        <w:t>vivir cerca de</w:t>
      </w:r>
      <w:r w:rsidR="009D6907" w:rsidRPr="005249A5">
        <w:rPr>
          <w:lang w:val="es-MX"/>
        </w:rPr>
        <w:t xml:space="preserve"> él</w:t>
      </w:r>
      <w:r w:rsidRPr="005249A5">
        <w:rPr>
          <w:lang w:val="es-MX"/>
        </w:rPr>
        <w:t xml:space="preserve">. </w:t>
      </w:r>
    </w:p>
    <w:p w:rsidR="004B7316" w:rsidRPr="005249A5" w:rsidRDefault="0072329A" w:rsidP="00F348B7">
      <w:pPr>
        <w:spacing w:after="0" w:line="360" w:lineRule="auto"/>
        <w:ind w:firstLine="357"/>
        <w:jc w:val="both"/>
        <w:rPr>
          <w:lang w:val="es-MX"/>
        </w:rPr>
      </w:pPr>
      <w:r w:rsidRPr="005249A5">
        <w:rPr>
          <w:lang w:val="es-MX"/>
        </w:rPr>
        <w:t>Tal como</w:t>
      </w:r>
      <w:r w:rsidR="004B7316" w:rsidRPr="005249A5">
        <w:rPr>
          <w:lang w:val="es-MX"/>
        </w:rPr>
        <w:t xml:space="preserve"> predecía la hipótesis,</w:t>
      </w:r>
      <w:r w:rsidRPr="005249A5">
        <w:rPr>
          <w:lang w:val="es-MX"/>
        </w:rPr>
        <w:t xml:space="preserve"> el análisis gráfico muestra que</w:t>
      </w:r>
      <w:r w:rsidR="004B7316" w:rsidRPr="005249A5">
        <w:rPr>
          <w:lang w:val="es-MX"/>
        </w:rPr>
        <w:t xml:space="preserve"> los precios de las casas son menores cerca de los delincuentes sexuales (hasta 0.1 millas de distancia aproximadamente). </w:t>
      </w:r>
      <w:r w:rsidRPr="005249A5">
        <w:rPr>
          <w:lang w:val="es-MX"/>
        </w:rPr>
        <w:t>Los autores</w:t>
      </w:r>
      <w:r w:rsidR="004B7316" w:rsidRPr="005249A5">
        <w:rPr>
          <w:lang w:val="es-MX"/>
        </w:rPr>
        <w:t xml:space="preserve"> comenzaron por estimar </w:t>
      </w:r>
      <w:r w:rsidRPr="005249A5">
        <w:rPr>
          <w:lang w:val="es-MX"/>
        </w:rPr>
        <w:t>dos</w:t>
      </w:r>
      <w:r w:rsidR="004B7316" w:rsidRPr="005249A5">
        <w:rPr>
          <w:lang w:val="es-MX"/>
        </w:rPr>
        <w:t xml:space="preserve"> modelos empíricos. Usaron un estimador de corte transv</w:t>
      </w:r>
      <w:r w:rsidR="008C3488" w:rsidRPr="005249A5">
        <w:rPr>
          <w:lang w:val="es-MX"/>
        </w:rPr>
        <w:t xml:space="preserve">ersal </w:t>
      </w:r>
      <w:r w:rsidR="004B7316" w:rsidRPr="005249A5">
        <w:rPr>
          <w:lang w:val="es-MX"/>
        </w:rPr>
        <w:t>para chequear por diferencias prexistentes en casas cercanas y no tan cercanas y luego un</w:t>
      </w:r>
      <w:r w:rsidRPr="005249A5">
        <w:rPr>
          <w:lang w:val="es-MX"/>
        </w:rPr>
        <w:t xml:space="preserve"> estimador de</w:t>
      </w:r>
      <w:r w:rsidR="004B7316" w:rsidRPr="005249A5">
        <w:rPr>
          <w:lang w:val="es-MX"/>
        </w:rPr>
        <w:t xml:space="preserve"> di</w:t>
      </w:r>
      <w:r w:rsidRPr="005249A5">
        <w:rPr>
          <w:lang w:val="es-MX"/>
        </w:rPr>
        <w:t>ferencias en diferencias, utilizando viviendas a un radio de entre 0.1 y 0.3 millas como control y 0.1 como</w:t>
      </w:r>
      <w:r w:rsidR="004B7316" w:rsidRPr="005249A5">
        <w:rPr>
          <w:lang w:val="es-MX"/>
        </w:rPr>
        <w:t xml:space="preserve"> tratamiento.</w:t>
      </w:r>
      <w:r w:rsidR="00EF39BA" w:rsidRPr="005249A5">
        <w:rPr>
          <w:lang w:val="es-MX"/>
        </w:rPr>
        <w:t xml:space="preserve"> El primer modelo de estimación es:</w:t>
      </w:r>
    </w:p>
    <w:p w:rsidR="004B7316" w:rsidRPr="005249A5" w:rsidRDefault="004B7316" w:rsidP="004B7316">
      <w:pPr>
        <w:spacing w:after="0"/>
        <w:ind w:firstLine="360"/>
        <w:jc w:val="both"/>
        <w:rPr>
          <w:lang w:val="es-MX"/>
        </w:rPr>
      </w:pPr>
    </w:p>
    <w:p w:rsidR="004B7316" w:rsidRPr="005249A5" w:rsidRDefault="00A70D70" w:rsidP="004B7316">
      <w:pPr>
        <w:spacing w:after="0"/>
        <w:ind w:firstLine="360"/>
        <w:jc w:val="both"/>
        <w:rPr>
          <w:lang w:val="es-MX"/>
        </w:rPr>
      </w:pPr>
      <m:oMathPara>
        <m:oMathParaPr>
          <m:jc m:val="center"/>
        </m:oMathParaPr>
        <m:oMath>
          <m:func>
            <m:funcPr>
              <m:ctrlPr>
                <w:rPr>
                  <w:rFonts w:ascii="Cambria Math" w:hAnsi="Cambria Math"/>
                  <w:lang w:val="es-MX"/>
                </w:rPr>
              </m:ctrlPr>
            </m:funcPr>
            <m:fName>
              <m:r>
                <m:rPr>
                  <m:sty m:val="p"/>
                </m:rPr>
                <w:rPr>
                  <w:rFonts w:ascii="Cambria Math" w:hAnsi="Cambria Math"/>
                  <w:lang w:val="es-MX"/>
                </w:rPr>
                <m:t>log</m:t>
              </m:r>
            </m:fName>
            <m:e>
              <m:d>
                <m:dPr>
                  <m:ctrlPr>
                    <w:rPr>
                      <w:rFonts w:ascii="Cambria Math" w:hAnsi="Cambria Math"/>
                      <w:i/>
                      <w:lang w:val="es-MX"/>
                    </w:rPr>
                  </m:ctrlPr>
                </m:dPr>
                <m:e>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ijt</m:t>
                      </m:r>
                    </m:sub>
                  </m:sSub>
                </m:e>
              </m:d>
            </m:e>
          </m:func>
          <m:r>
            <w:rPr>
              <w:rFonts w:ascii="Cambria Math" w:hAnsi="Cambria Math"/>
              <w:lang w:val="es-MX"/>
            </w:rPr>
            <m:t xml:space="preserve">= </m:t>
          </m:r>
          <m:sSub>
            <m:sSubPr>
              <m:ctrlPr>
                <w:rPr>
                  <w:rFonts w:ascii="Cambria Math" w:hAnsi="Cambria Math"/>
                  <w:i/>
                  <w:lang w:val="es-MX"/>
                </w:rPr>
              </m:ctrlPr>
            </m:sSubPr>
            <m:e>
              <m:r>
                <w:rPr>
                  <w:rFonts w:ascii="Cambria Math" w:hAnsi="Cambria Math"/>
                  <w:lang w:val="es-MX"/>
                </w:rPr>
                <m:t>α</m:t>
              </m:r>
            </m:e>
            <m:sub>
              <m:r>
                <w:rPr>
                  <w:rFonts w:ascii="Cambria Math" w:hAnsi="Cambria Math"/>
                  <w:lang w:val="es-MX"/>
                </w:rPr>
                <m:t>t</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π</m:t>
              </m:r>
            </m:e>
            <m:sub>
              <m:r>
                <w:rPr>
                  <w:rFonts w:ascii="Cambria Math" w:hAnsi="Cambria Math"/>
                  <w:lang w:val="es-MX"/>
                </w:rPr>
                <m:t>1</m:t>
              </m:r>
            </m:sub>
          </m:sSub>
          <m:sSup>
            <m:sSupPr>
              <m:ctrlPr>
                <w:rPr>
                  <w:rFonts w:ascii="Cambria Math" w:hAnsi="Cambria Math"/>
                  <w:i/>
                  <w:lang w:val="es-MX"/>
                </w:rPr>
              </m:ctrlPr>
            </m:sSupPr>
            <m:e>
              <m:sSub>
                <m:sSubPr>
                  <m:ctrlPr>
                    <w:rPr>
                      <w:rFonts w:ascii="Cambria Math" w:hAnsi="Cambria Math"/>
                      <w:i/>
                      <w:lang w:val="es-MX"/>
                    </w:rPr>
                  </m:ctrlPr>
                </m:sSubPr>
                <m:e>
                  <m:r>
                    <w:rPr>
                      <w:rFonts w:ascii="Cambria Math" w:hAnsi="Cambria Math"/>
                      <w:lang w:val="es-MX"/>
                    </w:rPr>
                    <m:t>D</m:t>
                  </m:r>
                </m:e>
                <m:sub>
                  <m:r>
                    <w:rPr>
                      <w:rFonts w:ascii="Cambria Math" w:hAnsi="Cambria Math"/>
                      <w:lang w:val="es-MX"/>
                    </w:rPr>
                    <m:t>ijt</m:t>
                  </m:r>
                </m:sub>
              </m:sSub>
            </m:e>
            <m:sup>
              <m:r>
                <w:rPr>
                  <w:rFonts w:ascii="Cambria Math" w:hAnsi="Cambria Math"/>
                  <w:lang w:val="es-MX"/>
                </w:rPr>
                <m:t>1/10</m:t>
              </m:r>
            </m:sup>
          </m:sSup>
          <m:r>
            <w:rPr>
              <w:rFonts w:ascii="Cambria Math" w:hAnsi="Cambria Math"/>
              <w:lang w:val="es-MX"/>
            </w:rPr>
            <m:t>+</m:t>
          </m:r>
          <m:sSub>
            <m:sSubPr>
              <m:ctrlPr>
                <w:rPr>
                  <w:rFonts w:ascii="Cambria Math" w:hAnsi="Cambria Math"/>
                  <w:i/>
                  <w:lang w:val="es-MX"/>
                </w:rPr>
              </m:ctrlPr>
            </m:sSubPr>
            <m:e>
              <m:r>
                <w:rPr>
                  <w:rFonts w:ascii="Cambria Math" w:hAnsi="Cambria Math"/>
                  <w:lang w:val="es-MX"/>
                </w:rPr>
                <m:t>ε</m:t>
              </m:r>
            </m:e>
            <m:sub>
              <m:r>
                <w:rPr>
                  <w:rFonts w:ascii="Cambria Math" w:hAnsi="Cambria Math"/>
                  <w:lang w:val="es-MX"/>
                </w:rPr>
                <m:t>ijt</m:t>
              </m:r>
            </m:sub>
          </m:sSub>
        </m:oMath>
      </m:oMathPara>
    </w:p>
    <w:p w:rsidR="00A56D1D" w:rsidRPr="005249A5" w:rsidRDefault="00A56D1D" w:rsidP="004B7316">
      <w:pPr>
        <w:spacing w:after="0"/>
        <w:ind w:firstLine="360"/>
        <w:jc w:val="both"/>
        <w:rPr>
          <w:lang w:val="es-MX"/>
        </w:rPr>
      </w:pPr>
    </w:p>
    <w:p w:rsidR="004B7316" w:rsidRPr="005249A5" w:rsidRDefault="004B7316" w:rsidP="00F348B7">
      <w:pPr>
        <w:spacing w:after="0" w:line="360" w:lineRule="auto"/>
        <w:ind w:firstLine="357"/>
        <w:jc w:val="both"/>
        <w:rPr>
          <w:lang w:val="es-MX"/>
        </w:rPr>
      </w:pPr>
      <w:r w:rsidRPr="005249A5">
        <w:rPr>
          <w:lang w:val="es-MX"/>
        </w:rPr>
        <w:t xml:space="preserve">El logaritmo del precio deflactado de la casa es una función de una medida de la distancia al delincuente sexual, un término aleatorio </w:t>
      </w:r>
      <w:r w:rsidR="00DC0847" w:rsidRPr="005249A5">
        <w:rPr>
          <w:lang w:val="es-MX"/>
        </w:rPr>
        <w:t>d</w:t>
      </w:r>
      <w:r w:rsidRPr="005249A5">
        <w:rPr>
          <w:lang w:val="es-MX"/>
        </w:rPr>
        <w:t xml:space="preserve">e error y un efecto específico por año. </w:t>
      </w:r>
      <w:r w:rsidR="00EF39BA" w:rsidRPr="005249A5">
        <w:rPr>
          <w:lang w:val="es-MX"/>
        </w:rPr>
        <w:t>La estimación con diferencias en diferencias</w:t>
      </w:r>
      <w:r w:rsidRPr="005249A5">
        <w:rPr>
          <w:lang w:val="es-MX"/>
        </w:rPr>
        <w:t xml:space="preserve"> </w:t>
      </w:r>
      <w:r w:rsidR="00EF39BA" w:rsidRPr="005249A5">
        <w:rPr>
          <w:lang w:val="es-MX"/>
        </w:rPr>
        <w:t xml:space="preserve">es análoga, pero </w:t>
      </w:r>
      <w:r w:rsidRPr="005249A5">
        <w:rPr>
          <w:lang w:val="es-MX"/>
        </w:rPr>
        <w:t xml:space="preserve">agrega un indicador por </w:t>
      </w:r>
      <w:r w:rsidR="00EF39BA" w:rsidRPr="005249A5">
        <w:rPr>
          <w:lang w:val="es-MX"/>
        </w:rPr>
        <w:t xml:space="preserve">viviendas entre 0.1 y </w:t>
      </w:r>
      <w:r w:rsidRPr="005249A5">
        <w:rPr>
          <w:lang w:val="es-MX"/>
        </w:rPr>
        <w:t>0.3 milla</w:t>
      </w:r>
      <w:r w:rsidR="00EF39BA" w:rsidRPr="005249A5">
        <w:rPr>
          <w:lang w:val="es-MX"/>
        </w:rPr>
        <w:t>s de distancia del delincuente sexual y</w:t>
      </w:r>
      <w:r w:rsidRPr="005249A5">
        <w:rPr>
          <w:lang w:val="es-MX"/>
        </w:rPr>
        <w:t xml:space="preserve"> una </w:t>
      </w:r>
      <w:r w:rsidR="00EF39BA" w:rsidRPr="005249A5">
        <w:rPr>
          <w:lang w:val="es-MX"/>
        </w:rPr>
        <w:t xml:space="preserve">variable </w:t>
      </w:r>
      <w:r w:rsidRPr="005249A5">
        <w:rPr>
          <w:lang w:val="es-MX"/>
        </w:rPr>
        <w:t xml:space="preserve">binaria por observaciones previas o posteriores a la llegada del </w:t>
      </w:r>
      <w:r w:rsidR="00EF39BA" w:rsidRPr="005249A5">
        <w:rPr>
          <w:lang w:val="es-MX"/>
        </w:rPr>
        <w:t>mismo.</w:t>
      </w:r>
    </w:p>
    <w:p w:rsidR="004B7316" w:rsidRDefault="004B7316" w:rsidP="00F348B7">
      <w:pPr>
        <w:spacing w:after="0" w:line="360" w:lineRule="auto"/>
        <w:ind w:firstLine="357"/>
        <w:jc w:val="both"/>
        <w:rPr>
          <w:lang w:val="es-MX"/>
        </w:rPr>
      </w:pPr>
      <w:r w:rsidRPr="005249A5">
        <w:rPr>
          <w:lang w:val="es-MX"/>
        </w:rPr>
        <w:t xml:space="preserve">Estiman que, en promedio, los valores de las viviendas dentro de un radio de 0.1 millas de un delincuente caen </w:t>
      </w:r>
      <w:r w:rsidR="00DC0847" w:rsidRPr="005249A5">
        <w:rPr>
          <w:lang w:val="es-MX"/>
        </w:rPr>
        <w:t>en</w:t>
      </w:r>
      <w:r w:rsidR="00076500">
        <w:rPr>
          <w:lang w:val="es-MX"/>
        </w:rPr>
        <w:t xml:space="preserve"> aproximadamente 4 porciento</w:t>
      </w:r>
      <w:r w:rsidRPr="005249A5">
        <w:rPr>
          <w:lang w:val="es-MX"/>
        </w:rPr>
        <w:t>. Este efecto se disipa</w:t>
      </w:r>
      <w:r w:rsidR="00FB6897" w:rsidRPr="005249A5">
        <w:rPr>
          <w:lang w:val="es-MX"/>
        </w:rPr>
        <w:t xml:space="preserve"> rápidamente con la distancia. L</w:t>
      </w:r>
      <w:r w:rsidRPr="005249A5">
        <w:rPr>
          <w:lang w:val="es-MX"/>
        </w:rPr>
        <w:t xml:space="preserve">as </w:t>
      </w:r>
      <w:r w:rsidR="00FB6897" w:rsidRPr="005249A5">
        <w:rPr>
          <w:lang w:val="es-MX"/>
        </w:rPr>
        <w:t>viviendas</w:t>
      </w:r>
      <w:r w:rsidRPr="005249A5">
        <w:rPr>
          <w:lang w:val="es-MX"/>
        </w:rPr>
        <w:t xml:space="preserve"> </w:t>
      </w:r>
      <w:r w:rsidR="00FB6897" w:rsidRPr="005249A5">
        <w:rPr>
          <w:lang w:val="es-MX"/>
        </w:rPr>
        <w:t>en un radio de</w:t>
      </w:r>
      <w:r w:rsidRPr="005249A5">
        <w:rPr>
          <w:lang w:val="es-MX"/>
        </w:rPr>
        <w:t xml:space="preserve"> 0.1 a 0.3</w:t>
      </w:r>
      <w:r w:rsidR="00FB6897" w:rsidRPr="005249A5">
        <w:rPr>
          <w:lang w:val="es-MX"/>
        </w:rPr>
        <w:t xml:space="preserve"> millas</w:t>
      </w:r>
      <w:r w:rsidRPr="005249A5">
        <w:rPr>
          <w:lang w:val="es-MX"/>
        </w:rPr>
        <w:t xml:space="preserve"> no muestran efecto</w:t>
      </w:r>
      <w:r w:rsidR="00DC0847" w:rsidRPr="005249A5">
        <w:rPr>
          <w:lang w:val="es-MX"/>
        </w:rPr>
        <w:t xml:space="preserve"> alguno.</w:t>
      </w:r>
      <w:r w:rsidRPr="005249A5">
        <w:rPr>
          <w:lang w:val="es-MX"/>
        </w:rPr>
        <w:t xml:space="preserve"> </w:t>
      </w:r>
      <w:r w:rsidR="0033703C" w:rsidRPr="005249A5">
        <w:rPr>
          <w:lang w:val="es-MX"/>
        </w:rPr>
        <w:t>Consideran</w:t>
      </w:r>
      <w:r w:rsidRPr="005249A5">
        <w:rPr>
          <w:lang w:val="es-MX"/>
        </w:rPr>
        <w:t xml:space="preserve"> que un solo delincuente disminuye el valor de las propiedades en su vecindad en aproximadamente </w:t>
      </w:r>
      <w:r w:rsidR="00FB6897" w:rsidRPr="005249A5">
        <w:rPr>
          <w:lang w:val="es-MX"/>
        </w:rPr>
        <w:t>US$5,500 por casa y en aproximadamente</w:t>
      </w:r>
      <w:r w:rsidRPr="005249A5">
        <w:rPr>
          <w:lang w:val="es-MX"/>
        </w:rPr>
        <w:t xml:space="preserve"> US$60 millones en todo el condado de Mecklenburg. Esto sugiere que los individuos estarían dispuestos a pagar un alto precio por políticas que </w:t>
      </w:r>
      <w:r w:rsidR="00FB6897" w:rsidRPr="005249A5">
        <w:rPr>
          <w:lang w:val="es-MX"/>
        </w:rPr>
        <w:t>alejen</w:t>
      </w:r>
      <w:r w:rsidRPr="005249A5">
        <w:rPr>
          <w:lang w:val="es-MX"/>
        </w:rPr>
        <w:t xml:space="preserve"> a los delincuentes sexuales de sus barrios.</w:t>
      </w:r>
    </w:p>
    <w:p w:rsidR="002A4CDB" w:rsidRPr="005249A5" w:rsidRDefault="002A4CDB" w:rsidP="00F348B7">
      <w:pPr>
        <w:spacing w:after="0" w:line="360" w:lineRule="auto"/>
        <w:ind w:firstLine="357"/>
        <w:jc w:val="both"/>
        <w:rPr>
          <w:lang w:val="es-MX"/>
        </w:rPr>
      </w:pPr>
    </w:p>
    <w:p w:rsidR="00DA37CE" w:rsidRPr="005249A5" w:rsidRDefault="00DA37CE" w:rsidP="004B7316">
      <w:pPr>
        <w:spacing w:after="0"/>
        <w:ind w:firstLine="360"/>
        <w:jc w:val="both"/>
        <w:rPr>
          <w:lang w:val="es-MX"/>
        </w:rPr>
      </w:pPr>
    </w:p>
    <w:p w:rsidR="00597404" w:rsidRPr="006D2442" w:rsidRDefault="00DA37CE" w:rsidP="009E3E3A">
      <w:pPr>
        <w:pStyle w:val="ListParagraph"/>
        <w:numPr>
          <w:ilvl w:val="0"/>
          <w:numId w:val="4"/>
        </w:numPr>
        <w:spacing w:after="0"/>
        <w:ind w:left="426" w:hanging="426"/>
        <w:jc w:val="both"/>
        <w:rPr>
          <w:rFonts w:cstheme="minorHAnsi"/>
          <w:i/>
          <w:lang w:val="en-US"/>
        </w:rPr>
      </w:pPr>
      <w:r w:rsidRPr="006D2442">
        <w:rPr>
          <w:rFonts w:cstheme="minorHAnsi"/>
          <w:i/>
          <w:iCs/>
          <w:color w:val="222222"/>
          <w:shd w:val="clear" w:color="auto" w:fill="FFFFFF"/>
          <w:lang w:val="en-US"/>
        </w:rPr>
        <w:t xml:space="preserve">Estimating Housing Demand with an Application </w:t>
      </w:r>
      <w:r w:rsidR="00E922D6" w:rsidRPr="006D2442">
        <w:rPr>
          <w:rFonts w:cstheme="minorHAnsi"/>
          <w:i/>
          <w:iCs/>
          <w:color w:val="222222"/>
          <w:shd w:val="clear" w:color="auto" w:fill="FFFFFF"/>
          <w:lang w:val="en-US"/>
        </w:rPr>
        <w:t>to</w:t>
      </w:r>
      <w:r w:rsidRPr="006D2442">
        <w:rPr>
          <w:rFonts w:cstheme="minorHAnsi"/>
          <w:i/>
          <w:iCs/>
          <w:color w:val="222222"/>
          <w:shd w:val="clear" w:color="auto" w:fill="FFFFFF"/>
          <w:lang w:val="en-US"/>
        </w:rPr>
        <w:t xml:space="preserve"> Expanding Racial Segregation in Cities.</w:t>
      </w:r>
    </w:p>
    <w:p w:rsidR="00597404" w:rsidRPr="006D2442" w:rsidRDefault="00597404" w:rsidP="00597404">
      <w:pPr>
        <w:pStyle w:val="ListParagraph"/>
        <w:spacing w:after="0"/>
        <w:jc w:val="both"/>
        <w:rPr>
          <w:rFonts w:cstheme="minorHAnsi"/>
          <w:i/>
          <w:lang w:val="en-US"/>
        </w:rPr>
      </w:pPr>
      <w:r w:rsidRPr="006D2442">
        <w:rPr>
          <w:rFonts w:cstheme="minorHAnsi"/>
          <w:i/>
          <w:lang w:val="en-US"/>
        </w:rPr>
        <w:t xml:space="preserve"> </w:t>
      </w:r>
    </w:p>
    <w:p w:rsidR="00C96FBB" w:rsidRPr="005249A5" w:rsidRDefault="008E0B99" w:rsidP="00F348B7">
      <w:pPr>
        <w:spacing w:after="0" w:line="360" w:lineRule="auto"/>
        <w:ind w:firstLine="357"/>
        <w:jc w:val="both"/>
        <w:rPr>
          <w:lang w:val="es-MX"/>
        </w:rPr>
      </w:pPr>
      <w:r w:rsidRPr="005249A5">
        <w:rPr>
          <w:lang w:val="es-MX"/>
        </w:rPr>
        <w:t>Kahn</w:t>
      </w:r>
      <w:r w:rsidR="00597404" w:rsidRPr="005249A5">
        <w:rPr>
          <w:lang w:val="es-MX"/>
        </w:rPr>
        <w:t xml:space="preserve"> y Bajari (2005)</w:t>
      </w:r>
      <w:r w:rsidR="00DC034A" w:rsidRPr="005249A5">
        <w:rPr>
          <w:lang w:val="es-MX"/>
        </w:rPr>
        <w:t xml:space="preserve"> realiza una estimación no paramétrica en tres etapas de la propensión a pagar por los atributos de una vivienda. En la primera etapa estiman no paramétricamente una función hedónica del precio de la propiedad – utilizando un método polinomial local -</w:t>
      </w:r>
      <w:r w:rsidR="00167F1C" w:rsidRPr="005249A5">
        <w:rPr>
          <w:lang w:val="es-MX"/>
        </w:rPr>
        <w:t>, donde el término de error se interpreta como las características inobservables de la vivienda</w:t>
      </w:r>
      <w:r w:rsidR="00DC034A" w:rsidRPr="005249A5">
        <w:rPr>
          <w:lang w:val="es-MX"/>
        </w:rPr>
        <w:t xml:space="preserve">. </w:t>
      </w:r>
      <w:r w:rsidR="00314D8F" w:rsidRPr="005249A5">
        <w:rPr>
          <w:lang w:val="es-MX"/>
        </w:rPr>
        <w:t xml:space="preserve">Luego intentan estimar las características inobservables. </w:t>
      </w:r>
      <w:r w:rsidR="00DC034A" w:rsidRPr="005249A5">
        <w:rPr>
          <w:lang w:val="es-MX"/>
        </w:rPr>
        <w:t xml:space="preserve">En la segunda etapa utilizan los parámetros de la utilidad </w:t>
      </w:r>
      <w:r w:rsidR="00DC034A" w:rsidRPr="005249A5">
        <w:rPr>
          <w:lang w:val="es-MX"/>
        </w:rPr>
        <w:lastRenderedPageBreak/>
        <w:t xml:space="preserve">de cada consumidor </w:t>
      </w:r>
      <w:r w:rsidR="00F15BAC" w:rsidRPr="005249A5">
        <w:rPr>
          <w:lang w:val="es-MX"/>
        </w:rPr>
        <w:t>respecto a</w:t>
      </w:r>
      <w:r w:rsidR="00DC034A" w:rsidRPr="005249A5">
        <w:rPr>
          <w:lang w:val="es-MX"/>
        </w:rPr>
        <w:t xml:space="preserve"> las características del hogar utilizando con</w:t>
      </w:r>
      <w:r w:rsidRPr="005249A5">
        <w:rPr>
          <w:lang w:val="es-MX"/>
        </w:rPr>
        <w:t>d</w:t>
      </w:r>
      <w:r w:rsidR="00DC034A" w:rsidRPr="005249A5">
        <w:rPr>
          <w:lang w:val="es-MX"/>
        </w:rPr>
        <w:t xml:space="preserve">iciones de primer orden para la maximización de la utilidad. En la tercera etapa, </w:t>
      </w:r>
      <w:r w:rsidRPr="005249A5">
        <w:rPr>
          <w:lang w:val="es-MX"/>
        </w:rPr>
        <w:t>estiman la distribución de las utilidade</w:t>
      </w:r>
      <w:r w:rsidR="00167F1C" w:rsidRPr="005249A5">
        <w:rPr>
          <w:lang w:val="es-MX"/>
        </w:rPr>
        <w:t>s (preferencias</w:t>
      </w:r>
      <w:r w:rsidRPr="005249A5">
        <w:rPr>
          <w:lang w:val="es-MX"/>
        </w:rPr>
        <w:t>) en función de la demografía del hogar</w:t>
      </w:r>
      <w:r w:rsidR="00C96FBB" w:rsidRPr="005249A5">
        <w:rPr>
          <w:lang w:val="es-MX"/>
        </w:rPr>
        <w:t xml:space="preserve"> y obtienen</w:t>
      </w:r>
      <w:r w:rsidR="00184A23" w:rsidRPr="005249A5">
        <w:rPr>
          <w:lang w:val="es-MX"/>
        </w:rPr>
        <w:t xml:space="preserve"> los</w:t>
      </w:r>
      <w:r w:rsidR="00C96FBB" w:rsidRPr="005249A5">
        <w:rPr>
          <w:lang w:val="es-MX"/>
        </w:rPr>
        <w:t xml:space="preserve"> coeficientes de</w:t>
      </w:r>
      <w:r w:rsidR="00184A23" w:rsidRPr="005249A5">
        <w:rPr>
          <w:lang w:val="es-MX"/>
        </w:rPr>
        <w:t xml:space="preserve"> la</w:t>
      </w:r>
      <w:r w:rsidR="00C96FBB" w:rsidRPr="005249A5">
        <w:rPr>
          <w:lang w:val="es-MX"/>
        </w:rPr>
        <w:t xml:space="preserve"> utilidad individual</w:t>
      </w:r>
      <w:r w:rsidRPr="005249A5">
        <w:rPr>
          <w:lang w:val="es-MX"/>
        </w:rPr>
        <w:t>.</w:t>
      </w:r>
      <w:r w:rsidR="00184A23" w:rsidRPr="005249A5">
        <w:rPr>
          <w:lang w:val="es-MX"/>
        </w:rPr>
        <w:t xml:space="preserve"> Esta metodología para estimar demandas por características de las viviendas en tres etapas relaja algunos </w:t>
      </w:r>
      <w:r w:rsidR="004679CA" w:rsidRPr="005249A5">
        <w:rPr>
          <w:lang w:val="es-MX"/>
        </w:rPr>
        <w:t>d</w:t>
      </w:r>
      <w:r w:rsidR="00184A23" w:rsidRPr="005249A5">
        <w:rPr>
          <w:lang w:val="es-MX"/>
        </w:rPr>
        <w:t xml:space="preserve">e los supuestos comunes en la literatura, como que los coeficientes aleatorios tienen distribución normal y son independientes a través de los atributos de los hogares. </w:t>
      </w:r>
    </w:p>
    <w:p w:rsidR="004F1968" w:rsidRPr="002359A9" w:rsidRDefault="00C96FBB" w:rsidP="00F348B7">
      <w:pPr>
        <w:spacing w:after="0" w:line="360" w:lineRule="auto"/>
        <w:ind w:firstLine="357"/>
        <w:jc w:val="both"/>
        <w:rPr>
          <w:lang w:val="es-MX"/>
        </w:rPr>
      </w:pPr>
      <w:r w:rsidRPr="005249A5">
        <w:rPr>
          <w:lang w:val="es-MX"/>
        </w:rPr>
        <w:t xml:space="preserve">Hacen una aplicación </w:t>
      </w:r>
      <w:r w:rsidR="00F15BAC" w:rsidRPr="005249A5">
        <w:rPr>
          <w:lang w:val="es-MX"/>
        </w:rPr>
        <w:t>d</w:t>
      </w:r>
      <w:r w:rsidRPr="005249A5">
        <w:rPr>
          <w:lang w:val="es-MX"/>
        </w:rPr>
        <w:t xml:space="preserve">e esta metodología </w:t>
      </w:r>
      <w:r w:rsidR="00F15BAC" w:rsidRPr="005249A5">
        <w:rPr>
          <w:lang w:val="es-MX"/>
        </w:rPr>
        <w:t xml:space="preserve">a </w:t>
      </w:r>
      <w:r w:rsidRPr="005249A5">
        <w:rPr>
          <w:lang w:val="es-MX"/>
        </w:rPr>
        <w:t>por qué la comunidad afroamericana prefiere ciudades céntricas mientras que los blancos suburbanizan.</w:t>
      </w:r>
      <w:r w:rsidR="008E0B99" w:rsidRPr="005249A5">
        <w:rPr>
          <w:lang w:val="es-MX"/>
        </w:rPr>
        <w:t xml:space="preserve"> </w:t>
      </w:r>
      <w:r w:rsidR="005D2A4B" w:rsidRPr="005249A5">
        <w:rPr>
          <w:lang w:val="es-MX"/>
        </w:rPr>
        <w:t>Para esto, derivan preferencias para características observables e inobservables p</w:t>
      </w:r>
      <w:r w:rsidR="00E82A43" w:rsidRPr="005249A5">
        <w:rPr>
          <w:lang w:val="es-MX"/>
        </w:rPr>
        <w:t xml:space="preserve">or </w:t>
      </w:r>
      <w:r w:rsidR="005D2A4B" w:rsidRPr="005249A5">
        <w:rPr>
          <w:lang w:val="es-MX"/>
        </w:rPr>
        <w:t xml:space="preserve">el economista. </w:t>
      </w:r>
      <w:r w:rsidR="004679CA" w:rsidRPr="005249A5">
        <w:rPr>
          <w:lang w:val="es-MX"/>
        </w:rPr>
        <w:t>Concluyen</w:t>
      </w:r>
      <w:r w:rsidR="005249A5" w:rsidRPr="005249A5">
        <w:rPr>
          <w:lang w:val="es-MX"/>
        </w:rPr>
        <w:t xml:space="preserve"> que la suburbanizació</w:t>
      </w:r>
      <w:r w:rsidR="00184A23" w:rsidRPr="005249A5">
        <w:rPr>
          <w:lang w:val="es-MX"/>
        </w:rPr>
        <w:t xml:space="preserve">n de los blancos es impulsada por su preferencia por viviendas individuales separadas, y su demanda por vivir en zonas con alto capital humano. </w:t>
      </w:r>
      <w:r w:rsidR="007F1EE5" w:rsidRPr="005249A5">
        <w:rPr>
          <w:lang w:val="es-MX"/>
        </w:rPr>
        <w:t xml:space="preserve">La demanda por este tipo de zonas de la comunidad negra </w:t>
      </w:r>
      <w:r w:rsidR="004679CA" w:rsidRPr="005249A5">
        <w:rPr>
          <w:lang w:val="es-MX"/>
        </w:rPr>
        <w:t>aumentaría</w:t>
      </w:r>
      <w:r w:rsidR="007F1EE5" w:rsidRPr="005249A5">
        <w:rPr>
          <w:lang w:val="es-MX"/>
        </w:rPr>
        <w:t xml:space="preserve"> si sus ingresos, nivel </w:t>
      </w:r>
      <w:r w:rsidR="004679CA" w:rsidRPr="005249A5">
        <w:rPr>
          <w:lang w:val="es-MX"/>
        </w:rPr>
        <w:t>educativo</w:t>
      </w:r>
      <w:r w:rsidR="007F1EE5" w:rsidRPr="005249A5">
        <w:rPr>
          <w:lang w:val="es-MX"/>
        </w:rPr>
        <w:t xml:space="preserve"> y tasas de </w:t>
      </w:r>
      <w:r w:rsidR="004679CA" w:rsidRPr="005249A5">
        <w:rPr>
          <w:lang w:val="es-MX"/>
        </w:rPr>
        <w:t>casamiento</w:t>
      </w:r>
      <w:r w:rsidR="007F1EE5" w:rsidRPr="005249A5">
        <w:rPr>
          <w:lang w:val="es-MX"/>
        </w:rPr>
        <w:t xml:space="preserve"> fueran tan altos como para los blancos. Rechazan la hipótesis de que la demanda de los blancos por vivir en los suburbios sea por el deseo de vivir con otros blancos. </w:t>
      </w:r>
    </w:p>
    <w:p w:rsidR="00CD757B" w:rsidRPr="005249A5" w:rsidRDefault="00CD757B" w:rsidP="00E9163F">
      <w:pPr>
        <w:spacing w:after="0" w:line="240" w:lineRule="auto"/>
        <w:rPr>
          <w:rFonts w:ascii="Arial" w:eastAsia="Times New Roman" w:hAnsi="Arial" w:cs="Arial"/>
          <w:color w:val="222222"/>
          <w:sz w:val="16"/>
          <w:szCs w:val="16"/>
          <w:shd w:val="clear" w:color="auto" w:fill="FFFFFF"/>
          <w:lang w:val="es-MX"/>
        </w:rPr>
      </w:pPr>
    </w:p>
    <w:p w:rsidR="0022268B" w:rsidRPr="005249A5" w:rsidRDefault="0022268B" w:rsidP="0022268B">
      <w:pPr>
        <w:pStyle w:val="Heading1"/>
        <w:numPr>
          <w:ilvl w:val="0"/>
          <w:numId w:val="2"/>
        </w:numPr>
        <w:rPr>
          <w:lang w:val="es-MX"/>
        </w:rPr>
      </w:pPr>
      <w:bookmarkStart w:id="4" w:name="_Toc340428160"/>
      <w:r w:rsidRPr="005249A5">
        <w:rPr>
          <w:lang w:val="es-MX"/>
        </w:rPr>
        <w:t>Datos</w:t>
      </w:r>
      <w:bookmarkEnd w:id="4"/>
      <w:r w:rsidRPr="005249A5">
        <w:rPr>
          <w:lang w:val="es-MX"/>
        </w:rPr>
        <w:t xml:space="preserve"> </w:t>
      </w:r>
    </w:p>
    <w:p w:rsidR="00E51C77" w:rsidRPr="005249A5" w:rsidRDefault="00E51C77" w:rsidP="0022268B">
      <w:pPr>
        <w:jc w:val="both"/>
        <w:rPr>
          <w:lang w:val="es-MX"/>
        </w:rPr>
      </w:pPr>
    </w:p>
    <w:p w:rsidR="0019204B" w:rsidRDefault="005F294C" w:rsidP="00F348B7">
      <w:pPr>
        <w:spacing w:after="0" w:line="360" w:lineRule="auto"/>
        <w:jc w:val="both"/>
        <w:rPr>
          <w:lang w:val="es-MX"/>
        </w:rPr>
      </w:pPr>
      <w:r w:rsidRPr="005249A5">
        <w:rPr>
          <w:lang w:val="es-MX"/>
        </w:rPr>
        <w:t xml:space="preserve">Contamos con </w:t>
      </w:r>
      <w:r w:rsidR="00957680">
        <w:rPr>
          <w:lang w:val="es-MX"/>
        </w:rPr>
        <w:t>una base</w:t>
      </w:r>
      <w:r w:rsidRPr="005249A5">
        <w:rPr>
          <w:lang w:val="es-MX"/>
        </w:rPr>
        <w:t xml:space="preserve"> de datos sobre avalúos</w:t>
      </w:r>
      <w:r w:rsidR="00957680">
        <w:rPr>
          <w:lang w:val="es-MX"/>
        </w:rPr>
        <w:t xml:space="preserve"> de inmuebles </w:t>
      </w:r>
      <w:r w:rsidR="007332B7">
        <w:rPr>
          <w:lang w:val="es-MX"/>
        </w:rPr>
        <w:t xml:space="preserve"> y </w:t>
      </w:r>
      <w:r w:rsidR="00957680">
        <w:rPr>
          <w:lang w:val="es-MX"/>
        </w:rPr>
        <w:t xml:space="preserve">dos </w:t>
      </w:r>
      <w:r w:rsidR="007332B7">
        <w:rPr>
          <w:lang w:val="es-MX"/>
        </w:rPr>
        <w:t xml:space="preserve">bases </w:t>
      </w:r>
      <w:r w:rsidR="00957680">
        <w:rPr>
          <w:lang w:val="es-MX"/>
        </w:rPr>
        <w:t>sobre</w:t>
      </w:r>
      <w:r w:rsidRPr="005249A5">
        <w:rPr>
          <w:lang w:val="es-MX"/>
        </w:rPr>
        <w:t xml:space="preserve"> homicidios</w:t>
      </w:r>
      <w:r w:rsidR="00957680">
        <w:rPr>
          <w:lang w:val="es-MX"/>
        </w:rPr>
        <w:t>.</w:t>
      </w:r>
      <w:r w:rsidRPr="005249A5">
        <w:rPr>
          <w:lang w:val="es-MX"/>
        </w:rPr>
        <w:t xml:space="preserve"> </w:t>
      </w:r>
      <w:r w:rsidR="00957680">
        <w:rPr>
          <w:lang w:val="es-MX"/>
        </w:rPr>
        <w:t xml:space="preserve">La base de </w:t>
      </w:r>
      <w:r w:rsidR="00F348B7">
        <w:rPr>
          <w:lang w:val="es-MX"/>
        </w:rPr>
        <w:t>avalúos</w:t>
      </w:r>
      <w:r w:rsidR="007332B7">
        <w:rPr>
          <w:rStyle w:val="FootnoteReference"/>
          <w:lang w:val="es-MX"/>
        </w:rPr>
        <w:footnoteReference w:id="19"/>
      </w:r>
      <w:r w:rsidR="00EA7EA4">
        <w:rPr>
          <w:lang w:val="es-MX"/>
        </w:rPr>
        <w:t xml:space="preserve">  contiene, por inmueble, </w:t>
      </w:r>
      <w:r w:rsidR="007332B7">
        <w:rPr>
          <w:lang w:val="es-MX"/>
        </w:rPr>
        <w:t xml:space="preserve">precio estimado, </w:t>
      </w:r>
      <w:r w:rsidR="00C059DE">
        <w:rPr>
          <w:lang w:val="es-MX"/>
        </w:rPr>
        <w:t>características</w:t>
      </w:r>
      <w:r w:rsidR="00EA7EA4">
        <w:rPr>
          <w:lang w:val="es-MX"/>
        </w:rPr>
        <w:t xml:space="preserve"> y ubicación. Las</w:t>
      </w:r>
      <w:r w:rsidR="007332B7">
        <w:rPr>
          <w:lang w:val="es-MX"/>
        </w:rPr>
        <w:t xml:space="preserve"> dos bases de homicidios</w:t>
      </w:r>
      <w:r w:rsidR="00EA7EA4">
        <w:rPr>
          <w:lang w:val="es-MX"/>
        </w:rPr>
        <w:t xml:space="preserve"> provienen de distintas fuentes</w:t>
      </w:r>
      <w:r w:rsidR="00940A8E">
        <w:rPr>
          <w:lang w:val="es-MX"/>
        </w:rPr>
        <w:t xml:space="preserve">. La primera, </w:t>
      </w:r>
      <w:r w:rsidR="007332B7">
        <w:rPr>
          <w:lang w:val="es-MX"/>
        </w:rPr>
        <w:t xml:space="preserve"> </w:t>
      </w:r>
      <w:r w:rsidR="00940A8E">
        <w:rPr>
          <w:lang w:val="es-MX"/>
        </w:rPr>
        <w:t>recopila los</w:t>
      </w:r>
      <w:r w:rsidR="00DD292E">
        <w:rPr>
          <w:lang w:val="es-MX"/>
        </w:rPr>
        <w:t xml:space="preserve"> “f</w:t>
      </w:r>
      <w:r w:rsidR="007332B7">
        <w:rPr>
          <w:lang w:val="es-MX"/>
        </w:rPr>
        <w:t>allecimientos re</w:t>
      </w:r>
      <w:r w:rsidR="00DD292E">
        <w:rPr>
          <w:lang w:val="es-MX"/>
        </w:rPr>
        <w:t>lacionados al crimen organizado”</w:t>
      </w:r>
      <w:r w:rsidR="007332B7">
        <w:rPr>
          <w:lang w:val="es-MX"/>
        </w:rPr>
        <w:t xml:space="preserve"> que publica la Presidencia de la República </w:t>
      </w:r>
      <w:r w:rsidR="00DD292E">
        <w:rPr>
          <w:lang w:val="es-MX"/>
        </w:rPr>
        <w:t>en</w:t>
      </w:r>
      <w:r w:rsidR="00EA7EA4">
        <w:rPr>
          <w:lang w:val="es-MX"/>
        </w:rPr>
        <w:t xml:space="preserve"> base </w:t>
      </w:r>
      <w:r w:rsidR="00DD292E">
        <w:rPr>
          <w:lang w:val="es-MX"/>
        </w:rPr>
        <w:t>a</w:t>
      </w:r>
      <w:r w:rsidR="00EA7EA4">
        <w:rPr>
          <w:lang w:val="es-MX"/>
        </w:rPr>
        <w:t xml:space="preserve"> reportes de campo hechos por</w:t>
      </w:r>
      <w:r w:rsidR="007332B7">
        <w:rPr>
          <w:lang w:val="es-MX"/>
        </w:rPr>
        <w:t xml:space="preserve"> instituciones federales y estatales de seguridad pública</w:t>
      </w:r>
      <w:r w:rsidR="008A37BE">
        <w:rPr>
          <w:lang w:val="es-MX"/>
        </w:rPr>
        <w:t xml:space="preserve">. </w:t>
      </w:r>
      <w:r w:rsidR="00EA7EA4">
        <w:rPr>
          <w:lang w:val="es-MX"/>
        </w:rPr>
        <w:t xml:space="preserve">Los fallecimientos de la base </w:t>
      </w:r>
      <w:r w:rsidR="00DD292E">
        <w:rPr>
          <w:lang w:val="es-MX"/>
        </w:rPr>
        <w:t>se presentan</w:t>
      </w:r>
      <w:r w:rsidR="00EA7EA4">
        <w:rPr>
          <w:lang w:val="es-MX"/>
        </w:rPr>
        <w:t xml:space="preserve"> </w:t>
      </w:r>
      <w:r w:rsidR="00DD292E">
        <w:rPr>
          <w:lang w:val="es-MX"/>
        </w:rPr>
        <w:t>agregados</w:t>
      </w:r>
      <w:r w:rsidR="00EA7EA4">
        <w:rPr>
          <w:lang w:val="es-MX"/>
        </w:rPr>
        <w:t xml:space="preserve"> </w:t>
      </w:r>
      <w:r w:rsidR="00712DCB">
        <w:rPr>
          <w:lang w:val="es-MX"/>
        </w:rPr>
        <w:t xml:space="preserve">por mes y municipio. </w:t>
      </w:r>
      <w:r w:rsidR="00940A8E">
        <w:rPr>
          <w:lang w:val="es-MX"/>
        </w:rPr>
        <w:t>La segunda, es una base que publica el Sistema Nacional de Información en Salud</w:t>
      </w:r>
      <w:r w:rsidR="00940A8E">
        <w:rPr>
          <w:rStyle w:val="FootnoteReference"/>
          <w:lang w:val="es-MX"/>
        </w:rPr>
        <w:footnoteReference w:id="20"/>
      </w:r>
      <w:r w:rsidR="00FE1E87">
        <w:rPr>
          <w:lang w:val="es-MX"/>
        </w:rPr>
        <w:t xml:space="preserve"> (SINAIS)</w:t>
      </w:r>
      <w:r w:rsidR="00940A8E">
        <w:rPr>
          <w:lang w:val="es-MX"/>
        </w:rPr>
        <w:t>. Esta base viene desagregada por</w:t>
      </w:r>
      <w:r w:rsidR="00FE1E87">
        <w:rPr>
          <w:lang w:val="es-MX"/>
        </w:rPr>
        <w:t xml:space="preserve"> tipos de</w:t>
      </w:r>
      <w:r w:rsidR="00940A8E">
        <w:rPr>
          <w:lang w:val="es-MX"/>
        </w:rPr>
        <w:t xml:space="preserve"> homicidios y sus </w:t>
      </w:r>
      <w:r w:rsidR="00FE1E87">
        <w:rPr>
          <w:lang w:val="es-MX"/>
        </w:rPr>
        <w:t>características</w:t>
      </w:r>
      <w:r w:rsidR="00940A8E">
        <w:rPr>
          <w:lang w:val="es-MX"/>
        </w:rPr>
        <w:t xml:space="preserve">. Con el objeto de obtener la unidad </w:t>
      </w:r>
      <w:r w:rsidR="008A37BE">
        <w:rPr>
          <w:lang w:val="es-MX"/>
        </w:rPr>
        <w:t xml:space="preserve">de </w:t>
      </w:r>
      <w:r w:rsidR="00E767ED">
        <w:rPr>
          <w:lang w:val="es-MX"/>
        </w:rPr>
        <w:t>desagregación</w:t>
      </w:r>
      <w:r w:rsidR="008A37BE">
        <w:rPr>
          <w:lang w:val="es-MX"/>
        </w:rPr>
        <w:t xml:space="preserve"> </w:t>
      </w:r>
      <w:r w:rsidR="00E767ED">
        <w:rPr>
          <w:lang w:val="es-MX"/>
        </w:rPr>
        <w:t>geográfica</w:t>
      </w:r>
      <w:r w:rsidR="008A37BE">
        <w:rPr>
          <w:lang w:val="es-MX"/>
        </w:rPr>
        <w:t xml:space="preserve"> más pequeña posible</w:t>
      </w:r>
      <w:r w:rsidR="008A37BE">
        <w:rPr>
          <w:rStyle w:val="FootnoteReference"/>
          <w:lang w:val="es-MX"/>
        </w:rPr>
        <w:footnoteReference w:id="21"/>
      </w:r>
      <w:r w:rsidR="00EA7EA4">
        <w:rPr>
          <w:lang w:val="es-MX"/>
        </w:rPr>
        <w:t>,  utilizamos los homicidios registrados en la base</w:t>
      </w:r>
      <w:r w:rsidR="008A37BE">
        <w:rPr>
          <w:lang w:val="es-MX"/>
        </w:rPr>
        <w:t xml:space="preserve"> del SINAIS agregados por</w:t>
      </w:r>
      <w:r w:rsidR="00712DCB">
        <w:rPr>
          <w:lang w:val="es-MX"/>
        </w:rPr>
        <w:t xml:space="preserve"> localidad y mes</w:t>
      </w:r>
      <w:r w:rsidR="00712DCB">
        <w:rPr>
          <w:rStyle w:val="FootnoteReference"/>
          <w:lang w:val="es-MX"/>
        </w:rPr>
        <w:footnoteReference w:id="22"/>
      </w:r>
      <w:r w:rsidR="008A37BE">
        <w:rPr>
          <w:lang w:val="es-MX"/>
        </w:rPr>
        <w:t xml:space="preserve">. </w:t>
      </w:r>
      <w:r w:rsidR="003877C7">
        <w:rPr>
          <w:lang w:val="es-MX"/>
        </w:rPr>
        <w:t xml:space="preserve"> </w:t>
      </w:r>
      <w:r w:rsidR="0019204B">
        <w:rPr>
          <w:lang w:val="es-MX"/>
        </w:rPr>
        <w:t>Unimos</w:t>
      </w:r>
      <w:r w:rsidR="00712DCB">
        <w:rPr>
          <w:lang w:val="es-MX"/>
        </w:rPr>
        <w:t xml:space="preserve"> la</w:t>
      </w:r>
      <w:r w:rsidR="00E767ED">
        <w:rPr>
          <w:lang w:val="es-MX"/>
        </w:rPr>
        <w:t>s</w:t>
      </w:r>
      <w:r w:rsidR="00712DCB">
        <w:rPr>
          <w:lang w:val="es-MX"/>
        </w:rPr>
        <w:t xml:space="preserve"> base</w:t>
      </w:r>
      <w:r w:rsidR="00E767ED">
        <w:rPr>
          <w:lang w:val="es-MX"/>
        </w:rPr>
        <w:t>s</w:t>
      </w:r>
      <w:r w:rsidR="00712DCB">
        <w:rPr>
          <w:lang w:val="es-MX"/>
        </w:rPr>
        <w:t xml:space="preserve"> de los avalúos y el SINAIS para </w:t>
      </w:r>
      <w:r w:rsidR="003877C7">
        <w:rPr>
          <w:lang w:val="es-MX"/>
        </w:rPr>
        <w:t>identificar</w:t>
      </w:r>
      <w:r w:rsidR="00E767ED">
        <w:rPr>
          <w:lang w:val="es-MX"/>
        </w:rPr>
        <w:t xml:space="preserve"> cuá</w:t>
      </w:r>
      <w:r w:rsidR="00BD6B40">
        <w:rPr>
          <w:lang w:val="es-MX"/>
        </w:rPr>
        <w:t>ntos homicidios hubo en</w:t>
      </w:r>
      <w:r w:rsidR="00842A01">
        <w:rPr>
          <w:lang w:val="es-MX"/>
        </w:rPr>
        <w:t xml:space="preserve"> la</w:t>
      </w:r>
      <w:r w:rsidR="003877C7">
        <w:rPr>
          <w:lang w:val="es-MX"/>
        </w:rPr>
        <w:t xml:space="preserve"> localidad y el mes </w:t>
      </w:r>
      <w:r w:rsidR="00E767ED">
        <w:rPr>
          <w:lang w:val="es-MX"/>
        </w:rPr>
        <w:t>de realización de</w:t>
      </w:r>
      <w:r w:rsidR="00842A01">
        <w:rPr>
          <w:lang w:val="es-MX"/>
        </w:rPr>
        <w:t xml:space="preserve"> cada</w:t>
      </w:r>
      <w:r w:rsidR="00712DCB">
        <w:rPr>
          <w:lang w:val="es-MX"/>
        </w:rPr>
        <w:t xml:space="preserve"> </w:t>
      </w:r>
      <w:r w:rsidR="003877C7">
        <w:rPr>
          <w:lang w:val="es-MX"/>
        </w:rPr>
        <w:t>avalúo.</w:t>
      </w:r>
    </w:p>
    <w:p w:rsidR="002761CF" w:rsidRDefault="000D0EEF" w:rsidP="00F348B7">
      <w:pPr>
        <w:spacing w:after="0" w:line="360" w:lineRule="auto"/>
        <w:ind w:firstLine="708"/>
        <w:jc w:val="both"/>
        <w:rPr>
          <w:lang w:val="es-MX"/>
        </w:rPr>
      </w:pPr>
      <w:r>
        <w:rPr>
          <w:lang w:val="es-MX"/>
        </w:rPr>
        <w:lastRenderedPageBreak/>
        <w:t xml:space="preserve">El registro de los avalúos en México tiene sus </w:t>
      </w:r>
      <w:r w:rsidR="00205C7F">
        <w:rPr>
          <w:lang w:val="es-MX"/>
        </w:rPr>
        <w:t>orígenes</w:t>
      </w:r>
      <w:r>
        <w:rPr>
          <w:lang w:val="es-MX"/>
        </w:rPr>
        <w:t xml:space="preserve"> en la “Ley de Trasparencia y de Fomento a la Competencia en el Crédito Garantizado”</w:t>
      </w:r>
      <w:r>
        <w:rPr>
          <w:rStyle w:val="FootnoteReference"/>
          <w:lang w:val="es-MX"/>
        </w:rPr>
        <w:footnoteReference w:id="23"/>
      </w:r>
      <w:r>
        <w:rPr>
          <w:lang w:val="es-MX"/>
        </w:rPr>
        <w:t>. Dicha ley</w:t>
      </w:r>
      <w:r w:rsidR="00300EAE">
        <w:rPr>
          <w:lang w:val="es-MX"/>
        </w:rPr>
        <w:t xml:space="preserve"> </w:t>
      </w:r>
      <w:r w:rsidR="00300EAE" w:rsidRPr="00300EAE">
        <w:rPr>
          <w:bCs/>
          <w:i/>
        </w:rPr>
        <w:t>tiene por objeto regular las actividades y servicios</w:t>
      </w:r>
      <w:r w:rsidR="00300EAE">
        <w:rPr>
          <w:bCs/>
          <w:i/>
        </w:rPr>
        <w:t xml:space="preserve"> para el otorgamiento de Crédito Garantizad</w:t>
      </w:r>
      <w:r w:rsidR="00DE0803">
        <w:rPr>
          <w:bCs/>
          <w:i/>
        </w:rPr>
        <w:t xml:space="preserve">o </w:t>
      </w:r>
      <w:r w:rsidR="00300EAE">
        <w:rPr>
          <w:rStyle w:val="FootnoteReference"/>
          <w:bCs/>
          <w:i/>
        </w:rPr>
        <w:footnoteReference w:id="24"/>
      </w:r>
      <w:r w:rsidR="00DE0803">
        <w:rPr>
          <w:bCs/>
          <w:i/>
        </w:rPr>
        <w:t xml:space="preserve"> </w:t>
      </w:r>
      <w:r w:rsidR="00300EAE">
        <w:rPr>
          <w:rStyle w:val="FootnoteReference"/>
          <w:bCs/>
          <w:i/>
        </w:rPr>
        <w:footnoteReference w:id="25"/>
      </w:r>
      <w:r w:rsidR="00DE0803">
        <w:rPr>
          <w:bCs/>
          <w:i/>
        </w:rPr>
        <w:t xml:space="preserve">. </w:t>
      </w:r>
      <w:r w:rsidR="00BD6B40">
        <w:rPr>
          <w:bCs/>
        </w:rPr>
        <w:t xml:space="preserve"> En particular, la</w:t>
      </w:r>
      <w:r w:rsidR="00DE0803">
        <w:rPr>
          <w:bCs/>
        </w:rPr>
        <w:t xml:space="preserve"> ley especi</w:t>
      </w:r>
      <w:r w:rsidR="00D124D9">
        <w:rPr>
          <w:bCs/>
        </w:rPr>
        <w:t>fica que cua</w:t>
      </w:r>
      <w:r w:rsidR="00842A01">
        <w:rPr>
          <w:bCs/>
        </w:rPr>
        <w:t>ndo una vivienda</w:t>
      </w:r>
      <w:r w:rsidR="00DE0803">
        <w:rPr>
          <w:bCs/>
        </w:rPr>
        <w:t xml:space="preserve"> sea objeto de crédito garan</w:t>
      </w:r>
      <w:r w:rsidR="00BD6B40">
        <w:rPr>
          <w:bCs/>
        </w:rPr>
        <w:t xml:space="preserve">tizado, y </w:t>
      </w:r>
      <w:r w:rsidR="00842A01">
        <w:rPr>
          <w:bCs/>
        </w:rPr>
        <w:t>la misma</w:t>
      </w:r>
      <w:r w:rsidR="00BD6B40">
        <w:rPr>
          <w:bCs/>
        </w:rPr>
        <w:t xml:space="preserve"> sirva cómo colateral, entonces</w:t>
      </w:r>
      <w:r w:rsidR="00842A01">
        <w:rPr>
          <w:bCs/>
        </w:rPr>
        <w:t xml:space="preserve"> </w:t>
      </w:r>
      <w:r w:rsidR="00DE2E0B">
        <w:rPr>
          <w:bCs/>
        </w:rPr>
        <w:t>esta debe de ser</w:t>
      </w:r>
      <w:r w:rsidR="00842A01">
        <w:rPr>
          <w:bCs/>
        </w:rPr>
        <w:t xml:space="preserve"> valuada</w:t>
      </w:r>
      <w:r w:rsidR="00DE0803">
        <w:rPr>
          <w:bCs/>
        </w:rPr>
        <w:t xml:space="preserve"> por un valuador</w:t>
      </w:r>
      <w:r w:rsidR="00842A01">
        <w:rPr>
          <w:bCs/>
        </w:rPr>
        <w:t xml:space="preserve"> profesional</w:t>
      </w:r>
      <w:r w:rsidR="00BD6B40">
        <w:rPr>
          <w:rStyle w:val="FootnoteReference"/>
          <w:bCs/>
        </w:rPr>
        <w:footnoteReference w:id="26"/>
      </w:r>
      <w:r w:rsidR="00842A01">
        <w:rPr>
          <w:bCs/>
        </w:rPr>
        <w:t>. Dado que el avalúo determina la cantidad de</w:t>
      </w:r>
      <w:r w:rsidR="00312B38">
        <w:rPr>
          <w:bCs/>
        </w:rPr>
        <w:t>l</w:t>
      </w:r>
      <w:r w:rsidR="00842A01">
        <w:rPr>
          <w:bCs/>
        </w:rPr>
        <w:t xml:space="preserve"> crédito,</w:t>
      </w:r>
      <w:r w:rsidR="00312B38">
        <w:rPr>
          <w:bCs/>
        </w:rPr>
        <w:t xml:space="preserve"> </w:t>
      </w:r>
      <w:r w:rsidR="00205C7F">
        <w:rPr>
          <w:bCs/>
        </w:rPr>
        <w:t>es</w:t>
      </w:r>
      <w:r w:rsidR="00312B38">
        <w:rPr>
          <w:bCs/>
        </w:rPr>
        <w:t xml:space="preserve"> importante homologar una metodología entre valuadores para determinar de manera objetiva el valor comercial del inmueble, para así evitar otorgar créditos que no pudiera</w:t>
      </w:r>
      <w:r w:rsidR="00CB177C">
        <w:rPr>
          <w:bCs/>
        </w:rPr>
        <w:t>n</w:t>
      </w:r>
      <w:r w:rsidR="00312B38">
        <w:rPr>
          <w:bCs/>
        </w:rPr>
        <w:t xml:space="preserve"> ser respaldados por su colateral.  La </w:t>
      </w:r>
      <w:r w:rsidR="00CB177C">
        <w:rPr>
          <w:bCs/>
        </w:rPr>
        <w:t>Sociedad Hipotecaría Federal (</w:t>
      </w:r>
      <w:r w:rsidR="00FE6FA7">
        <w:rPr>
          <w:bCs/>
        </w:rPr>
        <w:t>SH</w:t>
      </w:r>
      <w:r w:rsidR="00CB177C">
        <w:rPr>
          <w:bCs/>
        </w:rPr>
        <w:t>F)</w:t>
      </w:r>
      <w:r w:rsidR="00312B38">
        <w:rPr>
          <w:bCs/>
        </w:rPr>
        <w:t xml:space="preserve"> fue la institución encar</w:t>
      </w:r>
      <w:r w:rsidR="00FE6FA7">
        <w:rPr>
          <w:bCs/>
        </w:rPr>
        <w:t>g</w:t>
      </w:r>
      <w:r w:rsidR="00312B38">
        <w:rPr>
          <w:bCs/>
        </w:rPr>
        <w:t>ada de crear la metodología de valuación, capacitar y</w:t>
      </w:r>
      <w:r w:rsidR="00D124D9">
        <w:rPr>
          <w:bCs/>
        </w:rPr>
        <w:t xml:space="preserve"> certificar a los valuadores. Co</w:t>
      </w:r>
      <w:r w:rsidR="00312B38">
        <w:rPr>
          <w:bCs/>
        </w:rPr>
        <w:t>mo resultado</w:t>
      </w:r>
      <w:r w:rsidR="00DE2E0B">
        <w:rPr>
          <w:bCs/>
        </w:rPr>
        <w:t xml:space="preserve"> de la ley</w:t>
      </w:r>
      <w:r w:rsidR="00312B38">
        <w:rPr>
          <w:bCs/>
        </w:rPr>
        <w:t xml:space="preserve">, </w:t>
      </w:r>
      <w:r w:rsidR="003551A1">
        <w:rPr>
          <w:bCs/>
        </w:rPr>
        <w:t xml:space="preserve">es requisito que </w:t>
      </w:r>
      <w:r w:rsidR="00312B38">
        <w:rPr>
          <w:bCs/>
        </w:rPr>
        <w:t>todas las viviendas que son adquiridas mediante un crédit</w:t>
      </w:r>
      <w:r w:rsidR="00FE6FA7">
        <w:rPr>
          <w:bCs/>
        </w:rPr>
        <w:t xml:space="preserve">o garantizado en México </w:t>
      </w:r>
      <w:r w:rsidR="003551A1">
        <w:rPr>
          <w:bCs/>
        </w:rPr>
        <w:t>cuenten</w:t>
      </w:r>
      <w:r w:rsidR="00DE2E0B">
        <w:rPr>
          <w:bCs/>
        </w:rPr>
        <w:t xml:space="preserve"> con un avalúo </w:t>
      </w:r>
      <w:r w:rsidR="00312B38">
        <w:rPr>
          <w:bCs/>
        </w:rPr>
        <w:t>para determinar s</w:t>
      </w:r>
      <w:r w:rsidR="00DE2E0B">
        <w:rPr>
          <w:bCs/>
        </w:rPr>
        <w:t>u valor</w:t>
      </w:r>
      <w:r w:rsidR="00312B38">
        <w:rPr>
          <w:bCs/>
        </w:rPr>
        <w:t xml:space="preserve">. </w:t>
      </w:r>
    </w:p>
    <w:p w:rsidR="00407D63" w:rsidRDefault="00312B38" w:rsidP="00F348B7">
      <w:pPr>
        <w:spacing w:after="0" w:line="360" w:lineRule="auto"/>
        <w:ind w:firstLine="708"/>
        <w:jc w:val="both"/>
        <w:rPr>
          <w:lang w:val="es-MX"/>
        </w:rPr>
      </w:pPr>
      <w:r>
        <w:rPr>
          <w:bCs/>
        </w:rPr>
        <w:t xml:space="preserve">El precio </w:t>
      </w:r>
      <w:r w:rsidR="00DE2E0B">
        <w:rPr>
          <w:bCs/>
        </w:rPr>
        <w:t xml:space="preserve">reportado en los avalúos </w:t>
      </w:r>
      <w:r>
        <w:rPr>
          <w:bCs/>
        </w:rPr>
        <w:t>se determina bajo difer</w:t>
      </w:r>
      <w:r w:rsidR="00265EA4">
        <w:rPr>
          <w:bCs/>
        </w:rPr>
        <w:t>entes metodologías de valuación.</w:t>
      </w:r>
      <w:r>
        <w:rPr>
          <w:bCs/>
        </w:rPr>
        <w:t xml:space="preserve"> </w:t>
      </w:r>
      <w:r w:rsidR="00780A19">
        <w:rPr>
          <w:bCs/>
        </w:rPr>
        <w:t xml:space="preserve">Para </w:t>
      </w:r>
      <w:r w:rsidR="00067C7B">
        <w:rPr>
          <w:bCs/>
        </w:rPr>
        <w:t>efectos de es</w:t>
      </w:r>
      <w:r w:rsidR="00BD63D7">
        <w:rPr>
          <w:bCs/>
        </w:rPr>
        <w:t xml:space="preserve">ta investigación se utiliza el </w:t>
      </w:r>
      <w:r w:rsidR="00BD63D7" w:rsidRPr="00BD63D7">
        <w:rPr>
          <w:bCs/>
          <w:i/>
        </w:rPr>
        <w:t>valor competitivo de mercado</w:t>
      </w:r>
      <w:r w:rsidR="00067C7B">
        <w:rPr>
          <w:bCs/>
        </w:rPr>
        <w:t xml:space="preserve"> dado que parece ser </w:t>
      </w:r>
      <w:r w:rsidR="00BC5F76">
        <w:rPr>
          <w:bCs/>
        </w:rPr>
        <w:t xml:space="preserve">la mejor aproximación al precio de mercado de las viviendas. </w:t>
      </w:r>
      <w:r w:rsidR="00DE2E0B">
        <w:rPr>
          <w:bCs/>
        </w:rPr>
        <w:t>De acuerdo con las reglas de valuación</w:t>
      </w:r>
      <w:r w:rsidR="00DE2E0B">
        <w:rPr>
          <w:rStyle w:val="FootnoteReference"/>
          <w:bCs/>
        </w:rPr>
        <w:footnoteReference w:id="27"/>
      </w:r>
      <w:r w:rsidR="00DE2E0B">
        <w:rPr>
          <w:bCs/>
        </w:rPr>
        <w:t xml:space="preserve">, para determinar el valor competitivo de mercado, el valuador </w:t>
      </w:r>
      <w:r w:rsidR="00DE2E0B" w:rsidRPr="005153DA">
        <w:rPr>
          <w:bCs/>
        </w:rPr>
        <w:t>“</w:t>
      </w:r>
      <w:r w:rsidR="00DE2E0B" w:rsidRPr="005153DA">
        <w:t>deberá disponer de información suficiente del mercado local de que se trate; a efecto de contar con al menos seis transacciones u ofertas de inmuebles similares que reflejen en el avalúo, adecuadamente, la situación actual de dicho mercado”</w:t>
      </w:r>
      <w:r w:rsidR="00DE2E0B">
        <w:rPr>
          <w:i/>
        </w:rPr>
        <w:t>.</w:t>
      </w:r>
      <w:r w:rsidR="00DE2E0B">
        <w:rPr>
          <w:rStyle w:val="FootnoteReference"/>
          <w:i/>
        </w:rPr>
        <w:footnoteReference w:id="28"/>
      </w:r>
      <w:r w:rsidR="009F415E">
        <w:rPr>
          <w:i/>
        </w:rPr>
        <w:t xml:space="preserve"> </w:t>
      </w:r>
      <w:r w:rsidR="009F415E">
        <w:t xml:space="preserve"> El procedimiento para determinar el valor </w:t>
      </w:r>
      <w:r w:rsidR="009F415E">
        <w:rPr>
          <w:bCs/>
        </w:rPr>
        <w:t>competitivo de mercado</w:t>
      </w:r>
      <w:r w:rsidR="009F415E">
        <w:t xml:space="preserve"> incluye consultar diversas fuentes (proveedores, cotizaciones telefónicas, etc.) </w:t>
      </w:r>
      <w:r w:rsidR="00A7182C" w:rsidRPr="005B7AE7">
        <w:t>“</w:t>
      </w:r>
      <w:r w:rsidR="009F415E" w:rsidRPr="005B7AE7">
        <w:t>con el objeto de  obtener precios actuales de operaciones de compraventa de de inmuebles comparables,</w:t>
      </w:r>
      <w:r w:rsidR="00EA7EA4" w:rsidRPr="005B7AE7">
        <w:t xml:space="preserve"> </w:t>
      </w:r>
      <w:r w:rsidR="009F415E" w:rsidRPr="005B7AE7">
        <w:t>en su caso, de ofertas en firme</w:t>
      </w:r>
      <w:r w:rsidR="00A7182C" w:rsidRPr="005B7AE7">
        <w:t>”</w:t>
      </w:r>
      <w:r w:rsidR="009F415E" w:rsidRPr="005B7AE7">
        <w:t>.</w:t>
      </w:r>
      <w:r w:rsidR="009F415E" w:rsidRPr="005B7AE7">
        <w:rPr>
          <w:rStyle w:val="FootnoteReference"/>
        </w:rPr>
        <w:footnoteReference w:id="29"/>
      </w:r>
      <w:r w:rsidR="009F415E">
        <w:t xml:space="preserve"> </w:t>
      </w:r>
      <w:r w:rsidR="00437F3D">
        <w:t>C</w:t>
      </w:r>
      <w:r w:rsidR="009F415E">
        <w:t xml:space="preserve">reemos </w:t>
      </w:r>
      <w:r w:rsidR="00437F3D">
        <w:t>que el valor competitivo de mercado</w:t>
      </w:r>
      <w:r w:rsidR="009F415E">
        <w:t xml:space="preserve"> puede reflejar una disminució</w:t>
      </w:r>
      <w:r w:rsidR="00437F3D">
        <w:t>n en los precio</w:t>
      </w:r>
      <w:r w:rsidR="00D34818">
        <w:t>s de compra-</w:t>
      </w:r>
      <w:r w:rsidR="00437F3D">
        <w:t>venta al experimentarse un aumento en los niveles de violencia de la localidad,</w:t>
      </w:r>
      <w:r w:rsidR="00437F3D" w:rsidRPr="00437F3D">
        <w:t xml:space="preserve"> </w:t>
      </w:r>
      <w:r w:rsidR="00D34818">
        <w:t>debido a que el cá</w:t>
      </w:r>
      <w:r w:rsidR="00437F3D">
        <w:t xml:space="preserve">lculo de este trasciende el enfoque de </w:t>
      </w:r>
      <w:r w:rsidR="00D34818">
        <w:t>únicamente</w:t>
      </w:r>
      <w:r w:rsidR="00437F3D">
        <w:t xml:space="preserve"> cuantificar las </w:t>
      </w:r>
      <w:r w:rsidR="00D34818">
        <w:t>características</w:t>
      </w:r>
      <w:r w:rsidR="00437F3D">
        <w:t xml:space="preserve"> de la vivienda.</w:t>
      </w:r>
    </w:p>
    <w:p w:rsidR="00BB4CEB" w:rsidRDefault="00EA7EA4" w:rsidP="0079081D">
      <w:pPr>
        <w:spacing w:after="0" w:line="360" w:lineRule="auto"/>
        <w:ind w:firstLine="709"/>
        <w:jc w:val="both"/>
        <w:rPr>
          <w:lang w:val="es-MX"/>
        </w:rPr>
      </w:pPr>
      <w:r>
        <w:rPr>
          <w:lang w:val="es-MX"/>
        </w:rPr>
        <w:t>La base de Avalúos,</w:t>
      </w:r>
      <w:r w:rsidR="00D34818">
        <w:rPr>
          <w:lang w:val="es-MX"/>
        </w:rPr>
        <w:t xml:space="preserve"> con datos</w:t>
      </w:r>
      <w:r>
        <w:rPr>
          <w:lang w:val="es-MX"/>
        </w:rPr>
        <w:t xml:space="preserve"> registrados por la SHF</w:t>
      </w:r>
      <w:r w:rsidR="00D34818">
        <w:rPr>
          <w:lang w:val="es-MX"/>
        </w:rPr>
        <w:t>,</w:t>
      </w:r>
      <w:r>
        <w:rPr>
          <w:lang w:val="es-MX"/>
        </w:rPr>
        <w:t xml:space="preserve"> contiene </w:t>
      </w:r>
      <w:r w:rsidRPr="00EA7EA4">
        <w:rPr>
          <w:lang w:val="es-MX"/>
        </w:rPr>
        <w:t>2</w:t>
      </w:r>
      <w:r w:rsidR="00CE79B8">
        <w:rPr>
          <w:lang w:val="es-MX"/>
        </w:rPr>
        <w:t>,</w:t>
      </w:r>
      <w:r w:rsidRPr="00EA7EA4">
        <w:rPr>
          <w:lang w:val="es-MX"/>
        </w:rPr>
        <w:t>803</w:t>
      </w:r>
      <w:r w:rsidR="00CE79B8">
        <w:rPr>
          <w:lang w:val="es-MX"/>
        </w:rPr>
        <w:t>,</w:t>
      </w:r>
      <w:r w:rsidRPr="00EA7EA4">
        <w:rPr>
          <w:lang w:val="es-MX"/>
        </w:rPr>
        <w:t>635</w:t>
      </w:r>
      <w:r w:rsidR="00CE79B8">
        <w:rPr>
          <w:lang w:val="es-MX"/>
        </w:rPr>
        <w:t xml:space="preserve"> avalúos realizados</w:t>
      </w:r>
      <w:r w:rsidR="000D0EEF" w:rsidRPr="005249A5">
        <w:rPr>
          <w:lang w:val="es-MX"/>
        </w:rPr>
        <w:t xml:space="preserve"> </w:t>
      </w:r>
      <w:r w:rsidR="00CE79B8">
        <w:rPr>
          <w:lang w:val="es-MX"/>
        </w:rPr>
        <w:t>entre enero del 2008 y junio</w:t>
      </w:r>
      <w:r w:rsidR="000D0EEF" w:rsidRPr="005249A5">
        <w:rPr>
          <w:lang w:val="es-MX"/>
        </w:rPr>
        <w:t xml:space="preserve"> de</w:t>
      </w:r>
      <w:r w:rsidR="00CE79B8">
        <w:rPr>
          <w:lang w:val="es-MX"/>
        </w:rPr>
        <w:t>l 2012, abarcando 1,802</w:t>
      </w:r>
      <w:r w:rsidR="000D0EEF" w:rsidRPr="005249A5">
        <w:rPr>
          <w:lang w:val="es-MX"/>
        </w:rPr>
        <w:t xml:space="preserve"> municipios</w:t>
      </w:r>
      <w:r w:rsidR="000D0EEF">
        <w:rPr>
          <w:lang w:val="es-MX"/>
        </w:rPr>
        <w:t xml:space="preserve"> </w:t>
      </w:r>
      <w:r w:rsidR="000D0EEF" w:rsidRPr="00367C4D">
        <w:rPr>
          <w:lang w:val="es-MX"/>
        </w:rPr>
        <w:t xml:space="preserve">y </w:t>
      </w:r>
      <w:r w:rsidR="00CE79B8" w:rsidRPr="00367C4D">
        <w:rPr>
          <w:lang w:val="es-MX"/>
        </w:rPr>
        <w:t>más de 53,000</w:t>
      </w:r>
      <w:r w:rsidR="000D0EEF" w:rsidRPr="00367C4D">
        <w:rPr>
          <w:lang w:val="es-MX"/>
        </w:rPr>
        <w:t xml:space="preserve"> localidades.</w:t>
      </w:r>
      <w:r w:rsidR="000D0EEF" w:rsidRPr="005249A5">
        <w:rPr>
          <w:lang w:val="es-MX"/>
        </w:rPr>
        <w:t xml:space="preserve"> </w:t>
      </w:r>
      <w:r w:rsidR="000D0EEF" w:rsidRPr="005249A5">
        <w:rPr>
          <w:lang w:val="es-MX"/>
        </w:rPr>
        <w:lastRenderedPageBreak/>
        <w:t>Contiene en total 44 variables asociadas a las viviendas con avalúos. 14 son variables identificadoras (incluyen información sobre la ubicación de la vivienda, la fecha del avalúo, la clave, el perito valuador, controlador, banco y nombre del constructor), 8 son variables categóricas asociadas a características de la vivienda</w:t>
      </w:r>
      <w:r w:rsidR="00CE79B8">
        <w:rPr>
          <w:rStyle w:val="FootnoteReference"/>
          <w:lang w:val="es-MX"/>
        </w:rPr>
        <w:footnoteReference w:id="30"/>
      </w:r>
      <w:r w:rsidR="000D0EEF" w:rsidRPr="005249A5">
        <w:rPr>
          <w:lang w:val="es-MX"/>
        </w:rPr>
        <w:t>, y 22 son variables continuas</w:t>
      </w:r>
      <w:r w:rsidR="00CE79B8">
        <w:rPr>
          <w:rStyle w:val="FootnoteReference"/>
          <w:lang w:val="es-MX"/>
        </w:rPr>
        <w:footnoteReference w:id="31"/>
      </w:r>
      <w:r w:rsidR="007F140C">
        <w:rPr>
          <w:lang w:val="es-MX"/>
        </w:rPr>
        <w:t xml:space="preserve">. En particular, hay variables </w:t>
      </w:r>
      <w:r w:rsidR="00BB4CEB">
        <w:rPr>
          <w:lang w:val="es-MX"/>
        </w:rPr>
        <w:t>categóricas co</w:t>
      </w:r>
      <w:r w:rsidR="007F140C">
        <w:rPr>
          <w:lang w:val="es-MX"/>
        </w:rPr>
        <w:t xml:space="preserve">mo clase y tipo de la vivienda </w:t>
      </w:r>
      <w:r w:rsidR="00072BD3">
        <w:rPr>
          <w:lang w:val="es-MX"/>
        </w:rPr>
        <w:t>con las que se puede identi</w:t>
      </w:r>
      <w:r w:rsidR="00BB4CEB">
        <w:rPr>
          <w:lang w:val="es-MX"/>
        </w:rPr>
        <w:t>ficar a qué</w:t>
      </w:r>
      <w:r w:rsidR="00072BD3">
        <w:rPr>
          <w:lang w:val="es-MX"/>
        </w:rPr>
        <w:t xml:space="preserve"> categoría </w:t>
      </w:r>
      <w:r w:rsidR="00BB4CEB">
        <w:rPr>
          <w:lang w:val="es-MX"/>
        </w:rPr>
        <w:t>socioeconómica</w:t>
      </w:r>
      <w:r w:rsidR="00072BD3">
        <w:rPr>
          <w:lang w:val="es-MX"/>
        </w:rPr>
        <w:t xml:space="preserve"> pertenece el avalúo y por lo tanto </w:t>
      </w:r>
      <w:r w:rsidR="00BB4CEB">
        <w:rPr>
          <w:lang w:val="es-MX"/>
        </w:rPr>
        <w:t>analizar</w:t>
      </w:r>
      <w:r w:rsidR="00072BD3">
        <w:rPr>
          <w:lang w:val="es-MX"/>
        </w:rPr>
        <w:t xml:space="preserve"> como  afecta la violencia en la vivienda de diferentes estratos sociales</w:t>
      </w:r>
      <w:r w:rsidR="00072BD3">
        <w:rPr>
          <w:rStyle w:val="FootnoteReference"/>
          <w:lang w:val="es-MX"/>
        </w:rPr>
        <w:footnoteReference w:id="32"/>
      </w:r>
      <w:r w:rsidR="00072BD3">
        <w:rPr>
          <w:lang w:val="es-MX"/>
        </w:rPr>
        <w:t>.</w:t>
      </w:r>
      <w:r w:rsidR="00666104">
        <w:rPr>
          <w:lang w:val="es-MX"/>
        </w:rPr>
        <w:t xml:space="preserve"> </w:t>
      </w:r>
    </w:p>
    <w:p w:rsidR="00666104" w:rsidRDefault="008C7A5D" w:rsidP="0079081D">
      <w:pPr>
        <w:spacing w:after="0" w:line="360" w:lineRule="auto"/>
        <w:ind w:firstLine="709"/>
        <w:jc w:val="both"/>
        <w:rPr>
          <w:lang w:val="es-MX"/>
        </w:rPr>
      </w:pPr>
      <w:r>
        <w:rPr>
          <w:lang w:val="es-MX"/>
        </w:rPr>
        <w:t xml:space="preserve">En México </w:t>
      </w:r>
      <w:r w:rsidR="00BB4CEB">
        <w:rPr>
          <w:lang w:val="es-MX"/>
        </w:rPr>
        <w:t>había</w:t>
      </w:r>
      <w:r>
        <w:rPr>
          <w:lang w:val="es-MX"/>
        </w:rPr>
        <w:t xml:space="preserve"> </w:t>
      </w:r>
      <w:r w:rsidR="00D50D21">
        <w:rPr>
          <w:lang w:val="es-MX"/>
        </w:rPr>
        <w:t>poco más de</w:t>
      </w:r>
      <w:r w:rsidR="00B23567">
        <w:rPr>
          <w:lang w:val="es-MX"/>
        </w:rPr>
        <w:t xml:space="preserve"> 35</w:t>
      </w:r>
      <w:r w:rsidR="00D50D21">
        <w:rPr>
          <w:lang w:val="es-MX"/>
        </w:rPr>
        <w:t xml:space="preserve"> millones</w:t>
      </w:r>
      <w:r>
        <w:rPr>
          <w:lang w:val="es-MX"/>
        </w:rPr>
        <w:t xml:space="preserve"> viviendas en el 2010</w:t>
      </w:r>
      <w:r w:rsidR="00D50D21">
        <w:rPr>
          <w:rStyle w:val="FootnoteReference"/>
          <w:lang w:val="es-MX"/>
        </w:rPr>
        <w:footnoteReference w:id="33"/>
      </w:r>
      <w:r>
        <w:rPr>
          <w:lang w:val="es-MX"/>
        </w:rPr>
        <w:t xml:space="preserve"> </w:t>
      </w:r>
      <w:r w:rsidR="00D50D21">
        <w:rPr>
          <w:lang w:val="es-MX"/>
        </w:rPr>
        <w:t xml:space="preserve"> s</w:t>
      </w:r>
      <w:r>
        <w:rPr>
          <w:lang w:val="es-MX"/>
        </w:rPr>
        <w:t xml:space="preserve">egún el censo por localidad </w:t>
      </w:r>
      <w:r w:rsidR="00D50D21">
        <w:rPr>
          <w:lang w:val="es-MX"/>
        </w:rPr>
        <w:t xml:space="preserve"> del INEGI. </w:t>
      </w:r>
      <w:r>
        <w:rPr>
          <w:lang w:val="es-MX"/>
        </w:rPr>
        <w:t xml:space="preserve"> </w:t>
      </w:r>
      <w:r w:rsidR="005A54DF">
        <w:rPr>
          <w:lang w:val="es-MX"/>
        </w:rPr>
        <w:t>De acuerdo con la Comisión Nacional de Vivien</w:t>
      </w:r>
      <w:r w:rsidR="00BB4CEB">
        <w:rPr>
          <w:lang w:val="es-MX"/>
        </w:rPr>
        <w:t>da (CONAVI)</w:t>
      </w:r>
      <w:r w:rsidR="000340E1">
        <w:rPr>
          <w:lang w:val="es-MX"/>
        </w:rPr>
        <w:t xml:space="preserve">  más de 19 millones de viviendas han recibido crédito</w:t>
      </w:r>
      <w:r w:rsidR="005A54DF">
        <w:rPr>
          <w:lang w:val="es-MX"/>
        </w:rPr>
        <w:t xml:space="preserve"> desde</w:t>
      </w:r>
      <w:r w:rsidR="000340E1">
        <w:rPr>
          <w:lang w:val="es-MX"/>
        </w:rPr>
        <w:t xml:space="preserve"> 1973</w:t>
      </w:r>
      <w:r w:rsidR="00151DD4">
        <w:rPr>
          <w:rStyle w:val="FootnoteReference"/>
          <w:lang w:val="es-MX"/>
        </w:rPr>
        <w:footnoteReference w:id="34"/>
      </w:r>
      <w:r w:rsidR="000340E1">
        <w:rPr>
          <w:lang w:val="es-MX"/>
        </w:rPr>
        <w:t>, lo que significa que más de un 55</w:t>
      </w:r>
      <w:r w:rsidR="00EA29FB">
        <w:rPr>
          <w:lang w:val="es-MX"/>
        </w:rPr>
        <w:t xml:space="preserve"> porciento</w:t>
      </w:r>
      <w:r w:rsidR="005A54DF">
        <w:rPr>
          <w:lang w:val="es-MX"/>
        </w:rPr>
        <w:t xml:space="preserve"> de la</w:t>
      </w:r>
      <w:r w:rsidR="00EA29FB">
        <w:rPr>
          <w:lang w:val="es-MX"/>
        </w:rPr>
        <w:t>s</w:t>
      </w:r>
      <w:r w:rsidR="005A54DF">
        <w:rPr>
          <w:lang w:val="es-MX"/>
        </w:rPr>
        <w:t xml:space="preserve"> vivienda</w:t>
      </w:r>
      <w:r w:rsidR="00EA29FB">
        <w:rPr>
          <w:lang w:val="es-MX"/>
        </w:rPr>
        <w:t>s</w:t>
      </w:r>
      <w:r w:rsidR="005A54DF">
        <w:rPr>
          <w:lang w:val="es-MX"/>
        </w:rPr>
        <w:t xml:space="preserve"> construida</w:t>
      </w:r>
      <w:r w:rsidR="00EA29FB">
        <w:rPr>
          <w:lang w:val="es-MX"/>
        </w:rPr>
        <w:t>s</w:t>
      </w:r>
      <w:r w:rsidR="005A54DF">
        <w:rPr>
          <w:lang w:val="es-MX"/>
        </w:rPr>
        <w:t xml:space="preserve"> en el país se </w:t>
      </w:r>
      <w:r w:rsidR="00EA29FB">
        <w:rPr>
          <w:lang w:val="es-MX"/>
        </w:rPr>
        <w:t>hicieron con apoyo financiero</w:t>
      </w:r>
      <w:r w:rsidR="005A54DF">
        <w:rPr>
          <w:lang w:val="es-MX"/>
        </w:rPr>
        <w:t xml:space="preserve">. </w:t>
      </w:r>
      <w:r w:rsidR="00151DD4">
        <w:rPr>
          <w:lang w:val="es-MX"/>
        </w:rPr>
        <w:t>Entre</w:t>
      </w:r>
      <w:r w:rsidR="005A54DF">
        <w:rPr>
          <w:lang w:val="es-MX"/>
        </w:rPr>
        <w:t xml:space="preserve"> los años 2008-2011 el </w:t>
      </w:r>
      <w:r w:rsidR="00EA29FB">
        <w:rPr>
          <w:lang w:val="es-MX"/>
        </w:rPr>
        <w:t>crédito</w:t>
      </w:r>
      <w:r w:rsidR="005A54DF">
        <w:rPr>
          <w:lang w:val="es-MX"/>
        </w:rPr>
        <w:t xml:space="preserve"> garantiz</w:t>
      </w:r>
      <w:r w:rsidR="00151DD4">
        <w:rPr>
          <w:lang w:val="es-MX"/>
        </w:rPr>
        <w:t>ado fue en promedio  42</w:t>
      </w:r>
      <w:r w:rsidR="00EA29FB">
        <w:rPr>
          <w:lang w:val="es-MX"/>
        </w:rPr>
        <w:t xml:space="preserve"> porciento</w:t>
      </w:r>
      <w:r w:rsidR="00151DD4">
        <w:rPr>
          <w:lang w:val="es-MX"/>
        </w:rPr>
        <w:t xml:space="preserve"> del crédito total. Por lo tanto, inferimos que en promedio el 23</w:t>
      </w:r>
      <w:r w:rsidR="00EA29FB">
        <w:rPr>
          <w:lang w:val="es-MX"/>
        </w:rPr>
        <w:t xml:space="preserve"> porciento</w:t>
      </w:r>
      <w:r w:rsidR="005A54DF">
        <w:rPr>
          <w:lang w:val="es-MX"/>
        </w:rPr>
        <w:t xml:space="preserve"> de la </w:t>
      </w:r>
      <w:r w:rsidR="00EA29FB">
        <w:rPr>
          <w:lang w:val="es-MX"/>
        </w:rPr>
        <w:t>construcción</w:t>
      </w:r>
      <w:r w:rsidR="005A54DF">
        <w:rPr>
          <w:lang w:val="es-MX"/>
        </w:rPr>
        <w:t xml:space="preserve"> </w:t>
      </w:r>
      <w:r w:rsidR="00151DD4">
        <w:rPr>
          <w:lang w:val="es-MX"/>
        </w:rPr>
        <w:t xml:space="preserve">anual de casas </w:t>
      </w:r>
      <w:r w:rsidR="00EA29FB">
        <w:rPr>
          <w:lang w:val="es-MX"/>
        </w:rPr>
        <w:t>se realiza</w:t>
      </w:r>
      <w:r w:rsidR="00151DD4">
        <w:rPr>
          <w:lang w:val="es-MX"/>
        </w:rPr>
        <w:t xml:space="preserve"> </w:t>
      </w:r>
      <w:r w:rsidR="00EA29FB">
        <w:rPr>
          <w:lang w:val="es-MX"/>
        </w:rPr>
        <w:t>a través</w:t>
      </w:r>
      <w:r w:rsidR="00151DD4">
        <w:rPr>
          <w:lang w:val="es-MX"/>
        </w:rPr>
        <w:t xml:space="preserve"> </w:t>
      </w:r>
      <w:r w:rsidR="008E61E3">
        <w:rPr>
          <w:lang w:val="es-MX"/>
        </w:rPr>
        <w:t>de un</w:t>
      </w:r>
      <w:r w:rsidR="00151DD4">
        <w:rPr>
          <w:lang w:val="es-MX"/>
        </w:rPr>
        <w:t xml:space="preserve"> crédito garantizado.</w:t>
      </w:r>
      <w:r w:rsidR="0094178F">
        <w:rPr>
          <w:lang w:val="es-MX"/>
        </w:rPr>
        <w:t xml:space="preserve"> </w:t>
      </w:r>
      <w:r w:rsidR="00A528FD">
        <w:rPr>
          <w:lang w:val="es-MX"/>
        </w:rPr>
        <w:t>Debido a que</w:t>
      </w:r>
      <w:r w:rsidR="008E61E3">
        <w:rPr>
          <w:lang w:val="es-MX"/>
        </w:rPr>
        <w:t xml:space="preserve"> los avalúos e</w:t>
      </w:r>
      <w:r w:rsidR="00A528FD">
        <w:rPr>
          <w:lang w:val="es-MX"/>
        </w:rPr>
        <w:t>stán distribuidos en más del 50 porciento</w:t>
      </w:r>
      <w:r w:rsidR="008E61E3">
        <w:rPr>
          <w:lang w:val="es-MX"/>
        </w:rPr>
        <w:t xml:space="preserve"> de los municipios en el país y </w:t>
      </w:r>
      <w:r w:rsidR="00666104">
        <w:rPr>
          <w:lang w:val="es-MX"/>
        </w:rPr>
        <w:t>que aproximadamente</w:t>
      </w:r>
      <w:r w:rsidR="00A528FD">
        <w:rPr>
          <w:lang w:val="es-MX"/>
        </w:rPr>
        <w:t xml:space="preserve"> una de cada cuatro</w:t>
      </w:r>
      <w:r w:rsidR="008E61E3">
        <w:rPr>
          <w:lang w:val="es-MX"/>
        </w:rPr>
        <w:t xml:space="preserve"> casas </w:t>
      </w:r>
      <w:r w:rsidR="00A528FD">
        <w:rPr>
          <w:lang w:val="es-MX"/>
        </w:rPr>
        <w:t>construidas</w:t>
      </w:r>
      <w:r w:rsidR="008E61E3">
        <w:rPr>
          <w:lang w:val="es-MX"/>
        </w:rPr>
        <w:t xml:space="preserve"> </w:t>
      </w:r>
      <w:r w:rsidR="00666104">
        <w:rPr>
          <w:lang w:val="es-MX"/>
        </w:rPr>
        <w:t>se financian mediante un</w:t>
      </w:r>
      <w:r w:rsidR="008E61E3">
        <w:rPr>
          <w:lang w:val="es-MX"/>
        </w:rPr>
        <w:t xml:space="preserve"> crédito garantizado, </w:t>
      </w:r>
      <w:r w:rsidR="00A528FD">
        <w:rPr>
          <w:lang w:val="es-MX"/>
        </w:rPr>
        <w:t>consideramos la base de</w:t>
      </w:r>
      <w:r w:rsidR="008E61E3">
        <w:rPr>
          <w:lang w:val="es-MX"/>
        </w:rPr>
        <w:t xml:space="preserve"> avalúos una muestra representativa de las viviendas</w:t>
      </w:r>
      <w:r w:rsidR="00666104">
        <w:rPr>
          <w:lang w:val="es-MX"/>
        </w:rPr>
        <w:t xml:space="preserve"> en México</w:t>
      </w:r>
      <w:r w:rsidR="008E61E3">
        <w:rPr>
          <w:lang w:val="es-MX"/>
        </w:rPr>
        <w:t>.</w:t>
      </w:r>
      <w:r w:rsidR="00666104">
        <w:rPr>
          <w:lang w:val="es-MX"/>
        </w:rPr>
        <w:t xml:space="preserve"> Cabe des</w:t>
      </w:r>
      <w:r w:rsidR="00A528FD">
        <w:rPr>
          <w:lang w:val="es-MX"/>
        </w:rPr>
        <w:t>tacar que aproximadamente el 68 porciento</w:t>
      </w:r>
      <w:r w:rsidR="00666104">
        <w:rPr>
          <w:lang w:val="es-MX"/>
        </w:rPr>
        <w:t xml:space="preserve"> de los avalúos se encuentran en localidade</w:t>
      </w:r>
      <w:r w:rsidR="003E664A">
        <w:rPr>
          <w:lang w:val="es-MX"/>
        </w:rPr>
        <w:t>s urbanas y por lo tanto el 32 porciento</w:t>
      </w:r>
      <w:r w:rsidR="00666104">
        <w:rPr>
          <w:lang w:val="es-MX"/>
        </w:rPr>
        <w:t xml:space="preserve"> se </w:t>
      </w:r>
      <w:r w:rsidR="00046B22">
        <w:rPr>
          <w:lang w:val="es-MX"/>
        </w:rPr>
        <w:t>encuentran</w:t>
      </w:r>
      <w:r w:rsidR="00666104">
        <w:rPr>
          <w:lang w:val="es-MX"/>
        </w:rPr>
        <w:t xml:space="preserve"> en localidades rurales.</w:t>
      </w:r>
      <w:r w:rsidR="00666104">
        <w:rPr>
          <w:rStyle w:val="FootnoteReference"/>
          <w:lang w:val="es-MX"/>
        </w:rPr>
        <w:footnoteReference w:id="35"/>
      </w:r>
    </w:p>
    <w:p w:rsidR="004F1FFF" w:rsidRPr="00BD2077" w:rsidRDefault="004F1FFF" w:rsidP="0079081D">
      <w:pPr>
        <w:spacing w:after="0" w:line="360" w:lineRule="auto"/>
        <w:ind w:firstLine="709"/>
        <w:jc w:val="both"/>
        <w:rPr>
          <w:rFonts w:cstheme="minorHAnsi"/>
          <w:color w:val="000000" w:themeColor="text1"/>
          <w:lang w:val="es-MX"/>
        </w:rPr>
      </w:pPr>
      <w:r>
        <w:rPr>
          <w:lang w:val="es-MX"/>
        </w:rPr>
        <w:t xml:space="preserve">              </w:t>
      </w:r>
      <w:r w:rsidRPr="00BD2077">
        <w:rPr>
          <w:rFonts w:cstheme="minorHAnsi"/>
          <w:color w:val="000000" w:themeColor="text1"/>
          <w:lang w:val="es-MX"/>
        </w:rPr>
        <w:t xml:space="preserve">Con respecto a los datos de homicidios, contamos con dos fuentes distintas, una base del SINAIS y una base de Presidencia. La base de datos “fallecimientos ocurridos por presunta rivalidad delincuencial” publicada por la Presidencia de la República cubre desde junio de 2006 hasta septiembre del </w:t>
      </w:r>
      <w:r w:rsidRPr="00BD2077">
        <w:rPr>
          <w:rFonts w:cstheme="minorHAnsi"/>
          <w:color w:val="000000" w:themeColor="text1"/>
          <w:shd w:val="clear" w:color="auto" w:fill="FFFFFF"/>
          <w:lang w:val="es-MX"/>
        </w:rPr>
        <w:t xml:space="preserve">2011 </w:t>
      </w:r>
      <w:r w:rsidRPr="00BD2077">
        <w:rPr>
          <w:rFonts w:cstheme="minorHAnsi"/>
          <w:color w:val="000000" w:themeColor="text1"/>
          <w:lang w:val="es-MX"/>
        </w:rPr>
        <w:t xml:space="preserve">y registra </w:t>
      </w:r>
      <w:r w:rsidRPr="00BD2077">
        <w:rPr>
          <w:rFonts w:cstheme="minorHAnsi"/>
          <w:color w:val="000000" w:themeColor="text1"/>
          <w:shd w:val="clear" w:color="auto" w:fill="FFFFFF"/>
          <w:lang w:val="es-MX"/>
        </w:rPr>
        <w:t>47,515 homicidios</w:t>
      </w:r>
      <w:r w:rsidRPr="00BD2077">
        <w:rPr>
          <w:rFonts w:cstheme="minorHAnsi"/>
          <w:color w:val="000000" w:themeColor="text1"/>
          <w:lang w:val="es-MX"/>
        </w:rPr>
        <w:t>. Hay 1,296 municipios con homicidios (1,266 con claves del INEGI). De los 2,461 municipios en México, en 1266 tienen avalúos y homicidios simultáneamente</w:t>
      </w:r>
      <w:r w:rsidRPr="00BD2077">
        <w:rPr>
          <w:rStyle w:val="FootnoteReference"/>
          <w:rFonts w:cstheme="minorHAnsi"/>
          <w:color w:val="000000" w:themeColor="text1"/>
          <w:lang w:val="es-MX"/>
        </w:rPr>
        <w:footnoteReference w:id="36"/>
      </w:r>
      <w:r w:rsidRPr="00BD2077">
        <w:rPr>
          <w:rFonts w:cstheme="minorHAnsi"/>
          <w:color w:val="000000" w:themeColor="text1"/>
          <w:lang w:val="es-MX"/>
        </w:rPr>
        <w:t xml:space="preserve">.  </w:t>
      </w:r>
      <w:r>
        <w:rPr>
          <w:rFonts w:cstheme="minorHAnsi"/>
          <w:lang w:eastAsia="es-MX"/>
        </w:rPr>
        <w:t>Los fallecimientos registrados en esta</w:t>
      </w:r>
      <w:r w:rsidRPr="00BD2077">
        <w:rPr>
          <w:rFonts w:cstheme="minorHAnsi"/>
          <w:lang w:eastAsia="es-MX"/>
        </w:rPr>
        <w:t xml:space="preserve"> base son únicamente los que presentan rasgos característicos del </w:t>
      </w:r>
      <w:r w:rsidRPr="0079081D">
        <w:rPr>
          <w:rFonts w:cstheme="minorHAnsi"/>
          <w:lang w:eastAsia="es-MX"/>
        </w:rPr>
        <w:t xml:space="preserve">modus operandi  </w:t>
      </w:r>
      <w:r w:rsidRPr="00BD2077">
        <w:rPr>
          <w:rFonts w:cstheme="minorHAnsi"/>
          <w:lang w:eastAsia="es-MX"/>
        </w:rPr>
        <w:t>del crimen organizado en México</w:t>
      </w:r>
      <w:r>
        <w:rPr>
          <w:rStyle w:val="FootnoteReference"/>
          <w:rFonts w:cstheme="minorHAnsi"/>
          <w:lang w:eastAsia="es-MX"/>
        </w:rPr>
        <w:footnoteReference w:id="37"/>
      </w:r>
      <w:r w:rsidRPr="00BD2077">
        <w:rPr>
          <w:rFonts w:cstheme="minorHAnsi"/>
          <w:lang w:eastAsia="es-MX"/>
        </w:rPr>
        <w:t xml:space="preserve">. La base fue elaborada por un comité de todas las secretarias federales de seguridad.  Los miembros del </w:t>
      </w:r>
      <w:r w:rsidRPr="00BD2077">
        <w:rPr>
          <w:rFonts w:cstheme="minorHAnsi"/>
          <w:lang w:eastAsia="es-MX"/>
        </w:rPr>
        <w:lastRenderedPageBreak/>
        <w:t>comité se reúnen cada semana para catalogar si los homicidios ocurridos en la semana anterior fueron producto de crimen organizado.  Cabe recalcar que las circunstancias de los homicidios no están fundamentos en juicios legales y las cifras son de carácter preliminar</w:t>
      </w:r>
      <w:r w:rsidRPr="00BD2077">
        <w:rPr>
          <w:rStyle w:val="FootnoteReference"/>
          <w:rFonts w:cstheme="minorHAnsi"/>
          <w:lang w:eastAsia="es-MX"/>
        </w:rPr>
        <w:footnoteReference w:id="38"/>
      </w:r>
      <w:r w:rsidRPr="00BD2077">
        <w:rPr>
          <w:rFonts w:cstheme="minorHAnsi"/>
          <w:lang w:eastAsia="es-MX"/>
        </w:rPr>
        <w:t xml:space="preserve">. </w:t>
      </w:r>
    </w:p>
    <w:p w:rsidR="004F1FFF" w:rsidRDefault="004F1FFF" w:rsidP="0079081D">
      <w:pPr>
        <w:spacing w:after="0" w:line="360" w:lineRule="auto"/>
        <w:ind w:firstLine="709"/>
        <w:jc w:val="both"/>
        <w:rPr>
          <w:rFonts w:cstheme="minorHAnsi"/>
          <w:color w:val="000000" w:themeColor="text1"/>
          <w:lang w:val="es-MX"/>
        </w:rPr>
      </w:pPr>
      <w:r>
        <w:rPr>
          <w:lang w:val="es-MX"/>
        </w:rPr>
        <w:t>La base de fallecimientos del SINAIS contiene más de 4.5 millones de homicidios ocurridos entre el 2002 y el 2010. Las observaciones provienen de las actas de defunción que registran autoridades civiles cuando ocurre un fallecimiento.</w:t>
      </w:r>
      <w:r>
        <w:rPr>
          <w:rStyle w:val="FootnoteReference"/>
          <w:lang w:val="es-MX"/>
        </w:rPr>
        <w:footnoteReference w:id="39"/>
      </w:r>
      <w:r>
        <w:rPr>
          <w:lang w:val="es-MX"/>
        </w:rPr>
        <w:t xml:space="preserve"> </w:t>
      </w:r>
      <w:r w:rsidRPr="001122B3">
        <w:rPr>
          <w:color w:val="000000" w:themeColor="text1"/>
          <w:lang w:val="es-MX"/>
        </w:rPr>
        <w:t xml:space="preserve"> </w:t>
      </w:r>
      <w:r>
        <w:rPr>
          <w:color w:val="000000" w:themeColor="text1"/>
          <w:lang w:val="es-MX"/>
        </w:rPr>
        <w:t xml:space="preserve">La base tiene </w:t>
      </w:r>
      <w:r w:rsidRPr="001122B3">
        <w:rPr>
          <w:color w:val="000000" w:themeColor="text1"/>
          <w:lang w:val="es-MX"/>
        </w:rPr>
        <w:t>40 variables sobre l</w:t>
      </w:r>
      <w:r>
        <w:rPr>
          <w:color w:val="000000" w:themeColor="text1"/>
          <w:lang w:val="es-MX"/>
        </w:rPr>
        <w:t>as características del difunto,</w:t>
      </w:r>
      <w:r w:rsidRPr="001122B3">
        <w:rPr>
          <w:color w:val="000000" w:themeColor="text1"/>
          <w:lang w:val="es-MX"/>
        </w:rPr>
        <w:t xml:space="preserve"> las circunstancias (de acuerdo al CIE-10)</w:t>
      </w:r>
      <w:r>
        <w:rPr>
          <w:color w:val="000000" w:themeColor="text1"/>
          <w:lang w:val="es-MX"/>
        </w:rPr>
        <w:t xml:space="preserve"> y el lugar de su muerte.  En particular, este estudio utiliza aquellas defunciones que son catalogadas cómo homicidios</w:t>
      </w:r>
      <w:r>
        <w:rPr>
          <w:rStyle w:val="FootnoteReference"/>
          <w:color w:val="000000" w:themeColor="text1"/>
          <w:lang w:val="es-MX"/>
        </w:rPr>
        <w:footnoteReference w:id="40"/>
      </w:r>
      <w:r>
        <w:rPr>
          <w:color w:val="000000" w:themeColor="text1"/>
          <w:lang w:val="es-MX"/>
        </w:rPr>
        <w:t xml:space="preserve"> que suman </w:t>
      </w:r>
      <w:r w:rsidRPr="001122B3">
        <w:rPr>
          <w:color w:val="000000" w:themeColor="text1"/>
          <w:lang w:val="es-MX"/>
        </w:rPr>
        <w:t>118,428</w:t>
      </w:r>
      <w:r>
        <w:rPr>
          <w:color w:val="000000" w:themeColor="text1"/>
          <w:lang w:val="es-MX"/>
        </w:rPr>
        <w:t xml:space="preserve"> casos. No obstante, por errores de captura, sólo se pudieron identificar 113,714  homicidios</w:t>
      </w:r>
      <w:r w:rsidRPr="001122B3">
        <w:rPr>
          <w:color w:val="000000" w:themeColor="text1"/>
          <w:lang w:val="es-MX"/>
        </w:rPr>
        <w:t xml:space="preserve"> en localidades identificadas por el INEGI</w:t>
      </w:r>
      <w:r w:rsidRPr="001122B3">
        <w:rPr>
          <w:rStyle w:val="FootnoteReference"/>
          <w:color w:val="000000" w:themeColor="text1"/>
          <w:lang w:val="es-MX"/>
        </w:rPr>
        <w:footnoteReference w:id="41"/>
      </w:r>
      <w:r w:rsidRPr="001122B3">
        <w:rPr>
          <w:color w:val="000000" w:themeColor="text1"/>
          <w:lang w:val="es-MX"/>
        </w:rPr>
        <w:t>.</w:t>
      </w:r>
      <w:r>
        <w:rPr>
          <w:color w:val="000000" w:themeColor="text1"/>
          <w:lang w:val="es-MX"/>
        </w:rPr>
        <w:t xml:space="preserve">  Esta base muestra una mayor dispersión geográfica que la anterior. Por ejemplo, </w:t>
      </w:r>
      <w:r w:rsidRPr="001122B3">
        <w:rPr>
          <w:color w:val="000000" w:themeColor="text1"/>
          <w:lang w:val="es-MX"/>
        </w:rPr>
        <w:t>tenemos homicidios en 2,179 municipios con claves  INEGI</w:t>
      </w:r>
      <w:r>
        <w:rPr>
          <w:color w:val="000000" w:themeColor="text1"/>
          <w:lang w:val="es-MX"/>
        </w:rPr>
        <w:t xml:space="preserve">, mientras en la de Presidencia  sólo teniamos homicidios en </w:t>
      </w:r>
      <w:r w:rsidRPr="00BD2077">
        <w:rPr>
          <w:rFonts w:cstheme="minorHAnsi"/>
          <w:color w:val="000000" w:themeColor="text1"/>
          <w:lang w:val="es-MX"/>
        </w:rPr>
        <w:t>1,266</w:t>
      </w:r>
      <w:r>
        <w:rPr>
          <w:rFonts w:cstheme="minorHAnsi"/>
          <w:color w:val="000000" w:themeColor="text1"/>
          <w:lang w:val="es-MX"/>
        </w:rPr>
        <w:t xml:space="preserve"> municipios. Aunque cabe señalar que los homicidios ocurrieron en solo el  13 porciento de las localidades del país. </w:t>
      </w:r>
      <w:r>
        <w:rPr>
          <w:rStyle w:val="FootnoteReference"/>
          <w:rFonts w:cstheme="minorHAnsi"/>
          <w:color w:val="000000" w:themeColor="text1"/>
          <w:lang w:val="es-MX"/>
        </w:rPr>
        <w:footnoteReference w:id="42"/>
      </w:r>
    </w:p>
    <w:p w:rsidR="004F1FFF" w:rsidRPr="00256F2F" w:rsidRDefault="004F1FFF" w:rsidP="0079081D">
      <w:pPr>
        <w:spacing w:after="0" w:line="360" w:lineRule="auto"/>
        <w:ind w:firstLine="709"/>
        <w:jc w:val="both"/>
        <w:rPr>
          <w:rFonts w:cstheme="minorHAnsi"/>
          <w:color w:val="000000" w:themeColor="text1"/>
          <w:lang w:val="es-MX"/>
        </w:rPr>
      </w:pPr>
      <w:r>
        <w:rPr>
          <w:rFonts w:cstheme="minorHAnsi"/>
          <w:color w:val="000000" w:themeColor="text1"/>
          <w:lang w:val="es-MX"/>
        </w:rPr>
        <w:t xml:space="preserve">         </w:t>
      </w:r>
      <w:r w:rsidRPr="004F1FFF">
        <w:rPr>
          <w:rFonts w:cstheme="minorHAnsi"/>
          <w:color w:val="000000" w:themeColor="text1"/>
          <w:lang w:val="es-MX"/>
        </w:rPr>
        <w:t>En el gráfico 4, se puede observar cómo los homicidios del SINAIS siguen una tendencia muy parecida a los fallecimientos relacionados al crimen organizado registrados por Presidencia. Lo que nos indica que, en parte, estamos utilizando dichos homicidios pero con la ventaja del nivel de desagregación que otorga el SINAIS.</w:t>
      </w:r>
      <w:r w:rsidRPr="004F1FFF">
        <w:rPr>
          <w:color w:val="000000" w:themeColor="text1"/>
          <w:lang w:val="es-MX"/>
        </w:rPr>
        <w:t xml:space="preserve"> En el periodo de Enero del 2007 a Diciembre del 2010 ocurrieron 66,007 homicidios en 9,651 localidades. Sólo hubo 3,112 localidades con homicidios y avalúos</w:t>
      </w:r>
      <w:r w:rsidRPr="004F1FFF">
        <w:rPr>
          <w:rStyle w:val="FootnoteReference"/>
          <w:color w:val="000000" w:themeColor="text1"/>
          <w:lang w:val="es-MX"/>
        </w:rPr>
        <w:footnoteReference w:id="43"/>
      </w:r>
      <w:r w:rsidRPr="004F1FFF">
        <w:rPr>
          <w:color w:val="000000" w:themeColor="text1"/>
          <w:lang w:val="es-MX"/>
        </w:rPr>
        <w:t xml:space="preserve"> para el periodo mencionado (ver Gráfico 5).</w:t>
      </w:r>
      <w:r w:rsidRPr="004F1FFF">
        <w:rPr>
          <w:color w:val="FF0000"/>
          <w:lang w:val="es-MX"/>
        </w:rPr>
        <w:t xml:space="preserve">   </w:t>
      </w:r>
    </w:p>
    <w:p w:rsidR="004F1FFF" w:rsidRPr="00B04116" w:rsidRDefault="004F1FFF" w:rsidP="004F1FFF">
      <w:pPr>
        <w:spacing w:after="0"/>
        <w:jc w:val="both"/>
        <w:rPr>
          <w:lang w:val="es-MX"/>
        </w:rPr>
      </w:pPr>
      <w:r>
        <w:rPr>
          <w:rFonts w:cstheme="minorHAnsi"/>
          <w:color w:val="000000" w:themeColor="text1"/>
          <w:lang w:val="es-MX"/>
        </w:rPr>
        <w:t xml:space="preserve">         </w:t>
      </w:r>
      <w:r>
        <w:rPr>
          <w:color w:val="000000" w:themeColor="text1"/>
          <w:lang w:val="es-MX"/>
        </w:rPr>
        <w:t xml:space="preserve"> </w:t>
      </w:r>
    </w:p>
    <w:p w:rsidR="00420B1F" w:rsidRDefault="00420B1F" w:rsidP="0094178F">
      <w:pPr>
        <w:spacing w:after="0"/>
        <w:ind w:firstLine="708"/>
        <w:jc w:val="both"/>
        <w:rPr>
          <w:lang w:val="es-MX"/>
        </w:rPr>
      </w:pPr>
    </w:p>
    <w:p w:rsidR="00420B1F" w:rsidRDefault="00420B1F" w:rsidP="00420B1F">
      <w:pPr>
        <w:spacing w:after="0"/>
        <w:ind w:hanging="284"/>
        <w:jc w:val="center"/>
        <w:rPr>
          <w:lang w:val="es-MX"/>
        </w:rPr>
      </w:pPr>
      <w:r>
        <w:rPr>
          <w:noProof/>
          <w:lang w:val="en-US" w:eastAsia="en-US"/>
        </w:rPr>
        <w:lastRenderedPageBreak/>
        <w:drawing>
          <wp:inline distT="0" distB="0" distL="0" distR="0">
            <wp:extent cx="5390515" cy="3891280"/>
            <wp:effectExtent l="19050" t="0" r="635"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390515" cy="3891280"/>
                    </a:xfrm>
                    <a:prstGeom prst="rect">
                      <a:avLst/>
                    </a:prstGeom>
                    <a:noFill/>
                    <a:ln w="9525">
                      <a:noFill/>
                      <a:miter lim="800000"/>
                      <a:headEnd/>
                      <a:tailEnd/>
                    </a:ln>
                  </pic:spPr>
                </pic:pic>
              </a:graphicData>
            </a:graphic>
          </wp:inline>
        </w:drawing>
      </w:r>
    </w:p>
    <w:p w:rsidR="004F1FFF" w:rsidRDefault="00420B1F" w:rsidP="00F348B7">
      <w:pPr>
        <w:spacing w:after="0" w:line="240" w:lineRule="auto"/>
        <w:jc w:val="both"/>
        <w:rPr>
          <w:sz w:val="18"/>
          <w:szCs w:val="18"/>
          <w:lang w:val="es-MX"/>
        </w:rPr>
      </w:pPr>
      <w:r>
        <w:rPr>
          <w:sz w:val="18"/>
          <w:szCs w:val="18"/>
          <w:lang w:val="es-MX"/>
        </w:rPr>
        <w:t>Gráfico 4</w:t>
      </w:r>
      <w:r w:rsidRPr="0070694A">
        <w:rPr>
          <w:sz w:val="18"/>
          <w:szCs w:val="18"/>
          <w:lang w:val="es-MX"/>
        </w:rPr>
        <w:t>. Fallecimientos re</w:t>
      </w:r>
      <w:r>
        <w:rPr>
          <w:sz w:val="18"/>
          <w:szCs w:val="18"/>
          <w:lang w:val="es-MX"/>
        </w:rPr>
        <w:t xml:space="preserve">lacionados al crimen organizado. </w:t>
      </w:r>
      <w:r w:rsidRPr="0070694A">
        <w:rPr>
          <w:sz w:val="18"/>
          <w:szCs w:val="18"/>
          <w:lang w:val="es-MX"/>
        </w:rPr>
        <w:t xml:space="preserve">Fuente: elaboración propia con información </w:t>
      </w:r>
      <w:r>
        <w:rPr>
          <w:sz w:val="18"/>
          <w:szCs w:val="18"/>
          <w:lang w:val="es-MX"/>
        </w:rPr>
        <w:t xml:space="preserve">del SINAIS </w:t>
      </w:r>
    </w:p>
    <w:p w:rsidR="00420B1F" w:rsidRPr="00420B1F" w:rsidRDefault="00420B1F" w:rsidP="00F348B7">
      <w:pPr>
        <w:spacing w:after="0" w:line="240" w:lineRule="auto"/>
        <w:jc w:val="both"/>
        <w:rPr>
          <w:sz w:val="18"/>
          <w:szCs w:val="18"/>
          <w:lang w:val="es-MX"/>
        </w:rPr>
      </w:pPr>
      <w:r>
        <w:rPr>
          <w:sz w:val="18"/>
          <w:szCs w:val="18"/>
          <w:lang w:val="es-MX"/>
        </w:rPr>
        <w:t>y la Presidencia de la República.</w:t>
      </w:r>
    </w:p>
    <w:p w:rsidR="007A05F0" w:rsidRDefault="007A05F0" w:rsidP="008C40C6">
      <w:pPr>
        <w:spacing w:after="0"/>
        <w:ind w:firstLine="708"/>
        <w:jc w:val="both"/>
        <w:rPr>
          <w:color w:val="000000" w:themeColor="text1"/>
          <w:lang w:val="es-MX"/>
        </w:rPr>
      </w:pPr>
    </w:p>
    <w:p w:rsidR="007A05F0" w:rsidRDefault="007A05F0" w:rsidP="00EB7C4F">
      <w:pPr>
        <w:spacing w:after="0"/>
        <w:ind w:hanging="142"/>
        <w:jc w:val="center"/>
        <w:rPr>
          <w:color w:val="FF0000"/>
          <w:lang w:val="es-MX"/>
        </w:rPr>
      </w:pPr>
      <w:r>
        <w:rPr>
          <w:noProof/>
          <w:color w:val="FF0000"/>
          <w:lang w:val="en-US" w:eastAsia="en-US"/>
        </w:rPr>
        <w:drawing>
          <wp:inline distT="0" distB="0" distL="0" distR="0">
            <wp:extent cx="5313600" cy="4132800"/>
            <wp:effectExtent l="0" t="0" r="0" b="0"/>
            <wp:docPr id="3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5313600" cy="4132800"/>
                    </a:xfrm>
                    <a:prstGeom prst="rect">
                      <a:avLst/>
                    </a:prstGeom>
                    <a:noFill/>
                    <a:ln w="9525">
                      <a:noFill/>
                      <a:miter lim="800000"/>
                      <a:headEnd/>
                      <a:tailEnd/>
                    </a:ln>
                  </pic:spPr>
                </pic:pic>
              </a:graphicData>
            </a:graphic>
          </wp:inline>
        </w:drawing>
      </w:r>
    </w:p>
    <w:p w:rsidR="007A05F0" w:rsidRDefault="007A05F0" w:rsidP="007A05F0">
      <w:pPr>
        <w:spacing w:after="0"/>
        <w:jc w:val="both"/>
        <w:rPr>
          <w:sz w:val="18"/>
          <w:szCs w:val="18"/>
          <w:lang w:val="es-MX"/>
        </w:rPr>
      </w:pPr>
      <w:r>
        <w:rPr>
          <w:sz w:val="18"/>
          <w:szCs w:val="18"/>
          <w:lang w:val="es-MX"/>
        </w:rPr>
        <w:t>Gráfico 5</w:t>
      </w:r>
      <w:r w:rsidRPr="0070694A">
        <w:rPr>
          <w:sz w:val="18"/>
          <w:szCs w:val="18"/>
          <w:lang w:val="es-MX"/>
        </w:rPr>
        <w:t xml:space="preserve">. </w:t>
      </w:r>
      <w:r>
        <w:rPr>
          <w:sz w:val="18"/>
          <w:szCs w:val="18"/>
          <w:lang w:val="es-MX"/>
        </w:rPr>
        <w:t>Distribución de avalúos y homicidios a través de las localidades. Fuente: elaboración propia.</w:t>
      </w:r>
    </w:p>
    <w:p w:rsidR="004F1FFF" w:rsidRPr="004F1FFF" w:rsidRDefault="004F1FFF" w:rsidP="0079081D">
      <w:pPr>
        <w:spacing w:after="0" w:line="360" w:lineRule="auto"/>
        <w:ind w:firstLine="709"/>
        <w:jc w:val="both"/>
        <w:rPr>
          <w:color w:val="000000" w:themeColor="text1"/>
          <w:lang w:val="es-MX"/>
        </w:rPr>
      </w:pPr>
      <w:r>
        <w:rPr>
          <w:lang w:val="es-MX"/>
        </w:rPr>
        <w:lastRenderedPageBreak/>
        <w:t>En el Diagrama de Venn (</w:t>
      </w:r>
      <w:r w:rsidRPr="008F1334">
        <w:rPr>
          <w:lang w:val="es-MX"/>
        </w:rPr>
        <w:t>gráfico 5</w:t>
      </w:r>
      <w:r>
        <w:rPr>
          <w:lang w:val="es-MX"/>
        </w:rPr>
        <w:t>)</w:t>
      </w:r>
      <w:r w:rsidRPr="008F1334">
        <w:rPr>
          <w:lang w:val="es-MX"/>
        </w:rPr>
        <w:t>,</w:t>
      </w:r>
      <w:r>
        <w:rPr>
          <w:lang w:val="es-MX"/>
        </w:rPr>
        <w:t xml:space="preserve"> se</w:t>
      </w:r>
      <w:r w:rsidRPr="008F1334">
        <w:rPr>
          <w:lang w:val="es-MX"/>
        </w:rPr>
        <w:t xml:space="preserve"> puede observar cuantas localidades tienen avalúos y homicidios, así cómo cuantos hay de cada uno</w:t>
      </w:r>
      <w:r>
        <w:rPr>
          <w:lang w:val="es-MX"/>
        </w:rPr>
        <w:t xml:space="preserve"> (intersección de</w:t>
      </w:r>
      <w:r w:rsidRPr="008F1334">
        <w:rPr>
          <w:lang w:val="es-MX"/>
        </w:rPr>
        <w:t xml:space="preserve"> los circulos). También se puede ver cuantas localidades sólo tienen avalúos y cuantas sólo tienen homicidios (asi como cuantos hay de cada tipo en dichas localidades). En el recuadro de</w:t>
      </w:r>
      <w:r>
        <w:rPr>
          <w:lang w:val="es-MX"/>
        </w:rPr>
        <w:t xml:space="preserve"> la parte inferior, se muestra</w:t>
      </w:r>
      <w:r w:rsidRPr="008F1334">
        <w:rPr>
          <w:lang w:val="es-MX"/>
        </w:rPr>
        <w:t xml:space="preserve"> cuantas localidades </w:t>
      </w:r>
      <w:r>
        <w:rPr>
          <w:lang w:val="es-MX"/>
        </w:rPr>
        <w:t xml:space="preserve">en total </w:t>
      </w:r>
      <w:r w:rsidRPr="008F1334">
        <w:rPr>
          <w:lang w:val="es-MX"/>
        </w:rPr>
        <w:t>tiene</w:t>
      </w:r>
      <w:r>
        <w:rPr>
          <w:lang w:val="es-MX"/>
        </w:rPr>
        <w:t>n avalúos y cuanto avalúos son</w:t>
      </w:r>
      <w:r w:rsidRPr="008F1334">
        <w:rPr>
          <w:lang w:val="es-MX"/>
        </w:rPr>
        <w:t xml:space="preserve"> (lo mismo para los homicidios).</w:t>
      </w:r>
      <w:r>
        <w:rPr>
          <w:lang w:val="es-MX"/>
        </w:rPr>
        <w:t xml:space="preserve"> La</w:t>
      </w:r>
      <w:r w:rsidRPr="008F1334">
        <w:rPr>
          <w:lang w:val="es-MX"/>
        </w:rPr>
        <w:t xml:space="preserve"> </w:t>
      </w:r>
      <w:r>
        <w:rPr>
          <w:lang w:val="es-MX"/>
        </w:rPr>
        <w:t xml:space="preserve">información del gráfico es sólo </w:t>
      </w:r>
      <w:r w:rsidRPr="008F1334">
        <w:rPr>
          <w:lang w:val="es-MX"/>
        </w:rPr>
        <w:t>para el periodo entre ener</w:t>
      </w:r>
      <w:r>
        <w:rPr>
          <w:lang w:val="es-MX"/>
        </w:rPr>
        <w:t>o del 2007 y diciembre del 2010.</w:t>
      </w:r>
    </w:p>
    <w:p w:rsidR="004530EF" w:rsidRPr="005249A5" w:rsidRDefault="00176AA2" w:rsidP="00F348B7">
      <w:pPr>
        <w:spacing w:after="0" w:line="360" w:lineRule="auto"/>
        <w:ind w:firstLine="709"/>
        <w:jc w:val="both"/>
        <w:rPr>
          <w:lang w:val="es-MX"/>
        </w:rPr>
      </w:pPr>
      <w:r w:rsidRPr="005249A5">
        <w:rPr>
          <w:lang w:val="es-MX"/>
        </w:rPr>
        <w:t xml:space="preserve">La estrategia de limpieza de los datos </w:t>
      </w:r>
      <w:r w:rsidR="004530EF" w:rsidRPr="005249A5">
        <w:rPr>
          <w:lang w:val="es-MX"/>
        </w:rPr>
        <w:t xml:space="preserve">requirió </w:t>
      </w:r>
      <w:r w:rsidR="00234A88" w:rsidRPr="005249A5">
        <w:rPr>
          <w:lang w:val="es-MX"/>
        </w:rPr>
        <w:t xml:space="preserve">en primer lugar </w:t>
      </w:r>
      <w:r w:rsidR="004530EF" w:rsidRPr="005249A5">
        <w:rPr>
          <w:lang w:val="es-MX"/>
        </w:rPr>
        <w:t xml:space="preserve">eliminar las viviendas que tuvieran más de 8 avalúos en el período de cuatro años estudiado. </w:t>
      </w:r>
      <w:r w:rsidR="00234A88" w:rsidRPr="005249A5">
        <w:rPr>
          <w:lang w:val="es-MX"/>
        </w:rPr>
        <w:t>En segundo lugar</w:t>
      </w:r>
      <w:r w:rsidR="004530EF" w:rsidRPr="005249A5">
        <w:rPr>
          <w:lang w:val="es-MX"/>
        </w:rPr>
        <w:t xml:space="preserve"> fueron eliminadas las observaciones que tuvieran </w:t>
      </w:r>
      <w:r w:rsidR="00F06F69" w:rsidRPr="005249A5">
        <w:rPr>
          <w:lang w:val="es-MX"/>
        </w:rPr>
        <w:t xml:space="preserve">valores faltantes en variables de interés: importe valor concluido, valor físico de la construcción,  número de estacionamientos, superficie vendible, superficie construida y posesión de elevador.  </w:t>
      </w:r>
      <w:r w:rsidR="00234A88" w:rsidRPr="005249A5">
        <w:rPr>
          <w:lang w:val="es-MX"/>
        </w:rPr>
        <w:t>En tercer lugar, se eliminaron los avalúos que correspondieran a terrenos mayores a 5</w:t>
      </w:r>
      <w:r w:rsidR="00FF4056">
        <w:rPr>
          <w:lang w:val="es-MX"/>
        </w:rPr>
        <w:t xml:space="preserve"> mil</w:t>
      </w:r>
      <w:r w:rsidR="00234A88" w:rsidRPr="005249A5">
        <w:rPr>
          <w:lang w:val="es-MX"/>
        </w:rPr>
        <w:t xml:space="preserve"> metros cuadrados o valor co</w:t>
      </w:r>
      <w:r w:rsidR="00FF4056">
        <w:rPr>
          <w:lang w:val="es-MX"/>
        </w:rPr>
        <w:t>mparativo de mercado mayor a 20 millones de</w:t>
      </w:r>
      <w:r w:rsidR="00234A88" w:rsidRPr="005249A5">
        <w:rPr>
          <w:lang w:val="es-MX"/>
        </w:rPr>
        <w:t xml:space="preserve"> pesos mexicanos por considerarse error de entrada.</w:t>
      </w:r>
      <w:r w:rsidR="006B7E3D">
        <w:rPr>
          <w:lang w:val="es-MX"/>
        </w:rPr>
        <w:t xml:space="preserve"> </w:t>
      </w:r>
    </w:p>
    <w:p w:rsidR="0096741B" w:rsidRPr="005249A5" w:rsidRDefault="0096741B" w:rsidP="00F348B7">
      <w:pPr>
        <w:spacing w:after="0" w:line="360" w:lineRule="auto"/>
        <w:ind w:firstLine="709"/>
        <w:jc w:val="both"/>
        <w:rPr>
          <w:lang w:val="es-MX"/>
        </w:rPr>
      </w:pPr>
      <w:r w:rsidRPr="005249A5">
        <w:rPr>
          <w:lang w:val="es-MX"/>
        </w:rPr>
        <w:t>La variable utilizada para la identificación de avalúos provenientes de una misma vivienda fue armada de forma tal que los avalúos de una misma vivienda coinciden en entidad, municipalidad, localidad, código postal, nombre y número de la calle, y en latitud y longitud con precisión de</w:t>
      </w:r>
      <w:r w:rsidR="009C2354" w:rsidRPr="005249A5">
        <w:rPr>
          <w:lang w:val="es-MX"/>
        </w:rPr>
        <w:t xml:space="preserve"> </w:t>
      </w:r>
      <w:r w:rsidR="00077A60" w:rsidRPr="005249A5">
        <w:rPr>
          <w:lang w:val="es-MX"/>
        </w:rPr>
        <w:t>aproximadamente</w:t>
      </w:r>
      <w:r w:rsidRPr="005249A5">
        <w:rPr>
          <w:lang w:val="es-MX"/>
        </w:rPr>
        <w:t xml:space="preserve"> 5 metros. </w:t>
      </w:r>
      <w:r w:rsidR="002C4713" w:rsidRPr="005249A5">
        <w:rPr>
          <w:lang w:val="es-MX"/>
        </w:rPr>
        <w:t>Los hogares pertenecientes a un conjunto de viviendas, debían adem</w:t>
      </w:r>
      <w:r w:rsidR="007633A5" w:rsidRPr="005249A5">
        <w:rPr>
          <w:lang w:val="es-MX"/>
        </w:rPr>
        <w:t>ás coincidir en el nombre de</w:t>
      </w:r>
      <w:r w:rsidR="002C4713" w:rsidRPr="005249A5">
        <w:rPr>
          <w:lang w:val="es-MX"/>
        </w:rPr>
        <w:t xml:space="preserve"> conjunto. </w:t>
      </w:r>
      <w:r w:rsidR="00A024A1" w:rsidRPr="005249A5">
        <w:rPr>
          <w:lang w:val="es-MX"/>
        </w:rPr>
        <w:t>En caso de contar con más de un avalúo perteneciente a una misma vivienda, y hecho por el</w:t>
      </w:r>
      <w:r w:rsidR="006A2F79" w:rsidRPr="005249A5">
        <w:rPr>
          <w:lang w:val="es-MX"/>
        </w:rPr>
        <w:t xml:space="preserve"> mismo perito valuador en el mismo día</w:t>
      </w:r>
      <w:r w:rsidR="00A024A1" w:rsidRPr="005249A5">
        <w:rPr>
          <w:lang w:val="es-MX"/>
        </w:rPr>
        <w:t>, fueron considerados errores y nos quedamos solamente con el primer avalúo registrado.</w:t>
      </w:r>
    </w:p>
    <w:p w:rsidR="0022268B" w:rsidRPr="005249A5" w:rsidRDefault="0022268B" w:rsidP="00E9163F">
      <w:pPr>
        <w:spacing w:after="0" w:line="240" w:lineRule="auto"/>
        <w:rPr>
          <w:rFonts w:ascii="Arial" w:eastAsia="Times New Roman" w:hAnsi="Arial" w:cs="Arial"/>
          <w:color w:val="222222"/>
          <w:sz w:val="16"/>
          <w:szCs w:val="16"/>
          <w:shd w:val="clear" w:color="auto" w:fill="FFFFFF"/>
          <w:lang w:val="es-MX"/>
        </w:rPr>
      </w:pPr>
    </w:p>
    <w:p w:rsidR="0022268B" w:rsidRDefault="0022268B" w:rsidP="0022268B">
      <w:pPr>
        <w:pStyle w:val="Heading1"/>
        <w:numPr>
          <w:ilvl w:val="0"/>
          <w:numId w:val="2"/>
        </w:numPr>
        <w:rPr>
          <w:lang w:val="es-MX"/>
        </w:rPr>
      </w:pPr>
      <w:bookmarkStart w:id="5" w:name="_Toc340428161"/>
      <w:r w:rsidRPr="005249A5">
        <w:rPr>
          <w:lang w:val="es-MX"/>
        </w:rPr>
        <w:t>Estadística descriptiva</w:t>
      </w:r>
      <w:bookmarkEnd w:id="5"/>
    </w:p>
    <w:p w:rsidR="00F348B7" w:rsidRPr="00F348B7" w:rsidRDefault="00F348B7" w:rsidP="00F348B7">
      <w:pPr>
        <w:rPr>
          <w:lang w:val="es-MX"/>
        </w:rPr>
      </w:pPr>
    </w:p>
    <w:p w:rsidR="00D124D9" w:rsidRDefault="00D124D9" w:rsidP="00D124D9">
      <w:pPr>
        <w:spacing w:after="0"/>
        <w:jc w:val="both"/>
        <w:rPr>
          <w:rFonts w:ascii="Arial" w:eastAsia="Times New Roman" w:hAnsi="Arial" w:cs="Arial"/>
          <w:color w:val="222222"/>
          <w:sz w:val="16"/>
          <w:szCs w:val="16"/>
          <w:shd w:val="clear" w:color="auto" w:fill="FFFFFF"/>
          <w:lang w:val="es-MX"/>
        </w:rPr>
      </w:pPr>
    </w:p>
    <w:p w:rsidR="00763987" w:rsidRDefault="00D124D9" w:rsidP="00F348B7">
      <w:pPr>
        <w:spacing w:after="0" w:line="360" w:lineRule="auto"/>
        <w:jc w:val="both"/>
        <w:rPr>
          <w:lang w:val="es-MX"/>
        </w:rPr>
      </w:pPr>
      <w:r>
        <w:rPr>
          <w:lang w:val="es-MX"/>
        </w:rPr>
        <w:t>La base completa</w:t>
      </w:r>
      <w:r w:rsidRPr="005249A5">
        <w:rPr>
          <w:lang w:val="es-MX"/>
        </w:rPr>
        <w:t xml:space="preserve"> </w:t>
      </w:r>
      <w:r w:rsidR="00707E6D">
        <w:rPr>
          <w:lang w:val="es-MX"/>
        </w:rPr>
        <w:t>utilizada en las regresiones resulta</w:t>
      </w:r>
      <w:r w:rsidRPr="005249A5">
        <w:rPr>
          <w:lang w:val="es-MX"/>
        </w:rPr>
        <w:t xml:space="preserve"> de la combinación de las bases primarias y la estrategia de limpieza </w:t>
      </w:r>
      <w:r>
        <w:rPr>
          <w:lang w:val="es-MX"/>
        </w:rPr>
        <w:t>descriptas en la sección anterior.</w:t>
      </w:r>
      <w:r w:rsidR="00707E6D">
        <w:rPr>
          <w:lang w:val="es-MX"/>
        </w:rPr>
        <w:t xml:space="preserve"> Abarca el período 2008 a 2010.</w:t>
      </w:r>
      <w:r w:rsidR="00884992">
        <w:rPr>
          <w:lang w:val="es-MX"/>
        </w:rPr>
        <w:t xml:space="preserve"> Contiene 1,187,917</w:t>
      </w:r>
      <w:r w:rsidR="00707E6D">
        <w:rPr>
          <w:lang w:val="es-MX"/>
        </w:rPr>
        <w:t xml:space="preserve"> </w:t>
      </w:r>
      <w:r w:rsidR="002650A4">
        <w:rPr>
          <w:lang w:val="es-MX"/>
        </w:rPr>
        <w:t xml:space="preserve">observaciones, 805,461 viviendas, 1,512 peritos valuadores, 84 bancos, y 35,318 localidades. </w:t>
      </w:r>
      <w:r w:rsidR="00707E6D">
        <w:rPr>
          <w:lang w:val="es-MX"/>
        </w:rPr>
        <w:t>La unid</w:t>
      </w:r>
      <w:r w:rsidR="003A4FEB">
        <w:rPr>
          <w:lang w:val="es-MX"/>
        </w:rPr>
        <w:t>ad de observación es el avalúo, y los homicidios se incluyen a nivel mensual y por localidad.</w:t>
      </w:r>
    </w:p>
    <w:p w:rsidR="00837F0A" w:rsidRDefault="00837F0A" w:rsidP="00F348B7">
      <w:pPr>
        <w:spacing w:after="0" w:line="360" w:lineRule="auto"/>
        <w:ind w:firstLine="708"/>
        <w:jc w:val="both"/>
        <w:rPr>
          <w:lang w:val="es-MX"/>
        </w:rPr>
      </w:pPr>
      <w:r>
        <w:rPr>
          <w:lang w:val="es-MX"/>
        </w:rPr>
        <w:t xml:space="preserve">Entre 2008 y 2010 la cantidad promedio de los homicidios aumentaron notablemente (como se destaca en los gráficos de la sección anterior). A continuación, se muestra una tabla que resume a nuestra variable de interés principal, que son los homicidios acumulados para los últimos 24 meses previos al mes del avalúo en cuestión. Utilizamos esa variable ya que consideramos que es más representativa </w:t>
      </w:r>
      <w:r w:rsidR="00BC2357">
        <w:rPr>
          <w:lang w:val="es-MX"/>
        </w:rPr>
        <w:t xml:space="preserve">del riesgo de crimen </w:t>
      </w:r>
      <w:r>
        <w:rPr>
          <w:lang w:val="es-MX"/>
        </w:rPr>
        <w:t>que simplemente el número de homicidios ocurridos en un determinado mes.</w:t>
      </w:r>
    </w:p>
    <w:p w:rsidR="00256C6B" w:rsidRDefault="00256C6B" w:rsidP="007D3F88">
      <w:pPr>
        <w:spacing w:after="0"/>
        <w:jc w:val="both"/>
        <w:rPr>
          <w:lang w:val="es-MX"/>
        </w:rPr>
      </w:pPr>
    </w:p>
    <w:tbl>
      <w:tblPr>
        <w:tblW w:w="8484" w:type="dxa"/>
        <w:jc w:val="center"/>
        <w:tblInd w:w="-1152" w:type="dxa"/>
        <w:tblCellMar>
          <w:left w:w="70" w:type="dxa"/>
          <w:right w:w="70" w:type="dxa"/>
        </w:tblCellMar>
        <w:tblLook w:val="04A0" w:firstRow="1" w:lastRow="0" w:firstColumn="1" w:lastColumn="0" w:noHBand="0" w:noVBand="1"/>
      </w:tblPr>
      <w:tblGrid>
        <w:gridCol w:w="1691"/>
        <w:gridCol w:w="1985"/>
        <w:gridCol w:w="1843"/>
        <w:gridCol w:w="1559"/>
        <w:gridCol w:w="1406"/>
      </w:tblGrid>
      <w:tr w:rsidR="00BB78DD" w:rsidRPr="002527F5" w:rsidTr="00BB78DD">
        <w:trPr>
          <w:trHeight w:val="300"/>
          <w:jc w:val="center"/>
        </w:trPr>
        <w:tc>
          <w:tcPr>
            <w:tcW w:w="1691" w:type="dxa"/>
            <w:tcBorders>
              <w:top w:val="nil"/>
              <w:left w:val="nil"/>
              <w:bottom w:val="single" w:sz="4" w:space="0" w:color="auto"/>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Año</w:t>
            </w:r>
          </w:p>
        </w:tc>
        <w:tc>
          <w:tcPr>
            <w:tcW w:w="1985" w:type="dxa"/>
            <w:tcBorders>
              <w:top w:val="nil"/>
              <w:left w:val="nil"/>
              <w:bottom w:val="single" w:sz="4" w:space="0" w:color="auto"/>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Promedio</w:t>
            </w:r>
          </w:p>
        </w:tc>
        <w:tc>
          <w:tcPr>
            <w:tcW w:w="1843" w:type="dxa"/>
            <w:tcBorders>
              <w:top w:val="nil"/>
              <w:left w:val="nil"/>
              <w:bottom w:val="single" w:sz="4" w:space="0" w:color="auto"/>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Desvío estándar</w:t>
            </w:r>
          </w:p>
        </w:tc>
        <w:tc>
          <w:tcPr>
            <w:tcW w:w="1559" w:type="dxa"/>
            <w:tcBorders>
              <w:top w:val="nil"/>
              <w:left w:val="nil"/>
              <w:bottom w:val="single" w:sz="4" w:space="0" w:color="auto"/>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Min</w:t>
            </w:r>
          </w:p>
        </w:tc>
        <w:tc>
          <w:tcPr>
            <w:tcW w:w="1406" w:type="dxa"/>
            <w:tcBorders>
              <w:top w:val="nil"/>
              <w:left w:val="nil"/>
              <w:bottom w:val="single" w:sz="4" w:space="0" w:color="auto"/>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Max</w:t>
            </w:r>
          </w:p>
        </w:tc>
      </w:tr>
      <w:tr w:rsidR="00BB78DD" w:rsidRPr="002527F5" w:rsidTr="00BB78DD">
        <w:trPr>
          <w:trHeight w:val="300"/>
          <w:jc w:val="center"/>
        </w:trPr>
        <w:tc>
          <w:tcPr>
            <w:tcW w:w="1691"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2008</w:t>
            </w:r>
          </w:p>
        </w:tc>
        <w:tc>
          <w:tcPr>
            <w:tcW w:w="1985"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20166.41</w:t>
            </w:r>
          </w:p>
        </w:tc>
        <w:tc>
          <w:tcPr>
            <w:tcW w:w="1843"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1215.063</w:t>
            </w:r>
          </w:p>
        </w:tc>
        <w:tc>
          <w:tcPr>
            <w:tcW w:w="1559"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18682</w:t>
            </w:r>
          </w:p>
        </w:tc>
        <w:tc>
          <w:tcPr>
            <w:tcW w:w="1406"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22495</w:t>
            </w:r>
          </w:p>
        </w:tc>
      </w:tr>
      <w:tr w:rsidR="00BB78DD" w:rsidRPr="002527F5" w:rsidTr="00BB78DD">
        <w:trPr>
          <w:trHeight w:val="300"/>
          <w:jc w:val="center"/>
        </w:trPr>
        <w:tc>
          <w:tcPr>
            <w:tcW w:w="1691"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2009</w:t>
            </w:r>
          </w:p>
        </w:tc>
        <w:tc>
          <w:tcPr>
            <w:tcW w:w="1985"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27909.38</w:t>
            </w:r>
          </w:p>
        </w:tc>
        <w:tc>
          <w:tcPr>
            <w:tcW w:w="1843"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2872.399</w:t>
            </w:r>
          </w:p>
        </w:tc>
        <w:tc>
          <w:tcPr>
            <w:tcW w:w="1559"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23254</w:t>
            </w:r>
          </w:p>
        </w:tc>
        <w:tc>
          <w:tcPr>
            <w:tcW w:w="1406"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32942</w:t>
            </w:r>
          </w:p>
        </w:tc>
      </w:tr>
      <w:tr w:rsidR="00BB78DD" w:rsidRPr="002527F5" w:rsidTr="00BB78DD">
        <w:trPr>
          <w:trHeight w:val="300"/>
          <w:jc w:val="center"/>
        </w:trPr>
        <w:tc>
          <w:tcPr>
            <w:tcW w:w="1691"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2010</w:t>
            </w:r>
          </w:p>
        </w:tc>
        <w:tc>
          <w:tcPr>
            <w:tcW w:w="1985"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39380.91</w:t>
            </w:r>
          </w:p>
        </w:tc>
        <w:tc>
          <w:tcPr>
            <w:tcW w:w="1843"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3175.662</w:t>
            </w:r>
          </w:p>
        </w:tc>
        <w:tc>
          <w:tcPr>
            <w:tcW w:w="1559"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33944</w:t>
            </w:r>
          </w:p>
        </w:tc>
        <w:tc>
          <w:tcPr>
            <w:tcW w:w="1406" w:type="dxa"/>
            <w:tcBorders>
              <w:top w:val="nil"/>
              <w:left w:val="nil"/>
              <w:bottom w:val="nil"/>
              <w:right w:val="nil"/>
            </w:tcBorders>
            <w:shd w:val="clear" w:color="000000" w:fill="FFFFFF"/>
            <w:noWrap/>
            <w:vAlign w:val="bottom"/>
            <w:hideMark/>
          </w:tcPr>
          <w:p w:rsidR="00BE3F91" w:rsidRPr="002527F5" w:rsidRDefault="00BE3F91" w:rsidP="00780A19">
            <w:pPr>
              <w:spacing w:after="0" w:line="240" w:lineRule="auto"/>
              <w:jc w:val="right"/>
              <w:rPr>
                <w:rFonts w:ascii="Calibri" w:eastAsia="Times New Roman" w:hAnsi="Calibri" w:cs="Calibri"/>
                <w:color w:val="000000"/>
              </w:rPr>
            </w:pPr>
            <w:r w:rsidRPr="002527F5">
              <w:rPr>
                <w:rFonts w:ascii="Calibri" w:eastAsia="Times New Roman" w:hAnsi="Calibri" w:cs="Calibri"/>
                <w:color w:val="000000"/>
              </w:rPr>
              <w:t>43512</w:t>
            </w:r>
          </w:p>
        </w:tc>
      </w:tr>
    </w:tbl>
    <w:p w:rsidR="00F348B7" w:rsidRDefault="00F348B7" w:rsidP="00F348B7">
      <w:pPr>
        <w:spacing w:after="0" w:line="240" w:lineRule="auto"/>
        <w:jc w:val="both"/>
        <w:rPr>
          <w:sz w:val="18"/>
          <w:szCs w:val="18"/>
          <w:lang w:val="es-MX"/>
        </w:rPr>
      </w:pPr>
    </w:p>
    <w:p w:rsidR="00256C6B" w:rsidRDefault="00256C6B" w:rsidP="00F348B7">
      <w:pPr>
        <w:spacing w:after="0" w:line="240" w:lineRule="auto"/>
        <w:jc w:val="both"/>
        <w:rPr>
          <w:sz w:val="18"/>
          <w:szCs w:val="18"/>
          <w:lang w:val="es-MX"/>
        </w:rPr>
      </w:pPr>
      <w:r>
        <w:rPr>
          <w:sz w:val="18"/>
          <w:szCs w:val="18"/>
          <w:lang w:val="es-MX"/>
        </w:rPr>
        <w:t>Tabla 1</w:t>
      </w:r>
      <w:r w:rsidRPr="0070694A">
        <w:rPr>
          <w:sz w:val="18"/>
          <w:szCs w:val="18"/>
          <w:lang w:val="es-MX"/>
        </w:rPr>
        <w:t xml:space="preserve">. </w:t>
      </w:r>
      <w:r>
        <w:rPr>
          <w:sz w:val="18"/>
          <w:szCs w:val="18"/>
          <w:lang w:val="es-MX"/>
        </w:rPr>
        <w:t>Evolución de los homicidios acumulados a 24 meses por localidad y mes en el tiempo. Fuente: elaboración propia.</w:t>
      </w:r>
    </w:p>
    <w:p w:rsidR="007D3F88" w:rsidRDefault="007D3F88" w:rsidP="007D3F88">
      <w:pPr>
        <w:spacing w:after="0"/>
        <w:jc w:val="both"/>
        <w:rPr>
          <w:lang w:val="es-MX"/>
        </w:rPr>
      </w:pPr>
    </w:p>
    <w:p w:rsidR="00420033" w:rsidRDefault="00420033" w:rsidP="007D3F88">
      <w:pPr>
        <w:spacing w:after="0"/>
        <w:jc w:val="both"/>
        <w:rPr>
          <w:lang w:val="es-MX"/>
        </w:rPr>
      </w:pPr>
    </w:p>
    <w:p w:rsidR="00420033" w:rsidRDefault="00420033" w:rsidP="007D3F88">
      <w:pPr>
        <w:spacing w:after="0"/>
        <w:jc w:val="both"/>
        <w:rPr>
          <w:lang w:val="es-MX"/>
        </w:rPr>
      </w:pPr>
    </w:p>
    <w:p w:rsidR="00420033" w:rsidRPr="007D3F88" w:rsidRDefault="00420033" w:rsidP="007D3F88">
      <w:pPr>
        <w:spacing w:after="0"/>
        <w:jc w:val="both"/>
        <w:rPr>
          <w:lang w:val="es-MX"/>
        </w:rPr>
      </w:pPr>
    </w:p>
    <w:p w:rsidR="003F67FD" w:rsidRDefault="006F2CC5" w:rsidP="007D3F88">
      <w:pPr>
        <w:spacing w:after="0" w:line="240" w:lineRule="auto"/>
        <w:jc w:val="center"/>
        <w:rPr>
          <w:rFonts w:ascii="Arial" w:eastAsia="Times New Roman" w:hAnsi="Arial" w:cs="Arial"/>
          <w:color w:val="222222"/>
          <w:sz w:val="16"/>
          <w:szCs w:val="16"/>
          <w:shd w:val="clear" w:color="auto" w:fill="FFFFFF"/>
          <w:lang w:val="es-MX"/>
        </w:rPr>
      </w:pPr>
      <w:r>
        <w:rPr>
          <w:rFonts w:ascii="Arial" w:eastAsia="Times New Roman" w:hAnsi="Arial" w:cs="Arial"/>
          <w:noProof/>
          <w:color w:val="222222"/>
          <w:sz w:val="16"/>
          <w:szCs w:val="16"/>
          <w:shd w:val="clear" w:color="auto" w:fill="FFFFFF"/>
          <w:lang w:val="en-US" w:eastAsia="en-US"/>
        </w:rPr>
        <w:drawing>
          <wp:inline distT="0" distB="0" distL="0" distR="0">
            <wp:extent cx="4107600" cy="298800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homcum24_m33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07600" cy="2988000"/>
                    </a:xfrm>
                    <a:prstGeom prst="rect">
                      <a:avLst/>
                    </a:prstGeom>
                  </pic:spPr>
                </pic:pic>
              </a:graphicData>
            </a:graphic>
          </wp:inline>
        </w:drawing>
      </w:r>
    </w:p>
    <w:p w:rsidR="00F348B7" w:rsidRDefault="00A37C60" w:rsidP="00F348B7">
      <w:pPr>
        <w:spacing w:after="0" w:line="240" w:lineRule="auto"/>
        <w:jc w:val="both"/>
        <w:rPr>
          <w:sz w:val="18"/>
          <w:szCs w:val="18"/>
          <w:lang w:val="es-MX"/>
        </w:rPr>
      </w:pPr>
      <w:r>
        <w:rPr>
          <w:sz w:val="18"/>
          <w:szCs w:val="18"/>
          <w:lang w:val="es-MX"/>
        </w:rPr>
        <w:t>Gráfico 6</w:t>
      </w:r>
      <w:r w:rsidRPr="0070694A">
        <w:rPr>
          <w:sz w:val="18"/>
          <w:szCs w:val="18"/>
          <w:lang w:val="es-MX"/>
        </w:rPr>
        <w:t xml:space="preserve">. </w:t>
      </w:r>
      <w:r>
        <w:rPr>
          <w:sz w:val="18"/>
          <w:szCs w:val="18"/>
          <w:lang w:val="es-MX"/>
        </w:rPr>
        <w:t xml:space="preserve">Evolución de los homicidios acumulados a 24 meses por localidad y mes en el tiempo. </w:t>
      </w:r>
    </w:p>
    <w:p w:rsidR="00D124D9" w:rsidRDefault="00A37C60" w:rsidP="00F348B7">
      <w:pPr>
        <w:spacing w:after="0" w:line="240" w:lineRule="auto"/>
        <w:jc w:val="both"/>
        <w:rPr>
          <w:sz w:val="18"/>
          <w:szCs w:val="18"/>
          <w:lang w:val="es-MX"/>
        </w:rPr>
      </w:pPr>
      <w:r>
        <w:rPr>
          <w:sz w:val="18"/>
          <w:szCs w:val="18"/>
          <w:lang w:val="es-MX"/>
        </w:rPr>
        <w:t>Fuente: elaboración propia.</w:t>
      </w:r>
    </w:p>
    <w:p w:rsidR="00F348B7" w:rsidRDefault="00F348B7" w:rsidP="00F348B7">
      <w:pPr>
        <w:spacing w:after="0" w:line="240" w:lineRule="auto"/>
        <w:jc w:val="both"/>
        <w:rPr>
          <w:sz w:val="18"/>
          <w:szCs w:val="18"/>
          <w:lang w:val="es-MX"/>
        </w:rPr>
      </w:pPr>
    </w:p>
    <w:p w:rsidR="0057699E" w:rsidRDefault="0057699E" w:rsidP="007C2C46">
      <w:pPr>
        <w:spacing w:after="0"/>
        <w:jc w:val="both"/>
        <w:rPr>
          <w:sz w:val="18"/>
          <w:szCs w:val="18"/>
          <w:lang w:val="es-MX"/>
        </w:rPr>
      </w:pPr>
    </w:p>
    <w:tbl>
      <w:tblPr>
        <w:tblW w:w="9400" w:type="dxa"/>
        <w:tblCellMar>
          <w:left w:w="70" w:type="dxa"/>
          <w:right w:w="70" w:type="dxa"/>
        </w:tblCellMar>
        <w:tblLook w:val="04A0" w:firstRow="1" w:lastRow="0" w:firstColumn="1" w:lastColumn="0" w:noHBand="0" w:noVBand="1"/>
      </w:tblPr>
      <w:tblGrid>
        <w:gridCol w:w="3180"/>
        <w:gridCol w:w="1200"/>
        <w:gridCol w:w="1200"/>
        <w:gridCol w:w="1420"/>
        <w:gridCol w:w="1200"/>
        <w:gridCol w:w="1200"/>
      </w:tblGrid>
      <w:tr w:rsidR="00420033" w:rsidRPr="00C03AFD" w:rsidTr="00780A19">
        <w:trPr>
          <w:trHeight w:val="300"/>
        </w:trPr>
        <w:tc>
          <w:tcPr>
            <w:tcW w:w="3180" w:type="dxa"/>
            <w:tcBorders>
              <w:top w:val="nil"/>
              <w:left w:val="nil"/>
              <w:bottom w:val="single" w:sz="4" w:space="0" w:color="auto"/>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color w:val="000000"/>
              </w:rPr>
            </w:pPr>
            <w:r w:rsidRPr="00C03AFD">
              <w:rPr>
                <w:rFonts w:ascii="Calibri" w:eastAsia="Times New Roman" w:hAnsi="Calibri" w:cs="Calibri"/>
                <w:color w:val="000000"/>
              </w:rPr>
              <w:t>Variable</w:t>
            </w:r>
          </w:p>
        </w:tc>
        <w:tc>
          <w:tcPr>
            <w:tcW w:w="1200" w:type="dxa"/>
            <w:tcBorders>
              <w:top w:val="nil"/>
              <w:left w:val="nil"/>
              <w:bottom w:val="single" w:sz="4" w:space="0" w:color="auto"/>
              <w:right w:val="nil"/>
            </w:tcBorders>
            <w:shd w:val="clear" w:color="000000" w:fill="FFFFFF"/>
            <w:noWrap/>
            <w:vAlign w:val="bottom"/>
            <w:hideMark/>
          </w:tcPr>
          <w:p w:rsidR="00420033" w:rsidRPr="00C03AFD" w:rsidRDefault="00420033" w:rsidP="00780A19">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c>
          <w:tcPr>
            <w:tcW w:w="1200" w:type="dxa"/>
            <w:tcBorders>
              <w:top w:val="nil"/>
              <w:left w:val="nil"/>
              <w:bottom w:val="single" w:sz="4" w:space="0" w:color="auto"/>
              <w:right w:val="nil"/>
            </w:tcBorders>
            <w:shd w:val="clear" w:color="000000" w:fill="FFFFFF"/>
            <w:noWrap/>
            <w:vAlign w:val="bottom"/>
            <w:hideMark/>
          </w:tcPr>
          <w:p w:rsidR="00420033" w:rsidRPr="00C03AFD" w:rsidRDefault="00420033" w:rsidP="00780A19">
            <w:pPr>
              <w:spacing w:after="0" w:line="240" w:lineRule="auto"/>
              <w:jc w:val="center"/>
              <w:rPr>
                <w:rFonts w:ascii="Calibri" w:eastAsia="Times New Roman" w:hAnsi="Calibri" w:cs="Calibri"/>
                <w:color w:val="000000"/>
              </w:rPr>
            </w:pPr>
            <w:r w:rsidRPr="00C03AFD">
              <w:rPr>
                <w:rFonts w:ascii="Calibri" w:eastAsia="Times New Roman" w:hAnsi="Calibri" w:cs="Calibri"/>
                <w:color w:val="000000"/>
              </w:rPr>
              <w:t>Media</w:t>
            </w:r>
          </w:p>
        </w:tc>
        <w:tc>
          <w:tcPr>
            <w:tcW w:w="1420" w:type="dxa"/>
            <w:tcBorders>
              <w:top w:val="nil"/>
              <w:left w:val="nil"/>
              <w:bottom w:val="single" w:sz="4" w:space="0" w:color="auto"/>
              <w:right w:val="nil"/>
            </w:tcBorders>
            <w:shd w:val="clear" w:color="000000" w:fill="FFFFFF"/>
            <w:noWrap/>
            <w:vAlign w:val="bottom"/>
            <w:hideMark/>
          </w:tcPr>
          <w:p w:rsidR="00420033" w:rsidRPr="00C03AFD" w:rsidRDefault="00420033" w:rsidP="00780A19">
            <w:pPr>
              <w:spacing w:after="0" w:line="240" w:lineRule="auto"/>
              <w:jc w:val="center"/>
              <w:rPr>
                <w:rFonts w:ascii="Calibri" w:eastAsia="Times New Roman" w:hAnsi="Calibri" w:cs="Calibri"/>
                <w:color w:val="000000"/>
              </w:rPr>
            </w:pPr>
            <w:r w:rsidRPr="00C03AFD">
              <w:rPr>
                <w:rFonts w:ascii="Calibri" w:eastAsia="Times New Roman" w:hAnsi="Calibri" w:cs="Calibri"/>
                <w:color w:val="000000"/>
              </w:rPr>
              <w:t>Des. Estándar</w:t>
            </w:r>
          </w:p>
        </w:tc>
        <w:tc>
          <w:tcPr>
            <w:tcW w:w="1200" w:type="dxa"/>
            <w:tcBorders>
              <w:top w:val="nil"/>
              <w:left w:val="nil"/>
              <w:bottom w:val="single" w:sz="4" w:space="0" w:color="auto"/>
              <w:right w:val="nil"/>
            </w:tcBorders>
            <w:shd w:val="clear" w:color="000000" w:fill="FFFFFF"/>
            <w:noWrap/>
            <w:vAlign w:val="bottom"/>
            <w:hideMark/>
          </w:tcPr>
          <w:p w:rsidR="00420033" w:rsidRPr="00C03AFD" w:rsidRDefault="00420033" w:rsidP="00780A19">
            <w:pPr>
              <w:spacing w:after="0" w:line="240" w:lineRule="auto"/>
              <w:jc w:val="center"/>
              <w:rPr>
                <w:rFonts w:ascii="Calibri" w:eastAsia="Times New Roman" w:hAnsi="Calibri" w:cs="Calibri"/>
                <w:color w:val="000000"/>
              </w:rPr>
            </w:pPr>
            <w:r w:rsidRPr="00C03AFD">
              <w:rPr>
                <w:rFonts w:ascii="Calibri" w:eastAsia="Times New Roman" w:hAnsi="Calibri" w:cs="Calibri"/>
                <w:color w:val="000000"/>
              </w:rPr>
              <w:t>p25</w:t>
            </w:r>
          </w:p>
        </w:tc>
        <w:tc>
          <w:tcPr>
            <w:tcW w:w="1200" w:type="dxa"/>
            <w:tcBorders>
              <w:top w:val="nil"/>
              <w:left w:val="nil"/>
              <w:bottom w:val="single" w:sz="4" w:space="0" w:color="auto"/>
              <w:right w:val="nil"/>
            </w:tcBorders>
            <w:shd w:val="clear" w:color="000000" w:fill="FFFFFF"/>
            <w:noWrap/>
            <w:vAlign w:val="bottom"/>
            <w:hideMark/>
          </w:tcPr>
          <w:p w:rsidR="00420033" w:rsidRPr="00C03AFD" w:rsidRDefault="00420033" w:rsidP="00780A19">
            <w:pPr>
              <w:spacing w:after="0" w:line="240" w:lineRule="auto"/>
              <w:jc w:val="center"/>
              <w:rPr>
                <w:rFonts w:ascii="Calibri" w:eastAsia="Times New Roman" w:hAnsi="Calibri" w:cs="Calibri"/>
                <w:color w:val="000000"/>
              </w:rPr>
            </w:pPr>
            <w:r w:rsidRPr="00C03AFD">
              <w:rPr>
                <w:rFonts w:ascii="Calibri" w:eastAsia="Times New Roman" w:hAnsi="Calibri" w:cs="Calibri"/>
                <w:color w:val="000000"/>
              </w:rPr>
              <w:t>p75</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Superficie Terreno</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167.5832</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394.4548</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75</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135</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Superficie Construida</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72.58442</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194.0353</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43.03</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82</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Superficie Accesoria</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2.681345</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29.23144</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Superficie Vendible</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80.46827</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2237.897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43.15</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82.2</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42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Unidades Rentables Generales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8.630492</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39.42457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Unidades Rentables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1.422677</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7.927271</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Vida Útil Remanente</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678.1327</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129.2776</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600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720</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Año de Terminación de la Obra</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1999.935</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98.25543</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2004</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2009</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42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Valor Comparativo de Mercado</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495552.2</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593744</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241640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518285.5</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Valor Físico del Terreno</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157770.6</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5874644</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69360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144720</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Valor Físico de la Construcción</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299717.5</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3194718</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147000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318168</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Valor Físico de las Instalaciones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37430.21</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5656077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24505</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Importe del Valor Concluido</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495846.2</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676198.7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242000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519000</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Costo del Avalúo</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2207.546</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35406.73</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800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1250</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lastRenderedPageBreak/>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42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 </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Número de Recámaras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2.094093</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0.7958201</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3</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Numero de Baños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1.235276</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0.5801459</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Número de Niveles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1.404383</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0.7926608</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2</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Número de Medio Baños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0.2205827</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0.4368249</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w:t>
            </w:r>
          </w:p>
        </w:tc>
      </w:tr>
      <w:tr w:rsidR="00420033" w:rsidRPr="00C03AFD" w:rsidTr="00780A19">
        <w:trPr>
          <w:trHeight w:val="300"/>
        </w:trPr>
        <w:tc>
          <w:tcPr>
            <w:tcW w:w="318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rPr>
                <w:rFonts w:ascii="Calibri" w:eastAsia="Times New Roman" w:hAnsi="Calibri" w:cs="Calibri"/>
                <w:bCs/>
                <w:color w:val="000000"/>
              </w:rPr>
            </w:pPr>
            <w:r w:rsidRPr="00C03AFD">
              <w:rPr>
                <w:rFonts w:ascii="Calibri" w:eastAsia="Times New Roman" w:hAnsi="Calibri" w:cs="Calibri"/>
                <w:bCs/>
                <w:color w:val="000000"/>
              </w:rPr>
              <w:t>Número de Estacionamientos</w:t>
            </w:r>
          </w:p>
        </w:tc>
        <w:tc>
          <w:tcPr>
            <w:tcW w:w="1200" w:type="dxa"/>
            <w:tcBorders>
              <w:top w:val="nil"/>
              <w:left w:val="nil"/>
              <w:bottom w:val="nil"/>
              <w:right w:val="nil"/>
            </w:tcBorders>
            <w:shd w:val="clear" w:color="000000" w:fill="FFFFFF"/>
            <w:noWrap/>
            <w:vAlign w:val="center"/>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1181917</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1.048998</w:t>
            </w:r>
          </w:p>
        </w:tc>
        <w:tc>
          <w:tcPr>
            <w:tcW w:w="142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0.5177622</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420033" w:rsidRPr="00C03AFD" w:rsidRDefault="00420033" w:rsidP="00780A19">
            <w:pPr>
              <w:spacing w:after="0" w:line="240" w:lineRule="auto"/>
              <w:jc w:val="right"/>
              <w:rPr>
                <w:rFonts w:ascii="Calibri" w:eastAsia="Times New Roman" w:hAnsi="Calibri" w:cs="Calibri"/>
                <w:color w:val="000000"/>
              </w:rPr>
            </w:pPr>
            <w:r w:rsidRPr="00C03AFD">
              <w:rPr>
                <w:rFonts w:ascii="Calibri" w:eastAsia="Times New Roman" w:hAnsi="Calibri" w:cs="Calibri"/>
                <w:color w:val="000000"/>
              </w:rPr>
              <w:t>1</w:t>
            </w:r>
          </w:p>
        </w:tc>
      </w:tr>
    </w:tbl>
    <w:p w:rsidR="0057699E" w:rsidRPr="00F348B7" w:rsidRDefault="00420033" w:rsidP="00F348B7">
      <w:pPr>
        <w:spacing w:after="0" w:line="240" w:lineRule="auto"/>
        <w:jc w:val="both"/>
        <w:rPr>
          <w:sz w:val="18"/>
          <w:szCs w:val="18"/>
          <w:lang w:val="es-MX"/>
        </w:rPr>
      </w:pPr>
      <w:r w:rsidRPr="00F348B7">
        <w:rPr>
          <w:sz w:val="18"/>
          <w:szCs w:val="18"/>
          <w:lang w:val="es-MX"/>
        </w:rPr>
        <w:t xml:space="preserve">Tabla 2. Estadística descriptiva de </w:t>
      </w:r>
      <w:r w:rsidR="00FF27B3" w:rsidRPr="00F348B7">
        <w:rPr>
          <w:sz w:val="18"/>
          <w:szCs w:val="18"/>
          <w:lang w:val="es-MX"/>
        </w:rPr>
        <w:t>la base completa</w:t>
      </w:r>
      <w:r w:rsidRPr="00F348B7">
        <w:rPr>
          <w:sz w:val="18"/>
          <w:szCs w:val="18"/>
          <w:lang w:val="es-MX"/>
        </w:rPr>
        <w:t>.</w:t>
      </w:r>
      <w:r w:rsidR="00FF27B3" w:rsidRPr="00F348B7">
        <w:rPr>
          <w:sz w:val="18"/>
          <w:szCs w:val="18"/>
          <w:lang w:val="es-MX"/>
        </w:rPr>
        <w:t xml:space="preserve"> Fuente: elaboración propia</w:t>
      </w:r>
      <w:r w:rsidR="00F348B7">
        <w:rPr>
          <w:sz w:val="18"/>
          <w:szCs w:val="18"/>
          <w:lang w:val="es-MX"/>
        </w:rPr>
        <w:t>.</w:t>
      </w:r>
    </w:p>
    <w:p w:rsidR="00FF27B3" w:rsidRDefault="00FF27B3" w:rsidP="007C2C46">
      <w:pPr>
        <w:spacing w:after="0"/>
        <w:jc w:val="both"/>
        <w:rPr>
          <w:lang w:val="es-MX"/>
        </w:rPr>
      </w:pPr>
    </w:p>
    <w:p w:rsidR="00FF27B3" w:rsidRDefault="00FF27B3" w:rsidP="007C2C46">
      <w:pPr>
        <w:spacing w:after="0"/>
        <w:jc w:val="both"/>
        <w:rPr>
          <w:lang w:val="es-MX"/>
        </w:rPr>
      </w:pPr>
    </w:p>
    <w:p w:rsidR="00F348B7" w:rsidRDefault="00F348B7" w:rsidP="007C2C46">
      <w:pPr>
        <w:spacing w:after="0"/>
        <w:jc w:val="both"/>
        <w:rPr>
          <w:lang w:val="es-MX"/>
        </w:rPr>
      </w:pPr>
    </w:p>
    <w:p w:rsidR="00FF27B3" w:rsidRDefault="00FF27B3" w:rsidP="007C2C46">
      <w:pPr>
        <w:spacing w:after="0"/>
        <w:jc w:val="both"/>
        <w:rPr>
          <w:lang w:val="es-MX"/>
        </w:rPr>
      </w:pPr>
    </w:p>
    <w:tbl>
      <w:tblPr>
        <w:tblW w:w="6360" w:type="dxa"/>
        <w:jc w:val="center"/>
        <w:tblInd w:w="55" w:type="dxa"/>
        <w:tblCellMar>
          <w:left w:w="70" w:type="dxa"/>
          <w:right w:w="70" w:type="dxa"/>
        </w:tblCellMar>
        <w:tblLook w:val="04A0" w:firstRow="1" w:lastRow="0" w:firstColumn="1" w:lastColumn="0" w:noHBand="0" w:noVBand="1"/>
      </w:tblPr>
      <w:tblGrid>
        <w:gridCol w:w="3140"/>
        <w:gridCol w:w="820"/>
        <w:gridCol w:w="1200"/>
        <w:gridCol w:w="1200"/>
      </w:tblGrid>
      <w:tr w:rsidR="00FF27B3" w:rsidRPr="00A9622A" w:rsidTr="00780A19">
        <w:trPr>
          <w:trHeight w:val="300"/>
          <w:jc w:val="center"/>
        </w:trPr>
        <w:tc>
          <w:tcPr>
            <w:tcW w:w="314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Pr>
                <w:rFonts w:ascii="Calibri" w:eastAsia="Times New Roman" w:hAnsi="Calibri" w:cs="Calibri"/>
                <w:color w:val="000000"/>
              </w:rPr>
              <w:t>Frecuencia</w:t>
            </w:r>
          </w:p>
        </w:tc>
        <w:tc>
          <w:tcPr>
            <w:tcW w:w="120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Pr>
                <w:rFonts w:ascii="Calibri" w:eastAsia="Times New Roman" w:hAnsi="Calibri" w:cs="Calibri"/>
                <w:color w:val="000000"/>
              </w:rPr>
              <w:t>Porcentaje</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Departamento</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1,075,885</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90.57</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112,032</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9.43</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Clase alta</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1,154,909</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97.22</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33,008</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2.78</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Casa grande</w:t>
            </w:r>
            <w:r>
              <w:rPr>
                <w:rFonts w:ascii="Calibri" w:eastAsia="Times New Roman" w:hAnsi="Calibri" w:cs="Calibri"/>
                <w:color w:val="000000"/>
              </w:rPr>
              <w:t xml:space="preserve"> (más de 140 metros cuadrados de superficie)</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921,096</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77.54</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266,821</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22.46</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Localidad grande</w:t>
            </w:r>
            <w:r>
              <w:rPr>
                <w:rFonts w:ascii="Calibri" w:eastAsia="Times New Roman" w:hAnsi="Calibri" w:cs="Calibri"/>
                <w:color w:val="000000"/>
              </w:rPr>
              <w:t xml:space="preserve"> (más de 50 mil habitantes)</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463,054</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38.98</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724,863</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61.02</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Hubo homicidios en la localidad</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0</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230,492</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19.4</w:t>
            </w:r>
          </w:p>
        </w:tc>
      </w:tr>
      <w:tr w:rsidR="00FF27B3" w:rsidRPr="00A9622A" w:rsidTr="00780A19">
        <w:trPr>
          <w:trHeight w:val="300"/>
          <w:jc w:val="center"/>
        </w:trPr>
        <w:tc>
          <w:tcPr>
            <w:tcW w:w="314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w:t>
            </w:r>
          </w:p>
        </w:tc>
        <w:tc>
          <w:tcPr>
            <w:tcW w:w="120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957,425</w:t>
            </w:r>
          </w:p>
        </w:tc>
        <w:tc>
          <w:tcPr>
            <w:tcW w:w="1200" w:type="dxa"/>
            <w:tcBorders>
              <w:top w:val="nil"/>
              <w:left w:val="nil"/>
              <w:bottom w:val="single" w:sz="4" w:space="0" w:color="auto"/>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80.6</w:t>
            </w:r>
          </w:p>
        </w:tc>
      </w:tr>
      <w:tr w:rsidR="00FF27B3" w:rsidRPr="00A9622A" w:rsidTr="00780A19">
        <w:trPr>
          <w:trHeight w:val="300"/>
          <w:jc w:val="center"/>
        </w:trPr>
        <w:tc>
          <w:tcPr>
            <w:tcW w:w="314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 </w:t>
            </w:r>
          </w:p>
        </w:tc>
        <w:tc>
          <w:tcPr>
            <w:tcW w:w="82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rPr>
                <w:rFonts w:ascii="Calibri" w:eastAsia="Times New Roman" w:hAnsi="Calibri" w:cs="Calibri"/>
                <w:color w:val="000000"/>
              </w:rPr>
            </w:pPr>
            <w:r w:rsidRPr="00A9622A">
              <w:rPr>
                <w:rFonts w:ascii="Calibri" w:eastAsia="Times New Roman" w:hAnsi="Calibri" w:cs="Calibri"/>
                <w:color w:val="000000"/>
              </w:rPr>
              <w:t>Total</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1,187,917</w:t>
            </w:r>
          </w:p>
        </w:tc>
        <w:tc>
          <w:tcPr>
            <w:tcW w:w="1200" w:type="dxa"/>
            <w:tcBorders>
              <w:top w:val="nil"/>
              <w:left w:val="nil"/>
              <w:bottom w:val="nil"/>
              <w:right w:val="nil"/>
            </w:tcBorders>
            <w:shd w:val="clear" w:color="000000" w:fill="FFFFFF"/>
            <w:noWrap/>
            <w:vAlign w:val="bottom"/>
            <w:hideMark/>
          </w:tcPr>
          <w:p w:rsidR="00FF27B3" w:rsidRPr="00A9622A" w:rsidRDefault="00FF27B3" w:rsidP="00780A19">
            <w:pPr>
              <w:spacing w:after="0" w:line="240" w:lineRule="auto"/>
              <w:jc w:val="right"/>
              <w:rPr>
                <w:rFonts w:ascii="Calibri" w:eastAsia="Times New Roman" w:hAnsi="Calibri" w:cs="Calibri"/>
                <w:color w:val="000000"/>
              </w:rPr>
            </w:pPr>
            <w:r w:rsidRPr="00A9622A">
              <w:rPr>
                <w:rFonts w:ascii="Calibri" w:eastAsia="Times New Roman" w:hAnsi="Calibri" w:cs="Calibri"/>
                <w:color w:val="000000"/>
              </w:rPr>
              <w:t>100</w:t>
            </w:r>
          </w:p>
        </w:tc>
      </w:tr>
    </w:tbl>
    <w:p w:rsidR="00FF27B3" w:rsidRPr="00F348B7" w:rsidRDefault="00FF27B3" w:rsidP="00F348B7">
      <w:pPr>
        <w:spacing w:after="0" w:line="240" w:lineRule="auto"/>
        <w:jc w:val="both"/>
        <w:rPr>
          <w:sz w:val="18"/>
          <w:szCs w:val="18"/>
          <w:lang w:val="es-MX"/>
        </w:rPr>
      </w:pPr>
      <w:r w:rsidRPr="00F348B7">
        <w:rPr>
          <w:sz w:val="18"/>
          <w:szCs w:val="18"/>
          <w:lang w:val="es-MX"/>
        </w:rPr>
        <w:t>Tabla 3. Estadística descriptiva de la base completa (variables binarias utilizadas para las interacciones). Fuente: elaboración propia.</w:t>
      </w:r>
    </w:p>
    <w:p w:rsidR="00420033" w:rsidRPr="007C2C46" w:rsidRDefault="00420033" w:rsidP="007C2C46">
      <w:pPr>
        <w:spacing w:after="0"/>
        <w:jc w:val="both"/>
        <w:rPr>
          <w:sz w:val="18"/>
          <w:szCs w:val="18"/>
          <w:lang w:val="es-MX"/>
        </w:rPr>
      </w:pPr>
    </w:p>
    <w:p w:rsidR="0022268B" w:rsidRDefault="0022268B" w:rsidP="0022268B">
      <w:pPr>
        <w:pStyle w:val="Heading1"/>
        <w:numPr>
          <w:ilvl w:val="0"/>
          <w:numId w:val="2"/>
        </w:numPr>
        <w:rPr>
          <w:rFonts w:eastAsia="Times New Roman"/>
          <w:shd w:val="clear" w:color="auto" w:fill="FFFFFF"/>
          <w:lang w:val="es-MX"/>
        </w:rPr>
      </w:pPr>
      <w:bookmarkStart w:id="6" w:name="_Toc340428162"/>
      <w:r w:rsidRPr="005249A5">
        <w:rPr>
          <w:rFonts w:eastAsia="Times New Roman"/>
          <w:shd w:val="clear" w:color="auto" w:fill="FFFFFF"/>
          <w:lang w:val="es-MX"/>
        </w:rPr>
        <w:t>Resultados</w:t>
      </w:r>
      <w:bookmarkEnd w:id="6"/>
    </w:p>
    <w:p w:rsidR="00F348B7" w:rsidRPr="00F348B7" w:rsidRDefault="00F348B7" w:rsidP="00F348B7">
      <w:pPr>
        <w:rPr>
          <w:lang w:val="es-MX"/>
        </w:rPr>
      </w:pPr>
    </w:p>
    <w:p w:rsidR="0022268B" w:rsidRPr="005249A5" w:rsidRDefault="0022268B" w:rsidP="00E9163F">
      <w:pPr>
        <w:spacing w:after="0" w:line="240" w:lineRule="auto"/>
        <w:rPr>
          <w:rFonts w:ascii="Arial" w:eastAsia="Times New Roman" w:hAnsi="Arial" w:cs="Arial"/>
          <w:color w:val="222222"/>
          <w:sz w:val="16"/>
          <w:szCs w:val="16"/>
          <w:shd w:val="clear" w:color="auto" w:fill="FFFFFF"/>
          <w:lang w:val="es-MX"/>
        </w:rPr>
      </w:pPr>
    </w:p>
    <w:p w:rsidR="00A372B5" w:rsidRDefault="00857080" w:rsidP="00F348B7">
      <w:pPr>
        <w:spacing w:after="0" w:line="360" w:lineRule="auto"/>
        <w:jc w:val="both"/>
        <w:rPr>
          <w:lang w:val="es-MX"/>
        </w:rPr>
      </w:pPr>
      <w:r>
        <w:rPr>
          <w:lang w:val="es-MX"/>
        </w:rPr>
        <w:t>La tabla (4) del apéndice muestra 5 columnas con regresiones</w:t>
      </w:r>
      <w:r w:rsidR="007574BC">
        <w:rPr>
          <w:lang w:val="es-MX"/>
        </w:rPr>
        <w:t>, donde la variable dependiente es siempre el valor competitivo de mercado</w:t>
      </w:r>
      <w:r>
        <w:rPr>
          <w:lang w:val="es-MX"/>
        </w:rPr>
        <w:t xml:space="preserve">. La primera columna </w:t>
      </w:r>
      <w:r w:rsidR="007574BC">
        <w:rPr>
          <w:lang w:val="es-MX"/>
        </w:rPr>
        <w:t xml:space="preserve">utiliza como variable explicativa principal los homicidios acumulados durante los últimos 24 meses previos a cada avalúo correspondientes a la localidad en la que la vivienda en cuestión está ubicada. </w:t>
      </w:r>
      <w:r w:rsidR="00780EBE">
        <w:rPr>
          <w:lang w:val="es-MX"/>
        </w:rPr>
        <w:t xml:space="preserve"> Todas las variables continuas, incluyendo el valor comparativo de mercado, se incluyen en logaritmo natural. </w:t>
      </w:r>
      <w:r w:rsidR="00E062EC">
        <w:rPr>
          <w:lang w:val="es-MX"/>
        </w:rPr>
        <w:t xml:space="preserve"> Se utilizan como variables de control todas las características c</w:t>
      </w:r>
      <w:r w:rsidR="007E666A">
        <w:rPr>
          <w:lang w:val="es-MX"/>
        </w:rPr>
        <w:t xml:space="preserve">orrespondientes a </w:t>
      </w:r>
      <w:r w:rsidR="00DE33FF">
        <w:rPr>
          <w:lang w:val="es-MX"/>
        </w:rPr>
        <w:t>los avalúos, como el mes de realización, el perito valuador, el banco asociado, y la localidad de la vivienda.</w:t>
      </w:r>
      <w:r w:rsidR="007E666A">
        <w:rPr>
          <w:lang w:val="es-MX"/>
        </w:rPr>
        <w:t xml:space="preserve"> </w:t>
      </w:r>
      <w:r w:rsidR="00DE33FF">
        <w:rPr>
          <w:lang w:val="es-MX"/>
        </w:rPr>
        <w:t xml:space="preserve">También se </w:t>
      </w:r>
      <w:r w:rsidR="00DE33FF">
        <w:rPr>
          <w:lang w:val="es-MX"/>
        </w:rPr>
        <w:lastRenderedPageBreak/>
        <w:t>incluyen características del inmueble, e</w:t>
      </w:r>
      <w:r w:rsidR="007E666A">
        <w:rPr>
          <w:lang w:val="es-MX"/>
        </w:rPr>
        <w:t>ntre ellas, distintas medidas de la superficie, la vida útil restante, el año de terminación de la obra, la cantidad de unidades rentables, el costo del avalúo, variables como el número de baños, de estacionamientos, de nivele</w:t>
      </w:r>
      <w:r w:rsidR="00DE33FF">
        <w:rPr>
          <w:lang w:val="es-MX"/>
        </w:rPr>
        <w:t>s y</w:t>
      </w:r>
      <w:r w:rsidR="007E666A">
        <w:rPr>
          <w:lang w:val="es-MX"/>
        </w:rPr>
        <w:t xml:space="preserve"> si posee ascensor</w:t>
      </w:r>
      <w:r w:rsidR="00DE33FF">
        <w:rPr>
          <w:lang w:val="es-MX"/>
        </w:rPr>
        <w:t xml:space="preserve"> o teléfono</w:t>
      </w:r>
      <w:r w:rsidR="007E666A">
        <w:rPr>
          <w:lang w:val="es-MX"/>
        </w:rPr>
        <w:t>, entre otras. Dentro de las variables categóricas, se incluyen también</w:t>
      </w:r>
      <w:r w:rsidR="00E062EC">
        <w:rPr>
          <w:lang w:val="es-MX"/>
        </w:rPr>
        <w:t xml:space="preserve"> la tipología, </w:t>
      </w:r>
      <w:r w:rsidR="00DE33FF">
        <w:rPr>
          <w:lang w:val="es-MX"/>
        </w:rPr>
        <w:t xml:space="preserve">la </w:t>
      </w:r>
      <w:r w:rsidR="00E062EC">
        <w:rPr>
          <w:lang w:val="es-MX"/>
        </w:rPr>
        <w:t xml:space="preserve">proximidad urbana, </w:t>
      </w:r>
      <w:r w:rsidR="007E666A">
        <w:rPr>
          <w:lang w:val="es-MX"/>
        </w:rPr>
        <w:t xml:space="preserve">la infraestructura urbana y la clase del inmueble. </w:t>
      </w:r>
    </w:p>
    <w:p w:rsidR="002737CA" w:rsidRDefault="00A372B5" w:rsidP="00F348B7">
      <w:pPr>
        <w:spacing w:after="0" w:line="360" w:lineRule="auto"/>
        <w:jc w:val="both"/>
        <w:rPr>
          <w:lang w:val="es-MX"/>
        </w:rPr>
      </w:pPr>
      <w:r>
        <w:rPr>
          <w:lang w:val="es-MX"/>
        </w:rPr>
        <w:tab/>
        <w:t xml:space="preserve">La primera columna </w:t>
      </w:r>
      <w:r w:rsidR="005C4E64">
        <w:rPr>
          <w:lang w:val="es-MX"/>
        </w:rPr>
        <w:t>muestra que el logaritmo de los homicidios acumulados resulta significativ</w:t>
      </w:r>
      <w:r w:rsidR="0082633C">
        <w:rPr>
          <w:lang w:val="es-MX"/>
        </w:rPr>
        <w:t xml:space="preserve">o al 1 porciento, con el signo negativo esperado. </w:t>
      </w:r>
      <w:r w:rsidR="004A595C">
        <w:rPr>
          <w:lang w:val="es-MX"/>
        </w:rPr>
        <w:t>El coeficiente representa una elasticidad, tal que si la cantidad de homicidios acumulada en los 24 meses previos al mes del avalúo en la localidad</w:t>
      </w:r>
      <w:r w:rsidR="002669A5">
        <w:rPr>
          <w:lang w:val="es-MX"/>
        </w:rPr>
        <w:t xml:space="preserve"> correspondiente aumenta en un 1 porciento, el valor comparativo de mercado de la vivienda decae en </w:t>
      </w:r>
      <w:r w:rsidR="002669A5" w:rsidRPr="004F2835">
        <w:rPr>
          <w:lang w:val="es-MX"/>
        </w:rPr>
        <w:t xml:space="preserve">aproximadamente </w:t>
      </w:r>
      <w:r w:rsidR="00B457ED" w:rsidRPr="004F2835">
        <w:rPr>
          <w:lang w:val="es-MX"/>
        </w:rPr>
        <w:t xml:space="preserve">un </w:t>
      </w:r>
      <w:r w:rsidR="002669A5" w:rsidRPr="004F2835">
        <w:rPr>
          <w:lang w:val="es-MX"/>
        </w:rPr>
        <w:t>0.48 porciento</w:t>
      </w:r>
      <w:r w:rsidR="002669A5">
        <w:rPr>
          <w:lang w:val="es-MX"/>
        </w:rPr>
        <w:t xml:space="preserve">. </w:t>
      </w:r>
      <w:r>
        <w:rPr>
          <w:lang w:val="es-MX"/>
        </w:rPr>
        <w:t>Las siguientes columnas incorporan variables multiplicativas.</w:t>
      </w:r>
      <w:r w:rsidR="00B457ED">
        <w:rPr>
          <w:lang w:val="es-MX"/>
        </w:rPr>
        <w:t xml:space="preserve"> Se puede ver que en todos los casos los homicidios acumulados resultan significativos y con signo negativo, y los coeficientes se hacen mayores a medida que se incorporan más interacciones al modelo, hasta llegar al caso en que el aumento en un 1 porciento en la cantidad de homicidios está asociado a una caída de cerca de 1</w:t>
      </w:r>
      <w:r w:rsidR="00A151DA">
        <w:rPr>
          <w:lang w:val="es-MX"/>
        </w:rPr>
        <w:t>.</w:t>
      </w:r>
      <w:r w:rsidR="00B457ED">
        <w:rPr>
          <w:lang w:val="es-MX"/>
        </w:rPr>
        <w:t>8 porciento en el valor competitivo de mercado</w:t>
      </w:r>
      <w:r w:rsidR="00012380">
        <w:rPr>
          <w:lang w:val="es-MX"/>
        </w:rPr>
        <w:t xml:space="preserve"> (columna 5)</w:t>
      </w:r>
      <w:r w:rsidR="00B457ED">
        <w:rPr>
          <w:lang w:val="es-MX"/>
        </w:rPr>
        <w:t xml:space="preserve">. </w:t>
      </w:r>
      <w:r w:rsidR="008C77E3" w:rsidRPr="00746AEE">
        <w:rPr>
          <w:lang w:val="es-MX"/>
        </w:rPr>
        <w:t xml:space="preserve">Este impacto es considerable si tomamos en cuenta que, en promedio, el número de homicidios acumulado por mes y por localidad </w:t>
      </w:r>
      <w:r w:rsidR="00746AEE" w:rsidRPr="00746AEE">
        <w:rPr>
          <w:lang w:val="es-MX"/>
        </w:rPr>
        <w:t xml:space="preserve">prácticamente se duplicó entre </w:t>
      </w:r>
      <w:r w:rsidR="008C77E3" w:rsidRPr="00746AEE">
        <w:rPr>
          <w:lang w:val="es-MX"/>
        </w:rPr>
        <w:t xml:space="preserve">2008 y </w:t>
      </w:r>
      <w:r w:rsidR="008C77E3" w:rsidRPr="00743C44">
        <w:rPr>
          <w:lang w:val="es-MX"/>
        </w:rPr>
        <w:t>2010</w:t>
      </w:r>
      <w:r w:rsidR="00746AEE" w:rsidRPr="00743C44">
        <w:rPr>
          <w:lang w:val="es-MX"/>
        </w:rPr>
        <w:t xml:space="preserve"> </w:t>
      </w:r>
      <w:r w:rsidR="00743C44" w:rsidRPr="00743C44">
        <w:rPr>
          <w:lang w:val="es-MX"/>
        </w:rPr>
        <w:t>(ver Tabla 1</w:t>
      </w:r>
      <w:r w:rsidR="00746AEE" w:rsidRPr="00743C44">
        <w:rPr>
          <w:lang w:val="es-MX"/>
        </w:rPr>
        <w:t>)</w:t>
      </w:r>
      <w:r w:rsidR="008C77E3" w:rsidRPr="00743C44">
        <w:rPr>
          <w:lang w:val="es-MX"/>
        </w:rPr>
        <w:t>.</w:t>
      </w:r>
      <w:r w:rsidR="008C77E3">
        <w:rPr>
          <w:lang w:val="es-MX"/>
        </w:rPr>
        <w:t xml:space="preserve">  </w:t>
      </w:r>
    </w:p>
    <w:p w:rsidR="003000B5" w:rsidRDefault="003000B5" w:rsidP="00F348B7">
      <w:pPr>
        <w:spacing w:after="0" w:line="360" w:lineRule="auto"/>
        <w:jc w:val="both"/>
        <w:rPr>
          <w:lang w:val="es-MX"/>
        </w:rPr>
      </w:pPr>
      <w:r>
        <w:rPr>
          <w:lang w:val="es-MX"/>
        </w:rPr>
        <w:tab/>
        <w:t xml:space="preserve">Es interesante notar que los signos y niveles de significatividad de las variables explicativas no se </w:t>
      </w:r>
      <w:r w:rsidR="00881043">
        <w:rPr>
          <w:lang w:val="es-MX"/>
        </w:rPr>
        <w:t>alteran</w:t>
      </w:r>
      <w:r>
        <w:rPr>
          <w:lang w:val="es-MX"/>
        </w:rPr>
        <w:t xml:space="preserve"> al incorporar las variables multiplicativas, </w:t>
      </w:r>
      <w:r w:rsidR="00141105">
        <w:rPr>
          <w:lang w:val="es-MX"/>
        </w:rPr>
        <w:t>tan sólo produ</w:t>
      </w:r>
      <w:r w:rsidR="004549A6">
        <w:rPr>
          <w:lang w:val="es-MX"/>
        </w:rPr>
        <w:t>ci</w:t>
      </w:r>
      <w:r w:rsidR="00141105">
        <w:rPr>
          <w:lang w:val="es-MX"/>
        </w:rPr>
        <w:t>endo cambios en la magnitud de los coeficientes</w:t>
      </w:r>
      <w:r>
        <w:rPr>
          <w:lang w:val="es-MX"/>
        </w:rPr>
        <w:t>.</w:t>
      </w:r>
      <w:r w:rsidR="008807A3">
        <w:rPr>
          <w:lang w:val="es-MX"/>
        </w:rPr>
        <w:t xml:space="preserve"> La columna (5) muestra la regresión final y más completa. </w:t>
      </w:r>
      <w:r w:rsidR="00C264B5">
        <w:rPr>
          <w:lang w:val="es-MX"/>
        </w:rPr>
        <w:t xml:space="preserve">Todas las variables asociadas directamente a los homicidios resultan significativas al 1 porciento. El número de homicidios acumulados en la localidad afecta negativamente al precio, pero las interacciones resultan positivas. </w:t>
      </w:r>
      <w:r w:rsidR="00E522FF">
        <w:rPr>
          <w:lang w:val="es-MX"/>
        </w:rPr>
        <w:t xml:space="preserve">Esto implica que el efecto de los homicidios se suaviza para departamentos (en vez de casas), para viviendas de clase y para viviendas </w:t>
      </w:r>
      <w:r w:rsidR="00E522FF" w:rsidRPr="00B4077C">
        <w:rPr>
          <w:lang w:val="es-MX"/>
        </w:rPr>
        <w:t>grandes,</w:t>
      </w:r>
      <w:r w:rsidR="00833B29" w:rsidRPr="00B4077C">
        <w:rPr>
          <w:lang w:val="es-MX"/>
        </w:rPr>
        <w:t xml:space="preserve"> (mayor</w:t>
      </w:r>
      <w:r w:rsidR="00E522FF" w:rsidRPr="00B4077C">
        <w:rPr>
          <w:lang w:val="es-MX"/>
        </w:rPr>
        <w:t>es</w:t>
      </w:r>
      <w:r w:rsidR="00833B29" w:rsidRPr="00B4077C">
        <w:rPr>
          <w:lang w:val="es-MX"/>
        </w:rPr>
        <w:t xml:space="preserve"> a 140 metros cuadrados) </w:t>
      </w:r>
      <w:r w:rsidR="00E522FF" w:rsidRPr="00B4077C">
        <w:rPr>
          <w:lang w:val="es-MX"/>
        </w:rPr>
        <w:t xml:space="preserve">o que están en </w:t>
      </w:r>
      <w:r w:rsidR="00833B29" w:rsidRPr="00B4077C">
        <w:rPr>
          <w:lang w:val="es-MX"/>
        </w:rPr>
        <w:t>localidad</w:t>
      </w:r>
      <w:r w:rsidR="00E522FF" w:rsidRPr="00B4077C">
        <w:rPr>
          <w:lang w:val="es-MX"/>
        </w:rPr>
        <w:t>es de gran tamaño,</w:t>
      </w:r>
      <w:r w:rsidR="00833B29" w:rsidRPr="00B4077C">
        <w:rPr>
          <w:lang w:val="es-MX"/>
        </w:rPr>
        <w:t xml:space="preserve"> (mayor a 50 mil habitantes)</w:t>
      </w:r>
      <w:r w:rsidR="00E522FF" w:rsidRPr="00B4077C">
        <w:rPr>
          <w:lang w:val="es-MX"/>
        </w:rPr>
        <w:t xml:space="preserve">. Esto resulta muy intuitivo, </w:t>
      </w:r>
      <w:r w:rsidR="009E4424" w:rsidRPr="00B4077C">
        <w:rPr>
          <w:lang w:val="es-MX"/>
        </w:rPr>
        <w:t>ya que los departamentos suelen brindar más seguridad que las casas. Además, las viviendas de clase alta probablemente cuenten con sistemas de seguridad y protección que disminuyen el riesgo de padecer siniestros y por ende minimicen el costo del crimen. Al mismo tiempo, las casas de mayor tamaño también están probablemente asociadas a mayor ingreso y seguridad, o a zonas de mayor clase social. Por último, en las localidades de mayor tamaño</w:t>
      </w:r>
      <w:r w:rsidR="000224EF">
        <w:rPr>
          <w:lang w:val="es-MX"/>
        </w:rPr>
        <w:t xml:space="preserve"> tiene sentido que haya menos reacción del precio de los inmuebles que en localidades más pequeñas, donde la gente probablemente esté más al tanto de lo que les sucede a sus vecinos.</w:t>
      </w:r>
    </w:p>
    <w:p w:rsidR="00763987" w:rsidRDefault="00602C40" w:rsidP="00F348B7">
      <w:pPr>
        <w:spacing w:after="0" w:line="360" w:lineRule="auto"/>
        <w:jc w:val="both"/>
        <w:rPr>
          <w:lang w:val="es-MX"/>
        </w:rPr>
      </w:pPr>
      <w:r>
        <w:rPr>
          <w:lang w:val="es-MX"/>
        </w:rPr>
        <w:tab/>
        <w:t xml:space="preserve">Las variables de control también son consistentes con esta historia. La superficie de la vivienda, la vida útil remanente, número de recámaras, baños, unidades rentables, y posesión de servicios resultan todas con signo positivo, indicando que viviendas de mayor clase social, más </w:t>
      </w:r>
      <w:r>
        <w:rPr>
          <w:lang w:val="es-MX"/>
        </w:rPr>
        <w:lastRenderedPageBreak/>
        <w:t xml:space="preserve">nuevas, o de mayor tamaño suavizan el efecto del crimen. Por el otro lado, el año de la construcción, y los inmuebles ubicados en localidades rurales parecerían ser </w:t>
      </w:r>
      <w:r w:rsidR="006325F5">
        <w:rPr>
          <w:lang w:val="es-MX"/>
        </w:rPr>
        <w:t>más</w:t>
      </w:r>
      <w:r>
        <w:rPr>
          <w:lang w:val="es-MX"/>
        </w:rPr>
        <w:t xml:space="preserve"> perjudicados que los cercanos a zonas céntricas. </w:t>
      </w:r>
      <w:r w:rsidR="006325F5">
        <w:rPr>
          <w:lang w:val="es-MX"/>
        </w:rPr>
        <w:t xml:space="preserve"> Las clases bajas del inmueble tienen signo negativo y significativo y las clases altas signo positivo y significativo en todos los casos.</w:t>
      </w:r>
    </w:p>
    <w:p w:rsidR="00FE7123" w:rsidRPr="00A372B5" w:rsidRDefault="00A372B5" w:rsidP="00EB7C4F">
      <w:pPr>
        <w:spacing w:after="0" w:line="360" w:lineRule="auto"/>
        <w:ind w:firstLine="568"/>
        <w:jc w:val="both"/>
        <w:rPr>
          <w:lang w:val="es-MX"/>
        </w:rPr>
      </w:pPr>
      <w:r>
        <w:rPr>
          <w:lang w:val="es-MX"/>
        </w:rPr>
        <w:t>Como se puede ver</w:t>
      </w:r>
      <w:r w:rsidR="002737CA">
        <w:rPr>
          <w:lang w:val="es-MX"/>
        </w:rPr>
        <w:t>,</w:t>
      </w:r>
      <w:r>
        <w:rPr>
          <w:lang w:val="es-MX"/>
        </w:rPr>
        <w:t xml:space="preserve"> </w:t>
      </w:r>
      <w:r w:rsidR="00532693">
        <w:rPr>
          <w:lang w:val="es-MX"/>
        </w:rPr>
        <w:t>cada una de las especificaciones presentadas explica aproximadamente en 92 porciento e</w:t>
      </w:r>
      <w:r w:rsidR="00E60BF5">
        <w:rPr>
          <w:lang w:val="es-MX"/>
        </w:rPr>
        <w:t>l valor competitivo de mercado. Esto sugiere que el modelo toma en cuenta la mayor parte de las variables que determinan el valor de la vivienda.</w:t>
      </w:r>
    </w:p>
    <w:p w:rsidR="00CB46AD" w:rsidRDefault="00CB46AD" w:rsidP="00577CDE">
      <w:pPr>
        <w:pStyle w:val="Heading1"/>
        <w:numPr>
          <w:ilvl w:val="0"/>
          <w:numId w:val="2"/>
        </w:numPr>
        <w:rPr>
          <w:rFonts w:eastAsia="Times New Roman"/>
          <w:shd w:val="clear" w:color="auto" w:fill="FFFFFF"/>
          <w:lang w:val="es-MX"/>
        </w:rPr>
      </w:pPr>
      <w:bookmarkStart w:id="7" w:name="_Toc340428163"/>
      <w:r>
        <w:rPr>
          <w:rFonts w:eastAsia="Times New Roman"/>
          <w:shd w:val="clear" w:color="auto" w:fill="FFFFFF"/>
          <w:lang w:val="es-MX"/>
        </w:rPr>
        <w:t>Pruebas de falsificación</w:t>
      </w:r>
    </w:p>
    <w:p w:rsidR="00CB46AD" w:rsidRDefault="00CB46AD" w:rsidP="00CB46AD">
      <w:pPr>
        <w:rPr>
          <w:lang w:val="es-MX"/>
        </w:rPr>
      </w:pPr>
    </w:p>
    <w:p w:rsidR="008D67D9" w:rsidRDefault="00CB46AD" w:rsidP="0033504B">
      <w:pPr>
        <w:spacing w:line="360" w:lineRule="auto"/>
        <w:rPr>
          <w:lang w:val="es-MX"/>
        </w:rPr>
      </w:pPr>
      <w:r>
        <w:rPr>
          <w:lang w:val="es-MX"/>
        </w:rPr>
        <w:tab/>
        <w:t>En esta sección buscamos mostrar lo siguiente: (a) que los resultados sobreviven aun si se controla por otro tipo de homicidios que no son relacionados con el narcotráfico y por otros tipos de crimen, (b)</w:t>
      </w:r>
      <w:r w:rsidR="00BF47ED">
        <w:rPr>
          <w:lang w:val="es-MX"/>
        </w:rPr>
        <w:t xml:space="preserve"> que el efecto está presentes só</w:t>
      </w:r>
      <w:r>
        <w:rPr>
          <w:lang w:val="es-MX"/>
        </w:rPr>
        <w:t>lo en el valor de mercado del inmueble y en mucho menor medida en el valor físico de la construcción y</w:t>
      </w:r>
      <w:r w:rsidR="00BF47ED">
        <w:rPr>
          <w:lang w:val="es-MX"/>
        </w:rPr>
        <w:t xml:space="preserve"> en el valor del terreno, debido a que estos son afectados en menor medida por cambios temporales en la demanda (e.g. violencia ligada al narcotráfico), (c) que los efectos se encuentran concentrados en municipios/localidades que experimentaron mayor crecimiento del crimen</w:t>
      </w:r>
      <w:r w:rsidR="0033504B">
        <w:rPr>
          <w:lang w:val="es-MX"/>
        </w:rPr>
        <w:t xml:space="preserve">, </w:t>
      </w:r>
      <w:r w:rsidR="00BF47ED">
        <w:rPr>
          <w:lang w:val="es-MX"/>
        </w:rPr>
        <w:t xml:space="preserve">usando una </w:t>
      </w:r>
      <w:r w:rsidR="0033504B">
        <w:rPr>
          <w:lang w:val="es-MX"/>
        </w:rPr>
        <w:t>metodología</w:t>
      </w:r>
      <w:r w:rsidR="00BF47ED">
        <w:rPr>
          <w:lang w:val="es-MX"/>
        </w:rPr>
        <w:t xml:space="preserve"> que explote incrementos fuertes en el crimen</w:t>
      </w:r>
      <w:r w:rsidR="0033504B">
        <w:rPr>
          <w:lang w:val="es-MX"/>
        </w:rPr>
        <w:t>.</w:t>
      </w:r>
      <w:r w:rsidR="008D67D9">
        <w:rPr>
          <w:lang w:val="es-MX"/>
        </w:rPr>
        <w:t xml:space="preserve"> Las gráficas a continuación muestran que los aumentos en homicidios son --en en casos impotantes-- repentinos.</w:t>
      </w:r>
    </w:p>
    <w:p w:rsidR="008D67D9" w:rsidRDefault="008D67D9" w:rsidP="0033504B">
      <w:pPr>
        <w:spacing w:line="360" w:lineRule="auto"/>
        <w:rPr>
          <w:lang w:val="es-MX"/>
        </w:rPr>
      </w:pPr>
      <w:r w:rsidRPr="008D67D9">
        <w:rPr>
          <w:noProof/>
          <w:lang w:val="en-US" w:eastAsia="en-US"/>
        </w:rPr>
        <w:drawing>
          <wp:inline distT="0" distB="0" distL="0" distR="0">
            <wp:extent cx="2766950" cy="2022496"/>
            <wp:effectExtent l="1905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766005" cy="2021805"/>
                    </a:xfrm>
                    <a:prstGeom prst="rect">
                      <a:avLst/>
                    </a:prstGeom>
                    <a:noFill/>
                    <a:ln w="9525">
                      <a:noFill/>
                      <a:miter lim="800000"/>
                      <a:headEnd/>
                      <a:tailEnd/>
                    </a:ln>
                  </pic:spPr>
                </pic:pic>
              </a:graphicData>
            </a:graphic>
          </wp:inline>
        </w:drawing>
      </w:r>
      <w:r w:rsidRPr="008D67D9">
        <w:rPr>
          <w:noProof/>
          <w:lang w:val="en-US" w:eastAsia="en-US"/>
        </w:rPr>
        <w:drawing>
          <wp:inline distT="0" distB="0" distL="0" distR="0">
            <wp:extent cx="2712274" cy="1982530"/>
            <wp:effectExtent l="1905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707766" cy="1979235"/>
                    </a:xfrm>
                    <a:prstGeom prst="rect">
                      <a:avLst/>
                    </a:prstGeom>
                    <a:noFill/>
                    <a:ln w="9525">
                      <a:noFill/>
                      <a:miter lim="800000"/>
                      <a:headEnd/>
                      <a:tailEnd/>
                    </a:ln>
                  </pic:spPr>
                </pic:pic>
              </a:graphicData>
            </a:graphic>
          </wp:inline>
        </w:drawing>
      </w:r>
    </w:p>
    <w:p w:rsidR="008D67D9" w:rsidRDefault="008D67D9" w:rsidP="0033504B">
      <w:pPr>
        <w:spacing w:line="360" w:lineRule="auto"/>
        <w:rPr>
          <w:lang w:val="es-MX"/>
        </w:rPr>
      </w:pPr>
    </w:p>
    <w:p w:rsidR="008D67D9" w:rsidRPr="00CB46AD" w:rsidRDefault="008D67D9" w:rsidP="0033504B">
      <w:pPr>
        <w:spacing w:line="360" w:lineRule="auto"/>
        <w:rPr>
          <w:lang w:val="es-MX"/>
        </w:rPr>
      </w:pPr>
      <w:r w:rsidRPr="008D67D9">
        <w:rPr>
          <w:noProof/>
          <w:lang w:val="en-US" w:eastAsia="en-US"/>
        </w:rPr>
        <w:lastRenderedPageBreak/>
        <w:drawing>
          <wp:inline distT="0" distB="0" distL="0" distR="0">
            <wp:extent cx="2719449" cy="1987776"/>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2721350" cy="1989165"/>
                    </a:xfrm>
                    <a:prstGeom prst="rect">
                      <a:avLst/>
                    </a:prstGeom>
                    <a:noFill/>
                    <a:ln w="9525">
                      <a:noFill/>
                      <a:miter lim="800000"/>
                      <a:headEnd/>
                      <a:tailEnd/>
                    </a:ln>
                  </pic:spPr>
                </pic:pic>
              </a:graphicData>
            </a:graphic>
          </wp:inline>
        </w:drawing>
      </w:r>
      <w:r w:rsidRPr="008D67D9">
        <w:rPr>
          <w:noProof/>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95401" cy="2042556"/>
            <wp:effectExtent l="19050" t="0" r="0" b="0"/>
            <wp:wrapSquare wrapText="bothSides"/>
            <wp:docPr id="1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2795401" cy="2042556"/>
                    </a:xfrm>
                    <a:prstGeom prst="rect">
                      <a:avLst/>
                    </a:prstGeom>
                    <a:noFill/>
                    <a:ln w="9525">
                      <a:noFill/>
                      <a:miter lim="800000"/>
                      <a:headEnd/>
                      <a:tailEnd/>
                    </a:ln>
                  </pic:spPr>
                </pic:pic>
              </a:graphicData>
            </a:graphic>
          </wp:anchor>
        </w:drawing>
      </w:r>
      <w:r>
        <w:rPr>
          <w:lang w:val="es-MX"/>
        </w:rPr>
        <w:br w:type="textWrapping" w:clear="all"/>
      </w:r>
    </w:p>
    <w:p w:rsidR="0033504B" w:rsidRDefault="0033504B" w:rsidP="00577CDE">
      <w:pPr>
        <w:pStyle w:val="Heading1"/>
        <w:numPr>
          <w:ilvl w:val="0"/>
          <w:numId w:val="2"/>
        </w:numPr>
        <w:rPr>
          <w:rFonts w:eastAsia="Times New Roman"/>
          <w:shd w:val="clear" w:color="auto" w:fill="FFFFFF"/>
          <w:lang w:val="es-MX"/>
        </w:rPr>
      </w:pPr>
      <w:r>
        <w:rPr>
          <w:rFonts w:eastAsia="Times New Roman"/>
          <w:shd w:val="clear" w:color="auto" w:fill="FFFFFF"/>
          <w:lang w:val="es-MX"/>
        </w:rPr>
        <w:t>Trabajo futuro</w:t>
      </w:r>
    </w:p>
    <w:p w:rsidR="0033504B" w:rsidRDefault="0033504B" w:rsidP="0033504B">
      <w:pPr>
        <w:spacing w:line="360" w:lineRule="auto"/>
        <w:rPr>
          <w:lang w:val="es-MX"/>
        </w:rPr>
      </w:pPr>
    </w:p>
    <w:p w:rsidR="0033504B" w:rsidRDefault="008D67D9" w:rsidP="0033504B">
      <w:pPr>
        <w:spacing w:line="360" w:lineRule="auto"/>
        <w:rPr>
          <w:lang w:val="es-MX"/>
        </w:rPr>
      </w:pPr>
      <w:r>
        <w:rPr>
          <w:lang w:val="es-MX"/>
        </w:rPr>
        <w:t>En el próximo mes</w:t>
      </w:r>
      <w:r w:rsidR="00912561">
        <w:rPr>
          <w:lang w:val="es-MX"/>
        </w:rPr>
        <w:t xml:space="preserve"> nos concentraremos en los municipios en donde la violencia se incrementó en mayor medida, y utilizando una </w:t>
      </w:r>
      <w:r w:rsidR="00A9152C">
        <w:rPr>
          <w:lang w:val="es-MX"/>
        </w:rPr>
        <w:t>metodología</w:t>
      </w:r>
      <w:r w:rsidR="00912561">
        <w:rPr>
          <w:lang w:val="es-MX"/>
        </w:rPr>
        <w:t xml:space="preserve"> de propensity score matching encontraremos un grupo de control con las mismas </w:t>
      </w:r>
      <w:r w:rsidR="00A9152C">
        <w:rPr>
          <w:lang w:val="es-MX"/>
        </w:rPr>
        <w:t>tendencias en el tiempo</w:t>
      </w:r>
      <w:r w:rsidR="00912561">
        <w:rPr>
          <w:lang w:val="es-MX"/>
        </w:rPr>
        <w:t xml:space="preserve"> del 2000 al 2006. Esto reducirá preocupaciones de endogeneidad en la variable homicidios.</w:t>
      </w:r>
    </w:p>
    <w:p w:rsidR="008D67D9" w:rsidRPr="0033504B" w:rsidRDefault="008D67D9" w:rsidP="0033504B">
      <w:pPr>
        <w:spacing w:line="360" w:lineRule="auto"/>
        <w:rPr>
          <w:lang w:val="es-MX"/>
        </w:rPr>
      </w:pPr>
    </w:p>
    <w:p w:rsidR="00CB46AD" w:rsidRDefault="00CB46AD" w:rsidP="00577CDE">
      <w:pPr>
        <w:pStyle w:val="Heading1"/>
        <w:numPr>
          <w:ilvl w:val="0"/>
          <w:numId w:val="2"/>
        </w:numPr>
        <w:rPr>
          <w:rFonts w:eastAsia="Times New Roman"/>
          <w:shd w:val="clear" w:color="auto" w:fill="FFFFFF"/>
          <w:lang w:val="es-MX"/>
        </w:rPr>
      </w:pPr>
      <w:r>
        <w:rPr>
          <w:rFonts w:eastAsia="Times New Roman"/>
          <w:shd w:val="clear" w:color="auto" w:fill="FFFFFF"/>
          <w:lang w:val="es-MX"/>
        </w:rPr>
        <w:t>Resultados adicionales</w:t>
      </w:r>
    </w:p>
    <w:p w:rsidR="0033504B" w:rsidRDefault="0033504B" w:rsidP="0033504B">
      <w:pPr>
        <w:rPr>
          <w:lang w:val="es-MX"/>
        </w:rPr>
      </w:pPr>
    </w:p>
    <w:p w:rsidR="00A9152C" w:rsidRDefault="00A9152C" w:rsidP="0033504B">
      <w:pPr>
        <w:rPr>
          <w:lang w:val="es-MX"/>
        </w:rPr>
      </w:pPr>
      <w:r>
        <w:rPr>
          <w:lang w:val="es-MX"/>
        </w:rPr>
        <w:t>Además de efectos en precios de inmuebles, estamos analizando los efectos en casas deshabitadas y migración por localidad. En particular hacemos una regresion de tamaño de la población en 2010 en la localidad, explicada por el logaritmo natural de los homicidios acumulados en los últimos 24 meses controlando por población en el 2005 en esa misma localidad.  Encontramos que el efecto es de XX.</w:t>
      </w:r>
    </w:p>
    <w:p w:rsidR="00A9152C" w:rsidRDefault="00A9152C" w:rsidP="0033504B">
      <w:pPr>
        <w:rPr>
          <w:lang w:val="es-MX"/>
        </w:rPr>
      </w:pPr>
    </w:p>
    <w:p w:rsidR="00A9152C" w:rsidRDefault="00A9152C" w:rsidP="0033504B">
      <w:pPr>
        <w:rPr>
          <w:lang w:val="es-MX"/>
        </w:rPr>
      </w:pPr>
      <w:r w:rsidRPr="00A9152C">
        <w:rPr>
          <w:noProof/>
          <w:lang w:val="en-US" w:eastAsia="en-US"/>
        </w:rPr>
        <w:lastRenderedPageBreak/>
        <w:drawing>
          <wp:inline distT="0" distB="0" distL="0" distR="0">
            <wp:extent cx="4025735" cy="2243643"/>
            <wp:effectExtent l="19050" t="0" r="0" b="0"/>
            <wp:docPr id="19" name="Picture 2"/>
            <wp:cNvGraphicFramePr/>
            <a:graphic xmlns:a="http://schemas.openxmlformats.org/drawingml/2006/main">
              <a:graphicData uri="http://schemas.openxmlformats.org/drawingml/2006/picture">
                <pic:pic xmlns:pic="http://schemas.openxmlformats.org/drawingml/2006/picture">
                  <pic:nvPicPr>
                    <pic:cNvPr id="61444" name="Picture 4"/>
                    <pic:cNvPicPr>
                      <a:picLocks noChangeAspect="1" noChangeArrowheads="1"/>
                    </pic:cNvPicPr>
                  </pic:nvPicPr>
                  <pic:blipFill>
                    <a:blip r:embed="rId21" cstate="print"/>
                    <a:srcRect/>
                    <a:stretch>
                      <a:fillRect/>
                    </a:stretch>
                  </pic:blipFill>
                  <pic:spPr bwMode="auto">
                    <a:xfrm>
                      <a:off x="0" y="0"/>
                      <a:ext cx="4032820" cy="2247592"/>
                    </a:xfrm>
                    <a:prstGeom prst="rect">
                      <a:avLst/>
                    </a:prstGeom>
                    <a:noFill/>
                    <a:ln w="9525">
                      <a:noFill/>
                      <a:miter lim="800000"/>
                      <a:headEnd/>
                      <a:tailEnd/>
                    </a:ln>
                  </pic:spPr>
                </pic:pic>
              </a:graphicData>
            </a:graphic>
          </wp:inline>
        </w:drawing>
      </w:r>
    </w:p>
    <w:p w:rsidR="00A9152C" w:rsidRDefault="00A9152C" w:rsidP="00A9152C">
      <w:pPr>
        <w:jc w:val="center"/>
        <w:rPr>
          <w:lang w:val="es-MX"/>
        </w:rPr>
      </w:pPr>
      <w:r>
        <w:rPr>
          <w:lang w:val="es-MX"/>
        </w:rPr>
        <w:t>Casas deshabitadas 2010, a nivel municipio.</w:t>
      </w:r>
    </w:p>
    <w:p w:rsidR="00A9152C" w:rsidRDefault="00A9152C" w:rsidP="00A9152C">
      <w:pPr>
        <w:jc w:val="center"/>
        <w:rPr>
          <w:lang w:val="es-MX"/>
        </w:rPr>
      </w:pPr>
    </w:p>
    <w:p w:rsidR="00A9152C" w:rsidRPr="0033504B" w:rsidRDefault="00A9152C" w:rsidP="0033504B">
      <w:pPr>
        <w:rPr>
          <w:lang w:val="es-MX"/>
        </w:rPr>
      </w:pPr>
    </w:p>
    <w:p w:rsidR="00B941BE" w:rsidRDefault="0022268B" w:rsidP="00577CDE">
      <w:pPr>
        <w:pStyle w:val="Heading1"/>
        <w:numPr>
          <w:ilvl w:val="0"/>
          <w:numId w:val="2"/>
        </w:numPr>
        <w:rPr>
          <w:rFonts w:eastAsia="Times New Roman"/>
          <w:shd w:val="clear" w:color="auto" w:fill="FFFFFF"/>
          <w:lang w:val="es-MX"/>
        </w:rPr>
      </w:pPr>
      <w:r w:rsidRPr="005249A5">
        <w:rPr>
          <w:rFonts w:eastAsia="Times New Roman"/>
          <w:shd w:val="clear" w:color="auto" w:fill="FFFFFF"/>
          <w:lang w:val="es-MX"/>
        </w:rPr>
        <w:t>Conclusiones</w:t>
      </w:r>
      <w:bookmarkEnd w:id="7"/>
    </w:p>
    <w:p w:rsidR="00577CDE" w:rsidRPr="00577CDE" w:rsidRDefault="00577CDE" w:rsidP="00577CDE">
      <w:pPr>
        <w:rPr>
          <w:lang w:val="es-MX"/>
        </w:rPr>
      </w:pPr>
    </w:p>
    <w:p w:rsidR="00D85E09" w:rsidRDefault="00B941BE" w:rsidP="00F348B7">
      <w:pPr>
        <w:spacing w:after="0" w:line="360" w:lineRule="auto"/>
        <w:jc w:val="both"/>
        <w:rPr>
          <w:lang w:val="es-MX"/>
        </w:rPr>
      </w:pPr>
      <w:r>
        <w:rPr>
          <w:lang w:val="es-MX"/>
        </w:rPr>
        <w:t xml:space="preserve">En conclusión, encontramos evidencia de que el crimen tiene un impacto significativo en el valor competitivo de mercado de los inmuebles en México. </w:t>
      </w:r>
      <w:r w:rsidR="00D52D25">
        <w:rPr>
          <w:lang w:val="es-MX"/>
        </w:rPr>
        <w:t xml:space="preserve"> El aumento de un 1 porciento en el número de homicidios acumulados (en los dos últimos años previos la compra-venta) y en la localidad del inmueble, reduce hasta </w:t>
      </w:r>
      <w:r w:rsidR="00D52D25" w:rsidRPr="00D1445E">
        <w:rPr>
          <w:lang w:val="es-MX"/>
        </w:rPr>
        <w:t>un</w:t>
      </w:r>
      <w:r w:rsidR="004B2060">
        <w:rPr>
          <w:lang w:val="es-MX"/>
        </w:rPr>
        <w:t xml:space="preserve"> 1.8 porciento</w:t>
      </w:r>
      <w:r w:rsidR="00D52D25">
        <w:rPr>
          <w:lang w:val="es-MX"/>
        </w:rPr>
        <w:t xml:space="preserve"> su</w:t>
      </w:r>
      <w:r w:rsidR="00D1445E">
        <w:rPr>
          <w:lang w:val="es-MX"/>
        </w:rPr>
        <w:t xml:space="preserve"> valor de mercado.</w:t>
      </w:r>
      <w:r w:rsidR="00997698">
        <w:rPr>
          <w:lang w:val="es-MX"/>
        </w:rPr>
        <w:t xml:space="preserve"> Dado el importante aumento en el crimen en los últimos años, este efecto resulta destacable.</w:t>
      </w:r>
      <w:r w:rsidR="00D85E09">
        <w:rPr>
          <w:lang w:val="es-MX"/>
        </w:rPr>
        <w:t xml:space="preserve"> </w:t>
      </w:r>
    </w:p>
    <w:p w:rsidR="00D85E09" w:rsidRDefault="00D85E09" w:rsidP="00F348B7">
      <w:pPr>
        <w:spacing w:after="0" w:line="360" w:lineRule="auto"/>
        <w:jc w:val="both"/>
        <w:rPr>
          <w:lang w:val="es-MX"/>
        </w:rPr>
      </w:pPr>
      <w:r>
        <w:rPr>
          <w:lang w:val="es-MX"/>
        </w:rPr>
        <w:tab/>
        <w:t>Además, encontramos que el impacto negativo del crimen en el precio de las viviendas es más suave para inmuebles que en principio presentan mayor seguridad: los departamentos, inmuebles de clase alta, inmuebles de más de 140 metros cuadrados de superficie, o que están ubicados en localidades con más de 50 mil habitantes parecen tener una menor repercusión del crimen en sus precios.</w:t>
      </w:r>
    </w:p>
    <w:p w:rsidR="00B4538A" w:rsidRDefault="00B4538A" w:rsidP="00F348B7">
      <w:pPr>
        <w:spacing w:after="0" w:line="360" w:lineRule="auto"/>
        <w:jc w:val="both"/>
        <w:rPr>
          <w:lang w:val="es-MX"/>
        </w:rPr>
      </w:pPr>
      <w:r>
        <w:rPr>
          <w:lang w:val="es-MX"/>
        </w:rPr>
        <w:tab/>
        <w:t>Finalmente, las regresiones presentadas explican más del 90% de las variaciones en el valor competitivo de mercado de las viviendas, lo cual indica que estamos incluyendo una buena parte de las variables que impactan en el mismo.</w:t>
      </w:r>
    </w:p>
    <w:p w:rsidR="000927D7" w:rsidRPr="005249A5" w:rsidRDefault="00E41575" w:rsidP="00F348B7">
      <w:pPr>
        <w:spacing w:after="0" w:line="360" w:lineRule="auto"/>
        <w:jc w:val="both"/>
        <w:rPr>
          <w:lang w:val="es-MX"/>
        </w:rPr>
      </w:pPr>
      <w:r>
        <w:rPr>
          <w:lang w:val="es-MX"/>
        </w:rPr>
        <w:tab/>
      </w:r>
      <w:r w:rsidR="0078573F">
        <w:rPr>
          <w:lang w:val="es-MX"/>
        </w:rPr>
        <w:t>Dejamos para futuras ediciones de este estudio el análisis de categorías dentro de las muertes por homicidios para tratar de identificar aquellos que pudieran tener un mayor impacto en e</w:t>
      </w:r>
      <w:r w:rsidR="00EB7346">
        <w:rPr>
          <w:lang w:val="es-MX"/>
        </w:rPr>
        <w:t xml:space="preserve">l precio de las viviendas. En el transcurso de este mes podremos incorporar, además, datos de los homicidios correspondientes al año 2011, lo cual </w:t>
      </w:r>
      <w:r w:rsidR="003C400C">
        <w:rPr>
          <w:lang w:val="es-MX"/>
        </w:rPr>
        <w:t>nos proveerá de má</w:t>
      </w:r>
      <w:r w:rsidR="00577CDE">
        <w:rPr>
          <w:lang w:val="es-MX"/>
        </w:rPr>
        <w:t>s datos para sacar conclusiones.</w:t>
      </w:r>
    </w:p>
    <w:p w:rsidR="00D534BA" w:rsidRPr="005249A5" w:rsidRDefault="00D534BA" w:rsidP="00D534BA">
      <w:pPr>
        <w:pStyle w:val="Heading1"/>
        <w:numPr>
          <w:ilvl w:val="0"/>
          <w:numId w:val="2"/>
        </w:numPr>
        <w:rPr>
          <w:rFonts w:eastAsia="Times New Roman"/>
          <w:shd w:val="clear" w:color="auto" w:fill="FFFFFF"/>
          <w:lang w:val="es-MX"/>
        </w:rPr>
      </w:pPr>
      <w:bookmarkStart w:id="8" w:name="_Toc340428164"/>
      <w:r w:rsidRPr="005249A5">
        <w:rPr>
          <w:rFonts w:eastAsia="Times New Roman"/>
          <w:shd w:val="clear" w:color="auto" w:fill="FFFFFF"/>
          <w:lang w:val="es-MX"/>
        </w:rPr>
        <w:lastRenderedPageBreak/>
        <w:t>Referencias</w:t>
      </w:r>
      <w:bookmarkEnd w:id="8"/>
    </w:p>
    <w:p w:rsidR="000C359E" w:rsidRPr="005249A5" w:rsidRDefault="000C359E" w:rsidP="000C359E">
      <w:pPr>
        <w:rPr>
          <w:lang w:val="es-MX"/>
        </w:rPr>
      </w:pPr>
    </w:p>
    <w:p w:rsidR="000C359E" w:rsidRPr="004E1679" w:rsidRDefault="00FA6AB5" w:rsidP="000C359E">
      <w:pPr>
        <w:rPr>
          <w:i/>
          <w:lang w:val="en-US"/>
        </w:rPr>
      </w:pPr>
      <w:r w:rsidRPr="004E1679">
        <w:rPr>
          <w:b/>
          <w:lang w:val="en-US"/>
        </w:rPr>
        <w:t>Linden, L. y</w:t>
      </w:r>
      <w:r w:rsidR="000C359E" w:rsidRPr="004E1679">
        <w:rPr>
          <w:b/>
          <w:lang w:val="en-US"/>
        </w:rPr>
        <w:t xml:space="preserve"> Rockoff, J. (2008).</w:t>
      </w:r>
      <w:r w:rsidR="000C359E" w:rsidRPr="004E1679">
        <w:rPr>
          <w:lang w:val="en-US"/>
        </w:rPr>
        <w:t xml:space="preserve"> Estimates of the Impact of Crime Risk on Property Values from Megan’s Laws. </w:t>
      </w:r>
      <w:r w:rsidR="000C359E" w:rsidRPr="004E1679">
        <w:rPr>
          <w:i/>
          <w:lang w:val="en-US"/>
        </w:rPr>
        <w:t>American Economic Review.</w:t>
      </w:r>
    </w:p>
    <w:p w:rsidR="005974CC" w:rsidRPr="004E1679" w:rsidRDefault="00FA6AB5" w:rsidP="000C359E">
      <w:pPr>
        <w:rPr>
          <w:i/>
          <w:lang w:val="en-US"/>
        </w:rPr>
      </w:pPr>
      <w:r w:rsidRPr="004E1679">
        <w:rPr>
          <w:b/>
          <w:lang w:val="en-US"/>
        </w:rPr>
        <w:t>Besley, T. y</w:t>
      </w:r>
      <w:r w:rsidR="005974CC" w:rsidRPr="004E1679">
        <w:rPr>
          <w:b/>
          <w:lang w:val="en-US"/>
        </w:rPr>
        <w:t xml:space="preserve"> Mueller, H. (2012).</w:t>
      </w:r>
      <w:r w:rsidR="005974CC" w:rsidRPr="004E1679">
        <w:rPr>
          <w:lang w:val="en-US"/>
        </w:rPr>
        <w:t xml:space="preserve"> Estimating the Peace Dividend: The Impact of Violence on House Prices in Northern Ireland.</w:t>
      </w:r>
      <w:r w:rsidR="005974CC" w:rsidRPr="004E1679">
        <w:rPr>
          <w:i/>
          <w:lang w:val="en-US"/>
        </w:rPr>
        <w:t xml:space="preserve"> American Economic Review.</w:t>
      </w:r>
    </w:p>
    <w:p w:rsidR="00D534BA" w:rsidRDefault="00FA6AB5" w:rsidP="00D534BA">
      <w:pPr>
        <w:rPr>
          <w:rStyle w:val="Emphasis"/>
          <w:rFonts w:cstheme="minorHAnsi"/>
          <w:color w:val="222222"/>
          <w:shd w:val="clear" w:color="auto" w:fill="FFFFFF"/>
          <w:lang w:val="en-US"/>
        </w:rPr>
      </w:pPr>
      <w:r w:rsidRPr="004E1679">
        <w:rPr>
          <w:rFonts w:cstheme="minorHAnsi"/>
          <w:b/>
          <w:iCs/>
          <w:color w:val="222222"/>
          <w:shd w:val="clear" w:color="auto" w:fill="FFFFFF"/>
          <w:lang w:val="en-US"/>
        </w:rPr>
        <w:t>Kahn, M. y</w:t>
      </w:r>
      <w:r w:rsidR="00DA37CE" w:rsidRPr="004E1679">
        <w:rPr>
          <w:rFonts w:cstheme="minorHAnsi"/>
          <w:b/>
          <w:iCs/>
          <w:color w:val="222222"/>
          <w:shd w:val="clear" w:color="auto" w:fill="FFFFFF"/>
          <w:lang w:val="en-US"/>
        </w:rPr>
        <w:t xml:space="preserve"> Bajari, P. (2005).</w:t>
      </w:r>
      <w:r w:rsidR="00DA37CE" w:rsidRPr="004E1679">
        <w:rPr>
          <w:rFonts w:cstheme="minorHAnsi"/>
          <w:i/>
          <w:iCs/>
          <w:color w:val="222222"/>
          <w:shd w:val="clear" w:color="auto" w:fill="FFFFFF"/>
          <w:lang w:val="en-US"/>
        </w:rPr>
        <w:t xml:space="preserve"> </w:t>
      </w:r>
      <w:r w:rsidR="00DA37CE" w:rsidRPr="004E1679">
        <w:rPr>
          <w:rFonts w:cstheme="minorHAnsi"/>
          <w:iCs/>
          <w:color w:val="222222"/>
          <w:shd w:val="clear" w:color="auto" w:fill="FFFFFF"/>
          <w:lang w:val="en-US"/>
        </w:rPr>
        <w:t>Estimating Housing Demand with an Application with Expanding Racial Segregation in Cities</w:t>
      </w:r>
      <w:r w:rsidR="00DA37CE" w:rsidRPr="004E1679">
        <w:rPr>
          <w:rFonts w:cstheme="minorHAnsi"/>
          <w:i/>
          <w:iCs/>
          <w:color w:val="222222"/>
          <w:shd w:val="clear" w:color="auto" w:fill="FFFFFF"/>
          <w:lang w:val="en-US"/>
        </w:rPr>
        <w:t>. </w:t>
      </w:r>
      <w:r w:rsidR="00DA37CE" w:rsidRPr="004E1679">
        <w:rPr>
          <w:rStyle w:val="Emphasis"/>
          <w:rFonts w:cstheme="minorHAnsi"/>
          <w:color w:val="222222"/>
          <w:shd w:val="clear" w:color="auto" w:fill="FFFFFF"/>
          <w:lang w:val="en-US"/>
        </w:rPr>
        <w:t>Journal of Business &amp; Economic Statistics.</w:t>
      </w:r>
    </w:p>
    <w:p w:rsidR="00243D78" w:rsidRDefault="00243D78" w:rsidP="00243D78">
      <w:pPr>
        <w:pStyle w:val="Bibliography"/>
        <w:rPr>
          <w:noProof/>
          <w:lang w:val="es-MX"/>
        </w:rPr>
      </w:pPr>
      <w:r>
        <w:rPr>
          <w:b/>
          <w:bCs/>
          <w:noProof/>
          <w:lang w:val="en-US"/>
        </w:rPr>
        <w:t>Guerrero, E. (2009).</w:t>
      </w:r>
      <w:r>
        <w:rPr>
          <w:noProof/>
          <w:lang w:val="en-US"/>
        </w:rPr>
        <w:t xml:space="preserve"> Nexos en línea. </w:t>
      </w:r>
      <w:r>
        <w:rPr>
          <w:noProof/>
          <w:lang w:val="es-MX"/>
        </w:rPr>
        <w:t>[En línea] 01 de 01 de 2009. [Citado el: 01 de 11 de 2012.] http://www.nexos.com.mx.</w:t>
      </w:r>
    </w:p>
    <w:p w:rsidR="00243D78" w:rsidRDefault="00243D78" w:rsidP="00243D78">
      <w:pPr>
        <w:pStyle w:val="Bibliography"/>
        <w:rPr>
          <w:noProof/>
          <w:lang w:val="es-MX"/>
        </w:rPr>
      </w:pPr>
      <w:r>
        <w:rPr>
          <w:b/>
          <w:bCs/>
          <w:noProof/>
          <w:lang w:val="es-MX"/>
        </w:rPr>
        <w:t>Guerrero-Gutiérrez, E. (2011).</w:t>
      </w:r>
      <w:r>
        <w:rPr>
          <w:noProof/>
          <w:lang w:val="es-MX"/>
        </w:rPr>
        <w:t xml:space="preserve"> </w:t>
      </w:r>
      <w:r>
        <w:rPr>
          <w:iCs/>
          <w:noProof/>
          <w:lang w:val="es-MX"/>
        </w:rPr>
        <w:t xml:space="preserve">Security, drugs and violence in Mexico: a survey. </w:t>
      </w:r>
      <w:r>
        <w:rPr>
          <w:noProof/>
          <w:lang w:val="es-MX"/>
        </w:rPr>
        <w:t xml:space="preserve">Washington D.C : 7 </w:t>
      </w:r>
      <w:r>
        <w:rPr>
          <w:i/>
          <w:noProof/>
          <w:lang w:val="es-MX"/>
        </w:rPr>
        <w:t>North American Forum.</w:t>
      </w:r>
    </w:p>
    <w:p w:rsidR="00243D78" w:rsidRDefault="00243D78" w:rsidP="00243D78">
      <w:pPr>
        <w:pStyle w:val="Bibliography"/>
        <w:rPr>
          <w:noProof/>
          <w:lang w:val="es-MX"/>
        </w:rPr>
      </w:pPr>
      <w:r>
        <w:rPr>
          <w:b/>
          <w:bCs/>
          <w:noProof/>
          <w:lang w:val="es-MX"/>
        </w:rPr>
        <w:t>Molzahn, C., Ríos, V. y Shirk, A. D. (2012).</w:t>
      </w:r>
      <w:r>
        <w:rPr>
          <w:noProof/>
          <w:lang w:val="es-MX"/>
        </w:rPr>
        <w:t xml:space="preserve"> </w:t>
      </w:r>
      <w:r>
        <w:rPr>
          <w:iCs/>
          <w:noProof/>
          <w:lang w:val="en-US"/>
        </w:rPr>
        <w:t>Drug violance in Mexico data and analysis throught 2011.</w:t>
      </w:r>
      <w:r>
        <w:rPr>
          <w:i/>
          <w:iCs/>
          <w:noProof/>
          <w:lang w:val="en-US"/>
        </w:rPr>
        <w:t xml:space="preserve"> </w:t>
      </w:r>
      <w:r>
        <w:rPr>
          <w:i/>
          <w:noProof/>
          <w:lang w:val="es-MX"/>
        </w:rPr>
        <w:t>USD, San Diego : Special Report for TBI.</w:t>
      </w:r>
    </w:p>
    <w:p w:rsidR="00243D78" w:rsidRDefault="00243D78" w:rsidP="00243D78">
      <w:pPr>
        <w:pStyle w:val="Bibliography"/>
        <w:rPr>
          <w:noProof/>
          <w:lang w:val="es-MX"/>
        </w:rPr>
      </w:pPr>
      <w:r>
        <w:rPr>
          <w:b/>
          <w:bCs/>
          <w:noProof/>
          <w:lang w:val="es-MX"/>
        </w:rPr>
        <w:t>Rios, V. (2011).</w:t>
      </w:r>
      <w:r>
        <w:rPr>
          <w:noProof/>
          <w:lang w:val="es-MX"/>
        </w:rPr>
        <w:t xml:space="preserve"> </w:t>
      </w:r>
      <w:r>
        <w:rPr>
          <w:i/>
          <w:noProof/>
          <w:lang w:val="es-MX"/>
        </w:rPr>
        <w:t xml:space="preserve">Violencia mediática. </w:t>
      </w:r>
      <w:r>
        <w:rPr>
          <w:i/>
          <w:iCs/>
          <w:noProof/>
          <w:lang w:val="es-MX"/>
        </w:rPr>
        <w:t xml:space="preserve">nexos en línea. </w:t>
      </w:r>
      <w:r>
        <w:rPr>
          <w:noProof/>
          <w:lang w:val="es-MX"/>
        </w:rPr>
        <w:t>[En línea] 03 de 01 de 2011. [Citado el: 31 de 10 de 2012.] http://www.nexos.com.mx.</w:t>
      </w:r>
    </w:p>
    <w:p w:rsidR="00243D78" w:rsidRDefault="00243D78" w:rsidP="00243D78">
      <w:pPr>
        <w:pStyle w:val="Bibliography"/>
        <w:rPr>
          <w:noProof/>
          <w:lang w:val="en-US"/>
        </w:rPr>
      </w:pPr>
      <w:r>
        <w:rPr>
          <w:b/>
          <w:bCs/>
          <w:noProof/>
          <w:lang w:val="en-US"/>
        </w:rPr>
        <w:t xml:space="preserve">Dell, M. (2011). </w:t>
      </w:r>
      <w:r>
        <w:rPr>
          <w:iCs/>
          <w:noProof/>
          <w:lang w:val="en-US"/>
        </w:rPr>
        <w:t>Trafficking Networks and the Mexican Drug War.</w:t>
      </w:r>
      <w:r>
        <w:rPr>
          <w:noProof/>
          <w:lang w:val="en-US"/>
        </w:rPr>
        <w:t xml:space="preserve"> (Job Market Paper).</w:t>
      </w:r>
    </w:p>
    <w:p w:rsidR="00243D78" w:rsidRDefault="00243D78" w:rsidP="00243D78">
      <w:pPr>
        <w:pStyle w:val="Bibliography"/>
        <w:rPr>
          <w:noProof/>
          <w:lang w:val="es-MX"/>
        </w:rPr>
      </w:pPr>
      <w:r>
        <w:rPr>
          <w:b/>
          <w:bCs/>
          <w:noProof/>
          <w:lang w:val="en-US"/>
        </w:rPr>
        <w:t xml:space="preserve">Rios, V. (2012) </w:t>
      </w:r>
      <w:r>
        <w:rPr>
          <w:i/>
          <w:iCs/>
          <w:noProof/>
          <w:lang w:val="en-US"/>
        </w:rPr>
        <w:t>Why did Mexico become so violent? A self-reinforcing violent equilibrium caused by competition and enforcement.</w:t>
      </w:r>
      <w:r>
        <w:rPr>
          <w:noProof/>
          <w:lang w:val="en-US"/>
        </w:rPr>
        <w:t xml:space="preserve"> </w:t>
      </w:r>
      <w:r>
        <w:rPr>
          <w:noProof/>
          <w:lang w:val="es-MX"/>
        </w:rPr>
        <w:t>Trends in Organize Crime.</w:t>
      </w:r>
    </w:p>
    <w:p w:rsidR="004F1968" w:rsidRPr="005249A5" w:rsidRDefault="004F1968" w:rsidP="00243D78">
      <w:pPr>
        <w:pStyle w:val="Bibliography"/>
        <w:rPr>
          <w:lang w:val="es-MX"/>
        </w:rPr>
      </w:pPr>
    </w:p>
    <w:p w:rsidR="00367C4D" w:rsidRDefault="00D534BA" w:rsidP="00367C4D">
      <w:pPr>
        <w:pStyle w:val="Heading1"/>
        <w:numPr>
          <w:ilvl w:val="0"/>
          <w:numId w:val="2"/>
        </w:numPr>
        <w:rPr>
          <w:rFonts w:eastAsia="Times New Roman"/>
          <w:shd w:val="clear" w:color="auto" w:fill="FFFFFF"/>
          <w:lang w:val="es-MX"/>
        </w:rPr>
      </w:pPr>
      <w:bookmarkStart w:id="9" w:name="_Toc340428165"/>
      <w:r w:rsidRPr="005249A5">
        <w:rPr>
          <w:rFonts w:eastAsia="Times New Roman"/>
          <w:shd w:val="clear" w:color="auto" w:fill="FFFFFF"/>
          <w:lang w:val="es-MX"/>
        </w:rPr>
        <w:t>Anexos</w:t>
      </w:r>
      <w:bookmarkEnd w:id="9"/>
    </w:p>
    <w:p w:rsidR="00A22D23" w:rsidRPr="00A22D23" w:rsidRDefault="00A22D23" w:rsidP="00A22D23">
      <w:pPr>
        <w:pStyle w:val="Heading2"/>
        <w:rPr>
          <w:lang w:val="es-MX"/>
        </w:rPr>
      </w:pPr>
      <w:bookmarkStart w:id="10" w:name="_Toc340428166"/>
      <w:r>
        <w:rPr>
          <w:lang w:val="es-MX"/>
        </w:rPr>
        <w:t>7.1 Anexo I. Estadística descriptiva</w:t>
      </w:r>
      <w:bookmarkEnd w:id="10"/>
      <w:r w:rsidR="00991325">
        <w:rPr>
          <w:lang w:val="es-MX"/>
        </w:rPr>
        <w:t xml:space="preserve"> </w:t>
      </w:r>
    </w:p>
    <w:p w:rsidR="00C86243" w:rsidRDefault="00C86243" w:rsidP="00367C4D">
      <w:pPr>
        <w:rPr>
          <w:lang w:val="es-MX"/>
        </w:rPr>
      </w:pPr>
    </w:p>
    <w:tbl>
      <w:tblPr>
        <w:tblW w:w="8400" w:type="dxa"/>
        <w:tblInd w:w="55" w:type="dxa"/>
        <w:tblCellMar>
          <w:left w:w="70" w:type="dxa"/>
          <w:right w:w="70" w:type="dxa"/>
        </w:tblCellMar>
        <w:tblLook w:val="04A0" w:firstRow="1" w:lastRow="0" w:firstColumn="1" w:lastColumn="0" w:noHBand="0" w:noVBand="1"/>
      </w:tblPr>
      <w:tblGrid>
        <w:gridCol w:w="4880"/>
        <w:gridCol w:w="3520"/>
      </w:tblGrid>
      <w:tr w:rsidR="00C86243" w:rsidRPr="00C86243" w:rsidTr="007C2C46">
        <w:trPr>
          <w:trHeight w:val="300"/>
        </w:trPr>
        <w:tc>
          <w:tcPr>
            <w:tcW w:w="4880" w:type="dxa"/>
            <w:tcBorders>
              <w:top w:val="nil"/>
              <w:left w:val="nil"/>
              <w:bottom w:val="single" w:sz="4" w:space="0" w:color="auto"/>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Variables Continuas (22)</w:t>
            </w:r>
          </w:p>
        </w:tc>
        <w:tc>
          <w:tcPr>
            <w:tcW w:w="3520" w:type="dxa"/>
            <w:tcBorders>
              <w:top w:val="nil"/>
              <w:left w:val="nil"/>
              <w:bottom w:val="single" w:sz="4" w:space="0" w:color="auto"/>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xml:space="preserve">Variables Categóricas (8)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Nombre</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Nombre</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Superficie del terreno (metros cuadrados)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Clase de inmueble</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Superficie construida (metros cuadrados)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xml:space="preserve">Zona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Superficie accesoria (metros cuadrados)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Nivel de equipamiento urbano</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Superficie vendible (metros cuadrados)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xml:space="preserve">Tipología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Vida útil remanente (meses)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Propósito</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xml:space="preserve">Año de terminación </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xml:space="preserve">Nivel de infraestructura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Unidades rentables generales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¿Tiene elevador?</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xml:space="preserve">Unidades rentables </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¿Tiene teléfono?</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Valor comparativo de mercado (pesos mexicanos)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Valor físico terreno  (pesos mexicanos)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Valor físico construcción  (pesos mexicanos)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lastRenderedPageBreak/>
              <w:t>Valor físico instalaciones  (pesos mexicanos)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Importe del valor concluido  (pesos mexicanos)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Número de recamaras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Número de baños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Número de medio baños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Número de niveles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Número de estacionamientos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Longitud</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Latitud</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Altitud</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r w:rsidR="00C86243" w:rsidRPr="00C86243" w:rsidTr="007C2C46">
        <w:trPr>
          <w:trHeight w:val="300"/>
        </w:trPr>
        <w:tc>
          <w:tcPr>
            <w:tcW w:w="488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Costo del Avalúo   (pesos mexicanos)</w:t>
            </w:r>
          </w:p>
        </w:tc>
        <w:tc>
          <w:tcPr>
            <w:tcW w:w="3520" w:type="dxa"/>
            <w:tcBorders>
              <w:top w:val="nil"/>
              <w:left w:val="nil"/>
              <w:bottom w:val="nil"/>
              <w:right w:val="nil"/>
            </w:tcBorders>
            <w:shd w:val="clear" w:color="000000" w:fill="FFFFFF"/>
            <w:noWrap/>
            <w:vAlign w:val="bottom"/>
            <w:hideMark/>
          </w:tcPr>
          <w:p w:rsidR="00C86243" w:rsidRPr="00C86243" w:rsidRDefault="00C86243" w:rsidP="007C2C46">
            <w:pPr>
              <w:spacing w:after="0" w:line="240" w:lineRule="auto"/>
              <w:rPr>
                <w:rFonts w:ascii="Calibri" w:eastAsia="Times New Roman" w:hAnsi="Calibri" w:cs="Calibri"/>
                <w:color w:val="000000"/>
              </w:rPr>
            </w:pPr>
            <w:r w:rsidRPr="00C86243">
              <w:rPr>
                <w:rFonts w:ascii="Calibri" w:eastAsia="Times New Roman" w:hAnsi="Calibri" w:cs="Calibri"/>
                <w:color w:val="000000"/>
              </w:rPr>
              <w:t> </w:t>
            </w:r>
          </w:p>
        </w:tc>
      </w:tr>
    </w:tbl>
    <w:p w:rsidR="00AB310D" w:rsidRPr="004E77A4" w:rsidRDefault="004E77A4" w:rsidP="00B31E93">
      <w:pPr>
        <w:rPr>
          <w:sz w:val="18"/>
          <w:szCs w:val="18"/>
          <w:lang w:val="es-MX"/>
        </w:rPr>
      </w:pPr>
      <w:r>
        <w:rPr>
          <w:sz w:val="18"/>
          <w:szCs w:val="18"/>
          <w:lang w:val="es-MX"/>
        </w:rPr>
        <w:t>Tabla 3</w:t>
      </w:r>
      <w:r w:rsidR="00A702E4" w:rsidRPr="004E77A4">
        <w:rPr>
          <w:sz w:val="18"/>
          <w:szCs w:val="18"/>
          <w:lang w:val="es-MX"/>
        </w:rPr>
        <w:t>. Variables asociadas a los avalúos.</w:t>
      </w:r>
    </w:p>
    <w:p w:rsidR="00AB310D" w:rsidRDefault="00AB310D" w:rsidP="00B31E93">
      <w:pPr>
        <w:rPr>
          <w:lang w:val="es-MX"/>
        </w:rPr>
      </w:pPr>
    </w:p>
    <w:p w:rsidR="00F94E73" w:rsidRDefault="00F94E73" w:rsidP="00B31E93">
      <w:pPr>
        <w:rPr>
          <w:lang w:val="es-MX"/>
        </w:rPr>
      </w:pPr>
    </w:p>
    <w:p w:rsidR="00F94E73" w:rsidRDefault="00F94E73" w:rsidP="00B31E93">
      <w:pPr>
        <w:rPr>
          <w:lang w:val="es-MX"/>
        </w:rPr>
      </w:pPr>
    </w:p>
    <w:p w:rsidR="00F94E73" w:rsidRDefault="00F94E73" w:rsidP="00F94E73">
      <w:pPr>
        <w:rPr>
          <w:lang w:val="es-MX"/>
        </w:rPr>
      </w:pPr>
    </w:p>
    <w:p w:rsidR="00F94E73" w:rsidRDefault="00F94E73" w:rsidP="00F94E73">
      <w:pPr>
        <w:jc w:val="center"/>
        <w:rPr>
          <w:lang w:val="es-MX"/>
        </w:rPr>
      </w:pPr>
      <w:r>
        <w:rPr>
          <w:noProof/>
          <w:lang w:val="en-US" w:eastAsia="en-US"/>
        </w:rPr>
        <w:drawing>
          <wp:inline distT="0" distB="0" distL="0" distR="0">
            <wp:extent cx="4584481" cy="3351298"/>
            <wp:effectExtent l="19050" t="0" r="6569"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584558" cy="3351354"/>
                    </a:xfrm>
                    <a:prstGeom prst="rect">
                      <a:avLst/>
                    </a:prstGeom>
                    <a:noFill/>
                    <a:ln w="9525">
                      <a:noFill/>
                      <a:miter lim="800000"/>
                      <a:headEnd/>
                      <a:tailEnd/>
                    </a:ln>
                  </pic:spPr>
                </pic:pic>
              </a:graphicData>
            </a:graphic>
          </wp:inline>
        </w:drawing>
      </w:r>
    </w:p>
    <w:p w:rsidR="00F94E73" w:rsidRDefault="00F94E73" w:rsidP="00F94E73">
      <w:pPr>
        <w:spacing w:line="240" w:lineRule="auto"/>
        <w:rPr>
          <w:sz w:val="18"/>
          <w:szCs w:val="18"/>
          <w:lang w:val="es-MX"/>
        </w:rPr>
      </w:pPr>
      <w:r w:rsidRPr="004E77A4">
        <w:rPr>
          <w:sz w:val="18"/>
          <w:szCs w:val="18"/>
          <w:lang w:val="es-MX"/>
        </w:rPr>
        <w:t>Gráfico 6. Correlación entre observaciones y predicciones</w:t>
      </w:r>
      <w:r>
        <w:rPr>
          <w:sz w:val="18"/>
          <w:szCs w:val="18"/>
          <w:lang w:val="es-MX"/>
        </w:rPr>
        <w:t xml:space="preserve"> para la variable valor comparativo de mercado</w:t>
      </w:r>
      <w:r w:rsidRPr="004E77A4">
        <w:rPr>
          <w:sz w:val="18"/>
          <w:szCs w:val="18"/>
          <w:lang w:val="es-MX"/>
        </w:rPr>
        <w:t>. Fuente: elaboración propia.</w:t>
      </w:r>
    </w:p>
    <w:p w:rsidR="00F94E73" w:rsidRPr="004E77A4" w:rsidRDefault="00F94E73" w:rsidP="00F94E73">
      <w:pPr>
        <w:spacing w:line="240" w:lineRule="auto"/>
        <w:jc w:val="center"/>
        <w:rPr>
          <w:lang w:val="es-MX"/>
        </w:rPr>
      </w:pPr>
    </w:p>
    <w:p w:rsidR="00F94E73" w:rsidRPr="00E6238E" w:rsidRDefault="00F94E73" w:rsidP="00F94E73">
      <w:pPr>
        <w:jc w:val="center"/>
        <w:rPr>
          <w:lang w:val="es-MX"/>
        </w:rPr>
      </w:pPr>
      <w:r>
        <w:rPr>
          <w:noProof/>
          <w:lang w:val="en-US" w:eastAsia="en-US"/>
        </w:rPr>
        <w:lastRenderedPageBreak/>
        <w:drawing>
          <wp:inline distT="0" distB="0" distL="0" distR="0">
            <wp:extent cx="4805198" cy="351264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805278" cy="3512703"/>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7. Correlación entre observaciones y predicciones</w:t>
      </w:r>
      <w:r>
        <w:rPr>
          <w:sz w:val="18"/>
          <w:szCs w:val="18"/>
          <w:lang w:val="es-MX"/>
        </w:rPr>
        <w:t xml:space="preserve"> para la variable valor fisico de contrucción</w:t>
      </w:r>
      <w:r w:rsidRPr="004E77A4">
        <w:rPr>
          <w:sz w:val="18"/>
          <w:szCs w:val="18"/>
          <w:lang w:val="es-MX"/>
        </w:rPr>
        <w:t>. Fuente: elaboración propia.</w:t>
      </w:r>
    </w:p>
    <w:p w:rsidR="00F94E73" w:rsidRDefault="00F94E73" w:rsidP="00F94E73">
      <w:pPr>
        <w:rPr>
          <w:lang w:val="es-MX"/>
        </w:rPr>
      </w:pPr>
    </w:p>
    <w:p w:rsidR="00F94E73" w:rsidRDefault="00F94E73" w:rsidP="00F94E73">
      <w:pPr>
        <w:rPr>
          <w:lang w:val="es-MX"/>
        </w:rPr>
      </w:pPr>
    </w:p>
    <w:p w:rsidR="00F94E73" w:rsidRDefault="00F94E73" w:rsidP="00F94E73">
      <w:pPr>
        <w:jc w:val="center"/>
        <w:rPr>
          <w:lang w:val="es-MX"/>
        </w:rPr>
      </w:pPr>
      <w:r>
        <w:rPr>
          <w:noProof/>
          <w:lang w:val="en-US" w:eastAsia="en-US"/>
        </w:rPr>
        <w:drawing>
          <wp:inline distT="0" distB="0" distL="0" distR="0">
            <wp:extent cx="3639585" cy="26574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639585" cy="2657475"/>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8. Promedio del valor competitivo de mercado</w:t>
      </w:r>
      <w:r>
        <w:rPr>
          <w:sz w:val="18"/>
          <w:szCs w:val="18"/>
          <w:lang w:val="es-MX"/>
        </w:rPr>
        <w:t xml:space="preserve"> por tipología de la vivienda</w:t>
      </w:r>
      <w:r w:rsidRPr="004E77A4">
        <w:rPr>
          <w:sz w:val="18"/>
          <w:szCs w:val="18"/>
          <w:lang w:val="es-MX"/>
        </w:rPr>
        <w:t>. Fuente: elaboración propia.</w:t>
      </w:r>
    </w:p>
    <w:p w:rsidR="00F94E73" w:rsidRDefault="00F94E73" w:rsidP="00F94E73">
      <w:pPr>
        <w:jc w:val="center"/>
        <w:rPr>
          <w:lang w:val="es-MX"/>
        </w:rPr>
      </w:pPr>
    </w:p>
    <w:p w:rsidR="00F94E73" w:rsidRDefault="00F94E73" w:rsidP="00F94E73">
      <w:pPr>
        <w:jc w:val="center"/>
        <w:rPr>
          <w:lang w:val="es-MX"/>
        </w:rPr>
      </w:pPr>
      <w:r>
        <w:rPr>
          <w:noProof/>
          <w:lang w:val="en-US" w:eastAsia="en-US"/>
        </w:rPr>
        <w:lastRenderedPageBreak/>
        <w:drawing>
          <wp:inline distT="0" distB="0" distL="0" distR="0">
            <wp:extent cx="3789840" cy="2809875"/>
            <wp:effectExtent l="19050" t="0" r="11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790854" cy="2810627"/>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9. Número de avalúos por tipología de</w:t>
      </w:r>
      <w:r>
        <w:rPr>
          <w:sz w:val="18"/>
          <w:szCs w:val="18"/>
          <w:lang w:val="es-MX"/>
        </w:rPr>
        <w:t xml:space="preserve"> la</w:t>
      </w:r>
      <w:r w:rsidRPr="004E77A4">
        <w:rPr>
          <w:sz w:val="18"/>
          <w:szCs w:val="18"/>
          <w:lang w:val="es-MX"/>
        </w:rPr>
        <w:t xml:space="preserve"> vivienda. Fuente: elaboración propia.</w:t>
      </w:r>
    </w:p>
    <w:p w:rsidR="00F94E73" w:rsidRDefault="00F94E73" w:rsidP="00F94E73">
      <w:pPr>
        <w:jc w:val="center"/>
        <w:rPr>
          <w:lang w:val="es-MX"/>
        </w:rPr>
      </w:pPr>
    </w:p>
    <w:p w:rsidR="00F94E73" w:rsidRDefault="00F94E73" w:rsidP="00F94E73">
      <w:pPr>
        <w:jc w:val="center"/>
        <w:rPr>
          <w:lang w:val="es-MX"/>
        </w:rPr>
      </w:pPr>
      <w:r>
        <w:rPr>
          <w:noProof/>
          <w:lang w:val="en-US" w:eastAsia="en-US"/>
        </w:rPr>
        <w:drawing>
          <wp:inline distT="0" distB="0" distL="0" distR="0">
            <wp:extent cx="4286250" cy="3120027"/>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4286250" cy="3120027"/>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10. Promedio del valor competitivo de mercado</w:t>
      </w:r>
      <w:r>
        <w:rPr>
          <w:sz w:val="18"/>
          <w:szCs w:val="18"/>
          <w:lang w:val="es-MX"/>
        </w:rPr>
        <w:t xml:space="preserve"> por proximidad urbana</w:t>
      </w:r>
      <w:r w:rsidRPr="004E77A4">
        <w:rPr>
          <w:sz w:val="18"/>
          <w:szCs w:val="18"/>
          <w:lang w:val="es-MX"/>
        </w:rPr>
        <w:t>. Fuente: elaboración propia.</w:t>
      </w:r>
    </w:p>
    <w:p w:rsidR="00F94E73" w:rsidRDefault="00F94E73" w:rsidP="00F94E73">
      <w:pPr>
        <w:jc w:val="center"/>
        <w:rPr>
          <w:lang w:val="es-MX"/>
        </w:rPr>
      </w:pPr>
    </w:p>
    <w:p w:rsidR="00F94E73" w:rsidRDefault="00F94E73" w:rsidP="00F94E73">
      <w:pPr>
        <w:jc w:val="center"/>
        <w:rPr>
          <w:lang w:val="es-MX"/>
        </w:rPr>
      </w:pPr>
      <w:r>
        <w:rPr>
          <w:noProof/>
          <w:lang w:val="en-US" w:eastAsia="en-US"/>
        </w:rPr>
        <w:lastRenderedPageBreak/>
        <w:drawing>
          <wp:inline distT="0" distB="0" distL="0" distR="0">
            <wp:extent cx="4260323" cy="3086100"/>
            <wp:effectExtent l="19050" t="0" r="6877"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4260323" cy="3086100"/>
                    </a:xfrm>
                    <a:prstGeom prst="rect">
                      <a:avLst/>
                    </a:prstGeom>
                    <a:noFill/>
                    <a:ln w="9525">
                      <a:noFill/>
                      <a:miter lim="800000"/>
                      <a:headEnd/>
                      <a:tailEnd/>
                    </a:ln>
                  </pic:spPr>
                </pic:pic>
              </a:graphicData>
            </a:graphic>
          </wp:inline>
        </w:drawing>
      </w:r>
    </w:p>
    <w:p w:rsidR="00F94E73" w:rsidRDefault="00F94E73" w:rsidP="00F94E73">
      <w:pPr>
        <w:spacing w:line="240" w:lineRule="auto"/>
        <w:rPr>
          <w:sz w:val="18"/>
          <w:szCs w:val="18"/>
          <w:lang w:val="es-MX"/>
        </w:rPr>
      </w:pPr>
      <w:r w:rsidRPr="004E77A4">
        <w:rPr>
          <w:sz w:val="18"/>
          <w:szCs w:val="18"/>
          <w:lang w:val="es-MX"/>
        </w:rPr>
        <w:t>Gráfic</w:t>
      </w:r>
      <w:r>
        <w:rPr>
          <w:sz w:val="18"/>
          <w:szCs w:val="18"/>
          <w:lang w:val="es-MX"/>
        </w:rPr>
        <w:t>o 11. Número de avalúos por proximidad urbana</w:t>
      </w:r>
      <w:r w:rsidRPr="004E77A4">
        <w:rPr>
          <w:sz w:val="18"/>
          <w:szCs w:val="18"/>
          <w:lang w:val="es-MX"/>
        </w:rPr>
        <w:t>. Fuente: elaboración propia.</w:t>
      </w:r>
    </w:p>
    <w:p w:rsidR="00F94E73" w:rsidRPr="00F94E73" w:rsidRDefault="00F94E73" w:rsidP="00F94E73">
      <w:pPr>
        <w:spacing w:line="240" w:lineRule="auto"/>
        <w:jc w:val="center"/>
        <w:rPr>
          <w:sz w:val="18"/>
          <w:szCs w:val="18"/>
          <w:lang w:val="es-MX"/>
        </w:rPr>
      </w:pPr>
      <w:r>
        <w:rPr>
          <w:noProof/>
          <w:sz w:val="18"/>
          <w:szCs w:val="18"/>
          <w:lang w:val="en-US" w:eastAsia="en-US"/>
        </w:rPr>
        <w:drawing>
          <wp:inline distT="0" distB="0" distL="0" distR="0">
            <wp:extent cx="4063086" cy="2943225"/>
            <wp:effectExtent l="19050" t="0" r="0" b="0"/>
            <wp:docPr id="2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4063086" cy="2943225"/>
                    </a:xfrm>
                    <a:prstGeom prst="rect">
                      <a:avLst/>
                    </a:prstGeom>
                    <a:noFill/>
                    <a:ln w="9525">
                      <a:noFill/>
                      <a:miter lim="800000"/>
                      <a:headEnd/>
                      <a:tailEnd/>
                    </a:ln>
                  </pic:spPr>
                </pic:pic>
              </a:graphicData>
            </a:graphic>
          </wp:inline>
        </w:drawing>
      </w:r>
    </w:p>
    <w:p w:rsidR="00F94E73" w:rsidRDefault="00F94E73" w:rsidP="00F94E73">
      <w:pPr>
        <w:spacing w:line="240" w:lineRule="auto"/>
        <w:rPr>
          <w:sz w:val="18"/>
          <w:szCs w:val="18"/>
          <w:lang w:val="es-MX"/>
        </w:rPr>
      </w:pPr>
      <w:r w:rsidRPr="004E77A4">
        <w:rPr>
          <w:sz w:val="18"/>
          <w:szCs w:val="18"/>
          <w:lang w:val="es-MX"/>
        </w:rPr>
        <w:t>Gráfico 12. Promedio del valor competitivo de mercado</w:t>
      </w:r>
      <w:r>
        <w:rPr>
          <w:sz w:val="18"/>
          <w:szCs w:val="18"/>
          <w:lang w:val="es-MX"/>
        </w:rPr>
        <w:t xml:space="preserve"> por número de servicios</w:t>
      </w:r>
      <w:r w:rsidRPr="004E77A4">
        <w:rPr>
          <w:sz w:val="18"/>
          <w:szCs w:val="18"/>
          <w:lang w:val="es-MX"/>
        </w:rPr>
        <w:t>. Fuente: elaboración propia.</w:t>
      </w:r>
      <w:r>
        <w:rPr>
          <w:rStyle w:val="FootnoteReference"/>
          <w:sz w:val="18"/>
          <w:szCs w:val="18"/>
          <w:lang w:val="es-MX"/>
        </w:rPr>
        <w:footnoteReference w:id="44"/>
      </w:r>
    </w:p>
    <w:p w:rsidR="00F94E73" w:rsidRPr="004E77A4" w:rsidRDefault="00F94E73" w:rsidP="00F94E73">
      <w:pPr>
        <w:spacing w:line="240" w:lineRule="auto"/>
        <w:rPr>
          <w:sz w:val="18"/>
          <w:szCs w:val="18"/>
          <w:lang w:val="es-MX"/>
        </w:rPr>
      </w:pPr>
    </w:p>
    <w:p w:rsidR="00F94E73" w:rsidRDefault="00F94E73" w:rsidP="00F94E73">
      <w:pPr>
        <w:jc w:val="center"/>
        <w:rPr>
          <w:lang w:val="es-MX"/>
        </w:rPr>
      </w:pPr>
      <w:r>
        <w:rPr>
          <w:noProof/>
          <w:lang w:val="en-US" w:eastAsia="en-US"/>
        </w:rPr>
        <w:lastRenderedPageBreak/>
        <w:drawing>
          <wp:inline distT="0" distB="0" distL="0" distR="0">
            <wp:extent cx="4225467" cy="3048000"/>
            <wp:effectExtent l="19050" t="0" r="3633" b="0"/>
            <wp:docPr id="3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4225467" cy="3048000"/>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13. Número de avalúos por servicios públicos</w:t>
      </w:r>
      <w:r>
        <w:rPr>
          <w:sz w:val="18"/>
          <w:szCs w:val="18"/>
          <w:lang w:val="es-MX"/>
        </w:rPr>
        <w:t xml:space="preserve"> por número de servicios</w:t>
      </w:r>
      <w:r w:rsidRPr="004E77A4">
        <w:rPr>
          <w:sz w:val="18"/>
          <w:szCs w:val="18"/>
          <w:lang w:val="es-MX"/>
        </w:rPr>
        <w:t>. Fuente: elaboración propia.</w:t>
      </w:r>
      <w:r>
        <w:rPr>
          <w:rStyle w:val="FootnoteReference"/>
          <w:sz w:val="18"/>
          <w:szCs w:val="18"/>
          <w:lang w:val="es-MX"/>
        </w:rPr>
        <w:footnoteReference w:id="45"/>
      </w:r>
    </w:p>
    <w:p w:rsidR="00F94E73" w:rsidRDefault="00F94E73" w:rsidP="00F94E73">
      <w:pPr>
        <w:jc w:val="center"/>
        <w:rPr>
          <w:lang w:val="es-MX"/>
        </w:rPr>
      </w:pPr>
    </w:p>
    <w:p w:rsidR="00F94E73" w:rsidRDefault="00F94E73" w:rsidP="00F94E73">
      <w:pPr>
        <w:jc w:val="center"/>
        <w:rPr>
          <w:lang w:val="es-MX"/>
        </w:rPr>
      </w:pPr>
      <w:r>
        <w:rPr>
          <w:noProof/>
          <w:lang w:val="en-US" w:eastAsia="en-US"/>
        </w:rPr>
        <w:drawing>
          <wp:inline distT="0" distB="0" distL="0" distR="0">
            <wp:extent cx="4477932" cy="3245908"/>
            <wp:effectExtent l="19050" t="0" r="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477932" cy="3245908"/>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14. Promedio del valor competitivo de mercado</w:t>
      </w:r>
      <w:r>
        <w:rPr>
          <w:sz w:val="18"/>
          <w:szCs w:val="18"/>
          <w:lang w:val="es-MX"/>
        </w:rPr>
        <w:t xml:space="preserve"> por clase de vivienda</w:t>
      </w:r>
      <w:r w:rsidRPr="004E77A4">
        <w:rPr>
          <w:sz w:val="18"/>
          <w:szCs w:val="18"/>
          <w:lang w:val="es-MX"/>
        </w:rPr>
        <w:t>. Fuente: elaboración propia.</w:t>
      </w:r>
    </w:p>
    <w:p w:rsidR="00F94E73" w:rsidRDefault="00F94E73" w:rsidP="00F94E73">
      <w:pPr>
        <w:jc w:val="center"/>
        <w:rPr>
          <w:lang w:val="es-MX"/>
        </w:rPr>
      </w:pPr>
    </w:p>
    <w:p w:rsidR="00F94E73" w:rsidRDefault="00F94E73" w:rsidP="00F94E73">
      <w:pPr>
        <w:jc w:val="center"/>
        <w:rPr>
          <w:lang w:val="es-MX"/>
        </w:rPr>
      </w:pPr>
      <w:r>
        <w:rPr>
          <w:noProof/>
          <w:lang w:val="en-US" w:eastAsia="en-US"/>
        </w:rPr>
        <w:lastRenderedPageBreak/>
        <w:drawing>
          <wp:inline distT="0" distB="0" distL="0" distR="0">
            <wp:extent cx="4565788" cy="3333750"/>
            <wp:effectExtent l="19050" t="0" r="6212" b="0"/>
            <wp:docPr id="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4565788" cy="3333750"/>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 xml:space="preserve">Gráfico 15. Número </w:t>
      </w:r>
      <w:r>
        <w:rPr>
          <w:sz w:val="18"/>
          <w:szCs w:val="18"/>
          <w:lang w:val="es-MX"/>
        </w:rPr>
        <w:t>de avalúos por clase de vivienda</w:t>
      </w:r>
      <w:r w:rsidRPr="004E77A4">
        <w:rPr>
          <w:sz w:val="18"/>
          <w:szCs w:val="18"/>
          <w:lang w:val="es-MX"/>
        </w:rPr>
        <w:t>. Fuente: elaboración propia.</w:t>
      </w:r>
    </w:p>
    <w:p w:rsidR="00F94E73" w:rsidRDefault="00F94E73" w:rsidP="00F94E73">
      <w:pPr>
        <w:jc w:val="center"/>
        <w:rPr>
          <w:lang w:val="es-MX"/>
        </w:rPr>
      </w:pPr>
    </w:p>
    <w:p w:rsidR="00F94E73" w:rsidRDefault="00F94E73" w:rsidP="00F94E73">
      <w:pPr>
        <w:jc w:val="center"/>
        <w:rPr>
          <w:lang w:val="es-MX"/>
        </w:rPr>
      </w:pPr>
      <w:r>
        <w:rPr>
          <w:noProof/>
          <w:lang w:val="en-US" w:eastAsia="en-US"/>
        </w:rPr>
        <w:drawing>
          <wp:inline distT="0" distB="0" distL="0" distR="0">
            <wp:extent cx="4603829" cy="3286125"/>
            <wp:effectExtent l="19050" t="0" r="6271" b="0"/>
            <wp:docPr id="2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4603829" cy="3286125"/>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16. Promedio del valor competitivo de mercado</w:t>
      </w:r>
      <w:r>
        <w:rPr>
          <w:sz w:val="18"/>
          <w:szCs w:val="18"/>
          <w:lang w:val="es-MX"/>
        </w:rPr>
        <w:t xml:space="preserve"> por proposito de vivienda</w:t>
      </w:r>
      <w:r w:rsidRPr="004E77A4">
        <w:rPr>
          <w:sz w:val="18"/>
          <w:szCs w:val="18"/>
          <w:lang w:val="es-MX"/>
        </w:rPr>
        <w:t>. Fuente: elaboración propia.</w:t>
      </w:r>
      <w:r>
        <w:rPr>
          <w:rStyle w:val="FootnoteReference"/>
          <w:sz w:val="18"/>
          <w:szCs w:val="18"/>
          <w:lang w:val="es-MX"/>
        </w:rPr>
        <w:footnoteReference w:id="46"/>
      </w:r>
    </w:p>
    <w:p w:rsidR="00F94E73" w:rsidRDefault="00F94E73" w:rsidP="00F94E73">
      <w:pPr>
        <w:jc w:val="center"/>
        <w:rPr>
          <w:lang w:val="es-MX"/>
        </w:rPr>
      </w:pPr>
    </w:p>
    <w:p w:rsidR="00F94E73" w:rsidRDefault="00F94E73" w:rsidP="00F94E73">
      <w:pPr>
        <w:jc w:val="center"/>
        <w:rPr>
          <w:lang w:val="es-MX"/>
        </w:rPr>
      </w:pPr>
      <w:r>
        <w:rPr>
          <w:noProof/>
          <w:lang w:val="en-US" w:eastAsia="en-US"/>
        </w:rPr>
        <w:lastRenderedPageBreak/>
        <w:drawing>
          <wp:inline distT="0" distB="0" distL="0" distR="0">
            <wp:extent cx="4700832" cy="3390900"/>
            <wp:effectExtent l="19050" t="0" r="4518" b="0"/>
            <wp:docPr id="2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4700832" cy="3390900"/>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17. Número de avalúos por propósito</w:t>
      </w:r>
      <w:r>
        <w:rPr>
          <w:sz w:val="18"/>
          <w:szCs w:val="18"/>
          <w:lang w:val="es-MX"/>
        </w:rPr>
        <w:t xml:space="preserve"> de vivienda</w:t>
      </w:r>
      <w:r w:rsidRPr="004E77A4">
        <w:rPr>
          <w:sz w:val="18"/>
          <w:szCs w:val="18"/>
          <w:lang w:val="es-MX"/>
        </w:rPr>
        <w:t>. Fuente: elaboración propia.</w:t>
      </w:r>
      <w:r>
        <w:rPr>
          <w:rStyle w:val="FootnoteReference"/>
          <w:sz w:val="18"/>
          <w:szCs w:val="18"/>
          <w:lang w:val="es-MX"/>
        </w:rPr>
        <w:footnoteReference w:id="47"/>
      </w:r>
    </w:p>
    <w:p w:rsidR="00F94E73" w:rsidRDefault="00F94E73" w:rsidP="00F94E73">
      <w:pPr>
        <w:rPr>
          <w:noProof/>
          <w:lang w:val="es-MX" w:eastAsia="es-MX"/>
        </w:rPr>
      </w:pPr>
    </w:p>
    <w:p w:rsidR="00F94E73" w:rsidRDefault="00F94E73" w:rsidP="00F94E73">
      <w:pPr>
        <w:jc w:val="center"/>
        <w:rPr>
          <w:lang w:val="es-MX"/>
        </w:rPr>
      </w:pPr>
      <w:r w:rsidRPr="000D0CBD">
        <w:rPr>
          <w:noProof/>
          <w:lang w:val="en-US" w:eastAsia="en-US"/>
        </w:rPr>
        <w:drawing>
          <wp:inline distT="0" distB="0" distL="0" distR="0">
            <wp:extent cx="4676775" cy="3329930"/>
            <wp:effectExtent l="19050" t="0" r="9525" b="0"/>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4676775" cy="3329930"/>
                    </a:xfrm>
                    <a:prstGeom prst="rect">
                      <a:avLst/>
                    </a:prstGeom>
                    <a:noFill/>
                    <a:ln w="9525">
                      <a:noFill/>
                      <a:miter lim="800000"/>
                      <a:headEnd/>
                      <a:tailEnd/>
                    </a:ln>
                  </pic:spPr>
                </pic:pic>
              </a:graphicData>
            </a:graphic>
          </wp:inline>
        </w:drawing>
      </w:r>
    </w:p>
    <w:p w:rsidR="00F94E73" w:rsidRPr="004E77A4" w:rsidRDefault="00F94E73" w:rsidP="00F94E73">
      <w:pPr>
        <w:spacing w:line="240" w:lineRule="auto"/>
        <w:rPr>
          <w:sz w:val="18"/>
          <w:szCs w:val="18"/>
          <w:lang w:val="es-MX"/>
        </w:rPr>
      </w:pPr>
      <w:r w:rsidRPr="004E77A4">
        <w:rPr>
          <w:sz w:val="18"/>
          <w:szCs w:val="18"/>
          <w:lang w:val="es-MX"/>
        </w:rPr>
        <w:t>Gráfico 18. Promedio del valor competitivo de mercado por Estado. Fuente: elaboración propia.</w:t>
      </w:r>
    </w:p>
    <w:p w:rsidR="00F94E73" w:rsidRDefault="00F94E73" w:rsidP="00F94E73">
      <w:pPr>
        <w:pStyle w:val="Heading2"/>
        <w:rPr>
          <w:rFonts w:asciiTheme="minorHAnsi" w:eastAsiaTheme="minorHAnsi" w:hAnsiTheme="minorHAnsi" w:cstheme="minorBidi"/>
          <w:b w:val="0"/>
          <w:bCs w:val="0"/>
          <w:color w:val="auto"/>
          <w:sz w:val="22"/>
          <w:szCs w:val="22"/>
          <w:lang w:val="es-MX"/>
        </w:rPr>
      </w:pPr>
    </w:p>
    <w:p w:rsidR="00C03AFD" w:rsidRPr="00C03AFD" w:rsidRDefault="00C03AFD" w:rsidP="00C03AFD">
      <w:pPr>
        <w:rPr>
          <w:lang w:val="es-MX"/>
        </w:rPr>
      </w:pPr>
    </w:p>
    <w:p w:rsidR="00A22D23" w:rsidRDefault="00A22D23" w:rsidP="00A22D23">
      <w:pPr>
        <w:pStyle w:val="Heading2"/>
        <w:rPr>
          <w:lang w:val="es-MX"/>
        </w:rPr>
      </w:pPr>
      <w:bookmarkStart w:id="11" w:name="_Toc340428167"/>
      <w:r>
        <w:rPr>
          <w:lang w:val="es-MX"/>
        </w:rPr>
        <w:lastRenderedPageBreak/>
        <w:t>7.2 Anexo II. Regresiones</w:t>
      </w:r>
      <w:bookmarkEnd w:id="11"/>
    </w:p>
    <w:p w:rsidR="00860EAF" w:rsidRDefault="00860EAF" w:rsidP="00611D30">
      <w:pPr>
        <w:rPr>
          <w:lang w:val="es-MX"/>
        </w:rPr>
      </w:pPr>
    </w:p>
    <w:tbl>
      <w:tblPr>
        <w:tblW w:w="10181" w:type="dxa"/>
        <w:tblInd w:w="-781" w:type="dxa"/>
        <w:tblCellMar>
          <w:left w:w="70" w:type="dxa"/>
          <w:right w:w="70" w:type="dxa"/>
        </w:tblCellMar>
        <w:tblLook w:val="04A0" w:firstRow="1" w:lastRow="0" w:firstColumn="1" w:lastColumn="0" w:noHBand="0" w:noVBand="1"/>
      </w:tblPr>
      <w:tblGrid>
        <w:gridCol w:w="4112"/>
        <w:gridCol w:w="1275"/>
        <w:gridCol w:w="1177"/>
        <w:gridCol w:w="1180"/>
        <w:gridCol w:w="1329"/>
        <w:gridCol w:w="1108"/>
      </w:tblGrid>
      <w:tr w:rsidR="00A22D23" w:rsidRPr="001F14CA" w:rsidTr="007C2C46">
        <w:trPr>
          <w:trHeight w:val="405"/>
        </w:trPr>
        <w:tc>
          <w:tcPr>
            <w:tcW w:w="4112" w:type="dxa"/>
            <w:tcBorders>
              <w:top w:val="nil"/>
              <w:left w:val="nil"/>
              <w:bottom w:val="nil"/>
              <w:right w:val="nil"/>
            </w:tcBorders>
            <w:shd w:val="clear" w:color="000000" w:fill="FFFFFF"/>
            <w:noWrap/>
            <w:vAlign w:val="center"/>
            <w:hideMark/>
          </w:tcPr>
          <w:p w:rsidR="00A22D23" w:rsidRPr="001F14CA" w:rsidRDefault="00A22D23" w:rsidP="007C2C46">
            <w:pPr>
              <w:spacing w:after="0" w:line="240" w:lineRule="auto"/>
              <w:rPr>
                <w:rFonts w:ascii="Arial" w:eastAsia="Times New Roman" w:hAnsi="Arial" w:cs="Arial"/>
                <w:b/>
                <w:bCs/>
                <w:sz w:val="20"/>
                <w:szCs w:val="20"/>
              </w:rPr>
            </w:pPr>
            <w:r>
              <w:rPr>
                <w:rFonts w:ascii="Arial" w:eastAsia="Times New Roman" w:hAnsi="Arial" w:cs="Arial"/>
                <w:b/>
                <w:bCs/>
                <w:sz w:val="20"/>
                <w:szCs w:val="20"/>
              </w:rPr>
              <w:t>Valor comparativo de mercado</w:t>
            </w:r>
            <w:r w:rsidR="00F24CF6">
              <w:rPr>
                <w:rFonts w:ascii="Arial" w:eastAsia="Times New Roman" w:hAnsi="Arial" w:cs="Arial"/>
                <w:b/>
                <w:bCs/>
                <w:sz w:val="20"/>
                <w:szCs w:val="20"/>
              </w:rPr>
              <w:t xml:space="preserve"> (log)</w:t>
            </w:r>
          </w:p>
        </w:tc>
        <w:tc>
          <w:tcPr>
            <w:tcW w:w="1275"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77"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r>
      <w:tr w:rsidR="00A22D23" w:rsidRPr="001F14CA" w:rsidTr="007C2C46">
        <w:trPr>
          <w:trHeight w:val="255"/>
        </w:trPr>
        <w:tc>
          <w:tcPr>
            <w:tcW w:w="4112"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Pr>
                <w:rFonts w:ascii="Arial" w:eastAsia="Times New Roman" w:hAnsi="Arial" w:cs="Arial"/>
                <w:sz w:val="20"/>
                <w:szCs w:val="20"/>
              </w:rPr>
              <w:t>Variables</w:t>
            </w:r>
          </w:p>
        </w:tc>
        <w:tc>
          <w:tcPr>
            <w:tcW w:w="1275"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(1)</w:t>
            </w:r>
          </w:p>
        </w:tc>
        <w:tc>
          <w:tcPr>
            <w:tcW w:w="1177"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(2)</w:t>
            </w:r>
          </w:p>
        </w:tc>
        <w:tc>
          <w:tcPr>
            <w:tcW w:w="1180"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(3)</w:t>
            </w:r>
          </w:p>
        </w:tc>
        <w:tc>
          <w:tcPr>
            <w:tcW w:w="1329"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(4)</w:t>
            </w:r>
          </w:p>
        </w:tc>
        <w:tc>
          <w:tcPr>
            <w:tcW w:w="1108"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w:t>
            </w:r>
          </w:p>
        </w:tc>
      </w:tr>
      <w:tr w:rsidR="00A22D23" w:rsidRPr="001F14CA" w:rsidTr="007C2C46">
        <w:trPr>
          <w:trHeight w:val="255"/>
        </w:trPr>
        <w:tc>
          <w:tcPr>
            <w:tcW w:w="4112"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77"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r>
      <w:tr w:rsidR="0052514A" w:rsidRPr="001F14CA" w:rsidTr="0052514A">
        <w:trPr>
          <w:trHeight w:val="300"/>
        </w:trPr>
        <w:tc>
          <w:tcPr>
            <w:tcW w:w="4112" w:type="dxa"/>
            <w:tcBorders>
              <w:top w:val="nil"/>
              <w:left w:val="nil"/>
              <w:bottom w:val="nil"/>
              <w:right w:val="nil"/>
            </w:tcBorders>
            <w:shd w:val="clear" w:color="000000" w:fill="FFFFFF"/>
            <w:vAlign w:val="bottom"/>
            <w:hideMark/>
          </w:tcPr>
          <w:p w:rsidR="0052514A" w:rsidRPr="00CA353F" w:rsidRDefault="0052514A" w:rsidP="007C2C46">
            <w:pPr>
              <w:spacing w:after="0" w:line="240" w:lineRule="auto"/>
              <w:rPr>
                <w:rFonts w:ascii="Calibri" w:eastAsia="Times New Roman" w:hAnsi="Calibri" w:cs="Calibri"/>
              </w:rPr>
            </w:pPr>
            <w:r>
              <w:rPr>
                <w:rFonts w:ascii="Calibri" w:eastAsia="Times New Roman" w:hAnsi="Calibri" w:cs="Calibri"/>
              </w:rPr>
              <w:t>Homicidios acumulados por 24 meses (log)</w:t>
            </w:r>
            <w:r w:rsidRPr="00CA353F">
              <w:rPr>
                <w:rFonts w:ascii="Calibri" w:eastAsia="Times New Roman" w:hAnsi="Calibri" w:cs="Calibri"/>
              </w:rPr>
              <w:t xml:space="preserve">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-0.00480***</w:t>
            </w:r>
          </w:p>
        </w:tc>
        <w:tc>
          <w:tcPr>
            <w:tcW w:w="1177"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-0.00539***</w:t>
            </w:r>
          </w:p>
        </w:tc>
        <w:tc>
          <w:tcPr>
            <w:tcW w:w="1180"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-0.00577***</w:t>
            </w:r>
          </w:p>
        </w:tc>
        <w:tc>
          <w:tcPr>
            <w:tcW w:w="1329"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-0.00802***</w:t>
            </w:r>
          </w:p>
        </w:tc>
        <w:tc>
          <w:tcPr>
            <w:tcW w:w="1108"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-0.0178***</w:t>
            </w:r>
          </w:p>
        </w:tc>
      </w:tr>
      <w:tr w:rsidR="0052514A" w:rsidRPr="001F14CA" w:rsidTr="0052514A">
        <w:trPr>
          <w:trHeight w:val="300"/>
        </w:trPr>
        <w:tc>
          <w:tcPr>
            <w:tcW w:w="4112" w:type="dxa"/>
            <w:tcBorders>
              <w:top w:val="nil"/>
              <w:left w:val="nil"/>
              <w:bottom w:val="nil"/>
              <w:right w:val="nil"/>
            </w:tcBorders>
            <w:shd w:val="clear" w:color="000000" w:fill="FFFFFF"/>
            <w:vAlign w:val="bottom"/>
            <w:hideMark/>
          </w:tcPr>
          <w:p w:rsidR="0052514A" w:rsidRPr="00CA353F" w:rsidRDefault="0052514A" w:rsidP="007C2C46">
            <w:pPr>
              <w:spacing w:after="0" w:line="240" w:lineRule="auto"/>
              <w:rPr>
                <w:rFonts w:ascii="Calibri" w:eastAsia="Times New Roman" w:hAnsi="Calibri" w:cs="Calibri"/>
              </w:rPr>
            </w:pPr>
            <w:r w:rsidRPr="00CA353F">
              <w:rPr>
                <w:rFonts w:ascii="Calibri" w:eastAsia="Times New Roman" w:hAnsi="Calibri" w:cs="Calibri"/>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(0.00103)</w:t>
            </w:r>
          </w:p>
        </w:tc>
        <w:tc>
          <w:tcPr>
            <w:tcW w:w="1177"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(0.00103)</w:t>
            </w:r>
          </w:p>
        </w:tc>
        <w:tc>
          <w:tcPr>
            <w:tcW w:w="1180"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(0.00103)</w:t>
            </w:r>
          </w:p>
        </w:tc>
        <w:tc>
          <w:tcPr>
            <w:tcW w:w="1329"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(0.00103)</w:t>
            </w:r>
          </w:p>
        </w:tc>
        <w:tc>
          <w:tcPr>
            <w:tcW w:w="1108" w:type="dxa"/>
            <w:tcBorders>
              <w:top w:val="nil"/>
              <w:left w:val="nil"/>
              <w:bottom w:val="nil"/>
              <w:right w:val="nil"/>
            </w:tcBorders>
            <w:shd w:val="clear" w:color="000000" w:fill="FFFFFF"/>
            <w:noWrap/>
            <w:vAlign w:val="bottom"/>
            <w:hideMark/>
          </w:tcPr>
          <w:p w:rsidR="0052514A" w:rsidRPr="00CA353F" w:rsidRDefault="0052514A" w:rsidP="007C2C46">
            <w:pPr>
              <w:spacing w:after="0" w:line="240" w:lineRule="auto"/>
              <w:jc w:val="center"/>
              <w:rPr>
                <w:rFonts w:ascii="Arial" w:eastAsia="Times New Roman" w:hAnsi="Arial" w:cs="Arial"/>
                <w:sz w:val="20"/>
                <w:szCs w:val="20"/>
              </w:rPr>
            </w:pPr>
            <w:r w:rsidRPr="00CA353F">
              <w:rPr>
                <w:rFonts w:ascii="Arial" w:eastAsia="Times New Roman" w:hAnsi="Arial" w:cs="Arial"/>
                <w:sz w:val="20"/>
                <w:szCs w:val="20"/>
              </w:rPr>
              <w:t>(0.00385)</w:t>
            </w:r>
          </w:p>
        </w:tc>
      </w:tr>
      <w:tr w:rsidR="0052514A" w:rsidRPr="001F14CA" w:rsidTr="0052514A">
        <w:trPr>
          <w:trHeight w:val="600"/>
        </w:trPr>
        <w:tc>
          <w:tcPr>
            <w:tcW w:w="4112" w:type="dxa"/>
            <w:tcBorders>
              <w:top w:val="nil"/>
              <w:left w:val="nil"/>
              <w:bottom w:val="nil"/>
              <w:right w:val="nil"/>
            </w:tcBorders>
            <w:shd w:val="clear" w:color="000000" w:fill="FFFFFF"/>
            <w:vAlign w:val="bottom"/>
            <w:hideMark/>
          </w:tcPr>
          <w:p w:rsidR="0052514A" w:rsidRPr="001F14CA" w:rsidRDefault="0052514A" w:rsidP="007C2C46">
            <w:pPr>
              <w:spacing w:after="0" w:line="240" w:lineRule="auto"/>
              <w:rPr>
                <w:rFonts w:ascii="Calibri" w:eastAsia="Times New Roman" w:hAnsi="Calibri" w:cs="Calibri"/>
              </w:rPr>
            </w:pPr>
            <w:r>
              <w:rPr>
                <w:rFonts w:ascii="Calibri" w:eastAsia="Times New Roman" w:hAnsi="Calibri" w:cs="Calibri"/>
              </w:rPr>
              <w:t>Interacción: departamento</w:t>
            </w:r>
            <w:r w:rsidRPr="001F14CA">
              <w:rPr>
                <w:rFonts w:ascii="Calibri" w:eastAsia="Times New Roman" w:hAnsi="Calibri" w:cs="Calibri"/>
              </w:rPr>
              <w:t xml:space="preserve"> * </w:t>
            </w:r>
            <w:r>
              <w:rPr>
                <w:rFonts w:ascii="Calibri" w:eastAsia="Times New Roman" w:hAnsi="Calibri" w:cs="Calibri"/>
              </w:rPr>
              <w:t>homicidios acumulados por 24 meses (log)</w:t>
            </w:r>
            <w:r w:rsidRPr="00CA353F">
              <w:rPr>
                <w:rFonts w:ascii="Calibri" w:eastAsia="Times New Roman" w:hAnsi="Calibri" w:cs="Calibri"/>
              </w:rPr>
              <w:t xml:space="preserve">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0.0165***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0.0165***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0.0182***</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0.0182***</w:t>
            </w:r>
          </w:p>
        </w:tc>
      </w:tr>
      <w:tr w:rsidR="0052514A" w:rsidRPr="001F14CA" w:rsidTr="0052514A">
        <w:trPr>
          <w:trHeight w:val="300"/>
        </w:trPr>
        <w:tc>
          <w:tcPr>
            <w:tcW w:w="4112" w:type="dxa"/>
            <w:tcBorders>
              <w:top w:val="nil"/>
              <w:left w:val="nil"/>
              <w:bottom w:val="nil"/>
              <w:right w:val="nil"/>
            </w:tcBorders>
            <w:shd w:val="clear" w:color="000000" w:fill="FFFFFF"/>
            <w:vAlign w:val="bottom"/>
            <w:hideMark/>
          </w:tcPr>
          <w:p w:rsidR="0052514A" w:rsidRPr="001F14CA" w:rsidRDefault="0052514A" w:rsidP="007C2C46">
            <w:pPr>
              <w:spacing w:after="0" w:line="240" w:lineRule="auto"/>
              <w:rPr>
                <w:rFonts w:ascii="Calibri" w:eastAsia="Times New Roman" w:hAnsi="Calibri" w:cs="Calibri"/>
              </w:rPr>
            </w:pPr>
            <w:r w:rsidRPr="001F14CA">
              <w:rPr>
                <w:rFonts w:ascii="Calibri" w:eastAsia="Times New Roman" w:hAnsi="Calibri" w:cs="Calibri"/>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(0.000952)</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(0.000951)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(0.000950)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(0.000950)</w:t>
            </w:r>
          </w:p>
        </w:tc>
      </w:tr>
      <w:tr w:rsidR="0052514A" w:rsidRPr="001F14CA" w:rsidTr="0052514A">
        <w:trPr>
          <w:trHeight w:val="600"/>
        </w:trPr>
        <w:tc>
          <w:tcPr>
            <w:tcW w:w="4112" w:type="dxa"/>
            <w:tcBorders>
              <w:top w:val="nil"/>
              <w:left w:val="nil"/>
              <w:bottom w:val="nil"/>
              <w:right w:val="nil"/>
            </w:tcBorders>
            <w:shd w:val="clear" w:color="000000" w:fill="FFFFFF"/>
            <w:vAlign w:val="bottom"/>
            <w:hideMark/>
          </w:tcPr>
          <w:p w:rsidR="0052514A" w:rsidRPr="001F14CA" w:rsidRDefault="0052514A" w:rsidP="007C2C46">
            <w:pPr>
              <w:spacing w:after="0" w:line="240" w:lineRule="auto"/>
              <w:rPr>
                <w:rFonts w:ascii="Calibri" w:eastAsia="Times New Roman" w:hAnsi="Calibri" w:cs="Calibri"/>
              </w:rPr>
            </w:pPr>
            <w:r>
              <w:rPr>
                <w:rFonts w:ascii="Calibri" w:eastAsia="Times New Roman" w:hAnsi="Calibri" w:cs="Calibri"/>
              </w:rPr>
              <w:t>Interacción: vivienda de clase alta</w:t>
            </w:r>
            <w:r w:rsidRPr="001F14CA">
              <w:rPr>
                <w:rFonts w:ascii="Calibri" w:eastAsia="Times New Roman" w:hAnsi="Calibri" w:cs="Calibri"/>
              </w:rPr>
              <w:t>*</w:t>
            </w:r>
            <w:r>
              <w:rPr>
                <w:rFonts w:ascii="Calibri" w:eastAsia="Times New Roman" w:hAnsi="Calibri" w:cs="Calibri"/>
              </w:rPr>
              <w:t xml:space="preserve"> homicidios acumulados por 24 meses (log)</w:t>
            </w:r>
            <w:r w:rsidRPr="00CA353F">
              <w:rPr>
                <w:rFonts w:ascii="Calibri" w:eastAsia="Times New Roman" w:hAnsi="Calibri" w:cs="Calibri"/>
              </w:rPr>
              <w:t xml:space="preserve">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0.0219***</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0.0170***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0.0170***</w:t>
            </w:r>
          </w:p>
        </w:tc>
      </w:tr>
      <w:tr w:rsidR="0052514A" w:rsidRPr="001F14CA" w:rsidTr="0052514A">
        <w:trPr>
          <w:trHeight w:val="300"/>
        </w:trPr>
        <w:tc>
          <w:tcPr>
            <w:tcW w:w="4112" w:type="dxa"/>
            <w:tcBorders>
              <w:top w:val="nil"/>
              <w:left w:val="nil"/>
              <w:bottom w:val="nil"/>
              <w:right w:val="nil"/>
            </w:tcBorders>
            <w:shd w:val="clear" w:color="000000" w:fill="FFFFFF"/>
            <w:vAlign w:val="bottom"/>
            <w:hideMark/>
          </w:tcPr>
          <w:p w:rsidR="0052514A" w:rsidRPr="001F14CA" w:rsidRDefault="0052514A" w:rsidP="007C2C46">
            <w:pPr>
              <w:spacing w:after="0" w:line="240" w:lineRule="auto"/>
              <w:rPr>
                <w:rFonts w:ascii="Calibri" w:eastAsia="Times New Roman" w:hAnsi="Calibri" w:cs="Calibri"/>
              </w:rPr>
            </w:pPr>
            <w:r w:rsidRPr="001F14CA">
              <w:rPr>
                <w:rFonts w:ascii="Calibri" w:eastAsia="Times New Roman" w:hAnsi="Calibri" w:cs="Calibri"/>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(0.00128)</w:t>
            </w:r>
          </w:p>
        </w:tc>
      </w:tr>
      <w:tr w:rsidR="0052514A" w:rsidRPr="001F14CA" w:rsidTr="0052514A">
        <w:trPr>
          <w:trHeight w:val="600"/>
        </w:trPr>
        <w:tc>
          <w:tcPr>
            <w:tcW w:w="4112" w:type="dxa"/>
            <w:tcBorders>
              <w:top w:val="nil"/>
              <w:left w:val="nil"/>
              <w:bottom w:val="nil"/>
              <w:right w:val="nil"/>
            </w:tcBorders>
            <w:shd w:val="clear" w:color="000000" w:fill="FFFFFF"/>
            <w:vAlign w:val="bottom"/>
            <w:hideMark/>
          </w:tcPr>
          <w:p w:rsidR="0052514A" w:rsidRPr="001F14CA" w:rsidRDefault="0052514A" w:rsidP="007C2C46">
            <w:pPr>
              <w:spacing w:after="0" w:line="240" w:lineRule="auto"/>
              <w:rPr>
                <w:rFonts w:ascii="Calibri" w:eastAsia="Times New Roman" w:hAnsi="Calibri" w:cs="Calibri"/>
              </w:rPr>
            </w:pPr>
            <w:r>
              <w:rPr>
                <w:rFonts w:ascii="Calibri" w:eastAsia="Times New Roman" w:hAnsi="Calibri" w:cs="Calibri"/>
              </w:rPr>
              <w:t>Interacción: vivienda grande (mayor a 140 metros cuadrados)</w:t>
            </w:r>
            <w:r w:rsidRPr="001F14CA">
              <w:rPr>
                <w:rFonts w:ascii="Calibri" w:eastAsia="Times New Roman" w:hAnsi="Calibri" w:cs="Calibri"/>
              </w:rPr>
              <w:t>*</w:t>
            </w:r>
            <w:r>
              <w:rPr>
                <w:rFonts w:ascii="Calibri" w:eastAsia="Times New Roman" w:hAnsi="Calibri" w:cs="Calibri"/>
              </w:rPr>
              <w:t xml:space="preserve"> homicidios acumulados por 24 meses (log)</w:t>
            </w:r>
            <w:r w:rsidRPr="00CA353F">
              <w:rPr>
                <w:rFonts w:ascii="Calibri" w:eastAsia="Times New Roman" w:hAnsi="Calibri" w:cs="Calibri"/>
              </w:rPr>
              <w:t xml:space="preserve">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0.00891***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0.00891***</w:t>
            </w:r>
          </w:p>
        </w:tc>
      </w:tr>
      <w:tr w:rsidR="0052514A" w:rsidRPr="001F14CA" w:rsidTr="0052514A">
        <w:trPr>
          <w:trHeight w:val="300"/>
        </w:trPr>
        <w:tc>
          <w:tcPr>
            <w:tcW w:w="4112" w:type="dxa"/>
            <w:tcBorders>
              <w:top w:val="nil"/>
              <w:left w:val="nil"/>
              <w:bottom w:val="nil"/>
              <w:right w:val="nil"/>
            </w:tcBorders>
            <w:shd w:val="clear" w:color="000000" w:fill="FFFFFF"/>
            <w:vAlign w:val="bottom"/>
            <w:hideMark/>
          </w:tcPr>
          <w:p w:rsidR="0052514A" w:rsidRPr="001F14CA" w:rsidRDefault="0052514A" w:rsidP="007C2C46">
            <w:pPr>
              <w:spacing w:after="0" w:line="240" w:lineRule="auto"/>
              <w:rPr>
                <w:rFonts w:ascii="Calibri" w:eastAsia="Times New Roman" w:hAnsi="Calibri" w:cs="Calibri"/>
              </w:rPr>
            </w:pPr>
            <w:r w:rsidRPr="001F14CA">
              <w:rPr>
                <w:rFonts w:ascii="Calibri" w:eastAsia="Times New Roman" w:hAnsi="Calibri" w:cs="Calibri"/>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(0.000175)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(0.000175)</w:t>
            </w:r>
          </w:p>
        </w:tc>
      </w:tr>
      <w:tr w:rsidR="0052514A" w:rsidRPr="001F14CA" w:rsidTr="0052514A">
        <w:trPr>
          <w:trHeight w:val="600"/>
        </w:trPr>
        <w:tc>
          <w:tcPr>
            <w:tcW w:w="4112" w:type="dxa"/>
            <w:tcBorders>
              <w:top w:val="nil"/>
              <w:left w:val="nil"/>
              <w:bottom w:val="nil"/>
              <w:right w:val="nil"/>
            </w:tcBorders>
            <w:shd w:val="clear" w:color="000000" w:fill="FFFFFF"/>
            <w:vAlign w:val="bottom"/>
            <w:hideMark/>
          </w:tcPr>
          <w:p w:rsidR="0052514A" w:rsidRPr="001F14CA" w:rsidRDefault="0052514A" w:rsidP="007C2C46">
            <w:pPr>
              <w:spacing w:after="0" w:line="240" w:lineRule="auto"/>
              <w:rPr>
                <w:rFonts w:ascii="Calibri" w:eastAsia="Times New Roman" w:hAnsi="Calibri" w:cs="Calibri"/>
              </w:rPr>
            </w:pPr>
            <w:r>
              <w:rPr>
                <w:rFonts w:ascii="Calibri" w:eastAsia="Times New Roman" w:hAnsi="Calibri" w:cs="Calibri"/>
              </w:rPr>
              <w:t>Interacción: localidad grande (mayor a 50 mil habitantes)</w:t>
            </w:r>
            <w:r w:rsidRPr="001F14CA">
              <w:rPr>
                <w:rFonts w:ascii="Calibri" w:eastAsia="Times New Roman" w:hAnsi="Calibri" w:cs="Calibri"/>
              </w:rPr>
              <w:t>*</w:t>
            </w:r>
            <w:r>
              <w:rPr>
                <w:rFonts w:ascii="Calibri" w:eastAsia="Times New Roman" w:hAnsi="Calibri" w:cs="Calibri"/>
              </w:rPr>
              <w:t xml:space="preserve"> homicidios acumulados por 24 meses (log)</w:t>
            </w:r>
            <w:r w:rsidRPr="00CA353F">
              <w:rPr>
                <w:rFonts w:ascii="Calibri" w:eastAsia="Times New Roman" w:hAnsi="Calibri" w:cs="Calibri"/>
              </w:rPr>
              <w:t xml:space="preserve">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0.0102***</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(0.00387)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Superficie del terreno en metros cuadrados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0.0481***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0.0480***</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0.0481***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0.0338***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0.0337***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(0.000447)</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(0.000447)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(0.000447)</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(0.000528)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(0.000528)</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Superficie construida en metros cuadrados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0.187***</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0.187***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0.187***</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0.182***</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0.182***</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(0.00170)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(0.00170)</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(0.00170)</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Superficie accesoria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0.000258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0.000305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0.000331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0.000203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0.000205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(0.000301)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(0.000301)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(0.000301)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(0.000300)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(0.000300)</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Superficie vendible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0.468***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0.468***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0.468***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0.464***</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0.464***</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(0.00179)</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(0.00179)</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(0.00179)</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(0.00179)</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(0.00179)</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Vida útil remanente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0.241***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0.240***</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0.240***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0.243***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0.243***</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(0.00125)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Año terminación de la obra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-0.0170***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-0.0169***</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-0.0169***</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-0.0171***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-0.0171***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(0.00286)</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(0.00286)</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(0.00286)</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(0.00286)</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Unidades rentables generales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0.00471***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0.00457***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0.00460***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0.00487***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0.00487***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(0.000374)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(0.000374)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(0.000374)</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(0.000373)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(0.000373)</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Unidades rentables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0.00230**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0.00223**</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0.00218*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0.00267**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0.00267**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(0.00112)</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(0.00112)</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(0.00112)</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(0.00112)</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(0.00112)</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Costo del avalúo en pesos mexicanos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0.00834***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0.00837***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0.00835***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0.00823***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0.00823***</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(0.000221)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(0.000221)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(0.000221)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(0.000221)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(0.000221)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Número de recámaras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0.0496***</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0.0500***</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0.0499***</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0.0545***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0.0545***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(0.00155)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(0.00155)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(0.00155)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(0.00155)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(0.00155)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Número de baños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0.236***</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0.236***</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0.236***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0.235***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0.235***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(0.00183)</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(0.00183)</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(0.00183)</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(0.00183)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(0.00183)</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Número de medios-baños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0.144***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0.144***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0.144***</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0.145***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0.145***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(0.00115)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Número de niveles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-0.0299***</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-0.0295***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-0.0296***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-0.0271***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-0.0271***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(0.00141)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(0.00141)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(0.00141)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(0.00141)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(0.00141)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Número de estacionamientos (log)</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0.165***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0.165***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0.165***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0.164***</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0.164***</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(0.00110)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(0.00110)</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(0.00110)</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Posesión de teléfono (sí=1)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0.00805***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0.00804***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0.00803***</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0.00771***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0.00768***</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lastRenderedPageBreak/>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(0.000654)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(0.000654)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(0.000654)</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(0.000652)</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(0.000652)</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Posesión de elevador (sí=1)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0.0386***</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0.0389***</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0.0388***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0.0390***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0.0390***</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(0.00112)</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(0.00112)</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(0.00112)</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(0.00111)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Tipología: terreno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1.850***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1.928***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1.930***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1.938***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1.938***</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(0.0239)</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(0.0243)</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(0.0243)</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(0.0242)</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(0.0242)</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Tipología: casa-habitación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0.0572***</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0.136***</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0.136***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0.148***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0.148***</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(0.00121)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(0.00472)</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(0.00472)</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Tipología: casa-condominio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0.0287***</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0.108***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0.108***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0.119***</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0.119***</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(0.00120)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(0.00474)</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(0.00474)</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(0.00474)</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Tipología: casas múltiples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-0.0104**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0.0685***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0.0690***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0.0801***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0.0802***</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(0.00438)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(0.00632)</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(0.00631)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(0.00630)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(0.00630)</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Tipología: otros tipos registrados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-0.0725***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0.00738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0.00741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0.0120*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0.0119*</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(0.00464)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(0.00654)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(0.00654)</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(0.00652)</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(0.00652)</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Proximidad urbana: intermedia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-0.0324***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-0.0325***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-0.0325***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-0.0327***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-0.0327***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(0.00128)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(0.00128)</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Proximidad urbana: periférica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-0.0443***</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-0.0443***</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-0.0441***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-0.0434***</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-0.0433***</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(0.00135)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Proximidad urbana: de expansión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-0.0420***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-0.0418***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-0.0418***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-0.0404***</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-0.0404***</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(0.00161)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(0.00160)</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Proximidad urbana: rural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-0.0759***</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-0.0767***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-0.0775***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-0.0773***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-0.0771***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(0.0185)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(0.0185)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(0.0185)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(0.0185)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(0.0185)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Posee dos servicios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0.0969***</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0.0969***</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0.0970***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0.101***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0.101***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(0.00288)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(0.00288)</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Posee cinco servicios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0.0686***</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0.0688***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0.0689***</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0.0728***</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0.0728***</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(0.00136)</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(0.00136)</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(0.00136)</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(0.00136)</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Posee siete servicios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0.111***</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0.111***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0.111***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0.115***</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0.115***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(0.00160)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(0.00160)</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(0.00160)</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(0.00160)</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Clase de inmueble: mínima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-0.362***</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-0.361***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-0.360***</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-0.357***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-0.357***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(0.00997)</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(0.00997)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(0.00996)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(0.00994)</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(0.00994)</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Clase de inmueble: económica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-0.440***</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-0.440***</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-0.439***</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-0.437***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-0.437***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(0.00908)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(0.00908)</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(0.00906)</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(0.00906)</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Clase de inmueble: de interés social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-0.372***</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-0.371***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-0.371***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-0.366***</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-0.366***</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(0.00905)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(0.00905)</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(0.00903)</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Clase de inmueble: media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-0.212***</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-0.212***</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-0.212***</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-0.209***</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-0.209***</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(0.00904)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(0.00903)</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(0.00903)</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(0.00901)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Clase de inmueble: semilujo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0.0139</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0.0138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-0.0936***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-0.0687***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-0.0687***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(0.00918)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(0.00917)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(0.0111)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(0.0111)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(0.0111)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Clase de inmueble: residencial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0.114***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0.114***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0.00386</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0.0294***</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0.0295***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(0.00934)</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(0.00934)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(0.0113)</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(0.0113)</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(0.0113)</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Pr>
                <w:rFonts w:ascii="Arial" w:eastAsia="Times New Roman" w:hAnsi="Arial" w:cs="Arial"/>
                <w:sz w:val="20"/>
                <w:szCs w:val="20"/>
              </w:rPr>
              <w:t>Clase de inmueble: residencial plus (=1)</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0.345***</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0.344***</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0.235***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0.267***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0.267***</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(0.0126)</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(0.0126)</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(0.0141)</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(0.0141)</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(0.0141)</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Constant</w:t>
            </w:r>
            <w:r>
              <w:rPr>
                <w:rFonts w:ascii="Arial" w:eastAsia="Times New Roman" w:hAnsi="Arial" w:cs="Arial"/>
                <w:sz w:val="20"/>
                <w:szCs w:val="20"/>
              </w:rPr>
              <w:t>e</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-7.498</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-6.701</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-6.797</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-6.812</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-8.255</w:t>
            </w:r>
          </w:p>
        </w:tc>
      </w:tr>
      <w:tr w:rsidR="0052514A" w:rsidRPr="001F14CA" w:rsidTr="0052514A">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(588.9)</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(593.8)</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(597.5)</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(590.9)</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(617.1)</w:t>
            </w:r>
          </w:p>
        </w:tc>
      </w:tr>
      <w:tr w:rsidR="00A22D23" w:rsidRPr="001F14CA" w:rsidTr="007C2C46">
        <w:trPr>
          <w:trHeight w:val="255"/>
        </w:trPr>
        <w:tc>
          <w:tcPr>
            <w:tcW w:w="4112"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77"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r>
      <w:tr w:rsidR="00A22D23" w:rsidRPr="001F14CA" w:rsidTr="007C2C46">
        <w:trPr>
          <w:trHeight w:val="300"/>
        </w:trPr>
        <w:tc>
          <w:tcPr>
            <w:tcW w:w="4112"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rPr>
                <w:rFonts w:ascii="Calibri" w:eastAsia="Times New Roman" w:hAnsi="Calibri" w:cs="Calibri"/>
              </w:rPr>
            </w:pPr>
            <w:r w:rsidRPr="001F14CA">
              <w:rPr>
                <w:rFonts w:ascii="Calibri" w:eastAsia="Times New Roman" w:hAnsi="Calibri" w:cs="Calibri"/>
              </w:rPr>
              <w:t>MES</w:t>
            </w:r>
          </w:p>
        </w:tc>
        <w:tc>
          <w:tcPr>
            <w:tcW w:w="1275"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77"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80"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329"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08" w:type="dxa"/>
            <w:tcBorders>
              <w:top w:val="single" w:sz="4" w:space="0" w:color="000000"/>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r>
      <w:tr w:rsidR="00A22D23" w:rsidRPr="001F14CA" w:rsidTr="007C2C46">
        <w:trPr>
          <w:trHeight w:val="300"/>
        </w:trPr>
        <w:tc>
          <w:tcPr>
            <w:tcW w:w="4112"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Calibri" w:eastAsia="Times New Roman" w:hAnsi="Calibri" w:cs="Calibri"/>
              </w:rPr>
            </w:pPr>
            <w:r w:rsidRPr="001F14CA">
              <w:rPr>
                <w:rFonts w:ascii="Calibri" w:eastAsia="Times New Roman" w:hAnsi="Calibri" w:cs="Calibri"/>
              </w:rPr>
              <w:t>BANCO</w:t>
            </w:r>
          </w:p>
        </w:tc>
        <w:tc>
          <w:tcPr>
            <w:tcW w:w="1275"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77"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80"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329"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08"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r>
      <w:tr w:rsidR="00A22D23" w:rsidRPr="001F14CA" w:rsidTr="007C2C46">
        <w:trPr>
          <w:trHeight w:val="300"/>
        </w:trPr>
        <w:tc>
          <w:tcPr>
            <w:tcW w:w="4112"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Calibri" w:eastAsia="Times New Roman" w:hAnsi="Calibri" w:cs="Calibri"/>
              </w:rPr>
            </w:pPr>
            <w:r w:rsidRPr="001F14CA">
              <w:rPr>
                <w:rFonts w:ascii="Calibri" w:eastAsia="Times New Roman" w:hAnsi="Calibri" w:cs="Calibri"/>
              </w:rPr>
              <w:t>PERITO</w:t>
            </w:r>
          </w:p>
        </w:tc>
        <w:tc>
          <w:tcPr>
            <w:tcW w:w="1275"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77"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80"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329"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c>
          <w:tcPr>
            <w:tcW w:w="1108"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jc w:val="right"/>
              <w:rPr>
                <w:rFonts w:ascii="Calibri" w:eastAsia="Times New Roman" w:hAnsi="Calibri" w:cs="Calibri"/>
              </w:rPr>
            </w:pPr>
            <w:r w:rsidRPr="001F14CA">
              <w:rPr>
                <w:rFonts w:ascii="Calibri" w:eastAsia="Times New Roman" w:hAnsi="Calibri" w:cs="Calibri"/>
              </w:rPr>
              <w:t>SI</w:t>
            </w:r>
          </w:p>
        </w:tc>
      </w:tr>
      <w:tr w:rsidR="00A22D23" w:rsidRPr="001F14CA" w:rsidTr="007C2C46">
        <w:trPr>
          <w:trHeight w:val="255"/>
        </w:trPr>
        <w:tc>
          <w:tcPr>
            <w:tcW w:w="4112" w:type="dxa"/>
            <w:tcBorders>
              <w:top w:val="nil"/>
              <w:left w:val="nil"/>
              <w:bottom w:val="single" w:sz="4" w:space="0" w:color="000000"/>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LOCALIDAD</w:t>
            </w:r>
          </w:p>
        </w:tc>
        <w:tc>
          <w:tcPr>
            <w:tcW w:w="1275" w:type="dxa"/>
            <w:tcBorders>
              <w:top w:val="nil"/>
              <w:left w:val="nil"/>
              <w:bottom w:val="single" w:sz="4" w:space="0" w:color="000000"/>
              <w:right w:val="nil"/>
            </w:tcBorders>
            <w:shd w:val="clear" w:color="000000" w:fill="FFFFFF"/>
            <w:noWrap/>
            <w:vAlign w:val="bottom"/>
            <w:hideMark/>
          </w:tcPr>
          <w:p w:rsidR="00A22D23" w:rsidRPr="001F14CA" w:rsidRDefault="00A22D23" w:rsidP="007C2C46">
            <w:pPr>
              <w:spacing w:after="0" w:line="240" w:lineRule="auto"/>
              <w:jc w:val="right"/>
              <w:rPr>
                <w:rFonts w:ascii="Arial" w:eastAsia="Times New Roman" w:hAnsi="Arial" w:cs="Arial"/>
                <w:sz w:val="20"/>
                <w:szCs w:val="20"/>
              </w:rPr>
            </w:pPr>
            <w:r w:rsidRPr="001F14CA">
              <w:rPr>
                <w:rFonts w:ascii="Arial" w:eastAsia="Times New Roman" w:hAnsi="Arial" w:cs="Arial"/>
                <w:sz w:val="20"/>
                <w:szCs w:val="20"/>
              </w:rPr>
              <w:t>SI</w:t>
            </w:r>
          </w:p>
        </w:tc>
        <w:tc>
          <w:tcPr>
            <w:tcW w:w="1177" w:type="dxa"/>
            <w:tcBorders>
              <w:top w:val="nil"/>
              <w:left w:val="nil"/>
              <w:bottom w:val="single" w:sz="4" w:space="0" w:color="000000"/>
              <w:right w:val="nil"/>
            </w:tcBorders>
            <w:shd w:val="clear" w:color="000000" w:fill="FFFFFF"/>
            <w:noWrap/>
            <w:vAlign w:val="bottom"/>
            <w:hideMark/>
          </w:tcPr>
          <w:p w:rsidR="00A22D23" w:rsidRPr="001F14CA" w:rsidRDefault="00A22D23" w:rsidP="007C2C46">
            <w:pPr>
              <w:spacing w:after="0" w:line="240" w:lineRule="auto"/>
              <w:jc w:val="right"/>
              <w:rPr>
                <w:rFonts w:ascii="Arial" w:eastAsia="Times New Roman" w:hAnsi="Arial" w:cs="Arial"/>
                <w:sz w:val="20"/>
                <w:szCs w:val="20"/>
              </w:rPr>
            </w:pPr>
            <w:r w:rsidRPr="001F14CA">
              <w:rPr>
                <w:rFonts w:ascii="Arial" w:eastAsia="Times New Roman" w:hAnsi="Arial" w:cs="Arial"/>
                <w:sz w:val="20"/>
                <w:szCs w:val="20"/>
              </w:rPr>
              <w:t>SI</w:t>
            </w:r>
          </w:p>
        </w:tc>
        <w:tc>
          <w:tcPr>
            <w:tcW w:w="1180" w:type="dxa"/>
            <w:tcBorders>
              <w:top w:val="nil"/>
              <w:left w:val="nil"/>
              <w:bottom w:val="single" w:sz="4" w:space="0" w:color="000000"/>
              <w:right w:val="nil"/>
            </w:tcBorders>
            <w:shd w:val="clear" w:color="000000" w:fill="FFFFFF"/>
            <w:noWrap/>
            <w:vAlign w:val="bottom"/>
            <w:hideMark/>
          </w:tcPr>
          <w:p w:rsidR="00A22D23" w:rsidRPr="001F14CA" w:rsidRDefault="00A22D23" w:rsidP="007C2C46">
            <w:pPr>
              <w:spacing w:after="0" w:line="240" w:lineRule="auto"/>
              <w:jc w:val="right"/>
              <w:rPr>
                <w:rFonts w:ascii="Arial" w:eastAsia="Times New Roman" w:hAnsi="Arial" w:cs="Arial"/>
                <w:sz w:val="20"/>
                <w:szCs w:val="20"/>
              </w:rPr>
            </w:pPr>
            <w:r w:rsidRPr="001F14CA">
              <w:rPr>
                <w:rFonts w:ascii="Arial" w:eastAsia="Times New Roman" w:hAnsi="Arial" w:cs="Arial"/>
                <w:sz w:val="20"/>
                <w:szCs w:val="20"/>
              </w:rPr>
              <w:t>SI</w:t>
            </w:r>
          </w:p>
        </w:tc>
        <w:tc>
          <w:tcPr>
            <w:tcW w:w="1329" w:type="dxa"/>
            <w:tcBorders>
              <w:top w:val="nil"/>
              <w:left w:val="nil"/>
              <w:bottom w:val="single" w:sz="4" w:space="0" w:color="000000"/>
              <w:right w:val="nil"/>
            </w:tcBorders>
            <w:shd w:val="clear" w:color="000000" w:fill="FFFFFF"/>
            <w:noWrap/>
            <w:vAlign w:val="bottom"/>
            <w:hideMark/>
          </w:tcPr>
          <w:p w:rsidR="00A22D23" w:rsidRPr="001F14CA" w:rsidRDefault="00A22D23" w:rsidP="007C2C46">
            <w:pPr>
              <w:spacing w:after="0" w:line="240" w:lineRule="auto"/>
              <w:jc w:val="right"/>
              <w:rPr>
                <w:rFonts w:ascii="Arial" w:eastAsia="Times New Roman" w:hAnsi="Arial" w:cs="Arial"/>
                <w:sz w:val="20"/>
                <w:szCs w:val="20"/>
              </w:rPr>
            </w:pPr>
            <w:r w:rsidRPr="001F14CA">
              <w:rPr>
                <w:rFonts w:ascii="Arial" w:eastAsia="Times New Roman" w:hAnsi="Arial" w:cs="Arial"/>
                <w:sz w:val="20"/>
                <w:szCs w:val="20"/>
              </w:rPr>
              <w:t>SI</w:t>
            </w:r>
          </w:p>
        </w:tc>
        <w:tc>
          <w:tcPr>
            <w:tcW w:w="1108" w:type="dxa"/>
            <w:tcBorders>
              <w:top w:val="nil"/>
              <w:left w:val="nil"/>
              <w:bottom w:val="single" w:sz="4" w:space="0" w:color="000000"/>
              <w:right w:val="nil"/>
            </w:tcBorders>
            <w:shd w:val="clear" w:color="000000" w:fill="FFFFFF"/>
            <w:noWrap/>
            <w:vAlign w:val="bottom"/>
            <w:hideMark/>
          </w:tcPr>
          <w:p w:rsidR="00A22D23" w:rsidRPr="001F14CA" w:rsidRDefault="00A22D23" w:rsidP="007C2C46">
            <w:pPr>
              <w:spacing w:after="0" w:line="240" w:lineRule="auto"/>
              <w:jc w:val="right"/>
              <w:rPr>
                <w:rFonts w:ascii="Arial" w:eastAsia="Times New Roman" w:hAnsi="Arial" w:cs="Arial"/>
                <w:sz w:val="20"/>
                <w:szCs w:val="20"/>
              </w:rPr>
            </w:pPr>
            <w:r w:rsidRPr="001F14CA">
              <w:rPr>
                <w:rFonts w:ascii="Arial" w:eastAsia="Times New Roman" w:hAnsi="Arial" w:cs="Arial"/>
                <w:sz w:val="20"/>
                <w:szCs w:val="20"/>
              </w:rPr>
              <w:t>SI</w:t>
            </w:r>
          </w:p>
        </w:tc>
      </w:tr>
      <w:tr w:rsidR="00A22D23" w:rsidRPr="001F14CA" w:rsidTr="007C2C46">
        <w:trPr>
          <w:trHeight w:val="255"/>
        </w:trPr>
        <w:tc>
          <w:tcPr>
            <w:tcW w:w="4112"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275"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77"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r>
      <w:tr w:rsidR="0052514A" w:rsidRPr="001F14CA" w:rsidTr="007C2C46">
        <w:trPr>
          <w:trHeight w:val="255"/>
        </w:trPr>
        <w:tc>
          <w:tcPr>
            <w:tcW w:w="4112"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N</w:t>
            </w:r>
          </w:p>
        </w:tc>
        <w:tc>
          <w:tcPr>
            <w:tcW w:w="1275" w:type="dxa"/>
            <w:tcBorders>
              <w:top w:val="nil"/>
              <w:left w:val="nil"/>
              <w:bottom w:val="nil"/>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593,717</w:t>
            </w:r>
          </w:p>
        </w:tc>
        <w:tc>
          <w:tcPr>
            <w:tcW w:w="1177"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593,717</w:t>
            </w:r>
          </w:p>
        </w:tc>
        <w:tc>
          <w:tcPr>
            <w:tcW w:w="1180"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593,717</w:t>
            </w:r>
          </w:p>
        </w:tc>
        <w:tc>
          <w:tcPr>
            <w:tcW w:w="1329"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593,717</w:t>
            </w:r>
          </w:p>
        </w:tc>
        <w:tc>
          <w:tcPr>
            <w:tcW w:w="1108" w:type="dxa"/>
            <w:tcBorders>
              <w:top w:val="nil"/>
              <w:left w:val="nil"/>
              <w:bottom w:val="nil"/>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593,717</w:t>
            </w:r>
          </w:p>
        </w:tc>
      </w:tr>
      <w:tr w:rsidR="0052514A" w:rsidRPr="001F14CA" w:rsidTr="007C2C46">
        <w:trPr>
          <w:trHeight w:val="255"/>
        </w:trPr>
        <w:tc>
          <w:tcPr>
            <w:tcW w:w="4112" w:type="dxa"/>
            <w:tcBorders>
              <w:top w:val="nil"/>
              <w:left w:val="nil"/>
              <w:bottom w:val="single" w:sz="4" w:space="0" w:color="000000"/>
              <w:right w:val="nil"/>
            </w:tcBorders>
            <w:shd w:val="clear" w:color="000000" w:fill="FFFFFF"/>
            <w:noWrap/>
            <w:vAlign w:val="bottom"/>
            <w:hideMark/>
          </w:tcPr>
          <w:p w:rsidR="0052514A" w:rsidRPr="001F14CA" w:rsidRDefault="0052514A"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R-cuadrado</w:t>
            </w:r>
          </w:p>
        </w:tc>
        <w:tc>
          <w:tcPr>
            <w:tcW w:w="1275" w:type="dxa"/>
            <w:tcBorders>
              <w:top w:val="nil"/>
              <w:left w:val="nil"/>
              <w:bottom w:val="single" w:sz="4" w:space="0" w:color="000000"/>
              <w:right w:val="nil"/>
            </w:tcBorders>
            <w:shd w:val="clear" w:color="000000" w:fill="FFFFFF"/>
            <w:noWrap/>
            <w:vAlign w:val="bottom"/>
            <w:hideMark/>
          </w:tcPr>
          <w:p w:rsidR="0052514A" w:rsidRPr="0052514A" w:rsidRDefault="0052514A" w:rsidP="0052514A">
            <w:pPr>
              <w:spacing w:after="0" w:line="240" w:lineRule="auto"/>
              <w:jc w:val="center"/>
              <w:rPr>
                <w:rFonts w:ascii="Arial" w:eastAsia="Times New Roman" w:hAnsi="Arial" w:cs="Arial"/>
                <w:sz w:val="20"/>
                <w:szCs w:val="20"/>
              </w:rPr>
            </w:pPr>
            <w:r w:rsidRPr="0052514A">
              <w:rPr>
                <w:rFonts w:ascii="Arial" w:eastAsia="Times New Roman" w:hAnsi="Arial" w:cs="Arial"/>
                <w:sz w:val="20"/>
                <w:szCs w:val="20"/>
              </w:rPr>
              <w:t>0.924</w:t>
            </w:r>
          </w:p>
        </w:tc>
        <w:tc>
          <w:tcPr>
            <w:tcW w:w="1177" w:type="dxa"/>
            <w:tcBorders>
              <w:top w:val="nil"/>
              <w:left w:val="nil"/>
              <w:bottom w:val="single" w:sz="4" w:space="0" w:color="000000"/>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0.924</w:t>
            </w:r>
          </w:p>
        </w:tc>
        <w:tc>
          <w:tcPr>
            <w:tcW w:w="1180" w:type="dxa"/>
            <w:tcBorders>
              <w:top w:val="nil"/>
              <w:left w:val="nil"/>
              <w:bottom w:val="single" w:sz="4" w:space="0" w:color="000000"/>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0.924</w:t>
            </w:r>
          </w:p>
        </w:tc>
        <w:tc>
          <w:tcPr>
            <w:tcW w:w="1329" w:type="dxa"/>
            <w:tcBorders>
              <w:top w:val="nil"/>
              <w:left w:val="nil"/>
              <w:bottom w:val="single" w:sz="4" w:space="0" w:color="000000"/>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0.924</w:t>
            </w:r>
          </w:p>
        </w:tc>
        <w:tc>
          <w:tcPr>
            <w:tcW w:w="1108" w:type="dxa"/>
            <w:tcBorders>
              <w:top w:val="nil"/>
              <w:left w:val="nil"/>
              <w:bottom w:val="single" w:sz="4" w:space="0" w:color="000000"/>
              <w:right w:val="nil"/>
            </w:tcBorders>
            <w:shd w:val="clear" w:color="000000" w:fill="FFFFFF"/>
            <w:noWrap/>
            <w:vAlign w:val="bottom"/>
            <w:hideMark/>
          </w:tcPr>
          <w:p w:rsidR="0052514A" w:rsidRPr="001F14CA" w:rsidRDefault="0052514A" w:rsidP="007C2C46">
            <w:pPr>
              <w:spacing w:after="0" w:line="240" w:lineRule="auto"/>
              <w:jc w:val="center"/>
              <w:rPr>
                <w:rFonts w:ascii="Arial" w:eastAsia="Times New Roman" w:hAnsi="Arial" w:cs="Arial"/>
                <w:sz w:val="20"/>
                <w:szCs w:val="20"/>
              </w:rPr>
            </w:pPr>
            <w:r w:rsidRPr="001F14CA">
              <w:rPr>
                <w:rFonts w:ascii="Arial" w:eastAsia="Times New Roman" w:hAnsi="Arial" w:cs="Arial"/>
                <w:sz w:val="20"/>
                <w:szCs w:val="20"/>
              </w:rPr>
              <w:t>0.924</w:t>
            </w:r>
          </w:p>
        </w:tc>
      </w:tr>
      <w:tr w:rsidR="00A22D23" w:rsidRPr="001F14CA" w:rsidTr="007C2C46">
        <w:trPr>
          <w:trHeight w:val="255"/>
        </w:trPr>
        <w:tc>
          <w:tcPr>
            <w:tcW w:w="4112"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Errores estándar entre paréntesis</w:t>
            </w:r>
          </w:p>
        </w:tc>
        <w:tc>
          <w:tcPr>
            <w:tcW w:w="1275"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77"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r>
      <w:tr w:rsidR="00A22D23" w:rsidRPr="001F14CA" w:rsidTr="007C2C46">
        <w:trPr>
          <w:trHeight w:val="255"/>
        </w:trPr>
        <w:tc>
          <w:tcPr>
            <w:tcW w:w="4112"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p&lt;0.01, ** p&lt;0.05, * p&lt;0.1</w:t>
            </w:r>
          </w:p>
        </w:tc>
        <w:tc>
          <w:tcPr>
            <w:tcW w:w="1275"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77"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80"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329"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c>
          <w:tcPr>
            <w:tcW w:w="1108" w:type="dxa"/>
            <w:tcBorders>
              <w:top w:val="nil"/>
              <w:left w:val="nil"/>
              <w:bottom w:val="nil"/>
              <w:right w:val="nil"/>
            </w:tcBorders>
            <w:shd w:val="clear" w:color="000000" w:fill="FFFFFF"/>
            <w:noWrap/>
            <w:vAlign w:val="bottom"/>
            <w:hideMark/>
          </w:tcPr>
          <w:p w:rsidR="00A22D23" w:rsidRPr="001F14CA" w:rsidRDefault="00A22D23" w:rsidP="007C2C46">
            <w:pPr>
              <w:spacing w:after="0" w:line="240" w:lineRule="auto"/>
              <w:rPr>
                <w:rFonts w:ascii="Arial" w:eastAsia="Times New Roman" w:hAnsi="Arial" w:cs="Arial"/>
                <w:sz w:val="20"/>
                <w:szCs w:val="20"/>
              </w:rPr>
            </w:pPr>
            <w:r w:rsidRPr="001F14CA">
              <w:rPr>
                <w:rFonts w:ascii="Arial" w:eastAsia="Times New Roman" w:hAnsi="Arial" w:cs="Arial"/>
                <w:sz w:val="20"/>
                <w:szCs w:val="20"/>
              </w:rPr>
              <w:t> </w:t>
            </w:r>
          </w:p>
        </w:tc>
      </w:tr>
    </w:tbl>
    <w:p w:rsidR="00074650" w:rsidRPr="005249A5" w:rsidRDefault="00074650" w:rsidP="00611D30">
      <w:pPr>
        <w:rPr>
          <w:lang w:val="es-MX"/>
        </w:rPr>
      </w:pPr>
    </w:p>
    <w:sectPr w:rsidR="00074650" w:rsidRPr="005249A5" w:rsidSect="008D67D9">
      <w:footerReference w:type="default" r:id="rId35"/>
      <w:pgSz w:w="11906" w:h="16838"/>
      <w:pgMar w:top="1417" w:right="1274" w:bottom="42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DB" w:rsidRDefault="00CA7CDB" w:rsidP="0022268B">
      <w:pPr>
        <w:spacing w:after="0" w:line="240" w:lineRule="auto"/>
      </w:pPr>
      <w:r>
        <w:separator/>
      </w:r>
    </w:p>
  </w:endnote>
  <w:endnote w:type="continuationSeparator" w:id="0">
    <w:p w:rsidR="00CA7CDB" w:rsidRDefault="00CA7CDB" w:rsidP="0022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37913"/>
      <w:docPartObj>
        <w:docPartGallery w:val="Page Numbers (Bottom of Page)"/>
        <w:docPartUnique/>
      </w:docPartObj>
    </w:sdtPr>
    <w:sdtEndPr/>
    <w:sdtContent>
      <w:p w:rsidR="00A9152C" w:rsidRDefault="00A70D70">
        <w:pPr>
          <w:pStyle w:val="Footer"/>
          <w:jc w:val="right"/>
        </w:pPr>
        <w:r>
          <w:fldChar w:fldCharType="begin"/>
        </w:r>
        <w:r>
          <w:instrText>PAGE   \* MERGEFORMAT</w:instrText>
        </w:r>
        <w:r>
          <w:fldChar w:fldCharType="separate"/>
        </w:r>
        <w:r>
          <w:rPr>
            <w:noProof/>
          </w:rPr>
          <w:t>1</w:t>
        </w:r>
        <w:r>
          <w:rPr>
            <w:noProof/>
          </w:rPr>
          <w:fldChar w:fldCharType="end"/>
        </w:r>
      </w:p>
    </w:sdtContent>
  </w:sdt>
  <w:p w:rsidR="00A9152C" w:rsidRDefault="00A9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DB" w:rsidRDefault="00CA7CDB" w:rsidP="0022268B">
      <w:pPr>
        <w:spacing w:after="0" w:line="240" w:lineRule="auto"/>
      </w:pPr>
      <w:r>
        <w:separator/>
      </w:r>
    </w:p>
  </w:footnote>
  <w:footnote w:type="continuationSeparator" w:id="0">
    <w:p w:rsidR="00CA7CDB" w:rsidRDefault="00CA7CDB" w:rsidP="0022268B">
      <w:pPr>
        <w:spacing w:after="0" w:line="240" w:lineRule="auto"/>
      </w:pPr>
      <w:r>
        <w:continuationSeparator/>
      </w:r>
    </w:p>
  </w:footnote>
  <w:footnote w:id="1">
    <w:p w:rsidR="00D42E85" w:rsidRPr="00D42E85" w:rsidRDefault="00D42E85" w:rsidP="00D42E85">
      <w:pPr>
        <w:rPr>
          <w:rFonts w:ascii="Arial" w:eastAsia="Times New Roman" w:hAnsi="Arial" w:cs="Arial"/>
          <w:color w:val="000000"/>
          <w:sz w:val="24"/>
          <w:szCs w:val="24"/>
          <w:lang w:val="es-AR" w:eastAsia="en-US"/>
        </w:rPr>
      </w:pPr>
      <w:r>
        <w:rPr>
          <w:rStyle w:val="FootnoteReference"/>
        </w:rPr>
        <w:footnoteRef/>
      </w:r>
      <w:r>
        <w:t xml:space="preserve"> </w:t>
      </w:r>
      <w:r>
        <w:rPr>
          <w:rFonts w:ascii="Arial" w:eastAsia="Times New Roman" w:hAnsi="Arial" w:cs="Arial"/>
          <w:color w:val="000000"/>
          <w:sz w:val="20"/>
          <w:szCs w:val="20"/>
          <w:lang w:val="es-AR" w:eastAsia="en-US"/>
        </w:rPr>
        <w:t xml:space="preserve">Versión  Preliminar no oficial. </w:t>
      </w:r>
      <w:r w:rsidRPr="00D42E85">
        <w:rPr>
          <w:rFonts w:ascii="Arial" w:eastAsia="Times New Roman" w:hAnsi="Arial" w:cs="Arial"/>
          <w:color w:val="000000"/>
          <w:sz w:val="20"/>
          <w:szCs w:val="20"/>
          <w:lang w:val="es-AR" w:eastAsia="en-US"/>
        </w:rPr>
        <w:t>El presente documento no es una publicación oficial del BID. La opinión y datos presentados por los autores son personales y no comprometen una posición oficial del Banco.</w:t>
      </w:r>
    </w:p>
    <w:p w:rsidR="00D42E85" w:rsidRPr="00D42E85" w:rsidRDefault="00D42E85">
      <w:pPr>
        <w:pStyle w:val="FootnoteText"/>
        <w:rPr>
          <w:lang w:val="es-AR"/>
        </w:rPr>
      </w:pPr>
    </w:p>
  </w:footnote>
  <w:footnote w:id="2">
    <w:p w:rsidR="00A9152C" w:rsidRPr="005249A5" w:rsidRDefault="00A9152C" w:rsidP="005249A5">
      <w:pPr>
        <w:pStyle w:val="FootnoteText"/>
        <w:jc w:val="both"/>
        <w:rPr>
          <w:lang w:val="es-MX"/>
        </w:rPr>
      </w:pPr>
      <w:r>
        <w:rPr>
          <w:rStyle w:val="FootnoteReference"/>
        </w:rPr>
        <w:footnoteRef/>
      </w:r>
      <w:r w:rsidRPr="006548BC">
        <w:rPr>
          <w:lang w:val="es-MX"/>
        </w:rPr>
        <w:t>El último conteo oficial que se hizo p</w:t>
      </w:r>
      <w:r>
        <w:rPr>
          <w:lang w:val="es-MX"/>
        </w:rPr>
        <w:t>úblico llegó a 47,515 homicidios abarcando el periodo de diciembre del 2006 a septiembre del 2011. No obstante, el periódico reforma contabilizó, sólo en los tres meses restantes del 2011, 2624  homicidios y a eso habría que agregarles los homicidios ocurridos durante el 2012.</w:t>
      </w:r>
    </w:p>
  </w:footnote>
  <w:footnote w:id="3">
    <w:p w:rsidR="00A9152C" w:rsidRPr="005249A5" w:rsidRDefault="00A9152C">
      <w:pPr>
        <w:pStyle w:val="FootnoteText"/>
        <w:rPr>
          <w:lang w:val="es-MX"/>
        </w:rPr>
      </w:pPr>
      <w:r>
        <w:rPr>
          <w:rStyle w:val="FootnoteReference"/>
        </w:rPr>
        <w:footnoteRef/>
      </w:r>
      <w:r w:rsidRPr="004E1679">
        <w:rPr>
          <w:lang w:val="es-MX"/>
        </w:rPr>
        <w:t xml:space="preserve"> </w:t>
      </w:r>
      <w:r>
        <w:rPr>
          <w:lang w:val="es-MX"/>
        </w:rPr>
        <w:t>Se considera el “Operativo Conjunto Michoacán”, llevado acabo el 11 de diciembre del 2006, como el inicio de la lucha frontal contra el crimen organizado.</w:t>
      </w:r>
    </w:p>
  </w:footnote>
  <w:footnote w:id="4">
    <w:p w:rsidR="00A9152C" w:rsidRPr="005249A5" w:rsidRDefault="00A9152C">
      <w:pPr>
        <w:pStyle w:val="FootnoteText"/>
        <w:rPr>
          <w:lang w:val="es-MX"/>
        </w:rPr>
      </w:pPr>
      <w:r>
        <w:rPr>
          <w:rStyle w:val="FootnoteReference"/>
        </w:rPr>
        <w:footnoteRef/>
      </w:r>
      <w:r w:rsidRPr="004E1679">
        <w:rPr>
          <w:lang w:val="es-MX"/>
        </w:rPr>
        <w:t xml:space="preserve"> </w:t>
      </w:r>
      <w:r>
        <w:rPr>
          <w:lang w:val="es-MX"/>
        </w:rPr>
        <w:t xml:space="preserve">La tasa de cambio del 2011 fue del 11% mientras para el 2010 fue del 58.8 % </w:t>
      </w:r>
      <w:sdt>
        <w:sdtPr>
          <w:rPr>
            <w:lang w:val="es-MX"/>
          </w:rPr>
          <w:id w:val="-1493181955"/>
          <w:citation/>
        </w:sdtPr>
        <w:sdtEndPr/>
        <w:sdtContent>
          <w:r w:rsidR="006155C2">
            <w:rPr>
              <w:lang w:val="es-MX"/>
            </w:rPr>
            <w:fldChar w:fldCharType="begin"/>
          </w:r>
          <w:r>
            <w:rPr>
              <w:lang w:val="es-MX"/>
            </w:rPr>
            <w:instrText xml:space="preserve"> CITATION Mol12 \l 2058 </w:instrText>
          </w:r>
          <w:r w:rsidR="006155C2">
            <w:rPr>
              <w:lang w:val="es-MX"/>
            </w:rPr>
            <w:fldChar w:fldCharType="separate"/>
          </w:r>
          <w:r w:rsidRPr="00651A76">
            <w:rPr>
              <w:noProof/>
              <w:lang w:val="es-MX"/>
            </w:rPr>
            <w:t>(Molzahn, Ríos, &amp; A. Shirk, 2012)</w:t>
          </w:r>
          <w:r w:rsidR="006155C2">
            <w:rPr>
              <w:lang w:val="es-MX"/>
            </w:rPr>
            <w:fldChar w:fldCharType="end"/>
          </w:r>
        </w:sdtContent>
      </w:sdt>
      <w:r>
        <w:rPr>
          <w:lang w:val="es-MX"/>
        </w:rPr>
        <w:t>.</w:t>
      </w:r>
    </w:p>
  </w:footnote>
  <w:footnote w:id="5">
    <w:p w:rsidR="00A9152C" w:rsidRPr="005249A5" w:rsidRDefault="00A9152C">
      <w:pPr>
        <w:pStyle w:val="FootnoteText"/>
        <w:rPr>
          <w:lang w:val="es-MX"/>
        </w:rPr>
      </w:pPr>
      <w:r>
        <w:rPr>
          <w:rStyle w:val="FootnoteReference"/>
        </w:rPr>
        <w:footnoteRef/>
      </w:r>
      <w:r w:rsidRPr="004E1679">
        <w:rPr>
          <w:lang w:val="es-MX"/>
        </w:rPr>
        <w:t xml:space="preserve"> </w:t>
      </w:r>
      <w:r>
        <w:rPr>
          <w:lang w:val="es-MX"/>
        </w:rPr>
        <w:t xml:space="preserve">En donde los jefes de policías locales (48 %) y alcaldes municipales (18 %)  suelen ser las victimas más recurrentes de este tipo de asesinatos </w:t>
      </w:r>
      <w:sdt>
        <w:sdtPr>
          <w:rPr>
            <w:lang w:val="es-MX"/>
          </w:rPr>
          <w:id w:val="413287603"/>
          <w:citation/>
        </w:sdtPr>
        <w:sdtEndPr/>
        <w:sdtContent>
          <w:r w:rsidR="006155C2">
            <w:rPr>
              <w:lang w:val="es-MX"/>
            </w:rPr>
            <w:fldChar w:fldCharType="begin"/>
          </w:r>
          <w:r>
            <w:rPr>
              <w:lang w:val="es-MX"/>
            </w:rPr>
            <w:instrText xml:space="preserve"> CITATION Gue11 \l 2058 </w:instrText>
          </w:r>
          <w:r w:rsidR="006155C2">
            <w:rPr>
              <w:lang w:val="es-MX"/>
            </w:rPr>
            <w:fldChar w:fldCharType="separate"/>
          </w:r>
          <w:r w:rsidRPr="00651A76">
            <w:rPr>
              <w:noProof/>
              <w:lang w:val="es-MX"/>
            </w:rPr>
            <w:t>(Guerrero-Gutiérrez, 2011)</w:t>
          </w:r>
          <w:r w:rsidR="006155C2">
            <w:rPr>
              <w:lang w:val="es-MX"/>
            </w:rPr>
            <w:fldChar w:fldCharType="end"/>
          </w:r>
        </w:sdtContent>
      </w:sdt>
      <w:r>
        <w:rPr>
          <w:lang w:val="es-MX"/>
        </w:rPr>
        <w:t>.</w:t>
      </w:r>
    </w:p>
  </w:footnote>
  <w:footnote w:id="6">
    <w:p w:rsidR="00A9152C" w:rsidRPr="004E1679" w:rsidRDefault="00A9152C">
      <w:pPr>
        <w:pStyle w:val="FootnoteText"/>
      </w:pPr>
      <w:r>
        <w:rPr>
          <w:rStyle w:val="FootnoteReference"/>
        </w:rPr>
        <w:footnoteRef/>
      </w:r>
      <w:r>
        <w:t xml:space="preserve"> </w:t>
      </w:r>
      <w:r w:rsidRPr="00651A76">
        <w:t xml:space="preserve">De </w:t>
      </w:r>
      <w:r>
        <w:t>acuerdo</w:t>
      </w:r>
      <w:r w:rsidRPr="00651A76">
        <w:t xml:space="preserve"> con Committee to Protect Journalists (CPJ) : </w:t>
      </w:r>
      <w:r w:rsidRPr="00030717">
        <w:t>http://www.cpj.org/killed/2010/</w:t>
      </w:r>
    </w:p>
  </w:footnote>
  <w:footnote w:id="7">
    <w:p w:rsidR="00A9152C" w:rsidRPr="005249A5" w:rsidRDefault="00A9152C">
      <w:pPr>
        <w:pStyle w:val="FootnoteText"/>
        <w:rPr>
          <w:lang w:val="es-MX"/>
        </w:rPr>
      </w:pPr>
      <w:r>
        <w:rPr>
          <w:rStyle w:val="FootnoteReference"/>
        </w:rPr>
        <w:footnoteRef/>
      </w:r>
      <w:r w:rsidRPr="004E1679">
        <w:rPr>
          <w:lang w:val="es-MX"/>
        </w:rPr>
        <w:t xml:space="preserve"> </w:t>
      </w:r>
      <w:sdt>
        <w:sdtPr>
          <w:rPr>
            <w:lang w:val="es-MX"/>
          </w:rPr>
          <w:id w:val="-371226547"/>
          <w:citation/>
        </w:sdtPr>
        <w:sdtEndPr/>
        <w:sdtContent>
          <w:r w:rsidR="006155C2">
            <w:rPr>
              <w:lang w:val="es-MX"/>
            </w:rPr>
            <w:fldChar w:fldCharType="begin"/>
          </w:r>
          <w:r>
            <w:rPr>
              <w:lang w:val="es-MX"/>
            </w:rPr>
            <w:instrText xml:space="preserve"> CITATION Mol12 \l 2058 </w:instrText>
          </w:r>
          <w:r w:rsidR="006155C2">
            <w:rPr>
              <w:lang w:val="es-MX"/>
            </w:rPr>
            <w:fldChar w:fldCharType="separate"/>
          </w:r>
          <w:r w:rsidRPr="00651A76">
            <w:rPr>
              <w:noProof/>
              <w:lang w:val="es-MX"/>
            </w:rPr>
            <w:t>(Molzahn, Ríos, &amp; A. Shirk, 2012)</w:t>
          </w:r>
          <w:r w:rsidR="006155C2">
            <w:rPr>
              <w:lang w:val="es-MX"/>
            </w:rPr>
            <w:fldChar w:fldCharType="end"/>
          </w:r>
        </w:sdtContent>
      </w:sdt>
      <w:r>
        <w:rPr>
          <w:lang w:val="es-MX"/>
        </w:rPr>
        <w:t xml:space="preserve"> basándose en los datos de dos periódicos nacionales: El Reforma y El Universal.</w:t>
      </w:r>
    </w:p>
  </w:footnote>
  <w:footnote w:id="8">
    <w:p w:rsidR="00A9152C" w:rsidRPr="00782736" w:rsidRDefault="00A9152C" w:rsidP="005249A5">
      <w:pPr>
        <w:pStyle w:val="FootnoteText"/>
        <w:rPr>
          <w:lang w:val="es-MX"/>
        </w:rPr>
      </w:pPr>
      <w:r>
        <w:rPr>
          <w:rStyle w:val="FootnoteReference"/>
        </w:rPr>
        <w:footnoteRef/>
      </w:r>
      <w:r w:rsidRPr="00782736">
        <w:rPr>
          <w:lang w:val="es-MX"/>
        </w:rPr>
        <w:t xml:space="preserve"> </w:t>
      </w:r>
      <w:sdt>
        <w:sdtPr>
          <w:rPr>
            <w:lang w:val="es-MX"/>
          </w:rPr>
          <w:id w:val="1282144940"/>
          <w:citation/>
        </w:sdtPr>
        <w:sdtEndPr/>
        <w:sdtContent>
          <w:r w:rsidR="006155C2">
            <w:rPr>
              <w:lang w:val="es-MX"/>
            </w:rPr>
            <w:fldChar w:fldCharType="begin"/>
          </w:r>
          <w:r>
            <w:rPr>
              <w:lang w:val="es-MX"/>
            </w:rPr>
            <w:instrText xml:space="preserve"> CITATION Mol12 \l 2058 </w:instrText>
          </w:r>
          <w:r w:rsidR="006155C2">
            <w:rPr>
              <w:lang w:val="es-MX"/>
            </w:rPr>
            <w:fldChar w:fldCharType="separate"/>
          </w:r>
          <w:r w:rsidRPr="00782736">
            <w:rPr>
              <w:noProof/>
              <w:lang w:val="es-MX"/>
            </w:rPr>
            <w:t>(Molzahn, Ríos, &amp; A. Shirk, 2012)</w:t>
          </w:r>
          <w:r w:rsidR="006155C2">
            <w:rPr>
              <w:lang w:val="es-MX"/>
            </w:rPr>
            <w:fldChar w:fldCharType="end"/>
          </w:r>
        </w:sdtContent>
      </w:sdt>
    </w:p>
  </w:footnote>
  <w:footnote w:id="9">
    <w:p w:rsidR="00A9152C" w:rsidRPr="00651A76" w:rsidRDefault="00A9152C" w:rsidP="005249A5">
      <w:pPr>
        <w:pStyle w:val="FootnoteText"/>
        <w:rPr>
          <w:lang w:val="es-MX"/>
        </w:rPr>
      </w:pPr>
      <w:r>
        <w:rPr>
          <w:rStyle w:val="FootnoteReference"/>
        </w:rPr>
        <w:footnoteRef/>
      </w:r>
      <w:r w:rsidRPr="00651A76">
        <w:rPr>
          <w:lang w:val="es-MX"/>
        </w:rPr>
        <w:t xml:space="preserve"> </w:t>
      </w:r>
      <w:r>
        <w:rPr>
          <w:lang w:val="es-MX"/>
        </w:rPr>
        <w:t>Se realizo sólo para los primeros 9 meses para cada año dado que, en el año 2011, sólo se tiene información hasta septiembre.</w:t>
      </w:r>
    </w:p>
  </w:footnote>
  <w:footnote w:id="10">
    <w:p w:rsidR="00A9152C" w:rsidRPr="00155EBB" w:rsidRDefault="00A9152C" w:rsidP="005249A5">
      <w:pPr>
        <w:pStyle w:val="FootnoteText"/>
        <w:rPr>
          <w:lang w:val="es-MX"/>
        </w:rPr>
      </w:pPr>
      <w:r>
        <w:rPr>
          <w:rStyle w:val="FootnoteReference"/>
        </w:rPr>
        <w:footnoteRef/>
      </w:r>
      <w:r w:rsidRPr="00155EBB">
        <w:rPr>
          <w:lang w:val="es-MX"/>
        </w:rPr>
        <w:t xml:space="preserve"> </w:t>
      </w:r>
      <w:r>
        <w:rPr>
          <w:lang w:val="es-MX"/>
        </w:rPr>
        <w:t>La ZMM esté integrada por los siguientes municipios: Apodaca, General Escobedo, Guadalupe, Juárez, Monterrey, San Nicolás de los Garza, San Pedro Garza García y Santa Catarina.</w:t>
      </w:r>
    </w:p>
  </w:footnote>
  <w:footnote w:id="11">
    <w:p w:rsidR="00A9152C" w:rsidRPr="00CA576B" w:rsidRDefault="00A9152C" w:rsidP="005249A5">
      <w:pPr>
        <w:autoSpaceDE w:val="0"/>
        <w:autoSpaceDN w:val="0"/>
        <w:adjustRightInd w:val="0"/>
        <w:spacing w:after="0" w:line="240" w:lineRule="auto"/>
        <w:rPr>
          <w:rFonts w:cstheme="minorHAnsi"/>
          <w:sz w:val="20"/>
          <w:szCs w:val="20"/>
          <w:lang w:val="es-MX"/>
        </w:rPr>
      </w:pPr>
      <w:r>
        <w:rPr>
          <w:rStyle w:val="FootnoteReference"/>
        </w:rPr>
        <w:footnoteRef/>
      </w:r>
      <w:r w:rsidRPr="00CA576B">
        <w:rPr>
          <w:lang w:val="es-MX"/>
        </w:rPr>
        <w:t xml:space="preserve"> </w:t>
      </w:r>
      <w:r w:rsidRPr="00CA576B">
        <w:rPr>
          <w:rFonts w:cstheme="minorHAnsi"/>
          <w:iCs/>
          <w:sz w:val="20"/>
          <w:szCs w:val="20"/>
          <w:lang w:val="es-MX"/>
        </w:rPr>
        <w:t>Informe del Estado de la Seguridad Pública en México. 2010</w:t>
      </w:r>
      <w:r w:rsidRPr="00CA576B">
        <w:rPr>
          <w:rFonts w:cstheme="minorHAnsi"/>
          <w:sz w:val="20"/>
          <w:szCs w:val="20"/>
          <w:lang w:val="es-MX"/>
        </w:rPr>
        <w:t>. Centro Nacional de Atención Ciudadana de la Policía Federal (Secretaría d</w:t>
      </w:r>
      <w:r>
        <w:rPr>
          <w:rFonts w:cstheme="minorHAnsi"/>
          <w:sz w:val="20"/>
          <w:szCs w:val="20"/>
          <w:lang w:val="es-MX"/>
        </w:rPr>
        <w:t xml:space="preserve">e Seguridad Pública) </w:t>
      </w:r>
    </w:p>
    <w:p w:rsidR="00A9152C" w:rsidRPr="00CA576B" w:rsidRDefault="00A9152C" w:rsidP="005249A5">
      <w:pPr>
        <w:pStyle w:val="FootnoteText"/>
        <w:rPr>
          <w:lang w:val="es-MX"/>
        </w:rPr>
      </w:pPr>
      <w:r w:rsidRPr="00CA576B">
        <w:rPr>
          <w:rFonts w:eastAsiaTheme="minorHAnsi" w:cstheme="minorHAnsi"/>
          <w:lang w:val="es-MX" w:eastAsia="en-US"/>
        </w:rPr>
        <w:t>insyde.org.mx/images/informe_estado_seguridad_publica.pptx.</w:t>
      </w:r>
    </w:p>
  </w:footnote>
  <w:footnote w:id="12">
    <w:p w:rsidR="00A9152C" w:rsidRPr="0064449B" w:rsidRDefault="00A9152C" w:rsidP="005249A5">
      <w:pPr>
        <w:pStyle w:val="FootnoteText"/>
        <w:rPr>
          <w:lang w:val="es-MX"/>
        </w:rPr>
      </w:pPr>
      <w:r>
        <w:rPr>
          <w:rStyle w:val="FootnoteReference"/>
        </w:rPr>
        <w:footnoteRef/>
      </w:r>
      <w:r w:rsidRPr="0064449B">
        <w:rPr>
          <w:lang w:val="es-MX"/>
        </w:rPr>
        <w:t xml:space="preserve"> Las agencias de EU suelen dar estimaciones mucho mayores</w:t>
      </w:r>
      <w:sdt>
        <w:sdtPr>
          <w:rPr>
            <w:lang w:val="es-MX"/>
          </w:rPr>
          <w:id w:val="225808964"/>
          <w:citation/>
        </w:sdtPr>
        <w:sdtEndPr/>
        <w:sdtContent>
          <w:r w:rsidR="006155C2">
            <w:rPr>
              <w:lang w:val="es-MX"/>
            </w:rPr>
            <w:fldChar w:fldCharType="begin"/>
          </w:r>
          <w:r>
            <w:rPr>
              <w:lang w:val="es-MX"/>
            </w:rPr>
            <w:instrText xml:space="preserve"> CITATION Gue11 \l 2058 </w:instrText>
          </w:r>
          <w:r w:rsidR="006155C2">
            <w:rPr>
              <w:lang w:val="es-MX"/>
            </w:rPr>
            <w:fldChar w:fldCharType="separate"/>
          </w:r>
          <w:r>
            <w:rPr>
              <w:noProof/>
              <w:lang w:val="es-MX"/>
            </w:rPr>
            <w:t xml:space="preserve"> </w:t>
          </w:r>
          <w:r w:rsidRPr="0064449B">
            <w:rPr>
              <w:noProof/>
              <w:lang w:val="es-MX"/>
            </w:rPr>
            <w:t>(Guerrero-Gutiérrez, 2011)</w:t>
          </w:r>
          <w:r w:rsidR="006155C2">
            <w:rPr>
              <w:lang w:val="es-MX"/>
            </w:rPr>
            <w:fldChar w:fldCharType="end"/>
          </w:r>
        </w:sdtContent>
      </w:sdt>
    </w:p>
  </w:footnote>
  <w:footnote w:id="13">
    <w:p w:rsidR="00A9152C" w:rsidRPr="001B446B" w:rsidRDefault="00A9152C" w:rsidP="005249A5">
      <w:pPr>
        <w:pStyle w:val="FootnoteText"/>
        <w:rPr>
          <w:lang w:val="es-MX"/>
        </w:rPr>
      </w:pPr>
      <w:r>
        <w:rPr>
          <w:rStyle w:val="FootnoteReference"/>
        </w:rPr>
        <w:footnoteRef/>
      </w:r>
      <w:r w:rsidRPr="001B446B">
        <w:rPr>
          <w:lang w:val="es-MX"/>
        </w:rPr>
        <w:t xml:space="preserve"> </w:t>
      </w:r>
      <w:r>
        <w:rPr>
          <w:lang w:val="es-MX"/>
        </w:rPr>
        <w:t>ibíd.</w:t>
      </w:r>
    </w:p>
  </w:footnote>
  <w:footnote w:id="14">
    <w:p w:rsidR="00A9152C" w:rsidRPr="0006048A" w:rsidRDefault="00A9152C" w:rsidP="00F348B7">
      <w:pPr>
        <w:pStyle w:val="FootnoteText"/>
        <w:jc w:val="both"/>
        <w:rPr>
          <w:lang w:val="es-MX"/>
        </w:rPr>
      </w:pPr>
      <w:r>
        <w:rPr>
          <w:rStyle w:val="FootnoteReference"/>
        </w:rPr>
        <w:footnoteRef/>
      </w:r>
      <w:r w:rsidRPr="0006048A">
        <w:rPr>
          <w:lang w:val="es-MX"/>
        </w:rPr>
        <w:t xml:space="preserve"> </w:t>
      </w:r>
      <w:r>
        <w:rPr>
          <w:lang w:val="es-MX"/>
        </w:rPr>
        <w:t>Las confrontaciones también suelen suceder entre fracciones de un mismo cartel, motivadas por la sucesión del líder abatido.</w:t>
      </w:r>
    </w:p>
  </w:footnote>
  <w:footnote w:id="15">
    <w:p w:rsidR="00A9152C" w:rsidRPr="00423BD5" w:rsidRDefault="00A9152C" w:rsidP="00F348B7">
      <w:pPr>
        <w:pStyle w:val="FootnoteText"/>
        <w:jc w:val="both"/>
        <w:rPr>
          <w:lang w:val="es-MX"/>
        </w:rPr>
      </w:pPr>
      <w:r>
        <w:rPr>
          <w:rStyle w:val="FootnoteReference"/>
        </w:rPr>
        <w:footnoteRef/>
      </w:r>
      <w:r w:rsidRPr="00423BD5">
        <w:rPr>
          <w:lang w:val="es-MX"/>
        </w:rPr>
        <w:t xml:space="preserve"> </w:t>
      </w:r>
      <w:r>
        <w:rPr>
          <w:lang w:val="es-MX"/>
        </w:rPr>
        <w:t>Partido político al que pertenece el presidente Felipe Calderón</w:t>
      </w:r>
    </w:p>
  </w:footnote>
  <w:footnote w:id="16">
    <w:p w:rsidR="00A9152C" w:rsidRPr="00125ACA" w:rsidRDefault="00A9152C" w:rsidP="00F348B7">
      <w:pPr>
        <w:pStyle w:val="FootnoteText"/>
        <w:jc w:val="both"/>
        <w:rPr>
          <w:lang w:val="es-MX"/>
        </w:rPr>
      </w:pPr>
      <w:r>
        <w:rPr>
          <w:rStyle w:val="FootnoteReference"/>
        </w:rPr>
        <w:footnoteRef/>
      </w:r>
      <w:r w:rsidRPr="00125ACA">
        <w:rPr>
          <w:lang w:val="es-MX"/>
        </w:rPr>
        <w:t xml:space="preserve"> </w:t>
      </w:r>
      <w:r>
        <w:rPr>
          <w:lang w:val="es-MX"/>
        </w:rPr>
        <w:t>Encuesta anual aplicada por el INEGI con representatividad nacional y estatal (sólo para algunas variables).</w:t>
      </w:r>
    </w:p>
  </w:footnote>
  <w:footnote w:id="17">
    <w:p w:rsidR="00A9152C" w:rsidRPr="00C226B8" w:rsidRDefault="00A9152C" w:rsidP="00F348B7">
      <w:pPr>
        <w:pStyle w:val="FootnoteText"/>
        <w:jc w:val="both"/>
        <w:rPr>
          <w:lang w:val="es-MX"/>
        </w:rPr>
      </w:pPr>
      <w:r>
        <w:rPr>
          <w:rStyle w:val="FootnoteReference"/>
        </w:rPr>
        <w:footnoteRef/>
      </w:r>
      <w:r w:rsidRPr="00C226B8">
        <w:rPr>
          <w:lang w:val="es-MX"/>
        </w:rPr>
        <w:t xml:space="preserve"> </w:t>
      </w:r>
      <w:r>
        <w:rPr>
          <w:lang w:val="es-MX"/>
        </w:rPr>
        <w:t>Comúnmente denominado “plaza”, suelen ser puntos clave para el traslado de los narcóticos hacia E.U.A aunque existe una tendencia a disputarse los lugares de distribución dado el aumento local de la demanda por narcóticos.</w:t>
      </w:r>
    </w:p>
  </w:footnote>
  <w:footnote w:id="18">
    <w:p w:rsidR="00A9152C" w:rsidRPr="00F820ED" w:rsidRDefault="00A9152C" w:rsidP="00F348B7">
      <w:pPr>
        <w:pStyle w:val="FootnoteText"/>
        <w:jc w:val="both"/>
        <w:rPr>
          <w:lang w:val="es-MX"/>
        </w:rPr>
      </w:pPr>
      <w:r>
        <w:rPr>
          <w:rStyle w:val="FootnoteReference"/>
        </w:rPr>
        <w:footnoteRef/>
      </w:r>
      <w:r w:rsidRPr="00F820ED">
        <w:rPr>
          <w:lang w:val="es-MX"/>
        </w:rPr>
        <w:t xml:space="preserve"> </w:t>
      </w:r>
      <w:r>
        <w:rPr>
          <w:lang w:val="es-MX"/>
        </w:rPr>
        <w:t xml:space="preserve">La extorsión suele ser el cobro de rentas a sectores productivos por el servicio de “protección” por parte de los grupos criminales. En gran parte de los casos las extorsiones tienen como objetivo el  sector informal </w:t>
      </w:r>
      <w:sdt>
        <w:sdtPr>
          <w:rPr>
            <w:lang w:val="es-MX"/>
          </w:rPr>
          <w:id w:val="-1673794185"/>
          <w:citation/>
        </w:sdtPr>
        <w:sdtEndPr/>
        <w:sdtContent>
          <w:r w:rsidR="006155C2">
            <w:rPr>
              <w:lang w:val="es-MX"/>
            </w:rPr>
            <w:fldChar w:fldCharType="begin"/>
          </w:r>
          <w:r>
            <w:rPr>
              <w:lang w:val="es-MX"/>
            </w:rPr>
            <w:instrText xml:space="preserve"> CITATION Del11 \l 2058 </w:instrText>
          </w:r>
          <w:r w:rsidR="006155C2">
            <w:rPr>
              <w:lang w:val="es-MX"/>
            </w:rPr>
            <w:fldChar w:fldCharType="separate"/>
          </w:r>
          <w:r w:rsidRPr="001F3154">
            <w:rPr>
              <w:noProof/>
              <w:lang w:val="es-MX"/>
            </w:rPr>
            <w:t>(Dell, 2011)</w:t>
          </w:r>
          <w:r w:rsidR="006155C2">
            <w:rPr>
              <w:lang w:val="es-MX"/>
            </w:rPr>
            <w:fldChar w:fldCharType="end"/>
          </w:r>
        </w:sdtContent>
      </w:sdt>
      <w:r>
        <w:rPr>
          <w:lang w:val="es-MX"/>
        </w:rPr>
        <w:t>.</w:t>
      </w:r>
    </w:p>
  </w:footnote>
  <w:footnote w:id="19">
    <w:p w:rsidR="00A9152C" w:rsidRPr="007332B7" w:rsidRDefault="00A9152C" w:rsidP="002C1CC8">
      <w:pPr>
        <w:pStyle w:val="FootnoteText"/>
        <w:jc w:val="both"/>
        <w:rPr>
          <w:lang w:val="es-MX"/>
        </w:rPr>
      </w:pPr>
      <w:r>
        <w:rPr>
          <w:rStyle w:val="FootnoteReference"/>
        </w:rPr>
        <w:footnoteRef/>
      </w:r>
      <w:r w:rsidRPr="007332B7">
        <w:rPr>
          <w:lang w:val="es-MX"/>
        </w:rPr>
        <w:t xml:space="preserve"> </w:t>
      </w:r>
      <w:r>
        <w:rPr>
          <w:lang w:val="es-MX"/>
        </w:rPr>
        <w:t>Valor estimado o directamente calculado por una persona experta en el valor o precio  de una vivienda. Se toman en cuenta varios enfoques para determinar el  valor de la vivienda. Los más comunes son la cuantificación de las características de la vivienda y utilizar el valor de otras viviendas similares como punto de referencia.</w:t>
      </w:r>
    </w:p>
  </w:footnote>
  <w:footnote w:id="20">
    <w:p w:rsidR="00A9152C" w:rsidRPr="00940A8E" w:rsidRDefault="00A9152C">
      <w:pPr>
        <w:pStyle w:val="FootnoteText"/>
        <w:rPr>
          <w:lang w:val="es-MX"/>
        </w:rPr>
      </w:pPr>
      <w:r>
        <w:rPr>
          <w:rStyle w:val="FootnoteReference"/>
        </w:rPr>
        <w:footnoteRef/>
      </w:r>
      <w:r w:rsidRPr="00940A8E">
        <w:rPr>
          <w:lang w:val="es-MX"/>
        </w:rPr>
        <w:t xml:space="preserve"> </w:t>
      </w:r>
      <w:r>
        <w:rPr>
          <w:lang w:val="es-MX"/>
        </w:rPr>
        <w:t xml:space="preserve"> Sistema de recopilación,  captura y publicación de estadística de la Secretaría de Salud Federal.</w:t>
      </w:r>
    </w:p>
  </w:footnote>
  <w:footnote w:id="21">
    <w:p w:rsidR="00A9152C" w:rsidRPr="008A37BE" w:rsidRDefault="00A9152C">
      <w:pPr>
        <w:pStyle w:val="FootnoteText"/>
        <w:rPr>
          <w:lang w:val="es-MX"/>
        </w:rPr>
      </w:pPr>
    </w:p>
  </w:footnote>
  <w:footnote w:id="22">
    <w:p w:rsidR="00A9152C" w:rsidRPr="00DE2E0B" w:rsidRDefault="00A9152C" w:rsidP="00D34818">
      <w:pPr>
        <w:pStyle w:val="FootnoteText"/>
        <w:jc w:val="both"/>
        <w:rPr>
          <w:rFonts w:cstheme="minorHAnsi"/>
          <w:lang w:val="es-MX"/>
        </w:rPr>
      </w:pPr>
      <w:r w:rsidRPr="00DE2E0B">
        <w:rPr>
          <w:rStyle w:val="FootnoteReference"/>
          <w:rFonts w:cstheme="minorHAnsi"/>
        </w:rPr>
        <w:footnoteRef/>
      </w:r>
      <w:r w:rsidRPr="00DE2E0B">
        <w:rPr>
          <w:rFonts w:cstheme="minorHAnsi"/>
          <w:lang w:val="es-MX"/>
        </w:rPr>
        <w:t xml:space="preserve"> Las localidades son subdivisiones de los municipios. Una localidad no puede estar en dos municipios distintos.  En el país, hay 2,461 municipios y más de 190,000 localidades.</w:t>
      </w:r>
    </w:p>
  </w:footnote>
  <w:footnote w:id="23">
    <w:p w:rsidR="00A9152C" w:rsidRPr="00F348B7" w:rsidRDefault="00A9152C" w:rsidP="00F348B7">
      <w:pPr>
        <w:pStyle w:val="FootnoteText"/>
        <w:jc w:val="both"/>
        <w:rPr>
          <w:rFonts w:cstheme="minorHAnsi"/>
          <w:lang w:val="es-MX"/>
        </w:rPr>
      </w:pPr>
      <w:r w:rsidRPr="00F348B7">
        <w:rPr>
          <w:rStyle w:val="FootnoteReference"/>
          <w:rFonts w:cstheme="minorHAnsi"/>
        </w:rPr>
        <w:footnoteRef/>
      </w:r>
      <w:r w:rsidRPr="00F348B7">
        <w:rPr>
          <w:rFonts w:cstheme="minorHAnsi"/>
          <w:lang w:val="es-MX"/>
        </w:rPr>
        <w:t xml:space="preserve"> Publicada en el diario de la federación el 30 de diciembre del 2002</w:t>
      </w:r>
    </w:p>
  </w:footnote>
  <w:footnote w:id="24">
    <w:p w:rsidR="00A9152C" w:rsidRPr="00F348B7" w:rsidRDefault="00A9152C" w:rsidP="00F348B7">
      <w:pPr>
        <w:pStyle w:val="FootnoteText"/>
        <w:jc w:val="both"/>
        <w:rPr>
          <w:rFonts w:cstheme="minorHAnsi"/>
          <w:lang w:val="es-MX"/>
        </w:rPr>
      </w:pPr>
      <w:r w:rsidRPr="00F348B7">
        <w:rPr>
          <w:rStyle w:val="FootnoteReference"/>
          <w:rFonts w:cstheme="minorHAnsi"/>
        </w:rPr>
        <w:footnoteRef/>
      </w:r>
      <w:r w:rsidRPr="00F348B7">
        <w:rPr>
          <w:rFonts w:cstheme="minorHAnsi"/>
          <w:lang w:val="es-MX"/>
        </w:rPr>
        <w:t xml:space="preserve"> Ley de Trasparencia y de Fomento a la Competencia en el Crédito Garantizado (Art. I)</w:t>
      </w:r>
    </w:p>
  </w:footnote>
  <w:footnote w:id="25">
    <w:p w:rsidR="00A9152C" w:rsidRPr="00F348B7" w:rsidRDefault="00A9152C" w:rsidP="00F348B7">
      <w:pPr>
        <w:pStyle w:val="FootnoteText"/>
        <w:jc w:val="both"/>
        <w:rPr>
          <w:rFonts w:cstheme="minorHAnsi"/>
          <w:lang w:val="es-MX"/>
        </w:rPr>
      </w:pPr>
      <w:r w:rsidRPr="00F348B7">
        <w:rPr>
          <w:rStyle w:val="FootnoteReference"/>
          <w:rFonts w:cstheme="minorHAnsi"/>
        </w:rPr>
        <w:footnoteRef/>
      </w:r>
      <w:r w:rsidRPr="00F348B7">
        <w:rPr>
          <w:rFonts w:cstheme="minorHAnsi"/>
          <w:lang w:val="es-MX"/>
        </w:rPr>
        <w:t xml:space="preserve"> Créditos otorgados con garantía real para la remodelación,  adquisición, construcción o refinanciamiento de un bien inmueble.</w:t>
      </w:r>
    </w:p>
  </w:footnote>
  <w:footnote w:id="26">
    <w:p w:rsidR="00A9152C" w:rsidRPr="00F348B7" w:rsidRDefault="00A9152C" w:rsidP="00F348B7">
      <w:pPr>
        <w:pStyle w:val="FootnoteText"/>
        <w:jc w:val="both"/>
        <w:rPr>
          <w:rFonts w:cstheme="minorHAnsi"/>
          <w:lang w:val="es-MX"/>
        </w:rPr>
      </w:pPr>
      <w:r w:rsidRPr="00F348B7">
        <w:rPr>
          <w:rStyle w:val="FootnoteReference"/>
          <w:rFonts w:cstheme="minorHAnsi"/>
        </w:rPr>
        <w:footnoteRef/>
      </w:r>
      <w:r w:rsidRPr="00F348B7">
        <w:rPr>
          <w:rFonts w:cstheme="minorHAnsi"/>
          <w:lang w:val="es-MX"/>
        </w:rPr>
        <w:t xml:space="preserve"> Donde valuador profesional es la persona que cuenta con cédula profesional de postgrado en valuación expedida por la Secretaría de Educación Pública y que se encuentra autorizada para tal efecto por la Sociedad Hipotecaria Federal (Art. III, Sección IX)</w:t>
      </w:r>
    </w:p>
  </w:footnote>
  <w:footnote w:id="27">
    <w:p w:rsidR="00A9152C" w:rsidRPr="00F348B7" w:rsidRDefault="00A9152C" w:rsidP="00F348B7">
      <w:pPr>
        <w:shd w:val="clear" w:color="auto" w:fill="FFFFFF"/>
        <w:spacing w:after="0" w:line="240" w:lineRule="auto"/>
        <w:rPr>
          <w:rFonts w:eastAsia="Times New Roman" w:cstheme="minorHAnsi"/>
          <w:color w:val="222222"/>
          <w:sz w:val="20"/>
          <w:szCs w:val="20"/>
          <w:lang w:eastAsia="es-MX"/>
        </w:rPr>
      </w:pPr>
      <w:r w:rsidRPr="00F348B7">
        <w:rPr>
          <w:rStyle w:val="FootnoteReference"/>
          <w:rFonts w:cstheme="minorHAnsi"/>
          <w:sz w:val="20"/>
          <w:szCs w:val="20"/>
        </w:rPr>
        <w:footnoteRef/>
      </w:r>
      <w:r w:rsidRPr="00F348B7">
        <w:rPr>
          <w:rFonts w:cstheme="minorHAnsi"/>
          <w:sz w:val="20"/>
          <w:szCs w:val="20"/>
        </w:rPr>
        <w:t xml:space="preserve"> </w:t>
      </w:r>
      <w:r w:rsidRPr="00F348B7">
        <w:rPr>
          <w:rFonts w:eastAsia="Times New Roman" w:cstheme="minorHAnsi"/>
          <w:color w:val="222222"/>
          <w:sz w:val="20"/>
          <w:szCs w:val="20"/>
          <w:lang w:eastAsia="es-MX"/>
        </w:rPr>
        <w:t xml:space="preserve">Reglas de Carácter General que Establecen la Metodología para la Valuación de Inmuebles Objeto de Créditos Garantizados a la Vivienda: </w:t>
      </w:r>
      <w:r w:rsidRPr="00F348B7">
        <w:rPr>
          <w:rFonts w:eastAsia="Times New Roman" w:cstheme="minorHAnsi"/>
          <w:sz w:val="20"/>
          <w:szCs w:val="20"/>
          <w:lang w:eastAsia="es-MX"/>
        </w:rPr>
        <w:t>http://www.shf.gob.mx/sobreshf/informacionfinanciera/infofin2007/Documents/ReglasValuadoresModif3.pdf</w:t>
      </w:r>
    </w:p>
  </w:footnote>
  <w:footnote w:id="28">
    <w:p w:rsidR="00A9152C" w:rsidRPr="00F348B7" w:rsidRDefault="00A9152C" w:rsidP="00F348B7">
      <w:pPr>
        <w:pStyle w:val="FootnoteText"/>
        <w:jc w:val="both"/>
        <w:rPr>
          <w:rFonts w:cstheme="minorHAnsi"/>
          <w:lang w:val="es-MX"/>
        </w:rPr>
      </w:pPr>
      <w:r w:rsidRPr="00F348B7">
        <w:rPr>
          <w:rStyle w:val="FootnoteReference"/>
          <w:rFonts w:cstheme="minorHAnsi"/>
        </w:rPr>
        <w:footnoteRef/>
      </w:r>
      <w:r w:rsidRPr="00F348B7">
        <w:rPr>
          <w:rFonts w:cstheme="minorHAnsi"/>
          <w:lang w:val="es-MX"/>
        </w:rPr>
        <w:t xml:space="preserve"> Ibíd. </w:t>
      </w:r>
    </w:p>
  </w:footnote>
  <w:footnote w:id="29">
    <w:p w:rsidR="00A9152C" w:rsidRPr="009F415E" w:rsidRDefault="00A9152C" w:rsidP="00F348B7">
      <w:pPr>
        <w:pStyle w:val="FootnoteText"/>
        <w:jc w:val="both"/>
        <w:rPr>
          <w:lang w:val="es-MX"/>
        </w:rPr>
      </w:pPr>
      <w:r w:rsidRPr="00F348B7">
        <w:rPr>
          <w:rStyle w:val="FootnoteReference"/>
          <w:rFonts w:cstheme="minorHAnsi"/>
        </w:rPr>
        <w:footnoteRef/>
      </w:r>
      <w:r w:rsidRPr="00F348B7">
        <w:rPr>
          <w:rFonts w:cstheme="minorHAnsi"/>
          <w:lang w:val="es-MX"/>
        </w:rPr>
        <w:t xml:space="preserve"> Ibíd.</w:t>
      </w:r>
    </w:p>
  </w:footnote>
  <w:footnote w:id="30">
    <w:p w:rsidR="00A9152C" w:rsidRPr="00F348B7" w:rsidRDefault="00A9152C">
      <w:pPr>
        <w:pStyle w:val="FootnoteText"/>
        <w:rPr>
          <w:lang w:val="es-MX"/>
        </w:rPr>
      </w:pPr>
      <w:r w:rsidRPr="00F348B7">
        <w:rPr>
          <w:rStyle w:val="FootnoteReference"/>
        </w:rPr>
        <w:footnoteRef/>
      </w:r>
      <w:r w:rsidRPr="00F348B7">
        <w:rPr>
          <w:lang w:val="es-MX"/>
        </w:rPr>
        <w:t xml:space="preserve">  Ver anexo (Tabla 1)</w:t>
      </w:r>
    </w:p>
  </w:footnote>
  <w:footnote w:id="31">
    <w:p w:rsidR="00A9152C" w:rsidRPr="00F348B7" w:rsidRDefault="00A9152C">
      <w:pPr>
        <w:pStyle w:val="FootnoteText"/>
        <w:rPr>
          <w:lang w:val="es-MX"/>
        </w:rPr>
      </w:pPr>
      <w:r w:rsidRPr="00F348B7">
        <w:rPr>
          <w:rStyle w:val="FootnoteReference"/>
        </w:rPr>
        <w:footnoteRef/>
      </w:r>
      <w:r w:rsidRPr="00F348B7">
        <w:rPr>
          <w:lang w:val="es-MX"/>
        </w:rPr>
        <w:t xml:space="preserve">  Ver anexo (Tabla 2)</w:t>
      </w:r>
    </w:p>
  </w:footnote>
  <w:footnote w:id="32">
    <w:p w:rsidR="00A9152C" w:rsidRPr="00F348B7" w:rsidRDefault="00A9152C">
      <w:pPr>
        <w:pStyle w:val="FootnoteText"/>
        <w:rPr>
          <w:lang w:val="es-MX"/>
        </w:rPr>
      </w:pPr>
      <w:r w:rsidRPr="00F348B7">
        <w:rPr>
          <w:rStyle w:val="FootnoteReference"/>
        </w:rPr>
        <w:footnoteRef/>
      </w:r>
      <w:r w:rsidRPr="00F348B7">
        <w:rPr>
          <w:lang w:val="es-MX"/>
        </w:rPr>
        <w:t xml:space="preserve"> Ver anexo (Tablas 5-14)</w:t>
      </w:r>
    </w:p>
  </w:footnote>
  <w:footnote w:id="33">
    <w:p w:rsidR="00A9152C" w:rsidRPr="00F348B7" w:rsidRDefault="00A9152C">
      <w:pPr>
        <w:pStyle w:val="FootnoteText"/>
        <w:rPr>
          <w:lang w:val="es-MX"/>
        </w:rPr>
      </w:pPr>
      <w:r w:rsidRPr="00F348B7">
        <w:rPr>
          <w:rStyle w:val="FootnoteReference"/>
        </w:rPr>
        <w:footnoteRef/>
      </w:r>
      <w:r w:rsidRPr="00F348B7">
        <w:rPr>
          <w:lang w:val="es-MX"/>
        </w:rPr>
        <w:t xml:space="preserve">  35, 625,148 viviendas entre las habitadas y las deshabitadas.</w:t>
      </w:r>
    </w:p>
  </w:footnote>
  <w:footnote w:id="34">
    <w:p w:rsidR="00A9152C" w:rsidRPr="00F348B7" w:rsidRDefault="00A9152C" w:rsidP="00F63328">
      <w:pPr>
        <w:spacing w:after="0" w:line="240" w:lineRule="auto"/>
        <w:rPr>
          <w:rFonts w:eastAsia="Times New Roman" w:cstheme="minorHAnsi"/>
          <w:color w:val="000000" w:themeColor="text1"/>
          <w:sz w:val="20"/>
          <w:szCs w:val="20"/>
          <w:lang w:val="es-MX" w:eastAsia="es-MX"/>
        </w:rPr>
      </w:pPr>
      <w:r w:rsidRPr="00F348B7">
        <w:rPr>
          <w:rStyle w:val="FootnoteReference"/>
          <w:sz w:val="20"/>
          <w:szCs w:val="20"/>
        </w:rPr>
        <w:footnoteRef/>
      </w:r>
      <w:r w:rsidRPr="00F348B7">
        <w:rPr>
          <w:sz w:val="20"/>
          <w:szCs w:val="20"/>
          <w:lang w:val="es-MX"/>
        </w:rPr>
        <w:t xml:space="preserve"> </w:t>
      </w:r>
      <w:r w:rsidRPr="00F348B7">
        <w:rPr>
          <w:sz w:val="20"/>
          <w:szCs w:val="20"/>
          <w:lang w:val="es-MX" w:eastAsia="zh-CN"/>
        </w:rPr>
        <w:t xml:space="preserve">Número de Acciones en Vivienda en el Ámbito Nacional por Grupos de Organismos, Organismo, Programa y Subprograma (CONAVI): </w:t>
      </w:r>
      <w:hyperlink r:id="rId1" w:history="1">
        <w:r w:rsidRPr="00F348B7">
          <w:rPr>
            <w:sz w:val="20"/>
            <w:szCs w:val="20"/>
            <w:lang w:val="es-MX" w:eastAsia="zh-CN"/>
          </w:rPr>
          <w:t>http://www.conavi.gob.mx/meta-anual-seguimiento-tren-vivienda/vivienda-cifras-estadisitcas-vivienda</w:t>
        </w:r>
      </w:hyperlink>
      <w:r w:rsidRPr="00F348B7">
        <w:rPr>
          <w:sz w:val="20"/>
          <w:szCs w:val="20"/>
          <w:lang w:val="es-MX" w:eastAsia="zh-CN"/>
        </w:rPr>
        <w:t>.</w:t>
      </w:r>
    </w:p>
  </w:footnote>
  <w:footnote w:id="35">
    <w:p w:rsidR="00A9152C" w:rsidRPr="00666104" w:rsidRDefault="00A9152C">
      <w:pPr>
        <w:pStyle w:val="FootnoteText"/>
        <w:rPr>
          <w:lang w:val="es-MX"/>
        </w:rPr>
      </w:pPr>
      <w:r w:rsidRPr="00F348B7">
        <w:rPr>
          <w:rStyle w:val="FootnoteReference"/>
        </w:rPr>
        <w:footnoteRef/>
      </w:r>
      <w:r w:rsidRPr="00F348B7">
        <w:rPr>
          <w:lang w:val="es-MX"/>
        </w:rPr>
        <w:t xml:space="preserve"> Tomando como referencia la definición del INEGI sobre las localidades rurales y urbanas: una localidad urbana es aquella que tiene más de 2,500 habitantes o es cabecera municipal.</w:t>
      </w:r>
    </w:p>
  </w:footnote>
  <w:footnote w:id="36">
    <w:p w:rsidR="00A9152C" w:rsidRPr="00757018" w:rsidRDefault="00A9152C" w:rsidP="004F1FFF">
      <w:pPr>
        <w:pStyle w:val="FootnoteText"/>
        <w:rPr>
          <w:lang w:val="es-MX"/>
        </w:rPr>
      </w:pPr>
      <w:r>
        <w:rPr>
          <w:rStyle w:val="FootnoteReference"/>
        </w:rPr>
        <w:footnoteRef/>
      </w:r>
      <w:r>
        <w:rPr>
          <w:lang w:val="es-MX"/>
        </w:rPr>
        <w:t>Análisis realizado con la base de avalúos depurada.</w:t>
      </w:r>
    </w:p>
  </w:footnote>
  <w:footnote w:id="37">
    <w:p w:rsidR="00A9152C" w:rsidRPr="00BD2077" w:rsidRDefault="00A9152C" w:rsidP="004F1FFF">
      <w:pPr>
        <w:pStyle w:val="FootnoteText"/>
        <w:rPr>
          <w:lang w:val="es-MX"/>
        </w:rPr>
      </w:pPr>
      <w:r>
        <w:rPr>
          <w:rStyle w:val="FootnoteReference"/>
        </w:rPr>
        <w:footnoteRef/>
      </w:r>
      <w:r w:rsidRPr="00BD2077">
        <w:rPr>
          <w:lang w:val="es-MX"/>
        </w:rPr>
        <w:t xml:space="preserve"> </w:t>
      </w:r>
      <w:r>
        <w:rPr>
          <w:lang w:val="es-MX"/>
        </w:rPr>
        <w:t>“C</w:t>
      </w:r>
      <w:r w:rsidRPr="00BD2077">
        <w:rPr>
          <w:lang w:val="es-MX"/>
        </w:rPr>
        <w:t xml:space="preserve">omprender la elaboración de esta base de datos”, disponible en: </w:t>
      </w:r>
      <w:hyperlink r:id="rId2" w:history="1">
        <w:r w:rsidRPr="00BD2077">
          <w:rPr>
            <w:rStyle w:val="Hyperlink"/>
            <w:lang w:val="es-MX"/>
          </w:rPr>
          <w:t>http://www.presidencia.gob.mx/base-de-datos-de-fallecimientos/</w:t>
        </w:r>
      </w:hyperlink>
    </w:p>
  </w:footnote>
  <w:footnote w:id="38">
    <w:p w:rsidR="00A9152C" w:rsidRPr="00BD2077" w:rsidRDefault="00A9152C" w:rsidP="004F1FFF">
      <w:pPr>
        <w:pStyle w:val="FootnoteText"/>
        <w:rPr>
          <w:lang w:val="es-MX"/>
        </w:rPr>
      </w:pPr>
      <w:r>
        <w:rPr>
          <w:rStyle w:val="FootnoteReference"/>
        </w:rPr>
        <w:footnoteRef/>
      </w:r>
      <w:r w:rsidRPr="00BD2077">
        <w:rPr>
          <w:lang w:val="es-MX"/>
        </w:rPr>
        <w:t xml:space="preserve"> Es responsabilidad del comité reclasificar los casos para los cuales se descubra nueva evidencia que clarifique las circunstancias del evento.</w:t>
      </w:r>
    </w:p>
  </w:footnote>
  <w:footnote w:id="39">
    <w:p w:rsidR="00A9152C" w:rsidRPr="003E3967" w:rsidRDefault="00A9152C" w:rsidP="004F1FFF">
      <w:pPr>
        <w:pStyle w:val="FootnoteText"/>
        <w:rPr>
          <w:lang w:val="es-MX"/>
        </w:rPr>
      </w:pPr>
      <w:r>
        <w:rPr>
          <w:rStyle w:val="FootnoteReference"/>
        </w:rPr>
        <w:footnoteRef/>
      </w:r>
      <w:r w:rsidRPr="003E3967">
        <w:rPr>
          <w:lang w:val="es-MX"/>
        </w:rPr>
        <w:t xml:space="preserve"> </w:t>
      </w:r>
      <w:r>
        <w:rPr>
          <w:lang w:val="es-MX"/>
        </w:rPr>
        <w:t>La mayoría de las actas son registrados por médicos forenses aunque se puede dar el caso de que un presidente muncipal, regidor o cualquier otra figura civil lo registre ; en especial, sucede en localidades rurales y pequeñas.</w:t>
      </w:r>
    </w:p>
  </w:footnote>
  <w:footnote w:id="40">
    <w:p w:rsidR="00A9152C" w:rsidRPr="000905C4" w:rsidRDefault="00A9152C" w:rsidP="004F1FFF">
      <w:pPr>
        <w:pStyle w:val="FootnoteText"/>
        <w:rPr>
          <w:lang w:val="es-MX"/>
        </w:rPr>
      </w:pPr>
      <w:r>
        <w:rPr>
          <w:rStyle w:val="FootnoteReference"/>
        </w:rPr>
        <w:footnoteRef/>
      </w:r>
      <w:r w:rsidRPr="000905C4">
        <w:rPr>
          <w:lang w:val="es-MX"/>
        </w:rPr>
        <w:t xml:space="preserve"> </w:t>
      </w:r>
      <w:r>
        <w:rPr>
          <w:lang w:val="es-MX"/>
        </w:rPr>
        <w:t xml:space="preserve">Se cataloga una defunción como homicidios con el criterio del médico o la autoridad civil encargada de registrar el acta, algunas veces es personal del Ministerio Público. </w:t>
      </w:r>
    </w:p>
  </w:footnote>
  <w:footnote w:id="41">
    <w:p w:rsidR="00A9152C" w:rsidRPr="00970F74" w:rsidRDefault="00A9152C" w:rsidP="004F1FFF">
      <w:pPr>
        <w:pStyle w:val="FootnoteText"/>
        <w:rPr>
          <w:lang w:val="es-MX"/>
        </w:rPr>
      </w:pPr>
      <w:r>
        <w:rPr>
          <w:rStyle w:val="FootnoteReference"/>
        </w:rPr>
        <w:footnoteRef/>
      </w:r>
      <w:r w:rsidRPr="00970F74">
        <w:rPr>
          <w:lang w:val="es-MX"/>
        </w:rPr>
        <w:t xml:space="preserve"> </w:t>
      </w:r>
      <w:r>
        <w:rPr>
          <w:lang w:val="es-MX"/>
        </w:rPr>
        <w:t>El INEGI y el SINAIS utilizan las mismas claves para identificar estados, municipios y localidades en sus pero en la practica hay divergencias algunas claves que no se encuentran en uno u otra base. En este caso estamos usando el Censo Poblacional del 2010 como punto de referencia del INEGI.</w:t>
      </w:r>
    </w:p>
  </w:footnote>
  <w:footnote w:id="42">
    <w:p w:rsidR="00A9152C" w:rsidRPr="00FE44E7" w:rsidRDefault="00A9152C" w:rsidP="004F1FFF">
      <w:pPr>
        <w:pStyle w:val="FootnoteText"/>
        <w:rPr>
          <w:lang w:val="es-MX"/>
        </w:rPr>
      </w:pPr>
      <w:r>
        <w:rPr>
          <w:rStyle w:val="FootnoteReference"/>
        </w:rPr>
        <w:footnoteRef/>
      </w:r>
      <w:r w:rsidRPr="00FE44E7">
        <w:rPr>
          <w:lang w:val="es-MX"/>
        </w:rPr>
        <w:t xml:space="preserve"> </w:t>
      </w:r>
      <w:r>
        <w:rPr>
          <w:lang w:val="es-MX"/>
        </w:rPr>
        <w:t>Ocurrieron homicidios en 14,927  de las 192,245 localidades en el país.</w:t>
      </w:r>
    </w:p>
  </w:footnote>
  <w:footnote w:id="43">
    <w:p w:rsidR="00A9152C" w:rsidRPr="0028561D" w:rsidRDefault="00A9152C" w:rsidP="004F1FFF">
      <w:pPr>
        <w:pStyle w:val="FootnoteText"/>
        <w:rPr>
          <w:lang w:val="es-MX"/>
        </w:rPr>
      </w:pPr>
      <w:r>
        <w:rPr>
          <w:rStyle w:val="FootnoteReference"/>
        </w:rPr>
        <w:footnoteRef/>
      </w:r>
      <w:r w:rsidRPr="0028561D">
        <w:rPr>
          <w:lang w:val="es-MX"/>
        </w:rPr>
        <w:t xml:space="preserve"> </w:t>
      </w:r>
      <w:r>
        <w:rPr>
          <w:lang w:val="es-MX"/>
        </w:rPr>
        <w:t>En esas 3,935localidades hubo 56,328 homicidios.</w:t>
      </w:r>
    </w:p>
  </w:footnote>
  <w:footnote w:id="44">
    <w:p w:rsidR="00A9152C" w:rsidRPr="0061747B" w:rsidRDefault="00A9152C" w:rsidP="00F94E73">
      <w:pPr>
        <w:pStyle w:val="FootnoteText"/>
        <w:rPr>
          <w:lang w:val="es-MX"/>
        </w:rPr>
      </w:pPr>
      <w:r>
        <w:rPr>
          <w:rStyle w:val="FootnoteReference"/>
        </w:rPr>
        <w:footnoteRef/>
      </w:r>
      <w:r w:rsidRPr="0061747B">
        <w:rPr>
          <w:lang w:val="es-MX"/>
        </w:rPr>
        <w:t xml:space="preserve"> Dos servicio : no hay l</w:t>
      </w:r>
      <w:r>
        <w:rPr>
          <w:lang w:val="es-MX"/>
        </w:rPr>
        <w:t>uz, drenaje o agua. Tres servicios:  hay luz, drenaje y agua. Cinco servicios: las tres anteriores más alumbrado público y vialidades. Siete servicios: las cinco anteriores más gas natural y seguridad privada.</w:t>
      </w:r>
    </w:p>
  </w:footnote>
  <w:footnote w:id="45">
    <w:p w:rsidR="00A9152C" w:rsidRPr="0061747B" w:rsidRDefault="00A9152C" w:rsidP="00F94E73">
      <w:pPr>
        <w:pStyle w:val="FootnoteText"/>
        <w:rPr>
          <w:lang w:val="es-MX"/>
        </w:rPr>
      </w:pPr>
      <w:r>
        <w:rPr>
          <w:rStyle w:val="FootnoteReference"/>
        </w:rPr>
        <w:footnoteRef/>
      </w:r>
      <w:r w:rsidRPr="0061747B">
        <w:rPr>
          <w:lang w:val="es-MX"/>
        </w:rPr>
        <w:t xml:space="preserve"> ídib</w:t>
      </w:r>
    </w:p>
  </w:footnote>
  <w:footnote w:id="46">
    <w:p w:rsidR="00A9152C" w:rsidRPr="00327DFC" w:rsidRDefault="00A9152C" w:rsidP="00F94E73">
      <w:pPr>
        <w:pStyle w:val="FootnoteText"/>
        <w:rPr>
          <w:lang w:val="es-MX"/>
        </w:rPr>
      </w:pPr>
      <w:r>
        <w:rPr>
          <w:rStyle w:val="FootnoteReference"/>
        </w:rPr>
        <w:footnoteRef/>
      </w:r>
      <w:r w:rsidRPr="00327DFC">
        <w:rPr>
          <w:lang w:val="es-MX"/>
        </w:rPr>
        <w:t xml:space="preserve"> Donde or</w:t>
      </w:r>
      <w:r>
        <w:rPr>
          <w:lang w:val="es-MX"/>
        </w:rPr>
        <w:t>i</w:t>
      </w:r>
      <w:r w:rsidRPr="00327DFC">
        <w:rPr>
          <w:lang w:val="es-MX"/>
        </w:rPr>
        <w:t>ginación quiere decir q</w:t>
      </w:r>
      <w:r>
        <w:rPr>
          <w:lang w:val="es-MX"/>
        </w:rPr>
        <w:t xml:space="preserve">ue la vivienda será comprada con crédito por primera vez. Recuperación quiere decir que la vivienda fue perdida por falta de pagos y se esta volviendo a adquirir por otro sujeto. </w:t>
      </w:r>
    </w:p>
  </w:footnote>
  <w:footnote w:id="47">
    <w:p w:rsidR="00A9152C" w:rsidRPr="00327DFC" w:rsidRDefault="00A9152C" w:rsidP="00F94E73">
      <w:pPr>
        <w:pStyle w:val="FootnoteText"/>
        <w:rPr>
          <w:lang w:val="es-MX"/>
        </w:rPr>
      </w:pPr>
      <w:r>
        <w:rPr>
          <w:rStyle w:val="FootnoteReference"/>
        </w:rPr>
        <w:footnoteRef/>
      </w:r>
      <w:r w:rsidRPr="00327DFC">
        <w:rPr>
          <w:lang w:val="es-MX"/>
        </w:rPr>
        <w:t xml:space="preserve"> Ibíd.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1C0"/>
    <w:multiLevelType w:val="hybridMultilevel"/>
    <w:tmpl w:val="AB4ADD24"/>
    <w:lvl w:ilvl="0" w:tplc="2362CDFA">
      <w:start w:val="1"/>
      <w:numFmt w:val="bullet"/>
      <w:lvlText w:val="■"/>
      <w:lvlJc w:val="left"/>
      <w:pPr>
        <w:ind w:left="720" w:hanging="360"/>
      </w:pPr>
      <w:rPr>
        <w:rFonts w:ascii="Times New Roman" w:hAnsi="Times New Roman" w:cs="Times New Roman" w:hint="default"/>
        <w:color w:val="1F497D"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Marlett" w:hAnsi="Marlett"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Marlett" w:hAnsi="Marlett"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Marlett" w:hAnsi="Marlett" w:hint="default"/>
      </w:rPr>
    </w:lvl>
  </w:abstractNum>
  <w:abstractNum w:abstractNumId="1">
    <w:nsid w:val="113138AD"/>
    <w:multiLevelType w:val="hybridMultilevel"/>
    <w:tmpl w:val="58C2633A"/>
    <w:lvl w:ilvl="0" w:tplc="087CEE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A3517B"/>
    <w:multiLevelType w:val="hybridMultilevel"/>
    <w:tmpl w:val="B5F2AD0C"/>
    <w:lvl w:ilvl="0" w:tplc="5C802E32">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Marlett" w:hAnsi="Marlett"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Marlett" w:hAnsi="Marlett"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Marlett" w:hAnsi="Marlett" w:hint="default"/>
      </w:rPr>
    </w:lvl>
  </w:abstractNum>
  <w:abstractNum w:abstractNumId="3">
    <w:nsid w:val="12D51B0E"/>
    <w:multiLevelType w:val="hybridMultilevel"/>
    <w:tmpl w:val="318E627A"/>
    <w:lvl w:ilvl="0" w:tplc="0C0A0001">
      <w:start w:val="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Marlett" w:hAnsi="Marlett"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Marlett" w:hAnsi="Marlett"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Marlett" w:hAnsi="Marlett" w:hint="default"/>
      </w:rPr>
    </w:lvl>
  </w:abstractNum>
  <w:abstractNum w:abstractNumId="4">
    <w:nsid w:val="3AF76529"/>
    <w:multiLevelType w:val="multilevel"/>
    <w:tmpl w:val="8F205628"/>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D53388"/>
    <w:multiLevelType w:val="hybridMultilevel"/>
    <w:tmpl w:val="A80C8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1A"/>
    <w:rsid w:val="00003C05"/>
    <w:rsid w:val="00006B38"/>
    <w:rsid w:val="00012380"/>
    <w:rsid w:val="00012883"/>
    <w:rsid w:val="00012E55"/>
    <w:rsid w:val="00014AEE"/>
    <w:rsid w:val="00017A0C"/>
    <w:rsid w:val="000224EF"/>
    <w:rsid w:val="00024002"/>
    <w:rsid w:val="00026921"/>
    <w:rsid w:val="00030717"/>
    <w:rsid w:val="00033C2C"/>
    <w:rsid w:val="00033D1B"/>
    <w:rsid w:val="000340E1"/>
    <w:rsid w:val="00037BB2"/>
    <w:rsid w:val="00046B22"/>
    <w:rsid w:val="00047F2F"/>
    <w:rsid w:val="00052035"/>
    <w:rsid w:val="00060B60"/>
    <w:rsid w:val="0006200D"/>
    <w:rsid w:val="00067C7B"/>
    <w:rsid w:val="00070341"/>
    <w:rsid w:val="0007144F"/>
    <w:rsid w:val="00072BD3"/>
    <w:rsid w:val="0007357A"/>
    <w:rsid w:val="0007403F"/>
    <w:rsid w:val="000743DF"/>
    <w:rsid w:val="00074650"/>
    <w:rsid w:val="00074F87"/>
    <w:rsid w:val="00076500"/>
    <w:rsid w:val="0007697A"/>
    <w:rsid w:val="00077A60"/>
    <w:rsid w:val="000813EC"/>
    <w:rsid w:val="00082084"/>
    <w:rsid w:val="00082359"/>
    <w:rsid w:val="0008580F"/>
    <w:rsid w:val="000863FE"/>
    <w:rsid w:val="00086401"/>
    <w:rsid w:val="00092165"/>
    <w:rsid w:val="000927D7"/>
    <w:rsid w:val="00093302"/>
    <w:rsid w:val="000976AB"/>
    <w:rsid w:val="000A4F91"/>
    <w:rsid w:val="000B17FD"/>
    <w:rsid w:val="000B26AF"/>
    <w:rsid w:val="000B5791"/>
    <w:rsid w:val="000C0184"/>
    <w:rsid w:val="000C1899"/>
    <w:rsid w:val="000C359E"/>
    <w:rsid w:val="000C3866"/>
    <w:rsid w:val="000C7090"/>
    <w:rsid w:val="000C7994"/>
    <w:rsid w:val="000C7F96"/>
    <w:rsid w:val="000D0EEF"/>
    <w:rsid w:val="000D2480"/>
    <w:rsid w:val="000D3256"/>
    <w:rsid w:val="000D50AF"/>
    <w:rsid w:val="000E0927"/>
    <w:rsid w:val="000E0C5C"/>
    <w:rsid w:val="000E3148"/>
    <w:rsid w:val="000E338E"/>
    <w:rsid w:val="000F6FAA"/>
    <w:rsid w:val="001003DF"/>
    <w:rsid w:val="001114D9"/>
    <w:rsid w:val="00111FC0"/>
    <w:rsid w:val="001122B3"/>
    <w:rsid w:val="00112FBB"/>
    <w:rsid w:val="001374AF"/>
    <w:rsid w:val="00141105"/>
    <w:rsid w:val="0014395F"/>
    <w:rsid w:val="00144ABF"/>
    <w:rsid w:val="0014682E"/>
    <w:rsid w:val="00151DD4"/>
    <w:rsid w:val="00165EFF"/>
    <w:rsid w:val="001671B6"/>
    <w:rsid w:val="00167F1C"/>
    <w:rsid w:val="0017024F"/>
    <w:rsid w:val="0017161A"/>
    <w:rsid w:val="001717C8"/>
    <w:rsid w:val="001746CC"/>
    <w:rsid w:val="00174B21"/>
    <w:rsid w:val="00176AA2"/>
    <w:rsid w:val="001805AA"/>
    <w:rsid w:val="00180709"/>
    <w:rsid w:val="00180818"/>
    <w:rsid w:val="001824C0"/>
    <w:rsid w:val="0018479A"/>
    <w:rsid w:val="00184A23"/>
    <w:rsid w:val="00184E5D"/>
    <w:rsid w:val="00185C6B"/>
    <w:rsid w:val="00186430"/>
    <w:rsid w:val="0019035F"/>
    <w:rsid w:val="0019204B"/>
    <w:rsid w:val="00197BCC"/>
    <w:rsid w:val="001A0EF7"/>
    <w:rsid w:val="001A2373"/>
    <w:rsid w:val="001A2AD8"/>
    <w:rsid w:val="001A4D0B"/>
    <w:rsid w:val="001A5F3B"/>
    <w:rsid w:val="001A5FFD"/>
    <w:rsid w:val="001A72D7"/>
    <w:rsid w:val="001B29D0"/>
    <w:rsid w:val="001B63CA"/>
    <w:rsid w:val="001B656A"/>
    <w:rsid w:val="001C115D"/>
    <w:rsid w:val="001C4435"/>
    <w:rsid w:val="001C4855"/>
    <w:rsid w:val="001D05A5"/>
    <w:rsid w:val="001D318D"/>
    <w:rsid w:val="001D4419"/>
    <w:rsid w:val="001D658B"/>
    <w:rsid w:val="001D7677"/>
    <w:rsid w:val="001E29FB"/>
    <w:rsid w:val="001E7047"/>
    <w:rsid w:val="001E7953"/>
    <w:rsid w:val="001E7F6E"/>
    <w:rsid w:val="001F4296"/>
    <w:rsid w:val="002016B5"/>
    <w:rsid w:val="00202135"/>
    <w:rsid w:val="00202A0D"/>
    <w:rsid w:val="00205C7F"/>
    <w:rsid w:val="00205DB8"/>
    <w:rsid w:val="00206F2A"/>
    <w:rsid w:val="00207B37"/>
    <w:rsid w:val="00210F13"/>
    <w:rsid w:val="002133D6"/>
    <w:rsid w:val="002139C8"/>
    <w:rsid w:val="0021720A"/>
    <w:rsid w:val="00217957"/>
    <w:rsid w:val="0022268B"/>
    <w:rsid w:val="0022718C"/>
    <w:rsid w:val="00230985"/>
    <w:rsid w:val="00232A87"/>
    <w:rsid w:val="00234A88"/>
    <w:rsid w:val="0023555F"/>
    <w:rsid w:val="002359A9"/>
    <w:rsid w:val="00241374"/>
    <w:rsid w:val="00243D78"/>
    <w:rsid w:val="0024410F"/>
    <w:rsid w:val="00244B48"/>
    <w:rsid w:val="002453F1"/>
    <w:rsid w:val="002501A4"/>
    <w:rsid w:val="0025113C"/>
    <w:rsid w:val="002527F5"/>
    <w:rsid w:val="002541DA"/>
    <w:rsid w:val="00255D98"/>
    <w:rsid w:val="00256C6B"/>
    <w:rsid w:val="00256F2F"/>
    <w:rsid w:val="00257602"/>
    <w:rsid w:val="00261E61"/>
    <w:rsid w:val="00262A70"/>
    <w:rsid w:val="00262E48"/>
    <w:rsid w:val="00262F96"/>
    <w:rsid w:val="002650A4"/>
    <w:rsid w:val="002657D2"/>
    <w:rsid w:val="00265EA4"/>
    <w:rsid w:val="002669A5"/>
    <w:rsid w:val="002706F0"/>
    <w:rsid w:val="00270B53"/>
    <w:rsid w:val="002737CA"/>
    <w:rsid w:val="00273E16"/>
    <w:rsid w:val="002750EB"/>
    <w:rsid w:val="00275FC0"/>
    <w:rsid w:val="002761CF"/>
    <w:rsid w:val="00276C26"/>
    <w:rsid w:val="00277AB6"/>
    <w:rsid w:val="00282F32"/>
    <w:rsid w:val="0028561D"/>
    <w:rsid w:val="00285E41"/>
    <w:rsid w:val="00287E01"/>
    <w:rsid w:val="002910DF"/>
    <w:rsid w:val="00291FC8"/>
    <w:rsid w:val="002A4CDB"/>
    <w:rsid w:val="002A54CF"/>
    <w:rsid w:val="002B480D"/>
    <w:rsid w:val="002B4EE5"/>
    <w:rsid w:val="002C1CC8"/>
    <w:rsid w:val="002C1FEB"/>
    <w:rsid w:val="002C4713"/>
    <w:rsid w:val="002C65D6"/>
    <w:rsid w:val="002D1B43"/>
    <w:rsid w:val="002D2E9B"/>
    <w:rsid w:val="002D310B"/>
    <w:rsid w:val="002D57FF"/>
    <w:rsid w:val="002D5B5D"/>
    <w:rsid w:val="002E0B6C"/>
    <w:rsid w:val="002E3643"/>
    <w:rsid w:val="002E441A"/>
    <w:rsid w:val="002E46F9"/>
    <w:rsid w:val="002E60E0"/>
    <w:rsid w:val="002F4304"/>
    <w:rsid w:val="003000B5"/>
    <w:rsid w:val="00300144"/>
    <w:rsid w:val="00300D4F"/>
    <w:rsid w:val="00300EAE"/>
    <w:rsid w:val="00307257"/>
    <w:rsid w:val="00311E10"/>
    <w:rsid w:val="003124F9"/>
    <w:rsid w:val="00312B38"/>
    <w:rsid w:val="00314A8A"/>
    <w:rsid w:val="00314D8F"/>
    <w:rsid w:val="00315E9B"/>
    <w:rsid w:val="00334CB8"/>
    <w:rsid w:val="0033504B"/>
    <w:rsid w:val="0033703C"/>
    <w:rsid w:val="00337AEC"/>
    <w:rsid w:val="00344263"/>
    <w:rsid w:val="00346033"/>
    <w:rsid w:val="00346FF7"/>
    <w:rsid w:val="00347036"/>
    <w:rsid w:val="003500F1"/>
    <w:rsid w:val="003551A1"/>
    <w:rsid w:val="003608EC"/>
    <w:rsid w:val="003609AB"/>
    <w:rsid w:val="003667BD"/>
    <w:rsid w:val="00367912"/>
    <w:rsid w:val="00367C4D"/>
    <w:rsid w:val="0037043E"/>
    <w:rsid w:val="00370498"/>
    <w:rsid w:val="0037140D"/>
    <w:rsid w:val="00374609"/>
    <w:rsid w:val="00381210"/>
    <w:rsid w:val="00382611"/>
    <w:rsid w:val="003829C5"/>
    <w:rsid w:val="00383C6B"/>
    <w:rsid w:val="003869E1"/>
    <w:rsid w:val="003877C7"/>
    <w:rsid w:val="0038793B"/>
    <w:rsid w:val="003902A3"/>
    <w:rsid w:val="0039127E"/>
    <w:rsid w:val="003926C4"/>
    <w:rsid w:val="003947AE"/>
    <w:rsid w:val="00395962"/>
    <w:rsid w:val="00395F2C"/>
    <w:rsid w:val="003A4FEB"/>
    <w:rsid w:val="003A60A4"/>
    <w:rsid w:val="003A60EE"/>
    <w:rsid w:val="003A6918"/>
    <w:rsid w:val="003B2D65"/>
    <w:rsid w:val="003B3259"/>
    <w:rsid w:val="003B3279"/>
    <w:rsid w:val="003B683D"/>
    <w:rsid w:val="003B76FC"/>
    <w:rsid w:val="003B79BE"/>
    <w:rsid w:val="003C07C5"/>
    <w:rsid w:val="003C2E25"/>
    <w:rsid w:val="003C400C"/>
    <w:rsid w:val="003C4B59"/>
    <w:rsid w:val="003C6EF3"/>
    <w:rsid w:val="003D0152"/>
    <w:rsid w:val="003D19D4"/>
    <w:rsid w:val="003D4448"/>
    <w:rsid w:val="003D44FD"/>
    <w:rsid w:val="003E01FC"/>
    <w:rsid w:val="003E2B7A"/>
    <w:rsid w:val="003E3EF1"/>
    <w:rsid w:val="003E4A53"/>
    <w:rsid w:val="003E5A30"/>
    <w:rsid w:val="003E5EBC"/>
    <w:rsid w:val="003E664A"/>
    <w:rsid w:val="003F28E7"/>
    <w:rsid w:val="003F31E0"/>
    <w:rsid w:val="003F423F"/>
    <w:rsid w:val="003F67FD"/>
    <w:rsid w:val="004054F1"/>
    <w:rsid w:val="0040624C"/>
    <w:rsid w:val="00406679"/>
    <w:rsid w:val="00406C33"/>
    <w:rsid w:val="00407D63"/>
    <w:rsid w:val="00411082"/>
    <w:rsid w:val="00415193"/>
    <w:rsid w:val="00420033"/>
    <w:rsid w:val="00420B1F"/>
    <w:rsid w:val="004211F4"/>
    <w:rsid w:val="00425588"/>
    <w:rsid w:val="00427142"/>
    <w:rsid w:val="004279A1"/>
    <w:rsid w:val="004306C3"/>
    <w:rsid w:val="0043586E"/>
    <w:rsid w:val="00437F3D"/>
    <w:rsid w:val="004438C6"/>
    <w:rsid w:val="00447B7D"/>
    <w:rsid w:val="00451F11"/>
    <w:rsid w:val="00451F63"/>
    <w:rsid w:val="004530EF"/>
    <w:rsid w:val="004538F8"/>
    <w:rsid w:val="004543AE"/>
    <w:rsid w:val="004549A6"/>
    <w:rsid w:val="00454FFF"/>
    <w:rsid w:val="004552A7"/>
    <w:rsid w:val="00455B1B"/>
    <w:rsid w:val="00456BF1"/>
    <w:rsid w:val="00457227"/>
    <w:rsid w:val="004613CB"/>
    <w:rsid w:val="0046257B"/>
    <w:rsid w:val="004660A3"/>
    <w:rsid w:val="00467029"/>
    <w:rsid w:val="004679CA"/>
    <w:rsid w:val="00470181"/>
    <w:rsid w:val="004704E6"/>
    <w:rsid w:val="00472E2E"/>
    <w:rsid w:val="00473B19"/>
    <w:rsid w:val="00474C71"/>
    <w:rsid w:val="00477497"/>
    <w:rsid w:val="0048172F"/>
    <w:rsid w:val="004849FF"/>
    <w:rsid w:val="00485F98"/>
    <w:rsid w:val="00496217"/>
    <w:rsid w:val="00496AFC"/>
    <w:rsid w:val="00497C5D"/>
    <w:rsid w:val="004A41EE"/>
    <w:rsid w:val="004A595C"/>
    <w:rsid w:val="004B0DCA"/>
    <w:rsid w:val="004B2060"/>
    <w:rsid w:val="004B6670"/>
    <w:rsid w:val="004B7316"/>
    <w:rsid w:val="004C297C"/>
    <w:rsid w:val="004C4BDC"/>
    <w:rsid w:val="004C540F"/>
    <w:rsid w:val="004D05F7"/>
    <w:rsid w:val="004D1F03"/>
    <w:rsid w:val="004D31C3"/>
    <w:rsid w:val="004D66BD"/>
    <w:rsid w:val="004D7442"/>
    <w:rsid w:val="004E1147"/>
    <w:rsid w:val="004E1679"/>
    <w:rsid w:val="004E2235"/>
    <w:rsid w:val="004E77A4"/>
    <w:rsid w:val="004F1968"/>
    <w:rsid w:val="004F1FFF"/>
    <w:rsid w:val="004F2835"/>
    <w:rsid w:val="004F5DC4"/>
    <w:rsid w:val="004F77D8"/>
    <w:rsid w:val="00500025"/>
    <w:rsid w:val="005016A3"/>
    <w:rsid w:val="00507CD9"/>
    <w:rsid w:val="0051050F"/>
    <w:rsid w:val="0051123A"/>
    <w:rsid w:val="005137A9"/>
    <w:rsid w:val="005153DA"/>
    <w:rsid w:val="00515B33"/>
    <w:rsid w:val="00516058"/>
    <w:rsid w:val="00516F3E"/>
    <w:rsid w:val="0051757D"/>
    <w:rsid w:val="005249A5"/>
    <w:rsid w:val="0052514A"/>
    <w:rsid w:val="00530D67"/>
    <w:rsid w:val="00532693"/>
    <w:rsid w:val="00532748"/>
    <w:rsid w:val="00532A73"/>
    <w:rsid w:val="00533708"/>
    <w:rsid w:val="00535D37"/>
    <w:rsid w:val="0054414F"/>
    <w:rsid w:val="005452F6"/>
    <w:rsid w:val="0055479C"/>
    <w:rsid w:val="00557196"/>
    <w:rsid w:val="00557F66"/>
    <w:rsid w:val="00563CA4"/>
    <w:rsid w:val="00565BB6"/>
    <w:rsid w:val="0057699E"/>
    <w:rsid w:val="005769E1"/>
    <w:rsid w:val="00577CDE"/>
    <w:rsid w:val="00581382"/>
    <w:rsid w:val="00581D38"/>
    <w:rsid w:val="00582B5E"/>
    <w:rsid w:val="00586DEE"/>
    <w:rsid w:val="0058746C"/>
    <w:rsid w:val="00593E77"/>
    <w:rsid w:val="00593ED9"/>
    <w:rsid w:val="005962EB"/>
    <w:rsid w:val="00596BFD"/>
    <w:rsid w:val="00597404"/>
    <w:rsid w:val="005974CC"/>
    <w:rsid w:val="00597A02"/>
    <w:rsid w:val="005A54DF"/>
    <w:rsid w:val="005A5869"/>
    <w:rsid w:val="005A768D"/>
    <w:rsid w:val="005B5097"/>
    <w:rsid w:val="005B69A4"/>
    <w:rsid w:val="005B7AE7"/>
    <w:rsid w:val="005C07AC"/>
    <w:rsid w:val="005C4E0E"/>
    <w:rsid w:val="005C4E64"/>
    <w:rsid w:val="005D2A4B"/>
    <w:rsid w:val="005D66D4"/>
    <w:rsid w:val="005E0573"/>
    <w:rsid w:val="005E2428"/>
    <w:rsid w:val="005E2596"/>
    <w:rsid w:val="005E2756"/>
    <w:rsid w:val="005E77AF"/>
    <w:rsid w:val="005F294C"/>
    <w:rsid w:val="0060088C"/>
    <w:rsid w:val="0060156E"/>
    <w:rsid w:val="00602C40"/>
    <w:rsid w:val="006031DF"/>
    <w:rsid w:val="00606F9D"/>
    <w:rsid w:val="00610C26"/>
    <w:rsid w:val="00611D30"/>
    <w:rsid w:val="00614B97"/>
    <w:rsid w:val="0061548A"/>
    <w:rsid w:val="006155C2"/>
    <w:rsid w:val="00617021"/>
    <w:rsid w:val="00621C24"/>
    <w:rsid w:val="006234C8"/>
    <w:rsid w:val="006307B6"/>
    <w:rsid w:val="006325F5"/>
    <w:rsid w:val="006377AD"/>
    <w:rsid w:val="00653993"/>
    <w:rsid w:val="00656C80"/>
    <w:rsid w:val="0066024A"/>
    <w:rsid w:val="006624E2"/>
    <w:rsid w:val="006633B4"/>
    <w:rsid w:val="00663923"/>
    <w:rsid w:val="00665489"/>
    <w:rsid w:val="00666104"/>
    <w:rsid w:val="00675A7A"/>
    <w:rsid w:val="006816D1"/>
    <w:rsid w:val="0068300E"/>
    <w:rsid w:val="00686668"/>
    <w:rsid w:val="00687BEC"/>
    <w:rsid w:val="00687E89"/>
    <w:rsid w:val="00690537"/>
    <w:rsid w:val="0069441D"/>
    <w:rsid w:val="00694AF5"/>
    <w:rsid w:val="006973D6"/>
    <w:rsid w:val="00697E9A"/>
    <w:rsid w:val="006A00EE"/>
    <w:rsid w:val="006A0937"/>
    <w:rsid w:val="006A2F79"/>
    <w:rsid w:val="006A6C0D"/>
    <w:rsid w:val="006B151C"/>
    <w:rsid w:val="006B303E"/>
    <w:rsid w:val="006B4A14"/>
    <w:rsid w:val="006B4D04"/>
    <w:rsid w:val="006B7E3D"/>
    <w:rsid w:val="006C59F4"/>
    <w:rsid w:val="006D2442"/>
    <w:rsid w:val="006D2F64"/>
    <w:rsid w:val="006D3867"/>
    <w:rsid w:val="006D46AB"/>
    <w:rsid w:val="006D531F"/>
    <w:rsid w:val="006D70EB"/>
    <w:rsid w:val="006E279C"/>
    <w:rsid w:val="006E2A4E"/>
    <w:rsid w:val="006E3D5C"/>
    <w:rsid w:val="006E68BD"/>
    <w:rsid w:val="006E7A53"/>
    <w:rsid w:val="006F2CC5"/>
    <w:rsid w:val="006F3BAC"/>
    <w:rsid w:val="006F4388"/>
    <w:rsid w:val="006F630E"/>
    <w:rsid w:val="006F7368"/>
    <w:rsid w:val="00701559"/>
    <w:rsid w:val="007025F7"/>
    <w:rsid w:val="00706775"/>
    <w:rsid w:val="0070694A"/>
    <w:rsid w:val="00707E6D"/>
    <w:rsid w:val="00712DCB"/>
    <w:rsid w:val="00715A56"/>
    <w:rsid w:val="00716685"/>
    <w:rsid w:val="0072093D"/>
    <w:rsid w:val="0072329A"/>
    <w:rsid w:val="00724310"/>
    <w:rsid w:val="007332B7"/>
    <w:rsid w:val="00735DC2"/>
    <w:rsid w:val="00736176"/>
    <w:rsid w:val="007420A2"/>
    <w:rsid w:val="00743597"/>
    <w:rsid w:val="00743C44"/>
    <w:rsid w:val="007457FA"/>
    <w:rsid w:val="00746AEE"/>
    <w:rsid w:val="00750648"/>
    <w:rsid w:val="00751A1C"/>
    <w:rsid w:val="00752109"/>
    <w:rsid w:val="00753CF0"/>
    <w:rsid w:val="00757018"/>
    <w:rsid w:val="007574BC"/>
    <w:rsid w:val="00762D74"/>
    <w:rsid w:val="007633A5"/>
    <w:rsid w:val="00763987"/>
    <w:rsid w:val="00764057"/>
    <w:rsid w:val="00764854"/>
    <w:rsid w:val="00766C80"/>
    <w:rsid w:val="00767E97"/>
    <w:rsid w:val="0077055B"/>
    <w:rsid w:val="007739EB"/>
    <w:rsid w:val="007743AE"/>
    <w:rsid w:val="00776DCA"/>
    <w:rsid w:val="00780A19"/>
    <w:rsid w:val="00780EBE"/>
    <w:rsid w:val="0078573F"/>
    <w:rsid w:val="00787027"/>
    <w:rsid w:val="0079081D"/>
    <w:rsid w:val="0079105D"/>
    <w:rsid w:val="00791B9A"/>
    <w:rsid w:val="007A05F0"/>
    <w:rsid w:val="007A2C4D"/>
    <w:rsid w:val="007A3BCC"/>
    <w:rsid w:val="007A3DAF"/>
    <w:rsid w:val="007A6D1E"/>
    <w:rsid w:val="007A7BC2"/>
    <w:rsid w:val="007A7D7E"/>
    <w:rsid w:val="007A7FD6"/>
    <w:rsid w:val="007B490A"/>
    <w:rsid w:val="007B4A68"/>
    <w:rsid w:val="007B59EE"/>
    <w:rsid w:val="007B6E86"/>
    <w:rsid w:val="007B7C82"/>
    <w:rsid w:val="007B7E12"/>
    <w:rsid w:val="007C0CC9"/>
    <w:rsid w:val="007C1A04"/>
    <w:rsid w:val="007C2C46"/>
    <w:rsid w:val="007C589D"/>
    <w:rsid w:val="007D29FF"/>
    <w:rsid w:val="007D2B0B"/>
    <w:rsid w:val="007D3F88"/>
    <w:rsid w:val="007D4D16"/>
    <w:rsid w:val="007D6445"/>
    <w:rsid w:val="007E14F0"/>
    <w:rsid w:val="007E1AF9"/>
    <w:rsid w:val="007E666A"/>
    <w:rsid w:val="007F140C"/>
    <w:rsid w:val="007F1EE5"/>
    <w:rsid w:val="00800867"/>
    <w:rsid w:val="00807AAD"/>
    <w:rsid w:val="00810787"/>
    <w:rsid w:val="0081646D"/>
    <w:rsid w:val="00821823"/>
    <w:rsid w:val="0082633C"/>
    <w:rsid w:val="0083242C"/>
    <w:rsid w:val="00832EC7"/>
    <w:rsid w:val="00833B29"/>
    <w:rsid w:val="00835151"/>
    <w:rsid w:val="00837F0A"/>
    <w:rsid w:val="00842A01"/>
    <w:rsid w:val="00843B6E"/>
    <w:rsid w:val="008441DC"/>
    <w:rsid w:val="00844A08"/>
    <w:rsid w:val="00845508"/>
    <w:rsid w:val="00847590"/>
    <w:rsid w:val="00850931"/>
    <w:rsid w:val="0085454B"/>
    <w:rsid w:val="00857080"/>
    <w:rsid w:val="00860EAF"/>
    <w:rsid w:val="0086470B"/>
    <w:rsid w:val="00877E6F"/>
    <w:rsid w:val="008807A3"/>
    <w:rsid w:val="00881043"/>
    <w:rsid w:val="008816D7"/>
    <w:rsid w:val="00883944"/>
    <w:rsid w:val="00883ECC"/>
    <w:rsid w:val="00884992"/>
    <w:rsid w:val="00885E09"/>
    <w:rsid w:val="00890953"/>
    <w:rsid w:val="00893766"/>
    <w:rsid w:val="008A0FA9"/>
    <w:rsid w:val="008A14E0"/>
    <w:rsid w:val="008A37BE"/>
    <w:rsid w:val="008A5181"/>
    <w:rsid w:val="008A7A87"/>
    <w:rsid w:val="008A7F59"/>
    <w:rsid w:val="008B436F"/>
    <w:rsid w:val="008B4E35"/>
    <w:rsid w:val="008B6FC6"/>
    <w:rsid w:val="008C0465"/>
    <w:rsid w:val="008C3488"/>
    <w:rsid w:val="008C3ECE"/>
    <w:rsid w:val="008C40C6"/>
    <w:rsid w:val="008C77E3"/>
    <w:rsid w:val="008C7A5D"/>
    <w:rsid w:val="008D3218"/>
    <w:rsid w:val="008D436A"/>
    <w:rsid w:val="008D67D9"/>
    <w:rsid w:val="008D775B"/>
    <w:rsid w:val="008D7FDE"/>
    <w:rsid w:val="008E0B99"/>
    <w:rsid w:val="008E372F"/>
    <w:rsid w:val="008E48F7"/>
    <w:rsid w:val="008E5AE5"/>
    <w:rsid w:val="008E61E3"/>
    <w:rsid w:val="008E689A"/>
    <w:rsid w:val="008F17A4"/>
    <w:rsid w:val="008F253E"/>
    <w:rsid w:val="008F41DB"/>
    <w:rsid w:val="008F52AF"/>
    <w:rsid w:val="0090003F"/>
    <w:rsid w:val="00901E10"/>
    <w:rsid w:val="00904B89"/>
    <w:rsid w:val="00907138"/>
    <w:rsid w:val="00912534"/>
    <w:rsid w:val="00912561"/>
    <w:rsid w:val="009142B2"/>
    <w:rsid w:val="009150F2"/>
    <w:rsid w:val="009155CC"/>
    <w:rsid w:val="0092051B"/>
    <w:rsid w:val="00925D5A"/>
    <w:rsid w:val="0093480C"/>
    <w:rsid w:val="0093488D"/>
    <w:rsid w:val="009406C4"/>
    <w:rsid w:val="00940A8E"/>
    <w:rsid w:val="0094178F"/>
    <w:rsid w:val="00943008"/>
    <w:rsid w:val="0095061A"/>
    <w:rsid w:val="00956C94"/>
    <w:rsid w:val="00957680"/>
    <w:rsid w:val="009629BF"/>
    <w:rsid w:val="00962A2A"/>
    <w:rsid w:val="009631E3"/>
    <w:rsid w:val="00963FD5"/>
    <w:rsid w:val="00964DAF"/>
    <w:rsid w:val="0096629D"/>
    <w:rsid w:val="00966BA1"/>
    <w:rsid w:val="0096741B"/>
    <w:rsid w:val="00970F74"/>
    <w:rsid w:val="009818B3"/>
    <w:rsid w:val="00985935"/>
    <w:rsid w:val="009874F2"/>
    <w:rsid w:val="00991325"/>
    <w:rsid w:val="00993240"/>
    <w:rsid w:val="0099385E"/>
    <w:rsid w:val="00997698"/>
    <w:rsid w:val="009A0287"/>
    <w:rsid w:val="009A10D2"/>
    <w:rsid w:val="009B2DD8"/>
    <w:rsid w:val="009B5725"/>
    <w:rsid w:val="009B6F9F"/>
    <w:rsid w:val="009C18A2"/>
    <w:rsid w:val="009C1F52"/>
    <w:rsid w:val="009C2354"/>
    <w:rsid w:val="009C2DE3"/>
    <w:rsid w:val="009D0D80"/>
    <w:rsid w:val="009D4523"/>
    <w:rsid w:val="009D6010"/>
    <w:rsid w:val="009D6907"/>
    <w:rsid w:val="009E3E3A"/>
    <w:rsid w:val="009E431C"/>
    <w:rsid w:val="009E4424"/>
    <w:rsid w:val="009E5A4C"/>
    <w:rsid w:val="009E60D9"/>
    <w:rsid w:val="009E6E19"/>
    <w:rsid w:val="009F0A6D"/>
    <w:rsid w:val="009F415E"/>
    <w:rsid w:val="00A024A1"/>
    <w:rsid w:val="00A06B08"/>
    <w:rsid w:val="00A115C9"/>
    <w:rsid w:val="00A11ACC"/>
    <w:rsid w:val="00A11B09"/>
    <w:rsid w:val="00A151DA"/>
    <w:rsid w:val="00A20DBD"/>
    <w:rsid w:val="00A2110A"/>
    <w:rsid w:val="00A2238A"/>
    <w:rsid w:val="00A22D23"/>
    <w:rsid w:val="00A25322"/>
    <w:rsid w:val="00A317CA"/>
    <w:rsid w:val="00A372B5"/>
    <w:rsid w:val="00A37C60"/>
    <w:rsid w:val="00A4311A"/>
    <w:rsid w:val="00A43853"/>
    <w:rsid w:val="00A45480"/>
    <w:rsid w:val="00A455CB"/>
    <w:rsid w:val="00A528FD"/>
    <w:rsid w:val="00A529DE"/>
    <w:rsid w:val="00A55AC2"/>
    <w:rsid w:val="00A56D1D"/>
    <w:rsid w:val="00A5763B"/>
    <w:rsid w:val="00A61F7C"/>
    <w:rsid w:val="00A62651"/>
    <w:rsid w:val="00A64BDB"/>
    <w:rsid w:val="00A702E4"/>
    <w:rsid w:val="00A70D70"/>
    <w:rsid w:val="00A7182C"/>
    <w:rsid w:val="00A72D17"/>
    <w:rsid w:val="00A9152C"/>
    <w:rsid w:val="00A9622A"/>
    <w:rsid w:val="00A9631F"/>
    <w:rsid w:val="00AA1A7F"/>
    <w:rsid w:val="00AA20BE"/>
    <w:rsid w:val="00AA2D8B"/>
    <w:rsid w:val="00AA7483"/>
    <w:rsid w:val="00AB310D"/>
    <w:rsid w:val="00AC39CC"/>
    <w:rsid w:val="00AE3824"/>
    <w:rsid w:val="00AF04B9"/>
    <w:rsid w:val="00AF4F04"/>
    <w:rsid w:val="00AF52D0"/>
    <w:rsid w:val="00AF553F"/>
    <w:rsid w:val="00AF6551"/>
    <w:rsid w:val="00AF6772"/>
    <w:rsid w:val="00AF7468"/>
    <w:rsid w:val="00B03599"/>
    <w:rsid w:val="00B038D5"/>
    <w:rsid w:val="00B05310"/>
    <w:rsid w:val="00B20D8B"/>
    <w:rsid w:val="00B23119"/>
    <w:rsid w:val="00B23567"/>
    <w:rsid w:val="00B24D60"/>
    <w:rsid w:val="00B25F41"/>
    <w:rsid w:val="00B30EE6"/>
    <w:rsid w:val="00B31E93"/>
    <w:rsid w:val="00B3510C"/>
    <w:rsid w:val="00B35558"/>
    <w:rsid w:val="00B4077C"/>
    <w:rsid w:val="00B41430"/>
    <w:rsid w:val="00B4538A"/>
    <w:rsid w:val="00B457ED"/>
    <w:rsid w:val="00B469B0"/>
    <w:rsid w:val="00B52BF4"/>
    <w:rsid w:val="00B564A7"/>
    <w:rsid w:val="00B56D87"/>
    <w:rsid w:val="00B625DB"/>
    <w:rsid w:val="00B6457F"/>
    <w:rsid w:val="00B650A2"/>
    <w:rsid w:val="00B71DA4"/>
    <w:rsid w:val="00B7229E"/>
    <w:rsid w:val="00B722D8"/>
    <w:rsid w:val="00B73403"/>
    <w:rsid w:val="00B80C73"/>
    <w:rsid w:val="00B80FCD"/>
    <w:rsid w:val="00B825FB"/>
    <w:rsid w:val="00B84130"/>
    <w:rsid w:val="00B870E7"/>
    <w:rsid w:val="00B93CF6"/>
    <w:rsid w:val="00B941BE"/>
    <w:rsid w:val="00B94B04"/>
    <w:rsid w:val="00B95FD8"/>
    <w:rsid w:val="00B96A40"/>
    <w:rsid w:val="00BA401B"/>
    <w:rsid w:val="00BA611D"/>
    <w:rsid w:val="00BA7B45"/>
    <w:rsid w:val="00BA7CE8"/>
    <w:rsid w:val="00BB4122"/>
    <w:rsid w:val="00BB4641"/>
    <w:rsid w:val="00BB4CEB"/>
    <w:rsid w:val="00BB748C"/>
    <w:rsid w:val="00BB78DD"/>
    <w:rsid w:val="00BB7B4F"/>
    <w:rsid w:val="00BC2357"/>
    <w:rsid w:val="00BC23E9"/>
    <w:rsid w:val="00BC2E72"/>
    <w:rsid w:val="00BC52A7"/>
    <w:rsid w:val="00BC5F76"/>
    <w:rsid w:val="00BC7E75"/>
    <w:rsid w:val="00BD019E"/>
    <w:rsid w:val="00BD0810"/>
    <w:rsid w:val="00BD20E7"/>
    <w:rsid w:val="00BD273F"/>
    <w:rsid w:val="00BD3E46"/>
    <w:rsid w:val="00BD63D7"/>
    <w:rsid w:val="00BD6B40"/>
    <w:rsid w:val="00BD6C59"/>
    <w:rsid w:val="00BD7AB9"/>
    <w:rsid w:val="00BE3F91"/>
    <w:rsid w:val="00BE4332"/>
    <w:rsid w:val="00BF1576"/>
    <w:rsid w:val="00BF1DF3"/>
    <w:rsid w:val="00BF47ED"/>
    <w:rsid w:val="00BF4DCD"/>
    <w:rsid w:val="00C00DBB"/>
    <w:rsid w:val="00C01C14"/>
    <w:rsid w:val="00C028E3"/>
    <w:rsid w:val="00C03AFD"/>
    <w:rsid w:val="00C059DE"/>
    <w:rsid w:val="00C06A7F"/>
    <w:rsid w:val="00C06F99"/>
    <w:rsid w:val="00C07DF0"/>
    <w:rsid w:val="00C21B1C"/>
    <w:rsid w:val="00C22CDE"/>
    <w:rsid w:val="00C264B5"/>
    <w:rsid w:val="00C31BA8"/>
    <w:rsid w:val="00C33258"/>
    <w:rsid w:val="00C3504D"/>
    <w:rsid w:val="00C361C6"/>
    <w:rsid w:val="00C41A66"/>
    <w:rsid w:val="00C43C2E"/>
    <w:rsid w:val="00C4450B"/>
    <w:rsid w:val="00C45102"/>
    <w:rsid w:val="00C5015D"/>
    <w:rsid w:val="00C538D1"/>
    <w:rsid w:val="00C626A2"/>
    <w:rsid w:val="00C70809"/>
    <w:rsid w:val="00C72866"/>
    <w:rsid w:val="00C74637"/>
    <w:rsid w:val="00C7748E"/>
    <w:rsid w:val="00C8146A"/>
    <w:rsid w:val="00C82E0A"/>
    <w:rsid w:val="00C86243"/>
    <w:rsid w:val="00C964AA"/>
    <w:rsid w:val="00C96F36"/>
    <w:rsid w:val="00C96FBB"/>
    <w:rsid w:val="00CA5008"/>
    <w:rsid w:val="00CA7361"/>
    <w:rsid w:val="00CA7CDB"/>
    <w:rsid w:val="00CB177C"/>
    <w:rsid w:val="00CB46AD"/>
    <w:rsid w:val="00CC48F4"/>
    <w:rsid w:val="00CC67E2"/>
    <w:rsid w:val="00CD757B"/>
    <w:rsid w:val="00CE0F82"/>
    <w:rsid w:val="00CE487E"/>
    <w:rsid w:val="00CE6FE1"/>
    <w:rsid w:val="00CE7244"/>
    <w:rsid w:val="00CE79B8"/>
    <w:rsid w:val="00CF2200"/>
    <w:rsid w:val="00CF351F"/>
    <w:rsid w:val="00CF440F"/>
    <w:rsid w:val="00D02E60"/>
    <w:rsid w:val="00D05B2E"/>
    <w:rsid w:val="00D07B8E"/>
    <w:rsid w:val="00D124D9"/>
    <w:rsid w:val="00D1445E"/>
    <w:rsid w:val="00D1629B"/>
    <w:rsid w:val="00D16E45"/>
    <w:rsid w:val="00D34818"/>
    <w:rsid w:val="00D366A7"/>
    <w:rsid w:val="00D42836"/>
    <w:rsid w:val="00D42E85"/>
    <w:rsid w:val="00D4534A"/>
    <w:rsid w:val="00D47927"/>
    <w:rsid w:val="00D47EA4"/>
    <w:rsid w:val="00D50D21"/>
    <w:rsid w:val="00D52D25"/>
    <w:rsid w:val="00D534BA"/>
    <w:rsid w:val="00D55461"/>
    <w:rsid w:val="00D645C5"/>
    <w:rsid w:val="00D64D01"/>
    <w:rsid w:val="00D70C60"/>
    <w:rsid w:val="00D724E9"/>
    <w:rsid w:val="00D72ACA"/>
    <w:rsid w:val="00D80AD7"/>
    <w:rsid w:val="00D81FB3"/>
    <w:rsid w:val="00D83434"/>
    <w:rsid w:val="00D85E09"/>
    <w:rsid w:val="00D92AFA"/>
    <w:rsid w:val="00D96DD2"/>
    <w:rsid w:val="00DA0758"/>
    <w:rsid w:val="00DA2975"/>
    <w:rsid w:val="00DA37CE"/>
    <w:rsid w:val="00DA576F"/>
    <w:rsid w:val="00DB098A"/>
    <w:rsid w:val="00DB25E1"/>
    <w:rsid w:val="00DB3559"/>
    <w:rsid w:val="00DB53E9"/>
    <w:rsid w:val="00DB5FC5"/>
    <w:rsid w:val="00DB7287"/>
    <w:rsid w:val="00DC034A"/>
    <w:rsid w:val="00DC0847"/>
    <w:rsid w:val="00DC1F59"/>
    <w:rsid w:val="00DC336C"/>
    <w:rsid w:val="00DC78FA"/>
    <w:rsid w:val="00DD181A"/>
    <w:rsid w:val="00DD2903"/>
    <w:rsid w:val="00DD292E"/>
    <w:rsid w:val="00DE0803"/>
    <w:rsid w:val="00DE2E0B"/>
    <w:rsid w:val="00DE33FF"/>
    <w:rsid w:val="00DF0F2F"/>
    <w:rsid w:val="00DF4438"/>
    <w:rsid w:val="00DF7502"/>
    <w:rsid w:val="00E01562"/>
    <w:rsid w:val="00E028CB"/>
    <w:rsid w:val="00E028D4"/>
    <w:rsid w:val="00E04972"/>
    <w:rsid w:val="00E062EC"/>
    <w:rsid w:val="00E07A1F"/>
    <w:rsid w:val="00E11576"/>
    <w:rsid w:val="00E1171A"/>
    <w:rsid w:val="00E12067"/>
    <w:rsid w:val="00E13820"/>
    <w:rsid w:val="00E14692"/>
    <w:rsid w:val="00E153A0"/>
    <w:rsid w:val="00E20A59"/>
    <w:rsid w:val="00E21960"/>
    <w:rsid w:val="00E234E1"/>
    <w:rsid w:val="00E237A8"/>
    <w:rsid w:val="00E25BF6"/>
    <w:rsid w:val="00E2607F"/>
    <w:rsid w:val="00E31F40"/>
    <w:rsid w:val="00E336F0"/>
    <w:rsid w:val="00E41575"/>
    <w:rsid w:val="00E4264D"/>
    <w:rsid w:val="00E47647"/>
    <w:rsid w:val="00E502E0"/>
    <w:rsid w:val="00E503DD"/>
    <w:rsid w:val="00E50D95"/>
    <w:rsid w:val="00E51C77"/>
    <w:rsid w:val="00E522FF"/>
    <w:rsid w:val="00E524FD"/>
    <w:rsid w:val="00E542A6"/>
    <w:rsid w:val="00E5658F"/>
    <w:rsid w:val="00E60BF5"/>
    <w:rsid w:val="00E61B3E"/>
    <w:rsid w:val="00E61EC2"/>
    <w:rsid w:val="00E6238E"/>
    <w:rsid w:val="00E65FFB"/>
    <w:rsid w:val="00E704D3"/>
    <w:rsid w:val="00E7199C"/>
    <w:rsid w:val="00E7417A"/>
    <w:rsid w:val="00E767ED"/>
    <w:rsid w:val="00E80A0B"/>
    <w:rsid w:val="00E80E0E"/>
    <w:rsid w:val="00E82A43"/>
    <w:rsid w:val="00E8409D"/>
    <w:rsid w:val="00E858D5"/>
    <w:rsid w:val="00E907E3"/>
    <w:rsid w:val="00E9163F"/>
    <w:rsid w:val="00E9223E"/>
    <w:rsid w:val="00E922D6"/>
    <w:rsid w:val="00E92BB0"/>
    <w:rsid w:val="00E963DB"/>
    <w:rsid w:val="00E97102"/>
    <w:rsid w:val="00EA20F5"/>
    <w:rsid w:val="00EA29FB"/>
    <w:rsid w:val="00EA3A3D"/>
    <w:rsid w:val="00EA3B91"/>
    <w:rsid w:val="00EA6001"/>
    <w:rsid w:val="00EA65FC"/>
    <w:rsid w:val="00EA7E4A"/>
    <w:rsid w:val="00EA7EA4"/>
    <w:rsid w:val="00EB7346"/>
    <w:rsid w:val="00EB7C4F"/>
    <w:rsid w:val="00EC497D"/>
    <w:rsid w:val="00ED075C"/>
    <w:rsid w:val="00ED17B1"/>
    <w:rsid w:val="00ED2B0D"/>
    <w:rsid w:val="00ED427C"/>
    <w:rsid w:val="00ED4892"/>
    <w:rsid w:val="00ED60B0"/>
    <w:rsid w:val="00ED67A4"/>
    <w:rsid w:val="00EE054B"/>
    <w:rsid w:val="00EE05A7"/>
    <w:rsid w:val="00EE0A07"/>
    <w:rsid w:val="00EE2854"/>
    <w:rsid w:val="00EE486A"/>
    <w:rsid w:val="00EF02D4"/>
    <w:rsid w:val="00EF2A1A"/>
    <w:rsid w:val="00EF2C3B"/>
    <w:rsid w:val="00EF39BA"/>
    <w:rsid w:val="00EF3EEF"/>
    <w:rsid w:val="00EF3F63"/>
    <w:rsid w:val="00EF4BFC"/>
    <w:rsid w:val="00EF4ED3"/>
    <w:rsid w:val="00EF50B5"/>
    <w:rsid w:val="00EF521B"/>
    <w:rsid w:val="00F01271"/>
    <w:rsid w:val="00F02CB3"/>
    <w:rsid w:val="00F04644"/>
    <w:rsid w:val="00F0678D"/>
    <w:rsid w:val="00F06E0E"/>
    <w:rsid w:val="00F06F69"/>
    <w:rsid w:val="00F104B4"/>
    <w:rsid w:val="00F11D2B"/>
    <w:rsid w:val="00F15BAC"/>
    <w:rsid w:val="00F1652C"/>
    <w:rsid w:val="00F165BE"/>
    <w:rsid w:val="00F16AB5"/>
    <w:rsid w:val="00F16E12"/>
    <w:rsid w:val="00F21687"/>
    <w:rsid w:val="00F22724"/>
    <w:rsid w:val="00F23A05"/>
    <w:rsid w:val="00F24CF6"/>
    <w:rsid w:val="00F278FF"/>
    <w:rsid w:val="00F27E94"/>
    <w:rsid w:val="00F3167C"/>
    <w:rsid w:val="00F318DE"/>
    <w:rsid w:val="00F31D0E"/>
    <w:rsid w:val="00F3297E"/>
    <w:rsid w:val="00F33120"/>
    <w:rsid w:val="00F348B7"/>
    <w:rsid w:val="00F35583"/>
    <w:rsid w:val="00F43CDD"/>
    <w:rsid w:val="00F45A35"/>
    <w:rsid w:val="00F461B8"/>
    <w:rsid w:val="00F511B2"/>
    <w:rsid w:val="00F55BF2"/>
    <w:rsid w:val="00F618E0"/>
    <w:rsid w:val="00F63220"/>
    <w:rsid w:val="00F63328"/>
    <w:rsid w:val="00F63881"/>
    <w:rsid w:val="00F71516"/>
    <w:rsid w:val="00F73646"/>
    <w:rsid w:val="00F74B6B"/>
    <w:rsid w:val="00F76A0A"/>
    <w:rsid w:val="00F81009"/>
    <w:rsid w:val="00F83C5A"/>
    <w:rsid w:val="00F84052"/>
    <w:rsid w:val="00F90902"/>
    <w:rsid w:val="00F919EC"/>
    <w:rsid w:val="00F93B58"/>
    <w:rsid w:val="00F9466F"/>
    <w:rsid w:val="00F947E3"/>
    <w:rsid w:val="00F94E73"/>
    <w:rsid w:val="00F952F6"/>
    <w:rsid w:val="00F9766F"/>
    <w:rsid w:val="00F97B30"/>
    <w:rsid w:val="00FA1308"/>
    <w:rsid w:val="00FA6AB5"/>
    <w:rsid w:val="00FB1CEB"/>
    <w:rsid w:val="00FB56FB"/>
    <w:rsid w:val="00FB587F"/>
    <w:rsid w:val="00FB6897"/>
    <w:rsid w:val="00FC3AE4"/>
    <w:rsid w:val="00FC6009"/>
    <w:rsid w:val="00FC7F20"/>
    <w:rsid w:val="00FD13DB"/>
    <w:rsid w:val="00FD4BD9"/>
    <w:rsid w:val="00FD5A7E"/>
    <w:rsid w:val="00FD5C6D"/>
    <w:rsid w:val="00FE0AC9"/>
    <w:rsid w:val="00FE1A78"/>
    <w:rsid w:val="00FE1E87"/>
    <w:rsid w:val="00FE5391"/>
    <w:rsid w:val="00FE6FA7"/>
    <w:rsid w:val="00FE7123"/>
    <w:rsid w:val="00FF27B3"/>
    <w:rsid w:val="00FF2EC6"/>
    <w:rsid w:val="00FF4056"/>
    <w:rsid w:val="00FF50C3"/>
    <w:rsid w:val="00FF612A"/>
    <w:rsid w:val="00FF65F7"/>
    <w:rsid w:val="00FF7A90"/>
  </w:rsids>
  <m:mathPr>
    <m:mathFont m:val="Cambria Math"/>
    <m:brkBin m:val="before"/>
    <m:brkBinSub m:val="--"/>
    <m:smallFrac m:val="0"/>
    <m:dispDef/>
    <m:lMargin m:val="0"/>
    <m:rMargin m:val="0"/>
    <m:defJc m:val="left"/>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ar"/>
    <w:uiPriority w:val="9"/>
    <w:qFormat/>
    <w:rsid w:val="00C07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CD7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ar"/>
    <w:uiPriority w:val="9"/>
    <w:unhideWhenUsed/>
    <w:qFormat/>
    <w:rsid w:val="00CD7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C07DF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tuloCar"/>
    <w:uiPriority w:val="10"/>
    <w:qFormat/>
    <w:rsid w:val="00C07D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DefaultParagraphFont"/>
    <w:link w:val="Title"/>
    <w:uiPriority w:val="10"/>
    <w:rsid w:val="00C07D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678D"/>
    <w:pPr>
      <w:ind w:left="720"/>
      <w:contextualSpacing/>
    </w:pPr>
  </w:style>
  <w:style w:type="character" w:customStyle="1" w:styleId="Ttulo2Car">
    <w:name w:val="Título 2 Car"/>
    <w:basedOn w:val="DefaultParagraphFont"/>
    <w:link w:val="Heading2"/>
    <w:uiPriority w:val="9"/>
    <w:rsid w:val="00CD757B"/>
    <w:rPr>
      <w:rFonts w:asciiTheme="majorHAnsi" w:eastAsiaTheme="majorEastAsia" w:hAnsiTheme="majorHAnsi" w:cstheme="majorBidi"/>
      <w:b/>
      <w:bCs/>
      <w:color w:val="4F81BD" w:themeColor="accent1"/>
      <w:sz w:val="26"/>
      <w:szCs w:val="26"/>
    </w:rPr>
  </w:style>
  <w:style w:type="character" w:customStyle="1" w:styleId="Ttulo3Car">
    <w:name w:val="Título 3 Car"/>
    <w:basedOn w:val="DefaultParagraphFont"/>
    <w:link w:val="Heading3"/>
    <w:uiPriority w:val="9"/>
    <w:rsid w:val="00CD757B"/>
    <w:rPr>
      <w:rFonts w:asciiTheme="majorHAnsi" w:eastAsiaTheme="majorEastAsia" w:hAnsiTheme="majorHAnsi" w:cstheme="majorBidi"/>
      <w:b/>
      <w:bCs/>
      <w:color w:val="4F81BD" w:themeColor="accent1"/>
    </w:rPr>
  </w:style>
  <w:style w:type="paragraph" w:styleId="Header">
    <w:name w:val="header"/>
    <w:basedOn w:val="Normal"/>
    <w:link w:val="EncabezadoCar"/>
    <w:uiPriority w:val="99"/>
    <w:unhideWhenUsed/>
    <w:rsid w:val="0022268B"/>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22268B"/>
  </w:style>
  <w:style w:type="paragraph" w:styleId="Footer">
    <w:name w:val="footer"/>
    <w:basedOn w:val="Normal"/>
    <w:link w:val="PiedepginaCar"/>
    <w:uiPriority w:val="99"/>
    <w:unhideWhenUsed/>
    <w:rsid w:val="0022268B"/>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22268B"/>
  </w:style>
  <w:style w:type="character" w:styleId="PlaceholderText">
    <w:name w:val="Placeholder Text"/>
    <w:basedOn w:val="DefaultParagraphFont"/>
    <w:uiPriority w:val="99"/>
    <w:semiHidden/>
    <w:rsid w:val="00E963DB"/>
    <w:rPr>
      <w:color w:val="808080"/>
    </w:rPr>
  </w:style>
  <w:style w:type="paragraph" w:styleId="BalloonText">
    <w:name w:val="Balloon Text"/>
    <w:basedOn w:val="Normal"/>
    <w:link w:val="TextodegloboCar"/>
    <w:uiPriority w:val="99"/>
    <w:semiHidden/>
    <w:unhideWhenUsed/>
    <w:rsid w:val="00E963DB"/>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E963DB"/>
    <w:rPr>
      <w:rFonts w:ascii="Tahoma" w:hAnsi="Tahoma" w:cs="Tahoma"/>
      <w:sz w:val="16"/>
      <w:szCs w:val="16"/>
    </w:rPr>
  </w:style>
  <w:style w:type="paragraph" w:styleId="Bibliography">
    <w:name w:val="Bibliography"/>
    <w:basedOn w:val="Normal"/>
    <w:next w:val="Normal"/>
    <w:uiPriority w:val="37"/>
    <w:unhideWhenUsed/>
    <w:rsid w:val="000C359E"/>
  </w:style>
  <w:style w:type="character" w:styleId="Emphasis">
    <w:name w:val="Emphasis"/>
    <w:basedOn w:val="DefaultParagraphFont"/>
    <w:uiPriority w:val="20"/>
    <w:qFormat/>
    <w:rsid w:val="00DA37CE"/>
    <w:rPr>
      <w:i/>
      <w:iCs/>
    </w:rPr>
  </w:style>
  <w:style w:type="character" w:styleId="CommentReference">
    <w:name w:val="annotation reference"/>
    <w:basedOn w:val="DefaultParagraphFont"/>
    <w:uiPriority w:val="99"/>
    <w:semiHidden/>
    <w:unhideWhenUsed/>
    <w:rsid w:val="00EA3A3D"/>
    <w:rPr>
      <w:sz w:val="16"/>
      <w:szCs w:val="16"/>
    </w:rPr>
  </w:style>
  <w:style w:type="paragraph" w:styleId="CommentText">
    <w:name w:val="annotation text"/>
    <w:basedOn w:val="Normal"/>
    <w:link w:val="TextocomentarioCar"/>
    <w:uiPriority w:val="99"/>
    <w:semiHidden/>
    <w:unhideWhenUsed/>
    <w:rsid w:val="00EA3A3D"/>
    <w:pPr>
      <w:spacing w:line="240" w:lineRule="auto"/>
    </w:pPr>
    <w:rPr>
      <w:sz w:val="20"/>
      <w:szCs w:val="20"/>
    </w:rPr>
  </w:style>
  <w:style w:type="character" w:customStyle="1" w:styleId="TextocomentarioCar">
    <w:name w:val="Texto comentario Car"/>
    <w:basedOn w:val="DefaultParagraphFont"/>
    <w:link w:val="CommentText"/>
    <w:uiPriority w:val="99"/>
    <w:semiHidden/>
    <w:rsid w:val="00EA3A3D"/>
    <w:rPr>
      <w:sz w:val="20"/>
      <w:szCs w:val="20"/>
    </w:rPr>
  </w:style>
  <w:style w:type="paragraph" w:styleId="CommentSubject">
    <w:name w:val="annotation subject"/>
    <w:basedOn w:val="CommentText"/>
    <w:next w:val="CommentText"/>
    <w:link w:val="AsuntodelcomentarioCar"/>
    <w:uiPriority w:val="99"/>
    <w:semiHidden/>
    <w:unhideWhenUsed/>
    <w:rsid w:val="00EA3A3D"/>
    <w:rPr>
      <w:b/>
      <w:bCs/>
    </w:rPr>
  </w:style>
  <w:style w:type="character" w:customStyle="1" w:styleId="AsuntodelcomentarioCar">
    <w:name w:val="Asunto del comentario Car"/>
    <w:basedOn w:val="TextocomentarioCar"/>
    <w:link w:val="CommentSubject"/>
    <w:uiPriority w:val="99"/>
    <w:semiHidden/>
    <w:rsid w:val="00EA3A3D"/>
    <w:rPr>
      <w:b/>
      <w:bCs/>
      <w:sz w:val="20"/>
      <w:szCs w:val="20"/>
    </w:rPr>
  </w:style>
  <w:style w:type="paragraph" w:styleId="FootnoteText">
    <w:name w:val="footnote text"/>
    <w:basedOn w:val="Normal"/>
    <w:link w:val="TextonotapieCar"/>
    <w:uiPriority w:val="99"/>
    <w:semiHidden/>
    <w:unhideWhenUsed/>
    <w:rsid w:val="004F1968"/>
    <w:pPr>
      <w:spacing w:after="0" w:line="240" w:lineRule="auto"/>
    </w:pPr>
    <w:rPr>
      <w:sz w:val="20"/>
      <w:szCs w:val="20"/>
      <w:lang w:val="en-US" w:eastAsia="zh-CN"/>
    </w:rPr>
  </w:style>
  <w:style w:type="character" w:customStyle="1" w:styleId="TextonotapieCar">
    <w:name w:val="Texto nota pie Car"/>
    <w:basedOn w:val="DefaultParagraphFont"/>
    <w:link w:val="FootnoteText"/>
    <w:uiPriority w:val="99"/>
    <w:semiHidden/>
    <w:rsid w:val="004F1968"/>
    <w:rPr>
      <w:rFonts w:eastAsiaTheme="minorEastAsia"/>
      <w:sz w:val="20"/>
      <w:szCs w:val="20"/>
      <w:lang w:val="en-US" w:eastAsia="zh-CN"/>
    </w:rPr>
  </w:style>
  <w:style w:type="character" w:styleId="FootnoteReference">
    <w:name w:val="footnote reference"/>
    <w:basedOn w:val="DefaultParagraphFont"/>
    <w:uiPriority w:val="99"/>
    <w:semiHidden/>
    <w:unhideWhenUsed/>
    <w:rsid w:val="004F1968"/>
    <w:rPr>
      <w:vertAlign w:val="superscript"/>
    </w:rPr>
  </w:style>
  <w:style w:type="character" w:styleId="Hyperlink">
    <w:name w:val="Hyperlink"/>
    <w:basedOn w:val="DefaultParagraphFont"/>
    <w:uiPriority w:val="99"/>
    <w:unhideWhenUsed/>
    <w:rsid w:val="004F1968"/>
    <w:rPr>
      <w:color w:val="0000FF"/>
      <w:u w:val="single"/>
    </w:rPr>
  </w:style>
  <w:style w:type="paragraph" w:styleId="NormalWeb">
    <w:name w:val="Normal (Web)"/>
    <w:basedOn w:val="Normal"/>
    <w:uiPriority w:val="99"/>
    <w:unhideWhenUsed/>
    <w:rsid w:val="00300EA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itulocontnuo">
    <w:name w:val="Titulo contínuo"/>
    <w:basedOn w:val="Heading1"/>
    <w:autoRedefine/>
    <w:qFormat/>
    <w:rsid w:val="00485F98"/>
    <w:pPr>
      <w:spacing w:before="0" w:line="240" w:lineRule="auto"/>
      <w:contextualSpacing/>
    </w:pPr>
    <w:rPr>
      <w:rFonts w:ascii="Trebuchet MS" w:eastAsia="Times New Roman" w:hAnsi="Trebuchet MS" w:cs="Times New Roman"/>
      <w:b w:val="0"/>
      <w:noProof/>
      <w:color w:val="000000" w:themeColor="text1"/>
      <w:sz w:val="18"/>
      <w:szCs w:val="18"/>
      <w:lang w:val="es-ES_tradnl" w:eastAsia="es-ES_tradnl"/>
    </w:rPr>
  </w:style>
  <w:style w:type="paragraph" w:styleId="TOCHeading">
    <w:name w:val="TOC Heading"/>
    <w:basedOn w:val="Heading1"/>
    <w:next w:val="Normal"/>
    <w:uiPriority w:val="39"/>
    <w:semiHidden/>
    <w:unhideWhenUsed/>
    <w:qFormat/>
    <w:rsid w:val="00715A56"/>
    <w:pPr>
      <w:outlineLvl w:val="9"/>
    </w:pPr>
  </w:style>
  <w:style w:type="paragraph" w:styleId="TOC1">
    <w:name w:val="toc 1"/>
    <w:basedOn w:val="Normal"/>
    <w:next w:val="Normal"/>
    <w:autoRedefine/>
    <w:uiPriority w:val="39"/>
    <w:unhideWhenUsed/>
    <w:rsid w:val="00715A56"/>
    <w:pPr>
      <w:spacing w:after="100"/>
    </w:pPr>
  </w:style>
  <w:style w:type="paragraph" w:styleId="TOC2">
    <w:name w:val="toc 2"/>
    <w:basedOn w:val="Normal"/>
    <w:next w:val="Normal"/>
    <w:autoRedefine/>
    <w:uiPriority w:val="39"/>
    <w:unhideWhenUsed/>
    <w:rsid w:val="00715A5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ar"/>
    <w:uiPriority w:val="9"/>
    <w:qFormat/>
    <w:rsid w:val="00C07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CD7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ar"/>
    <w:uiPriority w:val="9"/>
    <w:unhideWhenUsed/>
    <w:qFormat/>
    <w:rsid w:val="00CD7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C07DF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tuloCar"/>
    <w:uiPriority w:val="10"/>
    <w:qFormat/>
    <w:rsid w:val="00C07D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DefaultParagraphFont"/>
    <w:link w:val="Title"/>
    <w:uiPriority w:val="10"/>
    <w:rsid w:val="00C07D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678D"/>
    <w:pPr>
      <w:ind w:left="720"/>
      <w:contextualSpacing/>
    </w:pPr>
  </w:style>
  <w:style w:type="character" w:customStyle="1" w:styleId="Ttulo2Car">
    <w:name w:val="Título 2 Car"/>
    <w:basedOn w:val="DefaultParagraphFont"/>
    <w:link w:val="Heading2"/>
    <w:uiPriority w:val="9"/>
    <w:rsid w:val="00CD757B"/>
    <w:rPr>
      <w:rFonts w:asciiTheme="majorHAnsi" w:eastAsiaTheme="majorEastAsia" w:hAnsiTheme="majorHAnsi" w:cstheme="majorBidi"/>
      <w:b/>
      <w:bCs/>
      <w:color w:val="4F81BD" w:themeColor="accent1"/>
      <w:sz w:val="26"/>
      <w:szCs w:val="26"/>
    </w:rPr>
  </w:style>
  <w:style w:type="character" w:customStyle="1" w:styleId="Ttulo3Car">
    <w:name w:val="Título 3 Car"/>
    <w:basedOn w:val="DefaultParagraphFont"/>
    <w:link w:val="Heading3"/>
    <w:uiPriority w:val="9"/>
    <w:rsid w:val="00CD757B"/>
    <w:rPr>
      <w:rFonts w:asciiTheme="majorHAnsi" w:eastAsiaTheme="majorEastAsia" w:hAnsiTheme="majorHAnsi" w:cstheme="majorBidi"/>
      <w:b/>
      <w:bCs/>
      <w:color w:val="4F81BD" w:themeColor="accent1"/>
    </w:rPr>
  </w:style>
  <w:style w:type="paragraph" w:styleId="Header">
    <w:name w:val="header"/>
    <w:basedOn w:val="Normal"/>
    <w:link w:val="EncabezadoCar"/>
    <w:uiPriority w:val="99"/>
    <w:unhideWhenUsed/>
    <w:rsid w:val="0022268B"/>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22268B"/>
  </w:style>
  <w:style w:type="paragraph" w:styleId="Footer">
    <w:name w:val="footer"/>
    <w:basedOn w:val="Normal"/>
    <w:link w:val="PiedepginaCar"/>
    <w:uiPriority w:val="99"/>
    <w:unhideWhenUsed/>
    <w:rsid w:val="0022268B"/>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22268B"/>
  </w:style>
  <w:style w:type="character" w:styleId="PlaceholderText">
    <w:name w:val="Placeholder Text"/>
    <w:basedOn w:val="DefaultParagraphFont"/>
    <w:uiPriority w:val="99"/>
    <w:semiHidden/>
    <w:rsid w:val="00E963DB"/>
    <w:rPr>
      <w:color w:val="808080"/>
    </w:rPr>
  </w:style>
  <w:style w:type="paragraph" w:styleId="BalloonText">
    <w:name w:val="Balloon Text"/>
    <w:basedOn w:val="Normal"/>
    <w:link w:val="TextodegloboCar"/>
    <w:uiPriority w:val="99"/>
    <w:semiHidden/>
    <w:unhideWhenUsed/>
    <w:rsid w:val="00E963DB"/>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E963DB"/>
    <w:rPr>
      <w:rFonts w:ascii="Tahoma" w:hAnsi="Tahoma" w:cs="Tahoma"/>
      <w:sz w:val="16"/>
      <w:szCs w:val="16"/>
    </w:rPr>
  </w:style>
  <w:style w:type="paragraph" w:styleId="Bibliography">
    <w:name w:val="Bibliography"/>
    <w:basedOn w:val="Normal"/>
    <w:next w:val="Normal"/>
    <w:uiPriority w:val="37"/>
    <w:unhideWhenUsed/>
    <w:rsid w:val="000C359E"/>
  </w:style>
  <w:style w:type="character" w:styleId="Emphasis">
    <w:name w:val="Emphasis"/>
    <w:basedOn w:val="DefaultParagraphFont"/>
    <w:uiPriority w:val="20"/>
    <w:qFormat/>
    <w:rsid w:val="00DA37CE"/>
    <w:rPr>
      <w:i/>
      <w:iCs/>
    </w:rPr>
  </w:style>
  <w:style w:type="character" w:styleId="CommentReference">
    <w:name w:val="annotation reference"/>
    <w:basedOn w:val="DefaultParagraphFont"/>
    <w:uiPriority w:val="99"/>
    <w:semiHidden/>
    <w:unhideWhenUsed/>
    <w:rsid w:val="00EA3A3D"/>
    <w:rPr>
      <w:sz w:val="16"/>
      <w:szCs w:val="16"/>
    </w:rPr>
  </w:style>
  <w:style w:type="paragraph" w:styleId="CommentText">
    <w:name w:val="annotation text"/>
    <w:basedOn w:val="Normal"/>
    <w:link w:val="TextocomentarioCar"/>
    <w:uiPriority w:val="99"/>
    <w:semiHidden/>
    <w:unhideWhenUsed/>
    <w:rsid w:val="00EA3A3D"/>
    <w:pPr>
      <w:spacing w:line="240" w:lineRule="auto"/>
    </w:pPr>
    <w:rPr>
      <w:sz w:val="20"/>
      <w:szCs w:val="20"/>
    </w:rPr>
  </w:style>
  <w:style w:type="character" w:customStyle="1" w:styleId="TextocomentarioCar">
    <w:name w:val="Texto comentario Car"/>
    <w:basedOn w:val="DefaultParagraphFont"/>
    <w:link w:val="CommentText"/>
    <w:uiPriority w:val="99"/>
    <w:semiHidden/>
    <w:rsid w:val="00EA3A3D"/>
    <w:rPr>
      <w:sz w:val="20"/>
      <w:szCs w:val="20"/>
    </w:rPr>
  </w:style>
  <w:style w:type="paragraph" w:styleId="CommentSubject">
    <w:name w:val="annotation subject"/>
    <w:basedOn w:val="CommentText"/>
    <w:next w:val="CommentText"/>
    <w:link w:val="AsuntodelcomentarioCar"/>
    <w:uiPriority w:val="99"/>
    <w:semiHidden/>
    <w:unhideWhenUsed/>
    <w:rsid w:val="00EA3A3D"/>
    <w:rPr>
      <w:b/>
      <w:bCs/>
    </w:rPr>
  </w:style>
  <w:style w:type="character" w:customStyle="1" w:styleId="AsuntodelcomentarioCar">
    <w:name w:val="Asunto del comentario Car"/>
    <w:basedOn w:val="TextocomentarioCar"/>
    <w:link w:val="CommentSubject"/>
    <w:uiPriority w:val="99"/>
    <w:semiHidden/>
    <w:rsid w:val="00EA3A3D"/>
    <w:rPr>
      <w:b/>
      <w:bCs/>
      <w:sz w:val="20"/>
      <w:szCs w:val="20"/>
    </w:rPr>
  </w:style>
  <w:style w:type="paragraph" w:styleId="FootnoteText">
    <w:name w:val="footnote text"/>
    <w:basedOn w:val="Normal"/>
    <w:link w:val="TextonotapieCar"/>
    <w:uiPriority w:val="99"/>
    <w:semiHidden/>
    <w:unhideWhenUsed/>
    <w:rsid w:val="004F1968"/>
    <w:pPr>
      <w:spacing w:after="0" w:line="240" w:lineRule="auto"/>
    </w:pPr>
    <w:rPr>
      <w:sz w:val="20"/>
      <w:szCs w:val="20"/>
      <w:lang w:val="en-US" w:eastAsia="zh-CN"/>
    </w:rPr>
  </w:style>
  <w:style w:type="character" w:customStyle="1" w:styleId="TextonotapieCar">
    <w:name w:val="Texto nota pie Car"/>
    <w:basedOn w:val="DefaultParagraphFont"/>
    <w:link w:val="FootnoteText"/>
    <w:uiPriority w:val="99"/>
    <w:semiHidden/>
    <w:rsid w:val="004F1968"/>
    <w:rPr>
      <w:rFonts w:eastAsiaTheme="minorEastAsia"/>
      <w:sz w:val="20"/>
      <w:szCs w:val="20"/>
      <w:lang w:val="en-US" w:eastAsia="zh-CN"/>
    </w:rPr>
  </w:style>
  <w:style w:type="character" w:styleId="FootnoteReference">
    <w:name w:val="footnote reference"/>
    <w:basedOn w:val="DefaultParagraphFont"/>
    <w:uiPriority w:val="99"/>
    <w:semiHidden/>
    <w:unhideWhenUsed/>
    <w:rsid w:val="004F1968"/>
    <w:rPr>
      <w:vertAlign w:val="superscript"/>
    </w:rPr>
  </w:style>
  <w:style w:type="character" w:styleId="Hyperlink">
    <w:name w:val="Hyperlink"/>
    <w:basedOn w:val="DefaultParagraphFont"/>
    <w:uiPriority w:val="99"/>
    <w:unhideWhenUsed/>
    <w:rsid w:val="004F1968"/>
    <w:rPr>
      <w:color w:val="0000FF"/>
      <w:u w:val="single"/>
    </w:rPr>
  </w:style>
  <w:style w:type="paragraph" w:styleId="NormalWeb">
    <w:name w:val="Normal (Web)"/>
    <w:basedOn w:val="Normal"/>
    <w:uiPriority w:val="99"/>
    <w:unhideWhenUsed/>
    <w:rsid w:val="00300EA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itulocontnuo">
    <w:name w:val="Titulo contínuo"/>
    <w:basedOn w:val="Heading1"/>
    <w:autoRedefine/>
    <w:qFormat/>
    <w:rsid w:val="00485F98"/>
    <w:pPr>
      <w:spacing w:before="0" w:line="240" w:lineRule="auto"/>
      <w:contextualSpacing/>
    </w:pPr>
    <w:rPr>
      <w:rFonts w:ascii="Trebuchet MS" w:eastAsia="Times New Roman" w:hAnsi="Trebuchet MS" w:cs="Times New Roman"/>
      <w:b w:val="0"/>
      <w:noProof/>
      <w:color w:val="000000" w:themeColor="text1"/>
      <w:sz w:val="18"/>
      <w:szCs w:val="18"/>
      <w:lang w:val="es-ES_tradnl" w:eastAsia="es-ES_tradnl"/>
    </w:rPr>
  </w:style>
  <w:style w:type="paragraph" w:styleId="TOCHeading">
    <w:name w:val="TOC Heading"/>
    <w:basedOn w:val="Heading1"/>
    <w:next w:val="Normal"/>
    <w:uiPriority w:val="39"/>
    <w:semiHidden/>
    <w:unhideWhenUsed/>
    <w:qFormat/>
    <w:rsid w:val="00715A56"/>
    <w:pPr>
      <w:outlineLvl w:val="9"/>
    </w:pPr>
  </w:style>
  <w:style w:type="paragraph" w:styleId="TOC1">
    <w:name w:val="toc 1"/>
    <w:basedOn w:val="Normal"/>
    <w:next w:val="Normal"/>
    <w:autoRedefine/>
    <w:uiPriority w:val="39"/>
    <w:unhideWhenUsed/>
    <w:rsid w:val="00715A56"/>
    <w:pPr>
      <w:spacing w:after="100"/>
    </w:pPr>
  </w:style>
  <w:style w:type="paragraph" w:styleId="TOC2">
    <w:name w:val="toc 2"/>
    <w:basedOn w:val="Normal"/>
    <w:next w:val="Normal"/>
    <w:autoRedefine/>
    <w:uiPriority w:val="39"/>
    <w:unhideWhenUsed/>
    <w:rsid w:val="00715A5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867">
      <w:bodyDiv w:val="1"/>
      <w:marLeft w:val="0"/>
      <w:marRight w:val="0"/>
      <w:marTop w:val="0"/>
      <w:marBottom w:val="0"/>
      <w:divBdr>
        <w:top w:val="none" w:sz="0" w:space="0" w:color="auto"/>
        <w:left w:val="none" w:sz="0" w:space="0" w:color="auto"/>
        <w:bottom w:val="none" w:sz="0" w:space="0" w:color="auto"/>
        <w:right w:val="none" w:sz="0" w:space="0" w:color="auto"/>
      </w:divBdr>
    </w:div>
    <w:div w:id="132453943">
      <w:bodyDiv w:val="1"/>
      <w:marLeft w:val="0"/>
      <w:marRight w:val="0"/>
      <w:marTop w:val="0"/>
      <w:marBottom w:val="0"/>
      <w:divBdr>
        <w:top w:val="none" w:sz="0" w:space="0" w:color="auto"/>
        <w:left w:val="none" w:sz="0" w:space="0" w:color="auto"/>
        <w:bottom w:val="none" w:sz="0" w:space="0" w:color="auto"/>
        <w:right w:val="none" w:sz="0" w:space="0" w:color="auto"/>
      </w:divBdr>
    </w:div>
    <w:div w:id="140080797">
      <w:bodyDiv w:val="1"/>
      <w:marLeft w:val="0"/>
      <w:marRight w:val="0"/>
      <w:marTop w:val="0"/>
      <w:marBottom w:val="0"/>
      <w:divBdr>
        <w:top w:val="none" w:sz="0" w:space="0" w:color="auto"/>
        <w:left w:val="none" w:sz="0" w:space="0" w:color="auto"/>
        <w:bottom w:val="none" w:sz="0" w:space="0" w:color="auto"/>
        <w:right w:val="none" w:sz="0" w:space="0" w:color="auto"/>
      </w:divBdr>
    </w:div>
    <w:div w:id="227347026">
      <w:bodyDiv w:val="1"/>
      <w:marLeft w:val="0"/>
      <w:marRight w:val="0"/>
      <w:marTop w:val="0"/>
      <w:marBottom w:val="0"/>
      <w:divBdr>
        <w:top w:val="none" w:sz="0" w:space="0" w:color="auto"/>
        <w:left w:val="none" w:sz="0" w:space="0" w:color="auto"/>
        <w:bottom w:val="none" w:sz="0" w:space="0" w:color="auto"/>
        <w:right w:val="none" w:sz="0" w:space="0" w:color="auto"/>
      </w:divBdr>
    </w:div>
    <w:div w:id="298414770">
      <w:bodyDiv w:val="1"/>
      <w:marLeft w:val="0"/>
      <w:marRight w:val="0"/>
      <w:marTop w:val="0"/>
      <w:marBottom w:val="0"/>
      <w:divBdr>
        <w:top w:val="none" w:sz="0" w:space="0" w:color="auto"/>
        <w:left w:val="none" w:sz="0" w:space="0" w:color="auto"/>
        <w:bottom w:val="none" w:sz="0" w:space="0" w:color="auto"/>
        <w:right w:val="none" w:sz="0" w:space="0" w:color="auto"/>
      </w:divBdr>
    </w:div>
    <w:div w:id="406272598">
      <w:bodyDiv w:val="1"/>
      <w:marLeft w:val="0"/>
      <w:marRight w:val="0"/>
      <w:marTop w:val="0"/>
      <w:marBottom w:val="0"/>
      <w:divBdr>
        <w:top w:val="none" w:sz="0" w:space="0" w:color="auto"/>
        <w:left w:val="none" w:sz="0" w:space="0" w:color="auto"/>
        <w:bottom w:val="none" w:sz="0" w:space="0" w:color="auto"/>
        <w:right w:val="none" w:sz="0" w:space="0" w:color="auto"/>
      </w:divBdr>
      <w:divsChild>
        <w:div w:id="1127361165">
          <w:marLeft w:val="0"/>
          <w:marRight w:val="0"/>
          <w:marTop w:val="0"/>
          <w:marBottom w:val="0"/>
          <w:divBdr>
            <w:top w:val="none" w:sz="0" w:space="0" w:color="auto"/>
            <w:left w:val="none" w:sz="0" w:space="0" w:color="auto"/>
            <w:bottom w:val="none" w:sz="0" w:space="0" w:color="auto"/>
            <w:right w:val="none" w:sz="0" w:space="0" w:color="auto"/>
          </w:divBdr>
        </w:div>
        <w:div w:id="1733501952">
          <w:marLeft w:val="0"/>
          <w:marRight w:val="0"/>
          <w:marTop w:val="0"/>
          <w:marBottom w:val="0"/>
          <w:divBdr>
            <w:top w:val="none" w:sz="0" w:space="0" w:color="auto"/>
            <w:left w:val="none" w:sz="0" w:space="0" w:color="auto"/>
            <w:bottom w:val="none" w:sz="0" w:space="0" w:color="auto"/>
            <w:right w:val="none" w:sz="0" w:space="0" w:color="auto"/>
          </w:divBdr>
        </w:div>
        <w:div w:id="885801590">
          <w:marLeft w:val="0"/>
          <w:marRight w:val="0"/>
          <w:marTop w:val="0"/>
          <w:marBottom w:val="0"/>
          <w:divBdr>
            <w:top w:val="none" w:sz="0" w:space="0" w:color="auto"/>
            <w:left w:val="none" w:sz="0" w:space="0" w:color="auto"/>
            <w:bottom w:val="none" w:sz="0" w:space="0" w:color="auto"/>
            <w:right w:val="none" w:sz="0" w:space="0" w:color="auto"/>
          </w:divBdr>
        </w:div>
        <w:div w:id="869608475">
          <w:marLeft w:val="0"/>
          <w:marRight w:val="0"/>
          <w:marTop w:val="0"/>
          <w:marBottom w:val="0"/>
          <w:divBdr>
            <w:top w:val="none" w:sz="0" w:space="0" w:color="auto"/>
            <w:left w:val="none" w:sz="0" w:space="0" w:color="auto"/>
            <w:bottom w:val="none" w:sz="0" w:space="0" w:color="auto"/>
            <w:right w:val="none" w:sz="0" w:space="0" w:color="auto"/>
          </w:divBdr>
        </w:div>
        <w:div w:id="428086883">
          <w:marLeft w:val="0"/>
          <w:marRight w:val="0"/>
          <w:marTop w:val="0"/>
          <w:marBottom w:val="0"/>
          <w:divBdr>
            <w:top w:val="none" w:sz="0" w:space="0" w:color="auto"/>
            <w:left w:val="none" w:sz="0" w:space="0" w:color="auto"/>
            <w:bottom w:val="none" w:sz="0" w:space="0" w:color="auto"/>
            <w:right w:val="none" w:sz="0" w:space="0" w:color="auto"/>
          </w:divBdr>
        </w:div>
        <w:div w:id="1509640051">
          <w:marLeft w:val="0"/>
          <w:marRight w:val="0"/>
          <w:marTop w:val="0"/>
          <w:marBottom w:val="0"/>
          <w:divBdr>
            <w:top w:val="none" w:sz="0" w:space="0" w:color="auto"/>
            <w:left w:val="none" w:sz="0" w:space="0" w:color="auto"/>
            <w:bottom w:val="none" w:sz="0" w:space="0" w:color="auto"/>
            <w:right w:val="none" w:sz="0" w:space="0" w:color="auto"/>
          </w:divBdr>
        </w:div>
        <w:div w:id="473258291">
          <w:marLeft w:val="0"/>
          <w:marRight w:val="0"/>
          <w:marTop w:val="0"/>
          <w:marBottom w:val="0"/>
          <w:divBdr>
            <w:top w:val="none" w:sz="0" w:space="0" w:color="auto"/>
            <w:left w:val="none" w:sz="0" w:space="0" w:color="auto"/>
            <w:bottom w:val="none" w:sz="0" w:space="0" w:color="auto"/>
            <w:right w:val="none" w:sz="0" w:space="0" w:color="auto"/>
          </w:divBdr>
        </w:div>
        <w:div w:id="322853046">
          <w:marLeft w:val="0"/>
          <w:marRight w:val="0"/>
          <w:marTop w:val="0"/>
          <w:marBottom w:val="0"/>
          <w:divBdr>
            <w:top w:val="none" w:sz="0" w:space="0" w:color="auto"/>
            <w:left w:val="none" w:sz="0" w:space="0" w:color="auto"/>
            <w:bottom w:val="none" w:sz="0" w:space="0" w:color="auto"/>
            <w:right w:val="none" w:sz="0" w:space="0" w:color="auto"/>
          </w:divBdr>
        </w:div>
        <w:div w:id="1645355737">
          <w:marLeft w:val="0"/>
          <w:marRight w:val="0"/>
          <w:marTop w:val="0"/>
          <w:marBottom w:val="0"/>
          <w:divBdr>
            <w:top w:val="none" w:sz="0" w:space="0" w:color="auto"/>
            <w:left w:val="none" w:sz="0" w:space="0" w:color="auto"/>
            <w:bottom w:val="none" w:sz="0" w:space="0" w:color="auto"/>
            <w:right w:val="none" w:sz="0" w:space="0" w:color="auto"/>
          </w:divBdr>
        </w:div>
        <w:div w:id="2063164037">
          <w:marLeft w:val="0"/>
          <w:marRight w:val="0"/>
          <w:marTop w:val="0"/>
          <w:marBottom w:val="0"/>
          <w:divBdr>
            <w:top w:val="none" w:sz="0" w:space="0" w:color="auto"/>
            <w:left w:val="none" w:sz="0" w:space="0" w:color="auto"/>
            <w:bottom w:val="none" w:sz="0" w:space="0" w:color="auto"/>
            <w:right w:val="none" w:sz="0" w:space="0" w:color="auto"/>
          </w:divBdr>
        </w:div>
        <w:div w:id="445349010">
          <w:marLeft w:val="0"/>
          <w:marRight w:val="0"/>
          <w:marTop w:val="0"/>
          <w:marBottom w:val="0"/>
          <w:divBdr>
            <w:top w:val="none" w:sz="0" w:space="0" w:color="auto"/>
            <w:left w:val="none" w:sz="0" w:space="0" w:color="auto"/>
            <w:bottom w:val="none" w:sz="0" w:space="0" w:color="auto"/>
            <w:right w:val="none" w:sz="0" w:space="0" w:color="auto"/>
          </w:divBdr>
        </w:div>
      </w:divsChild>
    </w:div>
    <w:div w:id="429277208">
      <w:bodyDiv w:val="1"/>
      <w:marLeft w:val="0"/>
      <w:marRight w:val="0"/>
      <w:marTop w:val="0"/>
      <w:marBottom w:val="0"/>
      <w:divBdr>
        <w:top w:val="none" w:sz="0" w:space="0" w:color="auto"/>
        <w:left w:val="none" w:sz="0" w:space="0" w:color="auto"/>
        <w:bottom w:val="none" w:sz="0" w:space="0" w:color="auto"/>
        <w:right w:val="none" w:sz="0" w:space="0" w:color="auto"/>
      </w:divBdr>
    </w:div>
    <w:div w:id="636305282">
      <w:bodyDiv w:val="1"/>
      <w:marLeft w:val="0"/>
      <w:marRight w:val="0"/>
      <w:marTop w:val="0"/>
      <w:marBottom w:val="0"/>
      <w:divBdr>
        <w:top w:val="none" w:sz="0" w:space="0" w:color="auto"/>
        <w:left w:val="none" w:sz="0" w:space="0" w:color="auto"/>
        <w:bottom w:val="none" w:sz="0" w:space="0" w:color="auto"/>
        <w:right w:val="none" w:sz="0" w:space="0" w:color="auto"/>
      </w:divBdr>
    </w:div>
    <w:div w:id="787891259">
      <w:bodyDiv w:val="1"/>
      <w:marLeft w:val="0"/>
      <w:marRight w:val="0"/>
      <w:marTop w:val="0"/>
      <w:marBottom w:val="0"/>
      <w:divBdr>
        <w:top w:val="none" w:sz="0" w:space="0" w:color="auto"/>
        <w:left w:val="none" w:sz="0" w:space="0" w:color="auto"/>
        <w:bottom w:val="none" w:sz="0" w:space="0" w:color="auto"/>
        <w:right w:val="none" w:sz="0" w:space="0" w:color="auto"/>
      </w:divBdr>
    </w:div>
    <w:div w:id="961308390">
      <w:bodyDiv w:val="1"/>
      <w:marLeft w:val="0"/>
      <w:marRight w:val="0"/>
      <w:marTop w:val="0"/>
      <w:marBottom w:val="0"/>
      <w:divBdr>
        <w:top w:val="none" w:sz="0" w:space="0" w:color="auto"/>
        <w:left w:val="none" w:sz="0" w:space="0" w:color="auto"/>
        <w:bottom w:val="none" w:sz="0" w:space="0" w:color="auto"/>
        <w:right w:val="none" w:sz="0" w:space="0" w:color="auto"/>
      </w:divBdr>
    </w:div>
    <w:div w:id="1087382663">
      <w:bodyDiv w:val="1"/>
      <w:marLeft w:val="0"/>
      <w:marRight w:val="0"/>
      <w:marTop w:val="0"/>
      <w:marBottom w:val="0"/>
      <w:divBdr>
        <w:top w:val="none" w:sz="0" w:space="0" w:color="auto"/>
        <w:left w:val="none" w:sz="0" w:space="0" w:color="auto"/>
        <w:bottom w:val="none" w:sz="0" w:space="0" w:color="auto"/>
        <w:right w:val="none" w:sz="0" w:space="0" w:color="auto"/>
      </w:divBdr>
    </w:div>
    <w:div w:id="1154761260">
      <w:bodyDiv w:val="1"/>
      <w:marLeft w:val="0"/>
      <w:marRight w:val="0"/>
      <w:marTop w:val="0"/>
      <w:marBottom w:val="0"/>
      <w:divBdr>
        <w:top w:val="none" w:sz="0" w:space="0" w:color="auto"/>
        <w:left w:val="none" w:sz="0" w:space="0" w:color="auto"/>
        <w:bottom w:val="none" w:sz="0" w:space="0" w:color="auto"/>
        <w:right w:val="none" w:sz="0" w:space="0" w:color="auto"/>
      </w:divBdr>
    </w:div>
    <w:div w:id="1162500448">
      <w:bodyDiv w:val="1"/>
      <w:marLeft w:val="0"/>
      <w:marRight w:val="0"/>
      <w:marTop w:val="0"/>
      <w:marBottom w:val="0"/>
      <w:divBdr>
        <w:top w:val="none" w:sz="0" w:space="0" w:color="auto"/>
        <w:left w:val="none" w:sz="0" w:space="0" w:color="auto"/>
        <w:bottom w:val="none" w:sz="0" w:space="0" w:color="auto"/>
        <w:right w:val="none" w:sz="0" w:space="0" w:color="auto"/>
      </w:divBdr>
    </w:div>
    <w:div w:id="1273250220">
      <w:bodyDiv w:val="1"/>
      <w:marLeft w:val="0"/>
      <w:marRight w:val="0"/>
      <w:marTop w:val="0"/>
      <w:marBottom w:val="0"/>
      <w:divBdr>
        <w:top w:val="none" w:sz="0" w:space="0" w:color="auto"/>
        <w:left w:val="none" w:sz="0" w:space="0" w:color="auto"/>
        <w:bottom w:val="none" w:sz="0" w:space="0" w:color="auto"/>
        <w:right w:val="none" w:sz="0" w:space="0" w:color="auto"/>
      </w:divBdr>
    </w:div>
    <w:div w:id="1485005954">
      <w:bodyDiv w:val="1"/>
      <w:marLeft w:val="0"/>
      <w:marRight w:val="0"/>
      <w:marTop w:val="0"/>
      <w:marBottom w:val="0"/>
      <w:divBdr>
        <w:top w:val="none" w:sz="0" w:space="0" w:color="auto"/>
        <w:left w:val="none" w:sz="0" w:space="0" w:color="auto"/>
        <w:bottom w:val="none" w:sz="0" w:space="0" w:color="auto"/>
        <w:right w:val="none" w:sz="0" w:space="0" w:color="auto"/>
      </w:divBdr>
    </w:div>
    <w:div w:id="1521357005">
      <w:bodyDiv w:val="1"/>
      <w:marLeft w:val="0"/>
      <w:marRight w:val="0"/>
      <w:marTop w:val="0"/>
      <w:marBottom w:val="0"/>
      <w:divBdr>
        <w:top w:val="none" w:sz="0" w:space="0" w:color="auto"/>
        <w:left w:val="none" w:sz="0" w:space="0" w:color="auto"/>
        <w:bottom w:val="none" w:sz="0" w:space="0" w:color="auto"/>
        <w:right w:val="none" w:sz="0" w:space="0" w:color="auto"/>
      </w:divBdr>
    </w:div>
    <w:div w:id="1616983434">
      <w:bodyDiv w:val="1"/>
      <w:marLeft w:val="0"/>
      <w:marRight w:val="0"/>
      <w:marTop w:val="0"/>
      <w:marBottom w:val="0"/>
      <w:divBdr>
        <w:top w:val="none" w:sz="0" w:space="0" w:color="auto"/>
        <w:left w:val="none" w:sz="0" w:space="0" w:color="auto"/>
        <w:bottom w:val="none" w:sz="0" w:space="0" w:color="auto"/>
        <w:right w:val="none" w:sz="0" w:space="0" w:color="auto"/>
      </w:divBdr>
    </w:div>
    <w:div w:id="1833135427">
      <w:bodyDiv w:val="1"/>
      <w:marLeft w:val="0"/>
      <w:marRight w:val="0"/>
      <w:marTop w:val="0"/>
      <w:marBottom w:val="0"/>
      <w:divBdr>
        <w:top w:val="none" w:sz="0" w:space="0" w:color="auto"/>
        <w:left w:val="none" w:sz="0" w:space="0" w:color="auto"/>
        <w:bottom w:val="none" w:sz="0" w:space="0" w:color="auto"/>
        <w:right w:val="none" w:sz="0" w:space="0" w:color="auto"/>
      </w:divBdr>
    </w:div>
    <w:div w:id="1895385651">
      <w:bodyDiv w:val="1"/>
      <w:marLeft w:val="0"/>
      <w:marRight w:val="0"/>
      <w:marTop w:val="0"/>
      <w:marBottom w:val="0"/>
      <w:divBdr>
        <w:top w:val="none" w:sz="0" w:space="0" w:color="auto"/>
        <w:left w:val="none" w:sz="0" w:space="0" w:color="auto"/>
        <w:bottom w:val="none" w:sz="0" w:space="0" w:color="auto"/>
        <w:right w:val="none" w:sz="0" w:space="0" w:color="auto"/>
      </w:divBdr>
    </w:div>
    <w:div w:id="18966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43" Type="http://schemas.openxmlformats.org/officeDocument/2006/relationships/customXml" Target="../customXml/item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presidencia.gob.mx/base-de-datos-de-fallecimientos/" TargetMode="External"/><Relationship Id="rId1" Type="http://schemas.openxmlformats.org/officeDocument/2006/relationships/hyperlink" Target="http://www.conavi.gob.mx/meta-anual-seguimiento-tren-vivienda/vivienda-cifras-estadisitcas-vivie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37414054</IDBDocs_x0020_Number>
    <TaxCatchAll xmlns="cdc7663a-08f0-4737-9e8c-148ce897a09c">
      <Value>20</Value>
      <Value>21</Value>
    </TaxCatchAll>
    <SISCOR_x0020_Number xmlns="cdc7663a-08f0-4737-9e8c-148ce897a09c" xsi:nil="true"/>
    <Division_x0020_or_x0020_Unit xmlns="cdc7663a-08f0-4737-9e8c-148ce897a09c">IFD/ICS</Division_x0020_or_x0020_Unit>
    <Document_x0020_Author xmlns="cdc7663a-08f0-4737-9e8c-148ce897a09c">Beliz, Gustavo Osvaldo</Document_x0020_Author>
    <Fiscal_x0020_Year_x0020_IDB xmlns="cdc7663a-08f0-4737-9e8c-148ce897a09c">2013</Fiscal_x0020_Year_x0020_IDB>
    <Other_x0020_Author xmlns="cdc7663a-08f0-4737-9e8c-148ce897a09c">Sebastian Galiani, Enrique Seira y Beatriz Magaloni</Other_x0020_Author>
    <Migration_x0020_Info xmlns="cdc7663a-08f0-4737-9e8c-148ce897a09c">&lt;Data&gt;&lt;APPLICATION&gt;MS WORD&lt;/APPLICATION&gt;&lt;STAGE_CODE&gt;WRKPA&lt;/STAGE_CODE&gt;&lt;USER_STAGE&gt;Working Paper&lt;/USER_STAGE&gt;&lt;PD_OBJ_TYPE&gt;0&lt;/PD_OBJ_TYPE&gt;&lt;MAKERECORD&gt;N&lt;/MAKERECORD&gt;&lt;/Data&gt;</Migration_x0020_Info>
    <Document_x0020_Language_x0020_IDB xmlns="cdc7663a-08f0-4737-9e8c-148ce897a09c">Spanish</Document_x0020_Language_x0020_IDB>
    <Identifier xmlns="cdc7663a-08f0-4737-9e8c-148ce897a09c"> MAIN DOC</Identifier>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Issue_x0020_Date xmlns="cdc7663a-08f0-4737-9e8c-148ce897a09c" xsi:nil="true"/>
    <KP_x0020_Topics xmlns="cdc7663a-08f0-4737-9e8c-148ce897a09c" xsi:nil="true"/>
    <Publication_x0020_Type xmlns="cdc7663a-08f0-4737-9e8c-148ce897a09c" xsi:nil="true"/>
    <Publishing_x0020_House xmlns="cdc7663a-08f0-4737-9e8c-148ce897a09c" xsi:nil="true"/>
    <Abstract xmlns="cdc7663a-08f0-4737-9e8c-148ce897a09c" xsi:nil="true"/>
    <Editor1 xmlns="cdc7663a-08f0-4737-9e8c-148ce897a09c" xsi:nil="true"/>
    <Disclosure_x0020_Activity xmlns="cdc7663a-08f0-4737-9e8c-148ce897a09c">Working Paper</Disclosure_x0020_Activity>
    <Region xmlns="cdc7663a-08f0-4737-9e8c-148ce897a09c" xsi:nil="true"/>
    <Webtopic xmlns="cdc7663a-08f0-4737-9e8c-148ce897a09c">Citizen Security and Crime Prevention</Webtopic>
    <Disclosed xmlns="cdc7663a-08f0-4737-9e8c-148ce897a09c">false</Disclosed>
    <_dlc_DocId xmlns="cdc7663a-08f0-4737-9e8c-148ce897a09c">EZSHARE-2002831443-82</_dlc_DocId>
    <_dlc_DocIdUrl xmlns="cdc7663a-08f0-4737-9e8c-148ce897a09c">
      <Url>https://idbg.sharepoint.com/teams/ez-VPS/ICS/_layouts/15/DocIdRedir.aspx?ID=EZSHARE-2002831443-82</Url>
      <Description>EZSHARE-2002831443-82</Description>
    </_dlc_DocIdUrl>
  </documentManagement>
</p:properties>
</file>

<file path=customXml/item2.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3.xml><?xml version="1.0" encoding="utf-8"?>
<b:Sources xmlns:b="http://schemas.openxmlformats.org/officeDocument/2006/bibliography" xmlns="http://schemas.openxmlformats.org/officeDocument/2006/bibliography" SelectedStyle="\ISO690.XSL" StyleName="ISO 690 - First Element and Date">
  <b:Source>
    <b:Tag>Rios2012</b:Tag>
    <b:SourceType>JournalArticle</b:SourceType>
    <b:Guid>{5F697B19-95ED-4AE9-9969-4835DBC50092}</b:Guid>
    <b:Author>
      <b:Author>
        <b:NameList>
          <b:Person>
            <b:Last>Rios</b:Last>
            <b:First>Viridiana</b:First>
          </b:Person>
        </b:NameList>
      </b:Author>
    </b:Author>
    <b:Title>Why did Mexico become so violent?A self-reinforcing violent equilibrium caused by competition and enforcement</b:Title>
    <b:JournalName>Trends in Organize Crime</b:JournalName>
    <b:Year>2012</b:Year>
    <b:RefOrder>1</b:RefOrder>
  </b:Source>
  <b:Source>
    <b:Tag>Mol12</b:Tag>
    <b:SourceType>Report</b:SourceType>
    <b:Guid>{76E7E63A-6700-489B-9E5D-8F04EDE9165E}</b:Guid>
    <b:Author>
      <b:Author>
        <b:NameList>
          <b:Person>
            <b:Last>Molzahn</b:Last>
            <b:First>Cory</b:First>
          </b:Person>
          <b:Person>
            <b:Last>Ríos</b:Last>
            <b:First>Viridiana</b:First>
          </b:Person>
          <b:Person>
            <b:Last>A. Shirk</b:Last>
            <b:First>David</b:First>
          </b:Person>
        </b:NameList>
      </b:Author>
    </b:Author>
    <b:Title>Drug violance in Mexico data and analysis throught 2011</b:Title>
    <b:Year>2012</b:Year>
    <b:Publisher>Special Report for TBI</b:Publisher>
    <b:City>USD, San Diego</b:City>
    <b:RefOrder>2</b:RefOrder>
  </b:Source>
  <b:Source>
    <b:Tag>Gue11</b:Tag>
    <b:SourceType>Report</b:SourceType>
    <b:Guid>{3B6842A0-FD59-4DF4-94BB-9C1C97E9CD62}</b:Guid>
    <b:Author>
      <b:Author>
        <b:NameList>
          <b:Person>
            <b:Last>Guerrero-Gutiérrez</b:Last>
            <b:First>Eduardo</b:First>
          </b:Person>
        </b:NameList>
      </b:Author>
    </b:Author>
    <b:Title>Security, drugs and violence in Mexico: a survey</b:Title>
    <b:Year>2011</b:Year>
    <b:Publisher>7 North American Forum</b:Publisher>
    <b:City>Washington D.C</b:City>
    <b:RefOrder>3</b:RefOrder>
  </b:Source>
  <b:Source>
    <b:Tag>Gue09</b:Tag>
    <b:SourceType>InternetSite</b:SourceType>
    <b:Guid>{AD829E4C-B03E-44EB-8FD0-608C593911A7}</b:Guid>
    <b:Author>
      <b:Author>
        <b:NameList>
          <b:Person>
            <b:Last>Guerrero</b:Last>
            <b:First>Eduardo</b:First>
          </b:Person>
        </b:NameList>
      </b:Author>
    </b:Author>
    <b:Title>Nexos en línea</b:Title>
    <b:Year>2009</b:Year>
    <b:Month>01</b:Month>
    <b:Day>01</b:Day>
    <b:YearAccessed>2012</b:YearAccessed>
    <b:MonthAccessed>11</b:MonthAccessed>
    <b:DayAccessed>01</b:DayAccessed>
    <b:URL>http://www.nexos.com.mx</b:URL>
    <b:RefOrder>4</b:RefOrder>
  </b:Source>
  <b:Source>
    <b:Tag>Del11</b:Tag>
    <b:SourceType>JournalArticle</b:SourceType>
    <b:Guid>{08A25499-9B09-4027-9729-486644D3F7FE}</b:Guid>
    <b:Author>
      <b:Author>
        <b:NameList>
          <b:Person>
            <b:Last>Dell</b:Last>
            <b:First>Melissa</b:First>
          </b:Person>
        </b:NameList>
      </b:Author>
    </b:Author>
    <b:Title>Trafficking Networks and the Mexican Drug War</b:Title>
    <b:JournalName>(Job Market Paper)</b:JournalName>
    <b:Year>2011</b:Year>
    <b:RefOrder>5</b:RefOrder>
  </b:Source>
  <b:Source>
    <b:Tag>Rio11</b:Tag>
    <b:SourceType>InternetSite</b:SourceType>
    <b:Guid>{4248B546-7F08-4862-8473-778C8B342895}</b:Guid>
    <b:Author>
      <b:Author>
        <b:NameList>
          <b:Person>
            <b:Last>Rios</b:Last>
            <b:First>Viridiana</b:First>
          </b:Person>
        </b:NameList>
      </b:Author>
    </b:Author>
    <b:Title>Violencia mediática</b:Title>
    <b:Year>2011</b:Year>
    <b:JournalName>Nexos</b:JournalName>
    <b:Month>01</b:Month>
    <b:Day>03</b:Day>
    <b:InternetSiteTitle>nexos en línea</b:InternetSiteTitle>
    <b:YearAccessed>2012</b:YearAccessed>
    <b:MonthAccessed>10</b:MonthAccessed>
    <b:DayAccessed>31</b:DayAccessed>
    <b:URL>http://www.nexos.com.mx</b:URL>
    <b:RefOrder>6</b:RefOrder>
  </b:Source>
</b:Source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4770300B6A6BA944A421B99BAE53CC5D" ma:contentTypeVersion="5" ma:contentTypeDescription="A content type to manage public (corporate) IDB documents" ma:contentTypeScope="" ma:versionID="7ecf2a3bad188f995be10cc1364cddb9">
  <xsd:schema xmlns:xsd="http://www.w3.org/2001/XMLSchema" xmlns:xs="http://www.w3.org/2001/XMLSchema" xmlns:p="http://schemas.microsoft.com/office/2006/metadata/properties" xmlns:ns2="cdc7663a-08f0-4737-9e8c-148ce897a09c" targetNamespace="http://schemas.microsoft.com/office/2006/metadata/properties" ma:root="true" ma:fieldsID="5c9be795631bfedbbf6c259904c3013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588f23-1e2d-45ba-a9b1-ef249f9a459b}" ma:internalName="TaxCatchAll" ma:showField="CatchAllData" ma:web="4efbec97-fde3-4879-8f16-c9b0dfc2148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c588f23-1e2d-45ba-a9b1-ef249f9a459b}" ma:internalName="TaxCatchAllLabel" ma:readOnly="true" ma:showField="CatchAllDataLabel" ma:web="4efbec97-fde3-4879-8f16-c9b0dfc2148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maxLength value="255"/>
        </xsd:restriction>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58D531-6EB9-4040-AC3E-652E9D5DC304}"/>
</file>

<file path=customXml/itemProps2.xml><?xml version="1.0" encoding="utf-8"?>
<ds:datastoreItem xmlns:ds="http://schemas.openxmlformats.org/officeDocument/2006/customXml" ds:itemID="{558AFF7E-9543-4D0E-B115-6CDCC542A365}"/>
</file>

<file path=customXml/itemProps3.xml><?xml version="1.0" encoding="utf-8"?>
<ds:datastoreItem xmlns:ds="http://schemas.openxmlformats.org/officeDocument/2006/customXml" ds:itemID="{87BE6B73-2834-40B5-AF18-39C9A4FD4C0D}"/>
</file>

<file path=customXml/itemProps4.xml><?xml version="1.0" encoding="utf-8"?>
<ds:datastoreItem xmlns:ds="http://schemas.openxmlformats.org/officeDocument/2006/customXml" ds:itemID="{628AE92C-A9AD-4B68-AC07-8E29A1D7444B}"/>
</file>

<file path=customXml/itemProps5.xml><?xml version="1.0" encoding="utf-8"?>
<ds:datastoreItem xmlns:ds="http://schemas.openxmlformats.org/officeDocument/2006/customXml" ds:itemID="{DC6E4EDB-04D3-4219-AE1D-1B616C635B80}"/>
</file>

<file path=customXml/itemProps6.xml><?xml version="1.0" encoding="utf-8"?>
<ds:datastoreItem xmlns:ds="http://schemas.openxmlformats.org/officeDocument/2006/customXml" ds:itemID="{1F71D418-6DC4-4204-AC26-E341FAA5839A}"/>
</file>

<file path=customXml/itemProps7.xml><?xml version="1.0" encoding="utf-8"?>
<ds:datastoreItem xmlns:ds="http://schemas.openxmlformats.org/officeDocument/2006/customXml" ds:itemID="{BD106216-53C9-463C-8257-78A0A6551B34}"/>
</file>

<file path=docProps/app.xml><?xml version="1.0" encoding="utf-8"?>
<Properties xmlns="http://schemas.openxmlformats.org/officeDocument/2006/extended-properties" xmlns:vt="http://schemas.openxmlformats.org/officeDocument/2006/docPropsVTypes">
  <Template>Normal.dotm</Template>
  <TotalTime>0</TotalTime>
  <Pages>33</Pages>
  <Words>7521</Words>
  <Characters>42876</Characters>
  <Application>Microsoft Office Word</Application>
  <DocSecurity>0</DocSecurity>
  <Lines>357</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Paper - Impacto del Crimen en el precio de las viviendas</dc:title>
  <dc:creator>Alicia</dc:creator>
  <cp:lastModifiedBy>Inter-American Development Bank</cp:lastModifiedBy>
  <cp:revision>2</cp:revision>
  <cp:lastPrinted>2012-11-11T23:18:00Z</cp:lastPrinted>
  <dcterms:created xsi:type="dcterms:W3CDTF">2013-01-23T20:06:00Z</dcterms:created>
  <dcterms:modified xsi:type="dcterms:W3CDTF">2013-01-23T20:06:00Z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0x01010066B06E59AB175241BBFB297522263BEB004770300B6A6BA944A421B99BAE53CC5D</vt:lpwstr>
  </property>
  <property fmtid="{D5CDD505-2E9C-101B-9397-08002B2CF9AE}" pid="3" name="TaxKeyword">
    <vt:lpwstr/>
  </property>
  <property fmtid="{D5CDD505-2E9C-101B-9397-08002B2CF9AE}" pid="4" name="Series Corporate IDB">
    <vt:lpwstr>-1;#Unclassified|a6dff32e-d477-44cd-a56b-85efe9e0a56c</vt:lpwstr>
  </property>
  <property fmtid="{D5CDD505-2E9C-101B-9397-08002B2CF9AE}" pid="5" name="Function Corporate IDB">
    <vt:lpwstr>-1;#IDBDocs|cca77002-e150-4b2d-ab1f-1d7a7cdcae16</vt:lpwstr>
  </property>
  <property fmtid="{D5CDD505-2E9C-101B-9397-08002B2CF9AE}" pid="6" name="TaxKeywordTaxHTField">
    <vt:lpwstr/>
  </property>
  <property fmtid="{D5CDD505-2E9C-101B-9397-08002B2CF9AE}" pid="7" name="Series_x0020_Corporate_x0020_IDB">
    <vt:lpwstr>-1;#Unclassified|a6dff32e-d477-44cd-a56b-85efe9e0a56c</vt:lpwstr>
  </property>
  <property fmtid="{D5CDD505-2E9C-101B-9397-08002B2CF9AE}" pid="8" name="Country">
    <vt:lpwstr/>
  </property>
  <property fmtid="{D5CDD505-2E9C-101B-9397-08002B2CF9AE}" pid="10" name="From:">
    <vt:lpwstr>Sebastian Galiani, Enrique Seira y Beatriz Magaloni</vt:lpwstr>
  </property>
  <property fmtid="{D5CDD505-2E9C-101B-9397-08002B2CF9AE}" pid="11" name="URL">
    <vt:lpwstr/>
  </property>
  <property fmtid="{D5CDD505-2E9C-101B-9397-08002B2CF9AE}" pid="12" name="To_x003A_">
    <vt:lpwstr/>
  </property>
  <property fmtid="{D5CDD505-2E9C-101B-9397-08002B2CF9AE}" pid="13" name="Function_x0020_Corporate_x0020_IDB">
    <vt:lpwstr>-1;#IDBDocs|cca77002-e150-4b2d-ab1f-1d7a7cdcae16</vt:lpwstr>
  </property>
  <property fmtid="{D5CDD505-2E9C-101B-9397-08002B2CF9AE}" pid="14" name="From_x003A_">
    <vt:lpwstr>Sebastian Galiani, Enrique Seira y Beatriz Magaloni</vt:lpwstr>
  </property>
  <property fmtid="{D5CDD505-2E9C-101B-9397-08002B2CF9AE}" pid="15" name="To:">
    <vt:lpwstr/>
  </property>
  <property fmtid="{D5CDD505-2E9C-101B-9397-08002B2CF9AE}" pid="16" name="_dlc_DocIdItemGuid">
    <vt:lpwstr>911c0537-fcd4-4f99-a22f-8cecdec75c4f</vt:lpwstr>
  </property>
</Properties>
</file>