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BEA" w:rsidRPr="00097570" w:rsidRDefault="00105BC1" w:rsidP="00775BEA">
      <w:pPr>
        <w:jc w:val="center"/>
        <w:rPr>
          <w:rFonts w:eastAsia="Times New Roman" w:cs="Times New Roman"/>
          <w:b/>
          <w:sz w:val="32"/>
          <w:szCs w:val="32"/>
          <w:lang w:val="es-ES" w:eastAsia="es-ES"/>
        </w:rPr>
      </w:pPr>
      <w:r w:rsidRPr="0015719C">
        <w:rPr>
          <w:rFonts w:eastAsia="Times New Roman" w:cs="Times New Roman"/>
          <w:b/>
          <w:sz w:val="32"/>
          <w:szCs w:val="32"/>
          <w:lang w:eastAsia="es-ES"/>
        </w:rPr>
        <w:t>C</w:t>
      </w:r>
      <w:r w:rsidR="00D9544C" w:rsidRPr="0015719C">
        <w:rPr>
          <w:rFonts w:eastAsia="Times New Roman" w:cs="Times New Roman"/>
          <w:b/>
          <w:sz w:val="32"/>
          <w:szCs w:val="32"/>
          <w:lang w:eastAsia="es-ES"/>
        </w:rPr>
        <w:t>ostos del C</w:t>
      </w:r>
      <w:r w:rsidR="00775BEA" w:rsidRPr="0015719C">
        <w:rPr>
          <w:rFonts w:eastAsia="Times New Roman" w:cs="Times New Roman"/>
          <w:b/>
          <w:sz w:val="32"/>
          <w:szCs w:val="32"/>
          <w:lang w:eastAsia="es-ES"/>
        </w:rPr>
        <w:t>rimen en Uruguay</w:t>
      </w:r>
      <w:r w:rsidR="00405EA2">
        <w:rPr>
          <w:rStyle w:val="FootnoteReference"/>
          <w:rFonts w:ascii="Calibri" w:eastAsia="Calibri" w:hAnsi="Calibri" w:cs="Times New Roman"/>
          <w:sz w:val="32"/>
          <w:lang w:val="es-ES"/>
        </w:rPr>
        <w:footnoteReference w:id="1"/>
      </w:r>
      <w:r w:rsidR="00097570">
        <w:rPr>
          <w:rStyle w:val="FootnoteReference"/>
          <w:rFonts w:eastAsia="Times New Roman" w:cs="Times New Roman"/>
          <w:b/>
          <w:sz w:val="32"/>
          <w:szCs w:val="32"/>
          <w:lang w:eastAsia="es-ES"/>
        </w:rPr>
        <w:footnoteReference w:id="2"/>
      </w:r>
    </w:p>
    <w:p w:rsidR="00775BEA" w:rsidRPr="00775BEA" w:rsidRDefault="00775BEA" w:rsidP="00775BEA">
      <w:pPr>
        <w:jc w:val="center"/>
        <w:rPr>
          <w:sz w:val="28"/>
        </w:rPr>
      </w:pPr>
    </w:p>
    <w:p w:rsidR="00880889" w:rsidRDefault="00775BEA" w:rsidP="009F76A6">
      <w:pPr>
        <w:jc w:val="center"/>
        <w:rPr>
          <w:rFonts w:ascii="Calibri" w:eastAsia="Calibri" w:hAnsi="Calibri" w:cs="Times New Roman"/>
          <w:sz w:val="24"/>
          <w:szCs w:val="24"/>
          <w:lang w:val="es-ES"/>
        </w:rPr>
      </w:pPr>
      <w:r w:rsidRPr="00731DB8">
        <w:rPr>
          <w:rFonts w:ascii="Calibri" w:eastAsia="Calibri" w:hAnsi="Calibri" w:cs="Times New Roman"/>
          <w:sz w:val="24"/>
          <w:szCs w:val="24"/>
        </w:rPr>
        <w:t>Diego Aboal</w:t>
      </w:r>
      <w:r w:rsidR="006902F2" w:rsidRPr="00731DB8">
        <w:rPr>
          <w:rFonts w:ascii="Calibri" w:eastAsia="Calibri" w:hAnsi="Calibri" w:cs="Times New Roman"/>
          <w:sz w:val="24"/>
          <w:szCs w:val="24"/>
        </w:rPr>
        <w:t>,</w:t>
      </w:r>
      <w:r w:rsidRPr="00731DB8">
        <w:rPr>
          <w:rFonts w:ascii="Calibri" w:eastAsia="Calibri" w:hAnsi="Calibri" w:cs="Times New Roman"/>
          <w:sz w:val="24"/>
          <w:szCs w:val="24"/>
        </w:rPr>
        <w:t xml:space="preserve"> </w:t>
      </w:r>
      <w:r w:rsidR="006902F2" w:rsidRPr="00731DB8">
        <w:rPr>
          <w:rFonts w:ascii="Calibri" w:eastAsia="Calibri" w:hAnsi="Calibri" w:cs="Times New Roman"/>
          <w:sz w:val="24"/>
          <w:szCs w:val="24"/>
        </w:rPr>
        <w:t>Jorge Campanella</w:t>
      </w:r>
      <w:r w:rsidR="00880889" w:rsidRPr="00731DB8">
        <w:rPr>
          <w:rFonts w:ascii="Calibri" w:eastAsia="Calibri" w:hAnsi="Calibri" w:cs="Times New Roman"/>
          <w:sz w:val="24"/>
          <w:szCs w:val="24"/>
        </w:rPr>
        <w:t xml:space="preserve"> y</w:t>
      </w:r>
      <w:r w:rsidR="006902F2" w:rsidRPr="00731DB8">
        <w:rPr>
          <w:rFonts w:ascii="Calibri" w:eastAsia="Calibri" w:hAnsi="Calibri" w:cs="Times New Roman"/>
          <w:sz w:val="24"/>
          <w:szCs w:val="24"/>
        </w:rPr>
        <w:t xml:space="preserve"> </w:t>
      </w:r>
      <w:r w:rsidRPr="00731DB8">
        <w:rPr>
          <w:rFonts w:ascii="Calibri" w:eastAsia="Calibri" w:hAnsi="Calibri" w:cs="Times New Roman"/>
          <w:sz w:val="24"/>
          <w:szCs w:val="24"/>
        </w:rPr>
        <w:t>Bibiana Lanzilotta</w:t>
      </w:r>
      <w:r w:rsidR="009F76A6" w:rsidRPr="009F76A6">
        <w:rPr>
          <w:rFonts w:ascii="Calibri" w:eastAsia="Calibri" w:hAnsi="Calibri" w:cs="Times New Roman"/>
          <w:sz w:val="24"/>
          <w:szCs w:val="24"/>
          <w:lang w:val="es-ES"/>
        </w:rPr>
        <w:t xml:space="preserve"> </w:t>
      </w:r>
    </w:p>
    <w:p w:rsidR="009F76A6" w:rsidRPr="0015719C" w:rsidRDefault="00880889" w:rsidP="009F76A6">
      <w:pPr>
        <w:jc w:val="center"/>
        <w:rPr>
          <w:rFonts w:ascii="Calibri" w:eastAsia="Calibri" w:hAnsi="Calibri" w:cs="Times New Roman"/>
          <w:sz w:val="24"/>
          <w:szCs w:val="24"/>
          <w:lang w:val="es-ES"/>
        </w:rPr>
      </w:pPr>
      <w:r>
        <w:rPr>
          <w:rFonts w:ascii="Calibri" w:eastAsia="Calibri" w:hAnsi="Calibri" w:cs="Times New Roman"/>
          <w:sz w:val="24"/>
          <w:szCs w:val="24"/>
          <w:lang w:val="es-ES"/>
        </w:rPr>
        <w:t xml:space="preserve">con la colaboración </w:t>
      </w:r>
      <w:r w:rsidR="00574797">
        <w:rPr>
          <w:rFonts w:ascii="Calibri" w:eastAsia="Calibri" w:hAnsi="Calibri" w:cs="Times New Roman"/>
          <w:sz w:val="24"/>
          <w:szCs w:val="24"/>
          <w:lang w:val="es-ES"/>
        </w:rPr>
        <w:t xml:space="preserve">de </w:t>
      </w:r>
      <w:r w:rsidR="00184313" w:rsidRPr="005C6BF3">
        <w:rPr>
          <w:rFonts w:ascii="Calibri" w:eastAsia="Calibri" w:hAnsi="Calibri" w:cs="Times New Roman"/>
          <w:sz w:val="24"/>
          <w:szCs w:val="24"/>
        </w:rPr>
        <w:t>Magdalena Domínguez</w:t>
      </w:r>
      <w:r w:rsidRPr="005C6BF3">
        <w:rPr>
          <w:rFonts w:ascii="Calibri" w:eastAsia="Calibri" w:hAnsi="Calibri" w:cs="Times New Roman"/>
          <w:sz w:val="24"/>
          <w:szCs w:val="24"/>
        </w:rPr>
        <w:t xml:space="preserve"> </w:t>
      </w:r>
      <w:r w:rsidR="009F76A6" w:rsidRPr="0015719C">
        <w:rPr>
          <w:rFonts w:ascii="Calibri" w:eastAsia="Calibri" w:hAnsi="Calibri" w:cs="Times New Roman"/>
          <w:sz w:val="24"/>
          <w:szCs w:val="24"/>
          <w:lang w:val="es-ES"/>
        </w:rPr>
        <w:t>y Maren Vairo</w:t>
      </w:r>
    </w:p>
    <w:p w:rsidR="00775BEA" w:rsidRPr="005C6BF3" w:rsidRDefault="00775BEA" w:rsidP="00775BEA">
      <w:pPr>
        <w:jc w:val="center"/>
        <w:rPr>
          <w:rFonts w:ascii="Calibri" w:eastAsia="Calibri" w:hAnsi="Calibri" w:cs="Times New Roman"/>
          <w:sz w:val="24"/>
          <w:szCs w:val="24"/>
        </w:rPr>
      </w:pPr>
    </w:p>
    <w:p w:rsidR="004F2E1B" w:rsidRPr="0015719C" w:rsidRDefault="004E1756" w:rsidP="00775BEA">
      <w:pPr>
        <w:jc w:val="center"/>
        <w:rPr>
          <w:rFonts w:ascii="Calibri" w:eastAsia="Calibri" w:hAnsi="Calibri" w:cs="Times New Roman"/>
          <w:sz w:val="24"/>
          <w:szCs w:val="24"/>
          <w:lang w:val="es-ES"/>
        </w:rPr>
      </w:pPr>
      <w:r w:rsidRPr="0015719C">
        <w:rPr>
          <w:rFonts w:ascii="Arial Black" w:eastAsia="Calibri" w:hAnsi="Arial Black" w:cs="Times New Roman"/>
          <w:b/>
          <w:sz w:val="24"/>
          <w:szCs w:val="24"/>
        </w:rPr>
        <w:t>cinve</w:t>
      </w:r>
    </w:p>
    <w:p w:rsidR="00775BEA" w:rsidRPr="0015719C" w:rsidRDefault="004F2E1B" w:rsidP="00775BEA">
      <w:pPr>
        <w:jc w:val="center"/>
        <w:rPr>
          <w:rFonts w:ascii="Calibri" w:eastAsia="Calibri" w:hAnsi="Calibri" w:cs="Times New Roman"/>
          <w:sz w:val="24"/>
          <w:szCs w:val="24"/>
          <w:lang w:val="es-ES"/>
        </w:rPr>
      </w:pPr>
      <w:r w:rsidRPr="0015719C">
        <w:rPr>
          <w:rFonts w:ascii="Calibri" w:eastAsia="Calibri" w:hAnsi="Calibri" w:cs="Times New Roman"/>
          <w:sz w:val="24"/>
          <w:szCs w:val="24"/>
          <w:lang w:val="es-ES"/>
        </w:rPr>
        <w:t xml:space="preserve"> </w:t>
      </w:r>
      <w:r w:rsidR="004E1756" w:rsidRPr="0015719C">
        <w:rPr>
          <w:rFonts w:ascii="Calibri" w:eastAsia="Calibri" w:hAnsi="Calibri" w:cs="Times New Roman"/>
          <w:sz w:val="24"/>
          <w:szCs w:val="24"/>
          <w:lang w:val="es-ES"/>
        </w:rPr>
        <w:t xml:space="preserve">Centro de Investigaciones Económicas </w:t>
      </w:r>
      <w:r w:rsidRPr="0015719C">
        <w:rPr>
          <w:rFonts w:ascii="Calibri" w:eastAsia="Calibri" w:hAnsi="Calibri" w:cs="Times New Roman"/>
          <w:sz w:val="24"/>
          <w:szCs w:val="24"/>
          <w:lang w:val="es-ES"/>
        </w:rPr>
        <w:t>- U</w:t>
      </w:r>
      <w:r w:rsidR="00775BEA" w:rsidRPr="0015719C">
        <w:rPr>
          <w:rFonts w:ascii="Calibri" w:eastAsia="Calibri" w:hAnsi="Calibri" w:cs="Times New Roman"/>
          <w:sz w:val="24"/>
          <w:szCs w:val="24"/>
          <w:lang w:val="es-ES"/>
        </w:rPr>
        <w:t>ruguay</w:t>
      </w:r>
    </w:p>
    <w:p w:rsidR="00775BEA" w:rsidRPr="0015719C" w:rsidRDefault="00775BEA" w:rsidP="00775BEA">
      <w:pPr>
        <w:pStyle w:val="FootnoteText"/>
        <w:rPr>
          <w:rFonts w:ascii="Calibri" w:eastAsia="Calibri" w:hAnsi="Calibri" w:cs="Times New Roman"/>
          <w:sz w:val="24"/>
          <w:szCs w:val="24"/>
          <w:lang w:val="es-ES"/>
        </w:rPr>
      </w:pPr>
    </w:p>
    <w:p w:rsidR="00775BEA" w:rsidRPr="0015719C" w:rsidRDefault="004E1756" w:rsidP="00775BEA">
      <w:pPr>
        <w:jc w:val="center"/>
        <w:rPr>
          <w:rFonts w:ascii="Calibri" w:eastAsia="Calibri" w:hAnsi="Calibri" w:cs="Times New Roman"/>
          <w:sz w:val="24"/>
          <w:szCs w:val="24"/>
          <w:lang w:val="es-ES"/>
        </w:rPr>
      </w:pPr>
      <w:r w:rsidRPr="0015719C">
        <w:rPr>
          <w:rFonts w:ascii="Calibri" w:eastAsia="Calibri" w:hAnsi="Calibri" w:cs="Times New Roman"/>
          <w:sz w:val="24"/>
          <w:szCs w:val="24"/>
          <w:lang w:val="es-ES"/>
        </w:rPr>
        <w:t>Diciembre</w:t>
      </w:r>
      <w:r w:rsidR="00775BEA" w:rsidRPr="0015719C">
        <w:rPr>
          <w:rFonts w:ascii="Calibri" w:eastAsia="Calibri" w:hAnsi="Calibri" w:cs="Times New Roman"/>
          <w:sz w:val="24"/>
          <w:szCs w:val="24"/>
          <w:lang w:val="es-ES"/>
        </w:rPr>
        <w:t xml:space="preserve"> </w:t>
      </w:r>
      <w:r w:rsidR="004F2E1B" w:rsidRPr="0015719C">
        <w:rPr>
          <w:rFonts w:ascii="Calibri" w:eastAsia="Calibri" w:hAnsi="Calibri" w:cs="Times New Roman"/>
          <w:sz w:val="24"/>
          <w:szCs w:val="24"/>
          <w:lang w:val="es-ES"/>
        </w:rPr>
        <w:t xml:space="preserve">de </w:t>
      </w:r>
      <w:r w:rsidR="00775BEA" w:rsidRPr="0015719C">
        <w:rPr>
          <w:rFonts w:ascii="Calibri" w:eastAsia="Calibri" w:hAnsi="Calibri" w:cs="Times New Roman"/>
          <w:sz w:val="24"/>
          <w:szCs w:val="24"/>
          <w:lang w:val="es-ES"/>
        </w:rPr>
        <w:t>2012</w:t>
      </w:r>
    </w:p>
    <w:p w:rsidR="004E1756" w:rsidRPr="0015719C" w:rsidRDefault="004E1756" w:rsidP="004E1756">
      <w:pPr>
        <w:jc w:val="center"/>
        <w:rPr>
          <w:rFonts w:ascii="Calibri" w:eastAsia="Calibri" w:hAnsi="Calibri" w:cs="Times New Roman"/>
          <w:sz w:val="24"/>
          <w:szCs w:val="24"/>
          <w:lang w:val="es-ES"/>
        </w:rPr>
      </w:pPr>
    </w:p>
    <w:p w:rsidR="00775BEA" w:rsidRDefault="004E1756" w:rsidP="004E1756">
      <w:pPr>
        <w:jc w:val="center"/>
        <w:rPr>
          <w:rFonts w:ascii="Calibri" w:eastAsia="Calibri" w:hAnsi="Calibri" w:cs="Times New Roman"/>
          <w:b/>
          <w:sz w:val="24"/>
          <w:szCs w:val="24"/>
          <w:lang w:val="es-ES"/>
        </w:rPr>
      </w:pPr>
      <w:r w:rsidRPr="0015719C">
        <w:rPr>
          <w:rFonts w:ascii="Calibri" w:eastAsia="Calibri" w:hAnsi="Calibri" w:cs="Times New Roman"/>
          <w:b/>
          <w:sz w:val="24"/>
          <w:szCs w:val="24"/>
          <w:lang w:val="es-ES"/>
        </w:rPr>
        <w:t>Resumen</w:t>
      </w:r>
    </w:p>
    <w:p w:rsidR="003F263A" w:rsidRPr="003F263A" w:rsidRDefault="003F263A" w:rsidP="003F263A">
      <w:pPr>
        <w:jc w:val="both"/>
        <w:rPr>
          <w:rFonts w:ascii="Calibri" w:eastAsia="Calibri" w:hAnsi="Calibri" w:cs="Times New Roman"/>
          <w:sz w:val="24"/>
          <w:szCs w:val="24"/>
          <w:lang w:val="es-ES"/>
        </w:rPr>
      </w:pPr>
      <w:r>
        <w:rPr>
          <w:rFonts w:ascii="Calibri" w:eastAsia="Calibri" w:hAnsi="Calibri" w:cs="Times New Roman"/>
          <w:sz w:val="24"/>
          <w:szCs w:val="24"/>
          <w:lang w:val="es-ES"/>
        </w:rPr>
        <w:t xml:space="preserve">En este trabajo estimamos </w:t>
      </w:r>
      <w:r w:rsidR="008A11F7">
        <w:rPr>
          <w:rFonts w:ascii="Calibri" w:eastAsia="Calibri" w:hAnsi="Calibri" w:cs="Times New Roman"/>
          <w:sz w:val="24"/>
          <w:szCs w:val="24"/>
          <w:lang w:val="es-ES"/>
        </w:rPr>
        <w:t xml:space="preserve">algunos de los </w:t>
      </w:r>
      <w:r>
        <w:rPr>
          <w:rFonts w:ascii="Calibri" w:eastAsia="Calibri" w:hAnsi="Calibri" w:cs="Times New Roman"/>
          <w:sz w:val="24"/>
          <w:szCs w:val="24"/>
          <w:lang w:val="es-ES"/>
        </w:rPr>
        <w:t>costos asociados a la criminalidad y la violencia en Uruguay. El método utilizado es el de</w:t>
      </w:r>
      <w:r w:rsidR="005411DC">
        <w:rPr>
          <w:rFonts w:ascii="Calibri" w:eastAsia="Calibri" w:hAnsi="Calibri" w:cs="Times New Roman"/>
          <w:sz w:val="24"/>
          <w:szCs w:val="24"/>
          <w:lang w:val="es-ES"/>
        </w:rPr>
        <w:t xml:space="preserve"> </w:t>
      </w:r>
      <w:bookmarkStart w:id="0" w:name="_GoBack"/>
      <w:bookmarkEnd w:id="0"/>
      <w:r w:rsidR="005411DC">
        <w:rPr>
          <w:rFonts w:ascii="Calibri" w:eastAsia="Calibri" w:hAnsi="Calibri" w:cs="Times New Roman"/>
          <w:sz w:val="24"/>
          <w:szCs w:val="24"/>
          <w:lang w:val="es-ES"/>
        </w:rPr>
        <w:t>la</w:t>
      </w:r>
      <w:r>
        <w:rPr>
          <w:rFonts w:ascii="Calibri" w:eastAsia="Calibri" w:hAnsi="Calibri" w:cs="Times New Roman"/>
          <w:sz w:val="24"/>
          <w:szCs w:val="24"/>
          <w:lang w:val="es-ES"/>
        </w:rPr>
        <w:t xml:space="preserve"> contabilidad de costos. Entre los costos considerados se incluyen costos de seguridad </w:t>
      </w:r>
      <w:r w:rsidR="00C93ADE">
        <w:rPr>
          <w:rFonts w:ascii="Calibri" w:eastAsia="Calibri" w:hAnsi="Calibri" w:cs="Times New Roman"/>
          <w:sz w:val="24"/>
          <w:szCs w:val="24"/>
          <w:lang w:val="es-ES"/>
        </w:rPr>
        <w:t>y prevención del delito, de j</w:t>
      </w:r>
      <w:r w:rsidR="00C93ADE" w:rsidRPr="00C93ADE">
        <w:rPr>
          <w:rFonts w:ascii="Calibri" w:eastAsia="Calibri" w:hAnsi="Calibri" w:cs="Times New Roman"/>
          <w:sz w:val="24"/>
          <w:szCs w:val="24"/>
          <w:lang w:val="es-ES"/>
        </w:rPr>
        <w:t xml:space="preserve">usticia, reclusión y rehabilitación </w:t>
      </w:r>
      <w:r w:rsidR="00C93ADE">
        <w:rPr>
          <w:rFonts w:ascii="Calibri" w:eastAsia="Calibri" w:hAnsi="Calibri" w:cs="Times New Roman"/>
          <w:sz w:val="24"/>
          <w:szCs w:val="24"/>
          <w:lang w:val="es-ES"/>
        </w:rPr>
        <w:t>de reclusos</w:t>
      </w:r>
      <w:r>
        <w:rPr>
          <w:rFonts w:ascii="Calibri" w:eastAsia="Calibri" w:hAnsi="Calibri" w:cs="Times New Roman"/>
          <w:sz w:val="24"/>
          <w:szCs w:val="24"/>
          <w:lang w:val="es-ES"/>
        </w:rPr>
        <w:t>, costos de bienes robados, costos de salud y por pérdida de vidas</w:t>
      </w:r>
      <w:r w:rsidR="00C93ADE">
        <w:rPr>
          <w:rFonts w:ascii="Calibri" w:eastAsia="Calibri" w:hAnsi="Calibri" w:cs="Times New Roman"/>
          <w:sz w:val="24"/>
          <w:szCs w:val="24"/>
          <w:lang w:val="es-ES"/>
        </w:rPr>
        <w:t xml:space="preserve"> a consecuencia de la violencia</w:t>
      </w:r>
      <w:r>
        <w:rPr>
          <w:rFonts w:ascii="Calibri" w:eastAsia="Calibri" w:hAnsi="Calibri" w:cs="Times New Roman"/>
          <w:sz w:val="24"/>
          <w:szCs w:val="24"/>
          <w:lang w:val="es-ES"/>
        </w:rPr>
        <w:t xml:space="preserve"> y costos asociados a la pérdida de tiempo productivo en prisión de los reclusos. Para esto hemos utilizado una variedad de fuentes de información y metodologías. Aún cuando hemos cubierto un rango importa</w:t>
      </w:r>
      <w:r w:rsidR="008A11F7">
        <w:rPr>
          <w:rFonts w:ascii="Calibri" w:eastAsia="Calibri" w:hAnsi="Calibri" w:cs="Times New Roman"/>
          <w:sz w:val="24"/>
          <w:szCs w:val="24"/>
          <w:lang w:val="es-ES"/>
        </w:rPr>
        <w:t>nte de costos, no hemos abarcado</w:t>
      </w:r>
      <w:r>
        <w:rPr>
          <w:rFonts w:ascii="Calibri" w:eastAsia="Calibri" w:hAnsi="Calibri" w:cs="Times New Roman"/>
          <w:sz w:val="24"/>
          <w:szCs w:val="24"/>
          <w:lang w:val="es-ES"/>
        </w:rPr>
        <w:t xml:space="preserve"> el universo de los mismos debido a limitaciones de información</w:t>
      </w:r>
      <w:r w:rsidR="008E1A55">
        <w:rPr>
          <w:rFonts w:ascii="Calibri" w:eastAsia="Calibri" w:hAnsi="Calibri" w:cs="Times New Roman"/>
          <w:sz w:val="24"/>
          <w:szCs w:val="24"/>
          <w:lang w:val="es-ES"/>
        </w:rPr>
        <w:t>.</w:t>
      </w:r>
      <w:r>
        <w:rPr>
          <w:rFonts w:ascii="Calibri" w:eastAsia="Calibri" w:hAnsi="Calibri" w:cs="Times New Roman"/>
          <w:sz w:val="24"/>
          <w:szCs w:val="24"/>
          <w:lang w:val="es-ES"/>
        </w:rPr>
        <w:t xml:space="preserve"> </w:t>
      </w:r>
      <w:r w:rsidR="00724467">
        <w:rPr>
          <w:rFonts w:ascii="Calibri" w:eastAsia="Calibri" w:hAnsi="Calibri" w:cs="Times New Roman"/>
          <w:sz w:val="24"/>
          <w:szCs w:val="24"/>
          <w:lang w:val="es-ES"/>
        </w:rPr>
        <w:t>Por tanto, n</w:t>
      </w:r>
      <w:r>
        <w:rPr>
          <w:rFonts w:ascii="Calibri" w:eastAsia="Calibri" w:hAnsi="Calibri" w:cs="Times New Roman"/>
          <w:sz w:val="24"/>
          <w:szCs w:val="24"/>
          <w:lang w:val="es-ES"/>
        </w:rPr>
        <w:t>uestras estimaciones deben interpretarse como una cota mínima. E</w:t>
      </w:r>
      <w:r w:rsidR="00C736F4">
        <w:rPr>
          <w:rFonts w:ascii="Calibri" w:eastAsia="Calibri" w:hAnsi="Calibri" w:cs="Times New Roman"/>
          <w:sz w:val="24"/>
          <w:szCs w:val="24"/>
          <w:lang w:val="es-ES"/>
        </w:rPr>
        <w:t>l costo total estimado</w:t>
      </w:r>
      <w:r w:rsidR="00D9273D">
        <w:rPr>
          <w:rFonts w:ascii="Calibri" w:eastAsia="Calibri" w:hAnsi="Calibri" w:cs="Times New Roman"/>
          <w:sz w:val="24"/>
          <w:szCs w:val="24"/>
          <w:lang w:val="es-ES"/>
        </w:rPr>
        <w:t xml:space="preserve"> para el año 2010</w:t>
      </w:r>
      <w:r w:rsidR="00C736F4">
        <w:rPr>
          <w:rFonts w:ascii="Calibri" w:eastAsia="Calibri" w:hAnsi="Calibri" w:cs="Times New Roman"/>
          <w:sz w:val="24"/>
          <w:szCs w:val="24"/>
          <w:lang w:val="es-ES"/>
        </w:rPr>
        <w:t xml:space="preserve"> alcanza e</w:t>
      </w:r>
      <w:r>
        <w:rPr>
          <w:rFonts w:ascii="Calibri" w:eastAsia="Calibri" w:hAnsi="Calibri" w:cs="Times New Roman"/>
          <w:sz w:val="24"/>
          <w:szCs w:val="24"/>
          <w:lang w:val="es-ES"/>
        </w:rPr>
        <w:t xml:space="preserve">l </w:t>
      </w:r>
      <w:r w:rsidR="001B4E42" w:rsidRPr="001B4E42">
        <w:rPr>
          <w:rFonts w:ascii="Calibri" w:eastAsia="Calibri" w:hAnsi="Calibri" w:cs="Times New Roman"/>
          <w:sz w:val="24"/>
          <w:szCs w:val="24"/>
          <w:lang w:val="es-ES"/>
        </w:rPr>
        <w:t>3,1</w:t>
      </w:r>
      <w:r w:rsidRPr="001B4E42">
        <w:rPr>
          <w:rFonts w:ascii="Calibri" w:eastAsia="Calibri" w:hAnsi="Calibri" w:cs="Times New Roman"/>
          <w:sz w:val="24"/>
          <w:szCs w:val="24"/>
          <w:lang w:val="es-ES"/>
        </w:rPr>
        <w:t>%</w:t>
      </w:r>
      <w:r>
        <w:rPr>
          <w:rFonts w:ascii="Calibri" w:eastAsia="Calibri" w:hAnsi="Calibri" w:cs="Times New Roman"/>
          <w:sz w:val="24"/>
          <w:szCs w:val="24"/>
          <w:lang w:val="es-ES"/>
        </w:rPr>
        <w:t xml:space="preserve"> del PIB</w:t>
      </w:r>
      <w:r w:rsidR="008E1A55">
        <w:rPr>
          <w:rFonts w:ascii="Calibri" w:eastAsia="Calibri" w:hAnsi="Calibri" w:cs="Times New Roman"/>
          <w:sz w:val="24"/>
          <w:szCs w:val="24"/>
          <w:lang w:val="es-ES"/>
        </w:rPr>
        <w:t xml:space="preserve"> de Uruguay</w:t>
      </w:r>
      <w:r>
        <w:rPr>
          <w:rFonts w:ascii="Calibri" w:eastAsia="Calibri" w:hAnsi="Calibri" w:cs="Times New Roman"/>
          <w:sz w:val="24"/>
          <w:szCs w:val="24"/>
          <w:lang w:val="es-ES"/>
        </w:rPr>
        <w:t>.</w:t>
      </w:r>
    </w:p>
    <w:p w:rsidR="00775BEA" w:rsidRDefault="00775BEA">
      <w:pPr>
        <w:rPr>
          <w:b/>
        </w:rPr>
      </w:pPr>
      <w:r>
        <w:rPr>
          <w:b/>
        </w:rPr>
        <w:br w:type="page"/>
      </w:r>
    </w:p>
    <w:p w:rsidR="00957CA3" w:rsidRPr="00957CA3" w:rsidRDefault="00957CA3" w:rsidP="00957CA3">
      <w:pPr>
        <w:pStyle w:val="ListParagraph"/>
        <w:numPr>
          <w:ilvl w:val="0"/>
          <w:numId w:val="1"/>
        </w:numPr>
        <w:ind w:hanging="720"/>
        <w:rPr>
          <w:b/>
        </w:rPr>
      </w:pPr>
      <w:r w:rsidRPr="00957CA3">
        <w:rPr>
          <w:b/>
        </w:rPr>
        <w:lastRenderedPageBreak/>
        <w:t>Introducción</w:t>
      </w:r>
    </w:p>
    <w:p w:rsidR="00957CA3" w:rsidRPr="006106D2" w:rsidRDefault="00957CA3" w:rsidP="00784253">
      <w:pPr>
        <w:jc w:val="both"/>
      </w:pPr>
      <w:r w:rsidRPr="006106D2">
        <w:t>Durante la</w:t>
      </w:r>
      <w:r>
        <w:t>s</w:t>
      </w:r>
      <w:r w:rsidRPr="006106D2">
        <w:t xml:space="preserve"> última</w:t>
      </w:r>
      <w:r>
        <w:t>s dos</w:t>
      </w:r>
      <w:r w:rsidRPr="006106D2">
        <w:t xml:space="preserve"> décadas, las tasas de delincuencia y la violencia implícita en los actos delictivos han aumentado considerablemente en Uruguay. </w:t>
      </w:r>
      <w:r>
        <w:t xml:space="preserve">Aun cuando </w:t>
      </w:r>
      <w:r w:rsidRPr="006106D2">
        <w:t xml:space="preserve">las tasas de criminalidad en Uruguay son </w:t>
      </w:r>
      <w:r>
        <w:t>en general más bajas que</w:t>
      </w:r>
      <w:r w:rsidR="006D1017">
        <w:t xml:space="preserve"> en</w:t>
      </w:r>
      <w:r w:rsidRPr="006106D2">
        <w:t xml:space="preserve"> otros países de América Latina, la velocidad a la que han crecido </w:t>
      </w:r>
      <w:r>
        <w:t>algunos delitos en los últimos 20</w:t>
      </w:r>
      <w:r w:rsidRPr="006106D2">
        <w:t xml:space="preserve"> años</w:t>
      </w:r>
      <w:r>
        <w:t xml:space="preserve"> ha hecho que el tema se ubique en lo más alto de la agenda pública</w:t>
      </w:r>
      <w:r w:rsidRPr="006106D2">
        <w:t>. Según las últimas encuestas, cuando se pregunta sobre el tema más importante hoy en día</w:t>
      </w:r>
      <w:r>
        <w:t xml:space="preserve"> en Uruguay</w:t>
      </w:r>
      <w:r w:rsidRPr="006106D2">
        <w:t>, la inseguridad es la primera respuesta para casi el 65% de los encuestados.</w:t>
      </w:r>
      <w:r w:rsidR="00E80538">
        <w:rPr>
          <w:rStyle w:val="FootnoteReference"/>
        </w:rPr>
        <w:footnoteReference w:id="3"/>
      </w:r>
      <w:r w:rsidRPr="006106D2">
        <w:t xml:space="preserve"> </w:t>
      </w:r>
    </w:p>
    <w:p w:rsidR="00957CA3" w:rsidRDefault="00957CA3" w:rsidP="00784253">
      <w:pPr>
        <w:jc w:val="both"/>
      </w:pPr>
      <w:r w:rsidRPr="006106D2">
        <w:t>Al considerar los hechos expuestos, es razonable concluir que la medición de los costos impuestos a la sociedad por el delito</w:t>
      </w:r>
      <w:r>
        <w:t>,</w:t>
      </w:r>
      <w:r w:rsidRPr="006106D2">
        <w:t xml:space="preserve"> o su contraparte los beneficios sociales que se deriva</w:t>
      </w:r>
      <w:r>
        <w:t>ría</w:t>
      </w:r>
      <w:r w:rsidRPr="006106D2">
        <w:t>n de la reducción de l</w:t>
      </w:r>
      <w:r>
        <w:t xml:space="preserve">a delincuencia, </w:t>
      </w:r>
      <w:r w:rsidRPr="006106D2">
        <w:t>podría</w:t>
      </w:r>
      <w:r>
        <w:t xml:space="preserve"> ser</w:t>
      </w:r>
      <w:r w:rsidRPr="006106D2">
        <w:t xml:space="preserve"> un aport</w:t>
      </w:r>
      <w:r>
        <w:t>e</w:t>
      </w:r>
      <w:r w:rsidRPr="006106D2">
        <w:t xml:space="preserve"> útil </w:t>
      </w:r>
      <w:r>
        <w:t>a las políticas gubernamentales y al debate público</w:t>
      </w:r>
      <w:r w:rsidRPr="006106D2">
        <w:t>.</w:t>
      </w:r>
    </w:p>
    <w:p w:rsidR="00957CA3" w:rsidRDefault="00957CA3" w:rsidP="00784253">
      <w:pPr>
        <w:jc w:val="both"/>
      </w:pPr>
      <w:r>
        <w:t>En materia de políticas públicas el contar con estimaciones de costos puede permitir focalizar políticas allí donde potencialmente tienen una mejor relación costo-beneficio. Esta información puede ser útil no solo para planificar políticas, sino también</w:t>
      </w:r>
      <w:r w:rsidRPr="003F48E3">
        <w:t xml:space="preserve"> </w:t>
      </w:r>
      <w:r>
        <w:t>para evaluar ex-post el posible impacto de algunas medidas de política en algunos costos específicos de la criminalidad, en la medida que estos se midan en forma continua en el tiempo.</w:t>
      </w:r>
    </w:p>
    <w:p w:rsidR="00957CA3" w:rsidRDefault="00957CA3" w:rsidP="00784253">
      <w:pPr>
        <w:jc w:val="both"/>
      </w:pPr>
      <w:r>
        <w:t xml:space="preserve">Desde el punto de vista del debate público, permite informar las discusiones y focalizar la atención hacia allí donde están los costos más importantes de la criminalidad. Esto permite de alguna forma despegar el debate de las cifras delictivas y lo permite reorientar a las áreas que implican mayores costos. Por ejemplo, podría ser posible que fenómenos como la violencia doméstica estén causando más costos que algunos de los otros delitos que pueden tener más prensa y que ocupan más tiempo del debate público. </w:t>
      </w:r>
    </w:p>
    <w:p w:rsidR="00957CA3" w:rsidRPr="006106D2" w:rsidRDefault="00957CA3" w:rsidP="00784253">
      <w:pPr>
        <w:jc w:val="both"/>
      </w:pPr>
      <w:r w:rsidRPr="006106D2">
        <w:t>Hasta donde sabemos</w:t>
      </w:r>
      <w:r>
        <w:t>, este es el primer trabajo que busca</w:t>
      </w:r>
      <w:r w:rsidRPr="006106D2">
        <w:t xml:space="preserve"> cuantificar los costos de la </w:t>
      </w:r>
      <w:r>
        <w:t xml:space="preserve">criminalidad </w:t>
      </w:r>
      <w:r w:rsidRPr="006106D2">
        <w:t>en Uruguay.</w:t>
      </w:r>
      <w:r w:rsidR="007C3AFE">
        <w:rPr>
          <w:rStyle w:val="FootnoteReference"/>
        </w:rPr>
        <w:footnoteReference w:id="4"/>
      </w:r>
      <w:r w:rsidRPr="006106D2">
        <w:t xml:space="preserve"> Trabajos anteriores se han centrado en</w:t>
      </w:r>
      <w:r>
        <w:t xml:space="preserve"> la identificación de factores</w:t>
      </w:r>
      <w:r w:rsidRPr="006106D2">
        <w:t xml:space="preserve"> sociales y económicos </w:t>
      </w:r>
      <w:r>
        <w:t xml:space="preserve">que </w:t>
      </w:r>
      <w:r w:rsidRPr="006106D2">
        <w:t xml:space="preserve">determinan </w:t>
      </w:r>
      <w:r>
        <w:t>o están correlacionados con la criminalidad</w:t>
      </w:r>
      <w:r w:rsidRPr="006106D2">
        <w:t xml:space="preserve"> en Uruguay (por ejemplo Aboal et al, 2007; Campanella, 2008; Paternain y Sanseviero, 2008; Donnangelo, 2006; Trajtenberg, 2004; Borraz y González, 2010; Munyo, 2011). </w:t>
      </w:r>
      <w:r>
        <w:t>Por tanto</w:t>
      </w:r>
      <w:r w:rsidRPr="006106D2">
        <w:t>, el presente estudio cubr</w:t>
      </w:r>
      <w:r>
        <w:t>e un</w:t>
      </w:r>
      <w:r w:rsidRPr="006106D2">
        <w:t xml:space="preserve"> nuevo terreno de investigación</w:t>
      </w:r>
      <w:r>
        <w:t xml:space="preserve"> en el país</w:t>
      </w:r>
      <w:r w:rsidRPr="006106D2">
        <w:t>.</w:t>
      </w:r>
    </w:p>
    <w:p w:rsidR="00957CA3" w:rsidRDefault="00957CA3" w:rsidP="00784253">
      <w:pPr>
        <w:jc w:val="both"/>
      </w:pPr>
      <w:r w:rsidRPr="006106D2">
        <w:t>Creemos que el caso uruguayo también es interesante como punto de referencia</w:t>
      </w:r>
      <w:r>
        <w:t xml:space="preserve"> regional</w:t>
      </w:r>
      <w:r w:rsidRPr="006106D2">
        <w:t>. Aun</w:t>
      </w:r>
      <w:r>
        <w:t xml:space="preserve"> cuando</w:t>
      </w:r>
      <w:r w:rsidRPr="006106D2">
        <w:t xml:space="preserve"> las tasas de criminalidad en Uruguay ha</w:t>
      </w:r>
      <w:r>
        <w:t>n</w:t>
      </w:r>
      <w:r w:rsidRPr="006106D2">
        <w:t xml:space="preserve"> crecido significativamente en los últimos años </w:t>
      </w:r>
      <w:r w:rsidR="00DD0B3F">
        <w:t>é</w:t>
      </w:r>
      <w:r>
        <w:t xml:space="preserve">stas </w:t>
      </w:r>
      <w:r w:rsidRPr="006106D2">
        <w:t>se encuentran</w:t>
      </w:r>
      <w:r>
        <w:t xml:space="preserve"> aún entre las más baja</w:t>
      </w:r>
      <w:r w:rsidRPr="006106D2">
        <w:t xml:space="preserve">s de América Latina. </w:t>
      </w:r>
      <w:r>
        <w:t>Dado que es irreal pensar en costos ceros de la criminalidad, los costos estimados en este estudio pueden servir como una cota mínima o meta razonable para otros países de la región</w:t>
      </w:r>
      <w:r w:rsidRPr="006106D2">
        <w:t>.</w:t>
      </w:r>
    </w:p>
    <w:p w:rsidR="00A11E23" w:rsidRDefault="00957CA3" w:rsidP="00784253">
      <w:pPr>
        <w:jc w:val="both"/>
      </w:pPr>
      <w:r>
        <w:t xml:space="preserve">En lo que sigue, en la sección 2 presentamos una descripción de las principales tendencias en materia de criminalidad en Uruguay en las ultimas 2 décadas. En la sección 3 presentamos la metodología que utilizaremos en este trabajo para aproximarnos a los costos de la </w:t>
      </w:r>
      <w:r>
        <w:lastRenderedPageBreak/>
        <w:t>criminalidad en Uruguay. En la sección 4 presentamos los resultados</w:t>
      </w:r>
      <w:r w:rsidR="008645EC">
        <w:t xml:space="preserve"> a los que arribamos</w:t>
      </w:r>
      <w:r>
        <w:t>.</w:t>
      </w:r>
      <w:r w:rsidR="00A11E23">
        <w:t xml:space="preserve"> </w:t>
      </w:r>
      <w:r w:rsidR="0082469D">
        <w:t xml:space="preserve">Finalmente en la quinta </w:t>
      </w:r>
      <w:r w:rsidR="00DD0B3F">
        <w:t xml:space="preserve">sección </w:t>
      </w:r>
      <w:r w:rsidR="0082469D">
        <w:t xml:space="preserve">se concluye. </w:t>
      </w:r>
      <w:r w:rsidR="00A11E23">
        <w:t>El documento se a</w:t>
      </w:r>
      <w:r w:rsidR="002930A9">
        <w:t>compaña de un Anexo estadístico y</w:t>
      </w:r>
      <w:r w:rsidR="00A11E23">
        <w:t xml:space="preserve"> </w:t>
      </w:r>
      <w:r w:rsidR="006D1017">
        <w:t>glosario de siglas</w:t>
      </w:r>
      <w:r w:rsidR="00A11E23">
        <w:t>.</w:t>
      </w:r>
    </w:p>
    <w:p w:rsidR="00957CA3" w:rsidRPr="00957CA3" w:rsidRDefault="00957CA3" w:rsidP="00957CA3">
      <w:pPr>
        <w:pStyle w:val="ListParagraph"/>
        <w:numPr>
          <w:ilvl w:val="0"/>
          <w:numId w:val="1"/>
        </w:numPr>
        <w:ind w:hanging="720"/>
        <w:jc w:val="both"/>
        <w:rPr>
          <w:b/>
        </w:rPr>
      </w:pPr>
      <w:r w:rsidRPr="00957CA3">
        <w:rPr>
          <w:b/>
        </w:rPr>
        <w:t>La criminalidad en Uruguay</w:t>
      </w:r>
    </w:p>
    <w:p w:rsidR="00C52023" w:rsidRDefault="00C52023" w:rsidP="00D43478">
      <w:pPr>
        <w:jc w:val="both"/>
      </w:pPr>
      <w:r>
        <w:t>El objetivo de esta sección es hacer una breve introducción a las principales tendencias</w:t>
      </w:r>
      <w:r w:rsidR="00C44F8C">
        <w:t xml:space="preserve"> de las últimas dos décadas</w:t>
      </w:r>
      <w:r>
        <w:t xml:space="preserve"> en mate</w:t>
      </w:r>
      <w:r w:rsidR="003C0777">
        <w:t xml:space="preserve">ria de criminalidad en Uruguay. </w:t>
      </w:r>
      <w:r w:rsidR="00C359FB">
        <w:t>Buscamos que la misma</w:t>
      </w:r>
      <w:r>
        <w:t xml:space="preserve"> sirva </w:t>
      </w:r>
      <w:r w:rsidR="00281D9F">
        <w:t>de</w:t>
      </w:r>
      <w:r>
        <w:t xml:space="preserve"> estado de situación y marco en el cual se hará la contabilización de los costos </w:t>
      </w:r>
      <w:r w:rsidR="003C0777">
        <w:t>de la criminalidad en las próximas secciones</w:t>
      </w:r>
      <w:r>
        <w:t>. Como tal</w:t>
      </w:r>
      <w:r w:rsidR="003C0777">
        <w:t>,</w:t>
      </w:r>
      <w:r>
        <w:t xml:space="preserve"> no tiene por objetivo la explicación</w:t>
      </w:r>
      <w:r w:rsidR="00DE2A55">
        <w:t xml:space="preserve"> detallada</w:t>
      </w:r>
      <w:r>
        <w:t xml:space="preserve"> de las tendencias, sino simplemente </w:t>
      </w:r>
      <w:r w:rsidR="00DE2A55">
        <w:t>una breve</w:t>
      </w:r>
      <w:r>
        <w:t xml:space="preserve"> descripción y el esbozo de algunas hipótesis </w:t>
      </w:r>
      <w:r w:rsidR="003C0777">
        <w:t xml:space="preserve">muy </w:t>
      </w:r>
      <w:r>
        <w:t>parciales.</w:t>
      </w:r>
    </w:p>
    <w:p w:rsidR="006A7991" w:rsidRDefault="00C44F8C" w:rsidP="00552BAA">
      <w:pPr>
        <w:jc w:val="both"/>
      </w:pPr>
      <w:r>
        <w:t>La mayor parte de los datos presentados en esta sección provienen de</w:t>
      </w:r>
      <w:r w:rsidR="00263BAF">
        <w:t xml:space="preserve">l Departamento de Datos, Estadísticas y Análisis (DDEA) del Ministerio del Interior. </w:t>
      </w:r>
      <w:r w:rsidR="002C4578">
        <w:t>Al respecto, cabe señalar que los datos suministrados por DDEA se basan en crímenes que fueron denunciados, por lo que es altamente probable que exista una subestimación de la incidencia efectiva de delitos, a consecuencia del posible sub</w:t>
      </w:r>
      <w:r w:rsidR="00D43478">
        <w:t>-</w:t>
      </w:r>
      <w:r w:rsidR="004F5246">
        <w:t xml:space="preserve">reporte de los mismos. </w:t>
      </w:r>
      <w:r w:rsidR="00552BAA">
        <w:t>Estos indicadores subestiman la magnitud del fenómeno delictivo en todas las sociedades, dado que son afectados por las variaciones en la disposición de las personas a reportar ante la policía los delitos de que fueron víctimas (sub-reporte), así como por variaciones en la disposición de distintas agencias policiales a tomar algún tipo de acción en relación con tales denuncias (sub-registro) (Paternain, 2008b).</w:t>
      </w:r>
      <w:r w:rsidR="001F4BB3">
        <w:t xml:space="preserve"> </w:t>
      </w:r>
    </w:p>
    <w:p w:rsidR="006A7991" w:rsidRDefault="00170E60" w:rsidP="00366AAB">
      <w:pPr>
        <w:jc w:val="both"/>
      </w:pPr>
      <w:r>
        <w:t>Debido a los problemas de sub</w:t>
      </w:r>
      <w:r w:rsidR="00652A3A">
        <w:t>-</w:t>
      </w:r>
      <w:r>
        <w:t xml:space="preserve">registro y sub-reporte, los indicadores </w:t>
      </w:r>
      <w:r w:rsidR="00652A3A">
        <w:t xml:space="preserve">de </w:t>
      </w:r>
      <w:r w:rsidR="00754BC1">
        <w:t xml:space="preserve">delitos basados en </w:t>
      </w:r>
      <w:r w:rsidR="00652A3A">
        <w:t xml:space="preserve">denuncias </w:t>
      </w:r>
      <w:r>
        <w:t xml:space="preserve">son complementados por las encuestas de victimización a la población. </w:t>
      </w:r>
      <w:r w:rsidR="006A7991">
        <w:t xml:space="preserve">Al respecto, el Cuadro 1 muestra el porcentaje de delitos que son denunciados según la índole de los mismos de acuerdo a la Encuesta </w:t>
      </w:r>
      <w:r w:rsidR="00EA6296">
        <w:t>de Victimización del año 2011</w:t>
      </w:r>
      <w:r w:rsidR="006A7991">
        <w:t xml:space="preserve">. Así, se puede constatar </w:t>
      </w:r>
      <w:r w:rsidR="00366AAB">
        <w:t>que l</w:t>
      </w:r>
      <w:r w:rsidR="00366AAB" w:rsidRPr="00366AAB">
        <w:t>as limitaciones señaladas de este tipo de indicadores no afectan por igual a todos los tipos de delitos, sino que principalmente dificultan la medición de los hechos de menor gravedad.</w:t>
      </w:r>
      <w:r w:rsidR="00366AAB">
        <w:t xml:space="preserve"> A</w:t>
      </w:r>
      <w:r w:rsidR="006A7991">
        <w:t xml:space="preserve">quellos que implican la sustracción de bienes de mayor valor (como automóviles y motocicletas) </w:t>
      </w:r>
      <w:r w:rsidR="001965F0">
        <w:t xml:space="preserve">son </w:t>
      </w:r>
      <w:r w:rsidR="006A7991">
        <w:t xml:space="preserve">los que muestran tasas más altas de reporte, mientras que los robos de bienes menos valiosos (como bicicletas y partes de automóviles) muestran tasas de reporte relativamente bajas. </w:t>
      </w:r>
    </w:p>
    <w:p w:rsidR="00B92ACE" w:rsidRPr="00B92ACE" w:rsidRDefault="00B92ACE" w:rsidP="00B92ACE">
      <w:pPr>
        <w:jc w:val="both"/>
        <w:rPr>
          <w:b/>
        </w:rPr>
      </w:pPr>
      <w:r>
        <w:rPr>
          <w:b/>
        </w:rPr>
        <w:t>Cuadro 1. Tasas de reporte según delito</w:t>
      </w:r>
    </w:p>
    <w:tbl>
      <w:tblPr>
        <w:tblW w:w="4840" w:type="dxa"/>
        <w:tblCellMar>
          <w:left w:w="70" w:type="dxa"/>
          <w:right w:w="70" w:type="dxa"/>
        </w:tblCellMar>
        <w:tblLook w:val="04A0" w:firstRow="1" w:lastRow="0" w:firstColumn="1" w:lastColumn="0" w:noHBand="0" w:noVBand="1"/>
      </w:tblPr>
      <w:tblGrid>
        <w:gridCol w:w="3220"/>
        <w:gridCol w:w="1620"/>
      </w:tblGrid>
      <w:tr w:rsidR="00B92ACE" w:rsidRPr="00D63D8A" w:rsidTr="00B5153C">
        <w:trPr>
          <w:trHeight w:val="292"/>
        </w:trPr>
        <w:tc>
          <w:tcPr>
            <w:tcW w:w="3220" w:type="dxa"/>
            <w:tcBorders>
              <w:top w:val="single" w:sz="4" w:space="0" w:color="auto"/>
              <w:bottom w:val="single" w:sz="4" w:space="0" w:color="auto"/>
            </w:tcBorders>
            <w:shd w:val="clear" w:color="auto" w:fill="auto"/>
            <w:vAlign w:val="bottom"/>
            <w:hideMark/>
          </w:tcPr>
          <w:p w:rsidR="00B92ACE" w:rsidRPr="00D63D8A" w:rsidRDefault="00B92ACE" w:rsidP="00281D9F">
            <w:pPr>
              <w:spacing w:after="0" w:line="240" w:lineRule="auto"/>
              <w:rPr>
                <w:rFonts w:ascii="Calibri" w:eastAsia="Times New Roman" w:hAnsi="Calibri" w:cs="Calibri"/>
                <w:b/>
                <w:bCs/>
                <w:color w:val="000000"/>
                <w:sz w:val="20"/>
                <w:szCs w:val="20"/>
              </w:rPr>
            </w:pPr>
            <w:r w:rsidRPr="00D63D8A">
              <w:rPr>
                <w:rFonts w:ascii="Calibri" w:eastAsia="Times New Roman" w:hAnsi="Calibri" w:cs="Calibri"/>
                <w:b/>
                <w:bCs/>
                <w:color w:val="000000"/>
                <w:sz w:val="20"/>
                <w:szCs w:val="20"/>
              </w:rPr>
              <w:t>Delito</w:t>
            </w:r>
          </w:p>
        </w:tc>
        <w:tc>
          <w:tcPr>
            <w:tcW w:w="1620" w:type="dxa"/>
            <w:tcBorders>
              <w:top w:val="single" w:sz="4" w:space="0" w:color="auto"/>
              <w:bottom w:val="single" w:sz="4" w:space="0" w:color="auto"/>
            </w:tcBorders>
            <w:shd w:val="clear" w:color="auto" w:fill="auto"/>
            <w:vAlign w:val="bottom"/>
            <w:hideMark/>
          </w:tcPr>
          <w:p w:rsidR="00B92ACE" w:rsidRPr="00D63D8A" w:rsidRDefault="00B92ACE" w:rsidP="00281D9F">
            <w:pPr>
              <w:spacing w:after="0" w:line="240" w:lineRule="auto"/>
              <w:rPr>
                <w:rFonts w:ascii="Calibri" w:eastAsia="Times New Roman" w:hAnsi="Calibri" w:cs="Calibri"/>
                <w:b/>
                <w:bCs/>
                <w:color w:val="000000"/>
                <w:sz w:val="20"/>
                <w:szCs w:val="20"/>
              </w:rPr>
            </w:pPr>
            <w:r w:rsidRPr="00D63D8A">
              <w:rPr>
                <w:rFonts w:ascii="Calibri" w:eastAsia="Times New Roman" w:hAnsi="Calibri" w:cs="Calibri"/>
                <w:b/>
                <w:bCs/>
                <w:color w:val="000000"/>
                <w:sz w:val="20"/>
                <w:szCs w:val="20"/>
              </w:rPr>
              <w:t>Tasa de reporte</w:t>
            </w:r>
          </w:p>
        </w:tc>
      </w:tr>
      <w:tr w:rsidR="00B92ACE" w:rsidRPr="00D63D8A" w:rsidTr="00281D9F">
        <w:trPr>
          <w:trHeight w:val="315"/>
        </w:trPr>
        <w:tc>
          <w:tcPr>
            <w:tcW w:w="3220" w:type="dxa"/>
            <w:tcBorders>
              <w:top w:val="single" w:sz="4" w:space="0" w:color="auto"/>
              <w:bottom w:val="nil"/>
            </w:tcBorders>
            <w:shd w:val="clear" w:color="auto" w:fill="auto"/>
            <w:noWrap/>
            <w:vAlign w:val="bottom"/>
            <w:hideMark/>
          </w:tcPr>
          <w:p w:rsidR="00B92ACE" w:rsidRPr="00D63D8A" w:rsidRDefault="00B92ACE" w:rsidP="00B92ACE">
            <w:pPr>
              <w:spacing w:after="0" w:line="240" w:lineRule="auto"/>
              <w:rPr>
                <w:rFonts w:ascii="Calibri" w:eastAsia="Times New Roman" w:hAnsi="Calibri" w:cs="Calibri"/>
                <w:color w:val="000000"/>
                <w:sz w:val="20"/>
                <w:szCs w:val="20"/>
              </w:rPr>
            </w:pPr>
            <w:r w:rsidRPr="00D63D8A">
              <w:rPr>
                <w:rFonts w:ascii="Calibri" w:eastAsia="Times New Roman" w:hAnsi="Calibri" w:cs="Calibri"/>
                <w:color w:val="000000"/>
                <w:sz w:val="20"/>
                <w:szCs w:val="20"/>
              </w:rPr>
              <w:t>Robo de automóviles</w:t>
            </w:r>
          </w:p>
        </w:tc>
        <w:tc>
          <w:tcPr>
            <w:tcW w:w="1620" w:type="dxa"/>
            <w:tcBorders>
              <w:top w:val="single" w:sz="4" w:space="0" w:color="auto"/>
              <w:bottom w:val="nil"/>
            </w:tcBorders>
            <w:shd w:val="clear" w:color="auto" w:fill="auto"/>
            <w:noWrap/>
            <w:vAlign w:val="bottom"/>
            <w:hideMark/>
          </w:tcPr>
          <w:p w:rsidR="00B92ACE" w:rsidRPr="00D63D8A" w:rsidRDefault="00B92ACE" w:rsidP="00281D9F">
            <w:pPr>
              <w:spacing w:after="0" w:line="240" w:lineRule="auto"/>
              <w:jc w:val="center"/>
              <w:rPr>
                <w:rFonts w:ascii="Calibri" w:eastAsia="Times New Roman" w:hAnsi="Calibri" w:cs="Calibri"/>
                <w:color w:val="000000"/>
                <w:sz w:val="20"/>
                <w:szCs w:val="20"/>
              </w:rPr>
            </w:pPr>
            <w:r w:rsidRPr="00D63D8A">
              <w:rPr>
                <w:rFonts w:ascii="Calibri" w:eastAsia="Times New Roman" w:hAnsi="Calibri" w:cs="Calibri"/>
                <w:color w:val="000000"/>
                <w:sz w:val="20"/>
                <w:szCs w:val="20"/>
              </w:rPr>
              <w:t>95%</w:t>
            </w:r>
          </w:p>
        </w:tc>
      </w:tr>
      <w:tr w:rsidR="00B92ACE" w:rsidRPr="00D63D8A" w:rsidTr="00281D9F">
        <w:trPr>
          <w:trHeight w:val="300"/>
        </w:trPr>
        <w:tc>
          <w:tcPr>
            <w:tcW w:w="3220" w:type="dxa"/>
            <w:tcBorders>
              <w:top w:val="nil"/>
              <w:bottom w:val="nil"/>
            </w:tcBorders>
            <w:shd w:val="clear" w:color="auto" w:fill="auto"/>
            <w:noWrap/>
            <w:vAlign w:val="bottom"/>
            <w:hideMark/>
          </w:tcPr>
          <w:p w:rsidR="00B92ACE" w:rsidRPr="00D63D8A" w:rsidRDefault="00B92ACE" w:rsidP="00B92ACE">
            <w:pPr>
              <w:spacing w:after="0" w:line="240" w:lineRule="auto"/>
              <w:rPr>
                <w:rFonts w:ascii="Calibri" w:eastAsia="Times New Roman" w:hAnsi="Calibri" w:cs="Calibri"/>
                <w:color w:val="000000"/>
                <w:sz w:val="20"/>
                <w:szCs w:val="20"/>
              </w:rPr>
            </w:pPr>
            <w:r w:rsidRPr="00D63D8A">
              <w:rPr>
                <w:rFonts w:ascii="Calibri" w:eastAsia="Times New Roman" w:hAnsi="Calibri" w:cs="Calibri"/>
                <w:color w:val="000000"/>
                <w:sz w:val="20"/>
                <w:szCs w:val="20"/>
              </w:rPr>
              <w:t>Robo de partes de automóviles</w:t>
            </w:r>
          </w:p>
        </w:tc>
        <w:tc>
          <w:tcPr>
            <w:tcW w:w="1620" w:type="dxa"/>
            <w:tcBorders>
              <w:top w:val="nil"/>
              <w:bottom w:val="nil"/>
            </w:tcBorders>
            <w:shd w:val="clear" w:color="auto" w:fill="auto"/>
            <w:noWrap/>
            <w:vAlign w:val="bottom"/>
            <w:hideMark/>
          </w:tcPr>
          <w:p w:rsidR="00B92ACE" w:rsidRPr="00D63D8A" w:rsidRDefault="00B92ACE" w:rsidP="00281D9F">
            <w:pPr>
              <w:spacing w:after="0" w:line="240" w:lineRule="auto"/>
              <w:jc w:val="center"/>
              <w:rPr>
                <w:rFonts w:ascii="Calibri" w:eastAsia="Times New Roman" w:hAnsi="Calibri" w:cs="Calibri"/>
                <w:color w:val="000000"/>
                <w:sz w:val="20"/>
                <w:szCs w:val="20"/>
              </w:rPr>
            </w:pPr>
            <w:r w:rsidRPr="00D63D8A">
              <w:rPr>
                <w:rFonts w:ascii="Calibri" w:eastAsia="Times New Roman" w:hAnsi="Calibri" w:cs="Calibri"/>
                <w:color w:val="000000"/>
                <w:sz w:val="20"/>
                <w:szCs w:val="20"/>
              </w:rPr>
              <w:t>56%</w:t>
            </w:r>
          </w:p>
        </w:tc>
      </w:tr>
      <w:tr w:rsidR="00B92ACE" w:rsidRPr="00D63D8A" w:rsidTr="00281D9F">
        <w:trPr>
          <w:trHeight w:val="300"/>
        </w:trPr>
        <w:tc>
          <w:tcPr>
            <w:tcW w:w="3220" w:type="dxa"/>
            <w:tcBorders>
              <w:top w:val="nil"/>
              <w:bottom w:val="nil"/>
            </w:tcBorders>
            <w:shd w:val="clear" w:color="auto" w:fill="auto"/>
            <w:noWrap/>
            <w:vAlign w:val="bottom"/>
            <w:hideMark/>
          </w:tcPr>
          <w:p w:rsidR="00B92ACE" w:rsidRPr="00D63D8A" w:rsidRDefault="00B92ACE" w:rsidP="00B92ACE">
            <w:pPr>
              <w:spacing w:after="0" w:line="240" w:lineRule="auto"/>
              <w:rPr>
                <w:rFonts w:ascii="Calibri" w:eastAsia="Times New Roman" w:hAnsi="Calibri" w:cs="Calibri"/>
                <w:color w:val="000000"/>
                <w:sz w:val="20"/>
                <w:szCs w:val="20"/>
              </w:rPr>
            </w:pPr>
            <w:r w:rsidRPr="00D63D8A">
              <w:rPr>
                <w:rFonts w:ascii="Calibri" w:eastAsia="Times New Roman" w:hAnsi="Calibri" w:cs="Calibri"/>
                <w:color w:val="000000"/>
                <w:sz w:val="20"/>
                <w:szCs w:val="20"/>
              </w:rPr>
              <w:t>Robo de motocicletas</w:t>
            </w:r>
          </w:p>
        </w:tc>
        <w:tc>
          <w:tcPr>
            <w:tcW w:w="1620" w:type="dxa"/>
            <w:tcBorders>
              <w:top w:val="nil"/>
              <w:bottom w:val="nil"/>
            </w:tcBorders>
            <w:shd w:val="clear" w:color="auto" w:fill="auto"/>
            <w:noWrap/>
            <w:vAlign w:val="bottom"/>
            <w:hideMark/>
          </w:tcPr>
          <w:p w:rsidR="00B92ACE" w:rsidRPr="00D63D8A" w:rsidRDefault="00B92ACE" w:rsidP="00281D9F">
            <w:pPr>
              <w:spacing w:after="0" w:line="240" w:lineRule="auto"/>
              <w:jc w:val="center"/>
              <w:rPr>
                <w:rFonts w:ascii="Calibri" w:eastAsia="Times New Roman" w:hAnsi="Calibri" w:cs="Calibri"/>
                <w:color w:val="000000"/>
                <w:sz w:val="20"/>
                <w:szCs w:val="20"/>
              </w:rPr>
            </w:pPr>
            <w:r w:rsidRPr="00D63D8A">
              <w:rPr>
                <w:rFonts w:ascii="Calibri" w:eastAsia="Times New Roman" w:hAnsi="Calibri" w:cs="Calibri"/>
                <w:color w:val="000000"/>
                <w:sz w:val="20"/>
                <w:szCs w:val="20"/>
              </w:rPr>
              <w:t>86%</w:t>
            </w:r>
          </w:p>
        </w:tc>
      </w:tr>
      <w:tr w:rsidR="00B92ACE" w:rsidRPr="00D63D8A" w:rsidTr="00281D9F">
        <w:trPr>
          <w:trHeight w:val="300"/>
        </w:trPr>
        <w:tc>
          <w:tcPr>
            <w:tcW w:w="3220" w:type="dxa"/>
            <w:tcBorders>
              <w:top w:val="nil"/>
              <w:bottom w:val="nil"/>
            </w:tcBorders>
            <w:shd w:val="clear" w:color="auto" w:fill="auto"/>
            <w:noWrap/>
            <w:vAlign w:val="bottom"/>
            <w:hideMark/>
          </w:tcPr>
          <w:p w:rsidR="00B92ACE" w:rsidRPr="00D63D8A" w:rsidRDefault="00B92ACE" w:rsidP="00B92ACE">
            <w:pPr>
              <w:spacing w:after="0" w:line="240" w:lineRule="auto"/>
              <w:rPr>
                <w:rFonts w:ascii="Calibri" w:eastAsia="Times New Roman" w:hAnsi="Calibri" w:cs="Calibri"/>
                <w:color w:val="000000"/>
                <w:sz w:val="20"/>
                <w:szCs w:val="20"/>
              </w:rPr>
            </w:pPr>
            <w:r w:rsidRPr="00D63D8A">
              <w:rPr>
                <w:rFonts w:ascii="Calibri" w:eastAsia="Times New Roman" w:hAnsi="Calibri" w:cs="Calibri"/>
                <w:color w:val="000000"/>
                <w:sz w:val="20"/>
                <w:szCs w:val="20"/>
              </w:rPr>
              <w:t>Robo de bicicletas</w:t>
            </w:r>
          </w:p>
        </w:tc>
        <w:tc>
          <w:tcPr>
            <w:tcW w:w="1620" w:type="dxa"/>
            <w:tcBorders>
              <w:top w:val="nil"/>
              <w:bottom w:val="nil"/>
            </w:tcBorders>
            <w:shd w:val="clear" w:color="auto" w:fill="auto"/>
            <w:noWrap/>
            <w:vAlign w:val="bottom"/>
            <w:hideMark/>
          </w:tcPr>
          <w:p w:rsidR="00B92ACE" w:rsidRPr="00D63D8A" w:rsidRDefault="00B92ACE" w:rsidP="00281D9F">
            <w:pPr>
              <w:spacing w:after="0" w:line="240" w:lineRule="auto"/>
              <w:jc w:val="center"/>
              <w:rPr>
                <w:rFonts w:ascii="Calibri" w:eastAsia="Times New Roman" w:hAnsi="Calibri" w:cs="Calibri"/>
                <w:color w:val="000000"/>
                <w:sz w:val="20"/>
                <w:szCs w:val="20"/>
              </w:rPr>
            </w:pPr>
            <w:r w:rsidRPr="00D63D8A">
              <w:rPr>
                <w:rFonts w:ascii="Calibri" w:eastAsia="Times New Roman" w:hAnsi="Calibri" w:cs="Calibri"/>
                <w:color w:val="000000"/>
                <w:sz w:val="20"/>
                <w:szCs w:val="20"/>
              </w:rPr>
              <w:t>53%</w:t>
            </w:r>
          </w:p>
        </w:tc>
      </w:tr>
      <w:tr w:rsidR="00B92ACE" w:rsidRPr="00D63D8A" w:rsidTr="00281D9F">
        <w:trPr>
          <w:trHeight w:val="300"/>
        </w:trPr>
        <w:tc>
          <w:tcPr>
            <w:tcW w:w="3220" w:type="dxa"/>
            <w:tcBorders>
              <w:top w:val="nil"/>
              <w:bottom w:val="nil"/>
            </w:tcBorders>
            <w:shd w:val="clear" w:color="auto" w:fill="auto"/>
            <w:noWrap/>
            <w:vAlign w:val="bottom"/>
            <w:hideMark/>
          </w:tcPr>
          <w:p w:rsidR="00B92ACE" w:rsidRPr="00D63D8A" w:rsidRDefault="00B92ACE" w:rsidP="00B92ACE">
            <w:pPr>
              <w:spacing w:after="0" w:line="240" w:lineRule="auto"/>
              <w:rPr>
                <w:rFonts w:ascii="Calibri" w:eastAsia="Times New Roman" w:hAnsi="Calibri" w:cs="Calibri"/>
                <w:color w:val="000000"/>
                <w:sz w:val="20"/>
                <w:szCs w:val="20"/>
              </w:rPr>
            </w:pPr>
            <w:r w:rsidRPr="00D63D8A">
              <w:rPr>
                <w:rFonts w:ascii="Calibri" w:eastAsia="Times New Roman" w:hAnsi="Calibri" w:cs="Calibri"/>
                <w:color w:val="000000"/>
                <w:sz w:val="20"/>
                <w:szCs w:val="20"/>
              </w:rPr>
              <w:t>Robo de vivienda</w:t>
            </w:r>
          </w:p>
        </w:tc>
        <w:tc>
          <w:tcPr>
            <w:tcW w:w="1620" w:type="dxa"/>
            <w:tcBorders>
              <w:top w:val="nil"/>
              <w:bottom w:val="nil"/>
            </w:tcBorders>
            <w:shd w:val="clear" w:color="auto" w:fill="auto"/>
            <w:noWrap/>
            <w:vAlign w:val="bottom"/>
            <w:hideMark/>
          </w:tcPr>
          <w:p w:rsidR="00B92ACE" w:rsidRPr="00D63D8A" w:rsidRDefault="00B92ACE" w:rsidP="00281D9F">
            <w:pPr>
              <w:spacing w:after="0" w:line="240" w:lineRule="auto"/>
              <w:jc w:val="center"/>
              <w:rPr>
                <w:rFonts w:ascii="Calibri" w:eastAsia="Times New Roman" w:hAnsi="Calibri" w:cs="Calibri"/>
                <w:color w:val="000000"/>
                <w:sz w:val="20"/>
                <w:szCs w:val="20"/>
              </w:rPr>
            </w:pPr>
            <w:r w:rsidRPr="00D63D8A">
              <w:rPr>
                <w:rFonts w:ascii="Calibri" w:eastAsia="Times New Roman" w:hAnsi="Calibri" w:cs="Calibri"/>
                <w:color w:val="000000"/>
                <w:sz w:val="20"/>
                <w:szCs w:val="20"/>
              </w:rPr>
              <w:t>60%</w:t>
            </w:r>
          </w:p>
        </w:tc>
      </w:tr>
      <w:tr w:rsidR="00B92ACE" w:rsidRPr="00D63D8A" w:rsidTr="00281D9F">
        <w:trPr>
          <w:trHeight w:val="300"/>
        </w:trPr>
        <w:tc>
          <w:tcPr>
            <w:tcW w:w="3220" w:type="dxa"/>
            <w:tcBorders>
              <w:top w:val="nil"/>
              <w:bottom w:val="nil"/>
            </w:tcBorders>
            <w:shd w:val="clear" w:color="auto" w:fill="auto"/>
            <w:noWrap/>
            <w:vAlign w:val="bottom"/>
            <w:hideMark/>
          </w:tcPr>
          <w:p w:rsidR="00B92ACE" w:rsidRPr="00D63D8A" w:rsidRDefault="00B92ACE" w:rsidP="00B92ACE">
            <w:pPr>
              <w:spacing w:after="0" w:line="240" w:lineRule="auto"/>
              <w:rPr>
                <w:rFonts w:ascii="Calibri" w:eastAsia="Times New Roman" w:hAnsi="Calibri" w:cs="Calibri"/>
                <w:color w:val="000000"/>
                <w:sz w:val="20"/>
                <w:szCs w:val="20"/>
              </w:rPr>
            </w:pPr>
            <w:r w:rsidRPr="00D63D8A">
              <w:rPr>
                <w:rFonts w:ascii="Calibri" w:eastAsia="Times New Roman" w:hAnsi="Calibri" w:cs="Calibri"/>
                <w:color w:val="000000"/>
                <w:sz w:val="20"/>
                <w:szCs w:val="20"/>
              </w:rPr>
              <w:t>Intento de robo de vivienda</w:t>
            </w:r>
          </w:p>
        </w:tc>
        <w:tc>
          <w:tcPr>
            <w:tcW w:w="1620" w:type="dxa"/>
            <w:tcBorders>
              <w:top w:val="nil"/>
              <w:bottom w:val="nil"/>
            </w:tcBorders>
            <w:shd w:val="clear" w:color="auto" w:fill="auto"/>
            <w:noWrap/>
            <w:vAlign w:val="bottom"/>
            <w:hideMark/>
          </w:tcPr>
          <w:p w:rsidR="00B92ACE" w:rsidRPr="00D63D8A" w:rsidRDefault="00B92ACE" w:rsidP="00281D9F">
            <w:pPr>
              <w:spacing w:after="0" w:line="240" w:lineRule="auto"/>
              <w:jc w:val="center"/>
              <w:rPr>
                <w:rFonts w:ascii="Calibri" w:eastAsia="Times New Roman" w:hAnsi="Calibri" w:cs="Calibri"/>
                <w:color w:val="000000"/>
                <w:sz w:val="20"/>
                <w:szCs w:val="20"/>
              </w:rPr>
            </w:pPr>
            <w:r w:rsidRPr="00D63D8A">
              <w:rPr>
                <w:rFonts w:ascii="Calibri" w:eastAsia="Times New Roman" w:hAnsi="Calibri" w:cs="Calibri"/>
                <w:color w:val="000000"/>
                <w:sz w:val="20"/>
                <w:szCs w:val="20"/>
              </w:rPr>
              <w:t>35%</w:t>
            </w:r>
          </w:p>
        </w:tc>
      </w:tr>
      <w:tr w:rsidR="00B92ACE" w:rsidRPr="00D63D8A" w:rsidTr="00281D9F">
        <w:trPr>
          <w:trHeight w:val="300"/>
        </w:trPr>
        <w:tc>
          <w:tcPr>
            <w:tcW w:w="3220" w:type="dxa"/>
            <w:tcBorders>
              <w:top w:val="nil"/>
              <w:bottom w:val="nil"/>
            </w:tcBorders>
            <w:shd w:val="clear" w:color="auto" w:fill="auto"/>
            <w:noWrap/>
            <w:vAlign w:val="bottom"/>
            <w:hideMark/>
          </w:tcPr>
          <w:p w:rsidR="00B92ACE" w:rsidRPr="00D63D8A" w:rsidRDefault="00B92ACE" w:rsidP="00B92ACE">
            <w:pPr>
              <w:spacing w:after="0" w:line="240" w:lineRule="auto"/>
              <w:rPr>
                <w:rFonts w:ascii="Calibri" w:eastAsia="Times New Roman" w:hAnsi="Calibri" w:cs="Calibri"/>
                <w:color w:val="000000"/>
                <w:sz w:val="20"/>
                <w:szCs w:val="20"/>
              </w:rPr>
            </w:pPr>
            <w:r w:rsidRPr="00D63D8A">
              <w:rPr>
                <w:rFonts w:ascii="Calibri" w:eastAsia="Times New Roman" w:hAnsi="Calibri" w:cs="Calibri"/>
                <w:color w:val="000000"/>
                <w:sz w:val="20"/>
                <w:szCs w:val="20"/>
              </w:rPr>
              <w:t>Robo personal con violencia</w:t>
            </w:r>
          </w:p>
        </w:tc>
        <w:tc>
          <w:tcPr>
            <w:tcW w:w="1620" w:type="dxa"/>
            <w:tcBorders>
              <w:top w:val="nil"/>
              <w:bottom w:val="nil"/>
            </w:tcBorders>
            <w:shd w:val="clear" w:color="auto" w:fill="auto"/>
            <w:noWrap/>
            <w:vAlign w:val="bottom"/>
            <w:hideMark/>
          </w:tcPr>
          <w:p w:rsidR="00B92ACE" w:rsidRPr="00D63D8A" w:rsidRDefault="00B92ACE" w:rsidP="00281D9F">
            <w:pPr>
              <w:spacing w:after="0" w:line="240" w:lineRule="auto"/>
              <w:jc w:val="center"/>
              <w:rPr>
                <w:rFonts w:ascii="Calibri" w:eastAsia="Times New Roman" w:hAnsi="Calibri" w:cs="Calibri"/>
                <w:color w:val="000000"/>
                <w:sz w:val="20"/>
                <w:szCs w:val="20"/>
              </w:rPr>
            </w:pPr>
            <w:r w:rsidRPr="00D63D8A">
              <w:rPr>
                <w:rFonts w:ascii="Calibri" w:eastAsia="Times New Roman" w:hAnsi="Calibri" w:cs="Calibri"/>
                <w:color w:val="000000"/>
                <w:sz w:val="20"/>
                <w:szCs w:val="20"/>
              </w:rPr>
              <w:t>47%</w:t>
            </w:r>
          </w:p>
        </w:tc>
      </w:tr>
      <w:tr w:rsidR="00B92ACE" w:rsidRPr="00D63D8A" w:rsidTr="00281D9F">
        <w:trPr>
          <w:trHeight w:val="300"/>
        </w:trPr>
        <w:tc>
          <w:tcPr>
            <w:tcW w:w="3220" w:type="dxa"/>
            <w:tcBorders>
              <w:top w:val="nil"/>
              <w:bottom w:val="nil"/>
            </w:tcBorders>
            <w:shd w:val="clear" w:color="auto" w:fill="auto"/>
            <w:noWrap/>
            <w:vAlign w:val="bottom"/>
            <w:hideMark/>
          </w:tcPr>
          <w:p w:rsidR="00B92ACE" w:rsidRPr="00D63D8A" w:rsidRDefault="00B92ACE" w:rsidP="00B92ACE">
            <w:pPr>
              <w:spacing w:after="0" w:line="240" w:lineRule="auto"/>
              <w:rPr>
                <w:rFonts w:ascii="Calibri" w:eastAsia="Times New Roman" w:hAnsi="Calibri" w:cs="Calibri"/>
                <w:color w:val="000000"/>
                <w:sz w:val="20"/>
                <w:szCs w:val="20"/>
              </w:rPr>
            </w:pPr>
            <w:r w:rsidRPr="00D63D8A">
              <w:rPr>
                <w:rFonts w:ascii="Calibri" w:eastAsia="Times New Roman" w:hAnsi="Calibri" w:cs="Calibri"/>
                <w:color w:val="000000"/>
                <w:sz w:val="20"/>
                <w:szCs w:val="20"/>
              </w:rPr>
              <w:t>Robo personal sin violencia</w:t>
            </w:r>
          </w:p>
        </w:tc>
        <w:tc>
          <w:tcPr>
            <w:tcW w:w="1620" w:type="dxa"/>
            <w:tcBorders>
              <w:top w:val="nil"/>
              <w:bottom w:val="nil"/>
            </w:tcBorders>
            <w:shd w:val="clear" w:color="auto" w:fill="auto"/>
            <w:noWrap/>
            <w:vAlign w:val="bottom"/>
            <w:hideMark/>
          </w:tcPr>
          <w:p w:rsidR="00B92ACE" w:rsidRPr="00D63D8A" w:rsidRDefault="00B92ACE" w:rsidP="00281D9F">
            <w:pPr>
              <w:spacing w:after="0" w:line="240" w:lineRule="auto"/>
              <w:jc w:val="center"/>
              <w:rPr>
                <w:rFonts w:ascii="Calibri" w:eastAsia="Times New Roman" w:hAnsi="Calibri" w:cs="Calibri"/>
                <w:color w:val="000000"/>
                <w:sz w:val="20"/>
                <w:szCs w:val="20"/>
              </w:rPr>
            </w:pPr>
            <w:r w:rsidRPr="00D63D8A">
              <w:rPr>
                <w:rFonts w:ascii="Calibri" w:eastAsia="Times New Roman" w:hAnsi="Calibri" w:cs="Calibri"/>
                <w:color w:val="000000"/>
                <w:sz w:val="20"/>
                <w:szCs w:val="20"/>
              </w:rPr>
              <w:t>43%</w:t>
            </w:r>
          </w:p>
        </w:tc>
      </w:tr>
      <w:tr w:rsidR="00B92ACE" w:rsidRPr="00D63D8A" w:rsidTr="00281D9F">
        <w:trPr>
          <w:trHeight w:val="300"/>
        </w:trPr>
        <w:tc>
          <w:tcPr>
            <w:tcW w:w="3220" w:type="dxa"/>
            <w:tcBorders>
              <w:top w:val="nil"/>
              <w:bottom w:val="single" w:sz="4" w:space="0" w:color="auto"/>
            </w:tcBorders>
            <w:shd w:val="clear" w:color="auto" w:fill="auto"/>
            <w:noWrap/>
            <w:vAlign w:val="bottom"/>
            <w:hideMark/>
          </w:tcPr>
          <w:p w:rsidR="00B92ACE" w:rsidRPr="00D63D8A" w:rsidRDefault="00B92ACE" w:rsidP="00B92ACE">
            <w:pPr>
              <w:spacing w:after="0" w:line="240" w:lineRule="auto"/>
              <w:rPr>
                <w:rFonts w:ascii="Calibri" w:eastAsia="Times New Roman" w:hAnsi="Calibri" w:cs="Calibri"/>
                <w:color w:val="000000"/>
                <w:sz w:val="20"/>
                <w:szCs w:val="20"/>
              </w:rPr>
            </w:pPr>
            <w:r w:rsidRPr="00D63D8A">
              <w:rPr>
                <w:rFonts w:ascii="Calibri" w:eastAsia="Times New Roman" w:hAnsi="Calibri" w:cs="Calibri"/>
                <w:color w:val="000000"/>
                <w:sz w:val="20"/>
                <w:szCs w:val="20"/>
              </w:rPr>
              <w:t>Lesiones físicas y amenazas</w:t>
            </w:r>
          </w:p>
        </w:tc>
        <w:tc>
          <w:tcPr>
            <w:tcW w:w="1620" w:type="dxa"/>
            <w:tcBorders>
              <w:top w:val="nil"/>
              <w:bottom w:val="single" w:sz="4" w:space="0" w:color="auto"/>
            </w:tcBorders>
            <w:shd w:val="clear" w:color="auto" w:fill="auto"/>
            <w:noWrap/>
            <w:vAlign w:val="bottom"/>
            <w:hideMark/>
          </w:tcPr>
          <w:p w:rsidR="00B92ACE" w:rsidRPr="00D63D8A" w:rsidRDefault="00B92ACE" w:rsidP="00281D9F">
            <w:pPr>
              <w:spacing w:after="0" w:line="240" w:lineRule="auto"/>
              <w:jc w:val="center"/>
              <w:rPr>
                <w:rFonts w:ascii="Calibri" w:eastAsia="Times New Roman" w:hAnsi="Calibri" w:cs="Calibri"/>
                <w:color w:val="000000"/>
                <w:sz w:val="20"/>
                <w:szCs w:val="20"/>
              </w:rPr>
            </w:pPr>
            <w:r w:rsidRPr="00D63D8A">
              <w:rPr>
                <w:rFonts w:ascii="Calibri" w:eastAsia="Times New Roman" w:hAnsi="Calibri" w:cs="Calibri"/>
                <w:color w:val="000000"/>
                <w:sz w:val="20"/>
                <w:szCs w:val="20"/>
              </w:rPr>
              <w:t>38%</w:t>
            </w:r>
          </w:p>
        </w:tc>
      </w:tr>
    </w:tbl>
    <w:p w:rsidR="00B92ACE" w:rsidRPr="00B92ACE" w:rsidRDefault="00B92ACE" w:rsidP="00D43478">
      <w:pPr>
        <w:jc w:val="both"/>
        <w:rPr>
          <w:sz w:val="20"/>
          <w:szCs w:val="20"/>
        </w:rPr>
      </w:pPr>
      <w:r w:rsidRPr="008D534F">
        <w:rPr>
          <w:b/>
          <w:sz w:val="20"/>
          <w:szCs w:val="20"/>
        </w:rPr>
        <w:t>Fuente</w:t>
      </w:r>
      <w:r>
        <w:rPr>
          <w:sz w:val="20"/>
          <w:szCs w:val="20"/>
        </w:rPr>
        <w:t>: Encuesta de Victimización 2011</w:t>
      </w:r>
      <w:r w:rsidR="00B5153C">
        <w:rPr>
          <w:sz w:val="20"/>
          <w:szCs w:val="20"/>
        </w:rPr>
        <w:t xml:space="preserve">, </w:t>
      </w:r>
      <w:r>
        <w:rPr>
          <w:sz w:val="20"/>
          <w:szCs w:val="20"/>
        </w:rPr>
        <w:t>Ministerio</w:t>
      </w:r>
      <w:r w:rsidR="00B5153C">
        <w:rPr>
          <w:sz w:val="20"/>
          <w:szCs w:val="20"/>
        </w:rPr>
        <w:t xml:space="preserve"> del Interior.</w:t>
      </w:r>
    </w:p>
    <w:p w:rsidR="00B92ACE" w:rsidRDefault="00B92ACE" w:rsidP="00D43478">
      <w:pPr>
        <w:jc w:val="both"/>
      </w:pPr>
      <w:r>
        <w:lastRenderedPageBreak/>
        <w:t xml:space="preserve">En lo que refiere a los atentados contra las personas se verifica, por un lado, que el uso de la violencia en la ejecución del robo no parecería ser un condicionante fuerte a la hora de realizar la denuncia, dado que la diferencia en las tasas de reporte entre robos con y sin violencia es baja. Por otra parte, cabe destacar que existe una propensión a denunciar </w:t>
      </w:r>
      <w:r w:rsidR="00157DDF">
        <w:t xml:space="preserve">particularmente baja </w:t>
      </w:r>
      <w:r>
        <w:t>en el caso de las víctimas de violencia no vinculada al robo</w:t>
      </w:r>
      <w:r w:rsidR="00157DDF">
        <w:t xml:space="preserve"> (38%). </w:t>
      </w:r>
      <w:r w:rsidR="00B8023D">
        <w:t>No obstante, hay que tener en cuenta que la categoría “Lesiones físicas y amenazas” abarca una amplia gama de manifestaciones de la violencia, por lo que, en mucho casos, el hecho en cuestión puede no ser considerado un delito por parte del damnificado. Por otro lado, esta categoría no incluye el componente de homicidios que forma parte de los delitos contra las personas y que sería razonable esperar que muestre tasas de reporte cercanas al 100%.</w:t>
      </w:r>
    </w:p>
    <w:p w:rsidR="00B92ACE" w:rsidRDefault="00CA471C" w:rsidP="002767A0">
      <w:pPr>
        <w:jc w:val="both"/>
      </w:pPr>
      <w:r>
        <w:t>De todas formas, e</w:t>
      </w:r>
      <w:r w:rsidR="004F5246">
        <w:t xml:space="preserve">n la medida que </w:t>
      </w:r>
      <w:r w:rsidR="00552BAA">
        <w:t>los problemas de</w:t>
      </w:r>
      <w:r w:rsidR="004F5246">
        <w:t xml:space="preserve"> sub-reporte </w:t>
      </w:r>
      <w:r w:rsidR="00552BAA">
        <w:t xml:space="preserve">y sub-registro </w:t>
      </w:r>
      <w:r w:rsidR="004F5246">
        <w:t>sea</w:t>
      </w:r>
      <w:r w:rsidR="00552BAA">
        <w:t>n</w:t>
      </w:r>
      <w:r w:rsidR="004F5246">
        <w:t xml:space="preserve"> una proporción</w:t>
      </w:r>
      <w:r w:rsidR="00263BAF">
        <w:t xml:space="preserve"> relativamente </w:t>
      </w:r>
      <w:r w:rsidR="004F5246">
        <w:t xml:space="preserve">constante </w:t>
      </w:r>
      <w:r w:rsidR="00DE2A55">
        <w:t xml:space="preserve">en el tiempo </w:t>
      </w:r>
      <w:r w:rsidR="004F5246">
        <w:t xml:space="preserve">de los delitos que efectivamente ocurrieron, </w:t>
      </w:r>
      <w:r w:rsidR="00C359FB">
        <w:t>las tendencias temporales no deberían verse afectadas por el mismo</w:t>
      </w:r>
      <w:r w:rsidR="004F5246">
        <w:t>.</w:t>
      </w:r>
      <w:r w:rsidR="00500D5C">
        <w:rPr>
          <w:rStyle w:val="FootnoteReference"/>
        </w:rPr>
        <w:footnoteReference w:id="5"/>
      </w:r>
      <w:r w:rsidR="00BB391E">
        <w:t xml:space="preserve"> </w:t>
      </w:r>
      <w:r w:rsidR="00500D5C">
        <w:t xml:space="preserve">Por este motivo, a pesar de sus limitaciones, las cifras de denuncias </w:t>
      </w:r>
      <w:r w:rsidR="002767A0">
        <w:t>han sido utilizadas en</w:t>
      </w:r>
      <w:r w:rsidR="00500D5C">
        <w:t xml:space="preserve"> </w:t>
      </w:r>
      <w:r w:rsidR="002767A0">
        <w:t>innumerables</w:t>
      </w:r>
      <w:r w:rsidR="00500D5C">
        <w:t xml:space="preserve"> estudios empíricos</w:t>
      </w:r>
      <w:r w:rsidR="002767A0">
        <w:t xml:space="preserve"> académicos a nivel nacional e internacional (Paternain, 2008b).</w:t>
      </w:r>
    </w:p>
    <w:p w:rsidR="004D3105" w:rsidRDefault="004D3105" w:rsidP="004D3105">
      <w:pPr>
        <w:jc w:val="both"/>
      </w:pPr>
      <w:r>
        <w:t>En Uruguay los delitos están clasificados en delitos contra la propiedad (76% de las denuncias en el año 2010), contra las personas (14,4%), sexuales (0,6%), contrabando (0,1%) y otros delitos (8,8%). Los delitos contra la propiedad incluyen: hurtos, rapiñas, copamientos, daños, abigeatos, y una categoría residual otros. Los primeros dos representaron en el año 2010 el 85% de los delitos contra la propiedad.  Los delitos contra las personas incluyen: homicidios, lesiones, riñas, violencia domestica, y una categoría residual otros. La violencia domestica represento el 59% de estos delitos en el año 2010, mientras que las lesiones alcanzaron el 29% de</w:t>
      </w:r>
      <w:r w:rsidR="00086B88">
        <w:t xml:space="preserve"> la categoría.</w:t>
      </w:r>
    </w:p>
    <w:p w:rsidR="006E1CE2" w:rsidRPr="00C251B9" w:rsidRDefault="006E1CE2" w:rsidP="006E1CE2">
      <w:pPr>
        <w:jc w:val="both"/>
      </w:pPr>
      <w:r>
        <w:t>El Gráfico 1 muestra que, si bien para la primera mitad de la década de los noventa los índices de criminalidad (relativos a la población) evolucionaron de forma relativamente estable, comienza a observarse una tendencia al aumento a partir del año 1995. Este crecimiento se da de forma más marcada en el caso de los crímenes contra las personas. Estos crímenes crecieron un 7% entre 1990 y 1995 y un 55% entre 1995-2000. Ya en el siglo XXI tuvieron un crecimiento de 33% en el periodo 2000-2005 y de 11% en el periodo 2005-2010. En el caso de los crímenes contra la propiedad hay una leve caída del 0,42% para la primera mitad de la década del 90 y un incremento del 13% en la segunda mitad. El crecimiento importante de estos delitos se da en el primer lustro del siglo XXI (71%). En el periodo 2005-2010 caen en un 7%.</w:t>
      </w:r>
    </w:p>
    <w:p w:rsidR="00F6345A" w:rsidRDefault="00F6345A" w:rsidP="00F6345A">
      <w:pPr>
        <w:jc w:val="both"/>
      </w:pPr>
      <w:r w:rsidRPr="00A140F3">
        <w:t xml:space="preserve">Del análisis de la evolución de los indicadores de criminalidad para el período </w:t>
      </w:r>
      <w:r>
        <w:t>en cuestión</w:t>
      </w:r>
      <w:r w:rsidRPr="00A140F3">
        <w:t xml:space="preserve"> surgen algunas consideraciones. En primer lugar, resulta notoria la aceleración observada en el crecimiento de los delitos contra la propiedad en la fase recesiva de la economía uruguaya (1999-2004), denotando cierta correlación entre los niveles de criminalidad y la etapa del ciclo económico. No obstante, no se constató un fenómeno similar una vez encauzada la recuperación socioeconómica luego del 2004, manteniéndose los niveles de crimen total en </w:t>
      </w:r>
      <w:r w:rsidRPr="00A140F3">
        <w:lastRenderedPageBreak/>
        <w:t>valores similares a los observados duran</w:t>
      </w:r>
      <w:r>
        <w:t>te la crisis, lo que puede estar dando cuenta de un fenómeno de histéresis, que ha sido observado en otros países y que ha sido racionalizado teóricamente en algunos trabajos recientes.</w:t>
      </w:r>
      <w:r>
        <w:rPr>
          <w:rStyle w:val="FootnoteReference"/>
        </w:rPr>
        <w:footnoteReference w:id="6"/>
      </w:r>
      <w:r>
        <w:t xml:space="preserve">  </w:t>
      </w:r>
    </w:p>
    <w:p w:rsidR="00F83B7E" w:rsidRDefault="00552BAA" w:rsidP="003263E8">
      <w:pPr>
        <w:keepNext/>
        <w:spacing w:line="240" w:lineRule="auto"/>
        <w:outlineLvl w:val="0"/>
      </w:pPr>
      <w:r>
        <w:rPr>
          <w:b/>
        </w:rPr>
        <w:t xml:space="preserve">Gráfico 1. </w:t>
      </w:r>
      <w:r w:rsidRPr="00373DE3">
        <w:rPr>
          <w:b/>
        </w:rPr>
        <w:t xml:space="preserve">Evolución </w:t>
      </w:r>
      <w:r>
        <w:rPr>
          <w:b/>
        </w:rPr>
        <w:t xml:space="preserve">de la criminalidad </w:t>
      </w:r>
      <w:r w:rsidRPr="00373DE3">
        <w:rPr>
          <w:b/>
        </w:rPr>
        <w:t xml:space="preserve">por tipo de crimen (índice </w:t>
      </w:r>
      <w:r>
        <w:rPr>
          <w:b/>
        </w:rPr>
        <w:t>1990</w:t>
      </w:r>
      <w:r w:rsidRPr="00373DE3">
        <w:rPr>
          <w:b/>
        </w:rPr>
        <w:t xml:space="preserve"> = 100</w:t>
      </w:r>
      <w:r>
        <w:rPr>
          <w:b/>
        </w:rPr>
        <w:t>, cifras ajustadas por población</w:t>
      </w:r>
      <w:r w:rsidRPr="00373DE3">
        <w:rPr>
          <w:b/>
        </w:rPr>
        <w:t>)</w:t>
      </w:r>
      <w:r w:rsidRPr="00633B20">
        <w:t xml:space="preserve"> </w:t>
      </w:r>
    </w:p>
    <w:p w:rsidR="00F83B7E" w:rsidRDefault="00F83B7E" w:rsidP="003263E8">
      <w:pPr>
        <w:keepNext/>
        <w:spacing w:line="240" w:lineRule="auto"/>
        <w:outlineLvl w:val="0"/>
        <w:rPr>
          <w:b/>
          <w:noProof/>
        </w:rPr>
      </w:pPr>
      <w:r w:rsidRPr="00F83B7E">
        <w:rPr>
          <w:noProof/>
        </w:rPr>
        <w:drawing>
          <wp:inline distT="0" distB="0" distL="0" distR="0">
            <wp:extent cx="4093450" cy="2889849"/>
            <wp:effectExtent l="19050" t="0" r="2300" b="0"/>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4096713" cy="2892153"/>
                    </a:xfrm>
                    <a:prstGeom prst="rect">
                      <a:avLst/>
                    </a:prstGeom>
                    <a:noFill/>
                    <a:ln w="9525">
                      <a:noFill/>
                      <a:miter lim="800000"/>
                      <a:headEnd/>
                      <a:tailEnd/>
                    </a:ln>
                  </pic:spPr>
                </pic:pic>
              </a:graphicData>
            </a:graphic>
          </wp:inline>
        </w:drawing>
      </w:r>
    </w:p>
    <w:p w:rsidR="00552BAA" w:rsidRDefault="00552BAA" w:rsidP="00552BAA">
      <w:pPr>
        <w:rPr>
          <w:sz w:val="20"/>
          <w:szCs w:val="20"/>
        </w:rPr>
      </w:pPr>
      <w:r w:rsidRPr="00570958">
        <w:rPr>
          <w:b/>
          <w:sz w:val="20"/>
          <w:szCs w:val="20"/>
        </w:rPr>
        <w:t>Fuente</w:t>
      </w:r>
      <w:r>
        <w:rPr>
          <w:sz w:val="20"/>
          <w:szCs w:val="20"/>
        </w:rPr>
        <w:t>: DDEA.</w:t>
      </w:r>
    </w:p>
    <w:p w:rsidR="00FB4D47" w:rsidRDefault="004D3105" w:rsidP="00D43478">
      <w:pPr>
        <w:jc w:val="both"/>
      </w:pPr>
      <w:r>
        <w:t>Al respecto, e</w:t>
      </w:r>
      <w:r w:rsidR="00107BA8">
        <w:t xml:space="preserve">l Gráfico 2 </w:t>
      </w:r>
      <w:r w:rsidR="00785A4B">
        <w:t>muestra</w:t>
      </w:r>
      <w:r w:rsidR="00107BA8">
        <w:t xml:space="preserve"> la evolución de las tasas de criminalidad y </w:t>
      </w:r>
      <w:r w:rsidR="005F484B">
        <w:t xml:space="preserve">de </w:t>
      </w:r>
      <w:r w:rsidR="00785A4B">
        <w:t>dos indicadores de actividad económica: la tasa de crecimiento del PBI y la tasa de desempleo</w:t>
      </w:r>
      <w:r w:rsidR="00107BA8">
        <w:t xml:space="preserve">. </w:t>
      </w:r>
      <w:r w:rsidR="00785A4B">
        <w:t>L</w:t>
      </w:r>
      <w:r w:rsidR="00107BA8">
        <w:t xml:space="preserve">as etapas de crecimiento más acentuado de la actividad delictiva coinciden con períodos de alto desempleo y tasas de crecimiento del PBI negativas. </w:t>
      </w:r>
      <w:r w:rsidR="00A158E8">
        <w:t>El</w:t>
      </w:r>
      <w:r w:rsidR="00FD2A07">
        <w:t xml:space="preserve"> ejemplo más notorio de este fenómeno </w:t>
      </w:r>
      <w:r w:rsidR="00A158E8">
        <w:t>se sitúa en el período 1999-2002, durante el cual se  verifican al mismo tiempo tasas de crecimiento de la economía negativas, los niveles de desempleo más altos dentro del período considerado, y una tasa promedio de crecimiento anual de la criminalidad que es mayor al doble de la observada para todo el período</w:t>
      </w:r>
      <w:r w:rsidR="00E43D6F">
        <w:t xml:space="preserve"> (en el período 1999-2002 la tasa promedio de crecimiento anual fue de 8%, mientras que la tasa promedio para 1990-2010 es de 3%).</w:t>
      </w:r>
      <w:r w:rsidR="00785A4B">
        <w:t xml:space="preserve"> </w:t>
      </w:r>
    </w:p>
    <w:p w:rsidR="00A158E8" w:rsidRDefault="00785A4B" w:rsidP="00D43478">
      <w:pPr>
        <w:jc w:val="both"/>
      </w:pPr>
      <w:r>
        <w:t>Sin embargo,</w:t>
      </w:r>
      <w:r w:rsidR="005F484B">
        <w:t xml:space="preserve"> en los últimos años del período considerado</w:t>
      </w:r>
      <w:r w:rsidR="00E35E58">
        <w:t>,</w:t>
      </w:r>
      <w:r>
        <w:t xml:space="preserve"> </w:t>
      </w:r>
      <w:r w:rsidR="005F484B">
        <w:t>el alto crecimiento económico y las bajas tasas de desempleo no está</w:t>
      </w:r>
      <w:r w:rsidR="00E92705">
        <w:t>n</w:t>
      </w:r>
      <w:r w:rsidR="005F484B">
        <w:t xml:space="preserve"> asociad</w:t>
      </w:r>
      <w:r w:rsidR="00E92705">
        <w:t>o</w:t>
      </w:r>
      <w:r w:rsidR="005F484B">
        <w:t xml:space="preserve">s a una reducción de la criminalidad, </w:t>
      </w:r>
      <w:r w:rsidR="00E92705">
        <w:t>lo cual</w:t>
      </w:r>
      <w:r w:rsidR="005F484B">
        <w:t xml:space="preserve"> muestra cierta evidencia de asimetría en el ciclo de la evolución de la criminalidad. Por supuesto, esto no es más que una hipótesis en base a un gráfico. Es necesario un análisis </w:t>
      </w:r>
      <w:r w:rsidR="005F484B">
        <w:lastRenderedPageBreak/>
        <w:t>econométrico más serio para determinar si efectivamente este comportamiento está presente en Uruguay.</w:t>
      </w:r>
    </w:p>
    <w:p w:rsidR="00F6345A" w:rsidRPr="005C093C" w:rsidRDefault="00F6345A" w:rsidP="00F6345A">
      <w:pPr>
        <w:keepNext/>
        <w:jc w:val="both"/>
        <w:rPr>
          <w:b/>
        </w:rPr>
      </w:pPr>
      <w:r>
        <w:rPr>
          <w:b/>
        </w:rPr>
        <w:t>Gráfico 2. Evolución de la criminalidad y de algunas variables macroeconómicas</w:t>
      </w:r>
    </w:p>
    <w:p w:rsidR="00F6345A" w:rsidRDefault="00F6345A" w:rsidP="00F6345A">
      <w:pPr>
        <w:keepNext/>
        <w:jc w:val="both"/>
      </w:pPr>
      <w:r w:rsidRPr="00F83B7E">
        <w:rPr>
          <w:noProof/>
        </w:rPr>
        <w:drawing>
          <wp:inline distT="0" distB="0" distL="0" distR="0">
            <wp:extent cx="4098964" cy="2786332"/>
            <wp:effectExtent l="19050" t="0" r="0" b="0"/>
            <wp:docPr id="1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4104335" cy="2789983"/>
                    </a:xfrm>
                    <a:prstGeom prst="rect">
                      <a:avLst/>
                    </a:prstGeom>
                    <a:noFill/>
                    <a:ln w="9525">
                      <a:noFill/>
                      <a:miter lim="800000"/>
                      <a:headEnd/>
                      <a:tailEnd/>
                    </a:ln>
                  </pic:spPr>
                </pic:pic>
              </a:graphicData>
            </a:graphic>
          </wp:inline>
        </w:drawing>
      </w:r>
    </w:p>
    <w:p w:rsidR="00F6345A" w:rsidRDefault="00F6345A" w:rsidP="00F6345A">
      <w:pPr>
        <w:spacing w:after="0" w:line="240" w:lineRule="auto"/>
        <w:jc w:val="both"/>
        <w:rPr>
          <w:sz w:val="20"/>
          <w:szCs w:val="20"/>
        </w:rPr>
      </w:pPr>
      <w:r w:rsidRPr="00570958">
        <w:rPr>
          <w:b/>
          <w:sz w:val="20"/>
          <w:szCs w:val="20"/>
        </w:rPr>
        <w:t>Fuente</w:t>
      </w:r>
      <w:r w:rsidRPr="00FC3500">
        <w:rPr>
          <w:sz w:val="20"/>
          <w:szCs w:val="20"/>
        </w:rPr>
        <w:t>: INE, DDEA y BCU.</w:t>
      </w:r>
    </w:p>
    <w:p w:rsidR="00F6345A" w:rsidRDefault="00F6345A" w:rsidP="00F6345A">
      <w:pPr>
        <w:jc w:val="both"/>
      </w:pPr>
      <w:r w:rsidRPr="00570958">
        <w:rPr>
          <w:b/>
          <w:sz w:val="20"/>
          <w:szCs w:val="20"/>
        </w:rPr>
        <w:t>Nota</w:t>
      </w:r>
      <w:r w:rsidRPr="00FC3500">
        <w:rPr>
          <w:sz w:val="20"/>
          <w:szCs w:val="20"/>
        </w:rPr>
        <w:t>: Desempleo: % de la población económicamente activa, Crimen total: crímenes contra las personas, la propiedad y sexuales cada 1000 habitantes, Crecimiento PBI: crecimiento anual del Índice de Volumen Físico del PBI.</w:t>
      </w:r>
    </w:p>
    <w:p w:rsidR="00FB4D47" w:rsidRDefault="00FB4D47" w:rsidP="00FB4D47">
      <w:pPr>
        <w:jc w:val="both"/>
      </w:pPr>
      <w:r>
        <w:t xml:space="preserve">Al realizar una descomposición geográfica de las tasas de criminalidad, se comprueba que, en general, la evolución temporal observada a nivel </w:t>
      </w:r>
      <w:r w:rsidR="00291356">
        <w:t>subnacional</w:t>
      </w:r>
      <w:r>
        <w:t xml:space="preserve"> es similar en casi todos los casos a las tendencias descriptas para el país en su totalidad. Más allá de esto existen ciertas heterogeneidades que serán comentadas a continuación.</w:t>
      </w:r>
      <w:r w:rsidR="003866A3">
        <w:rPr>
          <w:rStyle w:val="FootnoteReference"/>
        </w:rPr>
        <w:footnoteReference w:id="7"/>
      </w:r>
      <w:r>
        <w:t xml:space="preserve"> </w:t>
      </w:r>
    </w:p>
    <w:p w:rsidR="00FB4D47" w:rsidRDefault="00FB4D47" w:rsidP="00FB4D47">
      <w:pPr>
        <w:jc w:val="both"/>
      </w:pPr>
      <w:r>
        <w:t>Si miramos las estadísticas por departamentos vemos que con la excepción de Rivera, Rocha y Río Negro, todos los demás departamentos tienen tasas de criminalidad mayores en el año 2010 que las que tenían en el año 1990</w:t>
      </w:r>
      <w:r w:rsidR="00244667">
        <w:t xml:space="preserve"> (Cuadro 2 y </w:t>
      </w:r>
      <w:r w:rsidR="00023F7E">
        <w:t>Figura 1</w:t>
      </w:r>
      <w:r w:rsidR="00244667">
        <w:t>)</w:t>
      </w:r>
      <w:r>
        <w:t>. En algunos departamentos las tasas han llegado casi a cuadriplicarse en</w:t>
      </w:r>
      <w:r w:rsidR="00244667">
        <w:t xml:space="preserve"> el período, como es el caso en los departamentos de </w:t>
      </w:r>
      <w:r>
        <w:t xml:space="preserve">Florida y Paysandú. </w:t>
      </w:r>
    </w:p>
    <w:p w:rsidR="00057B4E" w:rsidRDefault="00057B4E" w:rsidP="00057B4E">
      <w:pPr>
        <w:jc w:val="both"/>
      </w:pPr>
      <w:r>
        <w:t xml:space="preserve">La desagregación por zonas se torna más interesante al observar la composición de los delitos denunciados según la índole de los mismos. Para ello, las divergencias más grandes se encuentran al contrastar los casos de Montevideo, Canelones y Maldonado con el resto del país. </w:t>
      </w:r>
    </w:p>
    <w:p w:rsidR="00107BA8" w:rsidRDefault="00057B4E" w:rsidP="00057B4E">
      <w:pPr>
        <w:spacing w:after="0" w:line="240" w:lineRule="auto"/>
        <w:jc w:val="both"/>
        <w:rPr>
          <w:sz w:val="20"/>
          <w:szCs w:val="20"/>
        </w:rPr>
      </w:pPr>
      <w:r>
        <w:t xml:space="preserve">De esta forma, desagregando el análisis, el Gráfico 3 muestra los perfiles de composición del delito para las dos zonas mencionadas en el año 2010 (año de referencia para el presente </w:t>
      </w:r>
      <w:r>
        <w:lastRenderedPageBreak/>
        <w:t>trabajo). En el mismo, se observa en primer lugar un valor mucho más alto para la ocurrencia total de crímenes en Montevideo, Canelones y Maldonado respecto a la resto del país, con cifras de 61 y 32 personas víctimas de delitos cada mil habitantes respectivamente.</w:t>
      </w:r>
    </w:p>
    <w:tbl>
      <w:tblPr>
        <w:tblW w:w="5940" w:type="dxa"/>
        <w:tblLook w:val="04A0" w:firstRow="1" w:lastRow="0" w:firstColumn="1" w:lastColumn="0" w:noHBand="0" w:noVBand="1"/>
      </w:tblPr>
      <w:tblGrid>
        <w:gridCol w:w="3189"/>
        <w:gridCol w:w="917"/>
        <w:gridCol w:w="917"/>
        <w:gridCol w:w="917"/>
      </w:tblGrid>
      <w:tr w:rsidR="007E1DDC" w:rsidRPr="007E1DDC" w:rsidTr="00EA507E">
        <w:trPr>
          <w:trHeight w:val="336"/>
        </w:trPr>
        <w:tc>
          <w:tcPr>
            <w:tcW w:w="5940" w:type="dxa"/>
            <w:gridSpan w:val="4"/>
            <w:tcBorders>
              <w:top w:val="nil"/>
              <w:left w:val="nil"/>
              <w:bottom w:val="single" w:sz="4" w:space="0" w:color="auto"/>
              <w:right w:val="nil"/>
            </w:tcBorders>
            <w:shd w:val="clear" w:color="auto" w:fill="auto"/>
            <w:vAlign w:val="bottom"/>
            <w:hideMark/>
          </w:tcPr>
          <w:p w:rsidR="009C632B" w:rsidRDefault="009C632B" w:rsidP="00EB67AB">
            <w:pPr>
              <w:spacing w:after="0" w:line="240" w:lineRule="auto"/>
              <w:rPr>
                <w:rFonts w:ascii="Calibri" w:eastAsia="Times New Roman" w:hAnsi="Calibri" w:cs="Calibri"/>
                <w:b/>
                <w:bCs/>
                <w:iCs/>
                <w:color w:val="000000"/>
              </w:rPr>
            </w:pPr>
          </w:p>
          <w:p w:rsidR="007E1DDC" w:rsidRPr="007E1DDC" w:rsidRDefault="004A5586" w:rsidP="00EB67AB">
            <w:pPr>
              <w:spacing w:after="0" w:line="240" w:lineRule="auto"/>
              <w:rPr>
                <w:rFonts w:ascii="Calibri" w:eastAsia="Times New Roman" w:hAnsi="Calibri" w:cs="Calibri"/>
                <w:b/>
                <w:bCs/>
                <w:iCs/>
                <w:color w:val="000000"/>
              </w:rPr>
            </w:pPr>
            <w:r>
              <w:rPr>
                <w:rFonts w:ascii="Calibri" w:eastAsia="Times New Roman" w:hAnsi="Calibri" w:cs="Calibri"/>
                <w:b/>
                <w:bCs/>
                <w:iCs/>
                <w:color w:val="000000"/>
              </w:rPr>
              <w:t xml:space="preserve">Cuadro </w:t>
            </w:r>
            <w:r w:rsidR="00B92ACE">
              <w:rPr>
                <w:rFonts w:ascii="Calibri" w:eastAsia="Times New Roman" w:hAnsi="Calibri" w:cs="Calibri"/>
                <w:b/>
                <w:bCs/>
                <w:iCs/>
                <w:color w:val="000000"/>
              </w:rPr>
              <w:t>2</w:t>
            </w:r>
            <w:r>
              <w:rPr>
                <w:rFonts w:ascii="Calibri" w:eastAsia="Times New Roman" w:hAnsi="Calibri" w:cs="Calibri"/>
                <w:b/>
                <w:bCs/>
                <w:iCs/>
                <w:color w:val="000000"/>
              </w:rPr>
              <w:t xml:space="preserve">. </w:t>
            </w:r>
            <w:r w:rsidR="00FB61DC">
              <w:rPr>
                <w:rFonts w:ascii="Calibri" w:eastAsia="Times New Roman" w:hAnsi="Calibri" w:cs="Calibri"/>
                <w:b/>
                <w:bCs/>
                <w:iCs/>
                <w:color w:val="000000"/>
              </w:rPr>
              <w:t>C</w:t>
            </w:r>
            <w:r w:rsidR="009D1544">
              <w:rPr>
                <w:rFonts w:ascii="Calibri" w:eastAsia="Times New Roman" w:hAnsi="Calibri" w:cs="Calibri"/>
                <w:b/>
                <w:bCs/>
                <w:iCs/>
                <w:color w:val="000000"/>
              </w:rPr>
              <w:t>rí</w:t>
            </w:r>
            <w:r w:rsidR="009D1544" w:rsidRPr="007E1DDC">
              <w:rPr>
                <w:rFonts w:ascii="Calibri" w:eastAsia="Times New Roman" w:hAnsi="Calibri" w:cs="Calibri"/>
                <w:b/>
                <w:bCs/>
                <w:iCs/>
                <w:color w:val="000000"/>
              </w:rPr>
              <w:t>menes</w:t>
            </w:r>
            <w:r w:rsidR="007E1DDC" w:rsidRPr="007E1DDC">
              <w:rPr>
                <w:rFonts w:ascii="Calibri" w:eastAsia="Times New Roman" w:hAnsi="Calibri" w:cs="Calibri"/>
                <w:b/>
                <w:bCs/>
                <w:iCs/>
                <w:color w:val="000000"/>
              </w:rPr>
              <w:t xml:space="preserve"> </w:t>
            </w:r>
            <w:r w:rsidR="00FB61DC">
              <w:rPr>
                <w:rFonts w:ascii="Calibri" w:eastAsia="Times New Roman" w:hAnsi="Calibri" w:cs="Calibri"/>
                <w:b/>
                <w:bCs/>
                <w:iCs/>
                <w:color w:val="000000"/>
              </w:rPr>
              <w:t xml:space="preserve">denunciados </w:t>
            </w:r>
            <w:r w:rsidR="007E1DDC" w:rsidRPr="007E1DDC">
              <w:rPr>
                <w:rFonts w:ascii="Calibri" w:eastAsia="Times New Roman" w:hAnsi="Calibri" w:cs="Calibri"/>
                <w:b/>
                <w:bCs/>
                <w:iCs/>
                <w:color w:val="000000"/>
              </w:rPr>
              <w:t>cada mil habitantes</w:t>
            </w:r>
          </w:p>
        </w:tc>
      </w:tr>
      <w:tr w:rsidR="007E1DDC" w:rsidRPr="00D63D8A" w:rsidTr="00EA507E">
        <w:trPr>
          <w:trHeight w:val="336"/>
        </w:trPr>
        <w:tc>
          <w:tcPr>
            <w:tcW w:w="3189" w:type="dxa"/>
            <w:tcBorders>
              <w:top w:val="single" w:sz="4" w:space="0" w:color="auto"/>
              <w:left w:val="nil"/>
              <w:bottom w:val="single" w:sz="4" w:space="0" w:color="auto"/>
            </w:tcBorders>
            <w:shd w:val="clear" w:color="auto" w:fill="auto"/>
            <w:noWrap/>
            <w:vAlign w:val="bottom"/>
            <w:hideMark/>
          </w:tcPr>
          <w:p w:rsidR="007E1DDC" w:rsidRPr="00D63D8A" w:rsidRDefault="007E1DDC" w:rsidP="007E1DDC">
            <w:pPr>
              <w:spacing w:after="0" w:line="240" w:lineRule="auto"/>
              <w:rPr>
                <w:rFonts w:ascii="Calibri" w:eastAsia="Times New Roman" w:hAnsi="Calibri" w:cs="Calibri"/>
                <w:b/>
                <w:bCs/>
                <w:color w:val="000000"/>
                <w:sz w:val="20"/>
                <w:szCs w:val="20"/>
              </w:rPr>
            </w:pPr>
            <w:r w:rsidRPr="00D63D8A">
              <w:rPr>
                <w:rFonts w:ascii="Calibri" w:eastAsia="Times New Roman" w:hAnsi="Calibri" w:cs="Calibri"/>
                <w:b/>
                <w:bCs/>
                <w:color w:val="000000"/>
                <w:sz w:val="20"/>
                <w:szCs w:val="20"/>
              </w:rPr>
              <w:t>Departamento\Año</w:t>
            </w:r>
          </w:p>
        </w:tc>
        <w:tc>
          <w:tcPr>
            <w:tcW w:w="917" w:type="dxa"/>
            <w:tcBorders>
              <w:top w:val="single" w:sz="4" w:space="0" w:color="auto"/>
              <w:bottom w:val="single" w:sz="4" w:space="0" w:color="auto"/>
            </w:tcBorders>
            <w:shd w:val="clear" w:color="auto" w:fill="auto"/>
            <w:noWrap/>
            <w:vAlign w:val="bottom"/>
            <w:hideMark/>
          </w:tcPr>
          <w:p w:rsidR="007E1DDC" w:rsidRPr="00D63D8A" w:rsidRDefault="007E1DDC" w:rsidP="007E1DDC">
            <w:pPr>
              <w:spacing w:after="0" w:line="240" w:lineRule="auto"/>
              <w:jc w:val="right"/>
              <w:rPr>
                <w:rFonts w:ascii="Calibri" w:eastAsia="Times New Roman" w:hAnsi="Calibri" w:cs="Calibri"/>
                <w:b/>
                <w:bCs/>
                <w:color w:val="000000"/>
                <w:sz w:val="20"/>
                <w:szCs w:val="20"/>
              </w:rPr>
            </w:pPr>
            <w:r w:rsidRPr="00D63D8A">
              <w:rPr>
                <w:rFonts w:ascii="Calibri" w:eastAsia="Times New Roman" w:hAnsi="Calibri" w:cs="Calibri"/>
                <w:b/>
                <w:bCs/>
                <w:color w:val="000000"/>
                <w:sz w:val="20"/>
                <w:szCs w:val="20"/>
              </w:rPr>
              <w:t>1990</w:t>
            </w:r>
          </w:p>
        </w:tc>
        <w:tc>
          <w:tcPr>
            <w:tcW w:w="917" w:type="dxa"/>
            <w:tcBorders>
              <w:top w:val="single" w:sz="4" w:space="0" w:color="auto"/>
              <w:bottom w:val="single" w:sz="4" w:space="0" w:color="auto"/>
            </w:tcBorders>
            <w:shd w:val="clear" w:color="auto" w:fill="auto"/>
            <w:noWrap/>
            <w:vAlign w:val="bottom"/>
            <w:hideMark/>
          </w:tcPr>
          <w:p w:rsidR="007E1DDC" w:rsidRPr="00D63D8A" w:rsidRDefault="007E1DDC" w:rsidP="007E1DDC">
            <w:pPr>
              <w:spacing w:after="0" w:line="240" w:lineRule="auto"/>
              <w:jc w:val="right"/>
              <w:rPr>
                <w:rFonts w:ascii="Calibri" w:eastAsia="Times New Roman" w:hAnsi="Calibri" w:cs="Calibri"/>
                <w:b/>
                <w:bCs/>
                <w:color w:val="000000"/>
                <w:sz w:val="20"/>
                <w:szCs w:val="20"/>
              </w:rPr>
            </w:pPr>
            <w:r w:rsidRPr="00D63D8A">
              <w:rPr>
                <w:rFonts w:ascii="Calibri" w:eastAsia="Times New Roman" w:hAnsi="Calibri" w:cs="Calibri"/>
                <w:b/>
                <w:bCs/>
                <w:color w:val="000000"/>
                <w:sz w:val="20"/>
                <w:szCs w:val="20"/>
              </w:rPr>
              <w:t>2000</w:t>
            </w:r>
          </w:p>
        </w:tc>
        <w:tc>
          <w:tcPr>
            <w:tcW w:w="917" w:type="dxa"/>
            <w:tcBorders>
              <w:top w:val="single" w:sz="4" w:space="0" w:color="auto"/>
              <w:bottom w:val="single" w:sz="4" w:space="0" w:color="auto"/>
              <w:right w:val="nil"/>
            </w:tcBorders>
            <w:shd w:val="clear" w:color="auto" w:fill="auto"/>
            <w:noWrap/>
            <w:vAlign w:val="bottom"/>
            <w:hideMark/>
          </w:tcPr>
          <w:p w:rsidR="007E1DDC" w:rsidRPr="00D63D8A" w:rsidRDefault="007E1DDC" w:rsidP="007E1DDC">
            <w:pPr>
              <w:spacing w:after="0" w:line="240" w:lineRule="auto"/>
              <w:jc w:val="right"/>
              <w:rPr>
                <w:rFonts w:ascii="Calibri" w:eastAsia="Times New Roman" w:hAnsi="Calibri" w:cs="Calibri"/>
                <w:b/>
                <w:bCs/>
                <w:color w:val="000000"/>
                <w:sz w:val="20"/>
                <w:szCs w:val="20"/>
              </w:rPr>
            </w:pPr>
            <w:r w:rsidRPr="00D63D8A">
              <w:rPr>
                <w:rFonts w:ascii="Calibri" w:eastAsia="Times New Roman" w:hAnsi="Calibri" w:cs="Calibri"/>
                <w:b/>
                <w:bCs/>
                <w:color w:val="000000"/>
                <w:sz w:val="20"/>
                <w:szCs w:val="20"/>
              </w:rPr>
              <w:t>2010</w:t>
            </w:r>
          </w:p>
        </w:tc>
      </w:tr>
      <w:tr w:rsidR="007E1DDC" w:rsidRPr="00D63D8A" w:rsidTr="00EA507E">
        <w:trPr>
          <w:trHeight w:val="288"/>
        </w:trPr>
        <w:tc>
          <w:tcPr>
            <w:tcW w:w="3189" w:type="dxa"/>
            <w:tcBorders>
              <w:top w:val="single" w:sz="4" w:space="0" w:color="auto"/>
              <w:left w:val="nil"/>
              <w:bottom w:val="nil"/>
              <w:right w:val="nil"/>
            </w:tcBorders>
            <w:shd w:val="clear" w:color="auto" w:fill="auto"/>
            <w:noWrap/>
            <w:vAlign w:val="bottom"/>
            <w:hideMark/>
          </w:tcPr>
          <w:p w:rsidR="007E1DDC" w:rsidRPr="00D63D8A" w:rsidRDefault="007E1DDC" w:rsidP="007E1DDC">
            <w:pPr>
              <w:spacing w:after="0" w:line="240" w:lineRule="auto"/>
              <w:rPr>
                <w:rFonts w:ascii="Calibri" w:eastAsia="Times New Roman" w:hAnsi="Calibri" w:cs="Calibri"/>
                <w:bCs/>
                <w:color w:val="000000"/>
                <w:sz w:val="20"/>
                <w:szCs w:val="20"/>
              </w:rPr>
            </w:pPr>
            <w:r w:rsidRPr="00D63D8A">
              <w:rPr>
                <w:rFonts w:ascii="Calibri" w:eastAsia="Times New Roman" w:hAnsi="Calibri" w:cs="Calibri"/>
                <w:bCs/>
                <w:color w:val="000000"/>
                <w:sz w:val="20"/>
                <w:szCs w:val="20"/>
              </w:rPr>
              <w:t>Florida</w:t>
            </w:r>
          </w:p>
        </w:tc>
        <w:tc>
          <w:tcPr>
            <w:tcW w:w="917" w:type="dxa"/>
            <w:tcBorders>
              <w:top w:val="single" w:sz="4" w:space="0" w:color="auto"/>
              <w:left w:val="nil"/>
              <w:bottom w:val="nil"/>
              <w:right w:val="nil"/>
            </w:tcBorders>
            <w:shd w:val="clear" w:color="000000" w:fill="66BF7B"/>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7</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64</w:t>
            </w:r>
          </w:p>
        </w:tc>
        <w:tc>
          <w:tcPr>
            <w:tcW w:w="917" w:type="dxa"/>
            <w:tcBorders>
              <w:top w:val="single" w:sz="4" w:space="0" w:color="auto"/>
              <w:left w:val="nil"/>
              <w:bottom w:val="nil"/>
              <w:right w:val="nil"/>
            </w:tcBorders>
            <w:shd w:val="clear" w:color="000000" w:fill="63BE7B"/>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7</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26</w:t>
            </w:r>
          </w:p>
        </w:tc>
        <w:tc>
          <w:tcPr>
            <w:tcW w:w="917" w:type="dxa"/>
            <w:tcBorders>
              <w:top w:val="single" w:sz="4" w:space="0" w:color="auto"/>
              <w:left w:val="nil"/>
              <w:bottom w:val="nil"/>
              <w:right w:val="nil"/>
            </w:tcBorders>
            <w:shd w:val="clear" w:color="000000" w:fill="FFDB81"/>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28</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15</w:t>
            </w:r>
          </w:p>
        </w:tc>
      </w:tr>
      <w:tr w:rsidR="007E1DDC" w:rsidRPr="00D63D8A" w:rsidTr="00EB67AB">
        <w:trPr>
          <w:trHeight w:val="288"/>
        </w:trPr>
        <w:tc>
          <w:tcPr>
            <w:tcW w:w="3189" w:type="dxa"/>
            <w:tcBorders>
              <w:top w:val="nil"/>
              <w:left w:val="nil"/>
              <w:bottom w:val="nil"/>
              <w:right w:val="nil"/>
            </w:tcBorders>
            <w:shd w:val="clear" w:color="auto" w:fill="auto"/>
            <w:noWrap/>
            <w:vAlign w:val="bottom"/>
            <w:hideMark/>
          </w:tcPr>
          <w:p w:rsidR="007E1DDC" w:rsidRPr="00D63D8A" w:rsidRDefault="007E1DDC" w:rsidP="007E1DDC">
            <w:pPr>
              <w:spacing w:after="0" w:line="240" w:lineRule="auto"/>
              <w:rPr>
                <w:rFonts w:ascii="Calibri" w:eastAsia="Times New Roman" w:hAnsi="Calibri" w:cs="Calibri"/>
                <w:bCs/>
                <w:color w:val="000000"/>
                <w:sz w:val="20"/>
                <w:szCs w:val="20"/>
              </w:rPr>
            </w:pPr>
            <w:r w:rsidRPr="00D63D8A">
              <w:rPr>
                <w:rFonts w:ascii="Calibri" w:eastAsia="Times New Roman" w:hAnsi="Calibri" w:cs="Calibri"/>
                <w:bCs/>
                <w:color w:val="000000"/>
                <w:sz w:val="20"/>
                <w:szCs w:val="20"/>
              </w:rPr>
              <w:t>Colonia</w:t>
            </w:r>
          </w:p>
        </w:tc>
        <w:tc>
          <w:tcPr>
            <w:tcW w:w="917" w:type="dxa"/>
            <w:tcBorders>
              <w:top w:val="nil"/>
              <w:left w:val="nil"/>
              <w:bottom w:val="nil"/>
              <w:right w:val="nil"/>
            </w:tcBorders>
            <w:shd w:val="clear" w:color="000000" w:fill="6DC17B"/>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8</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37</w:t>
            </w:r>
          </w:p>
        </w:tc>
        <w:tc>
          <w:tcPr>
            <w:tcW w:w="917" w:type="dxa"/>
            <w:tcBorders>
              <w:top w:val="nil"/>
              <w:left w:val="nil"/>
              <w:bottom w:val="nil"/>
              <w:right w:val="nil"/>
            </w:tcBorders>
            <w:shd w:val="clear" w:color="000000" w:fill="99CD7E"/>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12</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74</w:t>
            </w:r>
          </w:p>
        </w:tc>
        <w:tc>
          <w:tcPr>
            <w:tcW w:w="917" w:type="dxa"/>
            <w:tcBorders>
              <w:top w:val="nil"/>
              <w:left w:val="nil"/>
              <w:bottom w:val="nil"/>
              <w:right w:val="nil"/>
            </w:tcBorders>
            <w:shd w:val="clear" w:color="000000" w:fill="BBD780"/>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16</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25</w:t>
            </w:r>
          </w:p>
        </w:tc>
      </w:tr>
      <w:tr w:rsidR="007E1DDC" w:rsidRPr="00D63D8A" w:rsidTr="00EB67AB">
        <w:trPr>
          <w:trHeight w:val="288"/>
        </w:trPr>
        <w:tc>
          <w:tcPr>
            <w:tcW w:w="3189" w:type="dxa"/>
            <w:tcBorders>
              <w:top w:val="nil"/>
              <w:left w:val="nil"/>
              <w:bottom w:val="nil"/>
              <w:right w:val="nil"/>
            </w:tcBorders>
            <w:shd w:val="clear" w:color="auto" w:fill="auto"/>
            <w:noWrap/>
            <w:vAlign w:val="bottom"/>
            <w:hideMark/>
          </w:tcPr>
          <w:p w:rsidR="007E1DDC" w:rsidRPr="00D63D8A" w:rsidRDefault="007E1DDC" w:rsidP="007E1DDC">
            <w:pPr>
              <w:spacing w:after="0" w:line="240" w:lineRule="auto"/>
              <w:rPr>
                <w:rFonts w:ascii="Calibri" w:eastAsia="Times New Roman" w:hAnsi="Calibri" w:cs="Calibri"/>
                <w:bCs/>
                <w:color w:val="000000"/>
                <w:sz w:val="20"/>
                <w:szCs w:val="20"/>
              </w:rPr>
            </w:pPr>
            <w:r w:rsidRPr="00D63D8A">
              <w:rPr>
                <w:rFonts w:ascii="Calibri" w:eastAsia="Times New Roman" w:hAnsi="Calibri" w:cs="Calibri"/>
                <w:bCs/>
                <w:color w:val="000000"/>
                <w:sz w:val="20"/>
                <w:szCs w:val="20"/>
              </w:rPr>
              <w:t>Salto</w:t>
            </w:r>
          </w:p>
        </w:tc>
        <w:tc>
          <w:tcPr>
            <w:tcW w:w="917" w:type="dxa"/>
            <w:tcBorders>
              <w:top w:val="nil"/>
              <w:left w:val="nil"/>
              <w:bottom w:val="nil"/>
              <w:right w:val="nil"/>
            </w:tcBorders>
            <w:shd w:val="clear" w:color="000000" w:fill="74C37C"/>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9</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05</w:t>
            </w:r>
          </w:p>
        </w:tc>
        <w:tc>
          <w:tcPr>
            <w:tcW w:w="917" w:type="dxa"/>
            <w:tcBorders>
              <w:top w:val="nil"/>
              <w:left w:val="nil"/>
              <w:bottom w:val="nil"/>
              <w:right w:val="nil"/>
            </w:tcBorders>
            <w:shd w:val="clear" w:color="000000" w:fill="EEE683"/>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21</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36</w:t>
            </w:r>
          </w:p>
        </w:tc>
        <w:tc>
          <w:tcPr>
            <w:tcW w:w="917" w:type="dxa"/>
            <w:tcBorders>
              <w:top w:val="nil"/>
              <w:left w:val="nil"/>
              <w:bottom w:val="nil"/>
              <w:right w:val="nil"/>
            </w:tcBorders>
            <w:shd w:val="clear" w:color="000000" w:fill="FECC7E"/>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33</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12</w:t>
            </w:r>
          </w:p>
        </w:tc>
      </w:tr>
      <w:tr w:rsidR="007E1DDC" w:rsidRPr="00D63D8A" w:rsidTr="00EB67AB">
        <w:trPr>
          <w:trHeight w:val="288"/>
        </w:trPr>
        <w:tc>
          <w:tcPr>
            <w:tcW w:w="3189" w:type="dxa"/>
            <w:tcBorders>
              <w:top w:val="nil"/>
              <w:left w:val="nil"/>
              <w:bottom w:val="nil"/>
              <w:right w:val="nil"/>
            </w:tcBorders>
            <w:shd w:val="clear" w:color="auto" w:fill="auto"/>
            <w:noWrap/>
            <w:vAlign w:val="bottom"/>
            <w:hideMark/>
          </w:tcPr>
          <w:p w:rsidR="007E1DDC" w:rsidRPr="00D63D8A" w:rsidRDefault="007E1DDC" w:rsidP="007E1DDC">
            <w:pPr>
              <w:spacing w:after="0" w:line="240" w:lineRule="auto"/>
              <w:rPr>
                <w:rFonts w:ascii="Calibri" w:eastAsia="Times New Roman" w:hAnsi="Calibri" w:cs="Calibri"/>
                <w:bCs/>
                <w:color w:val="000000"/>
                <w:sz w:val="20"/>
                <w:szCs w:val="20"/>
              </w:rPr>
            </w:pPr>
            <w:r w:rsidRPr="00D63D8A">
              <w:rPr>
                <w:rFonts w:ascii="Calibri" w:eastAsia="Times New Roman" w:hAnsi="Calibri" w:cs="Calibri"/>
                <w:bCs/>
                <w:color w:val="000000"/>
                <w:sz w:val="20"/>
                <w:szCs w:val="20"/>
              </w:rPr>
              <w:t>Durazno</w:t>
            </w:r>
          </w:p>
        </w:tc>
        <w:tc>
          <w:tcPr>
            <w:tcW w:w="917" w:type="dxa"/>
            <w:tcBorders>
              <w:top w:val="nil"/>
              <w:left w:val="nil"/>
              <w:bottom w:val="nil"/>
              <w:right w:val="nil"/>
            </w:tcBorders>
            <w:shd w:val="clear" w:color="000000" w:fill="7FC67C"/>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10</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15</w:t>
            </w:r>
          </w:p>
        </w:tc>
        <w:tc>
          <w:tcPr>
            <w:tcW w:w="917" w:type="dxa"/>
            <w:tcBorders>
              <w:top w:val="nil"/>
              <w:left w:val="nil"/>
              <w:bottom w:val="nil"/>
              <w:right w:val="nil"/>
            </w:tcBorders>
            <w:shd w:val="clear" w:color="000000" w:fill="D1DD81"/>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18</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42</w:t>
            </w:r>
          </w:p>
        </w:tc>
        <w:tc>
          <w:tcPr>
            <w:tcW w:w="917" w:type="dxa"/>
            <w:tcBorders>
              <w:top w:val="nil"/>
              <w:left w:val="nil"/>
              <w:bottom w:val="nil"/>
              <w:right w:val="nil"/>
            </w:tcBorders>
            <w:shd w:val="clear" w:color="000000" w:fill="FEC97E"/>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33</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92</w:t>
            </w:r>
          </w:p>
        </w:tc>
      </w:tr>
      <w:tr w:rsidR="007E1DDC" w:rsidRPr="00D63D8A" w:rsidTr="00EB67AB">
        <w:trPr>
          <w:trHeight w:val="288"/>
        </w:trPr>
        <w:tc>
          <w:tcPr>
            <w:tcW w:w="3189" w:type="dxa"/>
            <w:tcBorders>
              <w:top w:val="nil"/>
              <w:left w:val="nil"/>
              <w:bottom w:val="nil"/>
              <w:right w:val="nil"/>
            </w:tcBorders>
            <w:shd w:val="clear" w:color="auto" w:fill="auto"/>
            <w:noWrap/>
            <w:vAlign w:val="bottom"/>
            <w:hideMark/>
          </w:tcPr>
          <w:p w:rsidR="007E1DDC" w:rsidRPr="00D63D8A" w:rsidRDefault="007E1DDC" w:rsidP="007E1DDC">
            <w:pPr>
              <w:spacing w:after="0" w:line="240" w:lineRule="auto"/>
              <w:rPr>
                <w:rFonts w:ascii="Calibri" w:eastAsia="Times New Roman" w:hAnsi="Calibri" w:cs="Calibri"/>
                <w:bCs/>
                <w:color w:val="000000"/>
                <w:sz w:val="20"/>
                <w:szCs w:val="20"/>
              </w:rPr>
            </w:pPr>
            <w:r w:rsidRPr="00D63D8A">
              <w:rPr>
                <w:rFonts w:ascii="Calibri" w:eastAsia="Times New Roman" w:hAnsi="Calibri" w:cs="Calibri"/>
                <w:bCs/>
                <w:color w:val="000000"/>
                <w:sz w:val="20"/>
                <w:szCs w:val="20"/>
              </w:rPr>
              <w:t>San José</w:t>
            </w:r>
          </w:p>
        </w:tc>
        <w:tc>
          <w:tcPr>
            <w:tcW w:w="917" w:type="dxa"/>
            <w:tcBorders>
              <w:top w:val="nil"/>
              <w:left w:val="nil"/>
              <w:bottom w:val="nil"/>
              <w:right w:val="nil"/>
            </w:tcBorders>
            <w:shd w:val="clear" w:color="000000" w:fill="98CD7E"/>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12</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72</w:t>
            </w:r>
          </w:p>
        </w:tc>
        <w:tc>
          <w:tcPr>
            <w:tcW w:w="917" w:type="dxa"/>
            <w:tcBorders>
              <w:top w:val="nil"/>
              <w:left w:val="nil"/>
              <w:bottom w:val="nil"/>
              <w:right w:val="nil"/>
            </w:tcBorders>
            <w:shd w:val="clear" w:color="000000" w:fill="BDD880"/>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16</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40</w:t>
            </w:r>
          </w:p>
        </w:tc>
        <w:tc>
          <w:tcPr>
            <w:tcW w:w="917" w:type="dxa"/>
            <w:tcBorders>
              <w:top w:val="nil"/>
              <w:left w:val="nil"/>
              <w:bottom w:val="nil"/>
              <w:right w:val="nil"/>
            </w:tcBorders>
            <w:shd w:val="clear" w:color="000000" w:fill="FECE7F"/>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32</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56</w:t>
            </w:r>
          </w:p>
        </w:tc>
      </w:tr>
      <w:tr w:rsidR="007E1DDC" w:rsidRPr="00D63D8A" w:rsidTr="00EB67AB">
        <w:trPr>
          <w:trHeight w:val="288"/>
        </w:trPr>
        <w:tc>
          <w:tcPr>
            <w:tcW w:w="3189" w:type="dxa"/>
            <w:tcBorders>
              <w:top w:val="nil"/>
              <w:left w:val="nil"/>
              <w:bottom w:val="nil"/>
              <w:right w:val="nil"/>
            </w:tcBorders>
            <w:shd w:val="clear" w:color="auto" w:fill="auto"/>
            <w:noWrap/>
            <w:vAlign w:val="bottom"/>
            <w:hideMark/>
          </w:tcPr>
          <w:p w:rsidR="007E1DDC" w:rsidRPr="00D63D8A" w:rsidRDefault="007E1DDC" w:rsidP="007E1DDC">
            <w:pPr>
              <w:spacing w:after="0" w:line="240" w:lineRule="auto"/>
              <w:rPr>
                <w:rFonts w:ascii="Calibri" w:eastAsia="Times New Roman" w:hAnsi="Calibri" w:cs="Calibri"/>
                <w:bCs/>
                <w:color w:val="000000"/>
                <w:sz w:val="20"/>
                <w:szCs w:val="20"/>
              </w:rPr>
            </w:pPr>
            <w:r w:rsidRPr="00D63D8A">
              <w:rPr>
                <w:rFonts w:ascii="Calibri" w:eastAsia="Times New Roman" w:hAnsi="Calibri" w:cs="Calibri"/>
                <w:bCs/>
                <w:color w:val="000000"/>
                <w:sz w:val="20"/>
                <w:szCs w:val="20"/>
              </w:rPr>
              <w:t>Treinta y Tres</w:t>
            </w:r>
          </w:p>
        </w:tc>
        <w:tc>
          <w:tcPr>
            <w:tcW w:w="917" w:type="dxa"/>
            <w:tcBorders>
              <w:top w:val="nil"/>
              <w:left w:val="nil"/>
              <w:bottom w:val="nil"/>
              <w:right w:val="nil"/>
            </w:tcBorders>
            <w:shd w:val="clear" w:color="000000" w:fill="A9D27F"/>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14</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38</w:t>
            </w:r>
          </w:p>
        </w:tc>
        <w:tc>
          <w:tcPr>
            <w:tcW w:w="917" w:type="dxa"/>
            <w:tcBorders>
              <w:top w:val="nil"/>
              <w:left w:val="nil"/>
              <w:bottom w:val="nil"/>
              <w:right w:val="nil"/>
            </w:tcBorders>
            <w:shd w:val="clear" w:color="000000" w:fill="B2D57F"/>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15</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35</w:t>
            </w:r>
          </w:p>
        </w:tc>
        <w:tc>
          <w:tcPr>
            <w:tcW w:w="917" w:type="dxa"/>
            <w:tcBorders>
              <w:top w:val="nil"/>
              <w:left w:val="nil"/>
              <w:bottom w:val="nil"/>
              <w:right w:val="nil"/>
            </w:tcBorders>
            <w:shd w:val="clear" w:color="000000" w:fill="FCA877"/>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44</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59</w:t>
            </w:r>
          </w:p>
        </w:tc>
      </w:tr>
      <w:tr w:rsidR="007E1DDC" w:rsidRPr="00D63D8A" w:rsidTr="00EB67AB">
        <w:trPr>
          <w:trHeight w:val="288"/>
        </w:trPr>
        <w:tc>
          <w:tcPr>
            <w:tcW w:w="3189" w:type="dxa"/>
            <w:tcBorders>
              <w:top w:val="nil"/>
              <w:left w:val="nil"/>
              <w:bottom w:val="nil"/>
              <w:right w:val="nil"/>
            </w:tcBorders>
            <w:shd w:val="clear" w:color="auto" w:fill="auto"/>
            <w:noWrap/>
            <w:vAlign w:val="bottom"/>
            <w:hideMark/>
          </w:tcPr>
          <w:p w:rsidR="007E1DDC" w:rsidRPr="00D63D8A" w:rsidRDefault="007E1DDC" w:rsidP="007E1DDC">
            <w:pPr>
              <w:spacing w:after="0" w:line="240" w:lineRule="auto"/>
              <w:rPr>
                <w:rFonts w:ascii="Calibri" w:eastAsia="Times New Roman" w:hAnsi="Calibri" w:cs="Calibri"/>
                <w:bCs/>
                <w:color w:val="000000"/>
                <w:sz w:val="20"/>
                <w:szCs w:val="20"/>
              </w:rPr>
            </w:pPr>
            <w:r w:rsidRPr="00D63D8A">
              <w:rPr>
                <w:rFonts w:ascii="Calibri" w:eastAsia="Times New Roman" w:hAnsi="Calibri" w:cs="Calibri"/>
                <w:bCs/>
                <w:color w:val="000000"/>
                <w:sz w:val="20"/>
                <w:szCs w:val="20"/>
              </w:rPr>
              <w:t>Cerro Largo</w:t>
            </w:r>
          </w:p>
        </w:tc>
        <w:tc>
          <w:tcPr>
            <w:tcW w:w="917" w:type="dxa"/>
            <w:tcBorders>
              <w:top w:val="nil"/>
              <w:left w:val="nil"/>
              <w:bottom w:val="nil"/>
              <w:right w:val="nil"/>
            </w:tcBorders>
            <w:shd w:val="clear" w:color="000000" w:fill="B1D47F"/>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15</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19</w:t>
            </w:r>
          </w:p>
        </w:tc>
        <w:tc>
          <w:tcPr>
            <w:tcW w:w="917" w:type="dxa"/>
            <w:tcBorders>
              <w:top w:val="nil"/>
              <w:left w:val="nil"/>
              <w:bottom w:val="nil"/>
              <w:right w:val="nil"/>
            </w:tcBorders>
            <w:shd w:val="clear" w:color="000000" w:fill="DFE182"/>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19</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82</w:t>
            </w:r>
          </w:p>
        </w:tc>
        <w:tc>
          <w:tcPr>
            <w:tcW w:w="917" w:type="dxa"/>
            <w:tcBorders>
              <w:top w:val="nil"/>
              <w:left w:val="nil"/>
              <w:bottom w:val="nil"/>
              <w:right w:val="nil"/>
            </w:tcBorders>
            <w:shd w:val="clear" w:color="000000" w:fill="D0DD81"/>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18</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30</w:t>
            </w:r>
          </w:p>
        </w:tc>
      </w:tr>
      <w:tr w:rsidR="007E1DDC" w:rsidRPr="00D63D8A" w:rsidTr="00EB67AB">
        <w:trPr>
          <w:trHeight w:val="288"/>
        </w:trPr>
        <w:tc>
          <w:tcPr>
            <w:tcW w:w="3189" w:type="dxa"/>
            <w:tcBorders>
              <w:top w:val="nil"/>
              <w:left w:val="nil"/>
              <w:bottom w:val="nil"/>
              <w:right w:val="nil"/>
            </w:tcBorders>
            <w:shd w:val="clear" w:color="auto" w:fill="auto"/>
            <w:noWrap/>
            <w:vAlign w:val="bottom"/>
            <w:hideMark/>
          </w:tcPr>
          <w:p w:rsidR="007E1DDC" w:rsidRPr="00D63D8A" w:rsidRDefault="007E1DDC" w:rsidP="007E1DDC">
            <w:pPr>
              <w:spacing w:after="0" w:line="240" w:lineRule="auto"/>
              <w:rPr>
                <w:rFonts w:ascii="Calibri" w:eastAsia="Times New Roman" w:hAnsi="Calibri" w:cs="Calibri"/>
                <w:bCs/>
                <w:color w:val="000000"/>
                <w:sz w:val="20"/>
                <w:szCs w:val="20"/>
              </w:rPr>
            </w:pPr>
            <w:r w:rsidRPr="00D63D8A">
              <w:rPr>
                <w:rFonts w:ascii="Calibri" w:eastAsia="Times New Roman" w:hAnsi="Calibri" w:cs="Calibri"/>
                <w:bCs/>
                <w:color w:val="000000"/>
                <w:sz w:val="20"/>
                <w:szCs w:val="20"/>
              </w:rPr>
              <w:t>Paysandú</w:t>
            </w:r>
          </w:p>
        </w:tc>
        <w:tc>
          <w:tcPr>
            <w:tcW w:w="917" w:type="dxa"/>
            <w:tcBorders>
              <w:top w:val="nil"/>
              <w:left w:val="nil"/>
              <w:bottom w:val="nil"/>
              <w:right w:val="nil"/>
            </w:tcBorders>
            <w:shd w:val="clear" w:color="000000" w:fill="B3D57F"/>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15</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44</w:t>
            </w:r>
          </w:p>
        </w:tc>
        <w:tc>
          <w:tcPr>
            <w:tcW w:w="917" w:type="dxa"/>
            <w:tcBorders>
              <w:top w:val="nil"/>
              <w:left w:val="nil"/>
              <w:bottom w:val="nil"/>
              <w:right w:val="nil"/>
            </w:tcBorders>
            <w:shd w:val="clear" w:color="000000" w:fill="D0DD81"/>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18</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36</w:t>
            </w:r>
          </w:p>
        </w:tc>
        <w:tc>
          <w:tcPr>
            <w:tcW w:w="917" w:type="dxa"/>
            <w:tcBorders>
              <w:top w:val="nil"/>
              <w:left w:val="nil"/>
              <w:bottom w:val="nil"/>
              <w:right w:val="nil"/>
            </w:tcBorders>
            <w:shd w:val="clear" w:color="000000" w:fill="FB9E76"/>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47</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82</w:t>
            </w:r>
          </w:p>
        </w:tc>
      </w:tr>
      <w:tr w:rsidR="007E1DDC" w:rsidRPr="00D63D8A" w:rsidTr="00EB67AB">
        <w:trPr>
          <w:trHeight w:val="288"/>
        </w:trPr>
        <w:tc>
          <w:tcPr>
            <w:tcW w:w="3189" w:type="dxa"/>
            <w:tcBorders>
              <w:top w:val="nil"/>
              <w:left w:val="nil"/>
              <w:bottom w:val="nil"/>
              <w:right w:val="nil"/>
            </w:tcBorders>
            <w:shd w:val="clear" w:color="auto" w:fill="auto"/>
            <w:noWrap/>
            <w:vAlign w:val="bottom"/>
            <w:hideMark/>
          </w:tcPr>
          <w:p w:rsidR="007E1DDC" w:rsidRPr="00D63D8A" w:rsidRDefault="007E1DDC" w:rsidP="007E1DDC">
            <w:pPr>
              <w:spacing w:after="0" w:line="240" w:lineRule="auto"/>
              <w:rPr>
                <w:rFonts w:ascii="Calibri" w:eastAsia="Times New Roman" w:hAnsi="Calibri" w:cs="Calibri"/>
                <w:bCs/>
                <w:color w:val="000000"/>
                <w:sz w:val="20"/>
                <w:szCs w:val="20"/>
              </w:rPr>
            </w:pPr>
            <w:r w:rsidRPr="00D63D8A">
              <w:rPr>
                <w:rFonts w:ascii="Calibri" w:eastAsia="Times New Roman" w:hAnsi="Calibri" w:cs="Calibri"/>
                <w:bCs/>
                <w:color w:val="000000"/>
                <w:sz w:val="20"/>
                <w:szCs w:val="20"/>
              </w:rPr>
              <w:t>Artigas</w:t>
            </w:r>
          </w:p>
        </w:tc>
        <w:tc>
          <w:tcPr>
            <w:tcW w:w="917" w:type="dxa"/>
            <w:tcBorders>
              <w:top w:val="nil"/>
              <w:left w:val="nil"/>
              <w:bottom w:val="nil"/>
              <w:right w:val="nil"/>
            </w:tcBorders>
            <w:shd w:val="clear" w:color="000000" w:fill="BED880"/>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16</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57</w:t>
            </w:r>
          </w:p>
        </w:tc>
        <w:tc>
          <w:tcPr>
            <w:tcW w:w="917" w:type="dxa"/>
            <w:tcBorders>
              <w:top w:val="nil"/>
              <w:left w:val="nil"/>
              <w:bottom w:val="nil"/>
              <w:right w:val="nil"/>
            </w:tcBorders>
            <w:shd w:val="clear" w:color="000000" w:fill="9BCE7E"/>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12</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95</w:t>
            </w:r>
          </w:p>
        </w:tc>
        <w:tc>
          <w:tcPr>
            <w:tcW w:w="917" w:type="dxa"/>
            <w:tcBorders>
              <w:top w:val="nil"/>
              <w:left w:val="nil"/>
              <w:bottom w:val="nil"/>
              <w:right w:val="nil"/>
            </w:tcBorders>
            <w:shd w:val="clear" w:color="000000" w:fill="FFD981"/>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28</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81</w:t>
            </w:r>
          </w:p>
        </w:tc>
      </w:tr>
      <w:tr w:rsidR="007E1DDC" w:rsidRPr="00D63D8A" w:rsidTr="00EB67AB">
        <w:trPr>
          <w:trHeight w:val="288"/>
        </w:trPr>
        <w:tc>
          <w:tcPr>
            <w:tcW w:w="3189" w:type="dxa"/>
            <w:tcBorders>
              <w:top w:val="nil"/>
              <w:left w:val="nil"/>
              <w:bottom w:val="nil"/>
              <w:right w:val="nil"/>
            </w:tcBorders>
            <w:shd w:val="clear" w:color="auto" w:fill="auto"/>
            <w:noWrap/>
            <w:vAlign w:val="bottom"/>
            <w:hideMark/>
          </w:tcPr>
          <w:p w:rsidR="007E1DDC" w:rsidRPr="00D63D8A" w:rsidRDefault="007E1DDC" w:rsidP="007E1DDC">
            <w:pPr>
              <w:spacing w:after="0" w:line="240" w:lineRule="auto"/>
              <w:rPr>
                <w:rFonts w:ascii="Calibri" w:eastAsia="Times New Roman" w:hAnsi="Calibri" w:cs="Calibri"/>
                <w:bCs/>
                <w:color w:val="000000"/>
                <w:sz w:val="20"/>
                <w:szCs w:val="20"/>
              </w:rPr>
            </w:pPr>
            <w:r w:rsidRPr="00D63D8A">
              <w:rPr>
                <w:rFonts w:ascii="Calibri" w:eastAsia="Times New Roman" w:hAnsi="Calibri" w:cs="Calibri"/>
                <w:bCs/>
                <w:color w:val="000000"/>
                <w:sz w:val="20"/>
                <w:szCs w:val="20"/>
              </w:rPr>
              <w:t>Lavalleja</w:t>
            </w:r>
          </w:p>
        </w:tc>
        <w:tc>
          <w:tcPr>
            <w:tcW w:w="917" w:type="dxa"/>
            <w:tcBorders>
              <w:top w:val="nil"/>
              <w:left w:val="nil"/>
              <w:bottom w:val="nil"/>
              <w:right w:val="nil"/>
            </w:tcBorders>
            <w:shd w:val="clear" w:color="000000" w:fill="D5DF81"/>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18</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88</w:t>
            </w:r>
          </w:p>
        </w:tc>
        <w:tc>
          <w:tcPr>
            <w:tcW w:w="917" w:type="dxa"/>
            <w:tcBorders>
              <w:top w:val="nil"/>
              <w:left w:val="nil"/>
              <w:bottom w:val="nil"/>
              <w:right w:val="nil"/>
            </w:tcBorders>
            <w:shd w:val="clear" w:color="000000" w:fill="ACD37F"/>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14</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74</w:t>
            </w:r>
          </w:p>
        </w:tc>
        <w:tc>
          <w:tcPr>
            <w:tcW w:w="917" w:type="dxa"/>
            <w:tcBorders>
              <w:top w:val="nil"/>
              <w:left w:val="nil"/>
              <w:bottom w:val="nil"/>
              <w:right w:val="nil"/>
            </w:tcBorders>
            <w:shd w:val="clear" w:color="000000" w:fill="FECD7F"/>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32</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68</w:t>
            </w:r>
          </w:p>
        </w:tc>
      </w:tr>
      <w:tr w:rsidR="007E1DDC" w:rsidRPr="00D63D8A" w:rsidTr="00EB67AB">
        <w:trPr>
          <w:trHeight w:val="288"/>
        </w:trPr>
        <w:tc>
          <w:tcPr>
            <w:tcW w:w="3189" w:type="dxa"/>
            <w:tcBorders>
              <w:top w:val="nil"/>
              <w:left w:val="nil"/>
              <w:bottom w:val="nil"/>
              <w:right w:val="nil"/>
            </w:tcBorders>
            <w:shd w:val="clear" w:color="auto" w:fill="auto"/>
            <w:noWrap/>
            <w:vAlign w:val="bottom"/>
            <w:hideMark/>
          </w:tcPr>
          <w:p w:rsidR="007E1DDC" w:rsidRPr="00D63D8A" w:rsidRDefault="007E1DDC" w:rsidP="007E1DDC">
            <w:pPr>
              <w:spacing w:after="0" w:line="240" w:lineRule="auto"/>
              <w:rPr>
                <w:rFonts w:ascii="Calibri" w:eastAsia="Times New Roman" w:hAnsi="Calibri" w:cs="Calibri"/>
                <w:bCs/>
                <w:color w:val="000000"/>
                <w:sz w:val="20"/>
                <w:szCs w:val="20"/>
              </w:rPr>
            </w:pPr>
            <w:r w:rsidRPr="00D63D8A">
              <w:rPr>
                <w:rFonts w:ascii="Calibri" w:eastAsia="Times New Roman" w:hAnsi="Calibri" w:cs="Calibri"/>
                <w:bCs/>
                <w:color w:val="000000"/>
                <w:sz w:val="20"/>
                <w:szCs w:val="20"/>
              </w:rPr>
              <w:t>Flores</w:t>
            </w:r>
          </w:p>
        </w:tc>
        <w:tc>
          <w:tcPr>
            <w:tcW w:w="917" w:type="dxa"/>
            <w:tcBorders>
              <w:top w:val="nil"/>
              <w:left w:val="nil"/>
              <w:bottom w:val="nil"/>
              <w:right w:val="nil"/>
            </w:tcBorders>
            <w:shd w:val="clear" w:color="000000" w:fill="E0E282"/>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19</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98</w:t>
            </w:r>
          </w:p>
        </w:tc>
        <w:tc>
          <w:tcPr>
            <w:tcW w:w="917" w:type="dxa"/>
            <w:tcBorders>
              <w:top w:val="nil"/>
              <w:left w:val="nil"/>
              <w:bottom w:val="nil"/>
              <w:right w:val="nil"/>
            </w:tcBorders>
            <w:shd w:val="clear" w:color="000000" w:fill="FFE583"/>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24</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97</w:t>
            </w:r>
          </w:p>
        </w:tc>
        <w:tc>
          <w:tcPr>
            <w:tcW w:w="917" w:type="dxa"/>
            <w:tcBorders>
              <w:top w:val="nil"/>
              <w:left w:val="nil"/>
              <w:bottom w:val="nil"/>
              <w:right w:val="nil"/>
            </w:tcBorders>
            <w:shd w:val="clear" w:color="000000" w:fill="FB9A75"/>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48</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98</w:t>
            </w:r>
          </w:p>
        </w:tc>
      </w:tr>
      <w:tr w:rsidR="007E1DDC" w:rsidRPr="00D63D8A" w:rsidTr="00EB67AB">
        <w:trPr>
          <w:trHeight w:val="288"/>
        </w:trPr>
        <w:tc>
          <w:tcPr>
            <w:tcW w:w="3189" w:type="dxa"/>
            <w:tcBorders>
              <w:top w:val="nil"/>
              <w:left w:val="nil"/>
              <w:bottom w:val="nil"/>
              <w:right w:val="nil"/>
            </w:tcBorders>
            <w:shd w:val="clear" w:color="auto" w:fill="auto"/>
            <w:noWrap/>
            <w:vAlign w:val="bottom"/>
            <w:hideMark/>
          </w:tcPr>
          <w:p w:rsidR="007E1DDC" w:rsidRPr="00D63D8A" w:rsidRDefault="007E1DDC" w:rsidP="007E1DDC">
            <w:pPr>
              <w:spacing w:after="0" w:line="240" w:lineRule="auto"/>
              <w:rPr>
                <w:rFonts w:ascii="Calibri" w:eastAsia="Times New Roman" w:hAnsi="Calibri" w:cs="Calibri"/>
                <w:bCs/>
                <w:color w:val="000000"/>
                <w:sz w:val="20"/>
                <w:szCs w:val="20"/>
              </w:rPr>
            </w:pPr>
            <w:r w:rsidRPr="00D63D8A">
              <w:rPr>
                <w:rFonts w:ascii="Calibri" w:eastAsia="Times New Roman" w:hAnsi="Calibri" w:cs="Calibri"/>
                <w:bCs/>
                <w:color w:val="000000"/>
                <w:sz w:val="20"/>
                <w:szCs w:val="20"/>
              </w:rPr>
              <w:t>Rivera</w:t>
            </w:r>
          </w:p>
        </w:tc>
        <w:tc>
          <w:tcPr>
            <w:tcW w:w="917" w:type="dxa"/>
            <w:tcBorders>
              <w:top w:val="nil"/>
              <w:left w:val="nil"/>
              <w:bottom w:val="nil"/>
              <w:right w:val="nil"/>
            </w:tcBorders>
            <w:shd w:val="clear" w:color="000000" w:fill="FBE983"/>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22</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67</w:t>
            </w:r>
          </w:p>
        </w:tc>
        <w:tc>
          <w:tcPr>
            <w:tcW w:w="917" w:type="dxa"/>
            <w:tcBorders>
              <w:top w:val="nil"/>
              <w:left w:val="nil"/>
              <w:bottom w:val="nil"/>
              <w:right w:val="nil"/>
            </w:tcBorders>
            <w:shd w:val="clear" w:color="000000" w:fill="DEE182"/>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19</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80</w:t>
            </w:r>
          </w:p>
        </w:tc>
        <w:tc>
          <w:tcPr>
            <w:tcW w:w="917" w:type="dxa"/>
            <w:tcBorders>
              <w:top w:val="nil"/>
              <w:left w:val="nil"/>
              <w:bottom w:val="nil"/>
              <w:right w:val="nil"/>
            </w:tcBorders>
            <w:shd w:val="clear" w:color="000000" w:fill="CBDC81"/>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17</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79</w:t>
            </w:r>
          </w:p>
        </w:tc>
      </w:tr>
      <w:tr w:rsidR="007E1DDC" w:rsidRPr="00D63D8A" w:rsidTr="00EB67AB">
        <w:trPr>
          <w:trHeight w:val="288"/>
        </w:trPr>
        <w:tc>
          <w:tcPr>
            <w:tcW w:w="3189" w:type="dxa"/>
            <w:tcBorders>
              <w:top w:val="nil"/>
              <w:left w:val="nil"/>
              <w:bottom w:val="nil"/>
              <w:right w:val="nil"/>
            </w:tcBorders>
            <w:shd w:val="clear" w:color="auto" w:fill="auto"/>
            <w:noWrap/>
            <w:vAlign w:val="bottom"/>
            <w:hideMark/>
          </w:tcPr>
          <w:p w:rsidR="007E1DDC" w:rsidRPr="00D63D8A" w:rsidRDefault="007E1DDC" w:rsidP="007E1DDC">
            <w:pPr>
              <w:spacing w:after="0" w:line="240" w:lineRule="auto"/>
              <w:rPr>
                <w:rFonts w:ascii="Calibri" w:eastAsia="Times New Roman" w:hAnsi="Calibri" w:cs="Calibri"/>
                <w:bCs/>
                <w:color w:val="000000"/>
                <w:sz w:val="20"/>
                <w:szCs w:val="20"/>
              </w:rPr>
            </w:pPr>
            <w:r w:rsidRPr="00D63D8A">
              <w:rPr>
                <w:rFonts w:ascii="Calibri" w:eastAsia="Times New Roman" w:hAnsi="Calibri" w:cs="Calibri"/>
                <w:bCs/>
                <w:color w:val="000000"/>
                <w:sz w:val="20"/>
                <w:szCs w:val="20"/>
              </w:rPr>
              <w:t>Rocha</w:t>
            </w:r>
          </w:p>
        </w:tc>
        <w:tc>
          <w:tcPr>
            <w:tcW w:w="917" w:type="dxa"/>
            <w:tcBorders>
              <w:top w:val="nil"/>
              <w:left w:val="nil"/>
              <w:bottom w:val="nil"/>
              <w:right w:val="nil"/>
            </w:tcBorders>
            <w:shd w:val="clear" w:color="000000" w:fill="FFEB84"/>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23</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05</w:t>
            </w:r>
          </w:p>
        </w:tc>
        <w:tc>
          <w:tcPr>
            <w:tcW w:w="917" w:type="dxa"/>
            <w:tcBorders>
              <w:top w:val="nil"/>
              <w:left w:val="nil"/>
              <w:bottom w:val="nil"/>
              <w:right w:val="nil"/>
            </w:tcBorders>
            <w:shd w:val="clear" w:color="000000" w:fill="EAE482"/>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20</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94</w:t>
            </w:r>
          </w:p>
        </w:tc>
        <w:tc>
          <w:tcPr>
            <w:tcW w:w="917" w:type="dxa"/>
            <w:tcBorders>
              <w:top w:val="nil"/>
              <w:left w:val="nil"/>
              <w:bottom w:val="nil"/>
              <w:right w:val="nil"/>
            </w:tcBorders>
            <w:shd w:val="clear" w:color="000000" w:fill="E6E382"/>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20</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53</w:t>
            </w:r>
          </w:p>
        </w:tc>
      </w:tr>
      <w:tr w:rsidR="007E1DDC" w:rsidRPr="00D63D8A" w:rsidTr="00EB67AB">
        <w:trPr>
          <w:trHeight w:val="288"/>
        </w:trPr>
        <w:tc>
          <w:tcPr>
            <w:tcW w:w="3189" w:type="dxa"/>
            <w:tcBorders>
              <w:top w:val="nil"/>
              <w:left w:val="nil"/>
              <w:bottom w:val="nil"/>
              <w:right w:val="nil"/>
            </w:tcBorders>
            <w:shd w:val="clear" w:color="auto" w:fill="auto"/>
            <w:noWrap/>
            <w:vAlign w:val="bottom"/>
            <w:hideMark/>
          </w:tcPr>
          <w:p w:rsidR="007E1DDC" w:rsidRPr="00D63D8A" w:rsidRDefault="007E1DDC" w:rsidP="007E1DDC">
            <w:pPr>
              <w:spacing w:after="0" w:line="240" w:lineRule="auto"/>
              <w:rPr>
                <w:rFonts w:ascii="Calibri" w:eastAsia="Times New Roman" w:hAnsi="Calibri" w:cs="Calibri"/>
                <w:bCs/>
                <w:color w:val="000000"/>
                <w:sz w:val="20"/>
                <w:szCs w:val="20"/>
              </w:rPr>
            </w:pPr>
            <w:r w:rsidRPr="00D63D8A">
              <w:rPr>
                <w:rFonts w:ascii="Calibri" w:eastAsia="Times New Roman" w:hAnsi="Calibri" w:cs="Calibri"/>
                <w:bCs/>
                <w:color w:val="000000"/>
                <w:sz w:val="20"/>
                <w:szCs w:val="20"/>
              </w:rPr>
              <w:t>Soriano</w:t>
            </w:r>
          </w:p>
        </w:tc>
        <w:tc>
          <w:tcPr>
            <w:tcW w:w="917" w:type="dxa"/>
            <w:tcBorders>
              <w:top w:val="nil"/>
              <w:left w:val="nil"/>
              <w:bottom w:val="nil"/>
              <w:right w:val="nil"/>
            </w:tcBorders>
            <w:shd w:val="clear" w:color="000000" w:fill="FFE984"/>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23</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77</w:t>
            </w:r>
          </w:p>
        </w:tc>
        <w:tc>
          <w:tcPr>
            <w:tcW w:w="917" w:type="dxa"/>
            <w:tcBorders>
              <w:top w:val="nil"/>
              <w:left w:val="nil"/>
              <w:bottom w:val="nil"/>
              <w:right w:val="nil"/>
            </w:tcBorders>
            <w:shd w:val="clear" w:color="000000" w:fill="FEC97E"/>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34</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09</w:t>
            </w:r>
          </w:p>
        </w:tc>
        <w:tc>
          <w:tcPr>
            <w:tcW w:w="917" w:type="dxa"/>
            <w:tcBorders>
              <w:top w:val="nil"/>
              <w:left w:val="nil"/>
              <w:bottom w:val="nil"/>
              <w:right w:val="nil"/>
            </w:tcBorders>
            <w:shd w:val="clear" w:color="000000" w:fill="FB9874"/>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49</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52</w:t>
            </w:r>
          </w:p>
        </w:tc>
      </w:tr>
      <w:tr w:rsidR="007E1DDC" w:rsidRPr="00D63D8A" w:rsidTr="00EB67AB">
        <w:trPr>
          <w:trHeight w:val="288"/>
        </w:trPr>
        <w:tc>
          <w:tcPr>
            <w:tcW w:w="3189" w:type="dxa"/>
            <w:tcBorders>
              <w:top w:val="nil"/>
              <w:left w:val="nil"/>
              <w:bottom w:val="nil"/>
              <w:right w:val="nil"/>
            </w:tcBorders>
            <w:shd w:val="clear" w:color="auto" w:fill="auto"/>
            <w:noWrap/>
            <w:vAlign w:val="bottom"/>
            <w:hideMark/>
          </w:tcPr>
          <w:p w:rsidR="007E1DDC" w:rsidRPr="00D63D8A" w:rsidRDefault="007E1DDC" w:rsidP="007E1DDC">
            <w:pPr>
              <w:spacing w:after="0" w:line="240" w:lineRule="auto"/>
              <w:rPr>
                <w:rFonts w:ascii="Calibri" w:eastAsia="Times New Roman" w:hAnsi="Calibri" w:cs="Calibri"/>
                <w:bCs/>
                <w:color w:val="000000"/>
                <w:sz w:val="20"/>
                <w:szCs w:val="20"/>
              </w:rPr>
            </w:pPr>
            <w:r w:rsidRPr="00D63D8A">
              <w:rPr>
                <w:rFonts w:ascii="Calibri" w:eastAsia="Times New Roman" w:hAnsi="Calibri" w:cs="Calibri"/>
                <w:bCs/>
                <w:color w:val="000000"/>
                <w:sz w:val="20"/>
                <w:szCs w:val="20"/>
              </w:rPr>
              <w:t>Tacuarembó</w:t>
            </w:r>
          </w:p>
        </w:tc>
        <w:tc>
          <w:tcPr>
            <w:tcW w:w="917" w:type="dxa"/>
            <w:tcBorders>
              <w:top w:val="nil"/>
              <w:left w:val="nil"/>
              <w:bottom w:val="nil"/>
              <w:right w:val="nil"/>
            </w:tcBorders>
            <w:shd w:val="clear" w:color="000000" w:fill="FFE984"/>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23</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81</w:t>
            </w:r>
          </w:p>
        </w:tc>
        <w:tc>
          <w:tcPr>
            <w:tcW w:w="917" w:type="dxa"/>
            <w:tcBorders>
              <w:top w:val="nil"/>
              <w:left w:val="nil"/>
              <w:bottom w:val="nil"/>
              <w:right w:val="nil"/>
            </w:tcBorders>
            <w:shd w:val="clear" w:color="000000" w:fill="FEC97E"/>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33</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93</w:t>
            </w:r>
          </w:p>
        </w:tc>
        <w:tc>
          <w:tcPr>
            <w:tcW w:w="917" w:type="dxa"/>
            <w:tcBorders>
              <w:top w:val="nil"/>
              <w:left w:val="nil"/>
              <w:bottom w:val="nil"/>
              <w:right w:val="nil"/>
            </w:tcBorders>
            <w:shd w:val="clear" w:color="000000" w:fill="FDBC7B"/>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38</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11</w:t>
            </w:r>
          </w:p>
        </w:tc>
      </w:tr>
      <w:tr w:rsidR="007E1DDC" w:rsidRPr="00D63D8A" w:rsidTr="00EB67AB">
        <w:trPr>
          <w:trHeight w:val="288"/>
        </w:trPr>
        <w:tc>
          <w:tcPr>
            <w:tcW w:w="3189" w:type="dxa"/>
            <w:tcBorders>
              <w:top w:val="nil"/>
              <w:left w:val="nil"/>
              <w:bottom w:val="nil"/>
              <w:right w:val="nil"/>
            </w:tcBorders>
            <w:shd w:val="clear" w:color="auto" w:fill="auto"/>
            <w:noWrap/>
            <w:vAlign w:val="bottom"/>
            <w:hideMark/>
          </w:tcPr>
          <w:p w:rsidR="007E1DDC" w:rsidRPr="00D63D8A" w:rsidRDefault="007E1DDC" w:rsidP="007E1DDC">
            <w:pPr>
              <w:spacing w:after="0" w:line="240" w:lineRule="auto"/>
              <w:rPr>
                <w:rFonts w:ascii="Calibri" w:eastAsia="Times New Roman" w:hAnsi="Calibri" w:cs="Calibri"/>
                <w:bCs/>
                <w:color w:val="000000"/>
                <w:sz w:val="20"/>
                <w:szCs w:val="20"/>
              </w:rPr>
            </w:pPr>
            <w:r w:rsidRPr="00D63D8A">
              <w:rPr>
                <w:rFonts w:ascii="Calibri" w:eastAsia="Times New Roman" w:hAnsi="Calibri" w:cs="Calibri"/>
                <w:bCs/>
                <w:color w:val="000000"/>
                <w:sz w:val="20"/>
                <w:szCs w:val="20"/>
              </w:rPr>
              <w:t>Canelones</w:t>
            </w:r>
          </w:p>
        </w:tc>
        <w:tc>
          <w:tcPr>
            <w:tcW w:w="917" w:type="dxa"/>
            <w:tcBorders>
              <w:top w:val="nil"/>
              <w:left w:val="nil"/>
              <w:bottom w:val="nil"/>
              <w:right w:val="nil"/>
            </w:tcBorders>
            <w:shd w:val="clear" w:color="000000" w:fill="FFE784"/>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24</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41</w:t>
            </w:r>
          </w:p>
        </w:tc>
        <w:tc>
          <w:tcPr>
            <w:tcW w:w="917" w:type="dxa"/>
            <w:tcBorders>
              <w:top w:val="nil"/>
              <w:left w:val="nil"/>
              <w:bottom w:val="nil"/>
              <w:right w:val="nil"/>
            </w:tcBorders>
            <w:shd w:val="clear" w:color="000000" w:fill="FDBB7B"/>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38</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62</w:t>
            </w:r>
          </w:p>
        </w:tc>
        <w:tc>
          <w:tcPr>
            <w:tcW w:w="917" w:type="dxa"/>
            <w:tcBorders>
              <w:top w:val="nil"/>
              <w:left w:val="nil"/>
              <w:bottom w:val="nil"/>
              <w:right w:val="nil"/>
            </w:tcBorders>
            <w:shd w:val="clear" w:color="000000" w:fill="FA8E73"/>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52</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64</w:t>
            </w:r>
          </w:p>
        </w:tc>
      </w:tr>
      <w:tr w:rsidR="007E1DDC" w:rsidRPr="00D63D8A" w:rsidTr="00EB67AB">
        <w:trPr>
          <w:trHeight w:val="288"/>
        </w:trPr>
        <w:tc>
          <w:tcPr>
            <w:tcW w:w="3189" w:type="dxa"/>
            <w:tcBorders>
              <w:top w:val="nil"/>
              <w:left w:val="nil"/>
              <w:bottom w:val="nil"/>
              <w:right w:val="nil"/>
            </w:tcBorders>
            <w:shd w:val="clear" w:color="auto" w:fill="auto"/>
            <w:noWrap/>
            <w:vAlign w:val="bottom"/>
            <w:hideMark/>
          </w:tcPr>
          <w:p w:rsidR="007E1DDC" w:rsidRPr="00D63D8A" w:rsidRDefault="007E1DDC" w:rsidP="007E1DDC">
            <w:pPr>
              <w:spacing w:after="0" w:line="240" w:lineRule="auto"/>
              <w:rPr>
                <w:rFonts w:ascii="Calibri" w:eastAsia="Times New Roman" w:hAnsi="Calibri" w:cs="Calibri"/>
                <w:bCs/>
                <w:color w:val="000000"/>
                <w:sz w:val="20"/>
                <w:szCs w:val="20"/>
              </w:rPr>
            </w:pPr>
            <w:r w:rsidRPr="00D63D8A">
              <w:rPr>
                <w:rFonts w:ascii="Calibri" w:eastAsia="Times New Roman" w:hAnsi="Calibri" w:cs="Calibri"/>
                <w:bCs/>
                <w:color w:val="000000"/>
                <w:sz w:val="20"/>
                <w:szCs w:val="20"/>
              </w:rPr>
              <w:t>Montevideo</w:t>
            </w:r>
          </w:p>
        </w:tc>
        <w:tc>
          <w:tcPr>
            <w:tcW w:w="917" w:type="dxa"/>
            <w:tcBorders>
              <w:top w:val="nil"/>
              <w:left w:val="nil"/>
              <w:bottom w:val="nil"/>
              <w:right w:val="nil"/>
            </w:tcBorders>
            <w:shd w:val="clear" w:color="000000" w:fill="FEC97E"/>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34</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06</w:t>
            </w:r>
          </w:p>
        </w:tc>
        <w:tc>
          <w:tcPr>
            <w:tcW w:w="917" w:type="dxa"/>
            <w:tcBorders>
              <w:top w:val="nil"/>
              <w:left w:val="nil"/>
              <w:bottom w:val="nil"/>
              <w:right w:val="nil"/>
            </w:tcBorders>
            <w:shd w:val="clear" w:color="000000" w:fill="FDC17C"/>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36</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41</w:t>
            </w:r>
          </w:p>
        </w:tc>
        <w:tc>
          <w:tcPr>
            <w:tcW w:w="917" w:type="dxa"/>
            <w:tcBorders>
              <w:top w:val="nil"/>
              <w:left w:val="nil"/>
              <w:bottom w:val="nil"/>
              <w:right w:val="nil"/>
            </w:tcBorders>
            <w:shd w:val="clear" w:color="000000" w:fill="F8696B"/>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64</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38</w:t>
            </w:r>
          </w:p>
        </w:tc>
      </w:tr>
      <w:tr w:rsidR="007E1DDC" w:rsidRPr="00D63D8A" w:rsidTr="00EB67AB">
        <w:trPr>
          <w:trHeight w:val="288"/>
        </w:trPr>
        <w:tc>
          <w:tcPr>
            <w:tcW w:w="3189" w:type="dxa"/>
            <w:tcBorders>
              <w:top w:val="nil"/>
              <w:left w:val="nil"/>
              <w:right w:val="nil"/>
            </w:tcBorders>
            <w:shd w:val="clear" w:color="auto" w:fill="auto"/>
            <w:noWrap/>
            <w:vAlign w:val="bottom"/>
            <w:hideMark/>
          </w:tcPr>
          <w:p w:rsidR="007E1DDC" w:rsidRPr="00D63D8A" w:rsidRDefault="007E1DDC" w:rsidP="007E1DDC">
            <w:pPr>
              <w:spacing w:after="0" w:line="240" w:lineRule="auto"/>
              <w:rPr>
                <w:rFonts w:ascii="Calibri" w:eastAsia="Times New Roman" w:hAnsi="Calibri" w:cs="Calibri"/>
                <w:bCs/>
                <w:color w:val="000000"/>
                <w:sz w:val="20"/>
                <w:szCs w:val="20"/>
              </w:rPr>
            </w:pPr>
            <w:r w:rsidRPr="00D63D8A">
              <w:rPr>
                <w:rFonts w:ascii="Calibri" w:eastAsia="Times New Roman" w:hAnsi="Calibri" w:cs="Calibri"/>
                <w:bCs/>
                <w:color w:val="000000"/>
                <w:sz w:val="20"/>
                <w:szCs w:val="20"/>
              </w:rPr>
              <w:t>Maldonado</w:t>
            </w:r>
          </w:p>
        </w:tc>
        <w:tc>
          <w:tcPr>
            <w:tcW w:w="917" w:type="dxa"/>
            <w:tcBorders>
              <w:top w:val="nil"/>
              <w:left w:val="nil"/>
              <w:right w:val="nil"/>
            </w:tcBorders>
            <w:shd w:val="clear" w:color="000000" w:fill="FEC77E"/>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34</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59</w:t>
            </w:r>
          </w:p>
        </w:tc>
        <w:tc>
          <w:tcPr>
            <w:tcW w:w="917" w:type="dxa"/>
            <w:tcBorders>
              <w:top w:val="nil"/>
              <w:left w:val="nil"/>
              <w:right w:val="nil"/>
            </w:tcBorders>
            <w:shd w:val="clear" w:color="000000" w:fill="FB9D75"/>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48</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14</w:t>
            </w:r>
          </w:p>
        </w:tc>
        <w:tc>
          <w:tcPr>
            <w:tcW w:w="917" w:type="dxa"/>
            <w:tcBorders>
              <w:top w:val="nil"/>
              <w:left w:val="nil"/>
              <w:right w:val="nil"/>
            </w:tcBorders>
            <w:shd w:val="clear" w:color="000000" w:fill="FA8370"/>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56</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29</w:t>
            </w:r>
          </w:p>
        </w:tc>
      </w:tr>
      <w:tr w:rsidR="007E1DDC" w:rsidRPr="00D63D8A" w:rsidTr="00EB67AB">
        <w:trPr>
          <w:trHeight w:val="288"/>
        </w:trPr>
        <w:tc>
          <w:tcPr>
            <w:tcW w:w="3189" w:type="dxa"/>
            <w:tcBorders>
              <w:top w:val="nil"/>
              <w:left w:val="nil"/>
              <w:bottom w:val="single" w:sz="4" w:space="0" w:color="auto"/>
              <w:right w:val="nil"/>
            </w:tcBorders>
            <w:shd w:val="clear" w:color="auto" w:fill="auto"/>
            <w:noWrap/>
            <w:vAlign w:val="bottom"/>
            <w:hideMark/>
          </w:tcPr>
          <w:p w:rsidR="007E1DDC" w:rsidRPr="00D63D8A" w:rsidRDefault="007E1DDC" w:rsidP="007E1DDC">
            <w:pPr>
              <w:spacing w:after="0" w:line="240" w:lineRule="auto"/>
              <w:rPr>
                <w:rFonts w:ascii="Calibri" w:eastAsia="Times New Roman" w:hAnsi="Calibri" w:cs="Calibri"/>
                <w:bCs/>
                <w:color w:val="000000"/>
                <w:sz w:val="20"/>
                <w:szCs w:val="20"/>
              </w:rPr>
            </w:pPr>
            <w:r w:rsidRPr="00D63D8A">
              <w:rPr>
                <w:rFonts w:ascii="Calibri" w:eastAsia="Times New Roman" w:hAnsi="Calibri" w:cs="Calibri"/>
                <w:bCs/>
                <w:color w:val="000000"/>
                <w:sz w:val="20"/>
                <w:szCs w:val="20"/>
              </w:rPr>
              <w:t>Río Negro</w:t>
            </w:r>
          </w:p>
        </w:tc>
        <w:tc>
          <w:tcPr>
            <w:tcW w:w="917" w:type="dxa"/>
            <w:tcBorders>
              <w:top w:val="nil"/>
              <w:left w:val="nil"/>
              <w:bottom w:val="single" w:sz="4" w:space="0" w:color="auto"/>
              <w:right w:val="nil"/>
            </w:tcBorders>
            <w:shd w:val="clear" w:color="000000" w:fill="FA8D72"/>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52</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98</w:t>
            </w:r>
          </w:p>
        </w:tc>
        <w:tc>
          <w:tcPr>
            <w:tcW w:w="917" w:type="dxa"/>
            <w:tcBorders>
              <w:top w:val="nil"/>
              <w:left w:val="nil"/>
              <w:bottom w:val="single" w:sz="4" w:space="0" w:color="auto"/>
              <w:right w:val="nil"/>
            </w:tcBorders>
            <w:shd w:val="clear" w:color="000000" w:fill="FA8571"/>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55</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49</w:t>
            </w:r>
          </w:p>
        </w:tc>
        <w:tc>
          <w:tcPr>
            <w:tcW w:w="917" w:type="dxa"/>
            <w:tcBorders>
              <w:top w:val="nil"/>
              <w:left w:val="nil"/>
              <w:bottom w:val="single" w:sz="4" w:space="0" w:color="auto"/>
              <w:right w:val="nil"/>
            </w:tcBorders>
            <w:shd w:val="clear" w:color="000000" w:fill="FECA7E"/>
            <w:noWrap/>
            <w:vAlign w:val="bottom"/>
            <w:hideMark/>
          </w:tcPr>
          <w:p w:rsidR="007E1DDC" w:rsidRPr="00D63D8A" w:rsidRDefault="007E1DDC" w:rsidP="007E1DDC">
            <w:pPr>
              <w:spacing w:after="0" w:line="240" w:lineRule="auto"/>
              <w:jc w:val="right"/>
              <w:rPr>
                <w:rFonts w:ascii="Calibri" w:eastAsia="Times New Roman" w:hAnsi="Calibri" w:cs="Calibri"/>
                <w:color w:val="000000"/>
                <w:sz w:val="20"/>
                <w:szCs w:val="20"/>
              </w:rPr>
            </w:pPr>
            <w:r w:rsidRPr="00D63D8A">
              <w:rPr>
                <w:rFonts w:ascii="Calibri" w:eastAsia="Times New Roman" w:hAnsi="Calibri" w:cs="Calibri"/>
                <w:color w:val="000000"/>
                <w:sz w:val="20"/>
                <w:szCs w:val="20"/>
              </w:rPr>
              <w:t>33</w:t>
            </w:r>
            <w:r w:rsidR="00A565EC" w:rsidRPr="00D63D8A">
              <w:rPr>
                <w:rFonts w:ascii="Calibri" w:eastAsia="Times New Roman" w:hAnsi="Calibri" w:cs="Calibri"/>
                <w:color w:val="000000"/>
                <w:sz w:val="20"/>
                <w:szCs w:val="20"/>
              </w:rPr>
              <w:t>,</w:t>
            </w:r>
            <w:r w:rsidRPr="00D63D8A">
              <w:rPr>
                <w:rFonts w:ascii="Calibri" w:eastAsia="Times New Roman" w:hAnsi="Calibri" w:cs="Calibri"/>
                <w:color w:val="000000"/>
                <w:sz w:val="20"/>
                <w:szCs w:val="20"/>
              </w:rPr>
              <w:t>62</w:t>
            </w:r>
          </w:p>
        </w:tc>
      </w:tr>
    </w:tbl>
    <w:p w:rsidR="000971B6" w:rsidRPr="00FC3500" w:rsidRDefault="000971B6" w:rsidP="000971B6">
      <w:pPr>
        <w:spacing w:after="0" w:line="240" w:lineRule="auto"/>
        <w:jc w:val="both"/>
        <w:rPr>
          <w:sz w:val="20"/>
          <w:szCs w:val="20"/>
        </w:rPr>
      </w:pPr>
      <w:r w:rsidRPr="00FC3500">
        <w:rPr>
          <w:b/>
          <w:sz w:val="20"/>
          <w:szCs w:val="20"/>
        </w:rPr>
        <w:t>Fuente</w:t>
      </w:r>
      <w:r w:rsidRPr="00FC3500">
        <w:rPr>
          <w:sz w:val="20"/>
          <w:szCs w:val="20"/>
        </w:rPr>
        <w:t>: DDEA</w:t>
      </w:r>
    </w:p>
    <w:p w:rsidR="003866A3" w:rsidRDefault="007E1DDC" w:rsidP="003866A3">
      <w:pPr>
        <w:spacing w:after="0" w:line="240" w:lineRule="auto"/>
        <w:jc w:val="both"/>
        <w:rPr>
          <w:sz w:val="20"/>
          <w:szCs w:val="20"/>
        </w:rPr>
      </w:pPr>
      <w:r w:rsidRPr="00FC3500">
        <w:rPr>
          <w:b/>
          <w:sz w:val="20"/>
          <w:szCs w:val="20"/>
        </w:rPr>
        <w:t>Nota</w:t>
      </w:r>
      <w:r w:rsidRPr="00FC3500">
        <w:rPr>
          <w:sz w:val="20"/>
          <w:szCs w:val="20"/>
        </w:rPr>
        <w:t xml:space="preserve">: el verde más intenso </w:t>
      </w:r>
      <w:r w:rsidR="00FC3500">
        <w:rPr>
          <w:sz w:val="20"/>
          <w:szCs w:val="20"/>
        </w:rPr>
        <w:t>es</w:t>
      </w:r>
      <w:r w:rsidRPr="00FC3500">
        <w:rPr>
          <w:sz w:val="20"/>
          <w:szCs w:val="20"/>
        </w:rPr>
        <w:t xml:space="preserve"> la tasa mínima de criminalidad en el cuadro, y el rojo más intenso la máxima. </w:t>
      </w:r>
      <w:r w:rsidR="004E1BD8" w:rsidRPr="00FC3500">
        <w:rPr>
          <w:sz w:val="20"/>
          <w:szCs w:val="20"/>
        </w:rPr>
        <w:t>Los colores intermedios muestran tasas de criminalidad que están entre estos extremos.</w:t>
      </w:r>
    </w:p>
    <w:p w:rsidR="003866A3" w:rsidRDefault="003866A3" w:rsidP="003866A3">
      <w:pPr>
        <w:spacing w:after="0" w:line="240" w:lineRule="auto"/>
        <w:jc w:val="both"/>
        <w:rPr>
          <w:sz w:val="20"/>
          <w:szCs w:val="20"/>
        </w:rPr>
      </w:pPr>
    </w:p>
    <w:p w:rsidR="00057B4E" w:rsidRPr="003866A3" w:rsidRDefault="00057B4E" w:rsidP="003866A3">
      <w:pPr>
        <w:spacing w:after="0"/>
        <w:jc w:val="both"/>
        <w:rPr>
          <w:sz w:val="20"/>
          <w:szCs w:val="20"/>
        </w:rPr>
      </w:pPr>
      <w:r>
        <w:rPr>
          <w:b/>
        </w:rPr>
        <w:t>Gráfico 3. Tasas de criminalidad por zona geográfica (cada 1000 habitantes, año 2</w:t>
      </w:r>
      <w:r w:rsidRPr="00955E15">
        <w:rPr>
          <w:b/>
        </w:rPr>
        <w:t>010</w:t>
      </w:r>
      <w:r>
        <w:rPr>
          <w:b/>
        </w:rPr>
        <w:t>)</w:t>
      </w:r>
    </w:p>
    <w:p w:rsidR="00057B4E" w:rsidRPr="0072621C" w:rsidRDefault="00057B4E" w:rsidP="00B17353">
      <w:pPr>
        <w:keepNext/>
        <w:rPr>
          <w:i/>
        </w:rPr>
      </w:pPr>
      <w:r w:rsidRPr="0072621C">
        <w:rPr>
          <w:noProof/>
        </w:rPr>
        <w:drawing>
          <wp:inline distT="0" distB="0" distL="0" distR="0">
            <wp:extent cx="4099598" cy="3070860"/>
            <wp:effectExtent l="19050" t="0" r="0" b="0"/>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100563" cy="3071583"/>
                    </a:xfrm>
                    <a:prstGeom prst="rect">
                      <a:avLst/>
                    </a:prstGeom>
                    <a:noFill/>
                    <a:ln w="9525">
                      <a:noFill/>
                      <a:miter lim="800000"/>
                      <a:headEnd/>
                      <a:tailEnd/>
                    </a:ln>
                  </pic:spPr>
                </pic:pic>
              </a:graphicData>
            </a:graphic>
          </wp:inline>
        </w:drawing>
      </w:r>
    </w:p>
    <w:p w:rsidR="00057B4E" w:rsidRPr="00A17A20" w:rsidRDefault="00057B4E" w:rsidP="00057B4E">
      <w:pPr>
        <w:rPr>
          <w:sz w:val="20"/>
          <w:szCs w:val="20"/>
        </w:rPr>
      </w:pPr>
      <w:r>
        <w:rPr>
          <w:sz w:val="20"/>
          <w:szCs w:val="20"/>
        </w:rPr>
        <w:t>Fuente: DDEA</w:t>
      </w:r>
      <w:r w:rsidR="003866A3">
        <w:rPr>
          <w:sz w:val="20"/>
          <w:szCs w:val="20"/>
        </w:rPr>
        <w:t>.</w:t>
      </w:r>
    </w:p>
    <w:p w:rsidR="00057B4E" w:rsidRPr="00FC3500" w:rsidRDefault="00057B4E" w:rsidP="00F6345A">
      <w:pPr>
        <w:spacing w:after="0" w:line="240" w:lineRule="auto"/>
        <w:jc w:val="both"/>
        <w:rPr>
          <w:sz w:val="20"/>
          <w:szCs w:val="20"/>
        </w:rPr>
        <w:sectPr w:rsidR="00057B4E" w:rsidRPr="00FC3500" w:rsidSect="00EF2E8E">
          <w:footerReference w:type="default" r:id="rId12"/>
          <w:pgSz w:w="11906" w:h="16838"/>
          <w:pgMar w:top="1417" w:right="1701" w:bottom="1417" w:left="1701" w:header="708" w:footer="708" w:gutter="0"/>
          <w:pgNumType w:start="0"/>
          <w:cols w:space="708"/>
          <w:titlePg/>
          <w:docGrid w:linePitch="360"/>
        </w:sectPr>
      </w:pPr>
    </w:p>
    <w:p w:rsidR="00350956" w:rsidRDefault="00350956" w:rsidP="00350956">
      <w:pPr>
        <w:rPr>
          <w:b/>
        </w:rPr>
      </w:pPr>
      <w:r>
        <w:rPr>
          <w:b/>
        </w:rPr>
        <w:lastRenderedPageBreak/>
        <w:t>Figura 1.</w:t>
      </w:r>
      <w:r w:rsidR="00FF72E9">
        <w:rPr>
          <w:b/>
        </w:rPr>
        <w:t xml:space="preserve"> Departamentos por quintiles de t</w:t>
      </w:r>
      <w:r>
        <w:rPr>
          <w:b/>
        </w:rPr>
        <w:t xml:space="preserve">asas de criminalidad </w:t>
      </w:r>
    </w:p>
    <w:p w:rsidR="00955E15" w:rsidRDefault="00464FA7" w:rsidP="00D43478">
      <w:pPr>
        <w:jc w:val="both"/>
      </w:pPr>
      <w:r>
        <w:rPr>
          <w:noProof/>
        </w:rPr>
        <w:drawing>
          <wp:anchor distT="0" distB="0" distL="114300" distR="114300" simplePos="0" relativeHeight="251658240" behindDoc="0" locked="0" layoutInCell="1" allowOverlap="1">
            <wp:simplePos x="0" y="0"/>
            <wp:positionH relativeFrom="column">
              <wp:posOffset>43180</wp:posOffset>
            </wp:positionH>
            <wp:positionV relativeFrom="paragraph">
              <wp:posOffset>177800</wp:posOffset>
            </wp:positionV>
            <wp:extent cx="7572375" cy="3922395"/>
            <wp:effectExtent l="19050" t="0" r="9525" b="0"/>
            <wp:wrapSquare wrapText="bothSides"/>
            <wp:docPr id="8" name="Imagen 6" descr="\\192.168.0.50\grupos\investigacion\BID_Costo del Crimen\Mapas\Mapas_Evolu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92.168.0.50\grupos\investigacion\BID_Costo del Crimen\Mapas\Mapas_Evolucion.JPG"/>
                    <pic:cNvPicPr>
                      <a:picLocks noChangeAspect="1" noChangeArrowheads="1"/>
                    </pic:cNvPicPr>
                  </pic:nvPicPr>
                  <pic:blipFill>
                    <a:blip r:embed="rId13" cstate="print"/>
                    <a:srcRect/>
                    <a:stretch>
                      <a:fillRect/>
                    </a:stretch>
                  </pic:blipFill>
                  <pic:spPr bwMode="auto">
                    <a:xfrm>
                      <a:off x="0" y="0"/>
                      <a:ext cx="7572375" cy="3922395"/>
                    </a:xfrm>
                    <a:prstGeom prst="rect">
                      <a:avLst/>
                    </a:prstGeom>
                    <a:noFill/>
                    <a:ln w="9525">
                      <a:noFill/>
                      <a:miter lim="800000"/>
                      <a:headEnd/>
                      <a:tailEnd/>
                    </a:ln>
                  </pic:spPr>
                </pic:pic>
              </a:graphicData>
            </a:graphic>
          </wp:anchor>
        </w:drawing>
      </w:r>
    </w:p>
    <w:p w:rsidR="00785A4B" w:rsidRDefault="00785A4B">
      <w:pPr>
        <w:rPr>
          <w:b/>
        </w:rPr>
      </w:pPr>
    </w:p>
    <w:p w:rsidR="00350956" w:rsidRDefault="00350956">
      <w:pPr>
        <w:rPr>
          <w:b/>
        </w:rPr>
      </w:pPr>
    </w:p>
    <w:p w:rsidR="00FF72E9" w:rsidRDefault="00FF72E9">
      <w:pPr>
        <w:rPr>
          <w:b/>
        </w:rPr>
      </w:pPr>
    </w:p>
    <w:p w:rsidR="00FF72E9" w:rsidRDefault="00FF72E9">
      <w:pPr>
        <w:rPr>
          <w:b/>
        </w:rPr>
      </w:pPr>
    </w:p>
    <w:p w:rsidR="00FF72E9" w:rsidRDefault="00FF72E9">
      <w:pPr>
        <w:rPr>
          <w:b/>
        </w:rPr>
      </w:pPr>
    </w:p>
    <w:p w:rsidR="00FF72E9" w:rsidRDefault="00FF72E9">
      <w:pPr>
        <w:rPr>
          <w:b/>
        </w:rPr>
      </w:pPr>
    </w:p>
    <w:p w:rsidR="00FF72E9" w:rsidRDefault="00FF72E9">
      <w:pPr>
        <w:rPr>
          <w:b/>
        </w:rPr>
      </w:pPr>
    </w:p>
    <w:p w:rsidR="00FF72E9" w:rsidRDefault="00FF72E9">
      <w:pPr>
        <w:rPr>
          <w:b/>
        </w:rPr>
      </w:pPr>
    </w:p>
    <w:p w:rsidR="00FF72E9" w:rsidRDefault="00FF72E9">
      <w:pPr>
        <w:rPr>
          <w:b/>
        </w:rPr>
      </w:pPr>
    </w:p>
    <w:p w:rsidR="00FF72E9" w:rsidRDefault="00FF72E9">
      <w:pPr>
        <w:rPr>
          <w:b/>
        </w:rPr>
      </w:pPr>
    </w:p>
    <w:p w:rsidR="00FF72E9" w:rsidRDefault="00FF72E9">
      <w:pPr>
        <w:rPr>
          <w:b/>
        </w:rPr>
      </w:pPr>
    </w:p>
    <w:p w:rsidR="00FF72E9" w:rsidRDefault="00FF72E9">
      <w:pPr>
        <w:rPr>
          <w:b/>
        </w:rPr>
      </w:pPr>
    </w:p>
    <w:p w:rsidR="00BB6CC1" w:rsidRDefault="00BB6CC1">
      <w:r>
        <w:rPr>
          <w:b/>
        </w:rPr>
        <w:t>Fuente:</w:t>
      </w:r>
      <w:r>
        <w:t xml:space="preserve"> elaboración propia en base a datos de la DDEA.</w:t>
      </w:r>
    </w:p>
    <w:p w:rsidR="00FF72E9" w:rsidRPr="00BB6CC1" w:rsidRDefault="00FF72E9">
      <w:pPr>
        <w:sectPr w:rsidR="00FF72E9" w:rsidRPr="00BB6CC1" w:rsidSect="00785A4B">
          <w:pgSz w:w="16838" w:h="11906" w:orient="landscape"/>
          <w:pgMar w:top="1701" w:right="1417" w:bottom="1701" w:left="1417" w:header="708" w:footer="708" w:gutter="0"/>
          <w:cols w:space="708"/>
          <w:docGrid w:linePitch="360"/>
        </w:sectPr>
      </w:pPr>
      <w:r>
        <w:rPr>
          <w:b/>
        </w:rPr>
        <w:t>Nota:</w:t>
      </w:r>
      <w:r w:rsidR="006A474F">
        <w:rPr>
          <w:b/>
        </w:rPr>
        <w:t xml:space="preserve"> </w:t>
      </w:r>
      <w:r w:rsidR="006A474F" w:rsidRPr="006A474F">
        <w:t>el binomio</w:t>
      </w:r>
      <w:r w:rsidRPr="006A474F">
        <w:t xml:space="preserve"> departamento</w:t>
      </w:r>
      <w:r w:rsidR="006A474F" w:rsidRPr="006A474F">
        <w:t>-</w:t>
      </w:r>
      <w:r w:rsidRPr="006A474F">
        <w:t>año son los que son ordenados por quintil. Es decir, el N de la distribución es 57 (19 departamentos x 3 años).</w:t>
      </w:r>
      <w:r w:rsidR="006A474F">
        <w:t xml:space="preserve"> Esto permite no solo ver la posición relativa de los departamentos en un año, sino también la evolución en el tiempo de cada departamento. </w:t>
      </w:r>
    </w:p>
    <w:p w:rsidR="00057B4E" w:rsidRDefault="00057B4E" w:rsidP="00057B4E">
      <w:pPr>
        <w:jc w:val="both"/>
      </w:pPr>
      <w:r>
        <w:lastRenderedPageBreak/>
        <w:t>Por otra parte, resulta llamativa la disimilitud en lo que refiere a la composición según el tipo de crimen. En este sentido, se comprueba que los delitos contra la propiedad tienen una mayor incidencia en Montevideo, Canelones y Maldonado, teniendo una ocurrencia que llega a ser más que el doble respecto a la observada en el resto del país. Sin embargo, los delitos contra las personas muestran una menor tasa de ocurrencia en estos tres departamentos (7 cada mil habitantes) en comparación al resto del país (9 cada mil habitantes). Esto está vinculado a la distinta ponderación que los tipos de crimen tienen en el total de lo denunciado para ambas zonas: en Montevideo, Canelones y Maldonado un 88% de las denuncias corresponde a delitos contra la propiedad y un 11% a delitos contra las personas, mientras que en el resto del país el 70% de las denuncias corresponde a delitos contra la propiedad a la vez que las denuncias por atentados a las personas ascienden a un 29% del total.</w:t>
      </w:r>
    </w:p>
    <w:p w:rsidR="00057B4E" w:rsidRDefault="00057B4E" w:rsidP="00057B4E">
      <w:pPr>
        <w:jc w:val="both"/>
      </w:pPr>
      <w:r>
        <w:t>Los resultados observados para el año 2010 son similares a los de cualquier otro año del período 1990-2010.</w:t>
      </w:r>
    </w:p>
    <w:p w:rsidR="00BE4C3B" w:rsidRDefault="00057B4E" w:rsidP="00057B4E">
      <w:pPr>
        <w:jc w:val="both"/>
      </w:pPr>
      <w:r>
        <w:t>Es probable que estas diferencias estén relacionadas con el mayor grado de urbanización existente en estos tres departamentos. De hecho, Paternain (2008a) identifica que serían las regiones con mayor grado de urbanización las más proclives a presentar altas tasas de criminalidad, dado que los problemas de exclusión y fragmentación social tienden a predominar en los espacios urbanos.</w:t>
      </w:r>
      <w:r w:rsidR="00E41EA3">
        <w:t xml:space="preserve"> </w:t>
      </w:r>
      <w:r w:rsidR="001F1DDA">
        <w:t xml:space="preserve">En línea con esto último, </w:t>
      </w:r>
      <w:r w:rsidR="00CA7CD9">
        <w:t>Kaztman</w:t>
      </w:r>
      <w:r w:rsidR="001F1DDA">
        <w:t xml:space="preserve"> </w:t>
      </w:r>
      <w:r w:rsidR="001F1DDA" w:rsidRPr="002E7A53">
        <w:rPr>
          <w:i/>
        </w:rPr>
        <w:t>et al</w:t>
      </w:r>
      <w:r w:rsidR="00CA7CD9">
        <w:t xml:space="preserve"> (2004</w:t>
      </w:r>
      <w:r w:rsidR="001F1DDA">
        <w:t>), al estudiar la delincuencia para los distintos barrios de</w:t>
      </w:r>
      <w:r w:rsidR="00BE19D1">
        <w:t xml:space="preserve"> Montevideo, encuentran que</w:t>
      </w:r>
      <w:r w:rsidR="001F1DDA">
        <w:t xml:space="preserve"> son los barrios con menor desarrollo socioeconómico y mayor marginalidad los que presentan mayor incidencia de la criminalidad. </w:t>
      </w:r>
      <w:r w:rsidR="00AC4429">
        <w:t xml:space="preserve">Según los autores, esto se justifica por la existencia en estos barrios de lazos de socialización entre vecinos más favorables a la delincuencia. Así, </w:t>
      </w:r>
      <w:r w:rsidR="005128A4">
        <w:t xml:space="preserve">dada la incertidumbre a la que se enfrentan los habitantes de los barrios marginales en lo referente al empleo y el ingreso, y </w:t>
      </w:r>
      <w:r w:rsidR="00AC4429">
        <w:t>siendo que suelen mudarse con mayor frecuencia –atendiendo a necesidades de supervivencia, que lleva a que deban refugiarse en hogares de parientes o amigos, o movilizarse para conseguir trabajo- se observa que los lazos sociales entre vecinos tienden a ser más débiles en estas zonas de la ciudad, a la vez que los mecanismos para sancionar desviaciones de conducta son más escasos.</w:t>
      </w:r>
      <w:r w:rsidR="00B5380C">
        <w:t xml:space="preserve"> Como consecuencia, las conductas criminales serían resultado de una conjunción de dos elementos: las motivaciones materiales referentes a la búsqueda de alcanzar metas de consumo a través de vías no legítimas, y las motivaciones de pertenencia que nacen de </w:t>
      </w:r>
      <w:r w:rsidR="00BE4C3B">
        <w:t>la búsqueda de integrarse a la subcultura dominante en los barrios marginales.</w:t>
      </w:r>
    </w:p>
    <w:p w:rsidR="003015FB" w:rsidRDefault="00BE19D1" w:rsidP="00D43478">
      <w:pPr>
        <w:jc w:val="both"/>
      </w:pPr>
      <w:r>
        <w:t>Por otro lado</w:t>
      </w:r>
      <w:r w:rsidR="003015FB">
        <w:t xml:space="preserve">, dada la importante ponderación de los delitos contra la propiedad en el total de los crímenes denunciados, resulta interesante observar las tendencias que se observan al interior de este grupo de crímenes. De hecho, es posible verificar, en años recientes, evoluciones dispares según el delito contra la propiedad que se considere. </w:t>
      </w:r>
    </w:p>
    <w:p w:rsidR="00057B4E" w:rsidRDefault="00057B4E" w:rsidP="00057B4E">
      <w:pPr>
        <w:jc w:val="both"/>
      </w:pPr>
      <w:r>
        <w:t xml:space="preserve">Así, tomando como referencia el período 2005-2010, se observa, en el caso de los hurtos, una tendencia oscilante con años de incrementos en la cantidad de denuncias realizadas y años en que dichas cifras caen. Sin embargo, para el total del período, se verifica una caída en la cantidad de hurtos del orden del 9%. Por otro lado, la categoría “otros delitos contra la propiedad” agrupa a los copamientos, abigeatos, daños y otras modalidades de atentado a la propiedad. Este grupo de delitos también muestra una tendencia decreciente en el período, </w:t>
      </w:r>
      <w:r>
        <w:lastRenderedPageBreak/>
        <w:t>con una caída total del 14%.</w:t>
      </w:r>
      <w:r w:rsidRPr="00986998">
        <w:t xml:space="preserve"> </w:t>
      </w:r>
      <w:r>
        <w:t>Distinto es el caso de las rapiñas, que presentan una tendencia persistente al aumento, habiendo crecido un 65% en esos cinco años.</w:t>
      </w:r>
    </w:p>
    <w:p w:rsidR="003015FB" w:rsidRPr="0044303D" w:rsidRDefault="0044303D">
      <w:pPr>
        <w:rPr>
          <w:b/>
        </w:rPr>
      </w:pPr>
      <w:r>
        <w:rPr>
          <w:b/>
        </w:rPr>
        <w:t>Gráfico 4</w:t>
      </w:r>
      <w:r w:rsidR="001659C7">
        <w:rPr>
          <w:b/>
        </w:rPr>
        <w:t xml:space="preserve">. </w:t>
      </w:r>
      <w:r w:rsidR="003015FB" w:rsidRPr="0044303D">
        <w:rPr>
          <w:b/>
        </w:rPr>
        <w:t>Composición y evolución de</w:t>
      </w:r>
      <w:r w:rsidR="00350956">
        <w:rPr>
          <w:b/>
        </w:rPr>
        <w:t>l número de</w:t>
      </w:r>
      <w:r w:rsidR="003015FB" w:rsidRPr="0044303D">
        <w:rPr>
          <w:b/>
        </w:rPr>
        <w:t xml:space="preserve"> crímenes contra la propiedad</w:t>
      </w:r>
    </w:p>
    <w:p w:rsidR="003015FB" w:rsidRDefault="00F8184E" w:rsidP="006A474F">
      <w:pPr>
        <w:ind w:right="-427"/>
      </w:pPr>
      <w:r w:rsidRPr="00F8184E">
        <w:rPr>
          <w:noProof/>
        </w:rPr>
        <w:drawing>
          <wp:inline distT="0" distB="0" distL="0" distR="0">
            <wp:extent cx="5400040" cy="1441011"/>
            <wp:effectExtent l="1905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400040" cy="1441011"/>
                    </a:xfrm>
                    <a:prstGeom prst="rect">
                      <a:avLst/>
                    </a:prstGeom>
                    <a:noFill/>
                    <a:ln w="9525">
                      <a:noFill/>
                      <a:miter lim="800000"/>
                      <a:headEnd/>
                      <a:tailEnd/>
                    </a:ln>
                  </pic:spPr>
                </pic:pic>
              </a:graphicData>
            </a:graphic>
          </wp:inline>
        </w:drawing>
      </w:r>
    </w:p>
    <w:p w:rsidR="003015FB" w:rsidRPr="003015FB" w:rsidRDefault="003015FB" w:rsidP="003015FB">
      <w:pPr>
        <w:rPr>
          <w:sz w:val="20"/>
          <w:szCs w:val="20"/>
        </w:rPr>
      </w:pPr>
      <w:r>
        <w:rPr>
          <w:sz w:val="20"/>
          <w:szCs w:val="20"/>
        </w:rPr>
        <w:t>Fuente: DDEA</w:t>
      </w:r>
      <w:r w:rsidR="00F03DF3">
        <w:rPr>
          <w:sz w:val="20"/>
          <w:szCs w:val="20"/>
        </w:rPr>
        <w:t>.</w:t>
      </w:r>
    </w:p>
    <w:p w:rsidR="00E24342" w:rsidRDefault="001659C7" w:rsidP="00D43478">
      <w:pPr>
        <w:jc w:val="both"/>
      </w:pPr>
      <w:r>
        <w:t>La</w:t>
      </w:r>
      <w:r w:rsidR="00E24342">
        <w:t xml:space="preserve"> evolución decreciente observada en el caso de los hurtos y su alta ponderación en el total de los delitos contra la propiedad, </w:t>
      </w:r>
      <w:r>
        <w:t xml:space="preserve">es lo que explica </w:t>
      </w:r>
      <w:r w:rsidR="00E24342">
        <w:t xml:space="preserve">la </w:t>
      </w:r>
      <w:r>
        <w:t xml:space="preserve">reducción </w:t>
      </w:r>
      <w:r w:rsidR="00E24342">
        <w:t xml:space="preserve">del total de los delitos contra la propiedad en el período 2005-2010, a pesar del marcado aumento observado en las cifras de rapiñas. </w:t>
      </w:r>
      <w:r w:rsidR="00A140F3">
        <w:t xml:space="preserve">Esto último no es irrelevante, sino que habla sobre cambios observados en el patrón de criminalidad. Así, si bien la ocurrencia de crímenes contra la propiedad es menor en 2010 respecto a 2005, se constata que dichos crímenes han evolucionado –o involucionado- hacia modalidades más violentas en su ejecución, como lo es el caso de las rapiñas. </w:t>
      </w:r>
    </w:p>
    <w:p w:rsidR="005C4DC7" w:rsidRDefault="005C4DC7" w:rsidP="00D43478">
      <w:pPr>
        <w:jc w:val="both"/>
      </w:pPr>
      <w:r>
        <w:t xml:space="preserve">En lo que refiere a esto último, Campanella (2008) encuentra una </w:t>
      </w:r>
      <w:r w:rsidR="001659C7">
        <w:t>correlación</w:t>
      </w:r>
      <w:r>
        <w:t xml:space="preserve"> positiva entre las tasas de denuncia de rapiñas respecto a la tasa de desempleo de varones menores de 25 años y los indicadores de desigualdad, tomando como referencia el período 1986-2005. Teniendo esto en cuenta y considerando que el período 2005-2010 constituye un período de caída en los indicadores de desempleo, resulta importante preguntarse qué otros factores</w:t>
      </w:r>
      <w:r w:rsidR="001659C7">
        <w:t xml:space="preserve"> pueden</w:t>
      </w:r>
      <w:r>
        <w:t xml:space="preserve"> est</w:t>
      </w:r>
      <w:r w:rsidR="001659C7">
        <w:t>ar</w:t>
      </w:r>
      <w:r>
        <w:t xml:space="preserve"> contribuyendo a la persistencia de las tendencias crecientes en lo que refiere a la ocurrencia de rapiñas. </w:t>
      </w:r>
      <w:r w:rsidR="00745594">
        <w:t xml:space="preserve"> Al respect</w:t>
      </w:r>
      <w:r w:rsidR="007379AD">
        <w:t>o, cabe señalar que, a diferencia de lo que ocurrió con el desempleo,</w:t>
      </w:r>
      <w:r w:rsidR="000925FE">
        <w:t xml:space="preserve"> la tendencia del indicador de desigualdad empleado</w:t>
      </w:r>
      <w:r w:rsidR="001D3593">
        <w:t xml:space="preserve"> en el citado trabajo</w:t>
      </w:r>
      <w:r w:rsidR="007379AD">
        <w:t xml:space="preserve"> </w:t>
      </w:r>
      <w:r w:rsidR="000925FE">
        <w:t xml:space="preserve">fue creciente </w:t>
      </w:r>
      <w:r w:rsidR="007379AD">
        <w:t xml:space="preserve">hasta 2008, por lo que esta tendencia podría haber contribuido a retardar el proceso de moderación en las tasas de criminalidad. </w:t>
      </w:r>
    </w:p>
    <w:p w:rsidR="00BF0916" w:rsidRDefault="00B5380C" w:rsidP="00D43478">
      <w:pPr>
        <w:jc w:val="both"/>
      </w:pPr>
      <w:r>
        <w:t>Lo anterior lleva</w:t>
      </w:r>
      <w:r w:rsidR="008F3239">
        <w:t xml:space="preserve"> a pensar en la existencia de otros determinantes de la criminalidad de carácter más estructural. Al respecto, Kaztman (1997) identifica la consolidación en Uruguay de un patrón de marginalidad sub</w:t>
      </w:r>
      <w:r w:rsidR="00FD1347">
        <w:t>-</w:t>
      </w:r>
      <w:r w:rsidR="008F3239">
        <w:t xml:space="preserve">cultural </w:t>
      </w:r>
      <w:r w:rsidR="00E24342">
        <w:t>cuyos orígenes estarían dados</w:t>
      </w:r>
      <w:r w:rsidR="008F3239">
        <w:t xml:space="preserve"> en el período que se extiende desde inicios de los ochenta hasta mediados de los noventa</w:t>
      </w:r>
      <w:r w:rsidR="00E24342">
        <w:t>,</w:t>
      </w:r>
      <w:r w:rsidR="008F3239">
        <w:t xml:space="preserve"> y que tendría como una de sus principales manifestaciones el aumento de la violencia.</w:t>
      </w:r>
      <w:r w:rsidR="00E24342">
        <w:t xml:space="preserve"> E</w:t>
      </w:r>
      <w:r w:rsidR="008F3239">
        <w:t xml:space="preserve">l autor identifica como elementos que contribuyeron a la conformación de este patrón a </w:t>
      </w:r>
      <w:r w:rsidR="00E24342">
        <w:t>los altos requerimientos educativos para el ingreso al mercado laboral, el debilitamiento de la familia como proveedora de activos (tanto materiales como intangibles), y la segmentación residencial en el acceso a servicios (en particular la educación).</w:t>
      </w:r>
    </w:p>
    <w:p w:rsidR="0044303D" w:rsidRDefault="0044303D" w:rsidP="00D43478">
      <w:pPr>
        <w:jc w:val="both"/>
      </w:pPr>
      <w:r>
        <w:t xml:space="preserve">Por otra parte, </w:t>
      </w:r>
      <w:r w:rsidR="001659C7">
        <w:t xml:space="preserve">y en sentido contrario, </w:t>
      </w:r>
      <w:r>
        <w:t>también es de esperar que hayan incidido factores vinculados a la disuasión y a esfuerzos realizados en miras de prevenir el delito, como ser el caso de avances en la eficiencia policial.</w:t>
      </w:r>
    </w:p>
    <w:p w:rsidR="001659C7" w:rsidRDefault="00780EB7" w:rsidP="001659C7">
      <w:pPr>
        <w:jc w:val="both"/>
      </w:pPr>
      <w:r>
        <w:lastRenderedPageBreak/>
        <w:t>M</w:t>
      </w:r>
      <w:r w:rsidR="00E92705">
        <w:t>á</w:t>
      </w:r>
      <w:r>
        <w:t>s allá de la evolución interna de los indicadores de criminalidad, es también importante brindar, aunque sea superficialmente, una visión internacional comparativa de</w:t>
      </w:r>
      <w:r w:rsidR="00012144">
        <w:t xml:space="preserve"> algunas estadísticas</w:t>
      </w:r>
      <w:r>
        <w:t xml:space="preserve"> nacionales. </w:t>
      </w:r>
      <w:r w:rsidR="001659C7">
        <w:t>El Gráfico 5 muestra la ocurrencia de homicidios intencionales cada cien mil habitantes</w:t>
      </w:r>
      <w:r>
        <w:t xml:space="preserve"> en distintos países</w:t>
      </w:r>
      <w:r w:rsidR="001659C7">
        <w:t xml:space="preserve">. Al respecto, Uruguay se encuentra entre los países con tasas más bajas de América Latina, siendo Chile, Perú y Argentina los que ocupan los primeros puestos. No obstante, </w:t>
      </w:r>
      <w:r w:rsidR="00733D0E">
        <w:t xml:space="preserve">y teniendo en cuenta que América del Sur es de las regiones más violentas del mundo, </w:t>
      </w:r>
      <w:r w:rsidR="001659C7">
        <w:t>el escenario es distinto si la muestra de países a comparar incluye a otras regiones (en particular, a los países desarrollados). De hecho, al observar las cifras de Austria, Alemania, España y Gran Bretaña (países que muestran algunas de las tasas de homicidio más bajas a nivel mundial) se puede constatar que los homicidios en Uruguay tienen una incidencia que, en el mejor de los casos, cuadriplica la de estos países.</w:t>
      </w:r>
    </w:p>
    <w:p w:rsidR="001E290C" w:rsidRPr="001E290C" w:rsidRDefault="00FF72E9" w:rsidP="001E290C">
      <w:pPr>
        <w:rPr>
          <w:b/>
        </w:rPr>
      </w:pPr>
      <w:r>
        <w:rPr>
          <w:b/>
        </w:rPr>
        <w:t>G</w:t>
      </w:r>
      <w:r w:rsidR="00A17A20" w:rsidRPr="00955E15">
        <w:rPr>
          <w:b/>
        </w:rPr>
        <w:t xml:space="preserve">ráfico </w:t>
      </w:r>
      <w:r w:rsidR="0044303D">
        <w:rPr>
          <w:b/>
        </w:rPr>
        <w:t>5</w:t>
      </w:r>
      <w:r w:rsidR="001D3D8D">
        <w:rPr>
          <w:b/>
        </w:rPr>
        <w:t xml:space="preserve">. </w:t>
      </w:r>
      <w:r w:rsidR="001E290C">
        <w:rPr>
          <w:b/>
          <w:bCs/>
        </w:rPr>
        <w:t>Homicidios  intencionales cada</w:t>
      </w:r>
      <w:r w:rsidR="001E290C" w:rsidRPr="001E290C">
        <w:rPr>
          <w:b/>
          <w:bCs/>
        </w:rPr>
        <w:t xml:space="preserve"> 100 mil hab</w:t>
      </w:r>
      <w:r w:rsidR="001E290C">
        <w:rPr>
          <w:b/>
          <w:bCs/>
        </w:rPr>
        <w:t>itantes</w:t>
      </w:r>
      <w:r w:rsidR="001E290C" w:rsidRPr="001E290C">
        <w:rPr>
          <w:b/>
          <w:bCs/>
        </w:rPr>
        <w:t xml:space="preserve"> (2009)</w:t>
      </w:r>
    </w:p>
    <w:p w:rsidR="00A17A20" w:rsidRDefault="0011652A">
      <w:pPr>
        <w:rPr>
          <w:b/>
        </w:rPr>
      </w:pPr>
      <w:r w:rsidRPr="0011652A">
        <w:rPr>
          <w:noProof/>
        </w:rPr>
        <w:drawing>
          <wp:inline distT="0" distB="0" distL="0" distR="0">
            <wp:extent cx="4124739" cy="2872740"/>
            <wp:effectExtent l="19050" t="0" r="9111" b="0"/>
            <wp:docPr id="1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4126191" cy="2873751"/>
                    </a:xfrm>
                    <a:prstGeom prst="rect">
                      <a:avLst/>
                    </a:prstGeom>
                    <a:noFill/>
                    <a:ln w="9525">
                      <a:noFill/>
                      <a:miter lim="800000"/>
                      <a:headEnd/>
                      <a:tailEnd/>
                    </a:ln>
                  </pic:spPr>
                </pic:pic>
              </a:graphicData>
            </a:graphic>
          </wp:inline>
        </w:drawing>
      </w:r>
    </w:p>
    <w:p w:rsidR="00733D0E" w:rsidRPr="001D3D8D" w:rsidRDefault="00733D0E" w:rsidP="00733D0E">
      <w:pPr>
        <w:jc w:val="both"/>
        <w:rPr>
          <w:sz w:val="20"/>
          <w:szCs w:val="20"/>
        </w:rPr>
      </w:pPr>
      <w:r>
        <w:rPr>
          <w:sz w:val="20"/>
          <w:szCs w:val="20"/>
        </w:rPr>
        <w:t>Fuente: Banco Mundial</w:t>
      </w:r>
      <w:r w:rsidR="001E290C">
        <w:rPr>
          <w:sz w:val="20"/>
          <w:szCs w:val="20"/>
        </w:rPr>
        <w:t>.</w:t>
      </w:r>
    </w:p>
    <w:p w:rsidR="00733D0E" w:rsidRDefault="00733D0E" w:rsidP="00733D0E">
      <w:pPr>
        <w:jc w:val="both"/>
      </w:pPr>
      <w:r>
        <w:t xml:space="preserve">El gráfico 6 muestra el porcentaje de ventas </w:t>
      </w:r>
      <w:r w:rsidR="004628F2">
        <w:t xml:space="preserve">de empresas </w:t>
      </w:r>
      <w:r>
        <w:t>perdidas por concepto de delitos contra la propiedad para países de América Latina, lo que representa una aproximación a uno de los costos de la criminalidad. Las cifras representadas en el gráfico surgen en el marco de la encuesta a empresas llevada a cabo por el Banco Mundial con el apoyo del BID en Latinoamérica. Así, se puede observar que, en Uruguay, las empresas sufren pérdidas equivalentes al 0,32% de sus ventas anuales como consecuencia de la delincuencia. Esta cifra es de las más bajas dentro del contexto regional, siendo Colombia y Panamá los países que muestran valores más bajos, mientras que las pérdidas más grandes se darían en Venezuela (1,44% de las ventas).</w:t>
      </w:r>
    </w:p>
    <w:p w:rsidR="001E290C" w:rsidRPr="001E290C" w:rsidRDefault="001E290C" w:rsidP="006E1CE2">
      <w:pPr>
        <w:keepNext/>
        <w:rPr>
          <w:b/>
        </w:rPr>
      </w:pPr>
      <w:r>
        <w:rPr>
          <w:b/>
          <w:bCs/>
        </w:rPr>
        <w:lastRenderedPageBreak/>
        <w:t xml:space="preserve">Gráfico 6. </w:t>
      </w:r>
      <w:r w:rsidRPr="001E290C">
        <w:rPr>
          <w:b/>
          <w:bCs/>
        </w:rPr>
        <w:t xml:space="preserve">Pérdidas </w:t>
      </w:r>
      <w:r w:rsidR="004628F2">
        <w:rPr>
          <w:b/>
          <w:bCs/>
        </w:rPr>
        <w:t xml:space="preserve">de las empresas </w:t>
      </w:r>
      <w:r w:rsidRPr="001E290C">
        <w:rPr>
          <w:b/>
          <w:bCs/>
        </w:rPr>
        <w:t>por robo, asalto, vandalismo e incendio premeditado (% de ventas)</w:t>
      </w:r>
    </w:p>
    <w:p w:rsidR="00733D0E" w:rsidRPr="00955E15" w:rsidRDefault="00367D71" w:rsidP="006E1CE2">
      <w:pPr>
        <w:keepNext/>
        <w:rPr>
          <w:b/>
        </w:rPr>
      </w:pPr>
      <w:r w:rsidRPr="00367D71">
        <w:rPr>
          <w:noProof/>
        </w:rPr>
        <w:drawing>
          <wp:inline distT="0" distB="0" distL="0" distR="0">
            <wp:extent cx="4113295" cy="2887980"/>
            <wp:effectExtent l="19050" t="0" r="1505" b="0"/>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4116340" cy="2890118"/>
                    </a:xfrm>
                    <a:prstGeom prst="rect">
                      <a:avLst/>
                    </a:prstGeom>
                    <a:noFill/>
                    <a:ln w="9525">
                      <a:noFill/>
                      <a:miter lim="800000"/>
                      <a:headEnd/>
                      <a:tailEnd/>
                    </a:ln>
                  </pic:spPr>
                </pic:pic>
              </a:graphicData>
            </a:graphic>
          </wp:inline>
        </w:drawing>
      </w:r>
    </w:p>
    <w:p w:rsidR="001D3D8D" w:rsidRPr="001D3D8D" w:rsidRDefault="001D3D8D" w:rsidP="00D43478">
      <w:pPr>
        <w:jc w:val="both"/>
        <w:rPr>
          <w:sz w:val="20"/>
          <w:szCs w:val="20"/>
        </w:rPr>
      </w:pPr>
      <w:r>
        <w:rPr>
          <w:sz w:val="20"/>
          <w:szCs w:val="20"/>
        </w:rPr>
        <w:t xml:space="preserve">Fuente: </w:t>
      </w:r>
      <w:r w:rsidR="00733D0E">
        <w:rPr>
          <w:sz w:val="20"/>
          <w:szCs w:val="20"/>
        </w:rPr>
        <w:t xml:space="preserve">Enterprise Survey, </w:t>
      </w:r>
      <w:r>
        <w:rPr>
          <w:sz w:val="20"/>
          <w:szCs w:val="20"/>
        </w:rPr>
        <w:t>Banco Mundial</w:t>
      </w:r>
      <w:r w:rsidR="001E290C">
        <w:rPr>
          <w:sz w:val="20"/>
          <w:szCs w:val="20"/>
        </w:rPr>
        <w:t>.</w:t>
      </w:r>
    </w:p>
    <w:p w:rsidR="0086315C" w:rsidRPr="0086315C" w:rsidRDefault="0086315C" w:rsidP="0086315C">
      <w:pPr>
        <w:pStyle w:val="ListParagraph"/>
        <w:numPr>
          <w:ilvl w:val="0"/>
          <w:numId w:val="1"/>
        </w:numPr>
        <w:ind w:hanging="720"/>
        <w:rPr>
          <w:b/>
        </w:rPr>
      </w:pPr>
      <w:r w:rsidRPr="0086315C">
        <w:rPr>
          <w:b/>
        </w:rPr>
        <w:t>Aspectos metodológicos</w:t>
      </w:r>
    </w:p>
    <w:p w:rsidR="0086315C" w:rsidRDefault="0086315C" w:rsidP="0086315C">
      <w:pPr>
        <w:jc w:val="both"/>
      </w:pPr>
      <w:r>
        <w:t>En esta sección precisaremos los criterios que han sido utilizados para aproximarnos a los costos económicos del crimen en Uruguay. Algunos de estos criterios han sido dictados por decisiones metodológicas, mientras que otros, lo han sido por las limitaciones que imponía la disponibilidad de información.</w:t>
      </w:r>
    </w:p>
    <w:p w:rsidR="0086315C" w:rsidRDefault="0086315C" w:rsidP="0086315C">
      <w:pPr>
        <w:jc w:val="both"/>
      </w:pPr>
      <w:r>
        <w:t>Nuestro objetivo es aproximarnos al costo monetario</w:t>
      </w:r>
      <w:r w:rsidR="007924BB">
        <w:t xml:space="preserve"> </w:t>
      </w:r>
      <w:r>
        <w:t xml:space="preserve">que implican las actividades criminales en Uruguay. Expresado así, este es un objetivo </w:t>
      </w:r>
      <w:r w:rsidR="007924BB">
        <w:t>difícil</w:t>
      </w:r>
      <w:r>
        <w:t xml:space="preserve"> de cumplir. Existen múltiples costos asociados a la criminalidad que no son pasibles de medición con la información actualmente disponible en Uruguay. Por citar un ejemplo, sabemos que ciertos tipos de crímenes tienen importantes costos psicológicos. Sin embargo, y aun partiendo de la hipótesis de que son posibles cuantificaciones monetarias de los mismos, no se disponen de estadísticas que reflejen los daños psicológicos sufridos por las víctimas. </w:t>
      </w:r>
    </w:p>
    <w:p w:rsidR="0086315C" w:rsidRDefault="0086315C" w:rsidP="0086315C">
      <w:pPr>
        <w:jc w:val="both"/>
      </w:pPr>
      <w:r>
        <w:t xml:space="preserve">Por tanto, y para ser más precisos, lo que haremos en este trabajo es medir </w:t>
      </w:r>
      <w:r w:rsidRPr="00966BB9">
        <w:rPr>
          <w:i/>
        </w:rPr>
        <w:t xml:space="preserve">algunos </w:t>
      </w:r>
      <w:r>
        <w:t xml:space="preserve">de los costos monetarios asociados a </w:t>
      </w:r>
      <w:r w:rsidRPr="00966BB9">
        <w:rPr>
          <w:i/>
        </w:rPr>
        <w:t>algunas</w:t>
      </w:r>
      <w:r>
        <w:t xml:space="preserve"> actividades criminales. </w:t>
      </w:r>
    </w:p>
    <w:p w:rsidR="0086315C" w:rsidRDefault="0086315C" w:rsidP="0086315C">
      <w:pPr>
        <w:jc w:val="both"/>
      </w:pPr>
      <w:r>
        <w:t xml:space="preserve">Lo primero que debemos hacer es precisar </w:t>
      </w:r>
      <w:r w:rsidR="00E82603">
        <w:t>cuáles</w:t>
      </w:r>
      <w:r>
        <w:t xml:space="preserve"> son los crímenes que serán el foco de atención en este trabajo.  La disponibilidad de información y la posibilidad de estimación de sus costos harán que nos concentremos fundamentalmente en los costos asociados a crímenes contra la propiedad (típicamente los impuestos por los hurtos y rapiñas), aunque no exclusivamente como quedara claro más abajo, ya que algunos de los costos estimados en el trabajo corresponden a otros tipos de crímenes.</w:t>
      </w:r>
    </w:p>
    <w:p w:rsidR="0086315C" w:rsidRDefault="0086315C" w:rsidP="0086315C">
      <w:pPr>
        <w:jc w:val="both"/>
      </w:pPr>
      <w:r>
        <w:t xml:space="preserve">Con respecto a los costos que consideraremos, creemos pertinente en este punto presentar un marco conceptual que permitirá identificar buena parte de los costos relevantes. </w:t>
      </w:r>
    </w:p>
    <w:p w:rsidR="0086315C" w:rsidRDefault="0086315C" w:rsidP="0086315C">
      <w:pPr>
        <w:jc w:val="both"/>
      </w:pPr>
      <w:r w:rsidRPr="00061A1F">
        <w:lastRenderedPageBreak/>
        <w:t xml:space="preserve">Soares (2009) proporciona un modelo simple que se puede utilizar para </w:t>
      </w:r>
      <w:r>
        <w:t xml:space="preserve">discutir </w:t>
      </w:r>
      <w:r w:rsidRPr="00061A1F">
        <w:t>los diferentes costos asociados a</w:t>
      </w:r>
      <w:r>
        <w:t>l</w:t>
      </w:r>
      <w:r w:rsidRPr="00061A1F">
        <w:t xml:space="preserve"> </w:t>
      </w:r>
      <w:r>
        <w:t>crimen</w:t>
      </w:r>
      <w:r w:rsidRPr="00061A1F">
        <w:t xml:space="preserve">. </w:t>
      </w:r>
      <w:r>
        <w:t xml:space="preserve">Sin entrar en los detalles del modelo, baste con señalar que el mismo tiene como producto final la identificación de algunas de las fuentes de pérdidas de bienestar que sufren los individuos cuando están en un ambiente donde existe criminalidad. </w:t>
      </w:r>
    </w:p>
    <w:p w:rsidR="0086315C" w:rsidRDefault="0086315C" w:rsidP="0086315C">
      <w:pPr>
        <w:jc w:val="both"/>
      </w:pPr>
      <w:r>
        <w:t>En particular, se puede escribir la funci</w:t>
      </w:r>
      <w:r w:rsidRPr="00AD4F63">
        <w:t>ón de pérdida</w:t>
      </w:r>
      <w:r>
        <w:t xml:space="preserve"> para las víctimas como</w:t>
      </w:r>
      <w:r w:rsidRPr="00AD4F63">
        <w:t>:</w:t>
      </w:r>
      <w:r>
        <w:t xml:space="preserve"> </w:t>
      </w:r>
    </w:p>
    <w:p w:rsidR="0086315C" w:rsidRPr="00AD4F63" w:rsidRDefault="00F95673" w:rsidP="0086315C">
      <w:pPr>
        <w:jc w:val="both"/>
        <w:rPr>
          <w:i/>
        </w:rPr>
      </w:pPr>
      <m:oMathPara>
        <m:oMath>
          <m:d>
            <m:dPr>
              <m:ctrlPr>
                <w:rPr>
                  <w:rFonts w:ascii="Cambria Math" w:hAnsi="Cambria Math"/>
                  <w:i/>
                </w:rPr>
              </m:ctrlPr>
            </m:dPr>
            <m:e>
              <m:r>
                <w:rPr>
                  <w:rFonts w:ascii="Cambria Math" w:hAnsi="Cambria Math"/>
                </w:rPr>
                <m:t>1</m:t>
              </m:r>
            </m:e>
          </m:d>
          <m:r>
            <w:rPr>
              <w:rFonts w:ascii="Cambria Math" w:hAnsi="Cambria Math"/>
            </w:rPr>
            <m:t xml:space="preserve">   </m:t>
          </m:r>
          <m:sSub>
            <m:sSubPr>
              <m:ctrlPr>
                <w:rPr>
                  <w:rFonts w:ascii="Cambria Math" w:hAnsi="Cambria Math"/>
                  <w:i/>
                </w:rPr>
              </m:ctrlPr>
            </m:sSubPr>
            <m:e>
              <m:r>
                <w:rPr>
                  <w:rFonts w:ascii="Cambria Math" w:hAnsi="Cambria Math"/>
                </w:rPr>
                <m:t>L</m:t>
              </m:r>
            </m:e>
            <m:sub>
              <m:r>
                <w:rPr>
                  <w:rFonts w:ascii="Cambria Math" w:hAnsi="Cambria Math"/>
                </w:rPr>
                <m:t>v</m:t>
              </m:r>
            </m:sub>
          </m:sSub>
          <m:r>
            <w:rPr>
              <w:rFonts w:ascii="Cambria Math" w:hAnsi="Cambria Math"/>
            </w:rPr>
            <m:t>=(s+j)+</m:t>
          </m:r>
          <m:d>
            <m:dPr>
              <m:ctrlPr>
                <w:rPr>
                  <w:rFonts w:ascii="Cambria Math" w:hAnsi="Cambria Math"/>
                  <w:i/>
                </w:rPr>
              </m:ctrlPr>
            </m:dPr>
            <m:e>
              <m:r>
                <w:rPr>
                  <w:rFonts w:ascii="Cambria Math" w:hAnsi="Cambria Math"/>
                </w:rPr>
                <m:t>σ+px</m:t>
              </m:r>
            </m:e>
          </m:d>
          <m:r>
            <w:rPr>
              <w:rFonts w:ascii="Cambria Math" w:hAnsi="Cambria Math"/>
            </w:rPr>
            <m:t>+p(</m:t>
          </m:r>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c</m:t>
              </m:r>
            </m:sub>
          </m:sSub>
          <m:r>
            <w:rPr>
              <w:rFonts w:ascii="Cambria Math" w:hAnsi="Cambria Math"/>
            </w:rPr>
            <m:t>)</m:t>
          </m:r>
        </m:oMath>
      </m:oMathPara>
    </w:p>
    <w:p w:rsidR="0086315C" w:rsidRDefault="0086315C" w:rsidP="0086315C">
      <w:pPr>
        <w:jc w:val="both"/>
      </w:pPr>
      <w:r w:rsidRPr="00AD4F63">
        <w:t xml:space="preserve">donde </w:t>
      </w:r>
      <m:oMath>
        <m:sSub>
          <m:sSubPr>
            <m:ctrlPr>
              <w:rPr>
                <w:rFonts w:ascii="Cambria Math" w:hAnsi="Cambria Math"/>
                <w:i/>
              </w:rPr>
            </m:ctrlPr>
          </m:sSubPr>
          <m:e>
            <m:r>
              <w:rPr>
                <w:rFonts w:ascii="Cambria Math" w:hAnsi="Cambria Math"/>
              </w:rPr>
              <m:t>L</m:t>
            </m:r>
          </m:e>
          <m:sub>
            <m:r>
              <w:rPr>
                <w:rFonts w:ascii="Cambria Math" w:hAnsi="Cambria Math"/>
              </w:rPr>
              <m:t>v</m:t>
            </m:r>
          </m:sub>
        </m:sSub>
      </m:oMath>
      <w:r w:rsidRPr="00AD4F63">
        <w:t xml:space="preserve"> representa la pérdida</w:t>
      </w:r>
      <w:r>
        <w:t xml:space="preserve"> total</w:t>
      </w:r>
      <w:r w:rsidRPr="00AD4F63">
        <w:t xml:space="preserve"> </w:t>
      </w:r>
      <w:r>
        <w:t xml:space="preserve">de bienestar </w:t>
      </w:r>
      <w:r w:rsidRPr="00AD4F63">
        <w:t>que resulta de la</w:t>
      </w:r>
      <w:r>
        <w:t>s actividades criminales</w:t>
      </w:r>
      <w:r w:rsidRPr="00AD4F63">
        <w:t xml:space="preserve">. Esta </w:t>
      </w:r>
      <w:r>
        <w:t xml:space="preserve">pérdida se </w:t>
      </w:r>
      <w:r w:rsidRPr="00AD4F63">
        <w:t xml:space="preserve">puede </w:t>
      </w:r>
      <w:r>
        <w:t>desagregar</w:t>
      </w:r>
      <w:r w:rsidRPr="00AD4F63">
        <w:t xml:space="preserve"> en tres términos, cada uno de ellos representa</w:t>
      </w:r>
      <w:r>
        <w:t>ndo</w:t>
      </w:r>
      <w:r w:rsidRPr="00AD4F63">
        <w:t xml:space="preserve"> un c</w:t>
      </w:r>
      <w:r>
        <w:t>omponente diferente de los costos</w:t>
      </w:r>
      <w:r w:rsidRPr="00AD4F63">
        <w:t xml:space="preserve"> de la delincuencia. El primero</w:t>
      </w:r>
      <w:r>
        <w:t xml:space="preserve">, </w:t>
      </w:r>
      <m:oMath>
        <m:r>
          <w:rPr>
            <w:rFonts w:ascii="Cambria Math" w:hAnsi="Cambria Math"/>
          </w:rPr>
          <m:t>(s+j)</m:t>
        </m:r>
      </m:oMath>
      <w:r>
        <w:t>,</w:t>
      </w:r>
      <w:r w:rsidRPr="00AD4F63">
        <w:t xml:space="preserve"> representa</w:t>
      </w:r>
      <w:r>
        <w:t xml:space="preserve"> la suma</w:t>
      </w:r>
      <w:r w:rsidRPr="00AD4F63">
        <w:t xml:space="preserve"> </w:t>
      </w:r>
      <w:r>
        <w:t>d</w:t>
      </w:r>
      <w:r w:rsidRPr="00AD4F63">
        <w:t xml:space="preserve">el gasto total en prevención del delito </w:t>
      </w:r>
      <w:r>
        <w:t>(</w:t>
      </w:r>
      <w:r w:rsidRPr="00EC703E">
        <w:rPr>
          <w:i/>
        </w:rPr>
        <w:t>s</w:t>
      </w:r>
      <w:r>
        <w:t xml:space="preserve">) </w:t>
      </w:r>
      <w:r w:rsidRPr="00AD4F63">
        <w:t>y</w:t>
      </w:r>
      <w:r>
        <w:t xml:space="preserve"> en</w:t>
      </w:r>
      <w:r w:rsidRPr="00AD4F63">
        <w:t xml:space="preserve"> castigo del crimen</w:t>
      </w:r>
      <w:r>
        <w:t xml:space="preserve"> (</w:t>
      </w:r>
      <w:r w:rsidRPr="00EC703E">
        <w:rPr>
          <w:i/>
        </w:rPr>
        <w:t>j</w:t>
      </w:r>
      <w:r>
        <w:t>)</w:t>
      </w:r>
      <w:r w:rsidRPr="00AD4F63">
        <w:t xml:space="preserve"> . El segundo</w:t>
      </w:r>
      <w:r>
        <w:t xml:space="preserve">, </w:t>
      </w:r>
      <m:oMath>
        <m:d>
          <m:dPr>
            <m:ctrlPr>
              <w:rPr>
                <w:rFonts w:ascii="Cambria Math" w:hAnsi="Cambria Math"/>
                <w:i/>
              </w:rPr>
            </m:ctrlPr>
          </m:dPr>
          <m:e>
            <m:r>
              <w:rPr>
                <w:rFonts w:ascii="Cambria Math" w:hAnsi="Cambria Math"/>
              </w:rPr>
              <m:t>σ+px</m:t>
            </m:r>
          </m:e>
        </m:d>
      </m:oMath>
      <w:r w:rsidRPr="00EC703E">
        <w:t>,</w:t>
      </w:r>
      <w:r w:rsidRPr="00AD4F63">
        <w:t xml:space="preserve"> refleja el costo de la victimización</w:t>
      </w:r>
      <w:r>
        <w:t xml:space="preserve">. Este costo está asociado por una parte a </w:t>
      </w:r>
      <w:r w:rsidRPr="00AD4F63">
        <w:t>la pérdida</w:t>
      </w:r>
      <w:r>
        <w:t xml:space="preserve"> que proviene de factores </w:t>
      </w:r>
      <w:r w:rsidRPr="00AD4F63">
        <w:t>como el miedo y el trauma</w:t>
      </w:r>
      <w:r>
        <w:t>, lesiones o aún muerte, que generan las actividades delictivas</w:t>
      </w:r>
      <w:r w:rsidRPr="00096E42">
        <w:t xml:space="preserve"> </w:t>
      </w:r>
      <w:r>
        <w:t>(expresada en valor monetario),</w:t>
      </w:r>
      <w:r w:rsidRPr="00AD4F63">
        <w:t xml:space="preserve"> </w:t>
      </w:r>
      <w:r w:rsidRPr="00EC703E">
        <w:rPr>
          <w:i/>
        </w:rPr>
        <w:t>σ</w:t>
      </w:r>
      <w:r>
        <w:t xml:space="preserve">, </w:t>
      </w:r>
      <w:r w:rsidRPr="00AD4F63">
        <w:t xml:space="preserve"> </w:t>
      </w:r>
      <w:r>
        <w:t>y por otra, del</w:t>
      </w:r>
      <w:r w:rsidRPr="00AD4F63">
        <w:t xml:space="preserve"> valor m</w:t>
      </w:r>
      <w:r>
        <w:t>onetario de la mercancía robada (</w:t>
      </w:r>
      <m:oMath>
        <m:r>
          <w:rPr>
            <w:rFonts w:ascii="Cambria Math" w:hAnsi="Cambria Math"/>
          </w:rPr>
          <m:t>px</m:t>
        </m:r>
      </m:oMath>
      <w:r w:rsidRPr="00EC703E">
        <w:t xml:space="preserve">, donde </w:t>
      </w:r>
      <w:r w:rsidRPr="00EC703E">
        <w:rPr>
          <w:i/>
        </w:rPr>
        <w:t>p</w:t>
      </w:r>
      <w:r w:rsidRPr="00EC703E">
        <w:t xml:space="preserve"> es el precio de los bienes y </w:t>
      </w:r>
      <w:r w:rsidRPr="00EC703E">
        <w:rPr>
          <w:i/>
        </w:rPr>
        <w:t>x</w:t>
      </w:r>
      <w:r w:rsidRPr="00EC703E">
        <w:t xml:space="preserve"> las cantidades robadas).</w:t>
      </w:r>
      <w:r>
        <w:t xml:space="preserve"> </w:t>
      </w:r>
      <w:r w:rsidRPr="00AD4F63">
        <w:t>El tercer término</w:t>
      </w:r>
      <w:r>
        <w:t xml:space="preserve">, </w:t>
      </w:r>
      <m:oMath>
        <m:r>
          <w:rPr>
            <w:rFonts w:ascii="Cambria Math" w:hAnsi="Cambria Math"/>
          </w:rPr>
          <m:t>p(</m:t>
        </m:r>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c</m:t>
            </m:r>
          </m:sub>
        </m:sSub>
        <m:r>
          <w:rPr>
            <w:rFonts w:ascii="Cambria Math" w:hAnsi="Cambria Math"/>
          </w:rPr>
          <m:t>)</m:t>
        </m:r>
      </m:oMath>
      <w:r>
        <w:t>, indica</w:t>
      </w:r>
      <w:r w:rsidRPr="00AD4F63">
        <w:t xml:space="preserve"> la pérdida</w:t>
      </w:r>
      <w:r>
        <w:t xml:space="preserve"> de bienestar que se genera a consecuencia </w:t>
      </w:r>
      <w:r w:rsidRPr="00AD4F63">
        <w:t xml:space="preserve">de los cambios de comportamiento </w:t>
      </w:r>
      <w:r>
        <w:t xml:space="preserve">de los individuos que buscan evitar </w:t>
      </w:r>
      <w:r w:rsidRPr="00AD4F63">
        <w:t xml:space="preserve">la victimización </w:t>
      </w:r>
      <w:r>
        <w:t>(e.g. ir menos al cine, dejar de frecuentar algunos lugares, etc</w:t>
      </w:r>
      <w:r w:rsidRPr="00AD4F63">
        <w:t>.</w:t>
      </w:r>
      <w:r>
        <w:t xml:space="preserve">). La dimensión de esta pérdida dependerá de cuán lejos este el comportamiento habitual (en materia de consumo  o uso de servicios) en una situación donde no existe crimen, </w:t>
      </w:r>
      <m:oMath>
        <m:sSub>
          <m:sSubPr>
            <m:ctrlPr>
              <w:rPr>
                <w:rFonts w:ascii="Cambria Math" w:hAnsi="Cambria Math"/>
                <w:i/>
              </w:rPr>
            </m:ctrlPr>
          </m:sSubPr>
          <m:e>
            <m:r>
              <w:rPr>
                <w:rFonts w:ascii="Cambria Math" w:hAnsi="Cambria Math"/>
              </w:rPr>
              <m:t>c</m:t>
            </m:r>
          </m:e>
          <m:sub>
            <m:r>
              <w:rPr>
                <w:rFonts w:ascii="Cambria Math" w:hAnsi="Cambria Math"/>
              </w:rPr>
              <m:t>n</m:t>
            </m:r>
          </m:sub>
        </m:sSub>
      </m:oMath>
      <w:r>
        <w:t xml:space="preserve">, de aquel que prima en una situación donde el crimen está presente, </w:t>
      </w:r>
      <m:oMath>
        <m:sSub>
          <m:sSubPr>
            <m:ctrlPr>
              <w:rPr>
                <w:rFonts w:ascii="Cambria Math" w:hAnsi="Cambria Math"/>
                <w:i/>
              </w:rPr>
            </m:ctrlPr>
          </m:sSubPr>
          <m:e>
            <m:r>
              <w:rPr>
                <w:rFonts w:ascii="Cambria Math" w:hAnsi="Cambria Math"/>
              </w:rPr>
              <m:t>c</m:t>
            </m:r>
          </m:e>
          <m:sub>
            <m:r>
              <w:rPr>
                <w:rFonts w:ascii="Cambria Math" w:hAnsi="Cambria Math"/>
              </w:rPr>
              <m:t>c</m:t>
            </m:r>
          </m:sub>
        </m:sSub>
      </m:oMath>
      <w:r w:rsidRPr="006628CF">
        <w:t>.</w:t>
      </w:r>
      <w:r>
        <w:t xml:space="preserve"> </w:t>
      </w:r>
      <w:r w:rsidR="000F2224">
        <w:t>Este tercer término no será estimado en este trabajo.</w:t>
      </w:r>
    </w:p>
    <w:p w:rsidR="00296D08" w:rsidRPr="00296D08" w:rsidRDefault="00296D08" w:rsidP="00296D08">
      <w:pPr>
        <w:jc w:val="both"/>
      </w:pPr>
      <w:r>
        <w:t xml:space="preserve">Por su parte la </w:t>
      </w:r>
      <w:r w:rsidRPr="00AD4F63">
        <w:t>pérdida</w:t>
      </w:r>
      <w:r>
        <w:t xml:space="preserve"> desde la perspectiva de los criminales puede representarse como:</w:t>
      </w:r>
      <w:r w:rsidRPr="00296D08">
        <w:t xml:space="preserve"> </w:t>
      </w:r>
    </w:p>
    <w:p w:rsidR="00296D08" w:rsidRDefault="00F95673" w:rsidP="00296D08">
      <w:pPr>
        <w:jc w:val="both"/>
      </w:pPr>
      <m:oMathPara>
        <m:oMath>
          <m:d>
            <m:dPr>
              <m:ctrlPr>
                <w:rPr>
                  <w:rFonts w:ascii="Cambria Math" w:hAnsi="Cambria Math"/>
                  <w:i/>
                </w:rPr>
              </m:ctrlPr>
            </m:dPr>
            <m:e>
              <m:r>
                <w:rPr>
                  <w:rFonts w:ascii="Cambria Math" w:hAnsi="Cambria Math"/>
                </w:rPr>
                <m:t>2</m:t>
              </m:r>
            </m:e>
          </m:d>
          <m:r>
            <w:rPr>
              <w:rFonts w:ascii="Cambria Math" w:hAnsi="Cambria Math"/>
            </w:rPr>
            <m:t xml:space="preserve">   </m:t>
          </m:r>
          <m:sSub>
            <m:sSubPr>
              <m:ctrlPr>
                <w:rPr>
                  <w:rFonts w:ascii="Cambria Math" w:hAnsi="Cambria Math"/>
                  <w:i/>
                </w:rPr>
              </m:ctrlPr>
            </m:sSubPr>
            <m:e>
              <m:r>
                <w:rPr>
                  <w:rFonts w:ascii="Cambria Math" w:hAnsi="Cambria Math"/>
                </w:rPr>
                <m:t>L</m:t>
              </m:r>
            </m:e>
            <m:sub>
              <m:r>
                <w:rPr>
                  <w:rFonts w:ascii="Cambria Math" w:hAnsi="Cambria Math"/>
                </w:rPr>
                <m:t>c</m:t>
              </m:r>
            </m:sub>
          </m:sSub>
          <m:r>
            <w:rPr>
              <w:rFonts w:ascii="Cambria Math" w:hAnsi="Cambria Math"/>
            </w:rPr>
            <m:t>=e+u</m:t>
          </m:r>
        </m:oMath>
      </m:oMathPara>
    </w:p>
    <w:p w:rsidR="00296D08" w:rsidRPr="00296D08" w:rsidRDefault="00296D08" w:rsidP="00296D08">
      <w:pPr>
        <w:jc w:val="both"/>
      </w:pPr>
      <w:r w:rsidRPr="00296D08">
        <w:t xml:space="preserve">donde </w:t>
      </w:r>
      <w:r w:rsidRPr="00296D08">
        <w:rPr>
          <w:i/>
        </w:rPr>
        <w:t xml:space="preserve">e </w:t>
      </w:r>
      <w:r w:rsidRPr="00296D08">
        <w:t>representa el esfuerzo realizado en las actividades criminales</w:t>
      </w:r>
      <w:r w:rsidR="00C551D0">
        <w:t xml:space="preserve"> –</w:t>
      </w:r>
      <w:r w:rsidRPr="00296D08">
        <w:t>que puede ser interpretado como el costo de oportunidad en términos del product</w:t>
      </w:r>
      <w:r>
        <w:t>o</w:t>
      </w:r>
      <w:r w:rsidRPr="00296D08">
        <w:t xml:space="preserve"> que podrían haber generado </w:t>
      </w:r>
      <w:r w:rsidR="00C551D0">
        <w:t xml:space="preserve">los criminales </w:t>
      </w:r>
      <w:r w:rsidRPr="00296D08">
        <w:t>si hubieran dedicado ese esf</w:t>
      </w:r>
      <w:r w:rsidR="00C551D0">
        <w:t>uerzo a actividades productivas</w:t>
      </w:r>
      <w:r w:rsidRPr="00296D08">
        <w:t xml:space="preserve">-, </w:t>
      </w:r>
      <w:r>
        <w:t xml:space="preserve">mientras que el segundo término representa la perdida </w:t>
      </w:r>
      <w:r w:rsidR="00F06CFD">
        <w:t>de utilidad de</w:t>
      </w:r>
      <w:r>
        <w:t xml:space="preserve"> aquellos criminales que están en prisión –nosotros lo </w:t>
      </w:r>
      <w:r w:rsidR="002B324A">
        <w:t>cuantificaremos</w:t>
      </w:r>
      <w:r>
        <w:t xml:space="preserve"> como el costo de oportunidad del tiempo perdido en prisión</w:t>
      </w:r>
      <w:r w:rsidRPr="00296D08">
        <w:t>.</w:t>
      </w:r>
    </w:p>
    <w:p w:rsidR="0086315C" w:rsidRDefault="0086315C" w:rsidP="0086315C">
      <w:pPr>
        <w:jc w:val="both"/>
      </w:pPr>
      <w:r w:rsidRPr="00EB3850">
        <w:t>E</w:t>
      </w:r>
      <w:r w:rsidR="001B1C41">
        <w:t xml:space="preserve">ste </w:t>
      </w:r>
      <w:r w:rsidRPr="00EB3850">
        <w:t xml:space="preserve">modelo es estático y </w:t>
      </w:r>
      <w:r>
        <w:t>además no considera el lado de la producción con lo cual no identifica</w:t>
      </w:r>
      <w:r w:rsidRPr="00EB3850">
        <w:t xml:space="preserve"> otros </w:t>
      </w:r>
      <w:r>
        <w:t xml:space="preserve">posibles costos de la criminalidad, como aquellos asociados a un menor nivel de inversión y producción. Esta también será una limitación que presentara este trabajo, ya que estos costos no serán </w:t>
      </w:r>
      <w:r w:rsidR="00C551D0">
        <w:t>considerados</w:t>
      </w:r>
      <w:r>
        <w:t>.</w:t>
      </w:r>
    </w:p>
    <w:p w:rsidR="0086315C" w:rsidRDefault="0086315C" w:rsidP="0086315C">
      <w:pPr>
        <w:jc w:val="both"/>
      </w:pPr>
      <w:r>
        <w:t>Al realizar el trabajo de contabilizar los costos de la criminalidad es importante tener en cuenta el concepto de costo de oportunidad. Esto es, el valor que tienen los recursos cuando son empleados en el mejor uso alternativo. Esto es importante para definir en algunos casos los costos relevantes a considerar. Por ejemplo si alguien es lastimado a consecuencia de una rapiña, y esto imp</w:t>
      </w:r>
      <w:r w:rsidR="00AB6E54">
        <w:t>ide que la persona trabaje por una cantidad determinada de</w:t>
      </w:r>
      <w:r>
        <w:t xml:space="preserve"> días, deberíamos considerar que el costo de esta rapiña, en exceso a lo que fue robado, no solo estará dado por los costos médicos que implican las lesiones sino t</w:t>
      </w:r>
      <w:r w:rsidR="00AB6E54">
        <w:t xml:space="preserve">ambién por el salario perdido por estos </w:t>
      </w:r>
      <w:r>
        <w:t>días no trabajados.</w:t>
      </w:r>
    </w:p>
    <w:p w:rsidR="0086315C" w:rsidRDefault="0086315C" w:rsidP="0086315C">
      <w:pPr>
        <w:spacing w:before="109"/>
        <w:jc w:val="both"/>
      </w:pPr>
      <w:r>
        <w:lastRenderedPageBreak/>
        <w:t>Cuando se habla de costo, es importante tener en cuenta que estamos hablando de costos para la sociedad, por tanto, si existen situaciones en las que simplemente se procesan transferencias voluntarias de unos agentes a otros en general asumiremos que esto no representa un costo para la sociedad en su conjunto.</w:t>
      </w:r>
      <w:r>
        <w:rPr>
          <w:rStyle w:val="FootnoteReference"/>
        </w:rPr>
        <w:footnoteReference w:id="8"/>
      </w:r>
      <w:r>
        <w:t xml:space="preserve"> Sin embargo, en este trabajo pondremos en una categoría diferente a las transferencias no voluntarias (similar enfoque adopta por ejemplo Brand and Price, 2000). Esto tendrá algunas implicaciones concretas, por ejemplo, el valor de los bienes robados será imputado como un costo, ya que se trata de una transferencia no voluntaria. Por el contrario, los pagos que realizan las aseguradoras a los damnificados por robos no serán considerados como un costo, sino simplemente como una trasferencia</w:t>
      </w:r>
      <w:r w:rsidR="00B736B3">
        <w:t xml:space="preserve"> de unos agentes a otros</w:t>
      </w:r>
      <w:r>
        <w:t>. Lo único que se</w:t>
      </w:r>
      <w:r w:rsidR="00B736B3">
        <w:t xml:space="preserve"> contabilizara como un costo es la remuneración a los factores productivos</w:t>
      </w:r>
      <w:r>
        <w:t xml:space="preserve"> de las aseguradoras relacionados a estos siniestros, ya que estos representan recursos que no se utilizan en otros sectores de la economía simplemente por la existencia de criminalidad.</w:t>
      </w:r>
    </w:p>
    <w:p w:rsidR="007924BB" w:rsidRPr="00536FC7" w:rsidRDefault="007924BB" w:rsidP="007924BB">
      <w:pPr>
        <w:jc w:val="both"/>
      </w:pPr>
      <w:r w:rsidRPr="00536FC7">
        <w:t xml:space="preserve">Como resultado de la ausencia de un marco teórico </w:t>
      </w:r>
      <w:r>
        <w:t>general aceptado</w:t>
      </w:r>
      <w:r w:rsidRPr="00536FC7">
        <w:t xml:space="preserve"> para la cuantificación de los costos de la delincuencia, las conclusiones </w:t>
      </w:r>
      <w:r>
        <w:t>obtenidas por los estudios sobre</w:t>
      </w:r>
      <w:r w:rsidRPr="00536FC7">
        <w:t xml:space="preserve"> esta materia se construye encima de una amplia gama de hipótesis y se llevan a cabo mediante la aplicación de diferentes metodologías. Esto conduce a un conjunto heterogéneo de </w:t>
      </w:r>
      <w:r>
        <w:t>r</w:t>
      </w:r>
      <w:r w:rsidRPr="00536FC7">
        <w:t>esultados que puede dar cuenta de aspectos diferentes relacionados con el concepto de costo de la delincuencia, y que son muy difíciles de comparar entre sí.</w:t>
      </w:r>
    </w:p>
    <w:p w:rsidR="007924BB" w:rsidRPr="00536FC7" w:rsidRDefault="007924BB" w:rsidP="007924BB">
      <w:pPr>
        <w:jc w:val="both"/>
      </w:pPr>
      <w:r w:rsidRPr="00536FC7">
        <w:t xml:space="preserve">Una de </w:t>
      </w:r>
      <w:r>
        <w:t xml:space="preserve">las metodologías más utilizadas, el método de contabilidad de los costos, </w:t>
      </w:r>
      <w:r w:rsidRPr="00536FC7">
        <w:t xml:space="preserve">consiste </w:t>
      </w:r>
      <w:r>
        <w:t xml:space="preserve">en la </w:t>
      </w:r>
      <w:r w:rsidRPr="00536FC7">
        <w:t>suma</w:t>
      </w:r>
      <w:r>
        <w:t xml:space="preserve"> de</w:t>
      </w:r>
      <w:r w:rsidRPr="00536FC7">
        <w:t xml:space="preserve"> los diferentes elementos </w:t>
      </w:r>
      <w:r>
        <w:t>que componen el costo</w:t>
      </w:r>
      <w:r w:rsidRPr="00536FC7">
        <w:t xml:space="preserve"> total de la delincuencia, tales como el gasto público y privado en la prevención del crimen y </w:t>
      </w:r>
      <w:r>
        <w:t>en su</w:t>
      </w:r>
      <w:r w:rsidRPr="00536FC7">
        <w:t xml:space="preserve"> castigo, </w:t>
      </w:r>
      <w:r>
        <w:t>los costos de</w:t>
      </w:r>
      <w:r w:rsidRPr="00536FC7">
        <w:t xml:space="preserve"> salud para las víctimas, los costos de oportunidad y </w:t>
      </w:r>
      <w:r>
        <w:t xml:space="preserve">los costos </w:t>
      </w:r>
      <w:r w:rsidRPr="00536FC7">
        <w:t xml:space="preserve">intangibles que están relacionados con cambios en el comportamiento </w:t>
      </w:r>
      <w:r>
        <w:t>de las</w:t>
      </w:r>
      <w:r w:rsidRPr="00536FC7">
        <w:t xml:space="preserve"> personas </w:t>
      </w:r>
      <w:r>
        <w:t>a</w:t>
      </w:r>
      <w:r w:rsidRPr="00536FC7">
        <w:t xml:space="preserve"> consecuencia de la criminalidad. </w:t>
      </w:r>
      <w:r>
        <w:t>Se puede citar como ejemplos de aplicación de esta metodología a Brand</w:t>
      </w:r>
      <w:r w:rsidRPr="00536FC7">
        <w:t xml:space="preserve"> y Price </w:t>
      </w:r>
      <w:r>
        <w:t>(</w:t>
      </w:r>
      <w:r w:rsidRPr="00536FC7">
        <w:t xml:space="preserve">2000) </w:t>
      </w:r>
      <w:r>
        <w:t xml:space="preserve">quienes realizan </w:t>
      </w:r>
      <w:r w:rsidRPr="00536FC7">
        <w:t>una cuantificación global de los costos de la delincuencia y sus componentes para el Reino Unido</w:t>
      </w:r>
      <w:r>
        <w:t xml:space="preserve">; </w:t>
      </w:r>
      <w:r w:rsidRPr="00536FC7">
        <w:t xml:space="preserve"> </w:t>
      </w:r>
      <w:r>
        <w:t>Anderson</w:t>
      </w:r>
      <w:r w:rsidRPr="00536FC7">
        <w:t xml:space="preserve"> </w:t>
      </w:r>
      <w:r>
        <w:t>(</w:t>
      </w:r>
      <w:r w:rsidRPr="00536FC7">
        <w:t>1999</w:t>
      </w:r>
      <w:r>
        <w:t>) que realiza estimaciones para Estados Unidos y</w:t>
      </w:r>
      <w:r w:rsidRPr="00536FC7">
        <w:t xml:space="preserve"> Londoño y Guerrero (1999) </w:t>
      </w:r>
      <w:r>
        <w:t xml:space="preserve">que </w:t>
      </w:r>
      <w:r w:rsidRPr="00536FC7">
        <w:t xml:space="preserve">utilizan el método contable para calcular los costos relacionados con el crimen </w:t>
      </w:r>
      <w:r>
        <w:t>en</w:t>
      </w:r>
      <w:r w:rsidRPr="00536FC7">
        <w:t xml:space="preserve"> seis países de América Latina.</w:t>
      </w:r>
    </w:p>
    <w:p w:rsidR="007924BB" w:rsidRDefault="007924BB" w:rsidP="0023232A">
      <w:pPr>
        <w:spacing w:after="360"/>
        <w:jc w:val="both"/>
      </w:pPr>
      <w:r w:rsidRPr="00536FC7">
        <w:t>Aunque la contabilidad de pérdidas y gastos ofrece la ventaja de incluir diferentes tipos de componentes en la ecuación de costos, la aplicación también puede dar lugar a sesgos hacia la omisión de información relevante, principalmente debido a la falta de datos o el recuento doble de algunos cost</w:t>
      </w:r>
      <w:r>
        <w:t>o</w:t>
      </w:r>
      <w:r w:rsidRPr="00536FC7">
        <w:t>s.</w:t>
      </w:r>
      <w:r>
        <w:t xml:space="preserve"> De alguna forma estas ventajas y limitaciones también est</w:t>
      </w:r>
      <w:r w:rsidR="00566AF8">
        <w:t>arán presentes en este trabajo, que sigue una metodología similar.</w:t>
      </w:r>
    </w:p>
    <w:p w:rsidR="00057B4E" w:rsidRPr="00536FC7" w:rsidRDefault="00057B4E" w:rsidP="0023232A">
      <w:pPr>
        <w:spacing w:after="360"/>
        <w:jc w:val="both"/>
      </w:pPr>
    </w:p>
    <w:p w:rsidR="00EE2395" w:rsidRPr="0023232A" w:rsidRDefault="00152C5C" w:rsidP="00152C5C">
      <w:pPr>
        <w:pStyle w:val="ListParagraph"/>
        <w:numPr>
          <w:ilvl w:val="0"/>
          <w:numId w:val="1"/>
        </w:numPr>
        <w:ind w:hanging="720"/>
        <w:rPr>
          <w:b/>
        </w:rPr>
      </w:pPr>
      <w:r w:rsidRPr="0023232A">
        <w:rPr>
          <w:b/>
        </w:rPr>
        <w:lastRenderedPageBreak/>
        <w:t>Resultado</w:t>
      </w:r>
      <w:r w:rsidR="0023232A" w:rsidRPr="0023232A">
        <w:rPr>
          <w:b/>
        </w:rPr>
        <w:t>s</w:t>
      </w:r>
    </w:p>
    <w:p w:rsidR="00EE2395" w:rsidRDefault="00EE2395" w:rsidP="00EE2395">
      <w:pPr>
        <w:jc w:val="both"/>
      </w:pPr>
      <w:r w:rsidRPr="006531EC">
        <w:t xml:space="preserve">En lo que sigue se </w:t>
      </w:r>
      <w:r>
        <w:t>presenta</w:t>
      </w:r>
      <w:r w:rsidRPr="006531EC">
        <w:t xml:space="preserve">n los resultados </w:t>
      </w:r>
      <w:r>
        <w:t xml:space="preserve">alcanzados </w:t>
      </w:r>
      <w:r w:rsidR="00204294">
        <w:t>de acuerdo a</w:t>
      </w:r>
      <w:r>
        <w:t>l</w:t>
      </w:r>
      <w:r w:rsidR="00204294">
        <w:t xml:space="preserve"> enfoque</w:t>
      </w:r>
      <w:r>
        <w:t xml:space="preserve"> </w:t>
      </w:r>
      <w:r w:rsidR="00204294">
        <w:t xml:space="preserve">general </w:t>
      </w:r>
      <w:r>
        <w:t>expuest</w:t>
      </w:r>
      <w:r w:rsidR="00204294">
        <w:t>o</w:t>
      </w:r>
      <w:r>
        <w:t xml:space="preserve"> en el apartado anterior</w:t>
      </w:r>
      <w:r w:rsidR="00204294">
        <w:t xml:space="preserve"> y </w:t>
      </w:r>
      <w:r w:rsidR="007207A7">
        <w:t xml:space="preserve">algunos detalles metodológicos adicionales que </w:t>
      </w:r>
      <w:r w:rsidR="00204294">
        <w:t xml:space="preserve">se </w:t>
      </w:r>
      <w:r w:rsidR="00DD4859">
        <w:t xml:space="preserve">exponen </w:t>
      </w:r>
      <w:r w:rsidR="00204294">
        <w:t>en los próximos apartados</w:t>
      </w:r>
      <w:r>
        <w:t>. Los costos estimados incluyen los componentes por prevención del delito, los ligados al sistema de justicia (incluyendo costos de reclusión y rehabilitación)</w:t>
      </w:r>
      <w:r w:rsidR="00204294">
        <w:t>,</w:t>
      </w:r>
      <w:r>
        <w:t xml:space="preserve"> la estimación de las pérdidas por robo</w:t>
      </w:r>
      <w:r w:rsidR="00204294">
        <w:t>,</w:t>
      </w:r>
      <w:r>
        <w:t xml:space="preserve"> las estimaciones </w:t>
      </w:r>
      <w:r w:rsidR="00204294">
        <w:t xml:space="preserve">de los </w:t>
      </w:r>
      <w:r>
        <w:t xml:space="preserve">costos intangibles, </w:t>
      </w:r>
      <w:r w:rsidR="00204294">
        <w:t>y los costos asociados</w:t>
      </w:r>
      <w:r>
        <w:t xml:space="preserve"> a quienes cometen delitos. En cada apartado se comenta la forma de cálculo y las fuentes utilizadas para ello</w:t>
      </w:r>
      <w:r w:rsidR="00DE2DA7">
        <w:t>.</w:t>
      </w:r>
    </w:p>
    <w:p w:rsidR="00EE2395" w:rsidRPr="006531EC" w:rsidRDefault="00EE2395" w:rsidP="00EE2395">
      <w:pPr>
        <w:jc w:val="both"/>
      </w:pPr>
      <w:r>
        <w:t>El año de referencia para el cómputo de los costos es el 2010.</w:t>
      </w:r>
    </w:p>
    <w:p w:rsidR="00EE2395" w:rsidRPr="00032F8B" w:rsidRDefault="00EE2395" w:rsidP="00032F8B">
      <w:pPr>
        <w:pStyle w:val="ListParagraph"/>
        <w:numPr>
          <w:ilvl w:val="1"/>
          <w:numId w:val="1"/>
        </w:numPr>
        <w:ind w:hanging="720"/>
        <w:rPr>
          <w:b/>
        </w:rPr>
      </w:pPr>
      <w:r w:rsidRPr="00032F8B">
        <w:rPr>
          <w:b/>
        </w:rPr>
        <w:t>Estimación de los costos de prevención del delito y sistema de justicia (</w:t>
      </w:r>
      <w:r w:rsidRPr="00032F8B">
        <w:rPr>
          <w:b/>
          <w:i/>
        </w:rPr>
        <w:t>s+j</w:t>
      </w:r>
      <w:r w:rsidRPr="00032F8B">
        <w:rPr>
          <w:b/>
        </w:rPr>
        <w:t>)</w:t>
      </w:r>
    </w:p>
    <w:p w:rsidR="00EE2395" w:rsidRDefault="00EE2395" w:rsidP="00EE2395">
      <w:pPr>
        <w:jc w:val="both"/>
      </w:pPr>
      <w:r>
        <w:t>Para la estimación de este componente se diferenciaron los costos correspondientes al sector público de los del sector privado. Respecto de los primeros, l</w:t>
      </w:r>
      <w:r w:rsidRPr="00D308CF">
        <w:t>a mayor parte proviene de las actividades de prevención policial llevadas a cabo por el Ministerio del Interior</w:t>
      </w:r>
      <w:r>
        <w:t xml:space="preserve"> (</w:t>
      </w:r>
      <w:r w:rsidR="0015719C">
        <w:t>MI</w:t>
      </w:r>
      <w:r>
        <w:t>)</w:t>
      </w:r>
      <w:r w:rsidRPr="00D308CF">
        <w:t xml:space="preserve">. Pero hay otras instituciones, como el Ministerio de Defensa </w:t>
      </w:r>
      <w:r w:rsidR="00DD4859">
        <w:t>(MDN),</w:t>
      </w:r>
      <w:r w:rsidRPr="00D308CF">
        <w:t xml:space="preserve"> el Ministerio de Desarrollo Social</w:t>
      </w:r>
      <w:r>
        <w:t xml:space="preserve"> (M</w:t>
      </w:r>
      <w:r w:rsidR="00DD4859">
        <w:t>IDES) y</w:t>
      </w:r>
      <w:r>
        <w:t xml:space="preserve"> </w:t>
      </w:r>
      <w:r w:rsidR="00DD4859">
        <w:t xml:space="preserve">el </w:t>
      </w:r>
      <w:r>
        <w:t>Instituto del Niño y Adolescente del Uruguay (INAU)</w:t>
      </w:r>
      <w:r w:rsidRPr="00D308CF">
        <w:t xml:space="preserve"> que </w:t>
      </w:r>
      <w:r>
        <w:t xml:space="preserve">asignan parte de su presupuesto a la </w:t>
      </w:r>
      <w:r w:rsidRPr="00D308CF">
        <w:t>disuasión del delito</w:t>
      </w:r>
      <w:r>
        <w:t>, represión</w:t>
      </w:r>
      <w:r w:rsidRPr="00D308CF">
        <w:t xml:space="preserve"> y rehabilitación, </w:t>
      </w:r>
      <w:r>
        <w:t xml:space="preserve">por lo que también son </w:t>
      </w:r>
      <w:r w:rsidRPr="00D308CF">
        <w:t>considerados</w:t>
      </w:r>
      <w:r>
        <w:t xml:space="preserve"> en la cuotaparte que corresponde</w:t>
      </w:r>
      <w:r w:rsidRPr="00D308CF">
        <w:t xml:space="preserve">. </w:t>
      </w:r>
      <w:r>
        <w:t xml:space="preserve">La fuente de datos para estas partidas públicas es la Rendición de Cuentas y Balance de Ejecución Presupuestal correspondiente al año 2010, identificándose los programas </w:t>
      </w:r>
      <w:r w:rsidRPr="00D308CF">
        <w:t>pertinentes en las diferentes instituciones públicas.</w:t>
      </w:r>
    </w:p>
    <w:p w:rsidR="00EE2395" w:rsidRDefault="00EE2395" w:rsidP="00EE2395">
      <w:pPr>
        <w:jc w:val="both"/>
      </w:pPr>
      <w:r>
        <w:t>Los costos ligados a las actividades de prevención y seguridad pública se concentran en las actividades de mantenimiento del orden interno que lleva a cabo principalmente el Ministerio del Interior.</w:t>
      </w:r>
      <w:r>
        <w:rPr>
          <w:rStyle w:val="FootnoteReference"/>
        </w:rPr>
        <w:footnoteReference w:id="9"/>
      </w:r>
      <w:r>
        <w:t xml:space="preserve"> De acuerdo al Presupuesto por programa presentado por ese ministerio, estas actividades corresponden a las partidas “</w:t>
      </w:r>
      <w:r w:rsidR="00205DD5">
        <w:t>Mantenimiento del orden interno-</w:t>
      </w:r>
      <w:r>
        <w:t>Montevideo”, y “Mantenimiento del orden interno-Interior”. Asimismo, la cuota parte de los costos de administración global y de recursos humanos correspondiente a las actividades seleccionadas.</w:t>
      </w:r>
      <w:r>
        <w:rPr>
          <w:rStyle w:val="FootnoteReference"/>
        </w:rPr>
        <w:footnoteReference w:id="10"/>
      </w:r>
      <w:r>
        <w:t xml:space="preserve"> También se incluyeron en este ítem las actividades del Ministerio de Defensa, identificadas con el control del delito (partida identificada en el Presupuesto Nacional bajo igual denominación). Al igual que en el Ministerio del Interior, se asignó una cuota parte de administraci</w:t>
      </w:r>
      <w:r w:rsidR="00DD4859">
        <w:t xml:space="preserve">ón global a prorrata del </w:t>
      </w:r>
      <w:r>
        <w:t>monto de las partidas incluidas por prevención del delito.</w:t>
      </w:r>
      <w:r>
        <w:rPr>
          <w:rStyle w:val="FootnoteReference"/>
        </w:rPr>
        <w:footnoteReference w:id="11"/>
      </w:r>
    </w:p>
    <w:p w:rsidR="00EE2395" w:rsidRDefault="00EE2395" w:rsidP="00EE2395">
      <w:pPr>
        <w:jc w:val="both"/>
      </w:pPr>
      <w:r>
        <w:t>Por su parte, el</w:t>
      </w:r>
      <w:r w:rsidRPr="00D308CF">
        <w:t xml:space="preserve"> componente </w:t>
      </w:r>
      <w:r>
        <w:t>de costos asociado a las acciones en respuesta del crimen</w:t>
      </w:r>
      <w:r w:rsidRPr="00D308CF">
        <w:t xml:space="preserve"> se puede aproximar </w:t>
      </w:r>
      <w:r>
        <w:t xml:space="preserve">a través del presupuesto </w:t>
      </w:r>
      <w:r w:rsidRPr="00D308CF">
        <w:t>público en justicia (audiencias, juicios y otros gastos relacionados con la delincuencia)</w:t>
      </w:r>
      <w:r>
        <w:t xml:space="preserve"> y en </w:t>
      </w:r>
      <w:r w:rsidRPr="00D308CF">
        <w:t>centros de reclusión</w:t>
      </w:r>
      <w:r>
        <w:t>, y en las actividades de rehabilitación</w:t>
      </w:r>
      <w:r w:rsidRPr="00D308CF">
        <w:t xml:space="preserve">. </w:t>
      </w:r>
      <w:r>
        <w:t xml:space="preserve">Se incluyeron aquí las partidas presupuestales correspondientes al Poder Judicial y Fiscalía de la Nación, por los gastos en juicios, audiencias y demás. Del presupuesto </w:t>
      </w:r>
      <w:r>
        <w:lastRenderedPageBreak/>
        <w:t>correspondiente a estos incisos se asignó la cuota que surge de distribuir el presupuesto global en función del número de asuntos jurídicos entrados por causas penales o adolescentes en el total de asuntos ingresados.</w:t>
      </w:r>
      <w:r>
        <w:rPr>
          <w:rStyle w:val="FootnoteReference"/>
        </w:rPr>
        <w:footnoteReference w:id="12"/>
      </w:r>
    </w:p>
    <w:p w:rsidR="00EE2395" w:rsidRDefault="00EE2395" w:rsidP="00EE2395">
      <w:pPr>
        <w:jc w:val="both"/>
      </w:pPr>
      <w:r>
        <w:t xml:space="preserve">Respecto de los gastos por centros de reclusión y rehabilitación, se incluyó la </w:t>
      </w:r>
      <w:r w:rsidR="00226408">
        <w:t>a</w:t>
      </w:r>
      <w:r w:rsidRPr="00F501C9">
        <w:t xml:space="preserve">dministración del Sistema Penitenciario Nacional </w:t>
      </w:r>
      <w:r>
        <w:t>(</w:t>
      </w:r>
      <w:r w:rsidR="00226408">
        <w:t>MI</w:t>
      </w:r>
      <w:r>
        <w:t xml:space="preserve">), la partida correspondiente a la </w:t>
      </w:r>
      <w:r w:rsidR="00226408">
        <w:t>g</w:t>
      </w:r>
      <w:r w:rsidRPr="00A5651E">
        <w:t xml:space="preserve">estión de la privación de libertad  </w:t>
      </w:r>
      <w:r>
        <w:t xml:space="preserve">(MDN), la </w:t>
      </w:r>
      <w:r w:rsidR="00226408">
        <w:t>g</w:t>
      </w:r>
      <w:r w:rsidRPr="00A5651E">
        <w:t>estión de la privación de libertad</w:t>
      </w:r>
      <w:r>
        <w:t xml:space="preserve"> (INAU), y los programas de</w:t>
      </w:r>
      <w:r w:rsidRPr="00A5651E">
        <w:t xml:space="preserve"> violencia </w:t>
      </w:r>
      <w:r w:rsidR="00226408">
        <w:t>doméstica y r</w:t>
      </w:r>
      <w:r w:rsidRPr="00A5651E">
        <w:t>ehabilitación</w:t>
      </w:r>
      <w:r>
        <w:t xml:space="preserve"> </w:t>
      </w:r>
      <w:r w:rsidR="00226408">
        <w:t>(</w:t>
      </w:r>
      <w:r>
        <w:t>MIDES</w:t>
      </w:r>
      <w:r w:rsidR="00226408">
        <w:t>)</w:t>
      </w:r>
      <w:r>
        <w:t>.</w:t>
      </w:r>
    </w:p>
    <w:p w:rsidR="00D57687" w:rsidRDefault="00EE2395" w:rsidP="00057B4E">
      <w:pPr>
        <w:jc w:val="both"/>
        <w:rPr>
          <w:b/>
        </w:rPr>
      </w:pPr>
      <w:r>
        <w:t>En el cuadro 3 se sintetizan estos gastos detallando las partidas computadas en cada caso; los montos están expresados en miles de pesos uruguayos corrientes, dólares corrientes y en porcentaje del Producto Interno Bruto (PIB), todo al año 2010.</w:t>
      </w:r>
      <w:r>
        <w:rPr>
          <w:rStyle w:val="FootnoteReference"/>
        </w:rPr>
        <w:footnoteReference w:id="13"/>
      </w:r>
    </w:p>
    <w:p w:rsidR="00EE2395" w:rsidRPr="006E037C" w:rsidRDefault="00EE2395" w:rsidP="00057B4E">
      <w:pPr>
        <w:spacing w:line="240" w:lineRule="auto"/>
        <w:jc w:val="both"/>
        <w:rPr>
          <w:b/>
        </w:rPr>
      </w:pPr>
      <w:r w:rsidRPr="006E037C">
        <w:rPr>
          <w:b/>
        </w:rPr>
        <w:t xml:space="preserve">Cuadro </w:t>
      </w:r>
      <w:r>
        <w:rPr>
          <w:b/>
        </w:rPr>
        <w:t>3</w:t>
      </w:r>
      <w:r w:rsidRPr="006E037C">
        <w:rPr>
          <w:b/>
        </w:rPr>
        <w:t>. Gasto público en seguridad y justicia año 2010 (en miles de $ uruguayos corrientes, miles de dólares corrientes y porcentaje del PIB)</w:t>
      </w:r>
    </w:p>
    <w:tbl>
      <w:tblPr>
        <w:tblW w:w="8680" w:type="dxa"/>
        <w:tblInd w:w="55" w:type="dxa"/>
        <w:tblCellMar>
          <w:left w:w="70" w:type="dxa"/>
          <w:right w:w="70" w:type="dxa"/>
        </w:tblCellMar>
        <w:tblLook w:val="04A0" w:firstRow="1" w:lastRow="0" w:firstColumn="1" w:lastColumn="0" w:noHBand="0" w:noVBand="1"/>
      </w:tblPr>
      <w:tblGrid>
        <w:gridCol w:w="4660"/>
        <w:gridCol w:w="1540"/>
        <w:gridCol w:w="1220"/>
        <w:gridCol w:w="1260"/>
      </w:tblGrid>
      <w:tr w:rsidR="00A565EC" w:rsidRPr="00703675" w:rsidTr="00285F79">
        <w:trPr>
          <w:trHeight w:val="308"/>
        </w:trPr>
        <w:tc>
          <w:tcPr>
            <w:tcW w:w="4660" w:type="dxa"/>
            <w:tcBorders>
              <w:top w:val="single" w:sz="4" w:space="0" w:color="auto"/>
              <w:bottom w:val="single" w:sz="4" w:space="0" w:color="auto"/>
            </w:tcBorders>
            <w:shd w:val="clear" w:color="auto" w:fill="auto"/>
            <w:noWrap/>
            <w:vAlign w:val="bottom"/>
            <w:hideMark/>
          </w:tcPr>
          <w:p w:rsidR="00A565EC" w:rsidRPr="00703675" w:rsidRDefault="00A565EC" w:rsidP="00A565EC">
            <w:pPr>
              <w:spacing w:after="0" w:line="240" w:lineRule="auto"/>
              <w:rPr>
                <w:rFonts w:ascii="Calibri" w:eastAsia="Times New Roman" w:hAnsi="Calibri" w:cs="Times New Roman"/>
                <w:b/>
                <w:bCs/>
                <w:color w:val="000000"/>
                <w:sz w:val="20"/>
                <w:szCs w:val="20"/>
                <w:lang w:val="es-ES" w:eastAsia="es-ES"/>
              </w:rPr>
            </w:pPr>
            <w:r w:rsidRPr="00703675">
              <w:rPr>
                <w:rFonts w:ascii="Calibri" w:eastAsia="Times New Roman" w:hAnsi="Calibri" w:cs="Times New Roman"/>
                <w:b/>
                <w:bCs/>
                <w:color w:val="000000"/>
                <w:sz w:val="20"/>
                <w:szCs w:val="20"/>
                <w:lang w:val="es-ES" w:eastAsia="es-ES"/>
              </w:rPr>
              <w:t>Gasto Público</w:t>
            </w:r>
          </w:p>
        </w:tc>
        <w:tc>
          <w:tcPr>
            <w:tcW w:w="1540" w:type="dxa"/>
            <w:tcBorders>
              <w:top w:val="single" w:sz="4" w:space="0" w:color="auto"/>
              <w:bottom w:val="single" w:sz="4" w:space="0" w:color="auto"/>
            </w:tcBorders>
            <w:shd w:val="clear" w:color="auto" w:fill="auto"/>
            <w:noWrap/>
            <w:vAlign w:val="bottom"/>
            <w:hideMark/>
          </w:tcPr>
          <w:p w:rsidR="00A565EC" w:rsidRPr="00703675" w:rsidRDefault="00A565EC" w:rsidP="00A565EC">
            <w:pPr>
              <w:spacing w:after="0" w:line="240" w:lineRule="auto"/>
              <w:jc w:val="right"/>
              <w:rPr>
                <w:rFonts w:ascii="Calibri" w:eastAsia="Times New Roman" w:hAnsi="Calibri" w:cs="Times New Roman"/>
                <w:b/>
                <w:bCs/>
                <w:color w:val="000000"/>
                <w:sz w:val="20"/>
                <w:szCs w:val="20"/>
                <w:lang w:val="es-ES" w:eastAsia="es-ES"/>
              </w:rPr>
            </w:pPr>
            <w:r w:rsidRPr="00703675">
              <w:rPr>
                <w:rFonts w:ascii="Calibri" w:eastAsia="Times New Roman" w:hAnsi="Calibri" w:cs="Times New Roman"/>
                <w:b/>
                <w:bCs/>
                <w:color w:val="000000"/>
                <w:sz w:val="20"/>
                <w:szCs w:val="20"/>
                <w:lang w:val="es-ES" w:eastAsia="es-ES"/>
              </w:rPr>
              <w:t>miles $</w:t>
            </w:r>
          </w:p>
        </w:tc>
        <w:tc>
          <w:tcPr>
            <w:tcW w:w="1220" w:type="dxa"/>
            <w:tcBorders>
              <w:top w:val="single" w:sz="4" w:space="0" w:color="auto"/>
              <w:bottom w:val="single" w:sz="4" w:space="0" w:color="auto"/>
            </w:tcBorders>
            <w:shd w:val="clear" w:color="auto" w:fill="auto"/>
            <w:noWrap/>
            <w:vAlign w:val="bottom"/>
            <w:hideMark/>
          </w:tcPr>
          <w:p w:rsidR="00A565EC" w:rsidRPr="00703675" w:rsidRDefault="00A565EC" w:rsidP="00A565EC">
            <w:pPr>
              <w:spacing w:after="0" w:line="240" w:lineRule="auto"/>
              <w:jc w:val="right"/>
              <w:rPr>
                <w:rFonts w:ascii="Calibri" w:eastAsia="Times New Roman" w:hAnsi="Calibri" w:cs="Times New Roman"/>
                <w:b/>
                <w:bCs/>
                <w:color w:val="000000"/>
                <w:sz w:val="20"/>
                <w:szCs w:val="20"/>
                <w:lang w:val="es-ES" w:eastAsia="es-ES"/>
              </w:rPr>
            </w:pPr>
            <w:r w:rsidRPr="00703675">
              <w:rPr>
                <w:rFonts w:ascii="Calibri" w:eastAsia="Times New Roman" w:hAnsi="Calibri" w:cs="Times New Roman"/>
                <w:b/>
                <w:bCs/>
                <w:color w:val="000000"/>
                <w:sz w:val="20"/>
                <w:szCs w:val="20"/>
                <w:lang w:val="es-ES" w:eastAsia="es-ES"/>
              </w:rPr>
              <w:t>miles USD</w:t>
            </w:r>
          </w:p>
        </w:tc>
        <w:tc>
          <w:tcPr>
            <w:tcW w:w="1260" w:type="dxa"/>
            <w:tcBorders>
              <w:top w:val="single" w:sz="4" w:space="0" w:color="auto"/>
              <w:bottom w:val="single" w:sz="4" w:space="0" w:color="auto"/>
            </w:tcBorders>
            <w:shd w:val="clear" w:color="auto" w:fill="auto"/>
            <w:noWrap/>
            <w:vAlign w:val="bottom"/>
            <w:hideMark/>
          </w:tcPr>
          <w:p w:rsidR="00A565EC" w:rsidRPr="00703675" w:rsidRDefault="00A565EC" w:rsidP="00A565EC">
            <w:pPr>
              <w:spacing w:after="0" w:line="240" w:lineRule="auto"/>
              <w:jc w:val="right"/>
              <w:rPr>
                <w:rFonts w:ascii="Calibri" w:eastAsia="Times New Roman" w:hAnsi="Calibri" w:cs="Times New Roman"/>
                <w:b/>
                <w:bCs/>
                <w:color w:val="000000"/>
                <w:sz w:val="20"/>
                <w:szCs w:val="20"/>
                <w:lang w:val="es-ES" w:eastAsia="es-ES"/>
              </w:rPr>
            </w:pPr>
            <w:r w:rsidRPr="00703675">
              <w:rPr>
                <w:rFonts w:ascii="Calibri" w:eastAsia="Times New Roman" w:hAnsi="Calibri" w:cs="Times New Roman"/>
                <w:b/>
                <w:bCs/>
                <w:color w:val="000000"/>
                <w:sz w:val="20"/>
                <w:szCs w:val="20"/>
                <w:lang w:val="es-ES" w:eastAsia="es-ES"/>
              </w:rPr>
              <w:t>%PIB</w:t>
            </w:r>
          </w:p>
        </w:tc>
      </w:tr>
      <w:tr w:rsidR="00A565EC" w:rsidRPr="00285F79" w:rsidTr="00285F79">
        <w:trPr>
          <w:trHeight w:val="375"/>
        </w:trPr>
        <w:tc>
          <w:tcPr>
            <w:tcW w:w="4660" w:type="dxa"/>
            <w:tcBorders>
              <w:top w:val="single" w:sz="4" w:space="0" w:color="auto"/>
            </w:tcBorders>
            <w:shd w:val="clear" w:color="auto" w:fill="auto"/>
            <w:noWrap/>
            <w:vAlign w:val="bottom"/>
            <w:hideMark/>
          </w:tcPr>
          <w:p w:rsidR="00A565EC" w:rsidRPr="00285F79" w:rsidRDefault="00285F79" w:rsidP="00A565EC">
            <w:pPr>
              <w:spacing w:after="0" w:line="240" w:lineRule="auto"/>
              <w:rPr>
                <w:rFonts w:ascii="Calibri" w:eastAsia="Times New Roman" w:hAnsi="Calibri" w:cs="Times New Roman"/>
                <w:b/>
                <w:color w:val="000000"/>
                <w:sz w:val="20"/>
                <w:szCs w:val="20"/>
                <w:lang w:val="es-ES" w:eastAsia="es-ES"/>
              </w:rPr>
            </w:pPr>
            <w:r w:rsidRPr="00285F79">
              <w:rPr>
                <w:rFonts w:ascii="Calibri" w:eastAsia="Times New Roman" w:hAnsi="Calibri" w:cs="Times New Roman"/>
                <w:b/>
                <w:color w:val="000000"/>
                <w:sz w:val="20"/>
                <w:szCs w:val="20"/>
                <w:lang w:val="es-ES" w:eastAsia="es-ES"/>
              </w:rPr>
              <w:t>Total</w:t>
            </w:r>
          </w:p>
        </w:tc>
        <w:tc>
          <w:tcPr>
            <w:tcW w:w="1540" w:type="dxa"/>
            <w:tcBorders>
              <w:top w:val="single" w:sz="4" w:space="0" w:color="auto"/>
            </w:tcBorders>
            <w:shd w:val="clear" w:color="auto" w:fill="auto"/>
            <w:noWrap/>
            <w:vAlign w:val="center"/>
            <w:hideMark/>
          </w:tcPr>
          <w:p w:rsidR="00A565EC" w:rsidRPr="00285F79" w:rsidRDefault="00A565EC" w:rsidP="00A565EC">
            <w:pPr>
              <w:spacing w:after="0" w:line="240" w:lineRule="auto"/>
              <w:jc w:val="right"/>
              <w:rPr>
                <w:rFonts w:ascii="Calibri" w:eastAsia="Times New Roman" w:hAnsi="Calibri" w:cs="Times New Roman"/>
                <w:b/>
                <w:color w:val="000000"/>
                <w:sz w:val="20"/>
                <w:szCs w:val="20"/>
                <w:lang w:val="es-ES" w:eastAsia="es-ES"/>
              </w:rPr>
            </w:pPr>
            <w:r w:rsidRPr="00285F79">
              <w:rPr>
                <w:rFonts w:ascii="Calibri" w:eastAsia="Times New Roman" w:hAnsi="Calibri" w:cs="Times New Roman"/>
                <w:b/>
                <w:color w:val="000000"/>
                <w:sz w:val="20"/>
                <w:szCs w:val="20"/>
                <w:lang w:val="es-ES" w:eastAsia="es-ES"/>
              </w:rPr>
              <w:t>10.394.453</w:t>
            </w:r>
          </w:p>
        </w:tc>
        <w:tc>
          <w:tcPr>
            <w:tcW w:w="1220" w:type="dxa"/>
            <w:tcBorders>
              <w:top w:val="single" w:sz="4" w:space="0" w:color="auto"/>
            </w:tcBorders>
            <w:shd w:val="clear" w:color="auto" w:fill="auto"/>
            <w:noWrap/>
            <w:vAlign w:val="center"/>
            <w:hideMark/>
          </w:tcPr>
          <w:p w:rsidR="00A565EC" w:rsidRPr="00285F79" w:rsidRDefault="00A565EC" w:rsidP="00A565EC">
            <w:pPr>
              <w:spacing w:after="0" w:line="240" w:lineRule="auto"/>
              <w:jc w:val="right"/>
              <w:rPr>
                <w:rFonts w:ascii="Calibri" w:eastAsia="Times New Roman" w:hAnsi="Calibri" w:cs="Times New Roman"/>
                <w:b/>
                <w:color w:val="000000"/>
                <w:sz w:val="20"/>
                <w:szCs w:val="20"/>
                <w:lang w:val="es-ES" w:eastAsia="es-ES"/>
              </w:rPr>
            </w:pPr>
            <w:r w:rsidRPr="00285F79">
              <w:rPr>
                <w:rFonts w:ascii="Calibri" w:eastAsia="Times New Roman" w:hAnsi="Calibri" w:cs="Times New Roman"/>
                <w:b/>
                <w:color w:val="000000"/>
                <w:sz w:val="20"/>
                <w:szCs w:val="20"/>
                <w:lang w:val="es-ES" w:eastAsia="es-ES"/>
              </w:rPr>
              <w:t>518.187</w:t>
            </w:r>
          </w:p>
        </w:tc>
        <w:tc>
          <w:tcPr>
            <w:tcW w:w="1260" w:type="dxa"/>
            <w:tcBorders>
              <w:top w:val="single" w:sz="4" w:space="0" w:color="auto"/>
            </w:tcBorders>
            <w:shd w:val="clear" w:color="auto" w:fill="auto"/>
            <w:noWrap/>
            <w:vAlign w:val="center"/>
            <w:hideMark/>
          </w:tcPr>
          <w:p w:rsidR="00A565EC" w:rsidRPr="00285F79" w:rsidRDefault="00A565EC" w:rsidP="00A565EC">
            <w:pPr>
              <w:spacing w:after="0" w:line="240" w:lineRule="auto"/>
              <w:jc w:val="right"/>
              <w:rPr>
                <w:rFonts w:ascii="Calibri" w:eastAsia="Times New Roman" w:hAnsi="Calibri" w:cs="Times New Roman"/>
                <w:b/>
                <w:color w:val="000000"/>
                <w:sz w:val="20"/>
                <w:szCs w:val="20"/>
                <w:lang w:val="es-ES" w:eastAsia="es-ES"/>
              </w:rPr>
            </w:pPr>
            <w:r w:rsidRPr="00285F79">
              <w:rPr>
                <w:rFonts w:ascii="Calibri" w:eastAsia="Times New Roman" w:hAnsi="Calibri" w:cs="Times New Roman"/>
                <w:b/>
                <w:color w:val="000000"/>
                <w:sz w:val="20"/>
                <w:szCs w:val="20"/>
                <w:lang w:val="es-ES" w:eastAsia="es-ES"/>
              </w:rPr>
              <w:t>1,31%</w:t>
            </w:r>
          </w:p>
        </w:tc>
      </w:tr>
      <w:tr w:rsidR="00A565EC" w:rsidRPr="00285F79" w:rsidTr="00285F79">
        <w:trPr>
          <w:trHeight w:val="360"/>
        </w:trPr>
        <w:tc>
          <w:tcPr>
            <w:tcW w:w="4660" w:type="dxa"/>
            <w:shd w:val="clear" w:color="auto" w:fill="auto"/>
            <w:noWrap/>
            <w:vAlign w:val="bottom"/>
            <w:hideMark/>
          </w:tcPr>
          <w:p w:rsidR="00A565EC" w:rsidRPr="00285F79" w:rsidRDefault="00A565EC" w:rsidP="00A565EC">
            <w:pPr>
              <w:spacing w:after="0" w:line="240" w:lineRule="auto"/>
              <w:rPr>
                <w:rFonts w:ascii="Calibri" w:eastAsia="Times New Roman" w:hAnsi="Calibri" w:cs="Times New Roman"/>
                <w:b/>
                <w:color w:val="000000"/>
                <w:sz w:val="20"/>
                <w:szCs w:val="20"/>
                <w:lang w:val="es-ES" w:eastAsia="es-ES"/>
              </w:rPr>
            </w:pPr>
            <w:r w:rsidRPr="00285F79">
              <w:rPr>
                <w:rFonts w:ascii="Calibri" w:eastAsia="Times New Roman" w:hAnsi="Calibri" w:cs="Times New Roman"/>
                <w:b/>
                <w:color w:val="000000"/>
                <w:sz w:val="20"/>
                <w:szCs w:val="20"/>
                <w:lang w:val="es-ES" w:eastAsia="es-ES"/>
              </w:rPr>
              <w:t>Seguridad y prevención del delito</w:t>
            </w:r>
          </w:p>
        </w:tc>
        <w:tc>
          <w:tcPr>
            <w:tcW w:w="1540" w:type="dxa"/>
            <w:shd w:val="clear" w:color="auto" w:fill="auto"/>
            <w:noWrap/>
            <w:vAlign w:val="center"/>
            <w:hideMark/>
          </w:tcPr>
          <w:p w:rsidR="00A565EC" w:rsidRPr="00285F79" w:rsidRDefault="00A565EC" w:rsidP="00A565EC">
            <w:pPr>
              <w:spacing w:after="0" w:line="240" w:lineRule="auto"/>
              <w:jc w:val="right"/>
              <w:rPr>
                <w:rFonts w:ascii="Calibri" w:eastAsia="Times New Roman" w:hAnsi="Calibri" w:cs="Times New Roman"/>
                <w:b/>
                <w:color w:val="000000"/>
                <w:sz w:val="20"/>
                <w:szCs w:val="20"/>
                <w:lang w:val="es-ES" w:eastAsia="es-ES"/>
              </w:rPr>
            </w:pPr>
            <w:r w:rsidRPr="00285F79">
              <w:rPr>
                <w:rFonts w:ascii="Calibri" w:eastAsia="Times New Roman" w:hAnsi="Calibri" w:cs="Times New Roman"/>
                <w:b/>
                <w:color w:val="000000"/>
                <w:sz w:val="20"/>
                <w:szCs w:val="20"/>
                <w:lang w:val="es-ES" w:eastAsia="es-ES"/>
              </w:rPr>
              <w:t>7.963.404</w:t>
            </w:r>
          </w:p>
        </w:tc>
        <w:tc>
          <w:tcPr>
            <w:tcW w:w="1220" w:type="dxa"/>
            <w:shd w:val="clear" w:color="auto" w:fill="auto"/>
            <w:noWrap/>
            <w:vAlign w:val="center"/>
            <w:hideMark/>
          </w:tcPr>
          <w:p w:rsidR="00A565EC" w:rsidRPr="00285F79" w:rsidRDefault="00A565EC" w:rsidP="00A565EC">
            <w:pPr>
              <w:spacing w:after="0" w:line="240" w:lineRule="auto"/>
              <w:jc w:val="right"/>
              <w:rPr>
                <w:rFonts w:ascii="Calibri" w:eastAsia="Times New Roman" w:hAnsi="Calibri" w:cs="Times New Roman"/>
                <w:b/>
                <w:color w:val="000000"/>
                <w:sz w:val="20"/>
                <w:szCs w:val="20"/>
                <w:lang w:val="es-ES" w:eastAsia="es-ES"/>
              </w:rPr>
            </w:pPr>
            <w:r w:rsidRPr="00285F79">
              <w:rPr>
                <w:rFonts w:ascii="Calibri" w:eastAsia="Times New Roman" w:hAnsi="Calibri" w:cs="Times New Roman"/>
                <w:b/>
                <w:color w:val="000000"/>
                <w:sz w:val="20"/>
                <w:szCs w:val="20"/>
                <w:lang w:val="es-ES" w:eastAsia="es-ES"/>
              </w:rPr>
              <w:t>396.994</w:t>
            </w:r>
          </w:p>
        </w:tc>
        <w:tc>
          <w:tcPr>
            <w:tcW w:w="1260" w:type="dxa"/>
            <w:shd w:val="clear" w:color="auto" w:fill="auto"/>
            <w:noWrap/>
            <w:vAlign w:val="center"/>
            <w:hideMark/>
          </w:tcPr>
          <w:p w:rsidR="00A565EC" w:rsidRPr="00285F79" w:rsidRDefault="00A565EC" w:rsidP="00A565EC">
            <w:pPr>
              <w:spacing w:after="0" w:line="240" w:lineRule="auto"/>
              <w:jc w:val="right"/>
              <w:rPr>
                <w:rFonts w:ascii="Calibri" w:eastAsia="Times New Roman" w:hAnsi="Calibri" w:cs="Times New Roman"/>
                <w:b/>
                <w:color w:val="000000"/>
                <w:sz w:val="20"/>
                <w:szCs w:val="20"/>
                <w:lang w:val="es-ES" w:eastAsia="es-ES"/>
              </w:rPr>
            </w:pPr>
            <w:r w:rsidRPr="00285F79">
              <w:rPr>
                <w:rFonts w:ascii="Calibri" w:eastAsia="Times New Roman" w:hAnsi="Calibri" w:cs="Times New Roman"/>
                <w:b/>
                <w:color w:val="000000"/>
                <w:sz w:val="20"/>
                <w:szCs w:val="20"/>
                <w:lang w:val="es-ES" w:eastAsia="es-ES"/>
              </w:rPr>
              <w:t>1,01%</w:t>
            </w:r>
          </w:p>
        </w:tc>
      </w:tr>
      <w:tr w:rsidR="00A565EC" w:rsidRPr="00703675" w:rsidTr="00285F79">
        <w:trPr>
          <w:trHeight w:val="300"/>
        </w:trPr>
        <w:tc>
          <w:tcPr>
            <w:tcW w:w="4660" w:type="dxa"/>
            <w:shd w:val="clear" w:color="auto" w:fill="auto"/>
            <w:noWrap/>
            <w:vAlign w:val="bottom"/>
            <w:hideMark/>
          </w:tcPr>
          <w:p w:rsidR="00A565EC" w:rsidRPr="00703675" w:rsidRDefault="00285F79" w:rsidP="00A565EC">
            <w:pPr>
              <w:spacing w:after="0" w:line="240" w:lineRule="auto"/>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 xml:space="preserve">   </w:t>
            </w:r>
            <w:r w:rsidR="00A565EC" w:rsidRPr="00703675">
              <w:rPr>
                <w:rFonts w:ascii="Calibri" w:eastAsia="Times New Roman" w:hAnsi="Calibri" w:cs="Times New Roman"/>
                <w:color w:val="000000"/>
                <w:sz w:val="20"/>
                <w:szCs w:val="20"/>
                <w:lang w:val="es-ES" w:eastAsia="es-ES"/>
              </w:rPr>
              <w:t>Ministerio del Interior</w:t>
            </w:r>
          </w:p>
        </w:tc>
        <w:tc>
          <w:tcPr>
            <w:tcW w:w="154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7.635.621</w:t>
            </w:r>
          </w:p>
        </w:tc>
        <w:tc>
          <w:tcPr>
            <w:tcW w:w="122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380.653</w:t>
            </w:r>
          </w:p>
        </w:tc>
        <w:tc>
          <w:tcPr>
            <w:tcW w:w="126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0,97%</w:t>
            </w:r>
          </w:p>
        </w:tc>
      </w:tr>
      <w:tr w:rsidR="00A565EC" w:rsidRPr="00703675" w:rsidTr="00285F79">
        <w:trPr>
          <w:trHeight w:val="300"/>
        </w:trPr>
        <w:tc>
          <w:tcPr>
            <w:tcW w:w="4660" w:type="dxa"/>
            <w:shd w:val="clear" w:color="auto" w:fill="auto"/>
            <w:noWrap/>
            <w:vAlign w:val="bottom"/>
            <w:hideMark/>
          </w:tcPr>
          <w:p w:rsidR="00A565EC" w:rsidRPr="00703675" w:rsidRDefault="00285F79" w:rsidP="00A565EC">
            <w:pPr>
              <w:spacing w:after="0" w:line="240" w:lineRule="auto"/>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 xml:space="preserve">      </w:t>
            </w:r>
            <w:r w:rsidR="00A565EC" w:rsidRPr="00703675">
              <w:rPr>
                <w:rFonts w:ascii="Calibri" w:eastAsia="Times New Roman" w:hAnsi="Calibri" w:cs="Times New Roman"/>
                <w:color w:val="000000"/>
                <w:sz w:val="20"/>
                <w:szCs w:val="20"/>
                <w:lang w:val="es-ES" w:eastAsia="es-ES"/>
              </w:rPr>
              <w:t xml:space="preserve">Mantenimiento del Orden Interno-Montevideo  </w:t>
            </w:r>
          </w:p>
        </w:tc>
        <w:tc>
          <w:tcPr>
            <w:tcW w:w="154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2.649.973</w:t>
            </w:r>
          </w:p>
        </w:tc>
        <w:tc>
          <w:tcPr>
            <w:tcW w:w="122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132.107</w:t>
            </w:r>
          </w:p>
        </w:tc>
        <w:tc>
          <w:tcPr>
            <w:tcW w:w="126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0,34%</w:t>
            </w:r>
          </w:p>
        </w:tc>
      </w:tr>
      <w:tr w:rsidR="00A565EC" w:rsidRPr="00703675" w:rsidTr="00285F79">
        <w:trPr>
          <w:trHeight w:val="300"/>
        </w:trPr>
        <w:tc>
          <w:tcPr>
            <w:tcW w:w="4660" w:type="dxa"/>
            <w:shd w:val="clear" w:color="auto" w:fill="auto"/>
            <w:noWrap/>
            <w:vAlign w:val="bottom"/>
            <w:hideMark/>
          </w:tcPr>
          <w:p w:rsidR="00A565EC" w:rsidRPr="00703675" w:rsidRDefault="00285F79" w:rsidP="00A565EC">
            <w:pPr>
              <w:spacing w:after="0" w:line="240" w:lineRule="auto"/>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 xml:space="preserve">      </w:t>
            </w:r>
            <w:r w:rsidR="00A565EC" w:rsidRPr="00703675">
              <w:rPr>
                <w:rFonts w:ascii="Calibri" w:eastAsia="Times New Roman" w:hAnsi="Calibri" w:cs="Times New Roman"/>
                <w:color w:val="000000"/>
                <w:sz w:val="20"/>
                <w:szCs w:val="20"/>
                <w:lang w:val="es-ES" w:eastAsia="es-ES"/>
              </w:rPr>
              <w:t xml:space="preserve">Mantenimiento del Orden Interno-Interior  </w:t>
            </w:r>
          </w:p>
        </w:tc>
        <w:tc>
          <w:tcPr>
            <w:tcW w:w="154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3.710.220</w:t>
            </w:r>
          </w:p>
        </w:tc>
        <w:tc>
          <w:tcPr>
            <w:tcW w:w="122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184.963</w:t>
            </w:r>
          </w:p>
        </w:tc>
        <w:tc>
          <w:tcPr>
            <w:tcW w:w="126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0,47%</w:t>
            </w:r>
          </w:p>
        </w:tc>
      </w:tr>
      <w:tr w:rsidR="00A565EC" w:rsidRPr="00703675" w:rsidTr="00285F79">
        <w:trPr>
          <w:trHeight w:val="300"/>
        </w:trPr>
        <w:tc>
          <w:tcPr>
            <w:tcW w:w="4660" w:type="dxa"/>
            <w:shd w:val="clear" w:color="auto" w:fill="auto"/>
            <w:noWrap/>
            <w:vAlign w:val="bottom"/>
            <w:hideMark/>
          </w:tcPr>
          <w:p w:rsidR="00A565EC" w:rsidRPr="00703675" w:rsidRDefault="00285F79" w:rsidP="00A565EC">
            <w:pPr>
              <w:spacing w:after="0" w:line="240" w:lineRule="auto"/>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 xml:space="preserve">      Cuota parte pto. G</w:t>
            </w:r>
            <w:r w:rsidR="00A565EC" w:rsidRPr="00703675">
              <w:rPr>
                <w:rFonts w:ascii="Calibri" w:eastAsia="Times New Roman" w:hAnsi="Calibri" w:cs="Times New Roman"/>
                <w:color w:val="000000"/>
                <w:sz w:val="20"/>
                <w:szCs w:val="20"/>
                <w:lang w:val="es-ES" w:eastAsia="es-ES"/>
              </w:rPr>
              <w:t>ral</w:t>
            </w:r>
            <w:r>
              <w:rPr>
                <w:rFonts w:ascii="Calibri" w:eastAsia="Times New Roman" w:hAnsi="Calibri" w:cs="Times New Roman"/>
                <w:color w:val="000000"/>
                <w:sz w:val="20"/>
                <w:szCs w:val="20"/>
                <w:lang w:val="es-ES" w:eastAsia="es-ES"/>
              </w:rPr>
              <w:t>.</w:t>
            </w:r>
          </w:p>
        </w:tc>
        <w:tc>
          <w:tcPr>
            <w:tcW w:w="154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1.275.428</w:t>
            </w:r>
          </w:p>
        </w:tc>
        <w:tc>
          <w:tcPr>
            <w:tcW w:w="122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63.583</w:t>
            </w:r>
          </w:p>
        </w:tc>
        <w:tc>
          <w:tcPr>
            <w:tcW w:w="126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0,16%</w:t>
            </w:r>
          </w:p>
        </w:tc>
      </w:tr>
      <w:tr w:rsidR="00A565EC" w:rsidRPr="00703675" w:rsidTr="00285F79">
        <w:trPr>
          <w:trHeight w:val="300"/>
        </w:trPr>
        <w:tc>
          <w:tcPr>
            <w:tcW w:w="4660" w:type="dxa"/>
            <w:shd w:val="clear" w:color="auto" w:fill="auto"/>
            <w:noWrap/>
            <w:vAlign w:val="bottom"/>
            <w:hideMark/>
          </w:tcPr>
          <w:p w:rsidR="00A565EC" w:rsidRPr="00703675" w:rsidRDefault="00285F79" w:rsidP="00A565EC">
            <w:pPr>
              <w:spacing w:after="0" w:line="240" w:lineRule="auto"/>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 xml:space="preserve">   </w:t>
            </w:r>
            <w:r w:rsidR="00A565EC" w:rsidRPr="00703675">
              <w:rPr>
                <w:rFonts w:ascii="Calibri" w:eastAsia="Times New Roman" w:hAnsi="Calibri" w:cs="Times New Roman"/>
                <w:color w:val="000000"/>
                <w:sz w:val="20"/>
                <w:szCs w:val="20"/>
                <w:lang w:val="es-ES" w:eastAsia="es-ES"/>
              </w:rPr>
              <w:t>Ministerio de Defensa Nacional</w:t>
            </w:r>
          </w:p>
        </w:tc>
        <w:tc>
          <w:tcPr>
            <w:tcW w:w="154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327.783</w:t>
            </w:r>
          </w:p>
        </w:tc>
        <w:tc>
          <w:tcPr>
            <w:tcW w:w="122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16.341</w:t>
            </w:r>
          </w:p>
        </w:tc>
        <w:tc>
          <w:tcPr>
            <w:tcW w:w="126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0,04%</w:t>
            </w:r>
          </w:p>
        </w:tc>
      </w:tr>
      <w:tr w:rsidR="00A565EC" w:rsidRPr="00703675" w:rsidTr="00285F79">
        <w:trPr>
          <w:trHeight w:val="300"/>
        </w:trPr>
        <w:tc>
          <w:tcPr>
            <w:tcW w:w="4660" w:type="dxa"/>
            <w:shd w:val="clear" w:color="auto" w:fill="auto"/>
            <w:noWrap/>
            <w:vAlign w:val="bottom"/>
            <w:hideMark/>
          </w:tcPr>
          <w:p w:rsidR="00A565EC" w:rsidRPr="00703675" w:rsidRDefault="00285F79" w:rsidP="00A565EC">
            <w:pPr>
              <w:spacing w:after="0" w:line="240" w:lineRule="auto"/>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 xml:space="preserve">      </w:t>
            </w:r>
            <w:r w:rsidR="00A565EC" w:rsidRPr="00703675">
              <w:rPr>
                <w:rFonts w:ascii="Calibri" w:eastAsia="Times New Roman" w:hAnsi="Calibri" w:cs="Times New Roman"/>
                <w:color w:val="000000"/>
                <w:sz w:val="20"/>
                <w:szCs w:val="20"/>
                <w:lang w:val="es-ES" w:eastAsia="es-ES"/>
              </w:rPr>
              <w:t xml:space="preserve">Prevención y represión del delito  </w:t>
            </w:r>
          </w:p>
        </w:tc>
        <w:tc>
          <w:tcPr>
            <w:tcW w:w="154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274.497</w:t>
            </w:r>
          </w:p>
        </w:tc>
        <w:tc>
          <w:tcPr>
            <w:tcW w:w="122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13.684</w:t>
            </w:r>
          </w:p>
        </w:tc>
        <w:tc>
          <w:tcPr>
            <w:tcW w:w="126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0,03%</w:t>
            </w:r>
          </w:p>
        </w:tc>
      </w:tr>
      <w:tr w:rsidR="00A565EC" w:rsidRPr="00703675" w:rsidTr="00285F79">
        <w:trPr>
          <w:trHeight w:val="315"/>
        </w:trPr>
        <w:tc>
          <w:tcPr>
            <w:tcW w:w="4660" w:type="dxa"/>
            <w:shd w:val="clear" w:color="auto" w:fill="auto"/>
            <w:noWrap/>
            <w:vAlign w:val="bottom"/>
            <w:hideMark/>
          </w:tcPr>
          <w:p w:rsidR="00A565EC" w:rsidRPr="00703675" w:rsidRDefault="00285F79" w:rsidP="00A565EC">
            <w:pPr>
              <w:spacing w:after="0" w:line="240" w:lineRule="auto"/>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 xml:space="preserve">      </w:t>
            </w:r>
            <w:r w:rsidR="00A565EC" w:rsidRPr="00703675">
              <w:rPr>
                <w:rFonts w:ascii="Calibri" w:eastAsia="Times New Roman" w:hAnsi="Calibri" w:cs="Times New Roman"/>
                <w:color w:val="000000"/>
                <w:sz w:val="20"/>
                <w:szCs w:val="20"/>
                <w:lang w:val="es-ES" w:eastAsia="es-ES"/>
              </w:rPr>
              <w:t>Cuota parte pto gral.</w:t>
            </w:r>
          </w:p>
        </w:tc>
        <w:tc>
          <w:tcPr>
            <w:tcW w:w="154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53.286</w:t>
            </w:r>
          </w:p>
        </w:tc>
        <w:tc>
          <w:tcPr>
            <w:tcW w:w="122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2.656</w:t>
            </w:r>
          </w:p>
        </w:tc>
        <w:tc>
          <w:tcPr>
            <w:tcW w:w="126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0,01%</w:t>
            </w:r>
          </w:p>
        </w:tc>
      </w:tr>
      <w:tr w:rsidR="00A565EC" w:rsidRPr="00285F79" w:rsidTr="00285F79">
        <w:trPr>
          <w:trHeight w:val="360"/>
        </w:trPr>
        <w:tc>
          <w:tcPr>
            <w:tcW w:w="4660" w:type="dxa"/>
            <w:shd w:val="clear" w:color="auto" w:fill="auto"/>
            <w:noWrap/>
            <w:vAlign w:val="bottom"/>
            <w:hideMark/>
          </w:tcPr>
          <w:p w:rsidR="00A565EC" w:rsidRPr="00285F79" w:rsidRDefault="00A565EC" w:rsidP="00A565EC">
            <w:pPr>
              <w:spacing w:after="0" w:line="240" w:lineRule="auto"/>
              <w:rPr>
                <w:rFonts w:ascii="Calibri" w:eastAsia="Times New Roman" w:hAnsi="Calibri" w:cs="Times New Roman"/>
                <w:b/>
                <w:color w:val="000000"/>
                <w:sz w:val="20"/>
                <w:szCs w:val="20"/>
                <w:lang w:val="es-ES" w:eastAsia="es-ES"/>
              </w:rPr>
            </w:pPr>
            <w:bookmarkStart w:id="1" w:name="_Hlk342762295"/>
            <w:r w:rsidRPr="00285F79">
              <w:rPr>
                <w:rFonts w:ascii="Calibri" w:eastAsia="Times New Roman" w:hAnsi="Calibri" w:cs="Times New Roman"/>
                <w:b/>
                <w:color w:val="000000"/>
                <w:sz w:val="20"/>
                <w:szCs w:val="20"/>
                <w:lang w:val="es-ES" w:eastAsia="es-ES"/>
              </w:rPr>
              <w:t>Justicia, reclusión y rehabilitación</w:t>
            </w:r>
            <w:bookmarkEnd w:id="1"/>
          </w:p>
        </w:tc>
        <w:tc>
          <w:tcPr>
            <w:tcW w:w="1540" w:type="dxa"/>
            <w:shd w:val="clear" w:color="auto" w:fill="auto"/>
            <w:noWrap/>
            <w:vAlign w:val="center"/>
            <w:hideMark/>
          </w:tcPr>
          <w:p w:rsidR="00A565EC" w:rsidRPr="00285F79" w:rsidRDefault="00A565EC" w:rsidP="00A565EC">
            <w:pPr>
              <w:spacing w:after="0" w:line="240" w:lineRule="auto"/>
              <w:jc w:val="right"/>
              <w:rPr>
                <w:rFonts w:ascii="Calibri" w:eastAsia="Times New Roman" w:hAnsi="Calibri" w:cs="Times New Roman"/>
                <w:b/>
                <w:color w:val="000000"/>
                <w:sz w:val="20"/>
                <w:szCs w:val="20"/>
                <w:lang w:val="es-ES" w:eastAsia="es-ES"/>
              </w:rPr>
            </w:pPr>
            <w:r w:rsidRPr="00285F79">
              <w:rPr>
                <w:rFonts w:ascii="Calibri" w:eastAsia="Times New Roman" w:hAnsi="Calibri" w:cs="Times New Roman"/>
                <w:b/>
                <w:color w:val="000000"/>
                <w:sz w:val="20"/>
                <w:szCs w:val="20"/>
                <w:lang w:val="es-ES" w:eastAsia="es-ES"/>
              </w:rPr>
              <w:t>2.431.049</w:t>
            </w:r>
          </w:p>
        </w:tc>
        <w:tc>
          <w:tcPr>
            <w:tcW w:w="1220" w:type="dxa"/>
            <w:shd w:val="clear" w:color="auto" w:fill="auto"/>
            <w:noWrap/>
            <w:vAlign w:val="center"/>
            <w:hideMark/>
          </w:tcPr>
          <w:p w:rsidR="00A565EC" w:rsidRPr="00285F79" w:rsidRDefault="00A565EC" w:rsidP="00A565EC">
            <w:pPr>
              <w:spacing w:after="0" w:line="240" w:lineRule="auto"/>
              <w:jc w:val="right"/>
              <w:rPr>
                <w:rFonts w:ascii="Calibri" w:eastAsia="Times New Roman" w:hAnsi="Calibri" w:cs="Times New Roman"/>
                <w:b/>
                <w:color w:val="000000"/>
                <w:sz w:val="20"/>
                <w:szCs w:val="20"/>
                <w:lang w:val="es-ES" w:eastAsia="es-ES"/>
              </w:rPr>
            </w:pPr>
            <w:r w:rsidRPr="00285F79">
              <w:rPr>
                <w:rFonts w:ascii="Calibri" w:eastAsia="Times New Roman" w:hAnsi="Calibri" w:cs="Times New Roman"/>
                <w:b/>
                <w:color w:val="000000"/>
                <w:sz w:val="20"/>
                <w:szCs w:val="20"/>
                <w:lang w:val="es-ES" w:eastAsia="es-ES"/>
              </w:rPr>
              <w:t>121.193</w:t>
            </w:r>
          </w:p>
        </w:tc>
        <w:tc>
          <w:tcPr>
            <w:tcW w:w="1260" w:type="dxa"/>
            <w:shd w:val="clear" w:color="auto" w:fill="auto"/>
            <w:noWrap/>
            <w:vAlign w:val="center"/>
            <w:hideMark/>
          </w:tcPr>
          <w:p w:rsidR="00A565EC" w:rsidRPr="00285F79" w:rsidRDefault="00A565EC" w:rsidP="00A565EC">
            <w:pPr>
              <w:spacing w:after="0" w:line="240" w:lineRule="auto"/>
              <w:jc w:val="right"/>
              <w:rPr>
                <w:rFonts w:ascii="Calibri" w:eastAsia="Times New Roman" w:hAnsi="Calibri" w:cs="Times New Roman"/>
                <w:b/>
                <w:color w:val="000000"/>
                <w:sz w:val="20"/>
                <w:szCs w:val="20"/>
                <w:lang w:val="es-ES" w:eastAsia="es-ES"/>
              </w:rPr>
            </w:pPr>
            <w:r w:rsidRPr="00285F79">
              <w:rPr>
                <w:rFonts w:ascii="Calibri" w:eastAsia="Times New Roman" w:hAnsi="Calibri" w:cs="Times New Roman"/>
                <w:b/>
                <w:color w:val="000000"/>
                <w:sz w:val="20"/>
                <w:szCs w:val="20"/>
                <w:lang w:val="es-ES" w:eastAsia="es-ES"/>
              </w:rPr>
              <w:t>0,31%</w:t>
            </w:r>
          </w:p>
        </w:tc>
      </w:tr>
      <w:tr w:rsidR="00A565EC" w:rsidRPr="00703675" w:rsidTr="00285F79">
        <w:trPr>
          <w:trHeight w:val="300"/>
        </w:trPr>
        <w:tc>
          <w:tcPr>
            <w:tcW w:w="4660" w:type="dxa"/>
            <w:shd w:val="clear" w:color="auto" w:fill="auto"/>
            <w:noWrap/>
            <w:vAlign w:val="bottom"/>
            <w:hideMark/>
          </w:tcPr>
          <w:p w:rsidR="00A565EC" w:rsidRPr="00703675" w:rsidRDefault="00285F79" w:rsidP="00A565EC">
            <w:pPr>
              <w:spacing w:after="0" w:line="240" w:lineRule="auto"/>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 xml:space="preserve">   </w:t>
            </w:r>
            <w:r w:rsidR="00A565EC" w:rsidRPr="00703675">
              <w:rPr>
                <w:rFonts w:ascii="Calibri" w:eastAsia="Times New Roman" w:hAnsi="Calibri" w:cs="Times New Roman"/>
                <w:color w:val="000000"/>
                <w:sz w:val="20"/>
                <w:szCs w:val="20"/>
                <w:lang w:val="es-ES" w:eastAsia="es-ES"/>
              </w:rPr>
              <w:t>Ministerio del Interior</w:t>
            </w:r>
          </w:p>
        </w:tc>
        <w:tc>
          <w:tcPr>
            <w:tcW w:w="154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1.608.532</w:t>
            </w:r>
          </w:p>
        </w:tc>
        <w:tc>
          <w:tcPr>
            <w:tcW w:w="122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80.189</w:t>
            </w:r>
          </w:p>
        </w:tc>
        <w:tc>
          <w:tcPr>
            <w:tcW w:w="126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0,20%</w:t>
            </w:r>
          </w:p>
        </w:tc>
      </w:tr>
      <w:tr w:rsidR="00A565EC" w:rsidRPr="00703675" w:rsidTr="00285F79">
        <w:trPr>
          <w:trHeight w:val="300"/>
        </w:trPr>
        <w:tc>
          <w:tcPr>
            <w:tcW w:w="4660" w:type="dxa"/>
            <w:shd w:val="clear" w:color="auto" w:fill="auto"/>
            <w:noWrap/>
            <w:vAlign w:val="bottom"/>
            <w:hideMark/>
          </w:tcPr>
          <w:p w:rsidR="00A565EC" w:rsidRPr="00703675" w:rsidRDefault="00285F79" w:rsidP="00A565EC">
            <w:pPr>
              <w:spacing w:after="0" w:line="240" w:lineRule="auto"/>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 xml:space="preserve">     </w:t>
            </w:r>
            <w:r w:rsidR="00A565EC" w:rsidRPr="00703675">
              <w:rPr>
                <w:rFonts w:ascii="Calibri" w:eastAsia="Times New Roman" w:hAnsi="Calibri" w:cs="Times New Roman"/>
                <w:color w:val="000000"/>
                <w:sz w:val="20"/>
                <w:szCs w:val="20"/>
                <w:lang w:val="es-ES" w:eastAsia="es-ES"/>
              </w:rPr>
              <w:t xml:space="preserve"> Administración del Sistema Penitenciario Nacional  </w:t>
            </w:r>
          </w:p>
        </w:tc>
        <w:tc>
          <w:tcPr>
            <w:tcW w:w="154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1.340.997</w:t>
            </w:r>
          </w:p>
        </w:tc>
        <w:tc>
          <w:tcPr>
            <w:tcW w:w="122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66.852</w:t>
            </w:r>
          </w:p>
        </w:tc>
        <w:tc>
          <w:tcPr>
            <w:tcW w:w="126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0,17%</w:t>
            </w:r>
          </w:p>
        </w:tc>
      </w:tr>
      <w:tr w:rsidR="00A565EC" w:rsidRPr="00703675" w:rsidTr="00285F79">
        <w:trPr>
          <w:trHeight w:val="300"/>
        </w:trPr>
        <w:tc>
          <w:tcPr>
            <w:tcW w:w="4660" w:type="dxa"/>
            <w:shd w:val="clear" w:color="auto" w:fill="auto"/>
            <w:noWrap/>
            <w:vAlign w:val="bottom"/>
            <w:hideMark/>
          </w:tcPr>
          <w:p w:rsidR="00A565EC" w:rsidRPr="00703675" w:rsidRDefault="00285F79" w:rsidP="00285F79">
            <w:pPr>
              <w:spacing w:after="0" w:line="240" w:lineRule="auto"/>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 xml:space="preserve">      </w:t>
            </w:r>
            <w:r w:rsidR="00A565EC" w:rsidRPr="00703675">
              <w:rPr>
                <w:rFonts w:ascii="Calibri" w:eastAsia="Times New Roman" w:hAnsi="Calibri" w:cs="Times New Roman"/>
                <w:color w:val="000000"/>
                <w:sz w:val="20"/>
                <w:szCs w:val="20"/>
                <w:lang w:val="es-ES" w:eastAsia="es-ES"/>
              </w:rPr>
              <w:t xml:space="preserve">Cuota parte pto. </w:t>
            </w:r>
            <w:r>
              <w:rPr>
                <w:rFonts w:ascii="Calibri" w:eastAsia="Times New Roman" w:hAnsi="Calibri" w:cs="Times New Roman"/>
                <w:color w:val="000000"/>
                <w:sz w:val="20"/>
                <w:szCs w:val="20"/>
                <w:lang w:val="es-ES" w:eastAsia="es-ES"/>
              </w:rPr>
              <w:t>g</w:t>
            </w:r>
            <w:r w:rsidR="00A565EC" w:rsidRPr="00703675">
              <w:rPr>
                <w:rFonts w:ascii="Calibri" w:eastAsia="Times New Roman" w:hAnsi="Calibri" w:cs="Times New Roman"/>
                <w:color w:val="000000"/>
                <w:sz w:val="20"/>
                <w:szCs w:val="20"/>
                <w:lang w:val="es-ES" w:eastAsia="es-ES"/>
              </w:rPr>
              <w:t>ral</w:t>
            </w:r>
            <w:r>
              <w:rPr>
                <w:rFonts w:ascii="Calibri" w:eastAsia="Times New Roman" w:hAnsi="Calibri" w:cs="Times New Roman"/>
                <w:color w:val="000000"/>
                <w:sz w:val="20"/>
                <w:szCs w:val="20"/>
                <w:lang w:val="es-ES" w:eastAsia="es-ES"/>
              </w:rPr>
              <w:t>.</w:t>
            </w:r>
          </w:p>
        </w:tc>
        <w:tc>
          <w:tcPr>
            <w:tcW w:w="154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267.536</w:t>
            </w:r>
          </w:p>
        </w:tc>
        <w:tc>
          <w:tcPr>
            <w:tcW w:w="122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13.337</w:t>
            </w:r>
          </w:p>
        </w:tc>
        <w:tc>
          <w:tcPr>
            <w:tcW w:w="126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0,03%</w:t>
            </w:r>
          </w:p>
        </w:tc>
      </w:tr>
      <w:tr w:rsidR="00A565EC" w:rsidRPr="00703675" w:rsidTr="00285F79">
        <w:trPr>
          <w:trHeight w:val="300"/>
        </w:trPr>
        <w:tc>
          <w:tcPr>
            <w:tcW w:w="4660" w:type="dxa"/>
            <w:shd w:val="clear" w:color="auto" w:fill="auto"/>
            <w:noWrap/>
            <w:vAlign w:val="bottom"/>
            <w:hideMark/>
          </w:tcPr>
          <w:p w:rsidR="00A565EC" w:rsidRPr="00703675" w:rsidRDefault="00285F79" w:rsidP="00A565EC">
            <w:pPr>
              <w:spacing w:after="0" w:line="240" w:lineRule="auto"/>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 xml:space="preserve">   </w:t>
            </w:r>
            <w:r w:rsidR="00A565EC" w:rsidRPr="00703675">
              <w:rPr>
                <w:rFonts w:ascii="Calibri" w:eastAsia="Times New Roman" w:hAnsi="Calibri" w:cs="Times New Roman"/>
                <w:color w:val="000000"/>
                <w:sz w:val="20"/>
                <w:szCs w:val="20"/>
                <w:lang w:val="es-ES" w:eastAsia="es-ES"/>
              </w:rPr>
              <w:t>Ministerio de Defensa Nacional</w:t>
            </w:r>
          </w:p>
        </w:tc>
        <w:tc>
          <w:tcPr>
            <w:tcW w:w="154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83.278</w:t>
            </w:r>
          </w:p>
        </w:tc>
        <w:tc>
          <w:tcPr>
            <w:tcW w:w="122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4.152</w:t>
            </w:r>
          </w:p>
        </w:tc>
        <w:tc>
          <w:tcPr>
            <w:tcW w:w="126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0,01%</w:t>
            </w:r>
          </w:p>
        </w:tc>
      </w:tr>
      <w:tr w:rsidR="00A565EC" w:rsidRPr="00703675" w:rsidTr="00285F79">
        <w:trPr>
          <w:trHeight w:val="300"/>
        </w:trPr>
        <w:tc>
          <w:tcPr>
            <w:tcW w:w="4660" w:type="dxa"/>
            <w:shd w:val="clear" w:color="auto" w:fill="auto"/>
            <w:noWrap/>
            <w:vAlign w:val="bottom"/>
            <w:hideMark/>
          </w:tcPr>
          <w:p w:rsidR="00A565EC" w:rsidRPr="00703675" w:rsidRDefault="00285F79" w:rsidP="00A565EC">
            <w:pPr>
              <w:spacing w:after="0" w:line="240" w:lineRule="auto"/>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 xml:space="preserve">      </w:t>
            </w:r>
            <w:r w:rsidR="00A565EC" w:rsidRPr="00703675">
              <w:rPr>
                <w:rFonts w:ascii="Calibri" w:eastAsia="Times New Roman" w:hAnsi="Calibri" w:cs="Times New Roman"/>
                <w:color w:val="000000"/>
                <w:sz w:val="20"/>
                <w:szCs w:val="20"/>
                <w:lang w:val="es-ES" w:eastAsia="es-ES"/>
              </w:rPr>
              <w:t xml:space="preserve">Gestión de la privación de libertad  </w:t>
            </w:r>
          </w:p>
        </w:tc>
        <w:tc>
          <w:tcPr>
            <w:tcW w:w="154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71.547</w:t>
            </w:r>
          </w:p>
        </w:tc>
        <w:tc>
          <w:tcPr>
            <w:tcW w:w="122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3.567</w:t>
            </w:r>
          </w:p>
        </w:tc>
        <w:tc>
          <w:tcPr>
            <w:tcW w:w="126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0,01%</w:t>
            </w:r>
          </w:p>
        </w:tc>
      </w:tr>
      <w:tr w:rsidR="00A565EC" w:rsidRPr="00703675" w:rsidTr="00285F79">
        <w:trPr>
          <w:trHeight w:val="300"/>
        </w:trPr>
        <w:tc>
          <w:tcPr>
            <w:tcW w:w="4660" w:type="dxa"/>
            <w:shd w:val="clear" w:color="auto" w:fill="auto"/>
            <w:noWrap/>
            <w:vAlign w:val="bottom"/>
            <w:hideMark/>
          </w:tcPr>
          <w:p w:rsidR="00A565EC" w:rsidRPr="00703675" w:rsidRDefault="00285F79" w:rsidP="00A565EC">
            <w:pPr>
              <w:spacing w:after="0" w:line="240" w:lineRule="auto"/>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 xml:space="preserve">      </w:t>
            </w:r>
            <w:r w:rsidR="00A565EC" w:rsidRPr="00703675">
              <w:rPr>
                <w:rFonts w:ascii="Calibri" w:eastAsia="Times New Roman" w:hAnsi="Calibri" w:cs="Times New Roman"/>
                <w:color w:val="000000"/>
                <w:sz w:val="20"/>
                <w:szCs w:val="20"/>
                <w:lang w:val="es-ES" w:eastAsia="es-ES"/>
              </w:rPr>
              <w:t>Cuota parte pto gral.</w:t>
            </w:r>
          </w:p>
        </w:tc>
        <w:tc>
          <w:tcPr>
            <w:tcW w:w="154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11.731</w:t>
            </w:r>
          </w:p>
        </w:tc>
        <w:tc>
          <w:tcPr>
            <w:tcW w:w="122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585</w:t>
            </w:r>
          </w:p>
        </w:tc>
        <w:tc>
          <w:tcPr>
            <w:tcW w:w="126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0,00%</w:t>
            </w:r>
          </w:p>
        </w:tc>
      </w:tr>
      <w:tr w:rsidR="00A565EC" w:rsidRPr="00703675" w:rsidTr="00285F79">
        <w:trPr>
          <w:trHeight w:val="300"/>
        </w:trPr>
        <w:tc>
          <w:tcPr>
            <w:tcW w:w="4660" w:type="dxa"/>
            <w:shd w:val="clear" w:color="auto" w:fill="auto"/>
            <w:noWrap/>
            <w:vAlign w:val="bottom"/>
            <w:hideMark/>
          </w:tcPr>
          <w:p w:rsidR="00A565EC" w:rsidRPr="00703675" w:rsidRDefault="00285F79" w:rsidP="00A565EC">
            <w:pPr>
              <w:spacing w:after="0" w:line="240" w:lineRule="auto"/>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 xml:space="preserve">   </w:t>
            </w:r>
            <w:r w:rsidR="00A565EC" w:rsidRPr="00703675">
              <w:rPr>
                <w:rFonts w:ascii="Calibri" w:eastAsia="Times New Roman" w:hAnsi="Calibri" w:cs="Times New Roman"/>
                <w:color w:val="000000"/>
                <w:sz w:val="20"/>
                <w:szCs w:val="20"/>
                <w:lang w:val="es-ES" w:eastAsia="es-ES"/>
              </w:rPr>
              <w:t>INAU</w:t>
            </w:r>
          </w:p>
        </w:tc>
        <w:tc>
          <w:tcPr>
            <w:tcW w:w="154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17.930</w:t>
            </w:r>
          </w:p>
        </w:tc>
        <w:tc>
          <w:tcPr>
            <w:tcW w:w="122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894</w:t>
            </w:r>
          </w:p>
        </w:tc>
        <w:tc>
          <w:tcPr>
            <w:tcW w:w="126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0,00%</w:t>
            </w:r>
          </w:p>
        </w:tc>
      </w:tr>
      <w:tr w:rsidR="00A565EC" w:rsidRPr="00703675" w:rsidTr="00285F79">
        <w:trPr>
          <w:trHeight w:val="300"/>
        </w:trPr>
        <w:tc>
          <w:tcPr>
            <w:tcW w:w="4660" w:type="dxa"/>
            <w:shd w:val="clear" w:color="auto" w:fill="auto"/>
            <w:noWrap/>
            <w:vAlign w:val="bottom"/>
            <w:hideMark/>
          </w:tcPr>
          <w:p w:rsidR="00A565EC" w:rsidRPr="00703675" w:rsidRDefault="00285F79" w:rsidP="00A565EC">
            <w:pPr>
              <w:spacing w:after="0" w:line="240" w:lineRule="auto"/>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 xml:space="preserve">      </w:t>
            </w:r>
            <w:r w:rsidR="00A565EC" w:rsidRPr="00703675">
              <w:rPr>
                <w:rFonts w:ascii="Calibri" w:eastAsia="Times New Roman" w:hAnsi="Calibri" w:cs="Times New Roman"/>
                <w:color w:val="000000"/>
                <w:sz w:val="20"/>
                <w:szCs w:val="20"/>
                <w:lang w:val="es-ES" w:eastAsia="es-ES"/>
              </w:rPr>
              <w:t xml:space="preserve">Gestión de la privación de libertad </w:t>
            </w:r>
          </w:p>
        </w:tc>
        <w:tc>
          <w:tcPr>
            <w:tcW w:w="154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17.930</w:t>
            </w:r>
          </w:p>
        </w:tc>
        <w:tc>
          <w:tcPr>
            <w:tcW w:w="122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894</w:t>
            </w:r>
          </w:p>
        </w:tc>
        <w:tc>
          <w:tcPr>
            <w:tcW w:w="126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0,00%</w:t>
            </w:r>
          </w:p>
        </w:tc>
      </w:tr>
      <w:tr w:rsidR="00A565EC" w:rsidRPr="00703675" w:rsidTr="00285F79">
        <w:trPr>
          <w:trHeight w:val="300"/>
        </w:trPr>
        <w:tc>
          <w:tcPr>
            <w:tcW w:w="4660" w:type="dxa"/>
            <w:shd w:val="clear" w:color="auto" w:fill="auto"/>
            <w:noWrap/>
            <w:vAlign w:val="bottom"/>
            <w:hideMark/>
          </w:tcPr>
          <w:p w:rsidR="00A565EC" w:rsidRPr="00703675" w:rsidRDefault="00285F79" w:rsidP="00A565EC">
            <w:pPr>
              <w:spacing w:after="0" w:line="240" w:lineRule="auto"/>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 xml:space="preserve">   </w:t>
            </w:r>
            <w:r w:rsidR="00A565EC" w:rsidRPr="00703675">
              <w:rPr>
                <w:rFonts w:ascii="Calibri" w:eastAsia="Times New Roman" w:hAnsi="Calibri" w:cs="Times New Roman"/>
                <w:color w:val="000000"/>
                <w:sz w:val="20"/>
                <w:szCs w:val="20"/>
                <w:lang w:val="es-ES" w:eastAsia="es-ES"/>
              </w:rPr>
              <w:t>MIDES</w:t>
            </w:r>
          </w:p>
        </w:tc>
        <w:tc>
          <w:tcPr>
            <w:tcW w:w="154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13.515</w:t>
            </w:r>
          </w:p>
        </w:tc>
        <w:tc>
          <w:tcPr>
            <w:tcW w:w="122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674</w:t>
            </w:r>
          </w:p>
        </w:tc>
        <w:tc>
          <w:tcPr>
            <w:tcW w:w="126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0,00%</w:t>
            </w:r>
          </w:p>
        </w:tc>
      </w:tr>
      <w:tr w:rsidR="00A565EC" w:rsidRPr="00703675" w:rsidTr="00285F79">
        <w:trPr>
          <w:trHeight w:val="300"/>
        </w:trPr>
        <w:tc>
          <w:tcPr>
            <w:tcW w:w="4660" w:type="dxa"/>
            <w:shd w:val="clear" w:color="auto" w:fill="auto"/>
            <w:noWrap/>
            <w:vAlign w:val="bottom"/>
            <w:hideMark/>
          </w:tcPr>
          <w:p w:rsidR="00A565EC" w:rsidRPr="00703675" w:rsidRDefault="00285F79" w:rsidP="00A565EC">
            <w:pPr>
              <w:spacing w:after="0" w:line="240" w:lineRule="auto"/>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 xml:space="preserve">      </w:t>
            </w:r>
            <w:r w:rsidR="00A565EC" w:rsidRPr="00703675">
              <w:rPr>
                <w:rFonts w:ascii="Calibri" w:eastAsia="Times New Roman" w:hAnsi="Calibri" w:cs="Times New Roman"/>
                <w:color w:val="000000"/>
                <w:sz w:val="20"/>
                <w:szCs w:val="20"/>
                <w:lang w:val="es-ES" w:eastAsia="es-ES"/>
              </w:rPr>
              <w:t>Programas violencia dómestica y Rehabilitación</w:t>
            </w:r>
          </w:p>
        </w:tc>
        <w:tc>
          <w:tcPr>
            <w:tcW w:w="154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13.515</w:t>
            </w:r>
          </w:p>
        </w:tc>
        <w:tc>
          <w:tcPr>
            <w:tcW w:w="122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674</w:t>
            </w:r>
          </w:p>
        </w:tc>
        <w:tc>
          <w:tcPr>
            <w:tcW w:w="126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0,00%</w:t>
            </w:r>
          </w:p>
        </w:tc>
      </w:tr>
      <w:tr w:rsidR="00A565EC" w:rsidRPr="00703675" w:rsidTr="00285F79">
        <w:trPr>
          <w:trHeight w:val="300"/>
        </w:trPr>
        <w:tc>
          <w:tcPr>
            <w:tcW w:w="4660" w:type="dxa"/>
            <w:shd w:val="clear" w:color="auto" w:fill="auto"/>
            <w:noWrap/>
            <w:vAlign w:val="bottom"/>
            <w:hideMark/>
          </w:tcPr>
          <w:p w:rsidR="00A565EC" w:rsidRPr="00703675" w:rsidRDefault="00285F79" w:rsidP="00A565EC">
            <w:pPr>
              <w:spacing w:after="0" w:line="240" w:lineRule="auto"/>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 xml:space="preserve">   </w:t>
            </w:r>
            <w:r w:rsidR="00A565EC" w:rsidRPr="00703675">
              <w:rPr>
                <w:rFonts w:ascii="Calibri" w:eastAsia="Times New Roman" w:hAnsi="Calibri" w:cs="Times New Roman"/>
                <w:color w:val="000000"/>
                <w:sz w:val="20"/>
                <w:szCs w:val="20"/>
                <w:lang w:val="es-ES" w:eastAsia="es-ES"/>
              </w:rPr>
              <w:t>Poder Judicial</w:t>
            </w:r>
          </w:p>
        </w:tc>
        <w:tc>
          <w:tcPr>
            <w:tcW w:w="154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620.054</w:t>
            </w:r>
          </w:p>
        </w:tc>
        <w:tc>
          <w:tcPr>
            <w:tcW w:w="122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30.911</w:t>
            </w:r>
          </w:p>
        </w:tc>
        <w:tc>
          <w:tcPr>
            <w:tcW w:w="126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0,08%</w:t>
            </w:r>
          </w:p>
        </w:tc>
      </w:tr>
      <w:tr w:rsidR="00A565EC" w:rsidRPr="00703675" w:rsidTr="00285F79">
        <w:trPr>
          <w:trHeight w:val="615"/>
        </w:trPr>
        <w:tc>
          <w:tcPr>
            <w:tcW w:w="4660" w:type="dxa"/>
            <w:shd w:val="clear" w:color="auto" w:fill="auto"/>
            <w:vAlign w:val="center"/>
            <w:hideMark/>
          </w:tcPr>
          <w:p w:rsidR="00A565EC" w:rsidRPr="00703675" w:rsidRDefault="00285F79" w:rsidP="00285F79">
            <w:pPr>
              <w:spacing w:after="0" w:line="240" w:lineRule="auto"/>
              <w:ind w:left="229" w:hanging="229"/>
              <w:rPr>
                <w:rFonts w:ascii="Calibri" w:eastAsia="Times New Roman" w:hAnsi="Calibri" w:cs="Times New Roman"/>
                <w:sz w:val="20"/>
                <w:szCs w:val="20"/>
                <w:lang w:val="es-ES" w:eastAsia="es-ES"/>
              </w:rPr>
            </w:pPr>
            <w:r>
              <w:rPr>
                <w:rFonts w:ascii="Calibri" w:eastAsia="Times New Roman" w:hAnsi="Calibri" w:cs="Times New Roman"/>
                <w:color w:val="000000"/>
                <w:sz w:val="20"/>
                <w:szCs w:val="20"/>
                <w:lang w:val="es-ES" w:eastAsia="es-ES"/>
              </w:rPr>
              <w:t xml:space="preserve">      </w:t>
            </w:r>
            <w:r w:rsidR="00A565EC" w:rsidRPr="00703675">
              <w:rPr>
                <w:rFonts w:ascii="Calibri" w:eastAsia="Times New Roman" w:hAnsi="Calibri" w:cs="Times New Roman"/>
                <w:color w:val="000000"/>
                <w:sz w:val="20"/>
                <w:szCs w:val="20"/>
                <w:lang w:val="es-ES" w:eastAsia="es-ES"/>
              </w:rPr>
              <w:t>Prestación de Servicos de Justicia</w:t>
            </w:r>
            <w:r>
              <w:rPr>
                <w:rFonts w:ascii="Calibri" w:eastAsia="Times New Roman" w:hAnsi="Calibri" w:cs="Times New Roman"/>
                <w:color w:val="000000"/>
                <w:sz w:val="20"/>
                <w:szCs w:val="20"/>
                <w:lang w:val="es-ES" w:eastAsia="es-ES"/>
              </w:rPr>
              <w:t xml:space="preserve"> Penal y Adolescente</w:t>
            </w:r>
          </w:p>
        </w:tc>
        <w:tc>
          <w:tcPr>
            <w:tcW w:w="154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620.054</w:t>
            </w:r>
          </w:p>
        </w:tc>
        <w:tc>
          <w:tcPr>
            <w:tcW w:w="122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30.911</w:t>
            </w:r>
          </w:p>
        </w:tc>
        <w:tc>
          <w:tcPr>
            <w:tcW w:w="126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0,08%</w:t>
            </w:r>
          </w:p>
        </w:tc>
      </w:tr>
      <w:tr w:rsidR="00A565EC" w:rsidRPr="00703675" w:rsidTr="00285F79">
        <w:trPr>
          <w:trHeight w:val="227"/>
        </w:trPr>
        <w:tc>
          <w:tcPr>
            <w:tcW w:w="4660" w:type="dxa"/>
            <w:shd w:val="clear" w:color="auto" w:fill="auto"/>
            <w:noWrap/>
            <w:vAlign w:val="bottom"/>
            <w:hideMark/>
          </w:tcPr>
          <w:p w:rsidR="00A565EC" w:rsidRPr="00703675" w:rsidRDefault="00285F79" w:rsidP="00A565EC">
            <w:pPr>
              <w:spacing w:after="0" w:line="240" w:lineRule="auto"/>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 xml:space="preserve">   </w:t>
            </w:r>
            <w:r w:rsidR="00A565EC" w:rsidRPr="00703675">
              <w:rPr>
                <w:rFonts w:ascii="Calibri" w:eastAsia="Times New Roman" w:hAnsi="Calibri" w:cs="Times New Roman"/>
                <w:color w:val="000000"/>
                <w:sz w:val="20"/>
                <w:szCs w:val="20"/>
                <w:lang w:val="es-ES" w:eastAsia="es-ES"/>
              </w:rPr>
              <w:t>Fiscalía de la Nación</w:t>
            </w:r>
          </w:p>
        </w:tc>
        <w:tc>
          <w:tcPr>
            <w:tcW w:w="154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87.740</w:t>
            </w:r>
          </w:p>
        </w:tc>
        <w:tc>
          <w:tcPr>
            <w:tcW w:w="122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4.374</w:t>
            </w:r>
          </w:p>
        </w:tc>
        <w:tc>
          <w:tcPr>
            <w:tcW w:w="1260" w:type="dxa"/>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0,01%</w:t>
            </w:r>
          </w:p>
        </w:tc>
      </w:tr>
      <w:tr w:rsidR="00A565EC" w:rsidRPr="00703675" w:rsidTr="00D63D8A">
        <w:trPr>
          <w:trHeight w:val="272"/>
        </w:trPr>
        <w:tc>
          <w:tcPr>
            <w:tcW w:w="4660" w:type="dxa"/>
            <w:tcBorders>
              <w:bottom w:val="single" w:sz="4" w:space="0" w:color="auto"/>
            </w:tcBorders>
            <w:shd w:val="clear" w:color="auto" w:fill="auto"/>
            <w:vAlign w:val="bottom"/>
            <w:hideMark/>
          </w:tcPr>
          <w:p w:rsidR="00A565EC" w:rsidRPr="00703675" w:rsidRDefault="00285F79" w:rsidP="00285F79">
            <w:pPr>
              <w:spacing w:after="0" w:line="240" w:lineRule="auto"/>
              <w:rPr>
                <w:rFonts w:ascii="Calibri" w:eastAsia="Times New Roman" w:hAnsi="Calibri" w:cs="Times New Roman"/>
                <w:sz w:val="20"/>
                <w:szCs w:val="20"/>
                <w:lang w:val="es-ES" w:eastAsia="es-ES"/>
              </w:rPr>
            </w:pPr>
            <w:r>
              <w:rPr>
                <w:rFonts w:ascii="Calibri" w:eastAsia="Times New Roman" w:hAnsi="Calibri" w:cs="Times New Roman"/>
                <w:sz w:val="20"/>
                <w:szCs w:val="20"/>
                <w:lang w:val="es-ES" w:eastAsia="es-ES"/>
              </w:rPr>
              <w:t xml:space="preserve">      Ministerio Público y</w:t>
            </w:r>
            <w:r w:rsidR="00A565EC" w:rsidRPr="00703675">
              <w:rPr>
                <w:rFonts w:ascii="Calibri" w:eastAsia="Times New Roman" w:hAnsi="Calibri" w:cs="Times New Roman"/>
                <w:sz w:val="20"/>
                <w:szCs w:val="20"/>
                <w:lang w:val="es-ES" w:eastAsia="es-ES"/>
              </w:rPr>
              <w:t xml:space="preserve"> Fiscal  </w:t>
            </w:r>
          </w:p>
        </w:tc>
        <w:tc>
          <w:tcPr>
            <w:tcW w:w="1540" w:type="dxa"/>
            <w:tcBorders>
              <w:bottom w:val="single" w:sz="4" w:space="0" w:color="auto"/>
            </w:tcBorders>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87.740</w:t>
            </w:r>
          </w:p>
        </w:tc>
        <w:tc>
          <w:tcPr>
            <w:tcW w:w="1220" w:type="dxa"/>
            <w:tcBorders>
              <w:bottom w:val="single" w:sz="4" w:space="0" w:color="auto"/>
            </w:tcBorders>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4.374</w:t>
            </w:r>
          </w:p>
        </w:tc>
        <w:tc>
          <w:tcPr>
            <w:tcW w:w="1260" w:type="dxa"/>
            <w:tcBorders>
              <w:bottom w:val="single" w:sz="4" w:space="0" w:color="auto"/>
            </w:tcBorders>
            <w:shd w:val="clear" w:color="auto" w:fill="auto"/>
            <w:noWrap/>
            <w:vAlign w:val="center"/>
            <w:hideMark/>
          </w:tcPr>
          <w:p w:rsidR="00A565EC" w:rsidRPr="00703675" w:rsidRDefault="00A565EC" w:rsidP="00A565EC">
            <w:pPr>
              <w:spacing w:after="0" w:line="240" w:lineRule="auto"/>
              <w:jc w:val="right"/>
              <w:rPr>
                <w:rFonts w:ascii="Calibri" w:eastAsia="Times New Roman" w:hAnsi="Calibri" w:cs="Times New Roman"/>
                <w:color w:val="000000"/>
                <w:sz w:val="20"/>
                <w:szCs w:val="20"/>
                <w:lang w:val="es-ES" w:eastAsia="es-ES"/>
              </w:rPr>
            </w:pPr>
            <w:r w:rsidRPr="00703675">
              <w:rPr>
                <w:rFonts w:ascii="Calibri" w:eastAsia="Times New Roman" w:hAnsi="Calibri" w:cs="Times New Roman"/>
                <w:color w:val="000000"/>
                <w:sz w:val="20"/>
                <w:szCs w:val="20"/>
                <w:lang w:val="es-ES" w:eastAsia="es-ES"/>
              </w:rPr>
              <w:t>0,01%</w:t>
            </w:r>
          </w:p>
        </w:tc>
      </w:tr>
    </w:tbl>
    <w:p w:rsidR="00EE2395" w:rsidRPr="00201723" w:rsidRDefault="00EE2395" w:rsidP="00152C5C">
      <w:pPr>
        <w:spacing w:after="240"/>
        <w:jc w:val="both"/>
        <w:rPr>
          <w:sz w:val="20"/>
          <w:szCs w:val="20"/>
        </w:rPr>
      </w:pPr>
      <w:r w:rsidRPr="00201723">
        <w:rPr>
          <w:sz w:val="20"/>
          <w:szCs w:val="20"/>
        </w:rPr>
        <w:lastRenderedPageBreak/>
        <w:t>Fuente. Ejecu</w:t>
      </w:r>
      <w:r>
        <w:rPr>
          <w:sz w:val="20"/>
          <w:szCs w:val="20"/>
        </w:rPr>
        <w:t xml:space="preserve">ción presupuestal 2010, consultas directas a Ministerios y Suprema Corte de Justicia. </w:t>
      </w:r>
    </w:p>
    <w:p w:rsidR="00057B4E" w:rsidRDefault="00057B4E" w:rsidP="00057B4E">
      <w:pPr>
        <w:jc w:val="both"/>
      </w:pPr>
      <w:r>
        <w:t>Los resultados indican que los costos públicos en prevención del delito, en el sistema de justicia asociado a su represión (incluyendo cárceles) y a las acciones de rehabilitación ascienden a 1,31% del PIB. Cabe señalar que existen partidas ligadas a estas mismas acciones en otros organismos de la administración central o local (gobiernos departamentales) no completamente identificados en las rendiciones de cuenta como tales, que por tanto no han sido considerados aquí. En ese sentido, este componente podría tener cierto sesgo a la subestimación de los costos.</w:t>
      </w:r>
    </w:p>
    <w:p w:rsidR="00EE2395" w:rsidRDefault="00EE2395" w:rsidP="00EE2395">
      <w:pPr>
        <w:jc w:val="both"/>
      </w:pPr>
      <w:r w:rsidRPr="00D308CF">
        <w:t>El gasto privado en relación con la prevención d</w:t>
      </w:r>
      <w:r>
        <w:t xml:space="preserve">el delito en Uruguay se compone  principalmente por </w:t>
      </w:r>
      <w:r w:rsidRPr="00D308CF">
        <w:t>la adquisición de bienes y servicios proporcionados por empresas de seguridad</w:t>
      </w:r>
      <w:r>
        <w:t xml:space="preserve"> y por los gastos relacionados a seguros</w:t>
      </w:r>
      <w:r w:rsidRPr="00D308CF">
        <w:t xml:space="preserve">. </w:t>
      </w:r>
    </w:p>
    <w:p w:rsidR="00EE2395" w:rsidRDefault="00EE2395" w:rsidP="00EE2395">
      <w:pPr>
        <w:jc w:val="both"/>
      </w:pPr>
      <w:r>
        <w:t xml:space="preserve">La información global de las </w:t>
      </w:r>
      <w:r w:rsidRPr="00D308CF">
        <w:t>cifras de ventas de las empresas de seguridad</w:t>
      </w:r>
      <w:r>
        <w:t xml:space="preserve"> fue obtenida de la Dirección General Impositiva (DGI) para el año 2010. Dicha cifra fue corroborada con la información que surge de la </w:t>
      </w:r>
      <w:r w:rsidRPr="00D308CF">
        <w:t xml:space="preserve">Encuesta de Actividad Económica </w:t>
      </w:r>
      <w:r w:rsidR="0081032E">
        <w:t xml:space="preserve">(EAE) </w:t>
      </w:r>
      <w:r>
        <w:t>para el año 2009 (último año disponible, actualizado al 2010 mediante estimaciones de Cuentas Nacionales).</w:t>
      </w:r>
      <w:r>
        <w:rPr>
          <w:rStyle w:val="FootnoteReference"/>
        </w:rPr>
        <w:footnoteReference w:id="14"/>
      </w:r>
      <w:r>
        <w:t xml:space="preserve"> La cifra global estimada por este concepto alcanza a 0,61% del PIB. Cabe señalar que esta cifra subestima el gasto total en seguridad, dado que por ejemplo no incluye la contratación directa de guardias de seguridad.</w:t>
      </w:r>
    </w:p>
    <w:p w:rsidR="00EE2395" w:rsidRDefault="00EE2395" w:rsidP="00EE2395">
      <w:pPr>
        <w:jc w:val="both"/>
      </w:pPr>
      <w:r>
        <w:t xml:space="preserve">Los gastos en prevención y seguridad de las empresas fue estimada parcialmente a partir de la Enterprise Survey (ES) que </w:t>
      </w:r>
      <w:r w:rsidR="0023232A">
        <w:t>elabora e</w:t>
      </w:r>
      <w:r>
        <w:t>l Banco Mundial (</w:t>
      </w:r>
      <w:r w:rsidR="0023232A">
        <w:t>B</w:t>
      </w:r>
      <w:r>
        <w:t>M),</w:t>
      </w:r>
      <w:r>
        <w:rPr>
          <w:rStyle w:val="FootnoteReference"/>
        </w:rPr>
        <w:footnoteReference w:id="15"/>
      </w:r>
      <w:r>
        <w:t xml:space="preserve"> para el año 2010. De acuerdo a nuestras estimaciones estos gastos ascienden a </w:t>
      </w:r>
      <w:r w:rsidR="00591059">
        <w:t>aproximadamente 0,5%</w:t>
      </w:r>
      <w:r w:rsidRPr="006D38CE">
        <w:t xml:space="preserve"> de las ventas.</w:t>
      </w:r>
      <w:r>
        <w:t xml:space="preserve"> </w:t>
      </w:r>
    </w:p>
    <w:p w:rsidR="00EE2395" w:rsidRDefault="00EE2395" w:rsidP="00EE2395">
      <w:pPr>
        <w:jc w:val="both"/>
      </w:pPr>
      <w:r>
        <w:t>Cabe señalar que e</w:t>
      </w:r>
      <w:r w:rsidRPr="001944CD">
        <w:t>sta encuesta releva para Uruguay a un conjunto de 600 firmas, con cobertura en Montevideo y Canelones</w:t>
      </w:r>
      <w:r>
        <w:t>, no abarcando a todo el universo de sectores de actividad (</w:t>
      </w:r>
      <w:r w:rsidRPr="001944CD">
        <w:t>excluye a firmas de los sectores agrícolas, financiero</w:t>
      </w:r>
      <w:r>
        <w:t>, inmobiliarias). Por tanto el gasto que de allí surge subestima el del agregado empresarial. Por este motivo, se corrige dicho monto global, considerando que los sectores omitidos presentan un ratio similar de gastos respecto de sus ventas que los encuestados por la ES (</w:t>
      </w:r>
      <w:r w:rsidR="0023232A">
        <w:t>B</w:t>
      </w:r>
      <w:r>
        <w:t>M) y estimando el monto global de ventas a partir de datos de la EAE 2009 del INE y de Cuentas Nacionales del BCU 2009 y 2010 para su actualización. Cabe señalar que la cifra obtenida probablemente subestime el monto real de gastos de las empresas en seguridad, dado que es presumible (si bien no fue posible corroborarlo al momento) que las empresas financieras dediquen una proporción mayor de sus ingresos operativos a acciones de prevención que el promedio de l</w:t>
      </w:r>
      <w:r w:rsidR="00D63D8A">
        <w:t>as empresas relevadas por la</w:t>
      </w:r>
      <w:r>
        <w:t xml:space="preserve"> ES (</w:t>
      </w:r>
      <w:r w:rsidR="0023232A">
        <w:t>B</w:t>
      </w:r>
      <w:r>
        <w:t>M). En este sentido estimamos que los costos calculados por este concepto poseen un sesgo a la subestimación.</w:t>
      </w:r>
      <w:r>
        <w:rPr>
          <w:rStyle w:val="FootnoteReference"/>
        </w:rPr>
        <w:footnoteReference w:id="16"/>
      </w:r>
    </w:p>
    <w:p w:rsidR="00EE2395" w:rsidRDefault="00EE2395" w:rsidP="00EE2395">
      <w:pPr>
        <w:jc w:val="both"/>
      </w:pPr>
      <w:r>
        <w:lastRenderedPageBreak/>
        <w:t>Los gastos de los hogares, así como de otros agentes no empresariales (por ejemplo la propia administración estatal puede subcontratar servicios de seguridad, no computados en las partidas públicas antes detalladas), fueron estimados por diferencia entre el monto global de ventas de las empresas de seguridad según DGI y los gastos en seguridad de las empresas.</w:t>
      </w:r>
      <w:r>
        <w:rPr>
          <w:rStyle w:val="FootnoteReference"/>
        </w:rPr>
        <w:footnoteReference w:id="17"/>
      </w:r>
      <w:r>
        <w:t xml:space="preserve"> </w:t>
      </w:r>
    </w:p>
    <w:p w:rsidR="00EE2395" w:rsidRDefault="00EE2395" w:rsidP="00EE2395">
      <w:pPr>
        <w:jc w:val="both"/>
      </w:pPr>
      <w:r>
        <w:t>En línea con la literatura (</w:t>
      </w:r>
      <w:r w:rsidRPr="00B17353">
        <w:t>e.g.</w:t>
      </w:r>
      <w:r>
        <w:t xml:space="preserve"> Brand y Price, 2000) se considera los costos de la administración y generación de servicios de seguros contra robos como un costo directo del crimen. Estos se estiman como la diferencia entre las primas cobradas por seguros de robo </w:t>
      </w:r>
      <w:r w:rsidR="000C6861">
        <w:t xml:space="preserve">(inmuebles y vehículos) </w:t>
      </w:r>
      <w:r>
        <w:t xml:space="preserve">menos los siniestros devengados por igual concepto (esta diferencia es una aproximación a la remuneración de los servicios productivos empleados en la generación de esta actividad). Para esta variable se considera la información que surge de los Balances Consolidados de las empresas de seguros disponibles en la Superintendencia de Seguros del Banco Central del Uruguay. No fue posible discriminar entre los costos asociados a los hogares y las empresas; en conjunto esta partida alcanza a </w:t>
      </w:r>
      <w:r w:rsidR="000C6861" w:rsidRPr="000C6861">
        <w:t>0,35</w:t>
      </w:r>
      <w:r w:rsidRPr="000C6861">
        <w:t>%</w:t>
      </w:r>
      <w:r>
        <w:t xml:space="preserve"> del PIB.</w:t>
      </w:r>
    </w:p>
    <w:p w:rsidR="00EE2395" w:rsidRDefault="00EE2395" w:rsidP="00EE2395">
      <w:pPr>
        <w:jc w:val="both"/>
      </w:pPr>
      <w:r>
        <w:t>En cuanto a los costos privados relativos a la justicia se considerarán los ingresos de los bufetes de abogados (fuente microdatos de EAE 2008 actualizada a partir de datos agregados a nivel de división de 2009 y Cuentas Nacionales 2010), estimándose la cuotaparte de sus ingresos por actividades legales relativas a delitos penales a través de la cantidad de asuntos penales iniciados en la justicia respecto del total. En este caso no fue posible la desagregación entre gastos de empresas y hogares. El monto global estimado para este subcomponente asciende a 0,</w:t>
      </w:r>
      <w:r w:rsidR="00471EE5">
        <w:t>06</w:t>
      </w:r>
      <w:r>
        <w:t>% del PIB.</w:t>
      </w:r>
    </w:p>
    <w:p w:rsidR="00EE2395" w:rsidRDefault="00471EE5" w:rsidP="00D57687">
      <w:pPr>
        <w:spacing w:after="240"/>
        <w:jc w:val="both"/>
      </w:pPr>
      <w:r>
        <w:t>En el C</w:t>
      </w:r>
      <w:r w:rsidR="00EE2395">
        <w:t xml:space="preserve">uadro 4 se detallan los costos privados por el componente de seguridad y justicia, que en conjunto ascienden </w:t>
      </w:r>
      <w:r w:rsidR="00EE2395" w:rsidRPr="000C6861">
        <w:t xml:space="preserve">a </w:t>
      </w:r>
      <w:r w:rsidR="000C6861" w:rsidRPr="000C6861">
        <w:t>0,95</w:t>
      </w:r>
      <w:r w:rsidR="00EE2395" w:rsidRPr="000C6861">
        <w:t>%</w:t>
      </w:r>
      <w:r w:rsidR="00EE2395">
        <w:t xml:space="preserve"> del PIB uruguayo.</w:t>
      </w:r>
    </w:p>
    <w:p w:rsidR="00EE2395" w:rsidRPr="009613C0" w:rsidRDefault="00EE2395" w:rsidP="00EE2395">
      <w:pPr>
        <w:spacing w:after="120"/>
        <w:jc w:val="both"/>
        <w:rPr>
          <w:b/>
        </w:rPr>
      </w:pPr>
      <w:r w:rsidRPr="00471EE5">
        <w:rPr>
          <w:b/>
        </w:rPr>
        <w:t>Cuadro 4. Gasto privado en seguridad y justicia año 2010 (en miles de $ uruguayos</w:t>
      </w:r>
      <w:r w:rsidRPr="006E037C">
        <w:rPr>
          <w:b/>
        </w:rPr>
        <w:t xml:space="preserve"> corrientes, miles de dólares corrientes y porcentaje del PIB)</w:t>
      </w:r>
    </w:p>
    <w:tbl>
      <w:tblPr>
        <w:tblW w:w="7380" w:type="dxa"/>
        <w:tblInd w:w="55" w:type="dxa"/>
        <w:tblCellMar>
          <w:left w:w="70" w:type="dxa"/>
          <w:right w:w="70" w:type="dxa"/>
        </w:tblCellMar>
        <w:tblLook w:val="04A0" w:firstRow="1" w:lastRow="0" w:firstColumn="1" w:lastColumn="0" w:noHBand="0" w:noVBand="1"/>
      </w:tblPr>
      <w:tblGrid>
        <w:gridCol w:w="3640"/>
        <w:gridCol w:w="1340"/>
        <w:gridCol w:w="1200"/>
        <w:gridCol w:w="1200"/>
      </w:tblGrid>
      <w:tr w:rsidR="00A565EC" w:rsidRPr="00A55EA0" w:rsidTr="00A55EA0">
        <w:trPr>
          <w:trHeight w:val="354"/>
        </w:trPr>
        <w:tc>
          <w:tcPr>
            <w:tcW w:w="3640" w:type="dxa"/>
            <w:tcBorders>
              <w:top w:val="single" w:sz="4" w:space="0" w:color="auto"/>
              <w:bottom w:val="single" w:sz="4" w:space="0" w:color="auto"/>
            </w:tcBorders>
            <w:shd w:val="clear" w:color="auto" w:fill="auto"/>
            <w:noWrap/>
            <w:vAlign w:val="bottom"/>
            <w:hideMark/>
          </w:tcPr>
          <w:p w:rsidR="00A565EC" w:rsidRPr="00A55EA0" w:rsidRDefault="00A565EC" w:rsidP="00A565EC">
            <w:pPr>
              <w:spacing w:after="0" w:line="240" w:lineRule="auto"/>
              <w:rPr>
                <w:rFonts w:ascii="Calibri" w:eastAsia="Times New Roman" w:hAnsi="Calibri" w:cs="Times New Roman"/>
                <w:b/>
                <w:bCs/>
                <w:color w:val="000000"/>
                <w:sz w:val="20"/>
                <w:szCs w:val="20"/>
                <w:lang w:val="es-ES" w:eastAsia="es-ES"/>
              </w:rPr>
            </w:pPr>
            <w:r w:rsidRPr="00A55EA0">
              <w:rPr>
                <w:rFonts w:ascii="Calibri" w:eastAsia="Times New Roman" w:hAnsi="Calibri" w:cs="Times New Roman"/>
                <w:b/>
                <w:bCs/>
                <w:color w:val="000000"/>
                <w:sz w:val="20"/>
                <w:szCs w:val="20"/>
                <w:lang w:val="es-ES" w:eastAsia="es-ES"/>
              </w:rPr>
              <w:t>Gasto Privado</w:t>
            </w:r>
          </w:p>
        </w:tc>
        <w:tc>
          <w:tcPr>
            <w:tcW w:w="1340" w:type="dxa"/>
            <w:tcBorders>
              <w:top w:val="single" w:sz="4" w:space="0" w:color="auto"/>
              <w:bottom w:val="single" w:sz="4" w:space="0" w:color="auto"/>
            </w:tcBorders>
            <w:shd w:val="clear" w:color="auto" w:fill="auto"/>
            <w:noWrap/>
            <w:vAlign w:val="bottom"/>
            <w:hideMark/>
          </w:tcPr>
          <w:p w:rsidR="00A565EC" w:rsidRPr="00A55EA0" w:rsidRDefault="00A565EC" w:rsidP="00A565EC">
            <w:pPr>
              <w:spacing w:after="0" w:line="240" w:lineRule="auto"/>
              <w:jc w:val="right"/>
              <w:rPr>
                <w:rFonts w:ascii="Calibri" w:eastAsia="Times New Roman" w:hAnsi="Calibri" w:cs="Times New Roman"/>
                <w:b/>
                <w:bCs/>
                <w:color w:val="000000"/>
                <w:sz w:val="20"/>
                <w:szCs w:val="20"/>
                <w:lang w:val="es-ES" w:eastAsia="es-ES"/>
              </w:rPr>
            </w:pPr>
            <w:r w:rsidRPr="00A55EA0">
              <w:rPr>
                <w:rFonts w:ascii="Calibri" w:eastAsia="Times New Roman" w:hAnsi="Calibri" w:cs="Times New Roman"/>
                <w:b/>
                <w:bCs/>
                <w:color w:val="000000"/>
                <w:sz w:val="20"/>
                <w:szCs w:val="20"/>
                <w:lang w:val="es-ES" w:eastAsia="es-ES"/>
              </w:rPr>
              <w:t>miles $</w:t>
            </w:r>
          </w:p>
        </w:tc>
        <w:tc>
          <w:tcPr>
            <w:tcW w:w="1200" w:type="dxa"/>
            <w:tcBorders>
              <w:top w:val="single" w:sz="4" w:space="0" w:color="auto"/>
              <w:bottom w:val="single" w:sz="4" w:space="0" w:color="auto"/>
            </w:tcBorders>
            <w:shd w:val="clear" w:color="auto" w:fill="auto"/>
            <w:noWrap/>
            <w:vAlign w:val="bottom"/>
            <w:hideMark/>
          </w:tcPr>
          <w:p w:rsidR="00A565EC" w:rsidRPr="00A55EA0" w:rsidRDefault="00A565EC" w:rsidP="00A565EC">
            <w:pPr>
              <w:spacing w:after="0" w:line="240" w:lineRule="auto"/>
              <w:jc w:val="right"/>
              <w:rPr>
                <w:rFonts w:ascii="Calibri" w:eastAsia="Times New Roman" w:hAnsi="Calibri" w:cs="Times New Roman"/>
                <w:b/>
                <w:bCs/>
                <w:color w:val="000000"/>
                <w:sz w:val="20"/>
                <w:szCs w:val="20"/>
                <w:lang w:val="es-ES" w:eastAsia="es-ES"/>
              </w:rPr>
            </w:pPr>
            <w:r w:rsidRPr="00A55EA0">
              <w:rPr>
                <w:rFonts w:ascii="Calibri" w:eastAsia="Times New Roman" w:hAnsi="Calibri" w:cs="Times New Roman"/>
                <w:b/>
                <w:bCs/>
                <w:color w:val="000000"/>
                <w:sz w:val="20"/>
                <w:szCs w:val="20"/>
                <w:lang w:val="es-ES" w:eastAsia="es-ES"/>
              </w:rPr>
              <w:t>miles USD</w:t>
            </w:r>
          </w:p>
        </w:tc>
        <w:tc>
          <w:tcPr>
            <w:tcW w:w="1200" w:type="dxa"/>
            <w:tcBorders>
              <w:top w:val="single" w:sz="4" w:space="0" w:color="auto"/>
              <w:bottom w:val="single" w:sz="4" w:space="0" w:color="auto"/>
            </w:tcBorders>
            <w:shd w:val="clear" w:color="auto" w:fill="auto"/>
            <w:noWrap/>
            <w:vAlign w:val="bottom"/>
            <w:hideMark/>
          </w:tcPr>
          <w:p w:rsidR="00A565EC" w:rsidRPr="00A55EA0" w:rsidRDefault="00A565EC" w:rsidP="00A565EC">
            <w:pPr>
              <w:spacing w:after="0" w:line="240" w:lineRule="auto"/>
              <w:jc w:val="right"/>
              <w:rPr>
                <w:rFonts w:ascii="Calibri" w:eastAsia="Times New Roman" w:hAnsi="Calibri" w:cs="Times New Roman"/>
                <w:b/>
                <w:bCs/>
                <w:color w:val="000000"/>
                <w:sz w:val="20"/>
                <w:szCs w:val="20"/>
                <w:lang w:val="es-ES" w:eastAsia="es-ES"/>
              </w:rPr>
            </w:pPr>
            <w:r w:rsidRPr="00A55EA0">
              <w:rPr>
                <w:rFonts w:ascii="Calibri" w:eastAsia="Times New Roman" w:hAnsi="Calibri" w:cs="Times New Roman"/>
                <w:b/>
                <w:bCs/>
                <w:color w:val="000000"/>
                <w:sz w:val="20"/>
                <w:szCs w:val="20"/>
                <w:lang w:val="es-ES" w:eastAsia="es-ES"/>
              </w:rPr>
              <w:t>%PIB</w:t>
            </w:r>
          </w:p>
        </w:tc>
      </w:tr>
      <w:tr w:rsidR="00A565EC" w:rsidRPr="000C6861" w:rsidTr="00A55EA0">
        <w:trPr>
          <w:trHeight w:val="420"/>
        </w:trPr>
        <w:tc>
          <w:tcPr>
            <w:tcW w:w="3640" w:type="dxa"/>
            <w:tcBorders>
              <w:top w:val="single" w:sz="4" w:space="0" w:color="auto"/>
            </w:tcBorders>
            <w:shd w:val="clear" w:color="auto" w:fill="auto"/>
            <w:noWrap/>
            <w:vAlign w:val="bottom"/>
            <w:hideMark/>
          </w:tcPr>
          <w:p w:rsidR="00A565EC" w:rsidRPr="000C6861" w:rsidRDefault="00A55EA0" w:rsidP="00A565EC">
            <w:pPr>
              <w:spacing w:after="0" w:line="240" w:lineRule="auto"/>
              <w:rPr>
                <w:rFonts w:ascii="Calibri" w:eastAsia="Times New Roman" w:hAnsi="Calibri" w:cs="Times New Roman"/>
                <w:b/>
                <w:color w:val="000000"/>
                <w:sz w:val="20"/>
                <w:szCs w:val="20"/>
                <w:lang w:val="es-ES" w:eastAsia="es-ES"/>
              </w:rPr>
            </w:pPr>
            <w:r w:rsidRPr="000C6861">
              <w:rPr>
                <w:rFonts w:ascii="Calibri" w:eastAsia="Times New Roman" w:hAnsi="Calibri" w:cs="Times New Roman"/>
                <w:b/>
                <w:color w:val="000000"/>
                <w:sz w:val="20"/>
                <w:szCs w:val="20"/>
                <w:lang w:val="es-ES" w:eastAsia="es-ES"/>
              </w:rPr>
              <w:t>Total</w:t>
            </w:r>
          </w:p>
        </w:tc>
        <w:tc>
          <w:tcPr>
            <w:tcW w:w="1340" w:type="dxa"/>
            <w:tcBorders>
              <w:top w:val="single" w:sz="4" w:space="0" w:color="auto"/>
            </w:tcBorders>
            <w:shd w:val="clear" w:color="auto" w:fill="auto"/>
            <w:noWrap/>
            <w:vAlign w:val="bottom"/>
            <w:hideMark/>
          </w:tcPr>
          <w:p w:rsidR="00A565EC" w:rsidRPr="000C6861" w:rsidRDefault="000C6861" w:rsidP="00A565EC">
            <w:pPr>
              <w:spacing w:after="0" w:line="240" w:lineRule="auto"/>
              <w:jc w:val="right"/>
              <w:rPr>
                <w:rFonts w:ascii="Calibri" w:eastAsia="Times New Roman" w:hAnsi="Calibri" w:cs="Times New Roman"/>
                <w:b/>
                <w:color w:val="000000"/>
                <w:sz w:val="20"/>
                <w:szCs w:val="20"/>
                <w:lang w:val="es-ES" w:eastAsia="es-ES"/>
              </w:rPr>
            </w:pPr>
            <w:r w:rsidRPr="000C6861">
              <w:rPr>
                <w:rFonts w:ascii="Calibri" w:eastAsia="Times New Roman" w:hAnsi="Calibri" w:cs="Times New Roman"/>
                <w:b/>
                <w:color w:val="000000"/>
                <w:sz w:val="20"/>
                <w:szCs w:val="20"/>
                <w:lang w:val="es-ES" w:eastAsia="es-ES"/>
              </w:rPr>
              <w:t>7.505.129</w:t>
            </w:r>
          </w:p>
        </w:tc>
        <w:tc>
          <w:tcPr>
            <w:tcW w:w="1200" w:type="dxa"/>
            <w:tcBorders>
              <w:top w:val="single" w:sz="4" w:space="0" w:color="auto"/>
            </w:tcBorders>
            <w:shd w:val="clear" w:color="auto" w:fill="auto"/>
            <w:noWrap/>
            <w:vAlign w:val="bottom"/>
            <w:hideMark/>
          </w:tcPr>
          <w:p w:rsidR="00A565EC" w:rsidRPr="000C6861" w:rsidRDefault="000C6861" w:rsidP="00A565EC">
            <w:pPr>
              <w:spacing w:after="0" w:line="240" w:lineRule="auto"/>
              <w:jc w:val="right"/>
              <w:rPr>
                <w:rFonts w:ascii="Calibri" w:eastAsia="Times New Roman" w:hAnsi="Calibri" w:cs="Times New Roman"/>
                <w:b/>
                <w:color w:val="000000"/>
                <w:sz w:val="20"/>
                <w:szCs w:val="20"/>
                <w:lang w:val="es-ES" w:eastAsia="es-ES"/>
              </w:rPr>
            </w:pPr>
            <w:r w:rsidRPr="000C6861">
              <w:rPr>
                <w:rFonts w:ascii="Calibri" w:eastAsia="Times New Roman" w:hAnsi="Calibri" w:cs="Times New Roman"/>
                <w:b/>
                <w:color w:val="000000"/>
                <w:sz w:val="20"/>
                <w:szCs w:val="20"/>
                <w:lang w:val="es-ES" w:eastAsia="es-ES"/>
              </w:rPr>
              <w:t>374.148</w:t>
            </w:r>
          </w:p>
        </w:tc>
        <w:tc>
          <w:tcPr>
            <w:tcW w:w="1200" w:type="dxa"/>
            <w:tcBorders>
              <w:top w:val="single" w:sz="4" w:space="0" w:color="auto"/>
            </w:tcBorders>
            <w:shd w:val="clear" w:color="auto" w:fill="auto"/>
            <w:noWrap/>
            <w:vAlign w:val="bottom"/>
            <w:hideMark/>
          </w:tcPr>
          <w:p w:rsidR="00A565EC" w:rsidRPr="000C6861" w:rsidRDefault="000C6861" w:rsidP="00A565EC">
            <w:pPr>
              <w:spacing w:after="0" w:line="240" w:lineRule="auto"/>
              <w:jc w:val="right"/>
              <w:rPr>
                <w:rFonts w:ascii="Calibri" w:eastAsia="Times New Roman" w:hAnsi="Calibri" w:cs="Times New Roman"/>
                <w:b/>
                <w:color w:val="000000"/>
                <w:sz w:val="20"/>
                <w:szCs w:val="20"/>
                <w:lang w:val="es-ES" w:eastAsia="es-ES"/>
              </w:rPr>
            </w:pPr>
            <w:r w:rsidRPr="000C6861">
              <w:rPr>
                <w:rFonts w:ascii="Calibri" w:eastAsia="Times New Roman" w:hAnsi="Calibri" w:cs="Times New Roman"/>
                <w:b/>
                <w:color w:val="000000"/>
                <w:sz w:val="20"/>
                <w:szCs w:val="20"/>
                <w:lang w:val="es-ES" w:eastAsia="es-ES"/>
              </w:rPr>
              <w:t>0,95</w:t>
            </w:r>
            <w:r w:rsidR="00A565EC" w:rsidRPr="000C6861">
              <w:rPr>
                <w:rFonts w:ascii="Calibri" w:eastAsia="Times New Roman" w:hAnsi="Calibri" w:cs="Times New Roman"/>
                <w:b/>
                <w:color w:val="000000"/>
                <w:sz w:val="20"/>
                <w:szCs w:val="20"/>
                <w:lang w:val="es-ES" w:eastAsia="es-ES"/>
              </w:rPr>
              <w:t>%</w:t>
            </w:r>
          </w:p>
        </w:tc>
      </w:tr>
      <w:tr w:rsidR="00A565EC" w:rsidRPr="000C6861" w:rsidTr="00A55EA0">
        <w:trPr>
          <w:trHeight w:val="290"/>
        </w:trPr>
        <w:tc>
          <w:tcPr>
            <w:tcW w:w="3640" w:type="dxa"/>
            <w:shd w:val="clear" w:color="auto" w:fill="auto"/>
            <w:noWrap/>
            <w:vAlign w:val="bottom"/>
            <w:hideMark/>
          </w:tcPr>
          <w:p w:rsidR="00A565EC" w:rsidRPr="000C6861" w:rsidRDefault="00A565EC" w:rsidP="00A565EC">
            <w:pPr>
              <w:spacing w:after="0" w:line="240" w:lineRule="auto"/>
              <w:rPr>
                <w:rFonts w:ascii="Calibri" w:eastAsia="Times New Roman" w:hAnsi="Calibri" w:cs="Times New Roman"/>
                <w:b/>
                <w:color w:val="000000"/>
                <w:sz w:val="20"/>
                <w:szCs w:val="20"/>
                <w:lang w:val="es-ES" w:eastAsia="es-ES"/>
              </w:rPr>
            </w:pPr>
            <w:r w:rsidRPr="000C6861">
              <w:rPr>
                <w:rFonts w:ascii="Calibri" w:eastAsia="Times New Roman" w:hAnsi="Calibri" w:cs="Times New Roman"/>
                <w:b/>
                <w:color w:val="000000"/>
                <w:sz w:val="20"/>
                <w:szCs w:val="20"/>
                <w:lang w:val="es-ES" w:eastAsia="es-ES"/>
              </w:rPr>
              <w:t>Seguridad y prevención del delito</w:t>
            </w:r>
          </w:p>
        </w:tc>
        <w:tc>
          <w:tcPr>
            <w:tcW w:w="1340" w:type="dxa"/>
            <w:shd w:val="clear" w:color="auto" w:fill="auto"/>
            <w:noWrap/>
            <w:vAlign w:val="bottom"/>
            <w:hideMark/>
          </w:tcPr>
          <w:p w:rsidR="00A565EC" w:rsidRPr="000C6861" w:rsidRDefault="000C6861" w:rsidP="00A565EC">
            <w:pPr>
              <w:spacing w:after="0" w:line="240" w:lineRule="auto"/>
              <w:jc w:val="right"/>
              <w:rPr>
                <w:rFonts w:ascii="Calibri" w:eastAsia="Times New Roman" w:hAnsi="Calibri" w:cs="Times New Roman"/>
                <w:b/>
                <w:color w:val="000000"/>
                <w:sz w:val="20"/>
                <w:szCs w:val="20"/>
                <w:lang w:val="es-ES" w:eastAsia="es-ES"/>
              </w:rPr>
            </w:pPr>
            <w:r w:rsidRPr="000C6861">
              <w:rPr>
                <w:rFonts w:ascii="Calibri" w:eastAsia="Times New Roman" w:hAnsi="Calibri" w:cs="Times New Roman"/>
                <w:b/>
                <w:color w:val="000000"/>
                <w:sz w:val="20"/>
                <w:szCs w:val="20"/>
                <w:lang w:val="es-ES" w:eastAsia="es-ES"/>
              </w:rPr>
              <w:t>7.035.693</w:t>
            </w:r>
          </w:p>
        </w:tc>
        <w:tc>
          <w:tcPr>
            <w:tcW w:w="1200" w:type="dxa"/>
            <w:shd w:val="clear" w:color="auto" w:fill="auto"/>
            <w:noWrap/>
            <w:vAlign w:val="bottom"/>
            <w:hideMark/>
          </w:tcPr>
          <w:p w:rsidR="00A565EC" w:rsidRPr="000C6861" w:rsidRDefault="000C6861" w:rsidP="00A565EC">
            <w:pPr>
              <w:spacing w:after="0" w:line="240" w:lineRule="auto"/>
              <w:jc w:val="right"/>
              <w:rPr>
                <w:rFonts w:ascii="Calibri" w:eastAsia="Times New Roman" w:hAnsi="Calibri" w:cs="Times New Roman"/>
                <w:b/>
                <w:color w:val="000000"/>
                <w:sz w:val="20"/>
                <w:szCs w:val="20"/>
                <w:lang w:val="es-ES" w:eastAsia="es-ES"/>
              </w:rPr>
            </w:pPr>
            <w:r w:rsidRPr="000C6861">
              <w:rPr>
                <w:rFonts w:ascii="Calibri" w:eastAsia="Times New Roman" w:hAnsi="Calibri" w:cs="Times New Roman"/>
                <w:b/>
                <w:color w:val="000000"/>
                <w:sz w:val="20"/>
                <w:szCs w:val="20"/>
                <w:lang w:val="es-ES" w:eastAsia="es-ES"/>
              </w:rPr>
              <w:t>350.745</w:t>
            </w:r>
          </w:p>
        </w:tc>
        <w:tc>
          <w:tcPr>
            <w:tcW w:w="1200" w:type="dxa"/>
            <w:shd w:val="clear" w:color="auto" w:fill="auto"/>
            <w:noWrap/>
            <w:vAlign w:val="bottom"/>
            <w:hideMark/>
          </w:tcPr>
          <w:p w:rsidR="00A565EC" w:rsidRPr="000C6861" w:rsidRDefault="00A565EC" w:rsidP="000C6861">
            <w:pPr>
              <w:spacing w:after="0" w:line="240" w:lineRule="auto"/>
              <w:jc w:val="right"/>
              <w:rPr>
                <w:rFonts w:ascii="Calibri" w:eastAsia="Times New Roman" w:hAnsi="Calibri" w:cs="Times New Roman"/>
                <w:b/>
                <w:color w:val="000000"/>
                <w:sz w:val="20"/>
                <w:szCs w:val="20"/>
                <w:lang w:val="es-ES" w:eastAsia="es-ES"/>
              </w:rPr>
            </w:pPr>
            <w:r w:rsidRPr="000C6861">
              <w:rPr>
                <w:rFonts w:ascii="Calibri" w:eastAsia="Times New Roman" w:hAnsi="Calibri" w:cs="Times New Roman"/>
                <w:b/>
                <w:color w:val="000000"/>
                <w:sz w:val="20"/>
                <w:szCs w:val="20"/>
                <w:lang w:val="es-ES" w:eastAsia="es-ES"/>
              </w:rPr>
              <w:t>0,</w:t>
            </w:r>
            <w:r w:rsidR="000C6861" w:rsidRPr="000C6861">
              <w:rPr>
                <w:rFonts w:ascii="Calibri" w:eastAsia="Times New Roman" w:hAnsi="Calibri" w:cs="Times New Roman"/>
                <w:b/>
                <w:color w:val="000000"/>
                <w:sz w:val="20"/>
                <w:szCs w:val="20"/>
                <w:lang w:val="es-ES" w:eastAsia="es-ES"/>
              </w:rPr>
              <w:t>89</w:t>
            </w:r>
            <w:r w:rsidRPr="000C6861">
              <w:rPr>
                <w:rFonts w:ascii="Calibri" w:eastAsia="Times New Roman" w:hAnsi="Calibri" w:cs="Times New Roman"/>
                <w:b/>
                <w:color w:val="000000"/>
                <w:sz w:val="20"/>
                <w:szCs w:val="20"/>
                <w:lang w:val="es-ES" w:eastAsia="es-ES"/>
              </w:rPr>
              <w:t>%</w:t>
            </w:r>
          </w:p>
        </w:tc>
      </w:tr>
      <w:tr w:rsidR="00A565EC" w:rsidRPr="00120417" w:rsidTr="00A55EA0">
        <w:trPr>
          <w:trHeight w:val="300"/>
        </w:trPr>
        <w:tc>
          <w:tcPr>
            <w:tcW w:w="3640" w:type="dxa"/>
            <w:shd w:val="clear" w:color="auto" w:fill="auto"/>
            <w:noWrap/>
            <w:vAlign w:val="bottom"/>
            <w:hideMark/>
          </w:tcPr>
          <w:p w:rsidR="00A565EC" w:rsidRPr="00120417" w:rsidRDefault="00A55EA0" w:rsidP="00A565EC">
            <w:pPr>
              <w:spacing w:after="0" w:line="240" w:lineRule="auto"/>
              <w:rPr>
                <w:rFonts w:ascii="Calibri" w:eastAsia="Times New Roman" w:hAnsi="Calibri" w:cs="Times New Roman"/>
                <w:color w:val="000000"/>
                <w:sz w:val="20"/>
                <w:szCs w:val="20"/>
                <w:lang w:val="es-ES" w:eastAsia="es-ES"/>
              </w:rPr>
            </w:pPr>
            <w:r w:rsidRPr="000C6861">
              <w:rPr>
                <w:rFonts w:ascii="Calibri" w:eastAsia="Times New Roman" w:hAnsi="Calibri" w:cs="Times New Roman"/>
                <w:color w:val="000000"/>
                <w:sz w:val="20"/>
                <w:szCs w:val="20"/>
                <w:lang w:val="es-ES" w:eastAsia="es-ES"/>
              </w:rPr>
              <w:t xml:space="preserve">   </w:t>
            </w:r>
            <w:r w:rsidR="00A565EC" w:rsidRPr="00120417">
              <w:rPr>
                <w:rFonts w:ascii="Calibri" w:eastAsia="Times New Roman" w:hAnsi="Calibri" w:cs="Times New Roman"/>
                <w:color w:val="000000"/>
                <w:sz w:val="20"/>
                <w:szCs w:val="20"/>
                <w:lang w:val="es-ES" w:eastAsia="es-ES"/>
              </w:rPr>
              <w:t>Empresas de seguridad</w:t>
            </w:r>
          </w:p>
        </w:tc>
        <w:tc>
          <w:tcPr>
            <w:tcW w:w="1340" w:type="dxa"/>
            <w:shd w:val="clear" w:color="auto" w:fill="auto"/>
            <w:noWrap/>
            <w:vAlign w:val="bottom"/>
            <w:hideMark/>
          </w:tcPr>
          <w:p w:rsidR="00A565EC" w:rsidRPr="00120417" w:rsidRDefault="00A565EC" w:rsidP="00A565EC">
            <w:pPr>
              <w:spacing w:after="0" w:line="240" w:lineRule="auto"/>
              <w:jc w:val="right"/>
              <w:rPr>
                <w:rFonts w:ascii="Calibri" w:eastAsia="Times New Roman" w:hAnsi="Calibri" w:cs="Times New Roman"/>
                <w:color w:val="000000"/>
                <w:sz w:val="20"/>
                <w:szCs w:val="20"/>
                <w:lang w:val="es-ES" w:eastAsia="es-ES"/>
              </w:rPr>
            </w:pPr>
            <w:r w:rsidRPr="00120417">
              <w:rPr>
                <w:rFonts w:ascii="Calibri" w:eastAsia="Times New Roman" w:hAnsi="Calibri" w:cs="Times New Roman"/>
                <w:color w:val="000000"/>
                <w:sz w:val="20"/>
                <w:szCs w:val="20"/>
                <w:lang w:val="es-ES" w:eastAsia="es-ES"/>
              </w:rPr>
              <w:t>4.301.633</w:t>
            </w:r>
          </w:p>
        </w:tc>
        <w:tc>
          <w:tcPr>
            <w:tcW w:w="1200" w:type="dxa"/>
            <w:shd w:val="clear" w:color="auto" w:fill="auto"/>
            <w:noWrap/>
            <w:vAlign w:val="bottom"/>
            <w:hideMark/>
          </w:tcPr>
          <w:p w:rsidR="00A565EC" w:rsidRPr="00120417" w:rsidRDefault="00A565EC" w:rsidP="00A565EC">
            <w:pPr>
              <w:spacing w:after="0" w:line="240" w:lineRule="auto"/>
              <w:jc w:val="right"/>
              <w:rPr>
                <w:rFonts w:ascii="Calibri" w:eastAsia="Times New Roman" w:hAnsi="Calibri" w:cs="Times New Roman"/>
                <w:color w:val="000000"/>
                <w:sz w:val="20"/>
                <w:szCs w:val="20"/>
                <w:lang w:val="es-ES" w:eastAsia="es-ES"/>
              </w:rPr>
            </w:pPr>
            <w:r w:rsidRPr="00120417">
              <w:rPr>
                <w:rFonts w:ascii="Calibri" w:eastAsia="Times New Roman" w:hAnsi="Calibri" w:cs="Times New Roman"/>
                <w:color w:val="000000"/>
                <w:sz w:val="20"/>
                <w:szCs w:val="20"/>
                <w:lang w:val="es-ES" w:eastAsia="es-ES"/>
              </w:rPr>
              <w:t>214.446</w:t>
            </w:r>
          </w:p>
        </w:tc>
        <w:tc>
          <w:tcPr>
            <w:tcW w:w="1200" w:type="dxa"/>
            <w:shd w:val="clear" w:color="auto" w:fill="auto"/>
            <w:noWrap/>
            <w:vAlign w:val="bottom"/>
            <w:hideMark/>
          </w:tcPr>
          <w:p w:rsidR="00A565EC" w:rsidRPr="00120417" w:rsidRDefault="00A565EC" w:rsidP="00A565EC">
            <w:pPr>
              <w:spacing w:after="0" w:line="240" w:lineRule="auto"/>
              <w:jc w:val="right"/>
              <w:rPr>
                <w:rFonts w:ascii="Calibri" w:eastAsia="Times New Roman" w:hAnsi="Calibri" w:cs="Times New Roman"/>
                <w:color w:val="000000"/>
                <w:sz w:val="20"/>
                <w:szCs w:val="20"/>
                <w:lang w:val="es-ES" w:eastAsia="es-ES"/>
              </w:rPr>
            </w:pPr>
            <w:r w:rsidRPr="00120417">
              <w:rPr>
                <w:rFonts w:ascii="Calibri" w:eastAsia="Times New Roman" w:hAnsi="Calibri" w:cs="Times New Roman"/>
                <w:color w:val="000000"/>
                <w:sz w:val="20"/>
                <w:szCs w:val="20"/>
                <w:lang w:val="es-ES" w:eastAsia="es-ES"/>
              </w:rPr>
              <w:t>0,54%</w:t>
            </w:r>
          </w:p>
        </w:tc>
      </w:tr>
      <w:tr w:rsidR="00A565EC" w:rsidRPr="00120417" w:rsidTr="00A55EA0">
        <w:trPr>
          <w:trHeight w:val="300"/>
        </w:trPr>
        <w:tc>
          <w:tcPr>
            <w:tcW w:w="3640" w:type="dxa"/>
            <w:shd w:val="clear" w:color="auto" w:fill="auto"/>
            <w:noWrap/>
            <w:vAlign w:val="bottom"/>
            <w:hideMark/>
          </w:tcPr>
          <w:p w:rsidR="00A565EC" w:rsidRPr="00120417" w:rsidRDefault="00A55EA0" w:rsidP="00A565EC">
            <w:pPr>
              <w:spacing w:after="0" w:line="240" w:lineRule="auto"/>
              <w:rPr>
                <w:rFonts w:ascii="Calibri" w:eastAsia="Times New Roman" w:hAnsi="Calibri" w:cs="Times New Roman"/>
                <w:color w:val="000000"/>
                <w:sz w:val="20"/>
                <w:szCs w:val="20"/>
                <w:lang w:val="es-ES" w:eastAsia="es-ES"/>
              </w:rPr>
            </w:pPr>
            <w:r w:rsidRPr="00120417">
              <w:rPr>
                <w:rFonts w:ascii="Calibri" w:eastAsia="Times New Roman" w:hAnsi="Calibri" w:cs="Times New Roman"/>
                <w:color w:val="000000"/>
                <w:sz w:val="20"/>
                <w:szCs w:val="20"/>
                <w:lang w:val="es-ES" w:eastAsia="es-ES"/>
              </w:rPr>
              <w:t xml:space="preserve">      </w:t>
            </w:r>
            <w:r w:rsidR="00A565EC" w:rsidRPr="00120417">
              <w:rPr>
                <w:rFonts w:ascii="Calibri" w:eastAsia="Times New Roman" w:hAnsi="Calibri" w:cs="Times New Roman"/>
                <w:color w:val="000000"/>
                <w:sz w:val="20"/>
                <w:szCs w:val="20"/>
                <w:lang w:val="es-ES" w:eastAsia="es-ES"/>
              </w:rPr>
              <w:t>Empresas</w:t>
            </w:r>
          </w:p>
        </w:tc>
        <w:tc>
          <w:tcPr>
            <w:tcW w:w="1340" w:type="dxa"/>
            <w:shd w:val="clear" w:color="auto" w:fill="auto"/>
            <w:noWrap/>
            <w:vAlign w:val="bottom"/>
            <w:hideMark/>
          </w:tcPr>
          <w:p w:rsidR="00A565EC" w:rsidRPr="00120417" w:rsidRDefault="00576004" w:rsidP="00C858D3">
            <w:pPr>
              <w:spacing w:after="0" w:line="240" w:lineRule="auto"/>
              <w:jc w:val="right"/>
              <w:rPr>
                <w:rFonts w:ascii="Calibri" w:eastAsia="Times New Roman" w:hAnsi="Calibri" w:cs="Times New Roman"/>
                <w:color w:val="000000"/>
                <w:sz w:val="20"/>
                <w:szCs w:val="20"/>
                <w:lang w:val="es-ES" w:eastAsia="es-ES"/>
              </w:rPr>
            </w:pPr>
            <w:r w:rsidRPr="00120417">
              <w:rPr>
                <w:rFonts w:ascii="Calibri" w:eastAsia="Times New Roman" w:hAnsi="Calibri" w:cs="Times New Roman"/>
                <w:color w:val="000000"/>
                <w:sz w:val="20"/>
                <w:szCs w:val="20"/>
                <w:lang w:val="es-ES" w:eastAsia="es-ES"/>
              </w:rPr>
              <w:t>1.840.2</w:t>
            </w:r>
            <w:r w:rsidR="00C858D3" w:rsidRPr="00120417">
              <w:rPr>
                <w:rFonts w:ascii="Calibri" w:eastAsia="Times New Roman" w:hAnsi="Calibri" w:cs="Times New Roman"/>
                <w:color w:val="000000"/>
                <w:sz w:val="20"/>
                <w:szCs w:val="20"/>
                <w:lang w:val="es-ES" w:eastAsia="es-ES"/>
              </w:rPr>
              <w:t>19</w:t>
            </w:r>
          </w:p>
        </w:tc>
        <w:tc>
          <w:tcPr>
            <w:tcW w:w="1200" w:type="dxa"/>
            <w:shd w:val="clear" w:color="auto" w:fill="auto"/>
            <w:noWrap/>
            <w:vAlign w:val="bottom"/>
            <w:hideMark/>
          </w:tcPr>
          <w:p w:rsidR="00A565EC" w:rsidRPr="00120417" w:rsidRDefault="00576004" w:rsidP="00A565EC">
            <w:pPr>
              <w:spacing w:after="0" w:line="240" w:lineRule="auto"/>
              <w:jc w:val="right"/>
              <w:rPr>
                <w:rFonts w:ascii="Calibri" w:eastAsia="Times New Roman" w:hAnsi="Calibri" w:cs="Times New Roman"/>
                <w:color w:val="000000"/>
                <w:sz w:val="20"/>
                <w:szCs w:val="20"/>
                <w:lang w:val="es-ES" w:eastAsia="es-ES"/>
              </w:rPr>
            </w:pPr>
            <w:r w:rsidRPr="00120417">
              <w:rPr>
                <w:rFonts w:ascii="Calibri" w:eastAsia="Times New Roman" w:hAnsi="Calibri" w:cs="Times New Roman"/>
                <w:color w:val="000000"/>
                <w:sz w:val="20"/>
                <w:szCs w:val="20"/>
                <w:lang w:val="es-ES" w:eastAsia="es-ES"/>
              </w:rPr>
              <w:t>91.740</w:t>
            </w:r>
          </w:p>
        </w:tc>
        <w:tc>
          <w:tcPr>
            <w:tcW w:w="1200" w:type="dxa"/>
            <w:shd w:val="clear" w:color="auto" w:fill="auto"/>
            <w:noWrap/>
            <w:vAlign w:val="bottom"/>
            <w:hideMark/>
          </w:tcPr>
          <w:p w:rsidR="00A565EC" w:rsidRPr="00120417" w:rsidRDefault="00A565EC" w:rsidP="00576004">
            <w:pPr>
              <w:spacing w:after="0" w:line="240" w:lineRule="auto"/>
              <w:jc w:val="right"/>
              <w:rPr>
                <w:rFonts w:ascii="Calibri" w:eastAsia="Times New Roman" w:hAnsi="Calibri" w:cs="Times New Roman"/>
                <w:color w:val="000000"/>
                <w:sz w:val="20"/>
                <w:szCs w:val="20"/>
                <w:lang w:val="es-ES" w:eastAsia="es-ES"/>
              </w:rPr>
            </w:pPr>
            <w:r w:rsidRPr="00120417">
              <w:rPr>
                <w:rFonts w:ascii="Calibri" w:eastAsia="Times New Roman" w:hAnsi="Calibri" w:cs="Times New Roman"/>
                <w:color w:val="000000"/>
                <w:sz w:val="20"/>
                <w:szCs w:val="20"/>
                <w:lang w:val="es-ES" w:eastAsia="es-ES"/>
              </w:rPr>
              <w:t>0,</w:t>
            </w:r>
            <w:r w:rsidR="00576004" w:rsidRPr="00120417">
              <w:rPr>
                <w:rFonts w:ascii="Calibri" w:eastAsia="Times New Roman" w:hAnsi="Calibri" w:cs="Times New Roman"/>
                <w:color w:val="000000"/>
                <w:sz w:val="20"/>
                <w:szCs w:val="20"/>
                <w:lang w:val="es-ES" w:eastAsia="es-ES"/>
              </w:rPr>
              <w:t>23</w:t>
            </w:r>
            <w:r w:rsidRPr="00120417">
              <w:rPr>
                <w:rFonts w:ascii="Calibri" w:eastAsia="Times New Roman" w:hAnsi="Calibri" w:cs="Times New Roman"/>
                <w:color w:val="000000"/>
                <w:sz w:val="20"/>
                <w:szCs w:val="20"/>
                <w:lang w:val="es-ES" w:eastAsia="es-ES"/>
              </w:rPr>
              <w:t>%</w:t>
            </w:r>
          </w:p>
        </w:tc>
      </w:tr>
      <w:tr w:rsidR="00A565EC" w:rsidRPr="00120417" w:rsidTr="00A55EA0">
        <w:trPr>
          <w:trHeight w:val="300"/>
        </w:trPr>
        <w:tc>
          <w:tcPr>
            <w:tcW w:w="3640" w:type="dxa"/>
            <w:shd w:val="clear" w:color="auto" w:fill="auto"/>
            <w:noWrap/>
            <w:vAlign w:val="bottom"/>
            <w:hideMark/>
          </w:tcPr>
          <w:p w:rsidR="00A565EC" w:rsidRPr="00120417" w:rsidRDefault="00A55EA0" w:rsidP="00A565EC">
            <w:pPr>
              <w:spacing w:after="0" w:line="240" w:lineRule="auto"/>
              <w:rPr>
                <w:rFonts w:ascii="Calibri" w:eastAsia="Times New Roman" w:hAnsi="Calibri" w:cs="Times New Roman"/>
                <w:color w:val="000000"/>
                <w:sz w:val="20"/>
                <w:szCs w:val="20"/>
                <w:lang w:val="es-ES" w:eastAsia="es-ES"/>
              </w:rPr>
            </w:pPr>
            <w:r w:rsidRPr="00120417">
              <w:rPr>
                <w:rFonts w:ascii="Calibri" w:eastAsia="Times New Roman" w:hAnsi="Calibri" w:cs="Times New Roman"/>
                <w:color w:val="000000"/>
                <w:sz w:val="20"/>
                <w:szCs w:val="20"/>
                <w:lang w:val="es-ES" w:eastAsia="es-ES"/>
              </w:rPr>
              <w:t xml:space="preserve">      </w:t>
            </w:r>
            <w:r w:rsidR="00A565EC" w:rsidRPr="00120417">
              <w:rPr>
                <w:rFonts w:ascii="Calibri" w:eastAsia="Times New Roman" w:hAnsi="Calibri" w:cs="Times New Roman"/>
                <w:color w:val="000000"/>
                <w:sz w:val="20"/>
                <w:szCs w:val="20"/>
                <w:lang w:val="es-ES" w:eastAsia="es-ES"/>
              </w:rPr>
              <w:t>Hogares</w:t>
            </w:r>
          </w:p>
        </w:tc>
        <w:tc>
          <w:tcPr>
            <w:tcW w:w="1340" w:type="dxa"/>
            <w:shd w:val="clear" w:color="auto" w:fill="auto"/>
            <w:noWrap/>
            <w:vAlign w:val="bottom"/>
            <w:hideMark/>
          </w:tcPr>
          <w:p w:rsidR="00A565EC" w:rsidRPr="00120417" w:rsidRDefault="00576004" w:rsidP="00C858D3">
            <w:pPr>
              <w:spacing w:after="0" w:line="240" w:lineRule="auto"/>
              <w:jc w:val="right"/>
              <w:rPr>
                <w:rFonts w:ascii="Calibri" w:eastAsia="Times New Roman" w:hAnsi="Calibri" w:cs="Times New Roman"/>
                <w:color w:val="000000"/>
                <w:sz w:val="20"/>
                <w:szCs w:val="20"/>
                <w:lang w:val="es-ES" w:eastAsia="es-ES"/>
              </w:rPr>
            </w:pPr>
            <w:r w:rsidRPr="00120417">
              <w:rPr>
                <w:rFonts w:ascii="Calibri" w:eastAsia="Times New Roman" w:hAnsi="Calibri" w:cs="Times New Roman"/>
                <w:color w:val="000000"/>
                <w:sz w:val="20"/>
                <w:szCs w:val="20"/>
                <w:lang w:val="es-ES" w:eastAsia="es-ES"/>
              </w:rPr>
              <w:t>2</w:t>
            </w:r>
            <w:r w:rsidR="00C858D3" w:rsidRPr="00120417">
              <w:rPr>
                <w:rFonts w:ascii="Calibri" w:eastAsia="Times New Roman" w:hAnsi="Calibri" w:cs="Times New Roman"/>
                <w:color w:val="000000"/>
                <w:sz w:val="20"/>
                <w:szCs w:val="20"/>
                <w:lang w:val="es-ES" w:eastAsia="es-ES"/>
              </w:rPr>
              <w:t>.</w:t>
            </w:r>
            <w:r w:rsidRPr="00120417">
              <w:rPr>
                <w:rFonts w:ascii="Calibri" w:eastAsia="Times New Roman" w:hAnsi="Calibri" w:cs="Times New Roman"/>
                <w:color w:val="000000"/>
                <w:sz w:val="20"/>
                <w:szCs w:val="20"/>
                <w:lang w:val="es-ES" w:eastAsia="es-ES"/>
              </w:rPr>
              <w:t>461</w:t>
            </w:r>
            <w:r w:rsidR="00C858D3" w:rsidRPr="00120417">
              <w:rPr>
                <w:rFonts w:ascii="Calibri" w:eastAsia="Times New Roman" w:hAnsi="Calibri" w:cs="Times New Roman"/>
                <w:color w:val="000000"/>
                <w:sz w:val="20"/>
                <w:szCs w:val="20"/>
                <w:lang w:val="es-ES" w:eastAsia="es-ES"/>
              </w:rPr>
              <w:t>.</w:t>
            </w:r>
            <w:r w:rsidRPr="00120417">
              <w:rPr>
                <w:rFonts w:ascii="Calibri" w:eastAsia="Times New Roman" w:hAnsi="Calibri" w:cs="Times New Roman"/>
                <w:color w:val="000000"/>
                <w:sz w:val="20"/>
                <w:szCs w:val="20"/>
                <w:lang w:val="es-ES" w:eastAsia="es-ES"/>
              </w:rPr>
              <w:t>354</w:t>
            </w:r>
          </w:p>
        </w:tc>
        <w:tc>
          <w:tcPr>
            <w:tcW w:w="1200" w:type="dxa"/>
            <w:shd w:val="clear" w:color="auto" w:fill="auto"/>
            <w:noWrap/>
            <w:vAlign w:val="bottom"/>
            <w:hideMark/>
          </w:tcPr>
          <w:p w:rsidR="00A565EC" w:rsidRPr="00120417" w:rsidRDefault="00A565EC" w:rsidP="00576004">
            <w:pPr>
              <w:spacing w:after="0" w:line="240" w:lineRule="auto"/>
              <w:jc w:val="right"/>
              <w:rPr>
                <w:rFonts w:ascii="Calibri" w:eastAsia="Times New Roman" w:hAnsi="Calibri" w:cs="Times New Roman"/>
                <w:color w:val="000000"/>
                <w:sz w:val="20"/>
                <w:szCs w:val="20"/>
                <w:lang w:val="es-ES" w:eastAsia="es-ES"/>
              </w:rPr>
            </w:pPr>
            <w:r w:rsidRPr="00120417">
              <w:rPr>
                <w:rFonts w:ascii="Calibri" w:eastAsia="Times New Roman" w:hAnsi="Calibri" w:cs="Times New Roman"/>
                <w:color w:val="000000"/>
                <w:sz w:val="20"/>
                <w:szCs w:val="20"/>
                <w:lang w:val="es-ES" w:eastAsia="es-ES"/>
              </w:rPr>
              <w:t>1</w:t>
            </w:r>
            <w:r w:rsidR="00576004" w:rsidRPr="00120417">
              <w:rPr>
                <w:rFonts w:ascii="Calibri" w:eastAsia="Times New Roman" w:hAnsi="Calibri" w:cs="Times New Roman"/>
                <w:color w:val="000000"/>
                <w:sz w:val="20"/>
                <w:szCs w:val="20"/>
                <w:lang w:val="es-ES" w:eastAsia="es-ES"/>
              </w:rPr>
              <w:t>22.706</w:t>
            </w:r>
          </w:p>
        </w:tc>
        <w:tc>
          <w:tcPr>
            <w:tcW w:w="1200" w:type="dxa"/>
            <w:shd w:val="clear" w:color="auto" w:fill="auto"/>
            <w:noWrap/>
            <w:vAlign w:val="bottom"/>
            <w:hideMark/>
          </w:tcPr>
          <w:p w:rsidR="00A565EC" w:rsidRPr="00120417" w:rsidRDefault="00576004" w:rsidP="00A565EC">
            <w:pPr>
              <w:spacing w:after="0" w:line="240" w:lineRule="auto"/>
              <w:jc w:val="right"/>
              <w:rPr>
                <w:rFonts w:ascii="Calibri" w:eastAsia="Times New Roman" w:hAnsi="Calibri" w:cs="Times New Roman"/>
                <w:color w:val="000000"/>
                <w:sz w:val="20"/>
                <w:szCs w:val="20"/>
                <w:lang w:val="es-ES" w:eastAsia="es-ES"/>
              </w:rPr>
            </w:pPr>
            <w:r w:rsidRPr="00120417">
              <w:rPr>
                <w:rFonts w:ascii="Calibri" w:eastAsia="Times New Roman" w:hAnsi="Calibri" w:cs="Times New Roman"/>
                <w:color w:val="000000"/>
                <w:sz w:val="20"/>
                <w:szCs w:val="20"/>
                <w:lang w:val="es-ES" w:eastAsia="es-ES"/>
              </w:rPr>
              <w:t>0,31</w:t>
            </w:r>
            <w:r w:rsidR="00A565EC" w:rsidRPr="00120417">
              <w:rPr>
                <w:rFonts w:ascii="Calibri" w:eastAsia="Times New Roman" w:hAnsi="Calibri" w:cs="Times New Roman"/>
                <w:color w:val="000000"/>
                <w:sz w:val="20"/>
                <w:szCs w:val="20"/>
                <w:lang w:val="es-ES" w:eastAsia="es-ES"/>
              </w:rPr>
              <w:t>%</w:t>
            </w:r>
          </w:p>
        </w:tc>
      </w:tr>
      <w:tr w:rsidR="00A565EC" w:rsidRPr="000C6861" w:rsidTr="00A55EA0">
        <w:trPr>
          <w:trHeight w:val="300"/>
        </w:trPr>
        <w:tc>
          <w:tcPr>
            <w:tcW w:w="3640" w:type="dxa"/>
            <w:shd w:val="clear" w:color="auto" w:fill="auto"/>
            <w:noWrap/>
            <w:vAlign w:val="bottom"/>
            <w:hideMark/>
          </w:tcPr>
          <w:p w:rsidR="00A565EC" w:rsidRPr="00120417" w:rsidRDefault="00A55EA0" w:rsidP="000C6861">
            <w:pPr>
              <w:spacing w:after="0" w:line="240" w:lineRule="auto"/>
              <w:rPr>
                <w:rFonts w:ascii="Calibri" w:eastAsia="Times New Roman" w:hAnsi="Calibri" w:cs="Times New Roman"/>
                <w:color w:val="000000"/>
                <w:sz w:val="20"/>
                <w:szCs w:val="20"/>
                <w:lang w:val="es-ES" w:eastAsia="es-ES"/>
              </w:rPr>
            </w:pPr>
            <w:r w:rsidRPr="00120417">
              <w:rPr>
                <w:rFonts w:ascii="Calibri" w:eastAsia="Times New Roman" w:hAnsi="Calibri" w:cs="Times New Roman"/>
                <w:color w:val="000000"/>
                <w:sz w:val="20"/>
                <w:szCs w:val="20"/>
                <w:lang w:val="es-ES" w:eastAsia="es-ES"/>
              </w:rPr>
              <w:t xml:space="preserve">  </w:t>
            </w:r>
            <w:r w:rsidR="00A565EC" w:rsidRPr="00120417">
              <w:rPr>
                <w:rFonts w:ascii="Calibri" w:eastAsia="Times New Roman" w:hAnsi="Calibri" w:cs="Times New Roman"/>
                <w:color w:val="000000"/>
                <w:sz w:val="20"/>
                <w:szCs w:val="20"/>
                <w:lang w:val="es-ES" w:eastAsia="es-ES"/>
              </w:rPr>
              <w:t>Seguros (por robo</w:t>
            </w:r>
            <w:r w:rsidR="000C6861" w:rsidRPr="00120417">
              <w:rPr>
                <w:rFonts w:ascii="Calibri" w:eastAsia="Times New Roman" w:hAnsi="Calibri" w:cs="Times New Roman"/>
                <w:color w:val="000000"/>
                <w:sz w:val="20"/>
                <w:szCs w:val="20"/>
                <w:lang w:val="es-ES" w:eastAsia="es-ES"/>
              </w:rPr>
              <w:t xml:space="preserve"> inmuebles y vehículos</w:t>
            </w:r>
            <w:r w:rsidR="00A565EC" w:rsidRPr="00120417">
              <w:rPr>
                <w:rFonts w:ascii="Calibri" w:eastAsia="Times New Roman" w:hAnsi="Calibri" w:cs="Times New Roman"/>
                <w:color w:val="000000"/>
                <w:sz w:val="20"/>
                <w:szCs w:val="20"/>
                <w:lang w:val="es-ES" w:eastAsia="es-ES"/>
              </w:rPr>
              <w:t>)</w:t>
            </w:r>
          </w:p>
        </w:tc>
        <w:tc>
          <w:tcPr>
            <w:tcW w:w="1340" w:type="dxa"/>
            <w:shd w:val="clear" w:color="auto" w:fill="auto"/>
            <w:noWrap/>
            <w:vAlign w:val="bottom"/>
            <w:hideMark/>
          </w:tcPr>
          <w:p w:rsidR="00A565EC" w:rsidRPr="00120417" w:rsidRDefault="000C6861" w:rsidP="00A565EC">
            <w:pPr>
              <w:spacing w:after="0" w:line="240" w:lineRule="auto"/>
              <w:jc w:val="right"/>
              <w:rPr>
                <w:rFonts w:ascii="Calibri" w:eastAsia="Times New Roman" w:hAnsi="Calibri" w:cs="Times New Roman"/>
                <w:color w:val="000000"/>
                <w:sz w:val="20"/>
                <w:szCs w:val="20"/>
                <w:lang w:val="es-ES" w:eastAsia="es-ES"/>
              </w:rPr>
            </w:pPr>
            <w:r w:rsidRPr="00120417">
              <w:rPr>
                <w:rFonts w:ascii="Calibri" w:eastAsia="Times New Roman" w:hAnsi="Calibri" w:cs="Times New Roman"/>
                <w:color w:val="000000"/>
                <w:sz w:val="20"/>
                <w:szCs w:val="20"/>
                <w:lang w:val="es-ES" w:eastAsia="es-ES"/>
              </w:rPr>
              <w:t>2.734.060</w:t>
            </w:r>
          </w:p>
        </w:tc>
        <w:tc>
          <w:tcPr>
            <w:tcW w:w="1200" w:type="dxa"/>
            <w:shd w:val="clear" w:color="auto" w:fill="auto"/>
            <w:noWrap/>
            <w:vAlign w:val="bottom"/>
            <w:hideMark/>
          </w:tcPr>
          <w:p w:rsidR="00A565EC" w:rsidRPr="00120417" w:rsidRDefault="000C6861" w:rsidP="00A565EC">
            <w:pPr>
              <w:spacing w:after="0" w:line="240" w:lineRule="auto"/>
              <w:jc w:val="right"/>
              <w:rPr>
                <w:rFonts w:ascii="Calibri" w:eastAsia="Times New Roman" w:hAnsi="Calibri" w:cs="Times New Roman"/>
                <w:color w:val="000000"/>
                <w:sz w:val="20"/>
                <w:szCs w:val="20"/>
                <w:lang w:val="es-ES" w:eastAsia="es-ES"/>
              </w:rPr>
            </w:pPr>
            <w:r w:rsidRPr="00120417">
              <w:rPr>
                <w:rFonts w:ascii="Calibri" w:eastAsia="Times New Roman" w:hAnsi="Calibri" w:cs="Times New Roman"/>
                <w:color w:val="000000"/>
                <w:sz w:val="20"/>
                <w:szCs w:val="20"/>
                <w:lang w:val="es-ES" w:eastAsia="es-ES"/>
              </w:rPr>
              <w:t>136.299</w:t>
            </w:r>
          </w:p>
        </w:tc>
        <w:tc>
          <w:tcPr>
            <w:tcW w:w="1200" w:type="dxa"/>
            <w:shd w:val="clear" w:color="auto" w:fill="auto"/>
            <w:noWrap/>
            <w:vAlign w:val="bottom"/>
            <w:hideMark/>
          </w:tcPr>
          <w:p w:rsidR="00A565EC" w:rsidRPr="000C6861" w:rsidRDefault="000C6861" w:rsidP="000C6861">
            <w:pPr>
              <w:spacing w:after="0" w:line="240" w:lineRule="auto"/>
              <w:jc w:val="right"/>
              <w:rPr>
                <w:rFonts w:ascii="Calibri" w:eastAsia="Times New Roman" w:hAnsi="Calibri" w:cs="Times New Roman"/>
                <w:color w:val="000000"/>
                <w:sz w:val="20"/>
                <w:szCs w:val="20"/>
                <w:lang w:val="es-ES" w:eastAsia="es-ES"/>
              </w:rPr>
            </w:pPr>
            <w:r w:rsidRPr="00120417">
              <w:rPr>
                <w:rFonts w:ascii="Calibri" w:eastAsia="Times New Roman" w:hAnsi="Calibri" w:cs="Times New Roman"/>
                <w:color w:val="000000"/>
                <w:sz w:val="20"/>
                <w:szCs w:val="20"/>
                <w:lang w:val="es-ES" w:eastAsia="es-ES"/>
              </w:rPr>
              <w:t>0,35</w:t>
            </w:r>
            <w:r w:rsidR="00A565EC" w:rsidRPr="00120417">
              <w:rPr>
                <w:rFonts w:ascii="Calibri" w:eastAsia="Times New Roman" w:hAnsi="Calibri" w:cs="Times New Roman"/>
                <w:color w:val="000000"/>
                <w:sz w:val="20"/>
                <w:szCs w:val="20"/>
                <w:lang w:val="es-ES" w:eastAsia="es-ES"/>
              </w:rPr>
              <w:t>%</w:t>
            </w:r>
          </w:p>
        </w:tc>
      </w:tr>
      <w:tr w:rsidR="00A565EC" w:rsidRPr="00A55EA0" w:rsidTr="00A55EA0">
        <w:trPr>
          <w:trHeight w:val="300"/>
        </w:trPr>
        <w:tc>
          <w:tcPr>
            <w:tcW w:w="3640" w:type="dxa"/>
            <w:shd w:val="clear" w:color="auto" w:fill="auto"/>
            <w:noWrap/>
            <w:vAlign w:val="bottom"/>
            <w:hideMark/>
          </w:tcPr>
          <w:p w:rsidR="00A565EC" w:rsidRPr="000C6861" w:rsidRDefault="00A55EA0" w:rsidP="007207A7">
            <w:pPr>
              <w:spacing w:after="0" w:line="240" w:lineRule="auto"/>
              <w:rPr>
                <w:rFonts w:ascii="Calibri" w:eastAsia="Times New Roman" w:hAnsi="Calibri" w:cs="Times New Roman"/>
                <w:color w:val="000000"/>
                <w:sz w:val="20"/>
                <w:szCs w:val="20"/>
                <w:lang w:val="es-ES" w:eastAsia="es-ES"/>
              </w:rPr>
            </w:pPr>
            <w:r w:rsidRPr="000C6861">
              <w:rPr>
                <w:rFonts w:ascii="Calibri" w:eastAsia="Times New Roman" w:hAnsi="Calibri" w:cs="Times New Roman"/>
                <w:color w:val="000000"/>
                <w:sz w:val="20"/>
                <w:szCs w:val="20"/>
                <w:lang w:val="es-ES" w:eastAsia="es-ES"/>
              </w:rPr>
              <w:t xml:space="preserve">      </w:t>
            </w:r>
            <w:r w:rsidR="00A565EC" w:rsidRPr="000C6861">
              <w:rPr>
                <w:rFonts w:ascii="Calibri" w:eastAsia="Times New Roman" w:hAnsi="Calibri" w:cs="Times New Roman"/>
                <w:color w:val="000000"/>
                <w:sz w:val="20"/>
                <w:szCs w:val="20"/>
                <w:lang w:val="es-ES" w:eastAsia="es-ES"/>
              </w:rPr>
              <w:t>Costos adm</w:t>
            </w:r>
            <w:r w:rsidR="007207A7" w:rsidRPr="000C6861">
              <w:rPr>
                <w:rFonts w:ascii="Calibri" w:eastAsia="Times New Roman" w:hAnsi="Calibri" w:cs="Times New Roman"/>
                <w:color w:val="000000"/>
                <w:sz w:val="20"/>
                <w:szCs w:val="20"/>
                <w:lang w:val="es-ES" w:eastAsia="es-ES"/>
              </w:rPr>
              <w:t>inistrativos</w:t>
            </w:r>
            <w:r w:rsidR="00A565EC" w:rsidRPr="000C6861">
              <w:rPr>
                <w:rFonts w:ascii="Calibri" w:eastAsia="Times New Roman" w:hAnsi="Calibri" w:cs="Times New Roman"/>
                <w:color w:val="000000"/>
                <w:sz w:val="20"/>
                <w:szCs w:val="20"/>
                <w:lang w:val="es-ES" w:eastAsia="es-ES"/>
              </w:rPr>
              <w:t xml:space="preserve"> seguros</w:t>
            </w:r>
          </w:p>
        </w:tc>
        <w:tc>
          <w:tcPr>
            <w:tcW w:w="1340" w:type="dxa"/>
            <w:shd w:val="clear" w:color="auto" w:fill="auto"/>
            <w:noWrap/>
            <w:vAlign w:val="bottom"/>
            <w:hideMark/>
          </w:tcPr>
          <w:p w:rsidR="00A565EC" w:rsidRPr="000C6861" w:rsidRDefault="000C6861" w:rsidP="00A565EC">
            <w:pPr>
              <w:spacing w:after="0" w:line="240" w:lineRule="auto"/>
              <w:jc w:val="right"/>
              <w:rPr>
                <w:rFonts w:ascii="Calibri" w:eastAsia="Times New Roman" w:hAnsi="Calibri" w:cs="Times New Roman"/>
                <w:color w:val="000000"/>
                <w:sz w:val="20"/>
                <w:szCs w:val="20"/>
                <w:lang w:val="es-ES" w:eastAsia="es-ES"/>
              </w:rPr>
            </w:pPr>
            <w:r w:rsidRPr="000C6861">
              <w:rPr>
                <w:rFonts w:ascii="Calibri" w:eastAsia="Times New Roman" w:hAnsi="Calibri" w:cs="Times New Roman"/>
                <w:color w:val="000000"/>
                <w:sz w:val="20"/>
                <w:szCs w:val="20"/>
                <w:lang w:val="es-ES" w:eastAsia="es-ES"/>
              </w:rPr>
              <w:t>2.734.060</w:t>
            </w:r>
          </w:p>
        </w:tc>
        <w:tc>
          <w:tcPr>
            <w:tcW w:w="1200" w:type="dxa"/>
            <w:shd w:val="clear" w:color="auto" w:fill="auto"/>
            <w:noWrap/>
            <w:vAlign w:val="bottom"/>
            <w:hideMark/>
          </w:tcPr>
          <w:p w:rsidR="00A565EC" w:rsidRPr="000C6861" w:rsidRDefault="000C6861" w:rsidP="00A565EC">
            <w:pPr>
              <w:spacing w:after="0" w:line="240" w:lineRule="auto"/>
              <w:jc w:val="right"/>
              <w:rPr>
                <w:rFonts w:ascii="Calibri" w:eastAsia="Times New Roman" w:hAnsi="Calibri" w:cs="Times New Roman"/>
                <w:color w:val="000000"/>
                <w:sz w:val="20"/>
                <w:szCs w:val="20"/>
                <w:lang w:val="es-ES" w:eastAsia="es-ES"/>
              </w:rPr>
            </w:pPr>
            <w:r w:rsidRPr="000C6861">
              <w:rPr>
                <w:rFonts w:ascii="Calibri" w:eastAsia="Times New Roman" w:hAnsi="Calibri" w:cs="Times New Roman"/>
                <w:color w:val="000000"/>
                <w:sz w:val="20"/>
                <w:szCs w:val="20"/>
                <w:lang w:val="es-ES" w:eastAsia="es-ES"/>
              </w:rPr>
              <w:t>136.299</w:t>
            </w:r>
          </w:p>
        </w:tc>
        <w:tc>
          <w:tcPr>
            <w:tcW w:w="1200" w:type="dxa"/>
            <w:shd w:val="clear" w:color="auto" w:fill="auto"/>
            <w:noWrap/>
            <w:vAlign w:val="bottom"/>
            <w:hideMark/>
          </w:tcPr>
          <w:p w:rsidR="00A565EC" w:rsidRPr="00A55EA0" w:rsidRDefault="000C6861" w:rsidP="00A565EC">
            <w:pPr>
              <w:spacing w:after="0" w:line="240" w:lineRule="auto"/>
              <w:jc w:val="right"/>
              <w:rPr>
                <w:rFonts w:ascii="Calibri" w:eastAsia="Times New Roman" w:hAnsi="Calibri" w:cs="Times New Roman"/>
                <w:color w:val="000000"/>
                <w:sz w:val="20"/>
                <w:szCs w:val="20"/>
                <w:lang w:val="es-ES" w:eastAsia="es-ES"/>
              </w:rPr>
            </w:pPr>
            <w:r w:rsidRPr="000C6861">
              <w:rPr>
                <w:rFonts w:ascii="Calibri" w:eastAsia="Times New Roman" w:hAnsi="Calibri" w:cs="Times New Roman"/>
                <w:color w:val="000000"/>
                <w:sz w:val="20"/>
                <w:szCs w:val="20"/>
                <w:lang w:val="es-ES" w:eastAsia="es-ES"/>
              </w:rPr>
              <w:t>0,35</w:t>
            </w:r>
            <w:r w:rsidR="00A565EC" w:rsidRPr="000C6861">
              <w:rPr>
                <w:rFonts w:ascii="Calibri" w:eastAsia="Times New Roman" w:hAnsi="Calibri" w:cs="Times New Roman"/>
                <w:color w:val="000000"/>
                <w:sz w:val="20"/>
                <w:szCs w:val="20"/>
                <w:lang w:val="es-ES" w:eastAsia="es-ES"/>
              </w:rPr>
              <w:t>%</w:t>
            </w:r>
          </w:p>
        </w:tc>
      </w:tr>
      <w:tr w:rsidR="00A565EC" w:rsidRPr="00A55EA0" w:rsidTr="00A55EA0">
        <w:trPr>
          <w:trHeight w:val="315"/>
        </w:trPr>
        <w:tc>
          <w:tcPr>
            <w:tcW w:w="3640" w:type="dxa"/>
            <w:shd w:val="clear" w:color="auto" w:fill="auto"/>
            <w:noWrap/>
            <w:vAlign w:val="bottom"/>
            <w:hideMark/>
          </w:tcPr>
          <w:p w:rsidR="00A565EC" w:rsidRPr="00A55EA0" w:rsidRDefault="00A565EC" w:rsidP="00A565EC">
            <w:pPr>
              <w:spacing w:after="0" w:line="240" w:lineRule="auto"/>
              <w:rPr>
                <w:rFonts w:ascii="Calibri" w:eastAsia="Times New Roman" w:hAnsi="Calibri" w:cs="Times New Roman"/>
                <w:b/>
                <w:color w:val="000000"/>
                <w:sz w:val="20"/>
                <w:szCs w:val="20"/>
                <w:lang w:val="es-ES" w:eastAsia="es-ES"/>
              </w:rPr>
            </w:pPr>
            <w:r w:rsidRPr="00A55EA0">
              <w:rPr>
                <w:rFonts w:ascii="Calibri" w:eastAsia="Times New Roman" w:hAnsi="Calibri" w:cs="Times New Roman"/>
                <w:b/>
                <w:color w:val="000000"/>
                <w:sz w:val="20"/>
                <w:szCs w:val="20"/>
                <w:lang w:val="es-ES" w:eastAsia="es-ES"/>
              </w:rPr>
              <w:t>Justicia</w:t>
            </w:r>
          </w:p>
        </w:tc>
        <w:tc>
          <w:tcPr>
            <w:tcW w:w="1340" w:type="dxa"/>
            <w:shd w:val="clear" w:color="auto" w:fill="auto"/>
            <w:noWrap/>
            <w:vAlign w:val="bottom"/>
            <w:hideMark/>
          </w:tcPr>
          <w:p w:rsidR="00A565EC" w:rsidRPr="00A55EA0" w:rsidRDefault="00A565EC" w:rsidP="00A565EC">
            <w:pPr>
              <w:spacing w:after="0" w:line="240" w:lineRule="auto"/>
              <w:jc w:val="right"/>
              <w:rPr>
                <w:rFonts w:ascii="Calibri" w:eastAsia="Times New Roman" w:hAnsi="Calibri" w:cs="Times New Roman"/>
                <w:b/>
                <w:color w:val="000000"/>
                <w:sz w:val="20"/>
                <w:szCs w:val="20"/>
                <w:lang w:val="es-ES" w:eastAsia="es-ES"/>
              </w:rPr>
            </w:pPr>
            <w:r w:rsidRPr="00A55EA0">
              <w:rPr>
                <w:rFonts w:ascii="Calibri" w:eastAsia="Times New Roman" w:hAnsi="Calibri" w:cs="Times New Roman"/>
                <w:b/>
                <w:color w:val="000000"/>
                <w:sz w:val="20"/>
                <w:szCs w:val="20"/>
                <w:lang w:val="es-ES" w:eastAsia="es-ES"/>
              </w:rPr>
              <w:t>469.436</w:t>
            </w:r>
          </w:p>
        </w:tc>
        <w:tc>
          <w:tcPr>
            <w:tcW w:w="1200" w:type="dxa"/>
            <w:shd w:val="clear" w:color="auto" w:fill="auto"/>
            <w:noWrap/>
            <w:vAlign w:val="bottom"/>
            <w:hideMark/>
          </w:tcPr>
          <w:p w:rsidR="00A565EC" w:rsidRPr="00A55EA0" w:rsidRDefault="00A565EC" w:rsidP="00A565EC">
            <w:pPr>
              <w:spacing w:after="0" w:line="240" w:lineRule="auto"/>
              <w:jc w:val="right"/>
              <w:rPr>
                <w:rFonts w:ascii="Calibri" w:eastAsia="Times New Roman" w:hAnsi="Calibri" w:cs="Times New Roman"/>
                <w:b/>
                <w:color w:val="000000"/>
                <w:sz w:val="20"/>
                <w:szCs w:val="20"/>
                <w:lang w:val="es-ES" w:eastAsia="es-ES"/>
              </w:rPr>
            </w:pPr>
            <w:r w:rsidRPr="00A55EA0">
              <w:rPr>
                <w:rFonts w:ascii="Calibri" w:eastAsia="Times New Roman" w:hAnsi="Calibri" w:cs="Times New Roman"/>
                <w:b/>
                <w:color w:val="000000"/>
                <w:sz w:val="20"/>
                <w:szCs w:val="20"/>
                <w:lang w:val="es-ES" w:eastAsia="es-ES"/>
              </w:rPr>
              <w:t>23.402</w:t>
            </w:r>
          </w:p>
        </w:tc>
        <w:tc>
          <w:tcPr>
            <w:tcW w:w="1200" w:type="dxa"/>
            <w:shd w:val="clear" w:color="auto" w:fill="auto"/>
            <w:noWrap/>
            <w:vAlign w:val="bottom"/>
            <w:hideMark/>
          </w:tcPr>
          <w:p w:rsidR="00A565EC" w:rsidRPr="00A55EA0" w:rsidRDefault="00A565EC" w:rsidP="00A565EC">
            <w:pPr>
              <w:spacing w:after="0" w:line="240" w:lineRule="auto"/>
              <w:jc w:val="right"/>
              <w:rPr>
                <w:rFonts w:ascii="Calibri" w:eastAsia="Times New Roman" w:hAnsi="Calibri" w:cs="Times New Roman"/>
                <w:b/>
                <w:color w:val="000000"/>
                <w:sz w:val="20"/>
                <w:szCs w:val="20"/>
                <w:lang w:val="es-ES" w:eastAsia="es-ES"/>
              </w:rPr>
            </w:pPr>
            <w:r w:rsidRPr="00A55EA0">
              <w:rPr>
                <w:rFonts w:ascii="Calibri" w:eastAsia="Times New Roman" w:hAnsi="Calibri" w:cs="Times New Roman"/>
                <w:b/>
                <w:color w:val="000000"/>
                <w:sz w:val="20"/>
                <w:szCs w:val="20"/>
                <w:lang w:val="es-ES" w:eastAsia="es-ES"/>
              </w:rPr>
              <w:t>0,06%</w:t>
            </w:r>
          </w:p>
        </w:tc>
      </w:tr>
      <w:tr w:rsidR="00A565EC" w:rsidRPr="00A55EA0" w:rsidTr="00A55EA0">
        <w:trPr>
          <w:trHeight w:val="315"/>
        </w:trPr>
        <w:tc>
          <w:tcPr>
            <w:tcW w:w="3640" w:type="dxa"/>
            <w:tcBorders>
              <w:bottom w:val="single" w:sz="4" w:space="0" w:color="auto"/>
            </w:tcBorders>
            <w:shd w:val="clear" w:color="auto" w:fill="auto"/>
            <w:noWrap/>
            <w:vAlign w:val="bottom"/>
            <w:hideMark/>
          </w:tcPr>
          <w:p w:rsidR="00A565EC" w:rsidRPr="00A55EA0" w:rsidRDefault="00A55EA0" w:rsidP="00A565EC">
            <w:pPr>
              <w:spacing w:after="0" w:line="240" w:lineRule="auto"/>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 xml:space="preserve">   </w:t>
            </w:r>
            <w:r w:rsidR="007207A7" w:rsidRPr="00A55EA0">
              <w:rPr>
                <w:rFonts w:ascii="Calibri" w:eastAsia="Times New Roman" w:hAnsi="Calibri" w:cs="Times New Roman"/>
                <w:color w:val="000000"/>
                <w:sz w:val="20"/>
                <w:szCs w:val="20"/>
                <w:lang w:val="es-ES" w:eastAsia="es-ES"/>
              </w:rPr>
              <w:t>Honorarios p</w:t>
            </w:r>
            <w:r w:rsidR="00A565EC" w:rsidRPr="00A55EA0">
              <w:rPr>
                <w:rFonts w:ascii="Calibri" w:eastAsia="Times New Roman" w:hAnsi="Calibri" w:cs="Times New Roman"/>
                <w:color w:val="000000"/>
                <w:sz w:val="20"/>
                <w:szCs w:val="20"/>
                <w:lang w:val="es-ES" w:eastAsia="es-ES"/>
              </w:rPr>
              <w:t>enalistas</w:t>
            </w:r>
          </w:p>
        </w:tc>
        <w:tc>
          <w:tcPr>
            <w:tcW w:w="1340" w:type="dxa"/>
            <w:tcBorders>
              <w:bottom w:val="single" w:sz="4" w:space="0" w:color="auto"/>
            </w:tcBorders>
            <w:shd w:val="clear" w:color="auto" w:fill="auto"/>
            <w:noWrap/>
            <w:vAlign w:val="bottom"/>
            <w:hideMark/>
          </w:tcPr>
          <w:p w:rsidR="00A565EC" w:rsidRPr="00A55EA0" w:rsidRDefault="00A565EC" w:rsidP="00A565EC">
            <w:pPr>
              <w:spacing w:after="0" w:line="240" w:lineRule="auto"/>
              <w:jc w:val="right"/>
              <w:rPr>
                <w:rFonts w:ascii="Calibri" w:eastAsia="Times New Roman" w:hAnsi="Calibri" w:cs="Times New Roman"/>
                <w:color w:val="000000"/>
                <w:sz w:val="20"/>
                <w:szCs w:val="20"/>
                <w:lang w:val="es-ES" w:eastAsia="es-ES"/>
              </w:rPr>
            </w:pPr>
            <w:r w:rsidRPr="00A55EA0">
              <w:rPr>
                <w:rFonts w:ascii="Calibri" w:eastAsia="Times New Roman" w:hAnsi="Calibri" w:cs="Times New Roman"/>
                <w:color w:val="000000"/>
                <w:sz w:val="20"/>
                <w:szCs w:val="20"/>
                <w:lang w:val="es-ES" w:eastAsia="es-ES"/>
              </w:rPr>
              <w:t>469.436</w:t>
            </w:r>
          </w:p>
        </w:tc>
        <w:tc>
          <w:tcPr>
            <w:tcW w:w="1200" w:type="dxa"/>
            <w:tcBorders>
              <w:bottom w:val="single" w:sz="4" w:space="0" w:color="auto"/>
            </w:tcBorders>
            <w:shd w:val="clear" w:color="auto" w:fill="auto"/>
            <w:noWrap/>
            <w:vAlign w:val="bottom"/>
            <w:hideMark/>
          </w:tcPr>
          <w:p w:rsidR="00A565EC" w:rsidRPr="00A55EA0" w:rsidRDefault="00A565EC" w:rsidP="00A565EC">
            <w:pPr>
              <w:spacing w:after="0" w:line="240" w:lineRule="auto"/>
              <w:jc w:val="right"/>
              <w:rPr>
                <w:rFonts w:ascii="Calibri" w:eastAsia="Times New Roman" w:hAnsi="Calibri" w:cs="Times New Roman"/>
                <w:color w:val="000000"/>
                <w:sz w:val="20"/>
                <w:szCs w:val="20"/>
                <w:lang w:val="es-ES" w:eastAsia="es-ES"/>
              </w:rPr>
            </w:pPr>
            <w:r w:rsidRPr="00A55EA0">
              <w:rPr>
                <w:rFonts w:ascii="Calibri" w:eastAsia="Times New Roman" w:hAnsi="Calibri" w:cs="Times New Roman"/>
                <w:color w:val="000000"/>
                <w:sz w:val="20"/>
                <w:szCs w:val="20"/>
                <w:lang w:val="es-ES" w:eastAsia="es-ES"/>
              </w:rPr>
              <w:t>23.402</w:t>
            </w:r>
          </w:p>
        </w:tc>
        <w:tc>
          <w:tcPr>
            <w:tcW w:w="1200" w:type="dxa"/>
            <w:tcBorders>
              <w:bottom w:val="single" w:sz="4" w:space="0" w:color="auto"/>
            </w:tcBorders>
            <w:shd w:val="clear" w:color="auto" w:fill="auto"/>
            <w:noWrap/>
            <w:vAlign w:val="bottom"/>
            <w:hideMark/>
          </w:tcPr>
          <w:p w:rsidR="00A565EC" w:rsidRPr="00A55EA0" w:rsidRDefault="00A565EC" w:rsidP="00A565EC">
            <w:pPr>
              <w:spacing w:after="0" w:line="240" w:lineRule="auto"/>
              <w:jc w:val="right"/>
              <w:rPr>
                <w:rFonts w:ascii="Calibri" w:eastAsia="Times New Roman" w:hAnsi="Calibri" w:cs="Times New Roman"/>
                <w:color w:val="000000"/>
                <w:sz w:val="20"/>
                <w:szCs w:val="20"/>
                <w:lang w:val="es-ES" w:eastAsia="es-ES"/>
              </w:rPr>
            </w:pPr>
            <w:r w:rsidRPr="00A55EA0">
              <w:rPr>
                <w:rFonts w:ascii="Calibri" w:eastAsia="Times New Roman" w:hAnsi="Calibri" w:cs="Times New Roman"/>
                <w:color w:val="000000"/>
                <w:sz w:val="20"/>
                <w:szCs w:val="20"/>
                <w:lang w:val="es-ES" w:eastAsia="es-ES"/>
              </w:rPr>
              <w:t>0,06%</w:t>
            </w:r>
          </w:p>
        </w:tc>
      </w:tr>
    </w:tbl>
    <w:p w:rsidR="00EE2395" w:rsidRDefault="00EE2395" w:rsidP="00152C5C">
      <w:pPr>
        <w:spacing w:after="240"/>
        <w:jc w:val="both"/>
        <w:rPr>
          <w:sz w:val="20"/>
          <w:szCs w:val="20"/>
        </w:rPr>
      </w:pPr>
      <w:r w:rsidRPr="00A55EA0">
        <w:rPr>
          <w:b/>
          <w:sz w:val="20"/>
          <w:szCs w:val="20"/>
        </w:rPr>
        <w:t>Fuente</w:t>
      </w:r>
      <w:r w:rsidRPr="00F32EC8">
        <w:rPr>
          <w:sz w:val="20"/>
          <w:szCs w:val="20"/>
        </w:rPr>
        <w:t xml:space="preserve">: estimaciones propias a partir de DGI, </w:t>
      </w:r>
      <w:r>
        <w:rPr>
          <w:sz w:val="20"/>
          <w:szCs w:val="20"/>
        </w:rPr>
        <w:t>ES (BM), EAE</w:t>
      </w:r>
      <w:r w:rsidRPr="00F32EC8">
        <w:rPr>
          <w:sz w:val="20"/>
          <w:szCs w:val="20"/>
        </w:rPr>
        <w:t xml:space="preserve"> (INE), </w:t>
      </w:r>
      <w:r>
        <w:rPr>
          <w:sz w:val="20"/>
          <w:szCs w:val="20"/>
        </w:rPr>
        <w:t xml:space="preserve">Cuentas Nacionales </w:t>
      </w:r>
      <w:r w:rsidRPr="00F32EC8">
        <w:rPr>
          <w:sz w:val="20"/>
          <w:szCs w:val="20"/>
        </w:rPr>
        <w:t>y Superintendencia de Seguros</w:t>
      </w:r>
      <w:r>
        <w:rPr>
          <w:sz w:val="20"/>
          <w:szCs w:val="20"/>
        </w:rPr>
        <w:t>, BCU</w:t>
      </w:r>
      <w:r w:rsidRPr="00F32EC8">
        <w:rPr>
          <w:sz w:val="20"/>
          <w:szCs w:val="20"/>
        </w:rPr>
        <w:t>.</w:t>
      </w:r>
    </w:p>
    <w:p w:rsidR="00EE2395" w:rsidRPr="00B52766" w:rsidRDefault="00EE2395" w:rsidP="00EE2395">
      <w:pPr>
        <w:jc w:val="both"/>
      </w:pPr>
      <w:r>
        <w:lastRenderedPageBreak/>
        <w:t>De esta forma, c</w:t>
      </w:r>
      <w:r w:rsidRPr="00B52766">
        <w:t>onsidera</w:t>
      </w:r>
      <w:r>
        <w:t xml:space="preserve">ndo tanto el componente privado como el público los costos en seguridad y prevención, y en justicia y rehabilitación alcanzarían a casi </w:t>
      </w:r>
      <w:r w:rsidRPr="000C6861">
        <w:t>2</w:t>
      </w:r>
      <w:r w:rsidR="000C6861" w:rsidRPr="000C6861">
        <w:t>,26</w:t>
      </w:r>
      <w:r w:rsidRPr="000C6861">
        <w:t>%</w:t>
      </w:r>
      <w:r>
        <w:t xml:space="preserve"> del PIB. En este componente los costos asociados a acciones en anticipación del crimen explican casi la totalidad del componente </w:t>
      </w:r>
      <w:r w:rsidRPr="000C6861">
        <w:t>(1,</w:t>
      </w:r>
      <w:r w:rsidR="000C6861" w:rsidRPr="000C6861">
        <w:t>97</w:t>
      </w:r>
      <w:r w:rsidRPr="000C6861">
        <w:t>%),</w:t>
      </w:r>
      <w:r>
        <w:t xml:space="preserve"> asignándose menos de 0,4% a las acciones en respuesta al crimen. Sin embargo, es necesario tener en cuenta que parte de los gastos del Ministerio del Interior se podrían clasificar como referidos a acciones de respuesta (por ejemplo las acciones de represión inmediatas a la consecución de un crimen).</w:t>
      </w:r>
    </w:p>
    <w:p w:rsidR="00EE2395" w:rsidRPr="00032F8B" w:rsidRDefault="00EE2395" w:rsidP="00032F8B">
      <w:pPr>
        <w:pStyle w:val="ListParagraph"/>
        <w:numPr>
          <w:ilvl w:val="1"/>
          <w:numId w:val="1"/>
        </w:numPr>
        <w:ind w:hanging="720"/>
        <w:jc w:val="both"/>
        <w:rPr>
          <w:b/>
        </w:rPr>
      </w:pPr>
      <w:r w:rsidRPr="00032F8B">
        <w:rPr>
          <w:b/>
        </w:rPr>
        <w:t xml:space="preserve">Estimación del valor monetario de los bienes robados </w:t>
      </w:r>
      <m:oMath>
        <m:r>
          <m:rPr>
            <m:sty m:val="bi"/>
          </m:rPr>
          <w:rPr>
            <w:rFonts w:ascii="Cambria Math" w:hAnsi="Cambria Math"/>
          </w:rPr>
          <m:t>(px)</m:t>
        </m:r>
      </m:oMath>
    </w:p>
    <w:p w:rsidR="00EE2395" w:rsidRPr="00061C29" w:rsidRDefault="00EE2395" w:rsidP="00EE2395">
      <w:pPr>
        <w:jc w:val="both"/>
      </w:pPr>
      <w:r>
        <w:t>El valor monetario de los bienes robados corresponde enteramente a costos como consecuencia del crimen, ya que representan transferencias no voluntarias. Al igual que en el ítem anterior, el monto estimado de bienes robados se diferencia en costos de empresas y</w:t>
      </w:r>
      <w:r w:rsidRPr="006E234D">
        <w:t xml:space="preserve"> </w:t>
      </w:r>
      <w:r>
        <w:t>de hogares. Respecto a las primeras se  recurrió a los d</w:t>
      </w:r>
      <w:r w:rsidRPr="00061C29">
        <w:t xml:space="preserve">atos de la </w:t>
      </w:r>
      <w:r w:rsidRPr="00394101">
        <w:rPr>
          <w:i/>
        </w:rPr>
        <w:t>Enterprise Survey</w:t>
      </w:r>
      <w:r>
        <w:t xml:space="preserve"> </w:t>
      </w:r>
      <w:r w:rsidRPr="00061C29">
        <w:t>(BM)</w:t>
      </w:r>
      <w:r>
        <w:t xml:space="preserve"> que releva las </w:t>
      </w:r>
      <w:r w:rsidRPr="00061C29">
        <w:t xml:space="preserve">pérdidas por robo y vandalismo </w:t>
      </w:r>
      <w:r>
        <w:t>(pregunta i4_a e i_4_b del cuestionario). Como se explicó, esta encuesta no releva a todos los sectores de actividad por lo que el monto que surge de la misma fue ajustado sumándose las partidas correspondientes a los sectores no abarcados. Como en el componente anterior, se computó el porcentaje de pérdidas respecto de las ventas promedio que surge de la encuesta (0,32%) y se aplicó al valor de las ventas que surge de la EAE del INE correspondiente al 2009 (actualizado al 2010 a través de Cuentas Nacionales del BCU)</w:t>
      </w:r>
      <w:r w:rsidRPr="00061C29">
        <w:t>.</w:t>
      </w:r>
    </w:p>
    <w:p w:rsidR="00E61B6E" w:rsidRDefault="00EE2395" w:rsidP="00EE2395">
      <w:pPr>
        <w:jc w:val="both"/>
      </w:pPr>
      <w:r>
        <w:t xml:space="preserve">La estimación de las pérdidas de los hogares se basó en la información que surge de la Encuesta de Victimización (2011) llevada a cabo por el </w:t>
      </w:r>
      <w:r w:rsidR="0015719C">
        <w:t>MI</w:t>
      </w:r>
      <w:r>
        <w:t xml:space="preserve"> (en particular las preguntas 15, 19, 22, 25, 31). De allí surge la frecuencia con que los hogares y personas han sido objeto de algún tipo de robo (tanto a  vivienda, automóvil, motos o motocicletas, bicicletas). A partir de las respuestas se confeccionó un listado de ítems robados en el último año,</w:t>
      </w:r>
      <w:r>
        <w:rPr>
          <w:rStyle w:val="FootnoteReference"/>
        </w:rPr>
        <w:footnoteReference w:id="18"/>
      </w:r>
      <w:r>
        <w:t xml:space="preserve"> a partir del cual se implementó un relevamiento de precios de mercado.</w:t>
      </w:r>
      <w:r>
        <w:rPr>
          <w:rStyle w:val="FootnoteReference"/>
        </w:rPr>
        <w:footnoteReference w:id="19"/>
      </w:r>
      <w:r>
        <w:t xml:space="preserve"> Los ítems relevados fueron: autos, motos y motocicletas, bicicletas, televisores, reproductores de DVD, equipos de audio, cámaras de fotos, computadoras y discos compactos. No se incluyeron en el relevamiento ni en la estimación los ítems: joyas, dinero, ropa, herramientas y armas de fueg</w:t>
      </w:r>
      <w:r w:rsidR="00E61B6E">
        <w:t>o, ya que no fue posible estimar su valor.</w:t>
      </w:r>
      <w:r w:rsidR="00707F37">
        <w:t xml:space="preserve"> Esto dará un sesgo importante hacia la subestimación de </w:t>
      </w:r>
      <w:r w:rsidR="00707F37" w:rsidRPr="00FA54F5">
        <w:rPr>
          <w:rFonts w:ascii="Times New Roman" w:hAnsi="Times New Roman" w:cs="Times New Roman"/>
          <w:i/>
        </w:rPr>
        <w:t>px</w:t>
      </w:r>
      <w:r w:rsidR="00707F37">
        <w:t>.</w:t>
      </w:r>
    </w:p>
    <w:p w:rsidR="00EE2395" w:rsidRDefault="00EE2395" w:rsidP="00EE2395">
      <w:pPr>
        <w:jc w:val="both"/>
      </w:pPr>
      <w:r>
        <w:t xml:space="preserve">Si bien el valor de los ítems robados se computa a precio de reposición lo cual podría estar sobreestimando estos costos, debe tenerse en cuenta dos factores que anulan este posible sesgo. En primer lugar, la mayoría de los ítems, de significativo contenido tecnológico, sufren con el correr del tiempo una caída en su precio promedio debido al propio avance técnico. En segundo lugar, algunos precios corresponden a los modelos más baratos del mercado </w:t>
      </w:r>
      <w:r w:rsidRPr="001160CE">
        <w:t>(este es el caso por ejemplo de los automóviles).</w:t>
      </w:r>
      <w:r>
        <w:t xml:space="preserve"> En segundo lugar, no se consideran más de un ítem </w:t>
      </w:r>
      <w:r>
        <w:lastRenderedPageBreak/>
        <w:t>robado por persona declarante en la Encuesta de Victimización, es dable esperar que en algunos hogares se hayan robado más de una unidad del mismo tipo de bien</w:t>
      </w:r>
      <w:r w:rsidR="00E10A6C">
        <w:t>.</w:t>
      </w:r>
    </w:p>
    <w:p w:rsidR="00EE2395" w:rsidRDefault="00EE2395" w:rsidP="00EE2395">
      <w:pPr>
        <w:jc w:val="both"/>
      </w:pPr>
      <w:r>
        <w:t xml:space="preserve">En el cuadro 5 se presentan los resultados del valor estimado de los bienes robados para el año 2010. La pérdida por robo estimada, que en conjunto alcanza a apenas 0,4% del PIB, es superior para los hogares que para empresas. </w:t>
      </w:r>
    </w:p>
    <w:p w:rsidR="00EE2395" w:rsidRDefault="00EE2395" w:rsidP="00EE2395">
      <w:pPr>
        <w:spacing w:after="240"/>
        <w:jc w:val="both"/>
      </w:pPr>
      <w:r>
        <w:t>Como se señaló, por construcción, este componente se encuentra subestimado, dado que no se consideraron todas las partidas robadas, ni a todas las víctimas</w:t>
      </w:r>
      <w:r w:rsidRPr="00CD0BB7">
        <w:t xml:space="preserve"> </w:t>
      </w:r>
      <w:r>
        <w:t xml:space="preserve">potenciales. </w:t>
      </w:r>
    </w:p>
    <w:p w:rsidR="00EE2395" w:rsidRPr="005D0A3B" w:rsidRDefault="00EE2395" w:rsidP="00EE2395">
      <w:pPr>
        <w:spacing w:after="120"/>
        <w:jc w:val="both"/>
        <w:rPr>
          <w:b/>
        </w:rPr>
      </w:pPr>
      <w:r w:rsidRPr="005D0A3B">
        <w:rPr>
          <w:b/>
        </w:rPr>
        <w:t xml:space="preserve">Cuadro </w:t>
      </w:r>
      <w:r>
        <w:rPr>
          <w:b/>
        </w:rPr>
        <w:t>5</w:t>
      </w:r>
      <w:r w:rsidRPr="005D0A3B">
        <w:rPr>
          <w:b/>
        </w:rPr>
        <w:t xml:space="preserve">. Valor estimado del los bienes robados </w:t>
      </w:r>
      <w:r w:rsidR="005A5304">
        <w:rPr>
          <w:b/>
        </w:rPr>
        <w:t>al sector privado en el</w:t>
      </w:r>
      <w:r w:rsidRPr="005D0A3B">
        <w:rPr>
          <w:b/>
        </w:rPr>
        <w:t xml:space="preserve"> 2010 </w:t>
      </w:r>
    </w:p>
    <w:tbl>
      <w:tblPr>
        <w:tblW w:w="6660" w:type="dxa"/>
        <w:tblInd w:w="55" w:type="dxa"/>
        <w:tblCellMar>
          <w:left w:w="70" w:type="dxa"/>
          <w:right w:w="70" w:type="dxa"/>
        </w:tblCellMar>
        <w:tblLook w:val="04A0" w:firstRow="1" w:lastRow="0" w:firstColumn="1" w:lastColumn="0" w:noHBand="0" w:noVBand="1"/>
      </w:tblPr>
      <w:tblGrid>
        <w:gridCol w:w="2920"/>
        <w:gridCol w:w="1340"/>
        <w:gridCol w:w="1200"/>
        <w:gridCol w:w="1200"/>
      </w:tblGrid>
      <w:tr w:rsidR="00A565EC" w:rsidRPr="005A5304" w:rsidTr="005A5304">
        <w:trPr>
          <w:trHeight w:val="300"/>
        </w:trPr>
        <w:tc>
          <w:tcPr>
            <w:tcW w:w="2920" w:type="dxa"/>
            <w:tcBorders>
              <w:top w:val="single" w:sz="4" w:space="0" w:color="auto"/>
              <w:bottom w:val="single" w:sz="4" w:space="0" w:color="auto"/>
            </w:tcBorders>
            <w:shd w:val="clear" w:color="auto" w:fill="auto"/>
            <w:noWrap/>
            <w:vAlign w:val="bottom"/>
            <w:hideMark/>
          </w:tcPr>
          <w:p w:rsidR="00A565EC" w:rsidRPr="005A5304" w:rsidRDefault="00A565EC" w:rsidP="00A565EC">
            <w:pPr>
              <w:spacing w:after="0" w:line="240" w:lineRule="auto"/>
              <w:rPr>
                <w:rFonts w:ascii="Calibri" w:eastAsia="Times New Roman" w:hAnsi="Calibri" w:cs="Times New Roman"/>
                <w:b/>
                <w:bCs/>
                <w:color w:val="000000"/>
                <w:sz w:val="20"/>
                <w:szCs w:val="20"/>
                <w:lang w:val="es-ES" w:eastAsia="es-ES"/>
              </w:rPr>
            </w:pPr>
            <w:r w:rsidRPr="005A5304">
              <w:rPr>
                <w:rFonts w:ascii="Calibri" w:eastAsia="Times New Roman" w:hAnsi="Calibri" w:cs="Times New Roman"/>
                <w:b/>
                <w:bCs/>
                <w:color w:val="000000"/>
                <w:sz w:val="20"/>
                <w:szCs w:val="20"/>
                <w:lang w:val="es-ES" w:eastAsia="es-ES"/>
              </w:rPr>
              <w:t>Monto pérdidas</w:t>
            </w:r>
          </w:p>
        </w:tc>
        <w:tc>
          <w:tcPr>
            <w:tcW w:w="1340" w:type="dxa"/>
            <w:tcBorders>
              <w:top w:val="single" w:sz="4" w:space="0" w:color="auto"/>
              <w:bottom w:val="single" w:sz="4" w:space="0" w:color="auto"/>
            </w:tcBorders>
            <w:shd w:val="clear" w:color="auto" w:fill="auto"/>
            <w:noWrap/>
            <w:vAlign w:val="bottom"/>
            <w:hideMark/>
          </w:tcPr>
          <w:p w:rsidR="00A565EC" w:rsidRPr="005A5304" w:rsidRDefault="00A565EC" w:rsidP="00A565EC">
            <w:pPr>
              <w:spacing w:after="0" w:line="240" w:lineRule="auto"/>
              <w:jc w:val="right"/>
              <w:rPr>
                <w:rFonts w:ascii="Calibri" w:eastAsia="Times New Roman" w:hAnsi="Calibri" w:cs="Times New Roman"/>
                <w:b/>
                <w:bCs/>
                <w:color w:val="000000"/>
                <w:sz w:val="20"/>
                <w:szCs w:val="20"/>
                <w:lang w:val="es-ES" w:eastAsia="es-ES"/>
              </w:rPr>
            </w:pPr>
            <w:r w:rsidRPr="005A5304">
              <w:rPr>
                <w:rFonts w:ascii="Calibri" w:eastAsia="Times New Roman" w:hAnsi="Calibri" w:cs="Times New Roman"/>
                <w:b/>
                <w:bCs/>
                <w:color w:val="000000"/>
                <w:sz w:val="20"/>
                <w:szCs w:val="20"/>
                <w:lang w:val="es-ES" w:eastAsia="es-ES"/>
              </w:rPr>
              <w:t>miles $</w:t>
            </w:r>
          </w:p>
        </w:tc>
        <w:tc>
          <w:tcPr>
            <w:tcW w:w="1200" w:type="dxa"/>
            <w:tcBorders>
              <w:top w:val="single" w:sz="4" w:space="0" w:color="auto"/>
              <w:bottom w:val="single" w:sz="4" w:space="0" w:color="auto"/>
            </w:tcBorders>
            <w:shd w:val="clear" w:color="auto" w:fill="auto"/>
            <w:noWrap/>
            <w:vAlign w:val="bottom"/>
            <w:hideMark/>
          </w:tcPr>
          <w:p w:rsidR="00A565EC" w:rsidRPr="005A5304" w:rsidRDefault="00A565EC" w:rsidP="00A565EC">
            <w:pPr>
              <w:spacing w:after="0" w:line="240" w:lineRule="auto"/>
              <w:jc w:val="right"/>
              <w:rPr>
                <w:rFonts w:ascii="Calibri" w:eastAsia="Times New Roman" w:hAnsi="Calibri" w:cs="Times New Roman"/>
                <w:b/>
                <w:bCs/>
                <w:color w:val="000000"/>
                <w:sz w:val="20"/>
                <w:szCs w:val="20"/>
                <w:lang w:val="es-ES" w:eastAsia="es-ES"/>
              </w:rPr>
            </w:pPr>
            <w:r w:rsidRPr="005A5304">
              <w:rPr>
                <w:rFonts w:ascii="Calibri" w:eastAsia="Times New Roman" w:hAnsi="Calibri" w:cs="Times New Roman"/>
                <w:b/>
                <w:bCs/>
                <w:color w:val="000000"/>
                <w:sz w:val="20"/>
                <w:szCs w:val="20"/>
                <w:lang w:val="es-ES" w:eastAsia="es-ES"/>
              </w:rPr>
              <w:t>miles USD</w:t>
            </w:r>
          </w:p>
        </w:tc>
        <w:tc>
          <w:tcPr>
            <w:tcW w:w="1200" w:type="dxa"/>
            <w:tcBorders>
              <w:top w:val="single" w:sz="4" w:space="0" w:color="auto"/>
              <w:bottom w:val="single" w:sz="4" w:space="0" w:color="auto"/>
            </w:tcBorders>
            <w:shd w:val="clear" w:color="auto" w:fill="auto"/>
            <w:noWrap/>
            <w:vAlign w:val="bottom"/>
            <w:hideMark/>
          </w:tcPr>
          <w:p w:rsidR="00A565EC" w:rsidRPr="005A5304" w:rsidRDefault="00A565EC" w:rsidP="00A565EC">
            <w:pPr>
              <w:spacing w:after="0" w:line="240" w:lineRule="auto"/>
              <w:jc w:val="right"/>
              <w:rPr>
                <w:rFonts w:ascii="Calibri" w:eastAsia="Times New Roman" w:hAnsi="Calibri" w:cs="Times New Roman"/>
                <w:b/>
                <w:bCs/>
                <w:color w:val="000000"/>
                <w:sz w:val="20"/>
                <w:szCs w:val="20"/>
                <w:lang w:val="es-ES" w:eastAsia="es-ES"/>
              </w:rPr>
            </w:pPr>
            <w:r w:rsidRPr="005A5304">
              <w:rPr>
                <w:rFonts w:ascii="Calibri" w:eastAsia="Times New Roman" w:hAnsi="Calibri" w:cs="Times New Roman"/>
                <w:b/>
                <w:bCs/>
                <w:color w:val="000000"/>
                <w:sz w:val="20"/>
                <w:szCs w:val="20"/>
                <w:lang w:val="es-ES" w:eastAsia="es-ES"/>
              </w:rPr>
              <w:t>%PIB</w:t>
            </w:r>
          </w:p>
        </w:tc>
      </w:tr>
      <w:tr w:rsidR="00A565EC" w:rsidRPr="005A5304" w:rsidTr="005A5304">
        <w:trPr>
          <w:trHeight w:val="315"/>
        </w:trPr>
        <w:tc>
          <w:tcPr>
            <w:tcW w:w="2920" w:type="dxa"/>
            <w:tcBorders>
              <w:top w:val="single" w:sz="4" w:space="0" w:color="auto"/>
            </w:tcBorders>
            <w:shd w:val="clear" w:color="auto" w:fill="auto"/>
            <w:noWrap/>
            <w:vAlign w:val="bottom"/>
            <w:hideMark/>
          </w:tcPr>
          <w:p w:rsidR="00A565EC" w:rsidRPr="005A5304" w:rsidRDefault="0075291D" w:rsidP="00A565EC">
            <w:pPr>
              <w:spacing w:after="0" w:line="240" w:lineRule="auto"/>
              <w:rPr>
                <w:rFonts w:ascii="Calibri" w:eastAsia="Times New Roman" w:hAnsi="Calibri" w:cs="Times New Roman"/>
                <w:b/>
                <w:color w:val="000000"/>
                <w:sz w:val="20"/>
                <w:szCs w:val="20"/>
                <w:lang w:val="es-ES" w:eastAsia="es-ES"/>
              </w:rPr>
            </w:pPr>
            <w:r w:rsidRPr="005A5304">
              <w:rPr>
                <w:rFonts w:ascii="Calibri" w:eastAsia="Times New Roman" w:hAnsi="Calibri" w:cs="Times New Roman"/>
                <w:b/>
                <w:color w:val="000000"/>
                <w:sz w:val="20"/>
                <w:szCs w:val="20"/>
                <w:lang w:val="es-ES" w:eastAsia="es-ES"/>
              </w:rPr>
              <w:t>Total</w:t>
            </w:r>
          </w:p>
        </w:tc>
        <w:tc>
          <w:tcPr>
            <w:tcW w:w="1340" w:type="dxa"/>
            <w:tcBorders>
              <w:top w:val="single" w:sz="4" w:space="0" w:color="auto"/>
            </w:tcBorders>
            <w:shd w:val="clear" w:color="auto" w:fill="auto"/>
            <w:noWrap/>
            <w:vAlign w:val="bottom"/>
            <w:hideMark/>
          </w:tcPr>
          <w:p w:rsidR="00A565EC" w:rsidRPr="005A5304" w:rsidRDefault="00A565EC" w:rsidP="00A565EC">
            <w:pPr>
              <w:spacing w:after="0" w:line="240" w:lineRule="auto"/>
              <w:jc w:val="right"/>
              <w:rPr>
                <w:rFonts w:ascii="Calibri" w:eastAsia="Times New Roman" w:hAnsi="Calibri" w:cs="Times New Roman"/>
                <w:b/>
                <w:color w:val="000000"/>
                <w:sz w:val="20"/>
                <w:szCs w:val="20"/>
                <w:lang w:val="es-ES" w:eastAsia="es-ES"/>
              </w:rPr>
            </w:pPr>
            <w:r w:rsidRPr="005A5304">
              <w:rPr>
                <w:rFonts w:ascii="Calibri" w:eastAsia="Times New Roman" w:hAnsi="Calibri" w:cs="Times New Roman"/>
                <w:b/>
                <w:color w:val="000000"/>
                <w:sz w:val="20"/>
                <w:szCs w:val="20"/>
                <w:lang w:val="es-ES" w:eastAsia="es-ES"/>
              </w:rPr>
              <w:t>3.169.196</w:t>
            </w:r>
          </w:p>
        </w:tc>
        <w:tc>
          <w:tcPr>
            <w:tcW w:w="1200" w:type="dxa"/>
            <w:tcBorders>
              <w:top w:val="single" w:sz="4" w:space="0" w:color="auto"/>
            </w:tcBorders>
            <w:shd w:val="clear" w:color="auto" w:fill="auto"/>
            <w:noWrap/>
            <w:vAlign w:val="bottom"/>
            <w:hideMark/>
          </w:tcPr>
          <w:p w:rsidR="00A565EC" w:rsidRPr="005A5304" w:rsidRDefault="00A565EC" w:rsidP="00A565EC">
            <w:pPr>
              <w:spacing w:after="0" w:line="240" w:lineRule="auto"/>
              <w:jc w:val="right"/>
              <w:rPr>
                <w:rFonts w:ascii="Calibri" w:eastAsia="Times New Roman" w:hAnsi="Calibri" w:cs="Times New Roman"/>
                <w:b/>
                <w:color w:val="000000"/>
                <w:sz w:val="20"/>
                <w:szCs w:val="20"/>
                <w:lang w:val="es-ES" w:eastAsia="es-ES"/>
              </w:rPr>
            </w:pPr>
            <w:r w:rsidRPr="005A5304">
              <w:rPr>
                <w:rFonts w:ascii="Calibri" w:eastAsia="Times New Roman" w:hAnsi="Calibri" w:cs="Times New Roman"/>
                <w:b/>
                <w:color w:val="000000"/>
                <w:sz w:val="20"/>
                <w:szCs w:val="20"/>
                <w:lang w:val="es-ES" w:eastAsia="es-ES"/>
              </w:rPr>
              <w:t>157.992</w:t>
            </w:r>
          </w:p>
        </w:tc>
        <w:tc>
          <w:tcPr>
            <w:tcW w:w="1200" w:type="dxa"/>
            <w:tcBorders>
              <w:top w:val="single" w:sz="4" w:space="0" w:color="auto"/>
            </w:tcBorders>
            <w:shd w:val="clear" w:color="auto" w:fill="auto"/>
            <w:noWrap/>
            <w:vAlign w:val="bottom"/>
            <w:hideMark/>
          </w:tcPr>
          <w:p w:rsidR="00A565EC" w:rsidRPr="005A5304" w:rsidRDefault="00A565EC" w:rsidP="00A565EC">
            <w:pPr>
              <w:spacing w:after="0" w:line="240" w:lineRule="auto"/>
              <w:jc w:val="right"/>
              <w:rPr>
                <w:rFonts w:ascii="Calibri" w:eastAsia="Times New Roman" w:hAnsi="Calibri" w:cs="Times New Roman"/>
                <w:b/>
                <w:color w:val="000000"/>
                <w:sz w:val="20"/>
                <w:szCs w:val="20"/>
                <w:lang w:val="es-ES" w:eastAsia="es-ES"/>
              </w:rPr>
            </w:pPr>
            <w:r w:rsidRPr="005A5304">
              <w:rPr>
                <w:rFonts w:ascii="Calibri" w:eastAsia="Times New Roman" w:hAnsi="Calibri" w:cs="Times New Roman"/>
                <w:b/>
                <w:color w:val="000000"/>
                <w:sz w:val="20"/>
                <w:szCs w:val="20"/>
                <w:lang w:val="es-ES" w:eastAsia="es-ES"/>
              </w:rPr>
              <w:t>0,40%</w:t>
            </w:r>
          </w:p>
        </w:tc>
      </w:tr>
      <w:tr w:rsidR="00A565EC" w:rsidRPr="005A5304" w:rsidTr="005A5304">
        <w:trPr>
          <w:trHeight w:val="300"/>
        </w:trPr>
        <w:tc>
          <w:tcPr>
            <w:tcW w:w="2920" w:type="dxa"/>
            <w:shd w:val="clear" w:color="auto" w:fill="auto"/>
            <w:noWrap/>
            <w:vAlign w:val="bottom"/>
            <w:hideMark/>
          </w:tcPr>
          <w:p w:rsidR="00A565EC" w:rsidRPr="005A5304" w:rsidRDefault="005A5304" w:rsidP="00A565EC">
            <w:pPr>
              <w:spacing w:after="0" w:line="240" w:lineRule="auto"/>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 xml:space="preserve">   </w:t>
            </w:r>
            <w:r w:rsidR="00A565EC" w:rsidRPr="005A5304">
              <w:rPr>
                <w:rFonts w:ascii="Calibri" w:eastAsia="Times New Roman" w:hAnsi="Calibri" w:cs="Times New Roman"/>
                <w:color w:val="000000"/>
                <w:sz w:val="20"/>
                <w:szCs w:val="20"/>
                <w:lang w:val="es-ES" w:eastAsia="es-ES"/>
              </w:rPr>
              <w:t>Hogares</w:t>
            </w:r>
          </w:p>
        </w:tc>
        <w:tc>
          <w:tcPr>
            <w:tcW w:w="1340" w:type="dxa"/>
            <w:shd w:val="clear" w:color="auto" w:fill="auto"/>
            <w:noWrap/>
            <w:vAlign w:val="bottom"/>
            <w:hideMark/>
          </w:tcPr>
          <w:p w:rsidR="00A565EC" w:rsidRPr="005A5304" w:rsidRDefault="00A565EC" w:rsidP="00A565EC">
            <w:pPr>
              <w:spacing w:after="0" w:line="240" w:lineRule="auto"/>
              <w:jc w:val="right"/>
              <w:rPr>
                <w:rFonts w:ascii="Calibri" w:eastAsia="Times New Roman" w:hAnsi="Calibri" w:cs="Times New Roman"/>
                <w:color w:val="000000"/>
                <w:sz w:val="20"/>
                <w:szCs w:val="20"/>
                <w:lang w:val="es-ES" w:eastAsia="es-ES"/>
              </w:rPr>
            </w:pPr>
            <w:r w:rsidRPr="005A5304">
              <w:rPr>
                <w:rFonts w:ascii="Calibri" w:eastAsia="Times New Roman" w:hAnsi="Calibri" w:cs="Times New Roman"/>
                <w:color w:val="000000"/>
                <w:sz w:val="20"/>
                <w:szCs w:val="20"/>
                <w:lang w:val="es-ES" w:eastAsia="es-ES"/>
              </w:rPr>
              <w:t>1.997.439</w:t>
            </w:r>
          </w:p>
        </w:tc>
        <w:tc>
          <w:tcPr>
            <w:tcW w:w="1200" w:type="dxa"/>
            <w:shd w:val="clear" w:color="auto" w:fill="auto"/>
            <w:noWrap/>
            <w:vAlign w:val="bottom"/>
            <w:hideMark/>
          </w:tcPr>
          <w:p w:rsidR="00A565EC" w:rsidRPr="005A5304" w:rsidRDefault="00A565EC" w:rsidP="00A565EC">
            <w:pPr>
              <w:spacing w:after="0" w:line="240" w:lineRule="auto"/>
              <w:jc w:val="right"/>
              <w:rPr>
                <w:rFonts w:ascii="Calibri" w:eastAsia="Times New Roman" w:hAnsi="Calibri" w:cs="Times New Roman"/>
                <w:color w:val="000000"/>
                <w:sz w:val="20"/>
                <w:szCs w:val="20"/>
                <w:lang w:val="es-ES" w:eastAsia="es-ES"/>
              </w:rPr>
            </w:pPr>
            <w:r w:rsidRPr="005A5304">
              <w:rPr>
                <w:rFonts w:ascii="Calibri" w:eastAsia="Times New Roman" w:hAnsi="Calibri" w:cs="Times New Roman"/>
                <w:color w:val="000000"/>
                <w:sz w:val="20"/>
                <w:szCs w:val="20"/>
                <w:lang w:val="es-ES" w:eastAsia="es-ES"/>
              </w:rPr>
              <w:t>99.577</w:t>
            </w:r>
          </w:p>
        </w:tc>
        <w:tc>
          <w:tcPr>
            <w:tcW w:w="1200" w:type="dxa"/>
            <w:shd w:val="clear" w:color="auto" w:fill="auto"/>
            <w:noWrap/>
            <w:vAlign w:val="bottom"/>
            <w:hideMark/>
          </w:tcPr>
          <w:p w:rsidR="00A565EC" w:rsidRPr="005A5304" w:rsidRDefault="00A565EC" w:rsidP="00A565EC">
            <w:pPr>
              <w:spacing w:after="0" w:line="240" w:lineRule="auto"/>
              <w:jc w:val="right"/>
              <w:rPr>
                <w:rFonts w:ascii="Calibri" w:eastAsia="Times New Roman" w:hAnsi="Calibri" w:cs="Times New Roman"/>
                <w:color w:val="000000"/>
                <w:sz w:val="20"/>
                <w:szCs w:val="20"/>
                <w:lang w:val="es-ES" w:eastAsia="es-ES"/>
              </w:rPr>
            </w:pPr>
            <w:r w:rsidRPr="005A5304">
              <w:rPr>
                <w:rFonts w:ascii="Calibri" w:eastAsia="Times New Roman" w:hAnsi="Calibri" w:cs="Times New Roman"/>
                <w:color w:val="000000"/>
                <w:sz w:val="20"/>
                <w:szCs w:val="20"/>
                <w:lang w:val="es-ES" w:eastAsia="es-ES"/>
              </w:rPr>
              <w:t>0,25%</w:t>
            </w:r>
          </w:p>
        </w:tc>
      </w:tr>
      <w:tr w:rsidR="00A565EC" w:rsidRPr="005A5304" w:rsidTr="005A5304">
        <w:trPr>
          <w:trHeight w:val="315"/>
        </w:trPr>
        <w:tc>
          <w:tcPr>
            <w:tcW w:w="2920" w:type="dxa"/>
            <w:tcBorders>
              <w:bottom w:val="single" w:sz="4" w:space="0" w:color="auto"/>
            </w:tcBorders>
            <w:shd w:val="clear" w:color="auto" w:fill="auto"/>
            <w:noWrap/>
            <w:vAlign w:val="bottom"/>
            <w:hideMark/>
          </w:tcPr>
          <w:p w:rsidR="00A565EC" w:rsidRPr="005A5304" w:rsidRDefault="005A5304" w:rsidP="00A565EC">
            <w:pPr>
              <w:spacing w:after="0" w:line="240" w:lineRule="auto"/>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 xml:space="preserve">   </w:t>
            </w:r>
            <w:r w:rsidR="00A565EC" w:rsidRPr="005A5304">
              <w:rPr>
                <w:rFonts w:ascii="Calibri" w:eastAsia="Times New Roman" w:hAnsi="Calibri" w:cs="Times New Roman"/>
                <w:color w:val="000000"/>
                <w:sz w:val="20"/>
                <w:szCs w:val="20"/>
                <w:lang w:val="es-ES" w:eastAsia="es-ES"/>
              </w:rPr>
              <w:t>Empresas</w:t>
            </w:r>
          </w:p>
        </w:tc>
        <w:tc>
          <w:tcPr>
            <w:tcW w:w="1340" w:type="dxa"/>
            <w:tcBorders>
              <w:bottom w:val="single" w:sz="4" w:space="0" w:color="auto"/>
            </w:tcBorders>
            <w:shd w:val="clear" w:color="auto" w:fill="auto"/>
            <w:noWrap/>
            <w:vAlign w:val="bottom"/>
            <w:hideMark/>
          </w:tcPr>
          <w:p w:rsidR="00A565EC" w:rsidRPr="005A5304" w:rsidRDefault="00A565EC" w:rsidP="00A565EC">
            <w:pPr>
              <w:spacing w:after="0" w:line="240" w:lineRule="auto"/>
              <w:jc w:val="right"/>
              <w:rPr>
                <w:rFonts w:ascii="Calibri" w:eastAsia="Times New Roman" w:hAnsi="Calibri" w:cs="Times New Roman"/>
                <w:color w:val="000000"/>
                <w:sz w:val="20"/>
                <w:szCs w:val="20"/>
                <w:lang w:val="es-ES" w:eastAsia="es-ES"/>
              </w:rPr>
            </w:pPr>
            <w:r w:rsidRPr="005A5304">
              <w:rPr>
                <w:rFonts w:ascii="Calibri" w:eastAsia="Times New Roman" w:hAnsi="Calibri" w:cs="Times New Roman"/>
                <w:color w:val="000000"/>
                <w:sz w:val="20"/>
                <w:szCs w:val="20"/>
                <w:lang w:val="es-ES" w:eastAsia="es-ES"/>
              </w:rPr>
              <w:t>1.171.757</w:t>
            </w:r>
          </w:p>
        </w:tc>
        <w:tc>
          <w:tcPr>
            <w:tcW w:w="1200" w:type="dxa"/>
            <w:tcBorders>
              <w:bottom w:val="single" w:sz="4" w:space="0" w:color="auto"/>
            </w:tcBorders>
            <w:shd w:val="clear" w:color="auto" w:fill="auto"/>
            <w:noWrap/>
            <w:vAlign w:val="bottom"/>
            <w:hideMark/>
          </w:tcPr>
          <w:p w:rsidR="00A565EC" w:rsidRPr="005A5304" w:rsidRDefault="00A565EC" w:rsidP="00A565EC">
            <w:pPr>
              <w:spacing w:after="0" w:line="240" w:lineRule="auto"/>
              <w:jc w:val="right"/>
              <w:rPr>
                <w:rFonts w:ascii="Calibri" w:eastAsia="Times New Roman" w:hAnsi="Calibri" w:cs="Times New Roman"/>
                <w:color w:val="000000"/>
                <w:sz w:val="20"/>
                <w:szCs w:val="20"/>
                <w:lang w:val="es-ES" w:eastAsia="es-ES"/>
              </w:rPr>
            </w:pPr>
            <w:r w:rsidRPr="005A5304">
              <w:rPr>
                <w:rFonts w:ascii="Calibri" w:eastAsia="Times New Roman" w:hAnsi="Calibri" w:cs="Times New Roman"/>
                <w:color w:val="000000"/>
                <w:sz w:val="20"/>
                <w:szCs w:val="20"/>
                <w:lang w:val="es-ES" w:eastAsia="es-ES"/>
              </w:rPr>
              <w:t>58.415</w:t>
            </w:r>
          </w:p>
        </w:tc>
        <w:tc>
          <w:tcPr>
            <w:tcW w:w="1200" w:type="dxa"/>
            <w:tcBorders>
              <w:bottom w:val="single" w:sz="4" w:space="0" w:color="auto"/>
            </w:tcBorders>
            <w:shd w:val="clear" w:color="auto" w:fill="auto"/>
            <w:noWrap/>
            <w:vAlign w:val="bottom"/>
            <w:hideMark/>
          </w:tcPr>
          <w:p w:rsidR="00A565EC" w:rsidRPr="005A5304" w:rsidRDefault="00A565EC" w:rsidP="00A565EC">
            <w:pPr>
              <w:spacing w:after="0" w:line="240" w:lineRule="auto"/>
              <w:jc w:val="right"/>
              <w:rPr>
                <w:rFonts w:ascii="Calibri" w:eastAsia="Times New Roman" w:hAnsi="Calibri" w:cs="Times New Roman"/>
                <w:color w:val="000000"/>
                <w:sz w:val="20"/>
                <w:szCs w:val="20"/>
                <w:lang w:val="es-ES" w:eastAsia="es-ES"/>
              </w:rPr>
            </w:pPr>
            <w:r w:rsidRPr="005A5304">
              <w:rPr>
                <w:rFonts w:ascii="Calibri" w:eastAsia="Times New Roman" w:hAnsi="Calibri" w:cs="Times New Roman"/>
                <w:color w:val="000000"/>
                <w:sz w:val="20"/>
                <w:szCs w:val="20"/>
                <w:lang w:val="es-ES" w:eastAsia="es-ES"/>
              </w:rPr>
              <w:t>0,15%</w:t>
            </w:r>
          </w:p>
        </w:tc>
      </w:tr>
    </w:tbl>
    <w:p w:rsidR="00D45CCE" w:rsidRDefault="00EE2395" w:rsidP="000D7007">
      <w:pPr>
        <w:spacing w:before="120"/>
        <w:jc w:val="both"/>
      </w:pPr>
      <w:r w:rsidRPr="00E721B4">
        <w:rPr>
          <w:sz w:val="20"/>
          <w:szCs w:val="20"/>
        </w:rPr>
        <w:t>Fuente: estimaciones propias sobre la base de ES (BM), Encuesta de Victimización 2011 (</w:t>
      </w:r>
      <w:r w:rsidR="0015719C">
        <w:rPr>
          <w:sz w:val="20"/>
          <w:szCs w:val="20"/>
        </w:rPr>
        <w:t>MI</w:t>
      </w:r>
      <w:r w:rsidRPr="00E721B4">
        <w:rPr>
          <w:sz w:val="20"/>
          <w:szCs w:val="20"/>
        </w:rPr>
        <w:t>) y Relevamiento de mercado.</w:t>
      </w:r>
      <w:r w:rsidR="00510108">
        <w:t xml:space="preserve"> </w:t>
      </w:r>
    </w:p>
    <w:p w:rsidR="003B3F76" w:rsidRPr="00113579" w:rsidRDefault="00A91A45" w:rsidP="003B3F76">
      <w:pPr>
        <w:pStyle w:val="ListParagraph"/>
        <w:numPr>
          <w:ilvl w:val="1"/>
          <w:numId w:val="1"/>
        </w:numPr>
        <w:ind w:hanging="720"/>
        <w:rPr>
          <w:b/>
        </w:rPr>
      </w:pPr>
      <w:r>
        <w:rPr>
          <w:b/>
        </w:rPr>
        <w:t>C</w:t>
      </w:r>
      <w:r w:rsidR="009425F7">
        <w:rPr>
          <w:b/>
        </w:rPr>
        <w:t>ostos de salud</w:t>
      </w:r>
      <w:r w:rsidR="003B3F76" w:rsidRPr="00113579">
        <w:rPr>
          <w:b/>
        </w:rPr>
        <w:t xml:space="preserve"> </w:t>
      </w:r>
      <w:r w:rsidR="00C35556">
        <w:rPr>
          <w:b/>
        </w:rPr>
        <w:t>(</w:t>
      </w:r>
      <w:r w:rsidR="00C35556">
        <w:rPr>
          <w:b/>
        </w:rPr>
        <w:sym w:font="Symbol" w:char="F073"/>
      </w:r>
      <w:r w:rsidR="00C35556">
        <w:rPr>
          <w:b/>
        </w:rPr>
        <w:t>)</w:t>
      </w:r>
    </w:p>
    <w:p w:rsidR="00A91A45" w:rsidRDefault="003B3F76" w:rsidP="003B3F76">
      <w:pPr>
        <w:jc w:val="both"/>
      </w:pPr>
      <w:r w:rsidRPr="003B3F76">
        <w:t xml:space="preserve">En cuanto a los costos </w:t>
      </w:r>
      <w:r w:rsidR="00A91A45">
        <w:t xml:space="preserve">de salud a </w:t>
      </w:r>
      <w:r w:rsidRPr="003B3F76">
        <w:t>consecuencia del crimen</w:t>
      </w:r>
      <w:r w:rsidR="00A91A45">
        <w:t xml:space="preserve"> presentaremos estimaciones de los</w:t>
      </w:r>
      <w:r w:rsidRPr="003B3F76">
        <w:t xml:space="preserve"> costo</w:t>
      </w:r>
      <w:r w:rsidR="00A91A45">
        <w:t>s</w:t>
      </w:r>
      <w:r w:rsidRPr="003B3F76">
        <w:t xml:space="preserve"> referente</w:t>
      </w:r>
      <w:r w:rsidR="00A91A45">
        <w:t>s</w:t>
      </w:r>
      <w:r w:rsidRPr="003B3F76">
        <w:t xml:space="preserve"> a </w:t>
      </w:r>
      <w:r w:rsidR="00A91A45">
        <w:t>las lesiones</w:t>
      </w:r>
      <w:r>
        <w:t xml:space="preserve"> infringidas a las </w:t>
      </w:r>
      <w:r w:rsidRPr="003B3F76">
        <w:t>víctimas</w:t>
      </w:r>
      <w:r w:rsidR="00A91A45">
        <w:t>,</w:t>
      </w:r>
      <w:r w:rsidRPr="003B3F76">
        <w:t xml:space="preserve"> así como </w:t>
      </w:r>
      <w:r w:rsidR="00A91A45">
        <w:t>también aquellos referidos a los homicidios</w:t>
      </w:r>
      <w:r w:rsidRPr="003B3F76">
        <w:t xml:space="preserve">. </w:t>
      </w:r>
    </w:p>
    <w:p w:rsidR="00E2600F" w:rsidRDefault="00A91A45" w:rsidP="003B3F76">
      <w:pPr>
        <w:jc w:val="both"/>
      </w:pPr>
      <w:r>
        <w:t>Para realizar estas estimaciones partiremos de la metodología</w:t>
      </w:r>
      <w:r w:rsidR="00E2600F">
        <w:t xml:space="preserve"> Q</w:t>
      </w:r>
      <w:r w:rsidR="003B3F76" w:rsidRPr="003B3F76">
        <w:t xml:space="preserve">ALY </w:t>
      </w:r>
      <w:r>
        <w:t>(Quality Adjusted Life Years) y</w:t>
      </w:r>
      <w:r w:rsidR="00E2600F">
        <w:t xml:space="preserve"> DALY </w:t>
      </w:r>
      <w:r>
        <w:t>(Disability Adjusted Life Years)</w:t>
      </w:r>
      <w:r w:rsidRPr="003B3F76">
        <w:t xml:space="preserve"> </w:t>
      </w:r>
      <w:r w:rsidR="003B3F76" w:rsidRPr="003B3F76">
        <w:t>(Dolan et al</w:t>
      </w:r>
      <w:r w:rsidR="009425F7">
        <w:t>.</w:t>
      </w:r>
      <w:r w:rsidR="003B3F76" w:rsidRPr="003B3F76">
        <w:t xml:space="preserve">, 2005; Alda y Cuesta, 2010), </w:t>
      </w:r>
      <w:r>
        <w:t xml:space="preserve">y utilizaremos </w:t>
      </w:r>
      <w:r w:rsidR="003B3F76" w:rsidRPr="003B3F76">
        <w:t xml:space="preserve">datos </w:t>
      </w:r>
      <w:r w:rsidR="003B3F76">
        <w:t xml:space="preserve">de la </w:t>
      </w:r>
      <w:r w:rsidR="00A565EC" w:rsidRPr="006A3A84">
        <w:t>DD</w:t>
      </w:r>
      <w:r w:rsidR="003B3F76" w:rsidRPr="006A3A84">
        <w:t>EA</w:t>
      </w:r>
      <w:r w:rsidR="003B3F76">
        <w:t xml:space="preserve"> respecto de la cantidad de víctimas y de la </w:t>
      </w:r>
      <w:r w:rsidR="003B3F76" w:rsidRPr="003B3F76">
        <w:t>OMS</w:t>
      </w:r>
      <w:r w:rsidR="003B3F76">
        <w:t xml:space="preserve"> en lo que refiere a la </w:t>
      </w:r>
      <w:r w:rsidR="003B3F76" w:rsidRPr="003B3F76">
        <w:t>información</w:t>
      </w:r>
      <w:r>
        <w:t xml:space="preserve"> sobre características de los</w:t>
      </w:r>
      <w:r w:rsidR="003B3F76" w:rsidRPr="003B3F76">
        <w:t xml:space="preserve"> fallecidos.</w:t>
      </w:r>
    </w:p>
    <w:p w:rsidR="00E2600F" w:rsidRDefault="00341EB2" w:rsidP="00E2600F">
      <w:pPr>
        <w:jc w:val="both"/>
      </w:pPr>
      <w:r>
        <w:t xml:space="preserve">La metodología QALY </w:t>
      </w:r>
      <w:r w:rsidR="00E2600F">
        <w:t>propone sintetizar las pérdidas de un individuo en términos de salud tomando en cuenta tanto la cantidad de años de vida perdidos como la calidad de los mismos</w:t>
      </w:r>
      <w:r w:rsidR="0009718F">
        <w:t xml:space="preserve"> (véase Weinstein et al., 2009, por una breve introducción al indicador)</w:t>
      </w:r>
      <w:r w:rsidR="00E2600F">
        <w:t xml:space="preserve">. </w:t>
      </w:r>
    </w:p>
    <w:p w:rsidR="00E2600F" w:rsidRDefault="00E2600F" w:rsidP="00E2600F">
      <w:pPr>
        <w:jc w:val="both"/>
      </w:pPr>
      <w:r>
        <w:t>La idea detrás de los indicadores sintéticos de salud, tales como QALY o DALY surgió primeramente en los años 1960 y 1970. Lo que estos indicadores buscaban era incorporar otros aspectos diferentes a la mortalidad dentro de los estudios de la salud, tales como la calidad de vida o la morbilidad e incidencia de ciertas enfermedades. Estos conceptos se afianzaron cuando el Banco Mundial utilizó los DALY en 1993 en su Informe de Desarrollo Mundial. En cuanto a los QALY, fueron utilizados por Gerard (1992) en una revisión de 51 estudios de evaluación económica que los utilizaron. Desde ese entonces estos indicadores sintéticos de salud han sido un instrumento ampliamente utilizado, especialmente en análisis costo-beneficio, costo-efectividad y evaluaciones económicas de intervenciones de salud. Su ventaja radica en su simpleza, síntesis y capacidad de comparación de resultados de programas variados.</w:t>
      </w:r>
    </w:p>
    <w:p w:rsidR="003B3F76" w:rsidRDefault="00E2600F" w:rsidP="00E2600F">
      <w:pPr>
        <w:jc w:val="both"/>
      </w:pPr>
      <w:r>
        <w:t xml:space="preserve">En sí mismo, el indicador QALY combina dos componentes: la cantidad de vida, y la calidad de vida. Mientras que en el primero se toma en cuenta la esperanza de vida, para el segundo se </w:t>
      </w:r>
      <w:r>
        <w:lastRenderedPageBreak/>
        <w:t>usan ponderadores CVRS (Calidad de Vida Relacionada con la Salud) de cada estado de salud tenido en cuenta. Éstos están comprendidos</w:t>
      </w:r>
      <w:r w:rsidR="0009718F">
        <w:t xml:space="preserve"> para un año particular</w:t>
      </w:r>
      <w:r>
        <w:t xml:space="preserve"> entre</w:t>
      </w:r>
      <w:r w:rsidR="0009718F">
        <w:t xml:space="preserve"> los valores</w:t>
      </w:r>
      <w:r>
        <w:t xml:space="preserve"> 0 </w:t>
      </w:r>
      <w:r w:rsidR="008F1D7A">
        <w:t xml:space="preserve">(muerte) </w:t>
      </w:r>
      <w:r>
        <w:t>y 1</w:t>
      </w:r>
      <w:r w:rsidR="008F1D7A">
        <w:t xml:space="preserve"> (perfecto estado de salud)</w:t>
      </w:r>
      <w:r>
        <w:t xml:space="preserve"> y generalmente suelen tomarse de sistemas preestablecidos (</w:t>
      </w:r>
      <w:r w:rsidR="0009718F">
        <w:t xml:space="preserve">e.g. </w:t>
      </w:r>
      <w:r w:rsidRPr="0009718F">
        <w:t>QWB, HUI, EQ-5D</w:t>
      </w:r>
      <w:r>
        <w:t>).</w:t>
      </w:r>
      <w:r w:rsidR="003B3F76" w:rsidRPr="003B3F76">
        <w:t xml:space="preserve"> </w:t>
      </w:r>
    </w:p>
    <w:p w:rsidR="003B3F76" w:rsidRDefault="00022014" w:rsidP="003B3F76">
      <w:pPr>
        <w:jc w:val="both"/>
      </w:pPr>
      <w:r>
        <w:t xml:space="preserve">En lo que sigue se detalla en primer término </w:t>
      </w:r>
      <w:r w:rsidR="00E2600F">
        <w:t xml:space="preserve">los </w:t>
      </w:r>
      <w:r>
        <w:t xml:space="preserve">resultados y supuestos realizados para cálculo del costo de los fallecidos, y seguidamente </w:t>
      </w:r>
      <w:r w:rsidR="00E2600F">
        <w:t>los relativos al</w:t>
      </w:r>
      <w:r>
        <w:t xml:space="preserve"> costo </w:t>
      </w:r>
      <w:r w:rsidR="00E2600F">
        <w:t>de</w:t>
      </w:r>
      <w:r>
        <w:t xml:space="preserve"> los heridos.</w:t>
      </w:r>
    </w:p>
    <w:p w:rsidR="00E2600F" w:rsidRDefault="00E2600F" w:rsidP="006F1DB7">
      <w:pPr>
        <w:pStyle w:val="ListParagraph"/>
        <w:numPr>
          <w:ilvl w:val="2"/>
          <w:numId w:val="1"/>
        </w:numPr>
        <w:ind w:hanging="1080"/>
        <w:rPr>
          <w:b/>
        </w:rPr>
      </w:pPr>
      <w:r w:rsidRPr="00E2600F">
        <w:rPr>
          <w:b/>
        </w:rPr>
        <w:t xml:space="preserve">Cálculo del costo de los </w:t>
      </w:r>
      <w:r>
        <w:rPr>
          <w:b/>
        </w:rPr>
        <w:t>fallecidos</w:t>
      </w:r>
      <w:r w:rsidR="00C35556">
        <w:rPr>
          <w:b/>
        </w:rPr>
        <w:t xml:space="preserve"> </w:t>
      </w:r>
    </w:p>
    <w:p w:rsidR="00E2600F" w:rsidRDefault="00E2600F" w:rsidP="00E2600F">
      <w:pPr>
        <w:jc w:val="both"/>
      </w:pPr>
      <w:r w:rsidRPr="0008063E">
        <w:t xml:space="preserve">Para el cálculo del costo </w:t>
      </w:r>
      <w:r>
        <w:t>asociado a</w:t>
      </w:r>
      <w:r w:rsidRPr="0008063E">
        <w:t xml:space="preserve"> los fallecidos a causa de homicidios, se trabaj</w:t>
      </w:r>
      <w:r>
        <w:t>ó con información de la Base de Datos de Mortalidad de la Organización Mundial de la Salud, con datos correspondientes a 2009 (último año con datos disponibles para Uruguay). De allí, es posible extraer información respecto a la cantidad de fallecidos por causa de muerte</w:t>
      </w:r>
      <w:r>
        <w:rPr>
          <w:rStyle w:val="FootnoteReference"/>
        </w:rPr>
        <w:footnoteReference w:id="20"/>
      </w:r>
      <w:r>
        <w:t>, así como la edad y sexo de los mismos. A partir de esta información, se obtuvo una estructura del perfil de los fallecidos –según su sexo y edad- la cual fue extrapolada a la cifra de homicidios en el año 2010 reportada por el Ministerio del Interior.</w:t>
      </w:r>
    </w:p>
    <w:p w:rsidR="00E2600F" w:rsidRDefault="00E2600F" w:rsidP="00E2600F">
      <w:pPr>
        <w:jc w:val="both"/>
      </w:pPr>
      <w:r>
        <w:t>Para imputar un costo a cada fallecimiento se usó la suma de los ingresos como dependiente que hubiera percibido el individuo de haber continuado vivo hasta la edad esperada de muerte. Así, el costo por fallecido toma la siguiente forma:</w:t>
      </w:r>
    </w:p>
    <w:p w:rsidR="00E2600F" w:rsidRDefault="00F95673" w:rsidP="00E2600F">
      <w:pPr>
        <w:jc w:val="both"/>
      </w:pPr>
      <m:oMathPara>
        <m:oMath>
          <m:nary>
            <m:naryPr>
              <m:chr m:val="∑"/>
              <m:limLoc m:val="undOvr"/>
              <m:ctrlPr>
                <w:rPr>
                  <w:rFonts w:ascii="Cambria Math" w:hAnsi="Cambria Math"/>
                  <w:i/>
                </w:rPr>
              </m:ctrlPr>
            </m:naryPr>
            <m:sub>
              <m:r>
                <w:rPr>
                  <w:rFonts w:ascii="Cambria Math" w:hAnsi="Cambria Math"/>
                </w:rPr>
                <m:t>i=D</m:t>
              </m:r>
            </m:sub>
            <m:sup>
              <m:r>
                <w:rPr>
                  <w:rFonts w:ascii="Cambria Math" w:hAnsi="Cambria Math"/>
                </w:rPr>
                <m:t>i=E(D)</m:t>
              </m:r>
            </m:sup>
            <m:e>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m:t>
              </m:r>
            </m:e>
          </m:nary>
        </m:oMath>
      </m:oMathPara>
    </w:p>
    <w:p w:rsidR="00E2600F" w:rsidRDefault="00E2600F" w:rsidP="00E2600F">
      <w:pPr>
        <w:jc w:val="both"/>
      </w:pPr>
      <w:r>
        <w:t xml:space="preserve">donde </w:t>
      </w:r>
      <w:r w:rsidRPr="00E2600F">
        <w:rPr>
          <w:rFonts w:ascii="Times New Roman" w:hAnsi="Times New Roman" w:cs="Times New Roman"/>
          <w:i/>
        </w:rPr>
        <w:t>D</w:t>
      </w:r>
      <w:r>
        <w:t xml:space="preserve"> es la edad de muerte del individuo, </w:t>
      </w:r>
      <w:r w:rsidRPr="00E2600F">
        <w:rPr>
          <w:rFonts w:ascii="Times New Roman" w:hAnsi="Times New Roman" w:cs="Times New Roman"/>
          <w:i/>
        </w:rPr>
        <w:t>E(D)</w:t>
      </w:r>
      <w:r>
        <w:t xml:space="preserve"> es la esperanza de vida a la edad de fallecimiento y el término </w:t>
      </w:r>
      <m:oMath>
        <m:sSub>
          <m:sSubPr>
            <m:ctrlPr>
              <w:rPr>
                <w:rFonts w:ascii="Cambria Math" w:hAnsi="Cambria Math"/>
                <w:i/>
              </w:rPr>
            </m:ctrlPr>
          </m:sSubPr>
          <m:e>
            <m:r>
              <w:rPr>
                <w:rFonts w:ascii="Cambria Math" w:hAnsi="Cambria Math"/>
              </w:rPr>
              <m:t>w</m:t>
            </m:r>
          </m:e>
          <m:sub>
            <m:r>
              <w:rPr>
                <w:rFonts w:ascii="Cambria Math" w:hAnsi="Cambria Math"/>
              </w:rPr>
              <m:t>i</m:t>
            </m:r>
          </m:sub>
        </m:sSub>
      </m:oMath>
      <w:r>
        <w:t xml:space="preserve"> refleja el ingreso que hubiera percibido el individu</w:t>
      </w:r>
      <w:r w:rsidR="00567C72">
        <w:t>o de haber continuado con vida y de acuerdo a sus características personales.</w:t>
      </w:r>
    </w:p>
    <w:p w:rsidR="00E2600F" w:rsidRDefault="00E2600F" w:rsidP="00E2600F">
      <w:pPr>
        <w:jc w:val="both"/>
      </w:pPr>
      <w:r>
        <w:t>Para la obtención de dicho ingreso se usaron las estimaciones derivadas de la regresión del ingreso contra las características conocidas del fallecido –sexo y edad-.</w:t>
      </w:r>
      <w:r w:rsidR="00126D21">
        <w:rPr>
          <w:rStyle w:val="FootnoteReference"/>
        </w:rPr>
        <w:footnoteReference w:id="21"/>
      </w:r>
      <w:r w:rsidR="00126D21">
        <w:t xml:space="preserve"> </w:t>
      </w:r>
      <w:r>
        <w:t xml:space="preserve"> Esto permite obtener el ingreso anual esperado para la trayectoria futura de cada individuo según su sexo y edad.</w:t>
      </w:r>
      <w:r w:rsidR="00126D21">
        <w:rPr>
          <w:rStyle w:val="FootnoteReference"/>
        </w:rPr>
        <w:footnoteReference w:id="22"/>
      </w:r>
      <w:r>
        <w:t xml:space="preserve"> </w:t>
      </w:r>
    </w:p>
    <w:p w:rsidR="00E2600F" w:rsidRDefault="00E2600F" w:rsidP="00E2600F">
      <w:pPr>
        <w:jc w:val="both"/>
      </w:pPr>
      <w:r>
        <w:lastRenderedPageBreak/>
        <w:t>En este punto, es importante destacar que se tomaron solamente los ingresos vinculados con la actividad productiva del difunto, de forma tal de imputar exclusivamente aquellos ingresos que no podrán ser percibidos luego de su fallecimiento. Se excluyen, por tanto, los ingresos vinculados al desarrollo de negocios propios, en la medida de que no es posible discriminar entre los ingresos provenientes del trabajo del difunto y los provenientes de  inversiones y uso del capital y que se presume seguirán generándose aún en la ausencia de este.</w:t>
      </w:r>
    </w:p>
    <w:p w:rsidR="00E2600F" w:rsidRDefault="00E2600F" w:rsidP="00E2600F">
      <w:pPr>
        <w:jc w:val="both"/>
      </w:pPr>
      <w:r>
        <w:t xml:space="preserve">Por último, cabe señalar que se optó por no aplicar una tasa de descuento a la percepción de ingresos futuros. En este sentido, si bien sería apropiado que dichos ingresos fueran descontados, cabe señalar también que en la estimación usada no se incorporan ajustes </w:t>
      </w:r>
      <w:r w:rsidR="00F24BA3">
        <w:t>en los ingresos subsiguientes</w:t>
      </w:r>
      <w:r>
        <w:t>. Por tanto,</w:t>
      </w:r>
      <w:r w:rsidR="00AE03D0">
        <w:t xml:space="preserve"> </w:t>
      </w:r>
      <w:r>
        <w:t xml:space="preserve">el supuesto implícito utilizado es que la tasa de crecimiento de los ingresos es igual a la tasa de descuento relevante.  </w:t>
      </w:r>
    </w:p>
    <w:p w:rsidR="0035656E" w:rsidRDefault="00E2600F" w:rsidP="0035656E">
      <w:pPr>
        <w:jc w:val="both"/>
      </w:pPr>
      <w:r>
        <w:t>Una vez obtenido el costo por cada perfil de fallecido, se utiliza la caracterización de los fallecidos en 2010 que surge de la base de la OMS y de los datos del Ministerio del Interior para obtener el costo total anual por concepto de fallecimientos a causa de homicidios.</w:t>
      </w:r>
      <w:r w:rsidR="0035656E">
        <w:t xml:space="preserve"> Los resultados del procedimiento previamente explicado son los siguientes:</w:t>
      </w:r>
    </w:p>
    <w:p w:rsidR="0035656E" w:rsidRPr="00510108" w:rsidRDefault="00784795" w:rsidP="0035656E">
      <w:pPr>
        <w:jc w:val="both"/>
        <w:rPr>
          <w:b/>
        </w:rPr>
      </w:pPr>
      <w:r>
        <w:rPr>
          <w:b/>
        </w:rPr>
        <w:t>Cuadro 6</w:t>
      </w:r>
      <w:r w:rsidR="0035656E" w:rsidRPr="00510108">
        <w:rPr>
          <w:b/>
        </w:rPr>
        <w:t xml:space="preserve">. Estimación del costo </w:t>
      </w:r>
      <w:r w:rsidR="0035656E">
        <w:rPr>
          <w:b/>
        </w:rPr>
        <w:t xml:space="preserve">asociado a los fallecidos a causa de homicidios </w:t>
      </w:r>
    </w:p>
    <w:tbl>
      <w:tblPr>
        <w:tblW w:w="6675" w:type="dxa"/>
        <w:tblInd w:w="55" w:type="dxa"/>
        <w:tblCellMar>
          <w:left w:w="70" w:type="dxa"/>
          <w:right w:w="70" w:type="dxa"/>
        </w:tblCellMar>
        <w:tblLook w:val="04A0" w:firstRow="1" w:lastRow="0" w:firstColumn="1" w:lastColumn="0" w:noHBand="0" w:noVBand="1"/>
      </w:tblPr>
      <w:tblGrid>
        <w:gridCol w:w="1617"/>
        <w:gridCol w:w="1458"/>
        <w:gridCol w:w="2070"/>
        <w:gridCol w:w="1530"/>
      </w:tblGrid>
      <w:tr w:rsidR="0035656E" w:rsidRPr="00631A7F" w:rsidTr="00567C72">
        <w:trPr>
          <w:trHeight w:val="525"/>
        </w:trPr>
        <w:tc>
          <w:tcPr>
            <w:tcW w:w="1617" w:type="dxa"/>
            <w:tcBorders>
              <w:top w:val="single" w:sz="4" w:space="0" w:color="auto"/>
              <w:bottom w:val="single" w:sz="4" w:space="0" w:color="auto"/>
            </w:tcBorders>
            <w:shd w:val="clear" w:color="auto" w:fill="auto"/>
            <w:vAlign w:val="center"/>
            <w:hideMark/>
          </w:tcPr>
          <w:p w:rsidR="0035656E" w:rsidRPr="00631A7F" w:rsidRDefault="0035656E" w:rsidP="00140495">
            <w:pPr>
              <w:spacing w:after="0" w:line="240" w:lineRule="auto"/>
              <w:jc w:val="right"/>
              <w:rPr>
                <w:rFonts w:ascii="Calibri" w:eastAsia="Times New Roman" w:hAnsi="Calibri" w:cs="Times New Roman"/>
                <w:b/>
                <w:bCs/>
                <w:color w:val="000000"/>
                <w:sz w:val="20"/>
                <w:szCs w:val="20"/>
                <w:lang w:val="es-ES" w:eastAsia="es-ES"/>
              </w:rPr>
            </w:pPr>
            <w:r w:rsidRPr="00631A7F">
              <w:rPr>
                <w:rFonts w:ascii="Calibri" w:eastAsia="Times New Roman" w:hAnsi="Calibri" w:cs="Times New Roman"/>
                <w:b/>
                <w:bCs/>
                <w:color w:val="000000"/>
                <w:sz w:val="20"/>
                <w:szCs w:val="20"/>
                <w:lang w:val="es-ES" w:eastAsia="es-ES"/>
              </w:rPr>
              <w:t> </w:t>
            </w:r>
          </w:p>
        </w:tc>
        <w:tc>
          <w:tcPr>
            <w:tcW w:w="1458" w:type="dxa"/>
            <w:tcBorders>
              <w:top w:val="single" w:sz="4" w:space="0" w:color="auto"/>
              <w:bottom w:val="single" w:sz="4" w:space="0" w:color="auto"/>
            </w:tcBorders>
            <w:shd w:val="clear" w:color="auto" w:fill="auto"/>
            <w:hideMark/>
          </w:tcPr>
          <w:p w:rsidR="0035656E" w:rsidRPr="00631A7F" w:rsidRDefault="0035656E" w:rsidP="00140495">
            <w:pPr>
              <w:spacing w:after="0" w:line="240" w:lineRule="auto"/>
              <w:jc w:val="right"/>
              <w:rPr>
                <w:rFonts w:ascii="Calibri" w:eastAsia="Times New Roman" w:hAnsi="Calibri" w:cs="Times New Roman"/>
                <w:b/>
                <w:bCs/>
                <w:color w:val="000000"/>
                <w:sz w:val="20"/>
                <w:szCs w:val="20"/>
                <w:lang w:val="es-ES" w:eastAsia="es-ES"/>
              </w:rPr>
            </w:pPr>
            <w:r w:rsidRPr="00631A7F">
              <w:rPr>
                <w:rFonts w:ascii="Calibri" w:eastAsia="Times New Roman" w:hAnsi="Calibri" w:cs="Times New Roman"/>
                <w:b/>
                <w:bCs/>
                <w:color w:val="000000"/>
                <w:sz w:val="20"/>
                <w:szCs w:val="20"/>
                <w:lang w:val="es-ES" w:eastAsia="es-ES"/>
              </w:rPr>
              <w:t>N</w:t>
            </w:r>
            <w:r w:rsidR="006F1DB7" w:rsidRPr="00631A7F">
              <w:rPr>
                <w:rFonts w:ascii="Calibri" w:eastAsia="Times New Roman" w:hAnsi="Calibri" w:cs="Times New Roman"/>
                <w:b/>
                <w:bCs/>
                <w:color w:val="000000"/>
                <w:sz w:val="20"/>
                <w:szCs w:val="20"/>
                <w:lang w:eastAsia="es-ES"/>
              </w:rPr>
              <w:t>úmero de</w:t>
            </w:r>
            <w:r w:rsidRPr="00631A7F">
              <w:rPr>
                <w:rFonts w:ascii="Calibri" w:eastAsia="Times New Roman" w:hAnsi="Calibri" w:cs="Times New Roman"/>
                <w:b/>
                <w:bCs/>
                <w:color w:val="000000"/>
                <w:sz w:val="20"/>
                <w:szCs w:val="20"/>
                <w:lang w:val="es-ES" w:eastAsia="es-ES"/>
              </w:rPr>
              <w:t xml:space="preserve"> fallecidos</w:t>
            </w:r>
          </w:p>
        </w:tc>
        <w:tc>
          <w:tcPr>
            <w:tcW w:w="2070" w:type="dxa"/>
            <w:tcBorders>
              <w:top w:val="single" w:sz="4" w:space="0" w:color="auto"/>
              <w:bottom w:val="single" w:sz="4" w:space="0" w:color="auto"/>
            </w:tcBorders>
            <w:shd w:val="clear" w:color="auto" w:fill="auto"/>
            <w:hideMark/>
          </w:tcPr>
          <w:p w:rsidR="0035656E" w:rsidRPr="00631A7F" w:rsidRDefault="003F2B10" w:rsidP="00140495">
            <w:pPr>
              <w:spacing w:after="0" w:line="240" w:lineRule="auto"/>
              <w:jc w:val="right"/>
              <w:rPr>
                <w:rFonts w:ascii="Calibri" w:eastAsia="Times New Roman" w:hAnsi="Calibri" w:cs="Times New Roman"/>
                <w:b/>
                <w:bCs/>
                <w:color w:val="000000"/>
                <w:sz w:val="20"/>
                <w:szCs w:val="20"/>
                <w:lang w:val="es-ES" w:eastAsia="es-ES"/>
              </w:rPr>
            </w:pPr>
            <w:r w:rsidRPr="00631A7F">
              <w:rPr>
                <w:rFonts w:ascii="Calibri" w:eastAsia="Times New Roman" w:hAnsi="Calibri" w:cs="Times New Roman"/>
                <w:b/>
                <w:bCs/>
                <w:color w:val="000000"/>
                <w:sz w:val="20"/>
                <w:szCs w:val="20"/>
                <w:lang w:val="es-ES" w:eastAsia="es-ES"/>
              </w:rPr>
              <w:t>Costo p</w:t>
            </w:r>
            <w:r w:rsidR="0035656E" w:rsidRPr="00631A7F">
              <w:rPr>
                <w:rFonts w:ascii="Calibri" w:eastAsia="Times New Roman" w:hAnsi="Calibri" w:cs="Times New Roman"/>
                <w:b/>
                <w:bCs/>
                <w:color w:val="000000"/>
                <w:sz w:val="20"/>
                <w:szCs w:val="20"/>
                <w:lang w:val="es-ES" w:eastAsia="es-ES"/>
              </w:rPr>
              <w:t xml:space="preserve">romedio </w:t>
            </w:r>
            <w:r w:rsidR="006F1DB7" w:rsidRPr="00631A7F">
              <w:rPr>
                <w:rFonts w:ascii="Calibri" w:eastAsia="Times New Roman" w:hAnsi="Calibri" w:cs="Times New Roman"/>
                <w:b/>
                <w:bCs/>
                <w:color w:val="000000"/>
                <w:sz w:val="20"/>
                <w:szCs w:val="20"/>
                <w:lang w:val="es-ES" w:eastAsia="es-ES"/>
              </w:rPr>
              <w:t>por</w:t>
            </w:r>
            <w:r w:rsidR="0035656E" w:rsidRPr="00631A7F">
              <w:rPr>
                <w:rFonts w:ascii="Calibri" w:eastAsia="Times New Roman" w:hAnsi="Calibri" w:cs="Times New Roman"/>
                <w:b/>
                <w:bCs/>
                <w:color w:val="000000"/>
                <w:sz w:val="20"/>
                <w:szCs w:val="20"/>
                <w:lang w:val="es-ES" w:eastAsia="es-ES"/>
              </w:rPr>
              <w:t xml:space="preserve"> fallecido</w:t>
            </w:r>
            <w:r w:rsidR="00140495" w:rsidRPr="00631A7F">
              <w:rPr>
                <w:rFonts w:ascii="Calibri" w:eastAsia="Times New Roman" w:hAnsi="Calibri" w:cs="Times New Roman"/>
                <w:b/>
                <w:bCs/>
                <w:color w:val="000000"/>
                <w:sz w:val="20"/>
                <w:szCs w:val="20"/>
                <w:lang w:val="es-ES" w:eastAsia="es-ES"/>
              </w:rPr>
              <w:t xml:space="preserve"> </w:t>
            </w:r>
            <w:r w:rsidR="0035656E" w:rsidRPr="00631A7F">
              <w:rPr>
                <w:rFonts w:ascii="Calibri" w:eastAsia="Times New Roman" w:hAnsi="Calibri" w:cs="Times New Roman"/>
                <w:b/>
                <w:bCs/>
                <w:color w:val="000000"/>
                <w:sz w:val="20"/>
                <w:szCs w:val="20"/>
                <w:lang w:val="es-ES" w:eastAsia="es-ES"/>
              </w:rPr>
              <w:t>(USD)</w:t>
            </w:r>
          </w:p>
        </w:tc>
        <w:tc>
          <w:tcPr>
            <w:tcW w:w="1530" w:type="dxa"/>
            <w:tcBorders>
              <w:top w:val="single" w:sz="4" w:space="0" w:color="auto"/>
              <w:bottom w:val="single" w:sz="4" w:space="0" w:color="auto"/>
            </w:tcBorders>
            <w:shd w:val="clear" w:color="auto" w:fill="auto"/>
            <w:hideMark/>
          </w:tcPr>
          <w:p w:rsidR="0035656E" w:rsidRPr="00631A7F" w:rsidRDefault="0035656E" w:rsidP="00140495">
            <w:pPr>
              <w:spacing w:after="0" w:line="240" w:lineRule="auto"/>
              <w:jc w:val="right"/>
              <w:rPr>
                <w:rFonts w:ascii="Calibri" w:eastAsia="Times New Roman" w:hAnsi="Calibri" w:cs="Times New Roman"/>
                <w:b/>
                <w:bCs/>
                <w:color w:val="000000"/>
                <w:sz w:val="20"/>
                <w:szCs w:val="20"/>
                <w:lang w:val="es-ES" w:eastAsia="es-ES"/>
              </w:rPr>
            </w:pPr>
            <w:r w:rsidRPr="00631A7F">
              <w:rPr>
                <w:rFonts w:ascii="Calibri" w:eastAsia="Times New Roman" w:hAnsi="Calibri" w:cs="Times New Roman"/>
                <w:b/>
                <w:bCs/>
                <w:color w:val="000000"/>
                <w:sz w:val="20"/>
                <w:szCs w:val="20"/>
                <w:lang w:val="es-ES" w:eastAsia="es-ES"/>
              </w:rPr>
              <w:t xml:space="preserve">Costo Total </w:t>
            </w:r>
          </w:p>
          <w:p w:rsidR="00140495" w:rsidRPr="00631A7F" w:rsidRDefault="00140495" w:rsidP="00140495">
            <w:pPr>
              <w:spacing w:after="0" w:line="240" w:lineRule="auto"/>
              <w:jc w:val="right"/>
              <w:rPr>
                <w:rFonts w:ascii="Calibri" w:eastAsia="Times New Roman" w:hAnsi="Calibri" w:cs="Times New Roman"/>
                <w:b/>
                <w:bCs/>
                <w:color w:val="000000"/>
                <w:sz w:val="20"/>
                <w:szCs w:val="20"/>
                <w:lang w:val="es-ES" w:eastAsia="es-ES"/>
              </w:rPr>
            </w:pPr>
          </w:p>
        </w:tc>
      </w:tr>
      <w:tr w:rsidR="0035656E" w:rsidRPr="00631A7F" w:rsidTr="00567C72">
        <w:trPr>
          <w:trHeight w:val="300"/>
        </w:trPr>
        <w:tc>
          <w:tcPr>
            <w:tcW w:w="1617" w:type="dxa"/>
            <w:tcBorders>
              <w:top w:val="single" w:sz="4" w:space="0" w:color="auto"/>
            </w:tcBorders>
            <w:shd w:val="clear" w:color="auto" w:fill="auto"/>
            <w:noWrap/>
            <w:vAlign w:val="bottom"/>
            <w:hideMark/>
          </w:tcPr>
          <w:p w:rsidR="0035656E" w:rsidRPr="00631A7F" w:rsidRDefault="0035656E" w:rsidP="00AE03D0">
            <w:pPr>
              <w:spacing w:after="0" w:line="240" w:lineRule="auto"/>
              <w:rPr>
                <w:rFonts w:ascii="Calibri" w:eastAsia="Times New Roman" w:hAnsi="Calibri" w:cs="Times New Roman"/>
                <w:color w:val="000000"/>
                <w:sz w:val="20"/>
                <w:szCs w:val="20"/>
                <w:lang w:val="es-ES" w:eastAsia="es-ES"/>
              </w:rPr>
            </w:pPr>
          </w:p>
        </w:tc>
        <w:tc>
          <w:tcPr>
            <w:tcW w:w="1458" w:type="dxa"/>
            <w:tcBorders>
              <w:top w:val="single" w:sz="4" w:space="0" w:color="auto"/>
            </w:tcBorders>
            <w:shd w:val="clear" w:color="auto" w:fill="auto"/>
            <w:noWrap/>
            <w:vAlign w:val="bottom"/>
            <w:hideMark/>
          </w:tcPr>
          <w:p w:rsidR="0035656E" w:rsidRPr="00631A7F" w:rsidRDefault="0035656E" w:rsidP="0035656E">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203</w:t>
            </w:r>
          </w:p>
        </w:tc>
        <w:tc>
          <w:tcPr>
            <w:tcW w:w="2070" w:type="dxa"/>
            <w:tcBorders>
              <w:top w:val="single" w:sz="4" w:space="0" w:color="auto"/>
            </w:tcBorders>
            <w:shd w:val="clear" w:color="auto" w:fill="auto"/>
            <w:noWrap/>
            <w:vAlign w:val="bottom"/>
            <w:hideMark/>
          </w:tcPr>
          <w:p w:rsidR="0035656E" w:rsidRPr="00631A7F" w:rsidRDefault="0035656E" w:rsidP="0035656E">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241.019</w:t>
            </w:r>
          </w:p>
        </w:tc>
        <w:tc>
          <w:tcPr>
            <w:tcW w:w="1530" w:type="dxa"/>
            <w:tcBorders>
              <w:top w:val="single" w:sz="4" w:space="0" w:color="auto"/>
            </w:tcBorders>
            <w:shd w:val="clear" w:color="auto" w:fill="auto"/>
            <w:noWrap/>
            <w:vAlign w:val="bottom"/>
            <w:hideMark/>
          </w:tcPr>
          <w:p w:rsidR="0035656E" w:rsidRPr="00631A7F" w:rsidRDefault="0035656E" w:rsidP="00140495">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48.92</w:t>
            </w:r>
            <w:r w:rsidR="00140495" w:rsidRPr="00631A7F">
              <w:rPr>
                <w:rFonts w:ascii="Calibri" w:eastAsia="Times New Roman" w:hAnsi="Calibri" w:cs="Times New Roman"/>
                <w:color w:val="000000"/>
                <w:sz w:val="20"/>
                <w:szCs w:val="20"/>
                <w:lang w:val="es-ES" w:eastAsia="es-ES"/>
              </w:rPr>
              <w:t>6.906</w:t>
            </w:r>
          </w:p>
        </w:tc>
      </w:tr>
      <w:tr w:rsidR="0035656E" w:rsidRPr="00631A7F" w:rsidTr="00567C72">
        <w:trPr>
          <w:trHeight w:val="315"/>
        </w:trPr>
        <w:tc>
          <w:tcPr>
            <w:tcW w:w="1617" w:type="dxa"/>
            <w:tcBorders>
              <w:bottom w:val="single" w:sz="4" w:space="0" w:color="auto"/>
            </w:tcBorders>
            <w:shd w:val="clear" w:color="auto" w:fill="auto"/>
            <w:noWrap/>
            <w:vAlign w:val="bottom"/>
            <w:hideMark/>
          </w:tcPr>
          <w:p w:rsidR="0035656E" w:rsidRPr="00631A7F" w:rsidRDefault="006F1DB7" w:rsidP="0035656E">
            <w:pPr>
              <w:spacing w:after="0" w:line="240" w:lineRule="auto"/>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Total (</w:t>
            </w:r>
            <w:r w:rsidR="0035656E" w:rsidRPr="00631A7F">
              <w:rPr>
                <w:rFonts w:ascii="Calibri" w:eastAsia="Times New Roman" w:hAnsi="Calibri" w:cs="Times New Roman"/>
                <w:color w:val="000000"/>
                <w:sz w:val="20"/>
                <w:szCs w:val="20"/>
                <w:lang w:val="es-ES" w:eastAsia="es-ES"/>
              </w:rPr>
              <w:t>% PIB</w:t>
            </w:r>
            <w:r w:rsidRPr="00631A7F">
              <w:rPr>
                <w:rFonts w:ascii="Calibri" w:eastAsia="Times New Roman" w:hAnsi="Calibri" w:cs="Times New Roman"/>
                <w:color w:val="000000"/>
                <w:sz w:val="20"/>
                <w:szCs w:val="20"/>
                <w:lang w:val="es-ES" w:eastAsia="es-ES"/>
              </w:rPr>
              <w:t>)</w:t>
            </w:r>
          </w:p>
        </w:tc>
        <w:tc>
          <w:tcPr>
            <w:tcW w:w="1458" w:type="dxa"/>
            <w:tcBorders>
              <w:bottom w:val="single" w:sz="4" w:space="0" w:color="auto"/>
            </w:tcBorders>
            <w:shd w:val="clear" w:color="auto" w:fill="auto"/>
            <w:noWrap/>
            <w:vAlign w:val="bottom"/>
            <w:hideMark/>
          </w:tcPr>
          <w:p w:rsidR="0035656E" w:rsidRPr="00631A7F" w:rsidRDefault="0035656E" w:rsidP="0035656E">
            <w:pPr>
              <w:spacing w:after="0" w:line="240" w:lineRule="auto"/>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 </w:t>
            </w:r>
          </w:p>
        </w:tc>
        <w:tc>
          <w:tcPr>
            <w:tcW w:w="2070" w:type="dxa"/>
            <w:tcBorders>
              <w:bottom w:val="single" w:sz="4" w:space="0" w:color="auto"/>
            </w:tcBorders>
            <w:shd w:val="clear" w:color="auto" w:fill="auto"/>
            <w:noWrap/>
            <w:vAlign w:val="bottom"/>
            <w:hideMark/>
          </w:tcPr>
          <w:p w:rsidR="0035656E" w:rsidRPr="00631A7F" w:rsidRDefault="0035656E" w:rsidP="0035656E">
            <w:pPr>
              <w:spacing w:after="0" w:line="240" w:lineRule="auto"/>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 </w:t>
            </w:r>
          </w:p>
        </w:tc>
        <w:tc>
          <w:tcPr>
            <w:tcW w:w="1530" w:type="dxa"/>
            <w:tcBorders>
              <w:bottom w:val="single" w:sz="4" w:space="0" w:color="auto"/>
            </w:tcBorders>
            <w:shd w:val="clear" w:color="auto" w:fill="auto"/>
            <w:noWrap/>
            <w:vAlign w:val="bottom"/>
            <w:hideMark/>
          </w:tcPr>
          <w:p w:rsidR="0035656E" w:rsidRPr="00631A7F" w:rsidRDefault="0035656E" w:rsidP="00567C72">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0,13</w:t>
            </w:r>
            <w:r w:rsidR="00B93FEE">
              <w:rPr>
                <w:rFonts w:ascii="Calibri" w:eastAsia="Times New Roman" w:hAnsi="Calibri" w:cs="Times New Roman"/>
                <w:color w:val="000000"/>
                <w:sz w:val="20"/>
                <w:szCs w:val="20"/>
                <w:lang w:val="es-ES" w:eastAsia="es-ES"/>
              </w:rPr>
              <w:t>%</w:t>
            </w:r>
          </w:p>
        </w:tc>
      </w:tr>
    </w:tbl>
    <w:p w:rsidR="003268DA" w:rsidRDefault="003268DA" w:rsidP="0035656E">
      <w:pPr>
        <w:jc w:val="both"/>
      </w:pPr>
    </w:p>
    <w:p w:rsidR="0035656E" w:rsidRDefault="0035656E" w:rsidP="0035656E">
      <w:pPr>
        <w:jc w:val="both"/>
      </w:pPr>
      <w:r>
        <w:t>De acuerdo a los datos del Ministerio del Interior se registraron 203 homicidios en 2010, de los cuales 166 víctimas eran hombres y 37 eran mujeres. En cuanto a las franjas etarias, el mayor número de sucesos se registra en el rango entre 20 y 24 años para los hombres y de 35 a 39 para las mujeres. Para ambos casos, la mayoría de los fallecidos se encuentran en el tramo entre 15 y 44 años de edad.</w:t>
      </w:r>
    </w:p>
    <w:p w:rsidR="0035656E" w:rsidRDefault="0035656E" w:rsidP="0035656E">
      <w:pPr>
        <w:jc w:val="both"/>
      </w:pPr>
      <w:r>
        <w:t>De esta manera, el costo promedio por fallecido alcanza</w:t>
      </w:r>
      <w:r w:rsidR="00AE03D0">
        <w:t xml:space="preserve"> los</w:t>
      </w:r>
      <w:r>
        <w:t xml:space="preserve"> USD </w:t>
      </w:r>
      <w:r w:rsidR="00AE03D0" w:rsidRPr="0035656E">
        <w:rPr>
          <w:rFonts w:ascii="Calibri" w:eastAsia="Times New Roman" w:hAnsi="Calibri" w:cs="Times New Roman"/>
          <w:color w:val="000000"/>
          <w:lang w:val="es-ES" w:eastAsia="es-ES"/>
        </w:rPr>
        <w:t>241.019</w:t>
      </w:r>
      <w:r>
        <w:t xml:space="preserve">. Multiplicando dicho valor por el número de fallecidos se llega a que el costo total </w:t>
      </w:r>
      <w:r w:rsidR="005D186D">
        <w:t>por f</w:t>
      </w:r>
      <w:r>
        <w:t>allecidos por</w:t>
      </w:r>
      <w:r w:rsidR="005D186D">
        <w:t xml:space="preserve"> homicidios</w:t>
      </w:r>
      <w:r>
        <w:t xml:space="preserve"> </w:t>
      </w:r>
      <w:r w:rsidR="005D186D">
        <w:t>está cercano a los 49 millones de dólares</w:t>
      </w:r>
      <w:r>
        <w:t>, lo cual equivale a 0,13% del PIB de Uruguay en 2010.</w:t>
      </w:r>
    </w:p>
    <w:p w:rsidR="00022014" w:rsidRPr="00E2600F" w:rsidRDefault="00022014" w:rsidP="0015719C">
      <w:pPr>
        <w:pStyle w:val="ListParagraph"/>
        <w:numPr>
          <w:ilvl w:val="2"/>
          <w:numId w:val="1"/>
        </w:numPr>
        <w:ind w:hanging="1080"/>
        <w:rPr>
          <w:b/>
        </w:rPr>
      </w:pPr>
      <w:r w:rsidRPr="00E2600F">
        <w:rPr>
          <w:b/>
        </w:rPr>
        <w:t>Cálculo del costo de los heridos por violencia</w:t>
      </w:r>
    </w:p>
    <w:p w:rsidR="00F24BA3" w:rsidRDefault="00F24BA3" w:rsidP="006D1AAB">
      <w:pPr>
        <w:pStyle w:val="Default"/>
        <w:spacing w:after="120" w:line="276" w:lineRule="auto"/>
        <w:jc w:val="both"/>
        <w:rPr>
          <w:rFonts w:asciiTheme="minorHAnsi" w:hAnsiTheme="minorHAnsi"/>
          <w:sz w:val="22"/>
          <w:szCs w:val="22"/>
          <w:lang w:val="es-UY"/>
        </w:rPr>
      </w:pPr>
      <w:r w:rsidRPr="00022014">
        <w:rPr>
          <w:rFonts w:asciiTheme="minorHAnsi" w:hAnsiTheme="minorHAnsi"/>
          <w:sz w:val="22"/>
          <w:szCs w:val="22"/>
          <w:lang w:val="es-UY"/>
        </w:rPr>
        <w:t>A raíz de la falta de</w:t>
      </w:r>
      <w:r w:rsidR="00F70787">
        <w:rPr>
          <w:rFonts w:asciiTheme="minorHAnsi" w:hAnsiTheme="minorHAnsi"/>
          <w:sz w:val="22"/>
          <w:szCs w:val="22"/>
          <w:lang w:val="es-UY"/>
        </w:rPr>
        <w:t xml:space="preserve"> una escala QALY por tipo de crimen </w:t>
      </w:r>
      <w:r w:rsidRPr="00022014">
        <w:rPr>
          <w:rFonts w:asciiTheme="minorHAnsi" w:hAnsiTheme="minorHAnsi"/>
          <w:sz w:val="22"/>
          <w:szCs w:val="22"/>
          <w:lang w:val="es-UY"/>
        </w:rPr>
        <w:t>para Uruguay</w:t>
      </w:r>
      <w:r>
        <w:rPr>
          <w:rFonts w:asciiTheme="minorHAnsi" w:hAnsiTheme="minorHAnsi"/>
          <w:sz w:val="22"/>
          <w:szCs w:val="22"/>
          <w:lang w:val="es-UY"/>
        </w:rPr>
        <w:t xml:space="preserve"> </w:t>
      </w:r>
      <w:r w:rsidR="00022014" w:rsidRPr="00022014">
        <w:rPr>
          <w:rFonts w:asciiTheme="minorHAnsi" w:hAnsiTheme="minorHAnsi"/>
          <w:sz w:val="22"/>
          <w:szCs w:val="22"/>
          <w:lang w:val="es-UY"/>
        </w:rPr>
        <w:t>se optó por toma</w:t>
      </w:r>
      <w:r>
        <w:rPr>
          <w:rFonts w:asciiTheme="minorHAnsi" w:hAnsiTheme="minorHAnsi"/>
          <w:sz w:val="22"/>
          <w:szCs w:val="22"/>
          <w:lang w:val="es-UY"/>
        </w:rPr>
        <w:t>r</w:t>
      </w:r>
      <w:r w:rsidR="00022014" w:rsidRPr="00022014">
        <w:rPr>
          <w:rFonts w:asciiTheme="minorHAnsi" w:hAnsiTheme="minorHAnsi"/>
          <w:sz w:val="22"/>
          <w:szCs w:val="22"/>
          <w:lang w:val="es-UY"/>
        </w:rPr>
        <w:t xml:space="preserve"> como referencia </w:t>
      </w:r>
      <w:r>
        <w:rPr>
          <w:rFonts w:asciiTheme="minorHAnsi" w:hAnsiTheme="minorHAnsi"/>
          <w:sz w:val="22"/>
          <w:szCs w:val="22"/>
          <w:lang w:val="es-UY"/>
        </w:rPr>
        <w:t xml:space="preserve">los resultados reportados en el </w:t>
      </w:r>
      <w:r w:rsidR="00022014" w:rsidRPr="00022014">
        <w:rPr>
          <w:rFonts w:asciiTheme="minorHAnsi" w:hAnsiTheme="minorHAnsi"/>
          <w:sz w:val="22"/>
          <w:szCs w:val="22"/>
          <w:lang w:val="es-UY"/>
        </w:rPr>
        <w:t xml:space="preserve"> artículo de Dolan et al. (2005) </w:t>
      </w:r>
      <w:r w:rsidR="00F70787">
        <w:rPr>
          <w:rFonts w:asciiTheme="minorHAnsi" w:hAnsiTheme="minorHAnsi"/>
          <w:sz w:val="22"/>
          <w:szCs w:val="22"/>
          <w:lang w:val="es-UY"/>
        </w:rPr>
        <w:t>para el Reino Unido</w:t>
      </w:r>
      <w:r w:rsidR="00022014" w:rsidRPr="00022014">
        <w:rPr>
          <w:rFonts w:asciiTheme="minorHAnsi" w:hAnsiTheme="minorHAnsi"/>
          <w:sz w:val="22"/>
          <w:szCs w:val="22"/>
          <w:lang w:val="es-UY"/>
        </w:rPr>
        <w:t>.</w:t>
      </w:r>
      <w:r>
        <w:rPr>
          <w:rFonts w:asciiTheme="minorHAnsi" w:hAnsiTheme="minorHAnsi"/>
          <w:sz w:val="22"/>
          <w:szCs w:val="22"/>
          <w:lang w:val="es-UY"/>
        </w:rPr>
        <w:t xml:space="preserve"> </w:t>
      </w:r>
    </w:p>
    <w:p w:rsidR="00022014" w:rsidRPr="00022014" w:rsidRDefault="00F24BA3" w:rsidP="006D1AAB">
      <w:pPr>
        <w:pStyle w:val="Default"/>
        <w:spacing w:after="120" w:line="276" w:lineRule="auto"/>
        <w:jc w:val="both"/>
        <w:rPr>
          <w:rFonts w:asciiTheme="minorHAnsi" w:hAnsiTheme="minorHAnsi"/>
          <w:sz w:val="22"/>
          <w:szCs w:val="22"/>
          <w:lang w:val="es-UY"/>
        </w:rPr>
      </w:pPr>
      <w:r>
        <w:rPr>
          <w:rFonts w:asciiTheme="minorHAnsi" w:hAnsiTheme="minorHAnsi"/>
          <w:sz w:val="22"/>
          <w:szCs w:val="22"/>
          <w:lang w:val="es-UY"/>
        </w:rPr>
        <w:t xml:space="preserve">En concreto, se consideró la relación entre </w:t>
      </w:r>
      <w:r w:rsidR="00022014" w:rsidRPr="00022014">
        <w:rPr>
          <w:rFonts w:asciiTheme="minorHAnsi" w:hAnsiTheme="minorHAnsi"/>
          <w:sz w:val="22"/>
          <w:szCs w:val="22"/>
          <w:lang w:val="es-UY"/>
        </w:rPr>
        <w:t xml:space="preserve">las pérdidas QALY descontadas </w:t>
      </w:r>
      <w:r>
        <w:rPr>
          <w:rFonts w:asciiTheme="minorHAnsi" w:hAnsiTheme="minorHAnsi"/>
          <w:sz w:val="22"/>
          <w:szCs w:val="22"/>
          <w:lang w:val="es-UY"/>
        </w:rPr>
        <w:t xml:space="preserve">de las distintas lesiones respecto de la de un fallecido, </w:t>
      </w:r>
      <w:r w:rsidR="00022014" w:rsidRPr="00022014">
        <w:rPr>
          <w:rFonts w:asciiTheme="minorHAnsi" w:hAnsiTheme="minorHAnsi"/>
          <w:sz w:val="22"/>
          <w:szCs w:val="22"/>
          <w:lang w:val="es-UY"/>
        </w:rPr>
        <w:t>como aproximación a los costos intangibles de los heridos</w:t>
      </w:r>
      <w:r>
        <w:rPr>
          <w:rFonts w:asciiTheme="minorHAnsi" w:hAnsiTheme="minorHAnsi"/>
          <w:sz w:val="22"/>
          <w:szCs w:val="22"/>
          <w:lang w:val="es-UY"/>
        </w:rPr>
        <w:t xml:space="preserve"> para Uruguay</w:t>
      </w:r>
      <w:r w:rsidR="00F70787">
        <w:rPr>
          <w:rFonts w:asciiTheme="minorHAnsi" w:hAnsiTheme="minorHAnsi"/>
          <w:sz w:val="22"/>
          <w:szCs w:val="22"/>
          <w:lang w:val="es-UY"/>
        </w:rPr>
        <w:t xml:space="preserve"> relativos al de un homicidio</w:t>
      </w:r>
      <w:r>
        <w:rPr>
          <w:rFonts w:asciiTheme="minorHAnsi" w:hAnsiTheme="minorHAnsi"/>
          <w:sz w:val="22"/>
          <w:szCs w:val="22"/>
          <w:lang w:val="es-UY"/>
        </w:rPr>
        <w:t xml:space="preserve"> (véase Dolan et al., </w:t>
      </w:r>
      <w:r w:rsidR="00F70787">
        <w:rPr>
          <w:rFonts w:asciiTheme="minorHAnsi" w:hAnsiTheme="minorHAnsi"/>
          <w:sz w:val="22"/>
          <w:szCs w:val="22"/>
          <w:lang w:val="es-UY"/>
        </w:rPr>
        <w:t xml:space="preserve">2005, </w:t>
      </w:r>
      <w:r>
        <w:rPr>
          <w:rFonts w:asciiTheme="minorHAnsi" w:hAnsiTheme="minorHAnsi"/>
          <w:sz w:val="22"/>
          <w:szCs w:val="22"/>
          <w:lang w:val="es-UY"/>
        </w:rPr>
        <w:t xml:space="preserve">tabla 2). Considerar esta aproximación para imputar el costo de las lesiones para Uruguay implica suponer que </w:t>
      </w:r>
      <w:r w:rsidR="00022014" w:rsidRPr="00022014">
        <w:rPr>
          <w:rFonts w:asciiTheme="minorHAnsi" w:hAnsiTheme="minorHAnsi"/>
          <w:sz w:val="22"/>
          <w:szCs w:val="22"/>
          <w:lang w:val="es-UY"/>
        </w:rPr>
        <w:t xml:space="preserve">las pérdidas intangibles relativas entre crímenes se asemejan a las de Reino Unido. </w:t>
      </w:r>
      <w:r w:rsidR="00F70787">
        <w:rPr>
          <w:rFonts w:asciiTheme="minorHAnsi" w:hAnsiTheme="minorHAnsi"/>
          <w:sz w:val="22"/>
          <w:szCs w:val="22"/>
          <w:lang w:val="es-UY"/>
        </w:rPr>
        <w:t>Es importante señalar que e</w:t>
      </w:r>
      <w:r w:rsidR="00022014" w:rsidRPr="00022014">
        <w:rPr>
          <w:rFonts w:asciiTheme="minorHAnsi" w:hAnsiTheme="minorHAnsi"/>
          <w:sz w:val="22"/>
          <w:szCs w:val="22"/>
          <w:lang w:val="es-UY"/>
        </w:rPr>
        <w:t xml:space="preserve">sto no implica suponer que el costo </w:t>
      </w:r>
      <w:r w:rsidR="00F70787">
        <w:rPr>
          <w:rFonts w:asciiTheme="minorHAnsi" w:hAnsiTheme="minorHAnsi"/>
          <w:sz w:val="22"/>
          <w:szCs w:val="22"/>
          <w:lang w:val="es-UY"/>
        </w:rPr>
        <w:t>de cada lesión</w:t>
      </w:r>
      <w:r w:rsidR="00022014" w:rsidRPr="00022014">
        <w:rPr>
          <w:rFonts w:asciiTheme="minorHAnsi" w:hAnsiTheme="minorHAnsi"/>
          <w:sz w:val="22"/>
          <w:szCs w:val="22"/>
          <w:lang w:val="es-UY"/>
        </w:rPr>
        <w:t xml:space="preserve"> sea el mismo</w:t>
      </w:r>
      <w:r w:rsidR="00F70787">
        <w:rPr>
          <w:rFonts w:asciiTheme="minorHAnsi" w:hAnsiTheme="minorHAnsi"/>
          <w:sz w:val="22"/>
          <w:szCs w:val="22"/>
          <w:lang w:val="es-UY"/>
        </w:rPr>
        <w:t xml:space="preserve"> en Uruguay y Reino Unido</w:t>
      </w:r>
      <w:r w:rsidR="00022014" w:rsidRPr="00022014">
        <w:rPr>
          <w:rFonts w:asciiTheme="minorHAnsi" w:hAnsiTheme="minorHAnsi"/>
          <w:sz w:val="22"/>
          <w:szCs w:val="22"/>
          <w:lang w:val="es-UY"/>
        </w:rPr>
        <w:t xml:space="preserve">, sino que, por ejemplo, el costo de una violación en términos relativos a una muerte por homicidio es igual en el Reino Unido que en Uruguay. Sabemos que </w:t>
      </w:r>
      <w:r w:rsidR="00022014" w:rsidRPr="00022014">
        <w:rPr>
          <w:rFonts w:asciiTheme="minorHAnsi" w:hAnsiTheme="minorHAnsi"/>
          <w:sz w:val="22"/>
          <w:szCs w:val="22"/>
          <w:lang w:val="es-UY"/>
        </w:rPr>
        <w:lastRenderedPageBreak/>
        <w:t>esto implica hacer un supuesto fuerte, pero desgraciadamente no contamos con mejores alternativas.</w:t>
      </w:r>
      <w:r w:rsidR="00F70787">
        <w:rPr>
          <w:rFonts w:asciiTheme="minorHAnsi" w:hAnsiTheme="minorHAnsi"/>
          <w:sz w:val="22"/>
          <w:szCs w:val="22"/>
          <w:lang w:val="es-UY"/>
        </w:rPr>
        <w:t xml:space="preserve"> Por tanto, </w:t>
      </w:r>
      <w:r w:rsidR="00022014" w:rsidRPr="00022014">
        <w:rPr>
          <w:rFonts w:asciiTheme="minorHAnsi" w:hAnsiTheme="minorHAnsi"/>
          <w:sz w:val="22"/>
          <w:szCs w:val="22"/>
          <w:lang w:val="es-UY"/>
        </w:rPr>
        <w:t>los resultados que se presentan a continuación deben tomarse con precaución.</w:t>
      </w:r>
    </w:p>
    <w:p w:rsidR="00022014" w:rsidRPr="00022014" w:rsidRDefault="00572733" w:rsidP="006D1AAB">
      <w:pPr>
        <w:pStyle w:val="Default"/>
        <w:spacing w:after="120" w:line="276" w:lineRule="auto"/>
        <w:jc w:val="both"/>
        <w:rPr>
          <w:rFonts w:asciiTheme="minorHAnsi" w:hAnsiTheme="minorHAnsi"/>
          <w:sz w:val="22"/>
          <w:szCs w:val="22"/>
          <w:lang w:val="es-UY"/>
        </w:rPr>
      </w:pPr>
      <w:r>
        <w:rPr>
          <w:rFonts w:asciiTheme="minorHAnsi" w:hAnsiTheme="minorHAnsi"/>
          <w:sz w:val="22"/>
          <w:szCs w:val="22"/>
          <w:lang w:val="es-UY"/>
        </w:rPr>
        <w:t>S</w:t>
      </w:r>
      <w:r w:rsidR="00022014" w:rsidRPr="00022014">
        <w:rPr>
          <w:rFonts w:asciiTheme="minorHAnsi" w:hAnsiTheme="minorHAnsi"/>
          <w:sz w:val="22"/>
          <w:szCs w:val="22"/>
          <w:lang w:val="es-UY"/>
        </w:rPr>
        <w:t xml:space="preserve">e tomaron las denuncias de los distintos tipos de crimen para 2010 </w:t>
      </w:r>
      <w:r>
        <w:rPr>
          <w:rFonts w:asciiTheme="minorHAnsi" w:hAnsiTheme="minorHAnsi"/>
          <w:sz w:val="22"/>
          <w:szCs w:val="22"/>
          <w:lang w:val="es-UY"/>
        </w:rPr>
        <w:t>(</w:t>
      </w:r>
      <w:r w:rsidR="00A565EC" w:rsidRPr="00A565EC">
        <w:rPr>
          <w:rFonts w:asciiTheme="minorHAnsi" w:hAnsiTheme="minorHAnsi"/>
          <w:sz w:val="22"/>
          <w:szCs w:val="22"/>
          <w:lang w:val="es-UY"/>
        </w:rPr>
        <w:t>datos de DDE</w:t>
      </w:r>
      <w:r w:rsidRPr="00A565EC">
        <w:rPr>
          <w:rFonts w:asciiTheme="minorHAnsi" w:hAnsiTheme="minorHAnsi"/>
          <w:sz w:val="22"/>
          <w:szCs w:val="22"/>
          <w:lang w:val="es-UY"/>
        </w:rPr>
        <w:t>A)</w:t>
      </w:r>
      <w:r>
        <w:rPr>
          <w:rFonts w:asciiTheme="minorHAnsi" w:hAnsiTheme="minorHAnsi"/>
          <w:sz w:val="22"/>
          <w:szCs w:val="22"/>
          <w:lang w:val="es-UY"/>
        </w:rPr>
        <w:t xml:space="preserve"> </w:t>
      </w:r>
      <w:r w:rsidR="00022014" w:rsidRPr="00022014">
        <w:rPr>
          <w:rFonts w:asciiTheme="minorHAnsi" w:hAnsiTheme="minorHAnsi"/>
          <w:sz w:val="22"/>
          <w:szCs w:val="22"/>
          <w:lang w:val="es-UY"/>
        </w:rPr>
        <w:t>y se clasificaron de manera tal que la especificación de crímenes violentos concuerde con aquella descrita en el trabajo de Dolan</w:t>
      </w:r>
      <w:r>
        <w:rPr>
          <w:rFonts w:asciiTheme="minorHAnsi" w:hAnsiTheme="minorHAnsi"/>
          <w:sz w:val="22"/>
          <w:szCs w:val="22"/>
          <w:lang w:val="es-UY"/>
        </w:rPr>
        <w:t xml:space="preserve"> et al.</w:t>
      </w:r>
      <w:r w:rsidR="00022014" w:rsidRPr="00022014">
        <w:rPr>
          <w:rFonts w:asciiTheme="minorHAnsi" w:hAnsiTheme="minorHAnsi"/>
          <w:sz w:val="22"/>
          <w:szCs w:val="22"/>
          <w:lang w:val="es-UY"/>
        </w:rPr>
        <w:t>, obteniendo así la cantidad de crímenes por categoría. Como segundo paso se tomaron las pérdidas QALY descontadas de tal artículo para cada clase y se expresaron en términos de la pérdida estimada para un asesinato (es decir cada ponderador</w:t>
      </w:r>
      <w:r w:rsidR="00022014" w:rsidRPr="00022014">
        <w:rPr>
          <w:rFonts w:asciiTheme="minorHAnsi" w:hAnsiTheme="minorHAnsi"/>
          <w:szCs w:val="22"/>
          <w:lang w:val="es-UY"/>
        </w:rPr>
        <w:t xml:space="preserve"> </w:t>
      </w:r>
      <w:r w:rsidR="00022014" w:rsidRPr="00572733">
        <w:rPr>
          <w:rFonts w:ascii="Symbol" w:hAnsi="Symbol"/>
          <w:i/>
          <w:szCs w:val="22"/>
        </w:rPr>
        <w:t></w:t>
      </w:r>
      <w:r w:rsidR="00022014" w:rsidRPr="00572733">
        <w:rPr>
          <w:rFonts w:asciiTheme="minorHAnsi" w:hAnsiTheme="minorHAnsi"/>
          <w:i/>
          <w:sz w:val="22"/>
          <w:szCs w:val="22"/>
          <w:vertAlign w:val="subscript"/>
          <w:lang w:val="es-UY"/>
        </w:rPr>
        <w:t>i</w:t>
      </w:r>
      <w:r w:rsidR="00022014" w:rsidRPr="00572733">
        <w:rPr>
          <w:rFonts w:asciiTheme="minorHAnsi" w:hAnsiTheme="minorHAnsi"/>
          <w:i/>
          <w:sz w:val="22"/>
          <w:szCs w:val="22"/>
          <w:lang w:val="es-UY"/>
        </w:rPr>
        <w:t xml:space="preserve">= </w:t>
      </w:r>
      <w:r w:rsidR="00022014" w:rsidRPr="00572733">
        <w:rPr>
          <w:rFonts w:ascii="Times New Roman" w:hAnsi="Times New Roman" w:cs="Times New Roman"/>
          <w:i/>
          <w:sz w:val="22"/>
          <w:szCs w:val="22"/>
          <w:lang w:val="es-UY"/>
        </w:rPr>
        <w:t>QALY</w:t>
      </w:r>
      <w:r w:rsidR="00022014" w:rsidRPr="00572733">
        <w:rPr>
          <w:rFonts w:ascii="Times New Roman" w:hAnsi="Times New Roman" w:cs="Times New Roman"/>
          <w:i/>
          <w:sz w:val="28"/>
          <w:szCs w:val="22"/>
          <w:vertAlign w:val="subscript"/>
          <w:lang w:val="es-UY"/>
        </w:rPr>
        <w:t xml:space="preserve">i </w:t>
      </w:r>
      <w:r w:rsidR="00022014" w:rsidRPr="00FA54F5">
        <w:rPr>
          <w:rFonts w:ascii="Times New Roman" w:hAnsi="Times New Roman" w:cs="Times New Roman"/>
          <w:sz w:val="22"/>
          <w:szCs w:val="22"/>
          <w:lang w:val="es-UY"/>
        </w:rPr>
        <w:t>/</w:t>
      </w:r>
      <w:r w:rsidR="00022014" w:rsidRPr="00572733">
        <w:rPr>
          <w:rFonts w:ascii="Times New Roman" w:hAnsi="Times New Roman" w:cs="Times New Roman"/>
          <w:i/>
          <w:sz w:val="22"/>
          <w:szCs w:val="22"/>
          <w:lang w:val="es-UY"/>
        </w:rPr>
        <w:t xml:space="preserve"> QALY</w:t>
      </w:r>
      <w:r w:rsidR="00022014" w:rsidRPr="00572733">
        <w:rPr>
          <w:rFonts w:ascii="Times New Roman" w:hAnsi="Times New Roman" w:cs="Times New Roman"/>
          <w:i/>
          <w:sz w:val="28"/>
          <w:szCs w:val="22"/>
          <w:vertAlign w:val="subscript"/>
          <w:lang w:val="es-UY"/>
        </w:rPr>
        <w:t>homicidio</w:t>
      </w:r>
      <w:r w:rsidR="00022014" w:rsidRPr="00022014">
        <w:rPr>
          <w:rFonts w:asciiTheme="minorHAnsi" w:hAnsiTheme="minorHAnsi"/>
          <w:sz w:val="22"/>
          <w:szCs w:val="22"/>
          <w:lang w:val="es-UY"/>
        </w:rPr>
        <w:t xml:space="preserve">, siendo </w:t>
      </w:r>
      <w:r w:rsidR="00022014" w:rsidRPr="00572733">
        <w:rPr>
          <w:rFonts w:ascii="Times New Roman" w:hAnsi="Times New Roman" w:cs="Times New Roman"/>
          <w:i/>
          <w:sz w:val="22"/>
          <w:szCs w:val="22"/>
          <w:lang w:val="es-UY"/>
        </w:rPr>
        <w:t>i</w:t>
      </w:r>
      <w:r w:rsidR="00022014" w:rsidRPr="00022014">
        <w:rPr>
          <w:rFonts w:asciiTheme="minorHAnsi" w:hAnsiTheme="minorHAnsi"/>
          <w:sz w:val="22"/>
          <w:szCs w:val="22"/>
          <w:lang w:val="es-UY"/>
        </w:rPr>
        <w:t xml:space="preserve"> la categoría de crimen). </w:t>
      </w:r>
    </w:p>
    <w:p w:rsidR="00022014" w:rsidRPr="00022014" w:rsidRDefault="00022014" w:rsidP="006D1AAB">
      <w:pPr>
        <w:pStyle w:val="Default"/>
        <w:spacing w:after="120" w:line="276" w:lineRule="auto"/>
        <w:jc w:val="both"/>
        <w:rPr>
          <w:rFonts w:asciiTheme="minorHAnsi" w:hAnsiTheme="minorHAnsi"/>
          <w:sz w:val="22"/>
          <w:szCs w:val="22"/>
          <w:lang w:val="es-UY"/>
        </w:rPr>
      </w:pPr>
      <w:r w:rsidRPr="00022014">
        <w:rPr>
          <w:rFonts w:asciiTheme="minorHAnsi" w:hAnsiTheme="minorHAnsi"/>
          <w:sz w:val="22"/>
          <w:szCs w:val="22"/>
          <w:lang w:val="es-UY"/>
        </w:rPr>
        <w:t>En tercer lugar se tomó el costo de un fallecido medido en dólares corrientes, previamente obtenido a través de la metodología para tal componente</w:t>
      </w:r>
      <w:r w:rsidR="00572733">
        <w:rPr>
          <w:rFonts w:asciiTheme="minorHAnsi" w:hAnsiTheme="minorHAnsi"/>
          <w:sz w:val="22"/>
          <w:szCs w:val="22"/>
          <w:lang w:val="es-UY"/>
        </w:rPr>
        <w:t xml:space="preserve"> (</w:t>
      </w:r>
      <w:r w:rsidR="00F70787">
        <w:rPr>
          <w:rFonts w:asciiTheme="minorHAnsi" w:hAnsiTheme="minorHAnsi"/>
          <w:sz w:val="22"/>
          <w:szCs w:val="22"/>
          <w:lang w:val="es-UY"/>
        </w:rPr>
        <w:t xml:space="preserve">véase sección </w:t>
      </w:r>
      <w:r w:rsidR="004F410F">
        <w:rPr>
          <w:rFonts w:asciiTheme="minorHAnsi" w:hAnsiTheme="minorHAnsi"/>
          <w:sz w:val="22"/>
          <w:szCs w:val="22"/>
          <w:lang w:val="es-UY"/>
        </w:rPr>
        <w:t>4.3</w:t>
      </w:r>
      <w:r w:rsidR="00572733">
        <w:rPr>
          <w:rFonts w:asciiTheme="minorHAnsi" w:hAnsiTheme="minorHAnsi"/>
          <w:sz w:val="22"/>
          <w:szCs w:val="22"/>
          <w:lang w:val="es-UY"/>
        </w:rPr>
        <w:t>.1)</w:t>
      </w:r>
      <w:r w:rsidRPr="00022014">
        <w:rPr>
          <w:rFonts w:asciiTheme="minorHAnsi" w:hAnsiTheme="minorHAnsi"/>
          <w:sz w:val="22"/>
          <w:szCs w:val="22"/>
          <w:lang w:val="es-UY"/>
        </w:rPr>
        <w:t>. Combinando el segundo y el tercer paso, se multiplicó al costo de una muerte por su ponderador para cada clase de crimen, obteniendo el costo de cada tipo de crimen. Luego se multiplicó tal valor por la cantidad de crímenes de cada tipo, resultado el costo total de cada clase de ofensa. Finalmente, para obtener el costo total de los heridos se sumaron todas las categorías.</w:t>
      </w:r>
    </w:p>
    <w:p w:rsidR="00022014" w:rsidRPr="00022014" w:rsidRDefault="00022014" w:rsidP="00022014">
      <w:pPr>
        <w:pStyle w:val="Default"/>
        <w:spacing w:after="120"/>
        <w:jc w:val="both"/>
        <w:rPr>
          <w:rFonts w:asciiTheme="minorHAnsi" w:hAnsiTheme="minorHAnsi"/>
          <w:sz w:val="22"/>
          <w:szCs w:val="22"/>
          <w:lang w:val="es-UY"/>
        </w:rPr>
      </w:pPr>
      <w:r w:rsidRPr="00022014">
        <w:rPr>
          <w:rFonts w:asciiTheme="minorHAnsi" w:hAnsiTheme="minorHAnsi"/>
          <w:sz w:val="22"/>
          <w:szCs w:val="22"/>
          <w:lang w:val="es-UY"/>
        </w:rPr>
        <w:t>Los pasos previamente mencionados podrían resumirse en la siguiente fórmula que indica el costo:</w:t>
      </w:r>
    </w:p>
    <w:p w:rsidR="00022014" w:rsidRDefault="00F95673" w:rsidP="00022014">
      <w:pPr>
        <w:pStyle w:val="Default"/>
        <w:spacing w:after="120"/>
        <w:jc w:val="both"/>
        <w:rPr>
          <w:rFonts w:asciiTheme="minorHAnsi" w:hAnsiTheme="minorHAnsi"/>
          <w:sz w:val="28"/>
        </w:rPr>
      </w:pPr>
      <m:oMathPara>
        <m:oMath>
          <m:sSub>
            <m:sSubPr>
              <m:ctrlPr>
                <w:rPr>
                  <w:rFonts w:ascii="Cambria Math" w:hAnsi="Cambria Math"/>
                  <w:i/>
                </w:rPr>
              </m:ctrlPr>
            </m:sSubPr>
            <m:e>
              <m:r>
                <w:rPr>
                  <w:rFonts w:ascii="Cambria Math" w:hAnsi="Cambria Math"/>
                </w:rPr>
                <m:t>σ</m:t>
              </m:r>
            </m:e>
            <m:sub>
              <m:r>
                <w:rPr>
                  <w:rFonts w:ascii="Cambria Math" w:hAnsi="Cambria Math"/>
                </w:rPr>
                <m:t>h</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i=n</m:t>
              </m:r>
            </m:sup>
            <m:e>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m:t>
                  </m:r>
                </m:sub>
              </m:sSub>
              <m:r>
                <w:rPr>
                  <w:rFonts w:ascii="Cambria Math" w:hAnsi="Cambria Math"/>
                </w:rPr>
                <m:t>*CF,</m:t>
              </m:r>
            </m:e>
          </m:nary>
        </m:oMath>
      </m:oMathPara>
    </w:p>
    <w:p w:rsidR="00022014" w:rsidRPr="00022014" w:rsidRDefault="00572733" w:rsidP="00022014">
      <w:pPr>
        <w:pStyle w:val="Default"/>
        <w:spacing w:after="120"/>
        <w:jc w:val="both"/>
        <w:rPr>
          <w:rFonts w:asciiTheme="minorHAnsi" w:hAnsiTheme="minorHAnsi"/>
          <w:sz w:val="22"/>
          <w:lang w:val="es-UY"/>
        </w:rPr>
      </w:pPr>
      <w:r>
        <w:rPr>
          <w:rFonts w:asciiTheme="minorHAnsi" w:hAnsiTheme="minorHAnsi"/>
          <w:sz w:val="22"/>
          <w:lang w:val="es-UY"/>
        </w:rPr>
        <w:t>s</w:t>
      </w:r>
      <w:r w:rsidR="00022014" w:rsidRPr="00022014">
        <w:rPr>
          <w:rFonts w:asciiTheme="minorHAnsi" w:hAnsiTheme="minorHAnsi"/>
          <w:sz w:val="22"/>
          <w:lang w:val="es-UY"/>
        </w:rPr>
        <w:t xml:space="preserve">iendo </w:t>
      </w:r>
      <w:r w:rsidR="00022014" w:rsidRPr="00572733">
        <w:rPr>
          <w:rFonts w:ascii="Times New Roman" w:hAnsi="Times New Roman" w:cs="Times New Roman"/>
          <w:i/>
          <w:sz w:val="22"/>
          <w:lang w:val="es-UY"/>
        </w:rPr>
        <w:t>CF</w:t>
      </w:r>
      <w:r w:rsidR="00022014" w:rsidRPr="00022014">
        <w:rPr>
          <w:rFonts w:asciiTheme="minorHAnsi" w:hAnsiTheme="minorHAnsi"/>
          <w:sz w:val="22"/>
          <w:lang w:val="es-UY"/>
        </w:rPr>
        <w:t xml:space="preserve"> el costo de un fallecido, </w:t>
      </w:r>
      <w:r w:rsidR="00022014" w:rsidRPr="00572733">
        <w:rPr>
          <w:rFonts w:ascii="Symbol" w:hAnsi="Symbol"/>
          <w:i/>
        </w:rPr>
        <w:t></w:t>
      </w:r>
      <w:r w:rsidR="00022014" w:rsidRPr="00022014">
        <w:rPr>
          <w:rFonts w:asciiTheme="minorHAnsi" w:hAnsiTheme="minorHAnsi"/>
          <w:vertAlign w:val="subscript"/>
          <w:lang w:val="es-UY"/>
        </w:rPr>
        <w:t xml:space="preserve">i </w:t>
      </w:r>
      <w:r w:rsidR="00022014" w:rsidRPr="00022014">
        <w:rPr>
          <w:rFonts w:asciiTheme="minorHAnsi" w:hAnsiTheme="minorHAnsi"/>
          <w:sz w:val="22"/>
          <w:lang w:val="es-UY"/>
        </w:rPr>
        <w:t xml:space="preserve">el costo de cada tipo de crimen en relación al costo de una muerte, </w:t>
      </w:r>
      <w:r w:rsidR="00022014" w:rsidRPr="00572733">
        <w:rPr>
          <w:rFonts w:ascii="Times New Roman" w:hAnsi="Times New Roman" w:cs="Times New Roman"/>
          <w:i/>
          <w:sz w:val="22"/>
          <w:lang w:val="es-UY"/>
        </w:rPr>
        <w:t>m</w:t>
      </w:r>
      <w:r w:rsidR="00022014" w:rsidRPr="00572733">
        <w:rPr>
          <w:rFonts w:ascii="Times New Roman" w:hAnsi="Times New Roman" w:cs="Times New Roman"/>
          <w:i/>
          <w:sz w:val="22"/>
          <w:vertAlign w:val="subscript"/>
          <w:lang w:val="es-UY"/>
        </w:rPr>
        <w:t>i</w:t>
      </w:r>
      <w:r w:rsidR="00022014" w:rsidRPr="00572733">
        <w:rPr>
          <w:rFonts w:ascii="Times New Roman" w:hAnsi="Times New Roman" w:cs="Times New Roman"/>
          <w:i/>
          <w:sz w:val="22"/>
          <w:lang w:val="es-UY"/>
        </w:rPr>
        <w:t xml:space="preserve"> </w:t>
      </w:r>
      <w:r w:rsidR="00022014" w:rsidRPr="00022014">
        <w:rPr>
          <w:rFonts w:asciiTheme="minorHAnsi" w:hAnsiTheme="minorHAnsi"/>
          <w:sz w:val="22"/>
          <w:lang w:val="es-UY"/>
        </w:rPr>
        <w:t>la cantidad de crímenes por cada categoría</w:t>
      </w:r>
      <w:r w:rsidR="00022014" w:rsidRPr="00572733">
        <w:rPr>
          <w:rFonts w:ascii="Times New Roman" w:hAnsi="Times New Roman" w:cs="Times New Roman"/>
          <w:i/>
          <w:sz w:val="22"/>
          <w:lang w:val="es-UY"/>
        </w:rPr>
        <w:t xml:space="preserve"> i</w:t>
      </w:r>
      <w:r w:rsidR="00022014" w:rsidRPr="00022014">
        <w:rPr>
          <w:rFonts w:asciiTheme="minorHAnsi" w:hAnsiTheme="minorHAnsi"/>
          <w:sz w:val="22"/>
          <w:lang w:val="es-UY"/>
        </w:rPr>
        <w:t xml:space="preserve"> de crimen.</w:t>
      </w:r>
    </w:p>
    <w:p w:rsidR="00022014" w:rsidRDefault="00022014" w:rsidP="00022014">
      <w:pPr>
        <w:pStyle w:val="Default"/>
        <w:spacing w:after="120"/>
        <w:jc w:val="both"/>
        <w:rPr>
          <w:rFonts w:asciiTheme="minorHAnsi" w:hAnsiTheme="minorHAnsi"/>
          <w:sz w:val="22"/>
          <w:lang w:val="es-UY"/>
        </w:rPr>
      </w:pPr>
      <w:r w:rsidRPr="00022014">
        <w:rPr>
          <w:rFonts w:asciiTheme="minorHAnsi" w:hAnsiTheme="minorHAnsi"/>
          <w:sz w:val="22"/>
          <w:lang w:val="es-UY"/>
        </w:rPr>
        <w:t xml:space="preserve">Los resultados </w:t>
      </w:r>
      <w:r w:rsidR="00F70787">
        <w:rPr>
          <w:rFonts w:asciiTheme="minorHAnsi" w:hAnsiTheme="minorHAnsi"/>
          <w:sz w:val="22"/>
          <w:lang w:val="es-UY"/>
        </w:rPr>
        <w:t>obtenidos se presentan en el siguiente cuadro.</w:t>
      </w:r>
    </w:p>
    <w:p w:rsidR="00D45CCE" w:rsidRDefault="00D45CCE" w:rsidP="00022014">
      <w:pPr>
        <w:pStyle w:val="Default"/>
        <w:spacing w:after="120"/>
        <w:jc w:val="both"/>
        <w:rPr>
          <w:rFonts w:asciiTheme="minorHAnsi" w:hAnsiTheme="minorHAnsi"/>
          <w:sz w:val="22"/>
          <w:lang w:val="es-UY"/>
        </w:rPr>
      </w:pPr>
    </w:p>
    <w:p w:rsidR="00AC48BD" w:rsidRPr="00510108" w:rsidRDefault="00784795" w:rsidP="00AC48BD">
      <w:pPr>
        <w:jc w:val="both"/>
        <w:rPr>
          <w:b/>
        </w:rPr>
      </w:pPr>
      <w:r>
        <w:rPr>
          <w:b/>
        </w:rPr>
        <w:t>Cuadro 7</w:t>
      </w:r>
      <w:r w:rsidR="00AC48BD" w:rsidRPr="00510108">
        <w:rPr>
          <w:b/>
        </w:rPr>
        <w:t xml:space="preserve">. Estimación del costo </w:t>
      </w:r>
      <w:r w:rsidR="00AC48BD">
        <w:rPr>
          <w:b/>
        </w:rPr>
        <w:t xml:space="preserve">asociado a los heridos por causas violentas </w:t>
      </w:r>
    </w:p>
    <w:tbl>
      <w:tblPr>
        <w:tblW w:w="8475" w:type="dxa"/>
        <w:tblInd w:w="55" w:type="dxa"/>
        <w:tblLayout w:type="fixed"/>
        <w:tblCellMar>
          <w:left w:w="70" w:type="dxa"/>
          <w:right w:w="70" w:type="dxa"/>
        </w:tblCellMar>
        <w:tblLook w:val="04A0" w:firstRow="1" w:lastRow="0" w:firstColumn="1" w:lastColumn="0" w:noHBand="0" w:noVBand="1"/>
      </w:tblPr>
      <w:tblGrid>
        <w:gridCol w:w="2535"/>
        <w:gridCol w:w="1620"/>
        <w:gridCol w:w="990"/>
        <w:gridCol w:w="1170"/>
        <w:gridCol w:w="990"/>
        <w:gridCol w:w="1170"/>
      </w:tblGrid>
      <w:tr w:rsidR="007E2F5F" w:rsidRPr="00D63DBF" w:rsidTr="00C52E14">
        <w:trPr>
          <w:trHeight w:val="638"/>
        </w:trPr>
        <w:tc>
          <w:tcPr>
            <w:tcW w:w="2535" w:type="dxa"/>
            <w:tcBorders>
              <w:top w:val="single" w:sz="4" w:space="0" w:color="auto"/>
              <w:bottom w:val="single" w:sz="4" w:space="0" w:color="auto"/>
            </w:tcBorders>
            <w:shd w:val="clear" w:color="auto" w:fill="auto"/>
            <w:hideMark/>
          </w:tcPr>
          <w:p w:rsidR="00AC48BD" w:rsidRPr="00D63DBF" w:rsidRDefault="00AC48BD" w:rsidP="00AC48BD">
            <w:pPr>
              <w:spacing w:after="0" w:line="240" w:lineRule="auto"/>
              <w:jc w:val="center"/>
              <w:rPr>
                <w:rFonts w:ascii="Calibri" w:eastAsia="Times New Roman" w:hAnsi="Calibri" w:cs="Times New Roman"/>
                <w:b/>
                <w:bCs/>
                <w:sz w:val="20"/>
                <w:szCs w:val="20"/>
                <w:lang w:val="es-ES" w:eastAsia="es-ES"/>
              </w:rPr>
            </w:pPr>
            <w:r w:rsidRPr="00D63DBF">
              <w:rPr>
                <w:rFonts w:ascii="Calibri" w:eastAsia="Times New Roman" w:hAnsi="Calibri" w:cs="Times New Roman"/>
                <w:b/>
                <w:bCs/>
                <w:sz w:val="20"/>
                <w:szCs w:val="20"/>
                <w:lang w:val="es-ES" w:eastAsia="es-ES"/>
              </w:rPr>
              <w:t>Ofensa</w:t>
            </w:r>
          </w:p>
        </w:tc>
        <w:tc>
          <w:tcPr>
            <w:tcW w:w="1620" w:type="dxa"/>
            <w:tcBorders>
              <w:top w:val="single" w:sz="4" w:space="0" w:color="auto"/>
              <w:bottom w:val="single" w:sz="4" w:space="0" w:color="auto"/>
            </w:tcBorders>
            <w:shd w:val="clear" w:color="auto" w:fill="auto"/>
            <w:hideMark/>
          </w:tcPr>
          <w:p w:rsidR="00AC48BD" w:rsidRPr="00D63DBF" w:rsidRDefault="00AC48BD" w:rsidP="00AC48BD">
            <w:pPr>
              <w:spacing w:after="0" w:line="240" w:lineRule="auto"/>
              <w:jc w:val="center"/>
              <w:rPr>
                <w:rFonts w:ascii="Calibri" w:eastAsia="Times New Roman" w:hAnsi="Calibri" w:cs="Times New Roman"/>
                <w:b/>
                <w:bCs/>
                <w:sz w:val="20"/>
                <w:szCs w:val="20"/>
                <w:lang w:val="es-ES" w:eastAsia="es-ES"/>
              </w:rPr>
            </w:pPr>
            <w:r w:rsidRPr="00D63DBF">
              <w:rPr>
                <w:rFonts w:ascii="Calibri" w:eastAsia="Times New Roman" w:hAnsi="Calibri" w:cs="Times New Roman"/>
                <w:b/>
                <w:bCs/>
                <w:sz w:val="20"/>
                <w:szCs w:val="20"/>
                <w:lang w:val="es-ES" w:eastAsia="es-ES"/>
              </w:rPr>
              <w:t xml:space="preserve">Pérdida </w:t>
            </w:r>
            <w:r w:rsidR="0043781F" w:rsidRPr="00D63DBF">
              <w:rPr>
                <w:rFonts w:ascii="Calibri" w:eastAsia="Times New Roman" w:hAnsi="Calibri" w:cs="Times New Roman"/>
                <w:b/>
                <w:bCs/>
                <w:sz w:val="20"/>
                <w:szCs w:val="20"/>
                <w:lang w:val="es-ES" w:eastAsia="es-ES"/>
              </w:rPr>
              <w:t xml:space="preserve">de </w:t>
            </w:r>
            <w:r w:rsidRPr="00D63DBF">
              <w:rPr>
                <w:rFonts w:ascii="Calibri" w:eastAsia="Times New Roman" w:hAnsi="Calibri" w:cs="Times New Roman"/>
                <w:b/>
                <w:bCs/>
                <w:sz w:val="20"/>
                <w:szCs w:val="20"/>
                <w:lang w:val="es-ES" w:eastAsia="es-ES"/>
              </w:rPr>
              <w:t>QALY descontada</w:t>
            </w:r>
          </w:p>
        </w:tc>
        <w:tc>
          <w:tcPr>
            <w:tcW w:w="990" w:type="dxa"/>
            <w:tcBorders>
              <w:top w:val="single" w:sz="4" w:space="0" w:color="auto"/>
              <w:bottom w:val="single" w:sz="4" w:space="0" w:color="auto"/>
            </w:tcBorders>
            <w:shd w:val="clear" w:color="auto" w:fill="auto"/>
            <w:hideMark/>
          </w:tcPr>
          <w:p w:rsidR="00AC48BD" w:rsidRPr="00D63DBF" w:rsidRDefault="00AC48BD" w:rsidP="00AC48BD">
            <w:pPr>
              <w:spacing w:after="0" w:line="240" w:lineRule="auto"/>
              <w:jc w:val="center"/>
              <w:rPr>
                <w:rFonts w:ascii="Calibri" w:eastAsia="Times New Roman" w:hAnsi="Calibri" w:cs="Times New Roman"/>
                <w:b/>
                <w:bCs/>
                <w:sz w:val="20"/>
                <w:szCs w:val="20"/>
                <w:lang w:val="es-ES" w:eastAsia="es-ES"/>
              </w:rPr>
            </w:pPr>
            <w:r w:rsidRPr="00D63DBF">
              <w:rPr>
                <w:rFonts w:ascii="Calibri" w:eastAsia="Times New Roman" w:hAnsi="Calibri" w:cs="Times New Roman"/>
                <w:b/>
                <w:bCs/>
                <w:sz w:val="20"/>
                <w:szCs w:val="20"/>
                <w:lang w:val="es-ES" w:eastAsia="es-ES"/>
              </w:rPr>
              <w:t>Valor respecto homicid</w:t>
            </w:r>
            <w:r w:rsidR="007E2F5F" w:rsidRPr="00D63DBF">
              <w:rPr>
                <w:rFonts w:ascii="Calibri" w:eastAsia="Times New Roman" w:hAnsi="Calibri" w:cs="Times New Roman"/>
                <w:b/>
                <w:bCs/>
                <w:sz w:val="20"/>
                <w:szCs w:val="20"/>
                <w:lang w:val="es-ES" w:eastAsia="es-ES"/>
              </w:rPr>
              <w:t>i</w:t>
            </w:r>
            <w:r w:rsidRPr="00D63DBF">
              <w:rPr>
                <w:rFonts w:ascii="Calibri" w:eastAsia="Times New Roman" w:hAnsi="Calibri" w:cs="Times New Roman"/>
                <w:b/>
                <w:bCs/>
                <w:sz w:val="20"/>
                <w:szCs w:val="20"/>
                <w:lang w:val="es-ES" w:eastAsia="es-ES"/>
              </w:rPr>
              <w:t>o</w:t>
            </w:r>
          </w:p>
        </w:tc>
        <w:tc>
          <w:tcPr>
            <w:tcW w:w="1170" w:type="dxa"/>
            <w:tcBorders>
              <w:top w:val="single" w:sz="4" w:space="0" w:color="auto"/>
              <w:bottom w:val="single" w:sz="4" w:space="0" w:color="auto"/>
            </w:tcBorders>
            <w:shd w:val="clear" w:color="auto" w:fill="auto"/>
            <w:hideMark/>
          </w:tcPr>
          <w:p w:rsidR="00AC48BD" w:rsidRPr="00D63DBF" w:rsidRDefault="00AC48BD" w:rsidP="00AC48BD">
            <w:pPr>
              <w:spacing w:after="0" w:line="240" w:lineRule="auto"/>
              <w:jc w:val="center"/>
              <w:rPr>
                <w:rFonts w:ascii="Calibri" w:eastAsia="Times New Roman" w:hAnsi="Calibri" w:cs="Times New Roman"/>
                <w:b/>
                <w:bCs/>
                <w:sz w:val="20"/>
                <w:szCs w:val="20"/>
                <w:lang w:val="es-ES" w:eastAsia="es-ES"/>
              </w:rPr>
            </w:pPr>
            <w:r w:rsidRPr="00D63DBF">
              <w:rPr>
                <w:rFonts w:ascii="Calibri" w:eastAsia="Times New Roman" w:hAnsi="Calibri" w:cs="Times New Roman"/>
                <w:b/>
                <w:bCs/>
                <w:sz w:val="20"/>
                <w:szCs w:val="20"/>
                <w:lang w:val="es-ES" w:eastAsia="es-ES"/>
              </w:rPr>
              <w:t>Costo de cada crimen</w:t>
            </w:r>
            <w:r w:rsidR="0039425D" w:rsidRPr="00D63DBF">
              <w:rPr>
                <w:rFonts w:ascii="Calibri" w:eastAsia="Times New Roman" w:hAnsi="Calibri" w:cs="Times New Roman"/>
                <w:b/>
                <w:bCs/>
                <w:sz w:val="20"/>
                <w:szCs w:val="20"/>
                <w:lang w:val="es-ES" w:eastAsia="es-ES"/>
              </w:rPr>
              <w:t xml:space="preserve"> (USD)</w:t>
            </w:r>
          </w:p>
        </w:tc>
        <w:tc>
          <w:tcPr>
            <w:tcW w:w="990" w:type="dxa"/>
            <w:tcBorders>
              <w:top w:val="single" w:sz="4" w:space="0" w:color="auto"/>
              <w:bottom w:val="single" w:sz="4" w:space="0" w:color="auto"/>
            </w:tcBorders>
            <w:shd w:val="clear" w:color="auto" w:fill="auto"/>
            <w:hideMark/>
          </w:tcPr>
          <w:p w:rsidR="00AC48BD" w:rsidRPr="00D63DBF" w:rsidRDefault="0039425D" w:rsidP="00AC48BD">
            <w:pPr>
              <w:spacing w:after="0" w:line="240" w:lineRule="auto"/>
              <w:jc w:val="center"/>
              <w:rPr>
                <w:rFonts w:ascii="Calibri" w:eastAsia="Times New Roman" w:hAnsi="Calibri" w:cs="Times New Roman"/>
                <w:b/>
                <w:bCs/>
                <w:sz w:val="20"/>
                <w:szCs w:val="20"/>
                <w:lang w:val="es-ES" w:eastAsia="es-ES"/>
              </w:rPr>
            </w:pPr>
            <w:r w:rsidRPr="00D63DBF">
              <w:rPr>
                <w:rFonts w:ascii="Calibri" w:eastAsia="Times New Roman" w:hAnsi="Calibri" w:cs="Times New Roman"/>
                <w:b/>
                <w:bCs/>
                <w:sz w:val="20"/>
                <w:szCs w:val="20"/>
                <w:lang w:val="es-ES" w:eastAsia="es-ES"/>
              </w:rPr>
              <w:t>Número de denuncias</w:t>
            </w:r>
          </w:p>
        </w:tc>
        <w:tc>
          <w:tcPr>
            <w:tcW w:w="1170" w:type="dxa"/>
            <w:tcBorders>
              <w:top w:val="single" w:sz="4" w:space="0" w:color="auto"/>
              <w:bottom w:val="single" w:sz="4" w:space="0" w:color="auto"/>
            </w:tcBorders>
            <w:shd w:val="clear" w:color="auto" w:fill="auto"/>
            <w:hideMark/>
          </w:tcPr>
          <w:p w:rsidR="00AC48BD" w:rsidRPr="00D63DBF" w:rsidRDefault="00AC48BD" w:rsidP="00AC48BD">
            <w:pPr>
              <w:spacing w:after="0" w:line="240" w:lineRule="auto"/>
              <w:jc w:val="center"/>
              <w:rPr>
                <w:rFonts w:ascii="Calibri" w:eastAsia="Times New Roman" w:hAnsi="Calibri" w:cs="Times New Roman"/>
                <w:b/>
                <w:bCs/>
                <w:sz w:val="20"/>
                <w:szCs w:val="20"/>
                <w:lang w:val="es-ES" w:eastAsia="es-ES"/>
              </w:rPr>
            </w:pPr>
            <w:r w:rsidRPr="00D63DBF">
              <w:rPr>
                <w:rFonts w:ascii="Calibri" w:eastAsia="Times New Roman" w:hAnsi="Calibri" w:cs="Times New Roman"/>
                <w:b/>
                <w:bCs/>
                <w:sz w:val="20"/>
                <w:szCs w:val="20"/>
                <w:lang w:val="es-ES" w:eastAsia="es-ES"/>
              </w:rPr>
              <w:t>Costo</w:t>
            </w:r>
            <w:r w:rsidR="00C52E14" w:rsidRPr="00D63DBF">
              <w:rPr>
                <w:rFonts w:ascii="Calibri" w:eastAsia="Times New Roman" w:hAnsi="Calibri" w:cs="Times New Roman"/>
                <w:b/>
                <w:bCs/>
                <w:sz w:val="20"/>
                <w:szCs w:val="20"/>
                <w:lang w:val="es-ES" w:eastAsia="es-ES"/>
              </w:rPr>
              <w:t xml:space="preserve"> total o</w:t>
            </w:r>
            <w:r w:rsidRPr="00D63DBF">
              <w:rPr>
                <w:rFonts w:ascii="Calibri" w:eastAsia="Times New Roman" w:hAnsi="Calibri" w:cs="Times New Roman"/>
                <w:b/>
                <w:bCs/>
                <w:sz w:val="20"/>
                <w:szCs w:val="20"/>
                <w:lang w:val="es-ES" w:eastAsia="es-ES"/>
              </w:rPr>
              <w:t>fensa</w:t>
            </w:r>
          </w:p>
        </w:tc>
      </w:tr>
      <w:tr w:rsidR="00AC48BD" w:rsidRPr="00D63DBF" w:rsidTr="00C52E14">
        <w:trPr>
          <w:trHeight w:val="245"/>
        </w:trPr>
        <w:tc>
          <w:tcPr>
            <w:tcW w:w="2535" w:type="dxa"/>
            <w:tcBorders>
              <w:top w:val="single" w:sz="4" w:space="0" w:color="auto"/>
            </w:tcBorders>
            <w:shd w:val="clear" w:color="auto" w:fill="auto"/>
            <w:noWrap/>
            <w:vAlign w:val="bottom"/>
            <w:hideMark/>
          </w:tcPr>
          <w:p w:rsidR="00AC48BD" w:rsidRPr="00D63DBF" w:rsidRDefault="00AC48BD" w:rsidP="0015719C">
            <w:pPr>
              <w:spacing w:after="0" w:line="240" w:lineRule="auto"/>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Homicidio</w:t>
            </w:r>
          </w:p>
        </w:tc>
        <w:tc>
          <w:tcPr>
            <w:tcW w:w="1620" w:type="dxa"/>
            <w:tcBorders>
              <w:top w:val="single" w:sz="4" w:space="0" w:color="auto"/>
            </w:tcBorders>
            <w:shd w:val="clear" w:color="auto" w:fill="auto"/>
            <w:noWrap/>
            <w:vAlign w:val="bottom"/>
            <w:hideMark/>
          </w:tcPr>
          <w:p w:rsidR="00AC48BD" w:rsidRPr="00D63DBF" w:rsidRDefault="00AC48BD" w:rsidP="00AC48BD">
            <w:pPr>
              <w:spacing w:after="0" w:line="240" w:lineRule="auto"/>
              <w:jc w:val="center"/>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17,79</w:t>
            </w:r>
          </w:p>
        </w:tc>
        <w:tc>
          <w:tcPr>
            <w:tcW w:w="990" w:type="dxa"/>
            <w:tcBorders>
              <w:top w:val="single" w:sz="4" w:space="0" w:color="auto"/>
            </w:tcBorders>
            <w:shd w:val="clear" w:color="auto" w:fill="auto"/>
            <w:noWrap/>
            <w:vAlign w:val="bottom"/>
            <w:hideMark/>
          </w:tcPr>
          <w:p w:rsidR="00AC48BD" w:rsidRPr="00D63DBF" w:rsidRDefault="00AC48BD" w:rsidP="00AC48BD">
            <w:pPr>
              <w:spacing w:after="0" w:line="240" w:lineRule="auto"/>
              <w:jc w:val="center"/>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1</w:t>
            </w:r>
          </w:p>
        </w:tc>
        <w:tc>
          <w:tcPr>
            <w:tcW w:w="1170" w:type="dxa"/>
            <w:tcBorders>
              <w:top w:val="single" w:sz="4" w:space="0" w:color="auto"/>
            </w:tcBorders>
            <w:shd w:val="clear" w:color="auto" w:fill="auto"/>
            <w:noWrap/>
            <w:vAlign w:val="bottom"/>
            <w:hideMark/>
          </w:tcPr>
          <w:p w:rsidR="00AC48BD" w:rsidRPr="00D63DBF" w:rsidRDefault="00AC48BD" w:rsidP="0039425D">
            <w:pPr>
              <w:spacing w:after="0" w:line="240" w:lineRule="auto"/>
              <w:jc w:val="right"/>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241.019</w:t>
            </w:r>
          </w:p>
        </w:tc>
        <w:tc>
          <w:tcPr>
            <w:tcW w:w="990" w:type="dxa"/>
            <w:tcBorders>
              <w:top w:val="single" w:sz="4" w:space="0" w:color="auto"/>
            </w:tcBorders>
            <w:shd w:val="clear" w:color="auto" w:fill="auto"/>
            <w:noWrap/>
            <w:vAlign w:val="bottom"/>
            <w:hideMark/>
          </w:tcPr>
          <w:p w:rsidR="00AC48BD" w:rsidRPr="00D63DBF" w:rsidRDefault="00AC48BD" w:rsidP="00AC48BD">
            <w:pPr>
              <w:spacing w:after="0" w:line="240" w:lineRule="auto"/>
              <w:rPr>
                <w:rFonts w:ascii="Calibri" w:eastAsia="Times New Roman" w:hAnsi="Calibri" w:cs="Times New Roman"/>
                <w:color w:val="000000"/>
                <w:sz w:val="20"/>
                <w:szCs w:val="20"/>
                <w:lang w:val="es-ES" w:eastAsia="es-ES"/>
              </w:rPr>
            </w:pPr>
          </w:p>
        </w:tc>
        <w:tc>
          <w:tcPr>
            <w:tcW w:w="1170" w:type="dxa"/>
            <w:tcBorders>
              <w:top w:val="single" w:sz="4" w:space="0" w:color="auto"/>
            </w:tcBorders>
            <w:shd w:val="clear" w:color="auto" w:fill="auto"/>
            <w:noWrap/>
            <w:vAlign w:val="bottom"/>
            <w:hideMark/>
          </w:tcPr>
          <w:p w:rsidR="00AC48BD" w:rsidRPr="00D63DBF" w:rsidRDefault="00AC48BD" w:rsidP="00AC48BD">
            <w:pPr>
              <w:spacing w:after="0" w:line="240" w:lineRule="auto"/>
              <w:jc w:val="center"/>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 </w:t>
            </w:r>
          </w:p>
        </w:tc>
      </w:tr>
      <w:tr w:rsidR="00AC48BD" w:rsidRPr="00D63DBF" w:rsidTr="00C52E14">
        <w:trPr>
          <w:trHeight w:val="245"/>
        </w:trPr>
        <w:tc>
          <w:tcPr>
            <w:tcW w:w="2535" w:type="dxa"/>
            <w:shd w:val="clear" w:color="auto" w:fill="auto"/>
            <w:noWrap/>
            <w:vAlign w:val="bottom"/>
            <w:hideMark/>
          </w:tcPr>
          <w:p w:rsidR="00AC48BD" w:rsidRPr="00D63DBF" w:rsidRDefault="00AC48BD" w:rsidP="00C15C11">
            <w:pPr>
              <w:spacing w:after="0" w:line="240" w:lineRule="auto"/>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 xml:space="preserve">Lesión </w:t>
            </w:r>
            <w:r w:rsidR="00C15C11">
              <w:rPr>
                <w:rFonts w:ascii="Calibri" w:eastAsia="Times New Roman" w:hAnsi="Calibri" w:cs="Times New Roman"/>
                <w:color w:val="000000"/>
                <w:sz w:val="20"/>
                <w:szCs w:val="20"/>
                <w:lang w:val="es-ES" w:eastAsia="es-ES"/>
              </w:rPr>
              <w:t>grave</w:t>
            </w:r>
          </w:p>
        </w:tc>
        <w:tc>
          <w:tcPr>
            <w:tcW w:w="1620" w:type="dxa"/>
            <w:shd w:val="clear" w:color="auto" w:fill="auto"/>
            <w:noWrap/>
            <w:vAlign w:val="bottom"/>
            <w:hideMark/>
          </w:tcPr>
          <w:p w:rsidR="00AC48BD" w:rsidRPr="00D63DBF" w:rsidRDefault="00AC48BD" w:rsidP="00AC48BD">
            <w:pPr>
              <w:spacing w:after="0" w:line="240" w:lineRule="auto"/>
              <w:jc w:val="center"/>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0,19</w:t>
            </w:r>
          </w:p>
        </w:tc>
        <w:tc>
          <w:tcPr>
            <w:tcW w:w="990" w:type="dxa"/>
            <w:shd w:val="clear" w:color="auto" w:fill="auto"/>
            <w:noWrap/>
            <w:vAlign w:val="bottom"/>
            <w:hideMark/>
          </w:tcPr>
          <w:p w:rsidR="00AC48BD" w:rsidRPr="00D63DBF" w:rsidRDefault="00AC48BD" w:rsidP="00AC48BD">
            <w:pPr>
              <w:spacing w:after="0" w:line="240" w:lineRule="auto"/>
              <w:jc w:val="center"/>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0,0107</w:t>
            </w:r>
          </w:p>
        </w:tc>
        <w:tc>
          <w:tcPr>
            <w:tcW w:w="1170" w:type="dxa"/>
            <w:shd w:val="clear" w:color="auto" w:fill="auto"/>
            <w:noWrap/>
            <w:vAlign w:val="bottom"/>
            <w:hideMark/>
          </w:tcPr>
          <w:p w:rsidR="00AC48BD" w:rsidRPr="00D63DBF" w:rsidRDefault="00AC48BD" w:rsidP="0039425D">
            <w:pPr>
              <w:spacing w:after="0" w:line="240" w:lineRule="auto"/>
              <w:jc w:val="right"/>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2.58</w:t>
            </w:r>
            <w:r w:rsidR="0039425D" w:rsidRPr="00D63DBF">
              <w:rPr>
                <w:rFonts w:ascii="Calibri" w:eastAsia="Times New Roman" w:hAnsi="Calibri" w:cs="Times New Roman"/>
                <w:color w:val="000000"/>
                <w:sz w:val="20"/>
                <w:szCs w:val="20"/>
                <w:lang w:val="es-ES" w:eastAsia="es-ES"/>
              </w:rPr>
              <w:t>8</w:t>
            </w:r>
          </w:p>
        </w:tc>
        <w:tc>
          <w:tcPr>
            <w:tcW w:w="990" w:type="dxa"/>
            <w:shd w:val="clear" w:color="auto" w:fill="auto"/>
            <w:noWrap/>
            <w:vAlign w:val="bottom"/>
            <w:hideMark/>
          </w:tcPr>
          <w:p w:rsidR="00AC48BD" w:rsidRPr="00D63DBF" w:rsidRDefault="00AC48BD" w:rsidP="0039425D">
            <w:pPr>
              <w:spacing w:after="0" w:line="240" w:lineRule="auto"/>
              <w:jc w:val="right"/>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519</w:t>
            </w:r>
          </w:p>
        </w:tc>
        <w:tc>
          <w:tcPr>
            <w:tcW w:w="1170" w:type="dxa"/>
            <w:shd w:val="clear" w:color="auto" w:fill="auto"/>
            <w:noWrap/>
            <w:vAlign w:val="bottom"/>
            <w:hideMark/>
          </w:tcPr>
          <w:p w:rsidR="00AC48BD" w:rsidRPr="00D63DBF" w:rsidRDefault="00AC48BD" w:rsidP="0039425D">
            <w:pPr>
              <w:spacing w:after="0" w:line="240" w:lineRule="auto"/>
              <w:jc w:val="right"/>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1.342.926</w:t>
            </w:r>
          </w:p>
        </w:tc>
      </w:tr>
      <w:tr w:rsidR="00AC48BD" w:rsidRPr="00D63DBF" w:rsidTr="00C52E14">
        <w:trPr>
          <w:trHeight w:val="245"/>
        </w:trPr>
        <w:tc>
          <w:tcPr>
            <w:tcW w:w="2535" w:type="dxa"/>
            <w:shd w:val="clear" w:color="auto" w:fill="auto"/>
            <w:noWrap/>
            <w:vAlign w:val="bottom"/>
            <w:hideMark/>
          </w:tcPr>
          <w:p w:rsidR="00AC48BD" w:rsidRPr="00D63DBF" w:rsidRDefault="00AC48BD" w:rsidP="00C15C11">
            <w:pPr>
              <w:spacing w:after="0" w:line="240" w:lineRule="auto"/>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 xml:space="preserve">Violencia </w:t>
            </w:r>
            <w:r w:rsidR="00C15C11">
              <w:rPr>
                <w:rFonts w:ascii="Calibri" w:eastAsia="Times New Roman" w:hAnsi="Calibri" w:cs="Times New Roman"/>
                <w:color w:val="000000"/>
                <w:sz w:val="20"/>
                <w:szCs w:val="20"/>
                <w:lang w:val="es-ES" w:eastAsia="es-ES"/>
              </w:rPr>
              <w:t>d</w:t>
            </w:r>
            <w:r w:rsidRPr="00D63DBF">
              <w:rPr>
                <w:rFonts w:ascii="Calibri" w:eastAsia="Times New Roman" w:hAnsi="Calibri" w:cs="Times New Roman"/>
                <w:color w:val="000000"/>
                <w:sz w:val="20"/>
                <w:szCs w:val="20"/>
                <w:lang w:val="es-ES" w:eastAsia="es-ES"/>
              </w:rPr>
              <w:t>oméstica</w:t>
            </w:r>
          </w:p>
        </w:tc>
        <w:tc>
          <w:tcPr>
            <w:tcW w:w="1620" w:type="dxa"/>
            <w:shd w:val="clear" w:color="auto" w:fill="auto"/>
            <w:noWrap/>
            <w:vAlign w:val="bottom"/>
            <w:hideMark/>
          </w:tcPr>
          <w:p w:rsidR="00AC48BD" w:rsidRPr="00D63DBF" w:rsidRDefault="00AC48BD" w:rsidP="00AC48BD">
            <w:pPr>
              <w:spacing w:after="0" w:line="240" w:lineRule="auto"/>
              <w:jc w:val="center"/>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0,19</w:t>
            </w:r>
          </w:p>
        </w:tc>
        <w:tc>
          <w:tcPr>
            <w:tcW w:w="990" w:type="dxa"/>
            <w:shd w:val="clear" w:color="auto" w:fill="auto"/>
            <w:noWrap/>
            <w:vAlign w:val="bottom"/>
            <w:hideMark/>
          </w:tcPr>
          <w:p w:rsidR="00AC48BD" w:rsidRPr="00D63DBF" w:rsidRDefault="00AC48BD" w:rsidP="00AC48BD">
            <w:pPr>
              <w:spacing w:after="0" w:line="240" w:lineRule="auto"/>
              <w:jc w:val="center"/>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0,0107</w:t>
            </w:r>
          </w:p>
        </w:tc>
        <w:tc>
          <w:tcPr>
            <w:tcW w:w="1170" w:type="dxa"/>
            <w:shd w:val="clear" w:color="auto" w:fill="auto"/>
            <w:noWrap/>
            <w:vAlign w:val="bottom"/>
            <w:hideMark/>
          </w:tcPr>
          <w:p w:rsidR="00AC48BD" w:rsidRPr="00D63DBF" w:rsidRDefault="00AC48BD" w:rsidP="0039425D">
            <w:pPr>
              <w:spacing w:after="0" w:line="240" w:lineRule="auto"/>
              <w:jc w:val="right"/>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2.58</w:t>
            </w:r>
            <w:r w:rsidR="0039425D" w:rsidRPr="00D63DBF">
              <w:rPr>
                <w:rFonts w:ascii="Calibri" w:eastAsia="Times New Roman" w:hAnsi="Calibri" w:cs="Times New Roman"/>
                <w:color w:val="000000"/>
                <w:sz w:val="20"/>
                <w:szCs w:val="20"/>
                <w:lang w:val="es-ES" w:eastAsia="es-ES"/>
              </w:rPr>
              <w:t>8</w:t>
            </w:r>
          </w:p>
        </w:tc>
        <w:tc>
          <w:tcPr>
            <w:tcW w:w="990" w:type="dxa"/>
            <w:shd w:val="clear" w:color="auto" w:fill="auto"/>
            <w:noWrap/>
            <w:vAlign w:val="bottom"/>
            <w:hideMark/>
          </w:tcPr>
          <w:p w:rsidR="00AC48BD" w:rsidRPr="00D63DBF" w:rsidRDefault="00AC48BD" w:rsidP="0039425D">
            <w:pPr>
              <w:spacing w:after="0" w:line="240" w:lineRule="auto"/>
              <w:jc w:val="right"/>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15.277</w:t>
            </w:r>
          </w:p>
        </w:tc>
        <w:tc>
          <w:tcPr>
            <w:tcW w:w="1170" w:type="dxa"/>
            <w:shd w:val="clear" w:color="auto" w:fill="auto"/>
            <w:noWrap/>
            <w:vAlign w:val="bottom"/>
            <w:hideMark/>
          </w:tcPr>
          <w:p w:rsidR="00AC48BD" w:rsidRPr="00D63DBF" w:rsidRDefault="00AC48BD" w:rsidP="0039425D">
            <w:pPr>
              <w:spacing w:after="0" w:line="240" w:lineRule="auto"/>
              <w:jc w:val="right"/>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39.529.634</w:t>
            </w:r>
          </w:p>
        </w:tc>
      </w:tr>
      <w:tr w:rsidR="00AC48BD" w:rsidRPr="00D63DBF" w:rsidTr="00C52E14">
        <w:trPr>
          <w:trHeight w:val="245"/>
        </w:trPr>
        <w:tc>
          <w:tcPr>
            <w:tcW w:w="2535" w:type="dxa"/>
            <w:shd w:val="clear" w:color="auto" w:fill="auto"/>
            <w:noWrap/>
            <w:vAlign w:val="bottom"/>
            <w:hideMark/>
          </w:tcPr>
          <w:p w:rsidR="00AC48BD" w:rsidRPr="00D63DBF" w:rsidRDefault="00C15C11" w:rsidP="00C15C11">
            <w:pPr>
              <w:spacing w:after="0" w:line="240" w:lineRule="auto"/>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Riña</w:t>
            </w:r>
          </w:p>
        </w:tc>
        <w:tc>
          <w:tcPr>
            <w:tcW w:w="1620" w:type="dxa"/>
            <w:shd w:val="clear" w:color="auto" w:fill="auto"/>
            <w:noWrap/>
            <w:vAlign w:val="bottom"/>
            <w:hideMark/>
          </w:tcPr>
          <w:p w:rsidR="00AC48BD" w:rsidRPr="00D63DBF" w:rsidRDefault="00AC48BD" w:rsidP="00AC48BD">
            <w:pPr>
              <w:spacing w:after="0" w:line="240" w:lineRule="auto"/>
              <w:jc w:val="center"/>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0,03</w:t>
            </w:r>
          </w:p>
        </w:tc>
        <w:tc>
          <w:tcPr>
            <w:tcW w:w="990" w:type="dxa"/>
            <w:shd w:val="clear" w:color="auto" w:fill="auto"/>
            <w:noWrap/>
            <w:vAlign w:val="bottom"/>
            <w:hideMark/>
          </w:tcPr>
          <w:p w:rsidR="00AC48BD" w:rsidRPr="00D63DBF" w:rsidRDefault="00AC48BD" w:rsidP="00AC48BD">
            <w:pPr>
              <w:spacing w:after="0" w:line="240" w:lineRule="auto"/>
              <w:jc w:val="center"/>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0,0017</w:t>
            </w:r>
          </w:p>
        </w:tc>
        <w:tc>
          <w:tcPr>
            <w:tcW w:w="1170" w:type="dxa"/>
            <w:shd w:val="clear" w:color="auto" w:fill="auto"/>
            <w:noWrap/>
            <w:vAlign w:val="bottom"/>
            <w:hideMark/>
          </w:tcPr>
          <w:p w:rsidR="00AC48BD" w:rsidRPr="00D63DBF" w:rsidRDefault="00AC48BD" w:rsidP="0039425D">
            <w:pPr>
              <w:spacing w:after="0" w:line="240" w:lineRule="auto"/>
              <w:jc w:val="right"/>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4</w:t>
            </w:r>
            <w:r w:rsidR="0039425D" w:rsidRPr="00D63DBF">
              <w:rPr>
                <w:rFonts w:ascii="Calibri" w:eastAsia="Times New Roman" w:hAnsi="Calibri" w:cs="Times New Roman"/>
                <w:color w:val="000000"/>
                <w:sz w:val="20"/>
                <w:szCs w:val="20"/>
                <w:lang w:val="es-ES" w:eastAsia="es-ES"/>
              </w:rPr>
              <w:t>20</w:t>
            </w:r>
          </w:p>
        </w:tc>
        <w:tc>
          <w:tcPr>
            <w:tcW w:w="990" w:type="dxa"/>
            <w:shd w:val="clear" w:color="auto" w:fill="auto"/>
            <w:noWrap/>
            <w:vAlign w:val="bottom"/>
            <w:hideMark/>
          </w:tcPr>
          <w:p w:rsidR="00AC48BD" w:rsidRPr="00D63DBF" w:rsidRDefault="00AC48BD" w:rsidP="0039425D">
            <w:pPr>
              <w:spacing w:after="0" w:line="240" w:lineRule="auto"/>
              <w:jc w:val="right"/>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325</w:t>
            </w:r>
          </w:p>
        </w:tc>
        <w:tc>
          <w:tcPr>
            <w:tcW w:w="1170" w:type="dxa"/>
            <w:shd w:val="clear" w:color="auto" w:fill="auto"/>
            <w:noWrap/>
            <w:vAlign w:val="bottom"/>
            <w:hideMark/>
          </w:tcPr>
          <w:p w:rsidR="00AC48BD" w:rsidRPr="00D63DBF" w:rsidRDefault="00AC48BD" w:rsidP="0039425D">
            <w:pPr>
              <w:spacing w:after="0" w:line="240" w:lineRule="auto"/>
              <w:jc w:val="right"/>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136.489</w:t>
            </w:r>
          </w:p>
        </w:tc>
      </w:tr>
      <w:tr w:rsidR="00AC48BD" w:rsidRPr="00D63DBF" w:rsidTr="00C52E14">
        <w:trPr>
          <w:trHeight w:val="245"/>
        </w:trPr>
        <w:tc>
          <w:tcPr>
            <w:tcW w:w="2535" w:type="dxa"/>
            <w:shd w:val="clear" w:color="auto" w:fill="auto"/>
            <w:noWrap/>
            <w:vAlign w:val="bottom"/>
            <w:hideMark/>
          </w:tcPr>
          <w:p w:rsidR="00AC48BD" w:rsidRPr="00D63DBF" w:rsidRDefault="00C15C11" w:rsidP="00C15C11">
            <w:pPr>
              <w:spacing w:after="0" w:line="240" w:lineRule="auto"/>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Lesión leve</w:t>
            </w:r>
          </w:p>
        </w:tc>
        <w:tc>
          <w:tcPr>
            <w:tcW w:w="1620" w:type="dxa"/>
            <w:shd w:val="clear" w:color="auto" w:fill="auto"/>
            <w:noWrap/>
            <w:vAlign w:val="bottom"/>
            <w:hideMark/>
          </w:tcPr>
          <w:p w:rsidR="00AC48BD" w:rsidRPr="00D63DBF" w:rsidRDefault="00AC48BD" w:rsidP="00AC48BD">
            <w:pPr>
              <w:spacing w:after="0" w:line="240" w:lineRule="auto"/>
              <w:jc w:val="center"/>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0,03</w:t>
            </w:r>
          </w:p>
        </w:tc>
        <w:tc>
          <w:tcPr>
            <w:tcW w:w="990" w:type="dxa"/>
            <w:shd w:val="clear" w:color="auto" w:fill="auto"/>
            <w:noWrap/>
            <w:vAlign w:val="bottom"/>
            <w:hideMark/>
          </w:tcPr>
          <w:p w:rsidR="00AC48BD" w:rsidRPr="00D63DBF" w:rsidRDefault="00AC48BD" w:rsidP="00AC48BD">
            <w:pPr>
              <w:spacing w:after="0" w:line="240" w:lineRule="auto"/>
              <w:jc w:val="center"/>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0,0017</w:t>
            </w:r>
          </w:p>
        </w:tc>
        <w:tc>
          <w:tcPr>
            <w:tcW w:w="1170" w:type="dxa"/>
            <w:shd w:val="clear" w:color="auto" w:fill="auto"/>
            <w:noWrap/>
            <w:vAlign w:val="bottom"/>
            <w:hideMark/>
          </w:tcPr>
          <w:p w:rsidR="00AC48BD" w:rsidRPr="00D63DBF" w:rsidRDefault="00AC48BD" w:rsidP="0039425D">
            <w:pPr>
              <w:spacing w:after="0" w:line="240" w:lineRule="auto"/>
              <w:jc w:val="right"/>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4</w:t>
            </w:r>
            <w:r w:rsidR="0039425D" w:rsidRPr="00D63DBF">
              <w:rPr>
                <w:rFonts w:ascii="Calibri" w:eastAsia="Times New Roman" w:hAnsi="Calibri" w:cs="Times New Roman"/>
                <w:color w:val="000000"/>
                <w:sz w:val="20"/>
                <w:szCs w:val="20"/>
                <w:lang w:val="es-ES" w:eastAsia="es-ES"/>
              </w:rPr>
              <w:t>20</w:t>
            </w:r>
          </w:p>
        </w:tc>
        <w:tc>
          <w:tcPr>
            <w:tcW w:w="990" w:type="dxa"/>
            <w:shd w:val="clear" w:color="auto" w:fill="auto"/>
            <w:noWrap/>
            <w:vAlign w:val="bottom"/>
            <w:hideMark/>
          </w:tcPr>
          <w:p w:rsidR="00AC48BD" w:rsidRPr="00D63DBF" w:rsidRDefault="00AC48BD" w:rsidP="0039425D">
            <w:pPr>
              <w:spacing w:after="0" w:line="240" w:lineRule="auto"/>
              <w:jc w:val="right"/>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7.633</w:t>
            </w:r>
          </w:p>
        </w:tc>
        <w:tc>
          <w:tcPr>
            <w:tcW w:w="1170" w:type="dxa"/>
            <w:shd w:val="clear" w:color="auto" w:fill="auto"/>
            <w:noWrap/>
            <w:vAlign w:val="bottom"/>
            <w:hideMark/>
          </w:tcPr>
          <w:p w:rsidR="00AC48BD" w:rsidRPr="00D63DBF" w:rsidRDefault="00AC48BD" w:rsidP="0039425D">
            <w:pPr>
              <w:spacing w:after="0" w:line="240" w:lineRule="auto"/>
              <w:jc w:val="right"/>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3.205.592</w:t>
            </w:r>
          </w:p>
        </w:tc>
      </w:tr>
      <w:tr w:rsidR="00AC48BD" w:rsidRPr="00D63DBF" w:rsidTr="00C52E14">
        <w:trPr>
          <w:trHeight w:val="245"/>
        </w:trPr>
        <w:tc>
          <w:tcPr>
            <w:tcW w:w="2535" w:type="dxa"/>
            <w:shd w:val="clear" w:color="auto" w:fill="auto"/>
            <w:noWrap/>
            <w:vAlign w:val="bottom"/>
            <w:hideMark/>
          </w:tcPr>
          <w:p w:rsidR="00AC48BD" w:rsidRPr="00D63DBF" w:rsidRDefault="00AC48BD" w:rsidP="0015719C">
            <w:pPr>
              <w:spacing w:after="0" w:line="240" w:lineRule="auto"/>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Otras contra la persona</w:t>
            </w:r>
          </w:p>
        </w:tc>
        <w:tc>
          <w:tcPr>
            <w:tcW w:w="1620" w:type="dxa"/>
            <w:shd w:val="clear" w:color="auto" w:fill="auto"/>
            <w:noWrap/>
            <w:vAlign w:val="bottom"/>
            <w:hideMark/>
          </w:tcPr>
          <w:p w:rsidR="00AC48BD" w:rsidRPr="00D63DBF" w:rsidRDefault="00AC48BD" w:rsidP="00AC48BD">
            <w:pPr>
              <w:spacing w:after="0" w:line="240" w:lineRule="auto"/>
              <w:jc w:val="center"/>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0,03</w:t>
            </w:r>
          </w:p>
        </w:tc>
        <w:tc>
          <w:tcPr>
            <w:tcW w:w="990" w:type="dxa"/>
            <w:shd w:val="clear" w:color="auto" w:fill="auto"/>
            <w:noWrap/>
            <w:vAlign w:val="bottom"/>
            <w:hideMark/>
          </w:tcPr>
          <w:p w:rsidR="00AC48BD" w:rsidRPr="00D63DBF" w:rsidRDefault="00AC48BD" w:rsidP="00AC48BD">
            <w:pPr>
              <w:spacing w:after="0" w:line="240" w:lineRule="auto"/>
              <w:jc w:val="center"/>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0,0017</w:t>
            </w:r>
          </w:p>
        </w:tc>
        <w:tc>
          <w:tcPr>
            <w:tcW w:w="1170" w:type="dxa"/>
            <w:shd w:val="clear" w:color="auto" w:fill="auto"/>
            <w:noWrap/>
            <w:vAlign w:val="bottom"/>
            <w:hideMark/>
          </w:tcPr>
          <w:p w:rsidR="00AC48BD" w:rsidRPr="00D63DBF" w:rsidRDefault="0039425D" w:rsidP="0039425D">
            <w:pPr>
              <w:spacing w:after="0" w:line="240" w:lineRule="auto"/>
              <w:jc w:val="right"/>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420</w:t>
            </w:r>
          </w:p>
        </w:tc>
        <w:tc>
          <w:tcPr>
            <w:tcW w:w="990" w:type="dxa"/>
            <w:shd w:val="clear" w:color="auto" w:fill="auto"/>
            <w:noWrap/>
            <w:vAlign w:val="bottom"/>
            <w:hideMark/>
          </w:tcPr>
          <w:p w:rsidR="00AC48BD" w:rsidRPr="00D63DBF" w:rsidRDefault="00AC48BD" w:rsidP="0039425D">
            <w:pPr>
              <w:spacing w:after="0" w:line="240" w:lineRule="auto"/>
              <w:jc w:val="right"/>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2.021</w:t>
            </w:r>
          </w:p>
        </w:tc>
        <w:tc>
          <w:tcPr>
            <w:tcW w:w="1170" w:type="dxa"/>
            <w:shd w:val="clear" w:color="auto" w:fill="auto"/>
            <w:noWrap/>
            <w:vAlign w:val="bottom"/>
            <w:hideMark/>
          </w:tcPr>
          <w:p w:rsidR="00AC48BD" w:rsidRPr="00D63DBF" w:rsidRDefault="00AC48BD" w:rsidP="0039425D">
            <w:pPr>
              <w:spacing w:after="0" w:line="240" w:lineRule="auto"/>
              <w:jc w:val="right"/>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848.749</w:t>
            </w:r>
          </w:p>
        </w:tc>
      </w:tr>
      <w:tr w:rsidR="00AC48BD" w:rsidRPr="00D63DBF" w:rsidTr="00C52E14">
        <w:trPr>
          <w:trHeight w:val="245"/>
        </w:trPr>
        <w:tc>
          <w:tcPr>
            <w:tcW w:w="2535" w:type="dxa"/>
            <w:shd w:val="clear" w:color="auto" w:fill="auto"/>
            <w:noWrap/>
            <w:vAlign w:val="bottom"/>
            <w:hideMark/>
          </w:tcPr>
          <w:p w:rsidR="00AC48BD" w:rsidRPr="00D63DBF" w:rsidRDefault="00C15C11" w:rsidP="0015719C">
            <w:pPr>
              <w:spacing w:after="0" w:line="240" w:lineRule="auto"/>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Hurtos</w:t>
            </w:r>
          </w:p>
        </w:tc>
        <w:tc>
          <w:tcPr>
            <w:tcW w:w="1620" w:type="dxa"/>
            <w:shd w:val="clear" w:color="auto" w:fill="auto"/>
            <w:noWrap/>
            <w:vAlign w:val="bottom"/>
            <w:hideMark/>
          </w:tcPr>
          <w:p w:rsidR="00AC48BD" w:rsidRPr="00D63DBF" w:rsidRDefault="00AC48BD" w:rsidP="00AC48BD">
            <w:pPr>
              <w:spacing w:after="0" w:line="240" w:lineRule="auto"/>
              <w:jc w:val="center"/>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0,01</w:t>
            </w:r>
          </w:p>
        </w:tc>
        <w:tc>
          <w:tcPr>
            <w:tcW w:w="990" w:type="dxa"/>
            <w:shd w:val="clear" w:color="auto" w:fill="auto"/>
            <w:noWrap/>
            <w:vAlign w:val="bottom"/>
            <w:hideMark/>
          </w:tcPr>
          <w:p w:rsidR="00AC48BD" w:rsidRPr="00D63DBF" w:rsidRDefault="00AC48BD" w:rsidP="00AC48BD">
            <w:pPr>
              <w:spacing w:after="0" w:line="240" w:lineRule="auto"/>
              <w:jc w:val="center"/>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0,0004</w:t>
            </w:r>
          </w:p>
        </w:tc>
        <w:tc>
          <w:tcPr>
            <w:tcW w:w="1170" w:type="dxa"/>
            <w:shd w:val="clear" w:color="auto" w:fill="auto"/>
            <w:noWrap/>
            <w:vAlign w:val="bottom"/>
            <w:hideMark/>
          </w:tcPr>
          <w:p w:rsidR="00AC48BD" w:rsidRPr="00D63DBF" w:rsidRDefault="0039425D" w:rsidP="0039425D">
            <w:pPr>
              <w:spacing w:after="0" w:line="240" w:lineRule="auto"/>
              <w:jc w:val="right"/>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95</w:t>
            </w:r>
          </w:p>
        </w:tc>
        <w:tc>
          <w:tcPr>
            <w:tcW w:w="990" w:type="dxa"/>
            <w:shd w:val="clear" w:color="auto" w:fill="auto"/>
            <w:noWrap/>
            <w:vAlign w:val="bottom"/>
            <w:hideMark/>
          </w:tcPr>
          <w:p w:rsidR="00AC48BD" w:rsidRPr="00D63DBF" w:rsidRDefault="00AC48BD" w:rsidP="0039425D">
            <w:pPr>
              <w:spacing w:after="0" w:line="240" w:lineRule="auto"/>
              <w:jc w:val="right"/>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101.352</w:t>
            </w:r>
          </w:p>
        </w:tc>
        <w:tc>
          <w:tcPr>
            <w:tcW w:w="1170" w:type="dxa"/>
            <w:shd w:val="clear" w:color="auto" w:fill="auto"/>
            <w:noWrap/>
            <w:vAlign w:val="bottom"/>
            <w:hideMark/>
          </w:tcPr>
          <w:p w:rsidR="00AC48BD" w:rsidRPr="00D63DBF" w:rsidRDefault="00AC48BD" w:rsidP="0039425D">
            <w:pPr>
              <w:spacing w:after="0" w:line="240" w:lineRule="auto"/>
              <w:jc w:val="right"/>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9.611.291</w:t>
            </w:r>
          </w:p>
        </w:tc>
      </w:tr>
      <w:tr w:rsidR="00AC48BD" w:rsidRPr="00D63DBF" w:rsidTr="00C52E14">
        <w:trPr>
          <w:trHeight w:val="245"/>
        </w:trPr>
        <w:tc>
          <w:tcPr>
            <w:tcW w:w="2535" w:type="dxa"/>
            <w:shd w:val="clear" w:color="auto" w:fill="auto"/>
            <w:noWrap/>
            <w:vAlign w:val="bottom"/>
            <w:hideMark/>
          </w:tcPr>
          <w:p w:rsidR="00AC48BD" w:rsidRPr="00D63DBF" w:rsidRDefault="00AC48BD" w:rsidP="0015719C">
            <w:pPr>
              <w:spacing w:after="0" w:line="240" w:lineRule="auto"/>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Otros contra propiedad</w:t>
            </w:r>
          </w:p>
        </w:tc>
        <w:tc>
          <w:tcPr>
            <w:tcW w:w="1620" w:type="dxa"/>
            <w:shd w:val="clear" w:color="auto" w:fill="auto"/>
            <w:noWrap/>
            <w:vAlign w:val="bottom"/>
            <w:hideMark/>
          </w:tcPr>
          <w:p w:rsidR="00AC48BD" w:rsidRPr="00D63DBF" w:rsidRDefault="00AC48BD" w:rsidP="00AC48BD">
            <w:pPr>
              <w:spacing w:after="0" w:line="240" w:lineRule="auto"/>
              <w:jc w:val="center"/>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0,01</w:t>
            </w:r>
          </w:p>
        </w:tc>
        <w:tc>
          <w:tcPr>
            <w:tcW w:w="990" w:type="dxa"/>
            <w:shd w:val="clear" w:color="auto" w:fill="auto"/>
            <w:noWrap/>
            <w:vAlign w:val="bottom"/>
            <w:hideMark/>
          </w:tcPr>
          <w:p w:rsidR="00AC48BD" w:rsidRPr="00D63DBF" w:rsidRDefault="00AC48BD" w:rsidP="00AC48BD">
            <w:pPr>
              <w:spacing w:after="0" w:line="240" w:lineRule="auto"/>
              <w:jc w:val="center"/>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0,0004</w:t>
            </w:r>
          </w:p>
        </w:tc>
        <w:tc>
          <w:tcPr>
            <w:tcW w:w="1170" w:type="dxa"/>
            <w:shd w:val="clear" w:color="auto" w:fill="auto"/>
            <w:noWrap/>
            <w:vAlign w:val="bottom"/>
            <w:hideMark/>
          </w:tcPr>
          <w:p w:rsidR="00AC48BD" w:rsidRPr="00D63DBF" w:rsidRDefault="0039425D" w:rsidP="0039425D">
            <w:pPr>
              <w:spacing w:after="0" w:line="240" w:lineRule="auto"/>
              <w:jc w:val="right"/>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95</w:t>
            </w:r>
          </w:p>
        </w:tc>
        <w:tc>
          <w:tcPr>
            <w:tcW w:w="990" w:type="dxa"/>
            <w:shd w:val="clear" w:color="auto" w:fill="auto"/>
            <w:noWrap/>
            <w:vAlign w:val="bottom"/>
            <w:hideMark/>
          </w:tcPr>
          <w:p w:rsidR="00AC48BD" w:rsidRPr="00D63DBF" w:rsidRDefault="00AC48BD" w:rsidP="0039425D">
            <w:pPr>
              <w:spacing w:after="0" w:line="240" w:lineRule="auto"/>
              <w:jc w:val="right"/>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21.049</w:t>
            </w:r>
          </w:p>
        </w:tc>
        <w:tc>
          <w:tcPr>
            <w:tcW w:w="1170" w:type="dxa"/>
            <w:shd w:val="clear" w:color="auto" w:fill="auto"/>
            <w:noWrap/>
            <w:vAlign w:val="bottom"/>
            <w:hideMark/>
          </w:tcPr>
          <w:p w:rsidR="00AC48BD" w:rsidRPr="00D63DBF" w:rsidRDefault="00AC48BD" w:rsidP="0039425D">
            <w:pPr>
              <w:spacing w:after="0" w:line="240" w:lineRule="auto"/>
              <w:jc w:val="right"/>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1.996.093</w:t>
            </w:r>
          </w:p>
        </w:tc>
      </w:tr>
      <w:tr w:rsidR="00AC48BD" w:rsidRPr="00D63DBF" w:rsidTr="00C52E14">
        <w:trPr>
          <w:trHeight w:val="245"/>
        </w:trPr>
        <w:tc>
          <w:tcPr>
            <w:tcW w:w="2535" w:type="dxa"/>
            <w:shd w:val="clear" w:color="auto" w:fill="auto"/>
            <w:noWrap/>
            <w:vAlign w:val="bottom"/>
            <w:hideMark/>
          </w:tcPr>
          <w:p w:rsidR="00AC48BD" w:rsidRPr="00D63DBF" w:rsidRDefault="00AC48BD" w:rsidP="0015719C">
            <w:pPr>
              <w:spacing w:after="0" w:line="240" w:lineRule="auto"/>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Violación (incluye tentativas)</w:t>
            </w:r>
          </w:p>
        </w:tc>
        <w:tc>
          <w:tcPr>
            <w:tcW w:w="1620" w:type="dxa"/>
            <w:shd w:val="clear" w:color="auto" w:fill="auto"/>
            <w:noWrap/>
            <w:vAlign w:val="bottom"/>
            <w:hideMark/>
          </w:tcPr>
          <w:p w:rsidR="00AC48BD" w:rsidRPr="00D63DBF" w:rsidRDefault="00AC48BD" w:rsidP="00AC48BD">
            <w:pPr>
              <w:spacing w:after="0" w:line="240" w:lineRule="auto"/>
              <w:jc w:val="center"/>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0,56</w:t>
            </w:r>
          </w:p>
        </w:tc>
        <w:tc>
          <w:tcPr>
            <w:tcW w:w="990" w:type="dxa"/>
            <w:shd w:val="clear" w:color="auto" w:fill="auto"/>
            <w:noWrap/>
            <w:vAlign w:val="bottom"/>
            <w:hideMark/>
          </w:tcPr>
          <w:p w:rsidR="00AC48BD" w:rsidRPr="00D63DBF" w:rsidRDefault="00AC48BD" w:rsidP="00AC48BD">
            <w:pPr>
              <w:spacing w:after="0" w:line="240" w:lineRule="auto"/>
              <w:jc w:val="center"/>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0,0315</w:t>
            </w:r>
          </w:p>
        </w:tc>
        <w:tc>
          <w:tcPr>
            <w:tcW w:w="1170" w:type="dxa"/>
            <w:shd w:val="clear" w:color="auto" w:fill="auto"/>
            <w:noWrap/>
            <w:vAlign w:val="bottom"/>
            <w:hideMark/>
          </w:tcPr>
          <w:p w:rsidR="00AC48BD" w:rsidRPr="00D63DBF" w:rsidRDefault="00AC48BD" w:rsidP="0039425D">
            <w:pPr>
              <w:spacing w:after="0" w:line="240" w:lineRule="auto"/>
              <w:jc w:val="right"/>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7.600</w:t>
            </w:r>
          </w:p>
        </w:tc>
        <w:tc>
          <w:tcPr>
            <w:tcW w:w="990" w:type="dxa"/>
            <w:shd w:val="clear" w:color="auto" w:fill="auto"/>
            <w:noWrap/>
            <w:vAlign w:val="bottom"/>
            <w:hideMark/>
          </w:tcPr>
          <w:p w:rsidR="00AC48BD" w:rsidRPr="00D63DBF" w:rsidRDefault="00AC48BD" w:rsidP="0039425D">
            <w:pPr>
              <w:spacing w:after="0" w:line="240" w:lineRule="auto"/>
              <w:jc w:val="right"/>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311</w:t>
            </w:r>
          </w:p>
        </w:tc>
        <w:tc>
          <w:tcPr>
            <w:tcW w:w="1170" w:type="dxa"/>
            <w:shd w:val="clear" w:color="auto" w:fill="auto"/>
            <w:noWrap/>
            <w:vAlign w:val="bottom"/>
            <w:hideMark/>
          </w:tcPr>
          <w:p w:rsidR="00AC48BD" w:rsidRPr="00D63DBF" w:rsidRDefault="00AC48BD" w:rsidP="0039425D">
            <w:pPr>
              <w:spacing w:after="0" w:line="240" w:lineRule="auto"/>
              <w:jc w:val="right"/>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2.363.603</w:t>
            </w:r>
          </w:p>
        </w:tc>
      </w:tr>
      <w:tr w:rsidR="00AC48BD" w:rsidRPr="00D63DBF" w:rsidTr="00C52E14">
        <w:trPr>
          <w:trHeight w:val="245"/>
        </w:trPr>
        <w:tc>
          <w:tcPr>
            <w:tcW w:w="2535" w:type="dxa"/>
            <w:shd w:val="clear" w:color="auto" w:fill="auto"/>
            <w:noWrap/>
            <w:vAlign w:val="bottom"/>
            <w:hideMark/>
          </w:tcPr>
          <w:p w:rsidR="00AC48BD" w:rsidRPr="00D63DBF" w:rsidRDefault="00AC48BD" w:rsidP="0015719C">
            <w:pPr>
              <w:spacing w:after="0" w:line="240" w:lineRule="auto"/>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Tentativa homicid</w:t>
            </w:r>
            <w:r w:rsidR="00A942CB" w:rsidRPr="00D63DBF">
              <w:rPr>
                <w:rFonts w:ascii="Calibri" w:eastAsia="Times New Roman" w:hAnsi="Calibri" w:cs="Times New Roman"/>
                <w:color w:val="000000"/>
                <w:sz w:val="20"/>
                <w:szCs w:val="20"/>
                <w:lang w:val="es-ES" w:eastAsia="es-ES"/>
              </w:rPr>
              <w:t>i</w:t>
            </w:r>
            <w:r w:rsidRPr="00D63DBF">
              <w:rPr>
                <w:rFonts w:ascii="Calibri" w:eastAsia="Times New Roman" w:hAnsi="Calibri" w:cs="Times New Roman"/>
                <w:color w:val="000000"/>
                <w:sz w:val="20"/>
                <w:szCs w:val="20"/>
                <w:lang w:val="es-ES" w:eastAsia="es-ES"/>
              </w:rPr>
              <w:t>o</w:t>
            </w:r>
          </w:p>
        </w:tc>
        <w:tc>
          <w:tcPr>
            <w:tcW w:w="1620" w:type="dxa"/>
            <w:shd w:val="clear" w:color="auto" w:fill="auto"/>
            <w:noWrap/>
            <w:vAlign w:val="bottom"/>
            <w:hideMark/>
          </w:tcPr>
          <w:p w:rsidR="00AC48BD" w:rsidRPr="00D63DBF" w:rsidRDefault="00AC48BD" w:rsidP="00AC48BD">
            <w:pPr>
              <w:spacing w:after="0" w:line="240" w:lineRule="auto"/>
              <w:jc w:val="center"/>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0,56</w:t>
            </w:r>
          </w:p>
        </w:tc>
        <w:tc>
          <w:tcPr>
            <w:tcW w:w="990" w:type="dxa"/>
            <w:shd w:val="clear" w:color="auto" w:fill="auto"/>
            <w:noWrap/>
            <w:vAlign w:val="bottom"/>
            <w:hideMark/>
          </w:tcPr>
          <w:p w:rsidR="00AC48BD" w:rsidRPr="00D63DBF" w:rsidRDefault="00AC48BD" w:rsidP="00AC48BD">
            <w:pPr>
              <w:spacing w:after="0" w:line="240" w:lineRule="auto"/>
              <w:jc w:val="center"/>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0,0315</w:t>
            </w:r>
          </w:p>
        </w:tc>
        <w:tc>
          <w:tcPr>
            <w:tcW w:w="1170" w:type="dxa"/>
            <w:shd w:val="clear" w:color="auto" w:fill="auto"/>
            <w:noWrap/>
            <w:vAlign w:val="bottom"/>
            <w:hideMark/>
          </w:tcPr>
          <w:p w:rsidR="00AC48BD" w:rsidRPr="00D63DBF" w:rsidRDefault="00AC48BD" w:rsidP="0039425D">
            <w:pPr>
              <w:spacing w:after="0" w:line="240" w:lineRule="auto"/>
              <w:jc w:val="right"/>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7.600</w:t>
            </w:r>
          </w:p>
        </w:tc>
        <w:tc>
          <w:tcPr>
            <w:tcW w:w="990" w:type="dxa"/>
            <w:shd w:val="clear" w:color="auto" w:fill="auto"/>
            <w:noWrap/>
            <w:vAlign w:val="bottom"/>
            <w:hideMark/>
          </w:tcPr>
          <w:p w:rsidR="00AC48BD" w:rsidRPr="00D63DBF" w:rsidRDefault="00AC48BD" w:rsidP="0039425D">
            <w:pPr>
              <w:spacing w:after="0" w:line="240" w:lineRule="auto"/>
              <w:jc w:val="right"/>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105</w:t>
            </w:r>
          </w:p>
        </w:tc>
        <w:tc>
          <w:tcPr>
            <w:tcW w:w="1170" w:type="dxa"/>
            <w:shd w:val="clear" w:color="auto" w:fill="auto"/>
            <w:noWrap/>
            <w:vAlign w:val="bottom"/>
            <w:hideMark/>
          </w:tcPr>
          <w:p w:rsidR="00AC48BD" w:rsidRPr="00D63DBF" w:rsidRDefault="00AC48BD" w:rsidP="0039425D">
            <w:pPr>
              <w:spacing w:after="0" w:line="240" w:lineRule="auto"/>
              <w:jc w:val="right"/>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798.001</w:t>
            </w:r>
          </w:p>
        </w:tc>
      </w:tr>
      <w:tr w:rsidR="00AC48BD" w:rsidRPr="00D63DBF" w:rsidTr="00C52E14">
        <w:trPr>
          <w:trHeight w:val="245"/>
        </w:trPr>
        <w:tc>
          <w:tcPr>
            <w:tcW w:w="2535" w:type="dxa"/>
            <w:shd w:val="clear" w:color="auto" w:fill="auto"/>
            <w:noWrap/>
            <w:vAlign w:val="bottom"/>
            <w:hideMark/>
          </w:tcPr>
          <w:p w:rsidR="00AC48BD" w:rsidRPr="00D63DBF" w:rsidRDefault="00C15C11" w:rsidP="0015719C">
            <w:pPr>
              <w:spacing w:after="0" w:line="240" w:lineRule="auto"/>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Otro</w:t>
            </w:r>
            <w:r w:rsidR="00AC48BD" w:rsidRPr="00D63DBF">
              <w:rPr>
                <w:rFonts w:ascii="Calibri" w:eastAsia="Times New Roman" w:hAnsi="Calibri" w:cs="Times New Roman"/>
                <w:color w:val="000000"/>
                <w:sz w:val="20"/>
                <w:szCs w:val="20"/>
                <w:lang w:val="es-ES" w:eastAsia="es-ES"/>
              </w:rPr>
              <w:t xml:space="preserve"> sexual</w:t>
            </w:r>
          </w:p>
        </w:tc>
        <w:tc>
          <w:tcPr>
            <w:tcW w:w="1620" w:type="dxa"/>
            <w:shd w:val="clear" w:color="auto" w:fill="auto"/>
            <w:noWrap/>
            <w:vAlign w:val="bottom"/>
            <w:hideMark/>
          </w:tcPr>
          <w:p w:rsidR="00AC48BD" w:rsidRPr="00D63DBF" w:rsidRDefault="00AC48BD" w:rsidP="00AC48BD">
            <w:pPr>
              <w:spacing w:after="0" w:line="240" w:lineRule="auto"/>
              <w:jc w:val="center"/>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0,16</w:t>
            </w:r>
          </w:p>
        </w:tc>
        <w:tc>
          <w:tcPr>
            <w:tcW w:w="990" w:type="dxa"/>
            <w:shd w:val="clear" w:color="auto" w:fill="auto"/>
            <w:noWrap/>
            <w:vAlign w:val="bottom"/>
            <w:hideMark/>
          </w:tcPr>
          <w:p w:rsidR="00AC48BD" w:rsidRPr="00D63DBF" w:rsidRDefault="00AC48BD" w:rsidP="00AC48BD">
            <w:pPr>
              <w:spacing w:after="0" w:line="240" w:lineRule="auto"/>
              <w:jc w:val="center"/>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0,0090</w:t>
            </w:r>
          </w:p>
        </w:tc>
        <w:tc>
          <w:tcPr>
            <w:tcW w:w="1170" w:type="dxa"/>
            <w:shd w:val="clear" w:color="auto" w:fill="auto"/>
            <w:noWrap/>
            <w:vAlign w:val="bottom"/>
            <w:hideMark/>
          </w:tcPr>
          <w:p w:rsidR="00AC48BD" w:rsidRPr="00D63DBF" w:rsidRDefault="00AC48BD" w:rsidP="0039425D">
            <w:pPr>
              <w:spacing w:after="0" w:line="240" w:lineRule="auto"/>
              <w:jc w:val="right"/>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2.16</w:t>
            </w:r>
            <w:r w:rsidR="0039425D" w:rsidRPr="00D63DBF">
              <w:rPr>
                <w:rFonts w:ascii="Calibri" w:eastAsia="Times New Roman" w:hAnsi="Calibri" w:cs="Times New Roman"/>
                <w:color w:val="000000"/>
                <w:sz w:val="20"/>
                <w:szCs w:val="20"/>
                <w:lang w:val="es-ES" w:eastAsia="es-ES"/>
              </w:rPr>
              <w:t>8</w:t>
            </w:r>
          </w:p>
        </w:tc>
        <w:tc>
          <w:tcPr>
            <w:tcW w:w="990" w:type="dxa"/>
            <w:shd w:val="clear" w:color="auto" w:fill="auto"/>
            <w:noWrap/>
            <w:vAlign w:val="bottom"/>
            <w:hideMark/>
          </w:tcPr>
          <w:p w:rsidR="00AC48BD" w:rsidRPr="00D63DBF" w:rsidRDefault="00AC48BD" w:rsidP="0039425D">
            <w:pPr>
              <w:spacing w:after="0" w:line="240" w:lineRule="auto"/>
              <w:jc w:val="right"/>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804</w:t>
            </w:r>
          </w:p>
        </w:tc>
        <w:tc>
          <w:tcPr>
            <w:tcW w:w="1170" w:type="dxa"/>
            <w:shd w:val="clear" w:color="auto" w:fill="auto"/>
            <w:noWrap/>
            <w:vAlign w:val="bottom"/>
            <w:hideMark/>
          </w:tcPr>
          <w:p w:rsidR="00AC48BD" w:rsidRPr="00D63DBF" w:rsidRDefault="00AC48BD" w:rsidP="0039425D">
            <w:pPr>
              <w:spacing w:after="0" w:line="240" w:lineRule="auto"/>
              <w:jc w:val="right"/>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1.742.719</w:t>
            </w:r>
          </w:p>
        </w:tc>
      </w:tr>
      <w:tr w:rsidR="00AC48BD" w:rsidRPr="00D63DBF" w:rsidTr="00C52E14">
        <w:trPr>
          <w:trHeight w:val="245"/>
        </w:trPr>
        <w:tc>
          <w:tcPr>
            <w:tcW w:w="2535" w:type="dxa"/>
            <w:shd w:val="clear" w:color="auto" w:fill="auto"/>
            <w:noWrap/>
            <w:vAlign w:val="bottom"/>
            <w:hideMark/>
          </w:tcPr>
          <w:p w:rsidR="00AC48BD" w:rsidRPr="00D63DBF" w:rsidRDefault="00C15C11" w:rsidP="0015719C">
            <w:pPr>
              <w:spacing w:after="0" w:line="240" w:lineRule="auto"/>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Rapiña</w:t>
            </w:r>
          </w:p>
        </w:tc>
        <w:tc>
          <w:tcPr>
            <w:tcW w:w="1620" w:type="dxa"/>
            <w:shd w:val="clear" w:color="auto" w:fill="auto"/>
            <w:noWrap/>
            <w:vAlign w:val="bottom"/>
            <w:hideMark/>
          </w:tcPr>
          <w:p w:rsidR="00AC48BD" w:rsidRPr="00D63DBF" w:rsidRDefault="00AC48BD" w:rsidP="00AC48BD">
            <w:pPr>
              <w:spacing w:after="0" w:line="240" w:lineRule="auto"/>
              <w:jc w:val="center"/>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0,03</w:t>
            </w:r>
          </w:p>
        </w:tc>
        <w:tc>
          <w:tcPr>
            <w:tcW w:w="990" w:type="dxa"/>
            <w:shd w:val="clear" w:color="auto" w:fill="auto"/>
            <w:noWrap/>
            <w:vAlign w:val="bottom"/>
            <w:hideMark/>
          </w:tcPr>
          <w:p w:rsidR="00AC48BD" w:rsidRPr="00D63DBF" w:rsidRDefault="00AC48BD" w:rsidP="00AC48BD">
            <w:pPr>
              <w:spacing w:after="0" w:line="240" w:lineRule="auto"/>
              <w:jc w:val="center"/>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0,0016</w:t>
            </w:r>
          </w:p>
        </w:tc>
        <w:tc>
          <w:tcPr>
            <w:tcW w:w="1170" w:type="dxa"/>
            <w:shd w:val="clear" w:color="auto" w:fill="auto"/>
            <w:noWrap/>
            <w:vAlign w:val="bottom"/>
            <w:hideMark/>
          </w:tcPr>
          <w:p w:rsidR="00AC48BD" w:rsidRPr="00D63DBF" w:rsidRDefault="00AC48BD" w:rsidP="0039425D">
            <w:pPr>
              <w:spacing w:after="0" w:line="240" w:lineRule="auto"/>
              <w:jc w:val="right"/>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379</w:t>
            </w:r>
          </w:p>
        </w:tc>
        <w:tc>
          <w:tcPr>
            <w:tcW w:w="990" w:type="dxa"/>
            <w:shd w:val="clear" w:color="auto" w:fill="auto"/>
            <w:noWrap/>
            <w:vAlign w:val="bottom"/>
            <w:hideMark/>
          </w:tcPr>
          <w:p w:rsidR="00AC48BD" w:rsidRPr="00D63DBF" w:rsidRDefault="00AC48BD" w:rsidP="0039425D">
            <w:pPr>
              <w:spacing w:after="0" w:line="240" w:lineRule="auto"/>
              <w:jc w:val="right"/>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15.088</w:t>
            </w:r>
          </w:p>
        </w:tc>
        <w:tc>
          <w:tcPr>
            <w:tcW w:w="1170" w:type="dxa"/>
            <w:shd w:val="clear" w:color="auto" w:fill="auto"/>
            <w:noWrap/>
            <w:vAlign w:val="bottom"/>
            <w:hideMark/>
          </w:tcPr>
          <w:p w:rsidR="00AC48BD" w:rsidRPr="00D63DBF" w:rsidRDefault="00AC48BD" w:rsidP="0039425D">
            <w:pPr>
              <w:spacing w:after="0" w:line="240" w:lineRule="auto"/>
              <w:jc w:val="right"/>
              <w:rPr>
                <w:rFonts w:ascii="Calibri" w:eastAsia="Times New Roman" w:hAnsi="Calibri" w:cs="Times New Roman"/>
                <w:color w:val="000000"/>
                <w:sz w:val="20"/>
                <w:szCs w:val="20"/>
                <w:lang w:val="es-ES" w:eastAsia="es-ES"/>
              </w:rPr>
            </w:pPr>
            <w:r w:rsidRPr="00D63DBF">
              <w:rPr>
                <w:rFonts w:ascii="Calibri" w:eastAsia="Times New Roman" w:hAnsi="Calibri" w:cs="Times New Roman"/>
                <w:color w:val="000000"/>
                <w:sz w:val="20"/>
                <w:szCs w:val="20"/>
                <w:lang w:val="es-ES" w:eastAsia="es-ES"/>
              </w:rPr>
              <w:t>5.723.228</w:t>
            </w:r>
          </w:p>
        </w:tc>
      </w:tr>
      <w:tr w:rsidR="00AC48BD" w:rsidRPr="00D63DBF" w:rsidTr="00C52E14">
        <w:trPr>
          <w:trHeight w:val="245"/>
        </w:trPr>
        <w:tc>
          <w:tcPr>
            <w:tcW w:w="2535" w:type="dxa"/>
            <w:shd w:val="clear" w:color="auto" w:fill="auto"/>
            <w:noWrap/>
            <w:vAlign w:val="bottom"/>
            <w:hideMark/>
          </w:tcPr>
          <w:p w:rsidR="00AC48BD" w:rsidRPr="00D63DBF" w:rsidRDefault="0039425D" w:rsidP="0039425D">
            <w:pPr>
              <w:spacing w:after="0" w:line="240" w:lineRule="auto"/>
              <w:rPr>
                <w:rFonts w:ascii="Calibri" w:eastAsia="Times New Roman" w:hAnsi="Calibri" w:cs="Times New Roman"/>
                <w:b/>
                <w:sz w:val="20"/>
                <w:szCs w:val="20"/>
                <w:lang w:val="es-ES" w:eastAsia="es-ES"/>
              </w:rPr>
            </w:pPr>
            <w:r w:rsidRPr="00D63DBF">
              <w:rPr>
                <w:rFonts w:ascii="Calibri" w:eastAsia="Times New Roman" w:hAnsi="Calibri" w:cs="Times New Roman"/>
                <w:b/>
                <w:sz w:val="20"/>
                <w:szCs w:val="20"/>
                <w:lang w:val="es-ES" w:eastAsia="es-ES"/>
              </w:rPr>
              <w:t>Total (USD)</w:t>
            </w:r>
          </w:p>
        </w:tc>
        <w:tc>
          <w:tcPr>
            <w:tcW w:w="1620" w:type="dxa"/>
            <w:shd w:val="clear" w:color="auto" w:fill="auto"/>
            <w:noWrap/>
            <w:vAlign w:val="bottom"/>
            <w:hideMark/>
          </w:tcPr>
          <w:p w:rsidR="00AC48BD" w:rsidRPr="00D63DBF" w:rsidRDefault="00AC48BD" w:rsidP="00AC48BD">
            <w:pPr>
              <w:spacing w:after="0" w:line="240" w:lineRule="auto"/>
              <w:jc w:val="center"/>
              <w:rPr>
                <w:rFonts w:ascii="Calibri" w:eastAsia="Times New Roman" w:hAnsi="Calibri" w:cs="Times New Roman"/>
                <w:b/>
                <w:sz w:val="20"/>
                <w:szCs w:val="20"/>
                <w:lang w:val="es-ES" w:eastAsia="es-ES"/>
              </w:rPr>
            </w:pPr>
          </w:p>
        </w:tc>
        <w:tc>
          <w:tcPr>
            <w:tcW w:w="990" w:type="dxa"/>
            <w:shd w:val="clear" w:color="auto" w:fill="auto"/>
            <w:noWrap/>
            <w:vAlign w:val="bottom"/>
            <w:hideMark/>
          </w:tcPr>
          <w:p w:rsidR="00AC48BD" w:rsidRPr="00D63DBF" w:rsidRDefault="00AC48BD" w:rsidP="00AC48BD">
            <w:pPr>
              <w:spacing w:after="0" w:line="240" w:lineRule="auto"/>
              <w:jc w:val="center"/>
              <w:rPr>
                <w:rFonts w:ascii="Calibri" w:eastAsia="Times New Roman" w:hAnsi="Calibri" w:cs="Times New Roman"/>
                <w:b/>
                <w:sz w:val="20"/>
                <w:szCs w:val="20"/>
                <w:lang w:val="es-ES" w:eastAsia="es-ES"/>
              </w:rPr>
            </w:pPr>
          </w:p>
        </w:tc>
        <w:tc>
          <w:tcPr>
            <w:tcW w:w="1170" w:type="dxa"/>
            <w:shd w:val="clear" w:color="auto" w:fill="auto"/>
            <w:noWrap/>
            <w:vAlign w:val="bottom"/>
            <w:hideMark/>
          </w:tcPr>
          <w:p w:rsidR="00AC48BD" w:rsidRPr="00D63DBF" w:rsidRDefault="00AC48BD" w:rsidP="00AC48BD">
            <w:pPr>
              <w:spacing w:after="0" w:line="240" w:lineRule="auto"/>
              <w:jc w:val="center"/>
              <w:rPr>
                <w:rFonts w:ascii="Calibri" w:eastAsia="Times New Roman" w:hAnsi="Calibri" w:cs="Times New Roman"/>
                <w:b/>
                <w:sz w:val="20"/>
                <w:szCs w:val="20"/>
                <w:lang w:val="es-ES" w:eastAsia="es-ES"/>
              </w:rPr>
            </w:pPr>
          </w:p>
        </w:tc>
        <w:tc>
          <w:tcPr>
            <w:tcW w:w="990" w:type="dxa"/>
            <w:shd w:val="clear" w:color="auto" w:fill="auto"/>
            <w:noWrap/>
            <w:vAlign w:val="bottom"/>
            <w:hideMark/>
          </w:tcPr>
          <w:p w:rsidR="00AC48BD" w:rsidRPr="00D63DBF" w:rsidRDefault="00AC48BD" w:rsidP="00AC48BD">
            <w:pPr>
              <w:spacing w:after="0" w:line="240" w:lineRule="auto"/>
              <w:jc w:val="center"/>
              <w:rPr>
                <w:rFonts w:ascii="Calibri" w:eastAsia="Times New Roman" w:hAnsi="Calibri" w:cs="Times New Roman"/>
                <w:b/>
                <w:sz w:val="20"/>
                <w:szCs w:val="20"/>
                <w:lang w:val="es-ES" w:eastAsia="es-ES"/>
              </w:rPr>
            </w:pPr>
          </w:p>
        </w:tc>
        <w:tc>
          <w:tcPr>
            <w:tcW w:w="1170" w:type="dxa"/>
            <w:shd w:val="clear" w:color="auto" w:fill="auto"/>
            <w:noWrap/>
            <w:vAlign w:val="bottom"/>
            <w:hideMark/>
          </w:tcPr>
          <w:p w:rsidR="00AC48BD" w:rsidRPr="00D63DBF" w:rsidRDefault="00AC48BD" w:rsidP="0039425D">
            <w:pPr>
              <w:spacing w:after="0" w:line="240" w:lineRule="auto"/>
              <w:jc w:val="right"/>
              <w:rPr>
                <w:rFonts w:ascii="Calibri" w:eastAsia="Times New Roman" w:hAnsi="Calibri" w:cs="Times New Roman"/>
                <w:b/>
                <w:sz w:val="20"/>
                <w:szCs w:val="20"/>
                <w:lang w:val="es-ES" w:eastAsia="es-ES"/>
              </w:rPr>
            </w:pPr>
            <w:r w:rsidRPr="00D63DBF">
              <w:rPr>
                <w:rFonts w:ascii="Calibri" w:eastAsia="Times New Roman" w:hAnsi="Calibri" w:cs="Times New Roman"/>
                <w:b/>
                <w:sz w:val="20"/>
                <w:szCs w:val="20"/>
                <w:lang w:val="es-ES" w:eastAsia="es-ES"/>
              </w:rPr>
              <w:t>67.298.326</w:t>
            </w:r>
          </w:p>
        </w:tc>
      </w:tr>
      <w:tr w:rsidR="00AC48BD" w:rsidRPr="00631A7F" w:rsidTr="00C52E14">
        <w:trPr>
          <w:trHeight w:val="258"/>
        </w:trPr>
        <w:tc>
          <w:tcPr>
            <w:tcW w:w="2535" w:type="dxa"/>
            <w:tcBorders>
              <w:bottom w:val="single" w:sz="4" w:space="0" w:color="auto"/>
            </w:tcBorders>
            <w:shd w:val="clear" w:color="auto" w:fill="auto"/>
            <w:noWrap/>
            <w:vAlign w:val="bottom"/>
            <w:hideMark/>
          </w:tcPr>
          <w:p w:rsidR="00AC48BD" w:rsidRPr="00D63DBF" w:rsidRDefault="0039425D" w:rsidP="0039425D">
            <w:pPr>
              <w:spacing w:after="0" w:line="240" w:lineRule="auto"/>
              <w:rPr>
                <w:rFonts w:ascii="Calibri" w:eastAsia="Times New Roman" w:hAnsi="Calibri" w:cs="Times New Roman"/>
                <w:b/>
                <w:sz w:val="20"/>
                <w:szCs w:val="20"/>
                <w:lang w:val="es-ES" w:eastAsia="es-ES"/>
              </w:rPr>
            </w:pPr>
            <w:r w:rsidRPr="00D63DBF">
              <w:rPr>
                <w:rFonts w:ascii="Calibri" w:eastAsia="Times New Roman" w:hAnsi="Calibri" w:cs="Times New Roman"/>
                <w:b/>
                <w:sz w:val="20"/>
                <w:szCs w:val="20"/>
                <w:lang w:val="es-ES" w:eastAsia="es-ES"/>
              </w:rPr>
              <w:t>Total (</w:t>
            </w:r>
            <w:r w:rsidR="00AC48BD" w:rsidRPr="00D63DBF">
              <w:rPr>
                <w:rFonts w:ascii="Calibri" w:eastAsia="Times New Roman" w:hAnsi="Calibri" w:cs="Times New Roman"/>
                <w:b/>
                <w:sz w:val="20"/>
                <w:szCs w:val="20"/>
                <w:lang w:val="es-ES" w:eastAsia="es-ES"/>
              </w:rPr>
              <w:t>% PIB</w:t>
            </w:r>
            <w:r w:rsidRPr="00D63DBF">
              <w:rPr>
                <w:rFonts w:ascii="Calibri" w:eastAsia="Times New Roman" w:hAnsi="Calibri" w:cs="Times New Roman"/>
                <w:b/>
                <w:sz w:val="20"/>
                <w:szCs w:val="20"/>
                <w:lang w:val="es-ES" w:eastAsia="es-ES"/>
              </w:rPr>
              <w:t>)</w:t>
            </w:r>
          </w:p>
        </w:tc>
        <w:tc>
          <w:tcPr>
            <w:tcW w:w="1620" w:type="dxa"/>
            <w:tcBorders>
              <w:bottom w:val="single" w:sz="4" w:space="0" w:color="auto"/>
            </w:tcBorders>
            <w:shd w:val="clear" w:color="auto" w:fill="auto"/>
            <w:noWrap/>
            <w:vAlign w:val="bottom"/>
            <w:hideMark/>
          </w:tcPr>
          <w:p w:rsidR="00AC48BD" w:rsidRPr="00D63DBF" w:rsidRDefault="00AC48BD" w:rsidP="00AC48BD">
            <w:pPr>
              <w:spacing w:after="0" w:line="240" w:lineRule="auto"/>
              <w:jc w:val="center"/>
              <w:rPr>
                <w:rFonts w:ascii="Arial" w:eastAsia="Times New Roman" w:hAnsi="Arial" w:cs="Arial"/>
                <w:b/>
                <w:sz w:val="20"/>
                <w:szCs w:val="20"/>
                <w:lang w:val="es-ES" w:eastAsia="es-ES"/>
              </w:rPr>
            </w:pPr>
            <w:r w:rsidRPr="00D63DBF">
              <w:rPr>
                <w:rFonts w:ascii="Arial" w:eastAsia="Times New Roman" w:hAnsi="Arial" w:cs="Arial"/>
                <w:b/>
                <w:sz w:val="20"/>
                <w:szCs w:val="20"/>
                <w:lang w:val="es-ES" w:eastAsia="es-ES"/>
              </w:rPr>
              <w:t> </w:t>
            </w:r>
          </w:p>
        </w:tc>
        <w:tc>
          <w:tcPr>
            <w:tcW w:w="990" w:type="dxa"/>
            <w:tcBorders>
              <w:bottom w:val="single" w:sz="4" w:space="0" w:color="auto"/>
            </w:tcBorders>
            <w:shd w:val="clear" w:color="auto" w:fill="auto"/>
            <w:noWrap/>
            <w:vAlign w:val="bottom"/>
            <w:hideMark/>
          </w:tcPr>
          <w:p w:rsidR="00AC48BD" w:rsidRPr="00D63DBF" w:rsidRDefault="00AC48BD" w:rsidP="00AC48BD">
            <w:pPr>
              <w:spacing w:after="0" w:line="240" w:lineRule="auto"/>
              <w:jc w:val="center"/>
              <w:rPr>
                <w:rFonts w:ascii="Calibri" w:eastAsia="Times New Roman" w:hAnsi="Calibri" w:cs="Times New Roman"/>
                <w:b/>
                <w:sz w:val="20"/>
                <w:szCs w:val="20"/>
                <w:lang w:val="es-ES" w:eastAsia="es-ES"/>
              </w:rPr>
            </w:pPr>
            <w:r w:rsidRPr="00D63DBF">
              <w:rPr>
                <w:rFonts w:ascii="Calibri" w:eastAsia="Times New Roman" w:hAnsi="Calibri" w:cs="Times New Roman"/>
                <w:b/>
                <w:sz w:val="20"/>
                <w:szCs w:val="20"/>
                <w:lang w:val="es-ES" w:eastAsia="es-ES"/>
              </w:rPr>
              <w:t> </w:t>
            </w:r>
          </w:p>
        </w:tc>
        <w:tc>
          <w:tcPr>
            <w:tcW w:w="1170" w:type="dxa"/>
            <w:tcBorders>
              <w:bottom w:val="single" w:sz="4" w:space="0" w:color="auto"/>
            </w:tcBorders>
            <w:shd w:val="clear" w:color="auto" w:fill="auto"/>
            <w:noWrap/>
            <w:vAlign w:val="bottom"/>
            <w:hideMark/>
          </w:tcPr>
          <w:p w:rsidR="00AC48BD" w:rsidRPr="00D63DBF" w:rsidRDefault="00AC48BD" w:rsidP="00AC48BD">
            <w:pPr>
              <w:spacing w:after="0" w:line="240" w:lineRule="auto"/>
              <w:jc w:val="center"/>
              <w:rPr>
                <w:rFonts w:ascii="Calibri" w:eastAsia="Times New Roman" w:hAnsi="Calibri" w:cs="Times New Roman"/>
                <w:b/>
                <w:sz w:val="20"/>
                <w:szCs w:val="20"/>
                <w:lang w:val="es-ES" w:eastAsia="es-ES"/>
              </w:rPr>
            </w:pPr>
            <w:r w:rsidRPr="00D63DBF">
              <w:rPr>
                <w:rFonts w:ascii="Calibri" w:eastAsia="Times New Roman" w:hAnsi="Calibri" w:cs="Times New Roman"/>
                <w:b/>
                <w:sz w:val="20"/>
                <w:szCs w:val="20"/>
                <w:lang w:val="es-ES" w:eastAsia="es-ES"/>
              </w:rPr>
              <w:t> </w:t>
            </w:r>
          </w:p>
        </w:tc>
        <w:tc>
          <w:tcPr>
            <w:tcW w:w="990" w:type="dxa"/>
            <w:tcBorders>
              <w:bottom w:val="single" w:sz="4" w:space="0" w:color="auto"/>
            </w:tcBorders>
            <w:shd w:val="clear" w:color="auto" w:fill="auto"/>
            <w:noWrap/>
            <w:vAlign w:val="bottom"/>
            <w:hideMark/>
          </w:tcPr>
          <w:p w:rsidR="00AC48BD" w:rsidRPr="00D63DBF" w:rsidRDefault="00AC48BD" w:rsidP="00AC48BD">
            <w:pPr>
              <w:spacing w:after="0" w:line="240" w:lineRule="auto"/>
              <w:rPr>
                <w:rFonts w:ascii="Calibri" w:eastAsia="Times New Roman" w:hAnsi="Calibri" w:cs="Times New Roman"/>
                <w:b/>
                <w:sz w:val="20"/>
                <w:szCs w:val="20"/>
                <w:lang w:val="es-ES" w:eastAsia="es-ES"/>
              </w:rPr>
            </w:pPr>
            <w:r w:rsidRPr="00D63DBF">
              <w:rPr>
                <w:rFonts w:ascii="Calibri" w:eastAsia="Times New Roman" w:hAnsi="Calibri" w:cs="Times New Roman"/>
                <w:b/>
                <w:sz w:val="20"/>
                <w:szCs w:val="20"/>
                <w:lang w:val="es-ES" w:eastAsia="es-ES"/>
              </w:rPr>
              <w:t> </w:t>
            </w:r>
          </w:p>
        </w:tc>
        <w:tc>
          <w:tcPr>
            <w:tcW w:w="1170" w:type="dxa"/>
            <w:tcBorders>
              <w:bottom w:val="single" w:sz="4" w:space="0" w:color="auto"/>
            </w:tcBorders>
            <w:shd w:val="clear" w:color="auto" w:fill="auto"/>
            <w:noWrap/>
            <w:vAlign w:val="bottom"/>
            <w:hideMark/>
          </w:tcPr>
          <w:p w:rsidR="00AC48BD" w:rsidRPr="00631A7F" w:rsidRDefault="00AC48BD" w:rsidP="00F70787">
            <w:pPr>
              <w:spacing w:after="0" w:line="240" w:lineRule="auto"/>
              <w:jc w:val="right"/>
              <w:rPr>
                <w:rFonts w:ascii="Calibri" w:eastAsia="Times New Roman" w:hAnsi="Calibri" w:cs="Times New Roman"/>
                <w:b/>
                <w:sz w:val="20"/>
                <w:szCs w:val="20"/>
                <w:lang w:val="es-ES" w:eastAsia="es-ES"/>
              </w:rPr>
            </w:pPr>
            <w:r w:rsidRPr="00D63DBF">
              <w:rPr>
                <w:rFonts w:ascii="Calibri" w:eastAsia="Times New Roman" w:hAnsi="Calibri" w:cs="Times New Roman"/>
                <w:b/>
                <w:sz w:val="20"/>
                <w:szCs w:val="20"/>
                <w:lang w:val="es-ES" w:eastAsia="es-ES"/>
              </w:rPr>
              <w:t>0,17</w:t>
            </w:r>
            <w:r w:rsidR="00B93FEE">
              <w:rPr>
                <w:rFonts w:ascii="Calibri" w:eastAsia="Times New Roman" w:hAnsi="Calibri" w:cs="Times New Roman"/>
                <w:b/>
                <w:sz w:val="20"/>
                <w:szCs w:val="20"/>
                <w:lang w:val="es-ES" w:eastAsia="es-ES"/>
              </w:rPr>
              <w:t>%</w:t>
            </w:r>
          </w:p>
        </w:tc>
      </w:tr>
    </w:tbl>
    <w:p w:rsidR="00022014" w:rsidRPr="00AC48BD" w:rsidRDefault="00AC48BD" w:rsidP="00022014">
      <w:pPr>
        <w:pStyle w:val="Default"/>
        <w:spacing w:after="120"/>
        <w:jc w:val="both"/>
        <w:rPr>
          <w:rFonts w:asciiTheme="minorHAnsi" w:hAnsiTheme="minorHAnsi"/>
          <w:sz w:val="20"/>
          <w:lang w:val="es-ES"/>
        </w:rPr>
      </w:pPr>
      <w:r w:rsidRPr="00AC48BD">
        <w:rPr>
          <w:rFonts w:asciiTheme="minorHAnsi" w:hAnsiTheme="minorHAnsi"/>
          <w:sz w:val="20"/>
          <w:lang w:val="es-ES"/>
        </w:rPr>
        <w:t xml:space="preserve">Notas: Debido a que las categorías de crimen proporcionadas por el Ministerio del Interior diferían de aquellas </w:t>
      </w:r>
      <w:r w:rsidR="00F70787">
        <w:rPr>
          <w:rFonts w:asciiTheme="minorHAnsi" w:hAnsiTheme="minorHAnsi"/>
          <w:sz w:val="20"/>
          <w:lang w:val="es-ES"/>
        </w:rPr>
        <w:t>presentadas en</w:t>
      </w:r>
      <w:r w:rsidRPr="00AC48BD">
        <w:rPr>
          <w:rFonts w:asciiTheme="minorHAnsi" w:hAnsiTheme="minorHAnsi"/>
          <w:sz w:val="20"/>
          <w:lang w:val="es-ES"/>
        </w:rPr>
        <w:t xml:space="preserve"> Dolan et al. (2005), ciertas clases fueron asimiladas a otras</w:t>
      </w:r>
      <w:r w:rsidR="00B84C4D">
        <w:rPr>
          <w:rFonts w:asciiTheme="minorHAnsi" w:hAnsiTheme="minorHAnsi"/>
          <w:sz w:val="20"/>
          <w:lang w:val="es-ES"/>
        </w:rPr>
        <w:t xml:space="preserve"> (a riesgo de cometer cierto grado de discrecionalidad en estas reasignaciones)</w:t>
      </w:r>
      <w:r w:rsidRPr="00AC48BD">
        <w:rPr>
          <w:rFonts w:asciiTheme="minorHAnsi" w:hAnsiTheme="minorHAnsi"/>
          <w:sz w:val="20"/>
          <w:lang w:val="es-ES"/>
        </w:rPr>
        <w:t xml:space="preserve">. </w:t>
      </w:r>
      <w:r w:rsidR="00C15C11">
        <w:rPr>
          <w:rFonts w:asciiTheme="minorHAnsi" w:hAnsiTheme="minorHAnsi"/>
          <w:sz w:val="20"/>
          <w:lang w:val="es-ES"/>
        </w:rPr>
        <w:t xml:space="preserve">Hurto fue asimilado a asalto común (según categoría de Dolan et al.), Otro sexual a asalto sexual, Rapiña a robo, </w:t>
      </w:r>
      <w:r>
        <w:rPr>
          <w:rFonts w:asciiTheme="minorHAnsi" w:hAnsiTheme="minorHAnsi"/>
          <w:sz w:val="20"/>
          <w:lang w:val="es-ES"/>
        </w:rPr>
        <w:t>Tentativa de homicid</w:t>
      </w:r>
      <w:r w:rsidR="00D0409C">
        <w:rPr>
          <w:rFonts w:asciiTheme="minorHAnsi" w:hAnsiTheme="minorHAnsi"/>
          <w:sz w:val="20"/>
          <w:lang w:val="es-ES"/>
        </w:rPr>
        <w:t>i</w:t>
      </w:r>
      <w:r>
        <w:rPr>
          <w:rFonts w:asciiTheme="minorHAnsi" w:hAnsiTheme="minorHAnsi"/>
          <w:sz w:val="20"/>
          <w:lang w:val="es-ES"/>
        </w:rPr>
        <w:t xml:space="preserve">o fue </w:t>
      </w:r>
      <w:r>
        <w:rPr>
          <w:rFonts w:asciiTheme="minorHAnsi" w:hAnsiTheme="minorHAnsi"/>
          <w:sz w:val="20"/>
          <w:lang w:val="es-ES"/>
        </w:rPr>
        <w:lastRenderedPageBreak/>
        <w:t>asimilada a violación, violencia doméstica a lesión severa, riñas y otros contra la persona se asociaron a lesiones leves y la categoría otros contra la propiedad se a</w:t>
      </w:r>
      <w:r w:rsidR="0039425D">
        <w:rPr>
          <w:rFonts w:asciiTheme="minorHAnsi" w:hAnsiTheme="minorHAnsi"/>
          <w:sz w:val="20"/>
          <w:lang w:val="es-ES"/>
        </w:rPr>
        <w:t>similó</w:t>
      </w:r>
      <w:r>
        <w:rPr>
          <w:rFonts w:asciiTheme="minorHAnsi" w:hAnsiTheme="minorHAnsi"/>
          <w:sz w:val="20"/>
          <w:lang w:val="es-ES"/>
        </w:rPr>
        <w:t xml:space="preserve"> a asalto común.</w:t>
      </w:r>
      <w:r w:rsidR="00B93FEE">
        <w:rPr>
          <w:rFonts w:asciiTheme="minorHAnsi" w:hAnsiTheme="minorHAnsi"/>
          <w:sz w:val="20"/>
          <w:lang w:val="es-ES"/>
        </w:rPr>
        <w:t xml:space="preserve"> </w:t>
      </w:r>
    </w:p>
    <w:p w:rsidR="00572733" w:rsidRPr="00D0409C" w:rsidRDefault="00572733" w:rsidP="00022014">
      <w:pPr>
        <w:pStyle w:val="Default"/>
        <w:jc w:val="both"/>
        <w:rPr>
          <w:rFonts w:asciiTheme="minorHAnsi" w:hAnsiTheme="minorHAnsi"/>
          <w:sz w:val="22"/>
          <w:lang w:val="es-ES"/>
        </w:rPr>
      </w:pPr>
    </w:p>
    <w:p w:rsidR="00032979" w:rsidRDefault="00022014" w:rsidP="006D1AAB">
      <w:pPr>
        <w:pStyle w:val="Default"/>
        <w:spacing w:line="276" w:lineRule="auto"/>
        <w:jc w:val="both"/>
        <w:rPr>
          <w:rFonts w:asciiTheme="minorHAnsi" w:hAnsiTheme="minorHAnsi"/>
          <w:sz w:val="22"/>
          <w:lang w:val="es-UY"/>
        </w:rPr>
      </w:pPr>
      <w:r w:rsidRPr="00022014">
        <w:rPr>
          <w:rFonts w:asciiTheme="minorHAnsi" w:hAnsiTheme="minorHAnsi"/>
          <w:sz w:val="22"/>
          <w:lang w:val="es-UY"/>
        </w:rPr>
        <w:t>Del cuadro anterior se desprende que el costo total por concepto de heridos por actos c</w:t>
      </w:r>
      <w:r w:rsidR="00572733">
        <w:rPr>
          <w:rFonts w:asciiTheme="minorHAnsi" w:hAnsiTheme="minorHAnsi"/>
          <w:sz w:val="22"/>
          <w:lang w:val="es-UY"/>
        </w:rPr>
        <w:t xml:space="preserve">riminales o violentos es del </w:t>
      </w:r>
      <w:r w:rsidR="004C1B8D">
        <w:rPr>
          <w:rFonts w:asciiTheme="minorHAnsi" w:hAnsiTheme="minorHAnsi"/>
          <w:sz w:val="22"/>
          <w:lang w:val="es-UY"/>
        </w:rPr>
        <w:t>USD</w:t>
      </w:r>
      <w:r w:rsidRPr="00022014">
        <w:rPr>
          <w:rFonts w:asciiTheme="minorHAnsi" w:hAnsiTheme="minorHAnsi"/>
          <w:sz w:val="22"/>
          <w:lang w:val="es-UY"/>
        </w:rPr>
        <w:t xml:space="preserve"> 67.298.326, lo cual se corresponde con 0,17% del PIB </w:t>
      </w:r>
      <w:r w:rsidR="00C24AD4">
        <w:rPr>
          <w:rFonts w:asciiTheme="minorHAnsi" w:hAnsiTheme="minorHAnsi"/>
          <w:sz w:val="22"/>
          <w:lang w:val="es-UY"/>
        </w:rPr>
        <w:t>de Uruguay</w:t>
      </w:r>
      <w:r w:rsidRPr="00022014">
        <w:rPr>
          <w:rFonts w:asciiTheme="minorHAnsi" w:hAnsiTheme="minorHAnsi"/>
          <w:sz w:val="22"/>
          <w:lang w:val="es-UY"/>
        </w:rPr>
        <w:t xml:space="preserve"> en 2010.</w:t>
      </w:r>
    </w:p>
    <w:p w:rsidR="00022014" w:rsidRPr="00022014" w:rsidRDefault="00022014" w:rsidP="006D1AAB">
      <w:pPr>
        <w:pStyle w:val="Default"/>
        <w:spacing w:line="276" w:lineRule="auto"/>
        <w:jc w:val="both"/>
        <w:rPr>
          <w:rFonts w:asciiTheme="minorHAnsi" w:hAnsiTheme="minorHAnsi"/>
          <w:sz w:val="22"/>
          <w:lang w:val="es-UY"/>
        </w:rPr>
      </w:pPr>
      <w:r w:rsidRPr="00022014">
        <w:rPr>
          <w:rFonts w:asciiTheme="minorHAnsi" w:hAnsiTheme="minorHAnsi"/>
          <w:sz w:val="22"/>
          <w:lang w:val="es-UY"/>
        </w:rPr>
        <w:t xml:space="preserve"> </w:t>
      </w:r>
    </w:p>
    <w:p w:rsidR="00022014" w:rsidRPr="00022014" w:rsidRDefault="00572733" w:rsidP="006D1AAB">
      <w:pPr>
        <w:pStyle w:val="Default"/>
        <w:spacing w:after="120" w:line="276" w:lineRule="auto"/>
        <w:jc w:val="both"/>
        <w:rPr>
          <w:rFonts w:asciiTheme="minorHAnsi" w:hAnsiTheme="minorHAnsi"/>
          <w:sz w:val="22"/>
          <w:lang w:val="es-UY"/>
        </w:rPr>
      </w:pPr>
      <w:r>
        <w:rPr>
          <w:rFonts w:asciiTheme="minorHAnsi" w:hAnsiTheme="minorHAnsi"/>
          <w:sz w:val="22"/>
          <w:lang w:val="es-UY"/>
        </w:rPr>
        <w:t>A</w:t>
      </w:r>
      <w:r w:rsidR="00022014" w:rsidRPr="00022014">
        <w:rPr>
          <w:rFonts w:asciiTheme="minorHAnsi" w:hAnsiTheme="minorHAnsi"/>
          <w:sz w:val="22"/>
          <w:lang w:val="es-UY"/>
        </w:rPr>
        <w:t xml:space="preserve">quellos crímenes que ocasionan mayor pérdida QALY descontada son las violaciones y sus tentativas así como la tentativa de homicidio, que se asumió asimilable a las primeras. </w:t>
      </w:r>
      <w:r>
        <w:rPr>
          <w:rFonts w:asciiTheme="minorHAnsi" w:hAnsiTheme="minorHAnsi"/>
          <w:sz w:val="22"/>
          <w:lang w:val="es-UY"/>
        </w:rPr>
        <w:t xml:space="preserve">Por otra parte, </w:t>
      </w:r>
      <w:r w:rsidR="00022014" w:rsidRPr="00022014">
        <w:rPr>
          <w:rFonts w:asciiTheme="minorHAnsi" w:hAnsiTheme="minorHAnsi"/>
          <w:sz w:val="22"/>
          <w:lang w:val="es-UY"/>
        </w:rPr>
        <w:t xml:space="preserve">el </w:t>
      </w:r>
      <w:r>
        <w:rPr>
          <w:rFonts w:asciiTheme="minorHAnsi" w:hAnsiTheme="minorHAnsi"/>
          <w:sz w:val="22"/>
          <w:lang w:val="es-UY"/>
        </w:rPr>
        <w:t>delito</w:t>
      </w:r>
      <w:r w:rsidR="00022014" w:rsidRPr="00022014">
        <w:rPr>
          <w:rFonts w:asciiTheme="minorHAnsi" w:hAnsiTheme="minorHAnsi"/>
          <w:sz w:val="22"/>
          <w:lang w:val="es-UY"/>
        </w:rPr>
        <w:t xml:space="preserve"> que presenta una mayor incidencia anual para 2010 es el asalto común, de los cuales se registraron 101.352</w:t>
      </w:r>
      <w:r w:rsidR="0009718F">
        <w:rPr>
          <w:rFonts w:asciiTheme="minorHAnsi" w:hAnsiTheme="minorHAnsi"/>
          <w:sz w:val="22"/>
          <w:lang w:val="es-UY"/>
        </w:rPr>
        <w:t xml:space="preserve"> casos</w:t>
      </w:r>
      <w:r w:rsidR="00022014" w:rsidRPr="00022014">
        <w:rPr>
          <w:rFonts w:asciiTheme="minorHAnsi" w:hAnsiTheme="minorHAnsi"/>
          <w:sz w:val="22"/>
          <w:lang w:val="es-UY"/>
        </w:rPr>
        <w:t xml:space="preserve">. Sin embargo, su pérdida QALY descontada asociada es pequeña en relación a una muerte, por lo que su incidencia a nivel global no es de las más elevadas. </w:t>
      </w:r>
    </w:p>
    <w:p w:rsidR="00022014" w:rsidRPr="00022014" w:rsidRDefault="00572733" w:rsidP="006D1AAB">
      <w:pPr>
        <w:pStyle w:val="Default"/>
        <w:spacing w:after="120" w:line="276" w:lineRule="auto"/>
        <w:jc w:val="both"/>
        <w:rPr>
          <w:rFonts w:asciiTheme="minorHAnsi" w:hAnsiTheme="minorHAnsi"/>
          <w:sz w:val="22"/>
          <w:lang w:val="es-UY"/>
        </w:rPr>
      </w:pPr>
      <w:r>
        <w:rPr>
          <w:rFonts w:asciiTheme="minorHAnsi" w:hAnsiTheme="minorHAnsi"/>
          <w:sz w:val="22"/>
          <w:lang w:val="es-UY"/>
        </w:rPr>
        <w:t>L</w:t>
      </w:r>
      <w:r w:rsidR="00022014" w:rsidRPr="00022014">
        <w:rPr>
          <w:rFonts w:asciiTheme="minorHAnsi" w:hAnsiTheme="minorHAnsi"/>
          <w:sz w:val="22"/>
          <w:lang w:val="es-UY"/>
        </w:rPr>
        <w:t xml:space="preserve">as ofensas relacionadas a la violencia doméstica son aquellas que tienen la mayor contribución al costo total. Esto se debe a la combinación de un número elevado de hechos denunciados (15.277) y a una pérdida </w:t>
      </w:r>
      <w:r>
        <w:rPr>
          <w:rFonts w:asciiTheme="minorHAnsi" w:hAnsiTheme="minorHAnsi"/>
          <w:sz w:val="22"/>
          <w:lang w:val="es-UY"/>
        </w:rPr>
        <w:t xml:space="preserve">QALY </w:t>
      </w:r>
      <w:r w:rsidR="00022014" w:rsidRPr="00022014">
        <w:rPr>
          <w:rFonts w:asciiTheme="minorHAnsi" w:hAnsiTheme="minorHAnsi"/>
          <w:sz w:val="22"/>
          <w:lang w:val="es-UY"/>
        </w:rPr>
        <w:t>asociada de 0,19, la segunda más elevada, que se asimiló a aquella de una lesión severa. Cabe destacar también que es muy probable que el número de incidentes denunciados sea inferior al efectiv</w:t>
      </w:r>
      <w:r>
        <w:rPr>
          <w:rFonts w:asciiTheme="minorHAnsi" w:hAnsiTheme="minorHAnsi"/>
          <w:sz w:val="22"/>
          <w:lang w:val="es-UY"/>
        </w:rPr>
        <w:t>amente ocurrido, de manera que probablemente e</w:t>
      </w:r>
      <w:r w:rsidR="00022014" w:rsidRPr="00022014">
        <w:rPr>
          <w:rFonts w:asciiTheme="minorHAnsi" w:hAnsiTheme="minorHAnsi"/>
          <w:sz w:val="22"/>
          <w:lang w:val="es-UY"/>
        </w:rPr>
        <w:t xml:space="preserve">ste costo </w:t>
      </w:r>
      <w:r>
        <w:rPr>
          <w:rFonts w:asciiTheme="minorHAnsi" w:hAnsiTheme="minorHAnsi"/>
          <w:sz w:val="22"/>
          <w:lang w:val="es-UY"/>
        </w:rPr>
        <w:t>se encuentre subestimado</w:t>
      </w:r>
      <w:r w:rsidR="00022014" w:rsidRPr="00022014">
        <w:rPr>
          <w:rFonts w:asciiTheme="minorHAnsi" w:hAnsiTheme="minorHAnsi"/>
          <w:sz w:val="22"/>
          <w:lang w:val="es-UY"/>
        </w:rPr>
        <w:t>.</w:t>
      </w:r>
    </w:p>
    <w:p w:rsidR="00D45CCE" w:rsidRPr="00E721B4" w:rsidRDefault="00572733" w:rsidP="006D1AAB">
      <w:pPr>
        <w:spacing w:before="120"/>
        <w:jc w:val="both"/>
        <w:rPr>
          <w:sz w:val="20"/>
          <w:szCs w:val="20"/>
        </w:rPr>
      </w:pPr>
      <w:r>
        <w:t>C</w:t>
      </w:r>
      <w:r w:rsidR="00022014" w:rsidRPr="00022014">
        <w:t xml:space="preserve">abe resaltar que estas </w:t>
      </w:r>
      <w:r w:rsidR="008A4B8A">
        <w:t xml:space="preserve">cifras </w:t>
      </w:r>
      <w:r w:rsidR="003C6D03">
        <w:t xml:space="preserve">están basadas en denuncias, lo que introduce un sesgo hacia la subestimación del número </w:t>
      </w:r>
      <w:r w:rsidR="000245E9">
        <w:t xml:space="preserve">total </w:t>
      </w:r>
      <w:r w:rsidR="003C6D03">
        <w:t>de actos violentos, y por tanto, de los costos totales.</w:t>
      </w:r>
      <w:r w:rsidR="00D45CCE">
        <w:t xml:space="preserve"> </w:t>
      </w:r>
    </w:p>
    <w:p w:rsidR="00D45CCE" w:rsidRPr="00113579" w:rsidRDefault="00D45CCE" w:rsidP="00D45CCE">
      <w:pPr>
        <w:pStyle w:val="ListParagraph"/>
        <w:numPr>
          <w:ilvl w:val="1"/>
          <w:numId w:val="1"/>
        </w:numPr>
        <w:ind w:hanging="720"/>
        <w:rPr>
          <w:b/>
        </w:rPr>
      </w:pPr>
      <w:r w:rsidRPr="00113579">
        <w:rPr>
          <w:b/>
        </w:rPr>
        <w:t xml:space="preserve">Costo de oportunidad del tiempo en reclusión </w:t>
      </w:r>
      <w:r w:rsidR="00C35556">
        <w:rPr>
          <w:b/>
        </w:rPr>
        <w:t>(</w:t>
      </w:r>
      <w:r w:rsidR="00C35556" w:rsidRPr="00032979">
        <w:rPr>
          <w:rFonts w:ascii="Times New Roman" w:hAnsi="Times New Roman" w:cs="Times New Roman"/>
          <w:b/>
          <w:i/>
        </w:rPr>
        <w:t>u</w:t>
      </w:r>
      <w:r w:rsidR="00C35556">
        <w:rPr>
          <w:b/>
        </w:rPr>
        <w:t>)</w:t>
      </w:r>
    </w:p>
    <w:p w:rsidR="00D45CCE" w:rsidRDefault="00D45CCE" w:rsidP="00D45CCE">
      <w:pPr>
        <w:jc w:val="both"/>
      </w:pPr>
      <w:r w:rsidRPr="00695956">
        <w:t xml:space="preserve">La estimación de las pérdidas ocasionadas por la existencia de personas privadas de libertad se </w:t>
      </w:r>
      <w:r>
        <w:t>basó en</w:t>
      </w:r>
      <w:r w:rsidRPr="00695956">
        <w:t xml:space="preserve"> la noci</w:t>
      </w:r>
      <w:r>
        <w:t xml:space="preserve">ón de que dichas personas podrían destinar su tiempo a actividades productivas. Por tanto, el costo estimado representa el costo de oportunidad de la población encarcelada cuya fuerza de trabajo no puede ser empleada con fines productivos. Al respecto, cabe señalar que, dado que el interés del trabajo es computar costos vinculados a delitos acontecidos en el año 2010, las estimaciones refieren a personas que ingresaron al sistema carcelario en dicho año. </w:t>
      </w:r>
    </w:p>
    <w:p w:rsidR="00D45CCE" w:rsidRDefault="00D45CCE" w:rsidP="00D45CCE">
      <w:pPr>
        <w:jc w:val="both"/>
      </w:pPr>
      <w:r>
        <w:t>Para obtener la cifra en cuestión, se procedió en primera instancia a estimar una ecuación de ingresos usando un modelo de Heckman, de forma tal de corregir por la existencia de sesgos de selección en el caso de individuos que no trabajan. Los datos utilizados provienen de la Encuesta Continua de Hogares de 2010. Las variables incluidas en la ecuación de selección son el nivel educativo, la edad, el sexo, si tienen hijos, y el estado civil de los individuos. Las variables incluidas en la ecuación de ingresos son el nivel educativo, la edad, la edad al cuadrado y el sexo.</w:t>
      </w:r>
    </w:p>
    <w:tbl>
      <w:tblPr>
        <w:tblW w:w="10341" w:type="dxa"/>
        <w:tblInd w:w="-52" w:type="dxa"/>
        <w:tblLook w:val="04A0" w:firstRow="1" w:lastRow="0" w:firstColumn="1" w:lastColumn="0" w:noHBand="0" w:noVBand="1"/>
      </w:tblPr>
      <w:tblGrid>
        <w:gridCol w:w="147"/>
        <w:gridCol w:w="2848"/>
        <w:gridCol w:w="1843"/>
        <w:gridCol w:w="2410"/>
        <w:gridCol w:w="1756"/>
        <w:gridCol w:w="1337"/>
      </w:tblGrid>
      <w:tr w:rsidR="00D45CCE" w:rsidRPr="00E9526D" w:rsidTr="00325D79">
        <w:trPr>
          <w:gridBefore w:val="1"/>
          <w:gridAfter w:val="2"/>
          <w:wBefore w:w="147" w:type="dxa"/>
          <w:wAfter w:w="3093" w:type="dxa"/>
          <w:trHeight w:val="288"/>
        </w:trPr>
        <w:tc>
          <w:tcPr>
            <w:tcW w:w="7101" w:type="dxa"/>
            <w:gridSpan w:val="3"/>
            <w:tcBorders>
              <w:top w:val="nil"/>
              <w:left w:val="nil"/>
              <w:bottom w:val="nil"/>
              <w:right w:val="nil"/>
            </w:tcBorders>
            <w:shd w:val="clear" w:color="auto" w:fill="auto"/>
            <w:noWrap/>
            <w:vAlign w:val="bottom"/>
            <w:hideMark/>
          </w:tcPr>
          <w:p w:rsidR="00D45CCE" w:rsidRPr="00E9526D" w:rsidRDefault="00784795" w:rsidP="00A151EB">
            <w:pPr>
              <w:spacing w:after="0"/>
              <w:rPr>
                <w:rFonts w:ascii="Calibri" w:eastAsia="Times New Roman" w:hAnsi="Calibri" w:cs="Times New Roman"/>
                <w:b/>
                <w:bCs/>
                <w:color w:val="000000"/>
              </w:rPr>
            </w:pPr>
            <w:r>
              <w:rPr>
                <w:rFonts w:ascii="Calibri" w:eastAsia="Times New Roman" w:hAnsi="Calibri" w:cs="Times New Roman"/>
                <w:b/>
                <w:bCs/>
                <w:color w:val="000000"/>
              </w:rPr>
              <w:t>Cuadro 8</w:t>
            </w:r>
            <w:r w:rsidR="00D45CCE">
              <w:rPr>
                <w:rFonts w:ascii="Calibri" w:eastAsia="Times New Roman" w:hAnsi="Calibri" w:cs="Times New Roman"/>
                <w:b/>
                <w:bCs/>
                <w:color w:val="000000"/>
              </w:rPr>
              <w:t xml:space="preserve">. </w:t>
            </w:r>
            <w:r w:rsidR="00D45CCE" w:rsidRPr="00E9526D">
              <w:rPr>
                <w:rFonts w:ascii="Calibri" w:eastAsia="Times New Roman" w:hAnsi="Calibri" w:cs="Times New Roman"/>
                <w:b/>
                <w:bCs/>
                <w:color w:val="000000"/>
              </w:rPr>
              <w:t>Estimación de Heckman para el ingreso como</w:t>
            </w:r>
            <w:r w:rsidR="00D45CCE">
              <w:rPr>
                <w:rFonts w:ascii="Calibri" w:eastAsia="Times New Roman" w:hAnsi="Calibri" w:cs="Times New Roman"/>
                <w:b/>
                <w:bCs/>
                <w:color w:val="000000"/>
              </w:rPr>
              <w:t xml:space="preserve"> trabajadores dependientes</w:t>
            </w:r>
            <w:r w:rsidR="00D45CCE" w:rsidRPr="00E9526D">
              <w:rPr>
                <w:rFonts w:ascii="Calibri" w:eastAsia="Times New Roman" w:hAnsi="Calibri" w:cs="Times New Roman"/>
                <w:b/>
                <w:bCs/>
                <w:color w:val="000000"/>
              </w:rPr>
              <w:t xml:space="preserve"> de los individuos </w:t>
            </w:r>
          </w:p>
        </w:tc>
      </w:tr>
      <w:tr w:rsidR="00D45CCE" w:rsidRPr="00860581" w:rsidTr="00325D79">
        <w:trPr>
          <w:gridBefore w:val="1"/>
          <w:gridAfter w:val="2"/>
          <w:wBefore w:w="147" w:type="dxa"/>
          <w:wAfter w:w="3093" w:type="dxa"/>
          <w:trHeight w:val="288"/>
        </w:trPr>
        <w:tc>
          <w:tcPr>
            <w:tcW w:w="2848" w:type="dxa"/>
            <w:tcBorders>
              <w:top w:val="single" w:sz="4" w:space="0" w:color="auto"/>
              <w:left w:val="nil"/>
              <w:bottom w:val="single" w:sz="4" w:space="0" w:color="auto"/>
              <w:right w:val="nil"/>
            </w:tcBorders>
            <w:shd w:val="clear" w:color="auto" w:fill="auto"/>
            <w:noWrap/>
            <w:vAlign w:val="bottom"/>
            <w:hideMark/>
          </w:tcPr>
          <w:p w:rsidR="00D45CCE" w:rsidRPr="00860581" w:rsidRDefault="00D45CCE" w:rsidP="00325D79">
            <w:pPr>
              <w:spacing w:after="0" w:line="240" w:lineRule="auto"/>
              <w:rPr>
                <w:rFonts w:ascii="Calibri" w:eastAsia="Times New Roman" w:hAnsi="Calibri" w:cs="Times New Roman"/>
                <w:b/>
                <w:bCs/>
                <w:color w:val="000000"/>
                <w:sz w:val="20"/>
                <w:szCs w:val="20"/>
              </w:rPr>
            </w:pPr>
            <w:r w:rsidRPr="00860581">
              <w:rPr>
                <w:rFonts w:ascii="Calibri" w:eastAsia="Times New Roman" w:hAnsi="Calibri" w:cs="Times New Roman"/>
                <w:b/>
                <w:bCs/>
                <w:color w:val="000000"/>
                <w:sz w:val="20"/>
                <w:szCs w:val="20"/>
              </w:rPr>
              <w:t>Variable\Variable dependiente</w:t>
            </w:r>
          </w:p>
        </w:tc>
        <w:tc>
          <w:tcPr>
            <w:tcW w:w="1843" w:type="dxa"/>
            <w:tcBorders>
              <w:top w:val="single" w:sz="4" w:space="0" w:color="auto"/>
              <w:left w:val="nil"/>
              <w:bottom w:val="single" w:sz="4" w:space="0" w:color="auto"/>
              <w:right w:val="nil"/>
            </w:tcBorders>
            <w:shd w:val="clear" w:color="auto" w:fill="auto"/>
            <w:noWrap/>
            <w:vAlign w:val="bottom"/>
            <w:hideMark/>
          </w:tcPr>
          <w:p w:rsidR="00D45CCE" w:rsidRPr="00860581" w:rsidRDefault="00D45CCE" w:rsidP="00325D79">
            <w:pPr>
              <w:spacing w:after="0" w:line="240" w:lineRule="auto"/>
              <w:ind w:right="-365"/>
              <w:rPr>
                <w:rFonts w:ascii="Calibri" w:eastAsia="Times New Roman" w:hAnsi="Calibri" w:cs="Times New Roman"/>
                <w:b/>
                <w:bCs/>
                <w:color w:val="000000"/>
                <w:sz w:val="20"/>
                <w:szCs w:val="20"/>
              </w:rPr>
            </w:pPr>
            <w:r w:rsidRPr="00860581">
              <w:rPr>
                <w:rFonts w:ascii="Calibri" w:eastAsia="Times New Roman" w:hAnsi="Calibri" w:cs="Times New Roman"/>
                <w:b/>
                <w:bCs/>
                <w:color w:val="000000"/>
                <w:sz w:val="20"/>
                <w:szCs w:val="20"/>
              </w:rPr>
              <w:t>Trabaja (si=1, no=0)</w:t>
            </w:r>
          </w:p>
        </w:tc>
        <w:tc>
          <w:tcPr>
            <w:tcW w:w="2410" w:type="dxa"/>
            <w:tcBorders>
              <w:top w:val="single" w:sz="4" w:space="0" w:color="auto"/>
              <w:left w:val="nil"/>
              <w:bottom w:val="single" w:sz="4" w:space="0" w:color="auto"/>
              <w:right w:val="nil"/>
            </w:tcBorders>
            <w:shd w:val="clear" w:color="auto" w:fill="auto"/>
            <w:noWrap/>
            <w:vAlign w:val="bottom"/>
            <w:hideMark/>
          </w:tcPr>
          <w:p w:rsidR="00D45CCE" w:rsidRPr="00860581" w:rsidRDefault="00D45CCE" w:rsidP="00325D79">
            <w:pPr>
              <w:spacing w:after="0" w:line="240" w:lineRule="auto"/>
              <w:ind w:left="317"/>
              <w:rPr>
                <w:rFonts w:ascii="Calibri" w:eastAsia="Times New Roman" w:hAnsi="Calibri" w:cs="Times New Roman"/>
                <w:b/>
                <w:bCs/>
                <w:color w:val="000000"/>
                <w:sz w:val="20"/>
                <w:szCs w:val="20"/>
              </w:rPr>
            </w:pPr>
            <w:r w:rsidRPr="00860581">
              <w:rPr>
                <w:rFonts w:ascii="Calibri" w:eastAsia="Times New Roman" w:hAnsi="Calibri" w:cs="Times New Roman"/>
                <w:b/>
                <w:bCs/>
                <w:color w:val="000000"/>
                <w:sz w:val="20"/>
                <w:szCs w:val="20"/>
              </w:rPr>
              <w:t>Logaritmo del ingreso</w:t>
            </w:r>
          </w:p>
        </w:tc>
      </w:tr>
      <w:tr w:rsidR="00D45CCE" w:rsidRPr="00860581" w:rsidTr="00325D79">
        <w:trPr>
          <w:gridBefore w:val="1"/>
          <w:gridAfter w:val="2"/>
          <w:wBefore w:w="147" w:type="dxa"/>
          <w:wAfter w:w="3093" w:type="dxa"/>
          <w:trHeight w:val="288"/>
        </w:trPr>
        <w:tc>
          <w:tcPr>
            <w:tcW w:w="2848" w:type="dxa"/>
            <w:tcBorders>
              <w:top w:val="nil"/>
              <w:left w:val="nil"/>
              <w:bottom w:val="nil"/>
              <w:right w:val="nil"/>
            </w:tcBorders>
            <w:shd w:val="clear" w:color="auto" w:fill="auto"/>
            <w:noWrap/>
            <w:vAlign w:val="bottom"/>
            <w:hideMark/>
          </w:tcPr>
          <w:p w:rsidR="00D45CCE" w:rsidRPr="00860581" w:rsidRDefault="00D45CCE" w:rsidP="00325D79">
            <w:pPr>
              <w:spacing w:after="0" w:line="240" w:lineRule="auto"/>
              <w:rPr>
                <w:rFonts w:ascii="Calibri" w:eastAsia="Times New Roman" w:hAnsi="Calibri" w:cs="Times New Roman"/>
                <w:color w:val="000000"/>
                <w:sz w:val="20"/>
                <w:szCs w:val="20"/>
              </w:rPr>
            </w:pPr>
            <w:r w:rsidRPr="00860581">
              <w:rPr>
                <w:rFonts w:ascii="Calibri" w:eastAsia="Times New Roman" w:hAnsi="Calibri" w:cs="Times New Roman"/>
                <w:color w:val="000000"/>
                <w:sz w:val="20"/>
                <w:szCs w:val="20"/>
              </w:rPr>
              <w:t>Nivel educativo</w:t>
            </w:r>
          </w:p>
        </w:tc>
        <w:tc>
          <w:tcPr>
            <w:tcW w:w="1843" w:type="dxa"/>
            <w:tcBorders>
              <w:top w:val="nil"/>
              <w:left w:val="nil"/>
              <w:bottom w:val="nil"/>
              <w:right w:val="nil"/>
            </w:tcBorders>
            <w:shd w:val="clear" w:color="auto" w:fill="auto"/>
            <w:noWrap/>
            <w:vAlign w:val="bottom"/>
            <w:hideMark/>
          </w:tcPr>
          <w:p w:rsidR="00D45CCE" w:rsidRPr="00860581" w:rsidRDefault="00D45CCE" w:rsidP="00325D79">
            <w:pPr>
              <w:spacing w:after="0" w:line="240" w:lineRule="auto"/>
              <w:jc w:val="center"/>
              <w:rPr>
                <w:rFonts w:ascii="Calibri" w:eastAsia="Times New Roman" w:hAnsi="Calibri" w:cs="Times New Roman"/>
                <w:color w:val="000000"/>
                <w:sz w:val="20"/>
                <w:szCs w:val="20"/>
              </w:rPr>
            </w:pPr>
            <w:r w:rsidRPr="00860581">
              <w:rPr>
                <w:rFonts w:ascii="Calibri" w:eastAsia="Times New Roman" w:hAnsi="Calibri" w:cs="Times New Roman"/>
                <w:color w:val="000000"/>
                <w:sz w:val="20"/>
                <w:szCs w:val="20"/>
              </w:rPr>
              <w:t>0,270***</w:t>
            </w:r>
          </w:p>
        </w:tc>
        <w:tc>
          <w:tcPr>
            <w:tcW w:w="2410" w:type="dxa"/>
            <w:tcBorders>
              <w:top w:val="nil"/>
              <w:left w:val="nil"/>
              <w:bottom w:val="nil"/>
              <w:right w:val="nil"/>
            </w:tcBorders>
            <w:shd w:val="clear" w:color="auto" w:fill="auto"/>
            <w:noWrap/>
            <w:vAlign w:val="bottom"/>
            <w:hideMark/>
          </w:tcPr>
          <w:p w:rsidR="00D45CCE" w:rsidRPr="00860581" w:rsidRDefault="00D45CCE" w:rsidP="00325D79">
            <w:pPr>
              <w:spacing w:after="0" w:line="240" w:lineRule="auto"/>
              <w:jc w:val="center"/>
              <w:rPr>
                <w:rFonts w:ascii="Calibri" w:eastAsia="Times New Roman" w:hAnsi="Calibri" w:cs="Times New Roman"/>
                <w:color w:val="000000"/>
                <w:sz w:val="20"/>
                <w:szCs w:val="20"/>
              </w:rPr>
            </w:pPr>
            <w:r w:rsidRPr="00860581">
              <w:rPr>
                <w:rFonts w:ascii="Calibri" w:eastAsia="Times New Roman" w:hAnsi="Calibri" w:cs="Times New Roman"/>
                <w:color w:val="000000"/>
                <w:sz w:val="20"/>
                <w:szCs w:val="20"/>
              </w:rPr>
              <w:t>0,355***</w:t>
            </w:r>
          </w:p>
        </w:tc>
      </w:tr>
      <w:tr w:rsidR="00D45CCE" w:rsidRPr="00860581" w:rsidTr="00325D79">
        <w:trPr>
          <w:gridBefore w:val="1"/>
          <w:gridAfter w:val="2"/>
          <w:wBefore w:w="147" w:type="dxa"/>
          <w:wAfter w:w="3093" w:type="dxa"/>
          <w:trHeight w:val="288"/>
        </w:trPr>
        <w:tc>
          <w:tcPr>
            <w:tcW w:w="2848" w:type="dxa"/>
            <w:tcBorders>
              <w:top w:val="nil"/>
              <w:left w:val="nil"/>
              <w:bottom w:val="nil"/>
              <w:right w:val="nil"/>
            </w:tcBorders>
            <w:shd w:val="clear" w:color="auto" w:fill="auto"/>
            <w:noWrap/>
            <w:vAlign w:val="bottom"/>
            <w:hideMark/>
          </w:tcPr>
          <w:p w:rsidR="00D45CCE" w:rsidRPr="00860581" w:rsidRDefault="00D45CCE" w:rsidP="00325D79">
            <w:pPr>
              <w:spacing w:after="0" w:line="240" w:lineRule="auto"/>
              <w:rPr>
                <w:rFonts w:ascii="Calibri" w:eastAsia="Times New Roman" w:hAnsi="Calibri" w:cs="Times New Roman"/>
                <w:color w:val="000000"/>
                <w:sz w:val="20"/>
                <w:szCs w:val="20"/>
              </w:rPr>
            </w:pPr>
          </w:p>
        </w:tc>
        <w:tc>
          <w:tcPr>
            <w:tcW w:w="1843" w:type="dxa"/>
            <w:tcBorders>
              <w:top w:val="nil"/>
              <w:left w:val="nil"/>
              <w:bottom w:val="nil"/>
              <w:right w:val="nil"/>
            </w:tcBorders>
            <w:shd w:val="clear" w:color="auto" w:fill="auto"/>
            <w:noWrap/>
            <w:vAlign w:val="bottom"/>
            <w:hideMark/>
          </w:tcPr>
          <w:p w:rsidR="00D45CCE" w:rsidRPr="00860581" w:rsidRDefault="00D45CCE" w:rsidP="00325D79">
            <w:pPr>
              <w:spacing w:after="0" w:line="240" w:lineRule="auto"/>
              <w:jc w:val="center"/>
              <w:rPr>
                <w:rFonts w:ascii="Calibri" w:eastAsia="Times New Roman" w:hAnsi="Calibri" w:cs="Times New Roman"/>
                <w:color w:val="000000"/>
                <w:sz w:val="20"/>
                <w:szCs w:val="20"/>
              </w:rPr>
            </w:pPr>
            <w:r w:rsidRPr="00860581">
              <w:rPr>
                <w:rFonts w:ascii="Calibri" w:eastAsia="Times New Roman" w:hAnsi="Calibri" w:cs="Times New Roman"/>
                <w:color w:val="000000"/>
                <w:sz w:val="20"/>
                <w:szCs w:val="20"/>
              </w:rPr>
              <w:t>(0,0063)</w:t>
            </w:r>
          </w:p>
        </w:tc>
        <w:tc>
          <w:tcPr>
            <w:tcW w:w="2410" w:type="dxa"/>
            <w:tcBorders>
              <w:top w:val="nil"/>
              <w:left w:val="nil"/>
              <w:bottom w:val="nil"/>
              <w:right w:val="nil"/>
            </w:tcBorders>
            <w:shd w:val="clear" w:color="auto" w:fill="auto"/>
            <w:noWrap/>
            <w:vAlign w:val="bottom"/>
            <w:hideMark/>
          </w:tcPr>
          <w:p w:rsidR="00D45CCE" w:rsidRPr="00860581" w:rsidRDefault="00D45CCE" w:rsidP="00325D79">
            <w:pPr>
              <w:spacing w:after="0" w:line="240" w:lineRule="auto"/>
              <w:jc w:val="center"/>
              <w:rPr>
                <w:rFonts w:ascii="Calibri" w:eastAsia="Times New Roman" w:hAnsi="Calibri" w:cs="Times New Roman"/>
                <w:color w:val="000000"/>
                <w:sz w:val="20"/>
                <w:szCs w:val="20"/>
              </w:rPr>
            </w:pPr>
            <w:r w:rsidRPr="00860581">
              <w:rPr>
                <w:rFonts w:ascii="Calibri" w:eastAsia="Times New Roman" w:hAnsi="Calibri" w:cs="Times New Roman"/>
                <w:color w:val="000000"/>
                <w:sz w:val="20"/>
                <w:szCs w:val="20"/>
              </w:rPr>
              <w:t>(0,0052)</w:t>
            </w:r>
          </w:p>
        </w:tc>
      </w:tr>
      <w:tr w:rsidR="00D45CCE" w:rsidRPr="00860581" w:rsidTr="00325D79">
        <w:trPr>
          <w:gridBefore w:val="1"/>
          <w:gridAfter w:val="2"/>
          <w:wBefore w:w="147" w:type="dxa"/>
          <w:wAfter w:w="3093" w:type="dxa"/>
          <w:trHeight w:val="288"/>
        </w:trPr>
        <w:tc>
          <w:tcPr>
            <w:tcW w:w="2848" w:type="dxa"/>
            <w:tcBorders>
              <w:top w:val="nil"/>
              <w:left w:val="nil"/>
              <w:bottom w:val="nil"/>
              <w:right w:val="nil"/>
            </w:tcBorders>
            <w:shd w:val="clear" w:color="auto" w:fill="auto"/>
            <w:noWrap/>
            <w:vAlign w:val="bottom"/>
            <w:hideMark/>
          </w:tcPr>
          <w:p w:rsidR="00D45CCE" w:rsidRPr="00860581" w:rsidRDefault="00D45CCE" w:rsidP="00325D79">
            <w:pPr>
              <w:spacing w:after="0" w:line="240" w:lineRule="auto"/>
              <w:rPr>
                <w:rFonts w:ascii="Calibri" w:eastAsia="Times New Roman" w:hAnsi="Calibri" w:cs="Times New Roman"/>
                <w:color w:val="000000"/>
                <w:sz w:val="20"/>
                <w:szCs w:val="20"/>
              </w:rPr>
            </w:pPr>
            <w:r w:rsidRPr="00860581">
              <w:rPr>
                <w:rFonts w:ascii="Calibri" w:eastAsia="Times New Roman" w:hAnsi="Calibri" w:cs="Times New Roman"/>
                <w:color w:val="000000"/>
                <w:sz w:val="20"/>
                <w:szCs w:val="20"/>
              </w:rPr>
              <w:t>Edad</w:t>
            </w:r>
          </w:p>
        </w:tc>
        <w:tc>
          <w:tcPr>
            <w:tcW w:w="1843" w:type="dxa"/>
            <w:tcBorders>
              <w:top w:val="nil"/>
              <w:left w:val="nil"/>
              <w:bottom w:val="nil"/>
              <w:right w:val="nil"/>
            </w:tcBorders>
            <w:shd w:val="clear" w:color="auto" w:fill="auto"/>
            <w:noWrap/>
            <w:vAlign w:val="bottom"/>
            <w:hideMark/>
          </w:tcPr>
          <w:p w:rsidR="00D45CCE" w:rsidRPr="00860581" w:rsidRDefault="00D45CCE" w:rsidP="00325D79">
            <w:pPr>
              <w:spacing w:after="0" w:line="240" w:lineRule="auto"/>
              <w:jc w:val="center"/>
              <w:rPr>
                <w:rFonts w:ascii="Calibri" w:eastAsia="Times New Roman" w:hAnsi="Calibri" w:cs="Times New Roman"/>
                <w:color w:val="000000"/>
                <w:sz w:val="20"/>
                <w:szCs w:val="20"/>
              </w:rPr>
            </w:pPr>
            <w:r w:rsidRPr="00860581">
              <w:rPr>
                <w:rFonts w:ascii="Calibri" w:eastAsia="Times New Roman" w:hAnsi="Calibri" w:cs="Times New Roman"/>
                <w:color w:val="000000"/>
                <w:sz w:val="20"/>
                <w:szCs w:val="20"/>
              </w:rPr>
              <w:t>-0,009***</w:t>
            </w:r>
          </w:p>
        </w:tc>
        <w:tc>
          <w:tcPr>
            <w:tcW w:w="2410" w:type="dxa"/>
            <w:tcBorders>
              <w:top w:val="nil"/>
              <w:left w:val="nil"/>
              <w:bottom w:val="nil"/>
              <w:right w:val="nil"/>
            </w:tcBorders>
            <w:shd w:val="clear" w:color="auto" w:fill="auto"/>
            <w:noWrap/>
            <w:vAlign w:val="bottom"/>
            <w:hideMark/>
          </w:tcPr>
          <w:p w:rsidR="00D45CCE" w:rsidRPr="00860581" w:rsidRDefault="00D45CCE" w:rsidP="00325D79">
            <w:pPr>
              <w:spacing w:after="0" w:line="240" w:lineRule="auto"/>
              <w:jc w:val="center"/>
              <w:rPr>
                <w:rFonts w:ascii="Calibri" w:eastAsia="Times New Roman" w:hAnsi="Calibri" w:cs="Times New Roman"/>
                <w:color w:val="000000"/>
                <w:sz w:val="20"/>
                <w:szCs w:val="20"/>
              </w:rPr>
            </w:pPr>
            <w:r w:rsidRPr="00860581">
              <w:rPr>
                <w:rFonts w:ascii="Calibri" w:eastAsia="Times New Roman" w:hAnsi="Calibri" w:cs="Times New Roman"/>
                <w:color w:val="000000"/>
                <w:sz w:val="20"/>
                <w:szCs w:val="20"/>
              </w:rPr>
              <w:t>0,102***</w:t>
            </w:r>
          </w:p>
        </w:tc>
      </w:tr>
      <w:tr w:rsidR="00D45CCE" w:rsidRPr="00860581" w:rsidTr="00325D79">
        <w:trPr>
          <w:gridBefore w:val="1"/>
          <w:gridAfter w:val="2"/>
          <w:wBefore w:w="147" w:type="dxa"/>
          <w:wAfter w:w="3093" w:type="dxa"/>
          <w:trHeight w:val="288"/>
        </w:trPr>
        <w:tc>
          <w:tcPr>
            <w:tcW w:w="2848" w:type="dxa"/>
            <w:tcBorders>
              <w:top w:val="nil"/>
              <w:left w:val="nil"/>
              <w:bottom w:val="nil"/>
              <w:right w:val="nil"/>
            </w:tcBorders>
            <w:shd w:val="clear" w:color="auto" w:fill="auto"/>
            <w:noWrap/>
            <w:vAlign w:val="bottom"/>
            <w:hideMark/>
          </w:tcPr>
          <w:p w:rsidR="00D45CCE" w:rsidRPr="00860581" w:rsidRDefault="00D45CCE" w:rsidP="00325D79">
            <w:pPr>
              <w:spacing w:after="0" w:line="240" w:lineRule="auto"/>
              <w:rPr>
                <w:rFonts w:ascii="Calibri" w:eastAsia="Times New Roman" w:hAnsi="Calibri" w:cs="Times New Roman"/>
                <w:color w:val="000000"/>
                <w:sz w:val="20"/>
                <w:szCs w:val="20"/>
              </w:rPr>
            </w:pPr>
          </w:p>
        </w:tc>
        <w:tc>
          <w:tcPr>
            <w:tcW w:w="1843" w:type="dxa"/>
            <w:tcBorders>
              <w:top w:val="nil"/>
              <w:left w:val="nil"/>
              <w:bottom w:val="nil"/>
              <w:right w:val="nil"/>
            </w:tcBorders>
            <w:shd w:val="clear" w:color="auto" w:fill="auto"/>
            <w:noWrap/>
            <w:vAlign w:val="bottom"/>
            <w:hideMark/>
          </w:tcPr>
          <w:p w:rsidR="00D45CCE" w:rsidRPr="00860581" w:rsidRDefault="00D45CCE" w:rsidP="00325D79">
            <w:pPr>
              <w:spacing w:after="0" w:line="240" w:lineRule="auto"/>
              <w:jc w:val="center"/>
              <w:rPr>
                <w:rFonts w:ascii="Calibri" w:eastAsia="Times New Roman" w:hAnsi="Calibri" w:cs="Times New Roman"/>
                <w:color w:val="000000"/>
                <w:sz w:val="20"/>
                <w:szCs w:val="20"/>
              </w:rPr>
            </w:pPr>
            <w:r w:rsidRPr="00860581">
              <w:rPr>
                <w:rFonts w:ascii="Calibri" w:eastAsia="Times New Roman" w:hAnsi="Calibri" w:cs="Times New Roman"/>
                <w:color w:val="000000"/>
                <w:sz w:val="20"/>
                <w:szCs w:val="20"/>
              </w:rPr>
              <w:t>(0,0003)</w:t>
            </w:r>
          </w:p>
        </w:tc>
        <w:tc>
          <w:tcPr>
            <w:tcW w:w="2410" w:type="dxa"/>
            <w:tcBorders>
              <w:top w:val="nil"/>
              <w:left w:val="nil"/>
              <w:bottom w:val="nil"/>
              <w:right w:val="nil"/>
            </w:tcBorders>
            <w:shd w:val="clear" w:color="auto" w:fill="auto"/>
            <w:noWrap/>
            <w:vAlign w:val="bottom"/>
            <w:hideMark/>
          </w:tcPr>
          <w:p w:rsidR="00D45CCE" w:rsidRPr="00860581" w:rsidRDefault="00D45CCE" w:rsidP="00325D79">
            <w:pPr>
              <w:spacing w:after="0" w:line="240" w:lineRule="auto"/>
              <w:jc w:val="center"/>
              <w:rPr>
                <w:rFonts w:ascii="Calibri" w:eastAsia="Times New Roman" w:hAnsi="Calibri" w:cs="Times New Roman"/>
                <w:color w:val="000000"/>
                <w:sz w:val="20"/>
                <w:szCs w:val="20"/>
              </w:rPr>
            </w:pPr>
            <w:r w:rsidRPr="00860581">
              <w:rPr>
                <w:rFonts w:ascii="Calibri" w:eastAsia="Times New Roman" w:hAnsi="Calibri" w:cs="Times New Roman"/>
                <w:color w:val="000000"/>
                <w:sz w:val="20"/>
                <w:szCs w:val="20"/>
              </w:rPr>
              <w:t>(0,0022)</w:t>
            </w:r>
          </w:p>
        </w:tc>
      </w:tr>
      <w:tr w:rsidR="00D45CCE" w:rsidRPr="00860581" w:rsidTr="00325D79">
        <w:trPr>
          <w:gridBefore w:val="1"/>
          <w:gridAfter w:val="2"/>
          <w:wBefore w:w="147" w:type="dxa"/>
          <w:wAfter w:w="3093" w:type="dxa"/>
          <w:trHeight w:val="288"/>
        </w:trPr>
        <w:tc>
          <w:tcPr>
            <w:tcW w:w="2848" w:type="dxa"/>
            <w:tcBorders>
              <w:top w:val="nil"/>
              <w:left w:val="nil"/>
              <w:bottom w:val="nil"/>
              <w:right w:val="nil"/>
            </w:tcBorders>
            <w:shd w:val="clear" w:color="auto" w:fill="auto"/>
            <w:noWrap/>
            <w:vAlign w:val="bottom"/>
            <w:hideMark/>
          </w:tcPr>
          <w:p w:rsidR="00D45CCE" w:rsidRPr="00860581" w:rsidRDefault="00D45CCE" w:rsidP="00325D79">
            <w:pPr>
              <w:spacing w:after="0" w:line="240" w:lineRule="auto"/>
              <w:rPr>
                <w:rFonts w:ascii="Calibri" w:eastAsia="Times New Roman" w:hAnsi="Calibri" w:cs="Times New Roman"/>
                <w:color w:val="000000"/>
                <w:sz w:val="20"/>
                <w:szCs w:val="20"/>
              </w:rPr>
            </w:pPr>
            <w:r w:rsidRPr="00860581">
              <w:rPr>
                <w:rFonts w:ascii="Calibri" w:eastAsia="Times New Roman" w:hAnsi="Calibri" w:cs="Times New Roman"/>
                <w:color w:val="000000"/>
                <w:sz w:val="20"/>
                <w:szCs w:val="20"/>
              </w:rPr>
              <w:t>Edad^2</w:t>
            </w:r>
          </w:p>
        </w:tc>
        <w:tc>
          <w:tcPr>
            <w:tcW w:w="1843" w:type="dxa"/>
            <w:tcBorders>
              <w:top w:val="nil"/>
              <w:left w:val="nil"/>
              <w:bottom w:val="nil"/>
              <w:right w:val="nil"/>
            </w:tcBorders>
            <w:shd w:val="clear" w:color="auto" w:fill="auto"/>
            <w:noWrap/>
            <w:vAlign w:val="bottom"/>
            <w:hideMark/>
          </w:tcPr>
          <w:p w:rsidR="00D45CCE" w:rsidRPr="00860581" w:rsidRDefault="00D45CCE" w:rsidP="00325D79">
            <w:pPr>
              <w:spacing w:after="0" w:line="240" w:lineRule="auto"/>
              <w:jc w:val="center"/>
              <w:rPr>
                <w:rFonts w:ascii="Calibri" w:eastAsia="Times New Roman" w:hAnsi="Calibri" w:cs="Times New Roman"/>
                <w:color w:val="000000"/>
                <w:sz w:val="20"/>
                <w:szCs w:val="20"/>
              </w:rPr>
            </w:pPr>
          </w:p>
        </w:tc>
        <w:tc>
          <w:tcPr>
            <w:tcW w:w="2410" w:type="dxa"/>
            <w:tcBorders>
              <w:top w:val="nil"/>
              <w:left w:val="nil"/>
              <w:bottom w:val="nil"/>
              <w:right w:val="nil"/>
            </w:tcBorders>
            <w:shd w:val="clear" w:color="auto" w:fill="auto"/>
            <w:noWrap/>
            <w:vAlign w:val="bottom"/>
            <w:hideMark/>
          </w:tcPr>
          <w:p w:rsidR="00D45CCE" w:rsidRPr="00860581" w:rsidRDefault="00D45CCE" w:rsidP="00325D79">
            <w:pPr>
              <w:spacing w:after="0" w:line="240" w:lineRule="auto"/>
              <w:jc w:val="center"/>
              <w:rPr>
                <w:rFonts w:ascii="Calibri" w:eastAsia="Times New Roman" w:hAnsi="Calibri" w:cs="Times New Roman"/>
                <w:color w:val="000000"/>
                <w:sz w:val="20"/>
                <w:szCs w:val="20"/>
              </w:rPr>
            </w:pPr>
            <w:r w:rsidRPr="00860581">
              <w:rPr>
                <w:rFonts w:ascii="Calibri" w:eastAsia="Times New Roman" w:hAnsi="Calibri" w:cs="Times New Roman"/>
                <w:color w:val="000000"/>
                <w:sz w:val="20"/>
                <w:szCs w:val="20"/>
              </w:rPr>
              <w:t>-0,001***</w:t>
            </w:r>
          </w:p>
        </w:tc>
      </w:tr>
      <w:tr w:rsidR="00D45CCE" w:rsidRPr="00860581" w:rsidTr="00325D79">
        <w:trPr>
          <w:gridBefore w:val="1"/>
          <w:gridAfter w:val="2"/>
          <w:wBefore w:w="147" w:type="dxa"/>
          <w:wAfter w:w="3093" w:type="dxa"/>
          <w:trHeight w:val="288"/>
        </w:trPr>
        <w:tc>
          <w:tcPr>
            <w:tcW w:w="2848" w:type="dxa"/>
            <w:tcBorders>
              <w:top w:val="nil"/>
              <w:left w:val="nil"/>
              <w:bottom w:val="nil"/>
              <w:right w:val="nil"/>
            </w:tcBorders>
            <w:shd w:val="clear" w:color="auto" w:fill="auto"/>
            <w:noWrap/>
            <w:vAlign w:val="bottom"/>
            <w:hideMark/>
          </w:tcPr>
          <w:p w:rsidR="00D45CCE" w:rsidRPr="00860581" w:rsidRDefault="00D45CCE" w:rsidP="00325D79">
            <w:pPr>
              <w:spacing w:after="0" w:line="240" w:lineRule="auto"/>
              <w:rPr>
                <w:rFonts w:ascii="Calibri" w:eastAsia="Times New Roman" w:hAnsi="Calibri" w:cs="Times New Roman"/>
                <w:color w:val="000000"/>
                <w:sz w:val="20"/>
                <w:szCs w:val="20"/>
              </w:rPr>
            </w:pPr>
          </w:p>
        </w:tc>
        <w:tc>
          <w:tcPr>
            <w:tcW w:w="1843" w:type="dxa"/>
            <w:tcBorders>
              <w:top w:val="nil"/>
              <w:left w:val="nil"/>
              <w:bottom w:val="nil"/>
              <w:right w:val="nil"/>
            </w:tcBorders>
            <w:shd w:val="clear" w:color="auto" w:fill="auto"/>
            <w:noWrap/>
            <w:vAlign w:val="bottom"/>
            <w:hideMark/>
          </w:tcPr>
          <w:p w:rsidR="00D45CCE" w:rsidRPr="00860581" w:rsidRDefault="00D45CCE" w:rsidP="00325D79">
            <w:pPr>
              <w:spacing w:after="0" w:line="240" w:lineRule="auto"/>
              <w:jc w:val="center"/>
              <w:rPr>
                <w:rFonts w:ascii="Calibri" w:eastAsia="Times New Roman" w:hAnsi="Calibri" w:cs="Times New Roman"/>
                <w:color w:val="000000"/>
                <w:sz w:val="20"/>
                <w:szCs w:val="20"/>
              </w:rPr>
            </w:pPr>
          </w:p>
        </w:tc>
        <w:tc>
          <w:tcPr>
            <w:tcW w:w="2410" w:type="dxa"/>
            <w:tcBorders>
              <w:top w:val="nil"/>
              <w:left w:val="nil"/>
              <w:bottom w:val="nil"/>
              <w:right w:val="nil"/>
            </w:tcBorders>
            <w:shd w:val="clear" w:color="auto" w:fill="auto"/>
            <w:noWrap/>
            <w:vAlign w:val="bottom"/>
            <w:hideMark/>
          </w:tcPr>
          <w:p w:rsidR="00D45CCE" w:rsidRPr="00860581" w:rsidRDefault="00D45CCE" w:rsidP="00325D79">
            <w:pPr>
              <w:spacing w:after="0" w:line="240" w:lineRule="auto"/>
              <w:jc w:val="center"/>
              <w:rPr>
                <w:rFonts w:ascii="Calibri" w:eastAsia="Times New Roman" w:hAnsi="Calibri" w:cs="Times New Roman"/>
                <w:color w:val="000000"/>
                <w:sz w:val="20"/>
                <w:szCs w:val="20"/>
              </w:rPr>
            </w:pPr>
            <w:r w:rsidRPr="00860581">
              <w:rPr>
                <w:rFonts w:ascii="Calibri" w:eastAsia="Times New Roman" w:hAnsi="Calibri" w:cs="Times New Roman"/>
                <w:color w:val="000000"/>
                <w:sz w:val="20"/>
                <w:szCs w:val="20"/>
              </w:rPr>
              <w:t>(0,0000)</w:t>
            </w:r>
          </w:p>
        </w:tc>
      </w:tr>
      <w:tr w:rsidR="00D45CCE" w:rsidRPr="00860581" w:rsidTr="00325D79">
        <w:trPr>
          <w:gridBefore w:val="1"/>
          <w:gridAfter w:val="2"/>
          <w:wBefore w:w="147" w:type="dxa"/>
          <w:wAfter w:w="3093" w:type="dxa"/>
          <w:trHeight w:val="288"/>
        </w:trPr>
        <w:tc>
          <w:tcPr>
            <w:tcW w:w="2848" w:type="dxa"/>
            <w:tcBorders>
              <w:top w:val="nil"/>
              <w:left w:val="nil"/>
              <w:bottom w:val="nil"/>
              <w:right w:val="nil"/>
            </w:tcBorders>
            <w:shd w:val="clear" w:color="auto" w:fill="auto"/>
            <w:noWrap/>
            <w:vAlign w:val="bottom"/>
            <w:hideMark/>
          </w:tcPr>
          <w:p w:rsidR="00D45CCE" w:rsidRPr="00860581" w:rsidRDefault="00D45CCE" w:rsidP="00325D79">
            <w:pPr>
              <w:spacing w:after="0" w:line="240" w:lineRule="auto"/>
              <w:rPr>
                <w:rFonts w:ascii="Calibri" w:eastAsia="Times New Roman" w:hAnsi="Calibri" w:cs="Times New Roman"/>
                <w:color w:val="000000"/>
                <w:sz w:val="20"/>
                <w:szCs w:val="20"/>
              </w:rPr>
            </w:pPr>
            <w:r w:rsidRPr="00860581">
              <w:rPr>
                <w:rFonts w:ascii="Calibri" w:eastAsia="Times New Roman" w:hAnsi="Calibri" w:cs="Times New Roman"/>
                <w:color w:val="000000"/>
                <w:sz w:val="20"/>
                <w:szCs w:val="20"/>
              </w:rPr>
              <w:t>Sexo (1=mujer)</w:t>
            </w:r>
          </w:p>
        </w:tc>
        <w:tc>
          <w:tcPr>
            <w:tcW w:w="1843" w:type="dxa"/>
            <w:tcBorders>
              <w:top w:val="nil"/>
              <w:left w:val="nil"/>
              <w:bottom w:val="nil"/>
              <w:right w:val="nil"/>
            </w:tcBorders>
            <w:shd w:val="clear" w:color="auto" w:fill="auto"/>
            <w:noWrap/>
            <w:vAlign w:val="bottom"/>
            <w:hideMark/>
          </w:tcPr>
          <w:p w:rsidR="00D45CCE" w:rsidRPr="00860581" w:rsidRDefault="00D45CCE" w:rsidP="00325D79">
            <w:pPr>
              <w:spacing w:after="0" w:line="240" w:lineRule="auto"/>
              <w:jc w:val="center"/>
              <w:rPr>
                <w:rFonts w:ascii="Calibri" w:eastAsia="Times New Roman" w:hAnsi="Calibri" w:cs="Times New Roman"/>
                <w:color w:val="000000"/>
                <w:sz w:val="20"/>
                <w:szCs w:val="20"/>
              </w:rPr>
            </w:pPr>
            <w:r w:rsidRPr="00860581">
              <w:rPr>
                <w:rFonts w:ascii="Calibri" w:eastAsia="Times New Roman" w:hAnsi="Calibri" w:cs="Times New Roman"/>
                <w:color w:val="000000"/>
                <w:sz w:val="20"/>
                <w:szCs w:val="20"/>
              </w:rPr>
              <w:t>-0,636***</w:t>
            </w:r>
          </w:p>
        </w:tc>
        <w:tc>
          <w:tcPr>
            <w:tcW w:w="2410" w:type="dxa"/>
            <w:tcBorders>
              <w:top w:val="nil"/>
              <w:left w:val="nil"/>
              <w:bottom w:val="nil"/>
              <w:right w:val="nil"/>
            </w:tcBorders>
            <w:shd w:val="clear" w:color="auto" w:fill="auto"/>
            <w:noWrap/>
            <w:vAlign w:val="bottom"/>
            <w:hideMark/>
          </w:tcPr>
          <w:p w:rsidR="00D45CCE" w:rsidRPr="00860581" w:rsidRDefault="00D45CCE" w:rsidP="00325D79">
            <w:pPr>
              <w:spacing w:after="0" w:line="240" w:lineRule="auto"/>
              <w:jc w:val="center"/>
              <w:rPr>
                <w:rFonts w:ascii="Calibri" w:eastAsia="Times New Roman" w:hAnsi="Calibri" w:cs="Times New Roman"/>
                <w:color w:val="000000"/>
                <w:sz w:val="20"/>
                <w:szCs w:val="20"/>
              </w:rPr>
            </w:pPr>
            <w:r w:rsidRPr="00860581">
              <w:rPr>
                <w:rFonts w:ascii="Calibri" w:eastAsia="Times New Roman" w:hAnsi="Calibri" w:cs="Times New Roman"/>
                <w:color w:val="000000"/>
                <w:sz w:val="20"/>
                <w:szCs w:val="20"/>
              </w:rPr>
              <w:t>-0,460***</w:t>
            </w:r>
          </w:p>
        </w:tc>
      </w:tr>
      <w:tr w:rsidR="00D45CCE" w:rsidRPr="00860581" w:rsidTr="00325D79">
        <w:trPr>
          <w:gridBefore w:val="1"/>
          <w:gridAfter w:val="2"/>
          <w:wBefore w:w="147" w:type="dxa"/>
          <w:wAfter w:w="3093" w:type="dxa"/>
          <w:trHeight w:val="288"/>
        </w:trPr>
        <w:tc>
          <w:tcPr>
            <w:tcW w:w="2848" w:type="dxa"/>
            <w:tcBorders>
              <w:top w:val="nil"/>
              <w:left w:val="nil"/>
              <w:bottom w:val="nil"/>
              <w:right w:val="nil"/>
            </w:tcBorders>
            <w:shd w:val="clear" w:color="auto" w:fill="auto"/>
            <w:noWrap/>
            <w:vAlign w:val="bottom"/>
            <w:hideMark/>
          </w:tcPr>
          <w:p w:rsidR="00D45CCE" w:rsidRPr="00860581" w:rsidRDefault="00D45CCE" w:rsidP="00325D79">
            <w:pPr>
              <w:spacing w:after="0" w:line="240" w:lineRule="auto"/>
              <w:rPr>
                <w:rFonts w:ascii="Calibri" w:eastAsia="Times New Roman" w:hAnsi="Calibri" w:cs="Times New Roman"/>
                <w:color w:val="000000"/>
                <w:sz w:val="20"/>
                <w:szCs w:val="20"/>
              </w:rPr>
            </w:pPr>
          </w:p>
        </w:tc>
        <w:tc>
          <w:tcPr>
            <w:tcW w:w="1843" w:type="dxa"/>
            <w:tcBorders>
              <w:top w:val="nil"/>
              <w:left w:val="nil"/>
              <w:bottom w:val="nil"/>
              <w:right w:val="nil"/>
            </w:tcBorders>
            <w:shd w:val="clear" w:color="auto" w:fill="auto"/>
            <w:noWrap/>
            <w:vAlign w:val="bottom"/>
            <w:hideMark/>
          </w:tcPr>
          <w:p w:rsidR="00D45CCE" w:rsidRPr="00860581" w:rsidRDefault="00D45CCE" w:rsidP="00325D79">
            <w:pPr>
              <w:spacing w:after="0" w:line="240" w:lineRule="auto"/>
              <w:jc w:val="center"/>
              <w:rPr>
                <w:rFonts w:ascii="Calibri" w:eastAsia="Times New Roman" w:hAnsi="Calibri" w:cs="Times New Roman"/>
                <w:color w:val="000000"/>
                <w:sz w:val="20"/>
                <w:szCs w:val="20"/>
              </w:rPr>
            </w:pPr>
            <w:r w:rsidRPr="00860581">
              <w:rPr>
                <w:rFonts w:ascii="Calibri" w:eastAsia="Times New Roman" w:hAnsi="Calibri" w:cs="Times New Roman"/>
                <w:color w:val="000000"/>
                <w:sz w:val="20"/>
                <w:szCs w:val="20"/>
              </w:rPr>
              <w:t>(0,0106)</w:t>
            </w:r>
          </w:p>
        </w:tc>
        <w:tc>
          <w:tcPr>
            <w:tcW w:w="2410" w:type="dxa"/>
            <w:tcBorders>
              <w:top w:val="nil"/>
              <w:left w:val="nil"/>
              <w:bottom w:val="nil"/>
              <w:right w:val="nil"/>
            </w:tcBorders>
            <w:shd w:val="clear" w:color="auto" w:fill="auto"/>
            <w:noWrap/>
            <w:vAlign w:val="bottom"/>
            <w:hideMark/>
          </w:tcPr>
          <w:p w:rsidR="00D45CCE" w:rsidRPr="00860581" w:rsidRDefault="00D45CCE" w:rsidP="00325D79">
            <w:pPr>
              <w:spacing w:after="0" w:line="240" w:lineRule="auto"/>
              <w:jc w:val="center"/>
              <w:rPr>
                <w:rFonts w:ascii="Calibri" w:eastAsia="Times New Roman" w:hAnsi="Calibri" w:cs="Times New Roman"/>
                <w:color w:val="000000"/>
                <w:sz w:val="20"/>
                <w:szCs w:val="20"/>
              </w:rPr>
            </w:pPr>
            <w:r w:rsidRPr="00860581">
              <w:rPr>
                <w:rFonts w:ascii="Calibri" w:eastAsia="Times New Roman" w:hAnsi="Calibri" w:cs="Times New Roman"/>
                <w:color w:val="000000"/>
                <w:sz w:val="20"/>
                <w:szCs w:val="20"/>
              </w:rPr>
              <w:t>(0,0116)</w:t>
            </w:r>
          </w:p>
        </w:tc>
      </w:tr>
      <w:tr w:rsidR="00D45CCE" w:rsidRPr="00860581" w:rsidTr="00325D79">
        <w:trPr>
          <w:gridBefore w:val="1"/>
          <w:gridAfter w:val="2"/>
          <w:wBefore w:w="147" w:type="dxa"/>
          <w:wAfter w:w="3093" w:type="dxa"/>
          <w:trHeight w:val="288"/>
        </w:trPr>
        <w:tc>
          <w:tcPr>
            <w:tcW w:w="2848" w:type="dxa"/>
            <w:tcBorders>
              <w:top w:val="nil"/>
              <w:left w:val="nil"/>
              <w:bottom w:val="nil"/>
              <w:right w:val="nil"/>
            </w:tcBorders>
            <w:shd w:val="clear" w:color="auto" w:fill="auto"/>
            <w:noWrap/>
            <w:vAlign w:val="bottom"/>
            <w:hideMark/>
          </w:tcPr>
          <w:p w:rsidR="00D45CCE" w:rsidRPr="00860581" w:rsidRDefault="00D45CCE" w:rsidP="00325D79">
            <w:pPr>
              <w:spacing w:after="0" w:line="240" w:lineRule="auto"/>
              <w:rPr>
                <w:rFonts w:ascii="Calibri" w:eastAsia="Times New Roman" w:hAnsi="Calibri" w:cs="Times New Roman"/>
                <w:color w:val="000000"/>
                <w:sz w:val="20"/>
                <w:szCs w:val="20"/>
              </w:rPr>
            </w:pPr>
            <w:r w:rsidRPr="00860581">
              <w:rPr>
                <w:rFonts w:ascii="Calibri" w:eastAsia="Times New Roman" w:hAnsi="Calibri" w:cs="Times New Roman"/>
                <w:color w:val="000000"/>
                <w:sz w:val="20"/>
                <w:szCs w:val="20"/>
              </w:rPr>
              <w:t>Hijos (1=si tiene)</w:t>
            </w:r>
          </w:p>
        </w:tc>
        <w:tc>
          <w:tcPr>
            <w:tcW w:w="1843" w:type="dxa"/>
            <w:tcBorders>
              <w:top w:val="nil"/>
              <w:left w:val="nil"/>
              <w:bottom w:val="nil"/>
              <w:right w:val="nil"/>
            </w:tcBorders>
            <w:shd w:val="clear" w:color="auto" w:fill="auto"/>
            <w:noWrap/>
            <w:vAlign w:val="bottom"/>
            <w:hideMark/>
          </w:tcPr>
          <w:p w:rsidR="00D45CCE" w:rsidRPr="00860581" w:rsidRDefault="00D45CCE" w:rsidP="00325D79">
            <w:pPr>
              <w:spacing w:after="0" w:line="240" w:lineRule="auto"/>
              <w:jc w:val="center"/>
              <w:rPr>
                <w:rFonts w:ascii="Calibri" w:eastAsia="Times New Roman" w:hAnsi="Calibri" w:cs="Times New Roman"/>
                <w:color w:val="000000"/>
                <w:sz w:val="20"/>
                <w:szCs w:val="20"/>
              </w:rPr>
            </w:pPr>
            <w:r w:rsidRPr="00860581">
              <w:rPr>
                <w:rFonts w:ascii="Calibri" w:eastAsia="Times New Roman" w:hAnsi="Calibri" w:cs="Times New Roman"/>
                <w:color w:val="000000"/>
                <w:sz w:val="20"/>
                <w:szCs w:val="20"/>
              </w:rPr>
              <w:t>0,739***</w:t>
            </w:r>
          </w:p>
        </w:tc>
        <w:tc>
          <w:tcPr>
            <w:tcW w:w="2410" w:type="dxa"/>
            <w:tcBorders>
              <w:top w:val="nil"/>
              <w:left w:val="nil"/>
              <w:bottom w:val="nil"/>
              <w:right w:val="nil"/>
            </w:tcBorders>
            <w:shd w:val="clear" w:color="auto" w:fill="auto"/>
            <w:noWrap/>
            <w:vAlign w:val="bottom"/>
            <w:hideMark/>
          </w:tcPr>
          <w:p w:rsidR="00D45CCE" w:rsidRPr="00860581" w:rsidRDefault="00D45CCE" w:rsidP="00325D79">
            <w:pPr>
              <w:spacing w:after="0" w:line="240" w:lineRule="auto"/>
              <w:jc w:val="center"/>
              <w:rPr>
                <w:rFonts w:ascii="Calibri" w:eastAsia="Times New Roman" w:hAnsi="Calibri" w:cs="Times New Roman"/>
                <w:color w:val="000000"/>
                <w:sz w:val="20"/>
                <w:szCs w:val="20"/>
              </w:rPr>
            </w:pPr>
          </w:p>
        </w:tc>
      </w:tr>
      <w:tr w:rsidR="00D45CCE" w:rsidRPr="00860581" w:rsidTr="00325D79">
        <w:trPr>
          <w:gridBefore w:val="1"/>
          <w:gridAfter w:val="2"/>
          <w:wBefore w:w="147" w:type="dxa"/>
          <w:wAfter w:w="3093" w:type="dxa"/>
          <w:trHeight w:val="288"/>
        </w:trPr>
        <w:tc>
          <w:tcPr>
            <w:tcW w:w="2848" w:type="dxa"/>
            <w:tcBorders>
              <w:top w:val="nil"/>
              <w:left w:val="nil"/>
              <w:bottom w:val="nil"/>
              <w:right w:val="nil"/>
            </w:tcBorders>
            <w:shd w:val="clear" w:color="auto" w:fill="auto"/>
            <w:noWrap/>
            <w:vAlign w:val="bottom"/>
            <w:hideMark/>
          </w:tcPr>
          <w:p w:rsidR="00D45CCE" w:rsidRPr="00860581" w:rsidRDefault="00D45CCE" w:rsidP="00325D79">
            <w:pPr>
              <w:spacing w:after="0" w:line="240" w:lineRule="auto"/>
              <w:rPr>
                <w:rFonts w:ascii="Calibri" w:eastAsia="Times New Roman" w:hAnsi="Calibri" w:cs="Times New Roman"/>
                <w:color w:val="000000"/>
                <w:sz w:val="20"/>
                <w:szCs w:val="20"/>
              </w:rPr>
            </w:pPr>
          </w:p>
        </w:tc>
        <w:tc>
          <w:tcPr>
            <w:tcW w:w="1843" w:type="dxa"/>
            <w:tcBorders>
              <w:top w:val="nil"/>
              <w:left w:val="nil"/>
              <w:bottom w:val="nil"/>
              <w:right w:val="nil"/>
            </w:tcBorders>
            <w:shd w:val="clear" w:color="auto" w:fill="auto"/>
            <w:noWrap/>
            <w:vAlign w:val="bottom"/>
            <w:hideMark/>
          </w:tcPr>
          <w:p w:rsidR="00D45CCE" w:rsidRPr="00860581" w:rsidRDefault="00D45CCE" w:rsidP="00325D79">
            <w:pPr>
              <w:spacing w:after="0" w:line="240" w:lineRule="auto"/>
              <w:jc w:val="center"/>
              <w:rPr>
                <w:rFonts w:ascii="Calibri" w:eastAsia="Times New Roman" w:hAnsi="Calibri" w:cs="Times New Roman"/>
                <w:color w:val="000000"/>
                <w:sz w:val="20"/>
                <w:szCs w:val="20"/>
              </w:rPr>
            </w:pPr>
            <w:r w:rsidRPr="00860581">
              <w:rPr>
                <w:rFonts w:ascii="Calibri" w:eastAsia="Times New Roman" w:hAnsi="Calibri" w:cs="Times New Roman"/>
                <w:color w:val="000000"/>
                <w:sz w:val="20"/>
                <w:szCs w:val="20"/>
              </w:rPr>
              <w:t>(0,0136)</w:t>
            </w:r>
          </w:p>
        </w:tc>
        <w:tc>
          <w:tcPr>
            <w:tcW w:w="2410" w:type="dxa"/>
            <w:tcBorders>
              <w:top w:val="nil"/>
              <w:left w:val="nil"/>
              <w:bottom w:val="nil"/>
              <w:right w:val="nil"/>
            </w:tcBorders>
            <w:shd w:val="clear" w:color="auto" w:fill="auto"/>
            <w:noWrap/>
            <w:vAlign w:val="bottom"/>
            <w:hideMark/>
          </w:tcPr>
          <w:p w:rsidR="00D45CCE" w:rsidRPr="00860581" w:rsidRDefault="00D45CCE" w:rsidP="00325D79">
            <w:pPr>
              <w:spacing w:after="0" w:line="240" w:lineRule="auto"/>
              <w:jc w:val="center"/>
              <w:rPr>
                <w:rFonts w:ascii="Calibri" w:eastAsia="Times New Roman" w:hAnsi="Calibri" w:cs="Times New Roman"/>
                <w:color w:val="000000"/>
                <w:sz w:val="20"/>
                <w:szCs w:val="20"/>
              </w:rPr>
            </w:pPr>
          </w:p>
        </w:tc>
      </w:tr>
      <w:tr w:rsidR="00D45CCE" w:rsidRPr="00860581" w:rsidTr="00325D79">
        <w:trPr>
          <w:gridBefore w:val="1"/>
          <w:gridAfter w:val="2"/>
          <w:wBefore w:w="147" w:type="dxa"/>
          <w:wAfter w:w="3093" w:type="dxa"/>
          <w:trHeight w:val="288"/>
        </w:trPr>
        <w:tc>
          <w:tcPr>
            <w:tcW w:w="2848" w:type="dxa"/>
            <w:tcBorders>
              <w:top w:val="nil"/>
              <w:left w:val="nil"/>
              <w:bottom w:val="nil"/>
              <w:right w:val="nil"/>
            </w:tcBorders>
            <w:shd w:val="clear" w:color="auto" w:fill="auto"/>
            <w:noWrap/>
            <w:vAlign w:val="bottom"/>
            <w:hideMark/>
          </w:tcPr>
          <w:p w:rsidR="00D45CCE" w:rsidRPr="00860581" w:rsidRDefault="00D45CCE" w:rsidP="00325D79">
            <w:pPr>
              <w:spacing w:after="0" w:line="240" w:lineRule="auto"/>
              <w:rPr>
                <w:rFonts w:ascii="Calibri" w:eastAsia="Times New Roman" w:hAnsi="Calibri" w:cs="Times New Roman"/>
                <w:color w:val="000000"/>
                <w:sz w:val="20"/>
                <w:szCs w:val="20"/>
              </w:rPr>
            </w:pPr>
            <w:r w:rsidRPr="00860581">
              <w:rPr>
                <w:rFonts w:ascii="Calibri" w:eastAsia="Times New Roman" w:hAnsi="Calibri" w:cs="Times New Roman"/>
                <w:color w:val="000000"/>
                <w:sz w:val="20"/>
                <w:szCs w:val="20"/>
              </w:rPr>
              <w:t>Cónyuge (1=si lo tiene)</w:t>
            </w:r>
          </w:p>
        </w:tc>
        <w:tc>
          <w:tcPr>
            <w:tcW w:w="1843" w:type="dxa"/>
            <w:tcBorders>
              <w:top w:val="nil"/>
              <w:left w:val="nil"/>
              <w:bottom w:val="nil"/>
              <w:right w:val="nil"/>
            </w:tcBorders>
            <w:shd w:val="clear" w:color="auto" w:fill="auto"/>
            <w:noWrap/>
            <w:vAlign w:val="bottom"/>
            <w:hideMark/>
          </w:tcPr>
          <w:p w:rsidR="00D45CCE" w:rsidRPr="00860581" w:rsidRDefault="00D45CCE" w:rsidP="00325D79">
            <w:pPr>
              <w:spacing w:after="0" w:line="240" w:lineRule="auto"/>
              <w:jc w:val="center"/>
              <w:rPr>
                <w:rFonts w:ascii="Calibri" w:eastAsia="Times New Roman" w:hAnsi="Calibri" w:cs="Times New Roman"/>
                <w:color w:val="000000"/>
                <w:sz w:val="20"/>
                <w:szCs w:val="20"/>
              </w:rPr>
            </w:pPr>
            <w:r w:rsidRPr="00860581">
              <w:rPr>
                <w:rFonts w:ascii="Calibri" w:eastAsia="Times New Roman" w:hAnsi="Calibri" w:cs="Times New Roman"/>
                <w:color w:val="000000"/>
                <w:sz w:val="20"/>
                <w:szCs w:val="20"/>
              </w:rPr>
              <w:t>0,350***</w:t>
            </w:r>
          </w:p>
        </w:tc>
        <w:tc>
          <w:tcPr>
            <w:tcW w:w="2410" w:type="dxa"/>
            <w:tcBorders>
              <w:top w:val="nil"/>
              <w:left w:val="nil"/>
              <w:bottom w:val="nil"/>
              <w:right w:val="nil"/>
            </w:tcBorders>
            <w:shd w:val="clear" w:color="auto" w:fill="auto"/>
            <w:noWrap/>
            <w:vAlign w:val="bottom"/>
            <w:hideMark/>
          </w:tcPr>
          <w:p w:rsidR="00D45CCE" w:rsidRPr="00860581" w:rsidRDefault="00D45CCE" w:rsidP="00325D79">
            <w:pPr>
              <w:spacing w:after="0" w:line="240" w:lineRule="auto"/>
              <w:jc w:val="center"/>
              <w:rPr>
                <w:rFonts w:ascii="Calibri" w:eastAsia="Times New Roman" w:hAnsi="Calibri" w:cs="Times New Roman"/>
                <w:color w:val="000000"/>
                <w:sz w:val="20"/>
                <w:szCs w:val="20"/>
              </w:rPr>
            </w:pPr>
          </w:p>
        </w:tc>
      </w:tr>
      <w:tr w:rsidR="00D45CCE" w:rsidRPr="00860581" w:rsidTr="00325D79">
        <w:trPr>
          <w:gridBefore w:val="1"/>
          <w:gridAfter w:val="2"/>
          <w:wBefore w:w="147" w:type="dxa"/>
          <w:wAfter w:w="3093" w:type="dxa"/>
          <w:trHeight w:val="288"/>
        </w:trPr>
        <w:tc>
          <w:tcPr>
            <w:tcW w:w="2848" w:type="dxa"/>
            <w:tcBorders>
              <w:top w:val="nil"/>
              <w:left w:val="nil"/>
              <w:bottom w:val="nil"/>
              <w:right w:val="nil"/>
            </w:tcBorders>
            <w:shd w:val="clear" w:color="auto" w:fill="auto"/>
            <w:noWrap/>
            <w:vAlign w:val="bottom"/>
            <w:hideMark/>
          </w:tcPr>
          <w:p w:rsidR="00D45CCE" w:rsidRPr="00860581" w:rsidRDefault="00D45CCE" w:rsidP="00325D79">
            <w:pPr>
              <w:spacing w:after="0" w:line="240" w:lineRule="auto"/>
              <w:rPr>
                <w:rFonts w:ascii="Calibri" w:eastAsia="Times New Roman" w:hAnsi="Calibri" w:cs="Times New Roman"/>
                <w:color w:val="000000"/>
                <w:sz w:val="20"/>
                <w:szCs w:val="20"/>
              </w:rPr>
            </w:pPr>
          </w:p>
        </w:tc>
        <w:tc>
          <w:tcPr>
            <w:tcW w:w="1843" w:type="dxa"/>
            <w:tcBorders>
              <w:top w:val="nil"/>
              <w:left w:val="nil"/>
              <w:bottom w:val="nil"/>
              <w:right w:val="nil"/>
            </w:tcBorders>
            <w:shd w:val="clear" w:color="auto" w:fill="auto"/>
            <w:noWrap/>
            <w:vAlign w:val="bottom"/>
            <w:hideMark/>
          </w:tcPr>
          <w:p w:rsidR="00D45CCE" w:rsidRPr="00860581" w:rsidRDefault="00D45CCE" w:rsidP="00325D79">
            <w:pPr>
              <w:spacing w:after="0" w:line="240" w:lineRule="auto"/>
              <w:jc w:val="center"/>
              <w:rPr>
                <w:rFonts w:ascii="Calibri" w:eastAsia="Times New Roman" w:hAnsi="Calibri" w:cs="Times New Roman"/>
                <w:color w:val="000000"/>
                <w:sz w:val="20"/>
                <w:szCs w:val="20"/>
              </w:rPr>
            </w:pPr>
            <w:r w:rsidRPr="00860581">
              <w:rPr>
                <w:rFonts w:ascii="Calibri" w:eastAsia="Times New Roman" w:hAnsi="Calibri" w:cs="Times New Roman"/>
                <w:color w:val="000000"/>
                <w:sz w:val="20"/>
                <w:szCs w:val="20"/>
              </w:rPr>
              <w:t>(0,0122)</w:t>
            </w:r>
          </w:p>
        </w:tc>
        <w:tc>
          <w:tcPr>
            <w:tcW w:w="2410" w:type="dxa"/>
            <w:tcBorders>
              <w:top w:val="nil"/>
              <w:left w:val="nil"/>
              <w:bottom w:val="nil"/>
              <w:right w:val="nil"/>
            </w:tcBorders>
            <w:shd w:val="clear" w:color="auto" w:fill="auto"/>
            <w:noWrap/>
            <w:vAlign w:val="bottom"/>
            <w:hideMark/>
          </w:tcPr>
          <w:p w:rsidR="00D45CCE" w:rsidRPr="00860581" w:rsidRDefault="00D45CCE" w:rsidP="00325D79">
            <w:pPr>
              <w:spacing w:after="0" w:line="240" w:lineRule="auto"/>
              <w:jc w:val="center"/>
              <w:rPr>
                <w:rFonts w:ascii="Calibri" w:eastAsia="Times New Roman" w:hAnsi="Calibri" w:cs="Times New Roman"/>
                <w:color w:val="000000"/>
                <w:sz w:val="20"/>
                <w:szCs w:val="20"/>
              </w:rPr>
            </w:pPr>
          </w:p>
        </w:tc>
      </w:tr>
      <w:tr w:rsidR="00D45CCE" w:rsidRPr="00860581" w:rsidTr="00325D79">
        <w:trPr>
          <w:gridBefore w:val="1"/>
          <w:gridAfter w:val="2"/>
          <w:wBefore w:w="147" w:type="dxa"/>
          <w:wAfter w:w="3093" w:type="dxa"/>
          <w:trHeight w:val="288"/>
        </w:trPr>
        <w:tc>
          <w:tcPr>
            <w:tcW w:w="2848" w:type="dxa"/>
            <w:tcBorders>
              <w:top w:val="nil"/>
              <w:left w:val="nil"/>
              <w:bottom w:val="nil"/>
              <w:right w:val="nil"/>
            </w:tcBorders>
            <w:shd w:val="clear" w:color="auto" w:fill="auto"/>
            <w:noWrap/>
            <w:vAlign w:val="bottom"/>
            <w:hideMark/>
          </w:tcPr>
          <w:p w:rsidR="00D45CCE" w:rsidRPr="00860581" w:rsidRDefault="00D45CCE" w:rsidP="00325D79">
            <w:pPr>
              <w:spacing w:after="0" w:line="240" w:lineRule="auto"/>
              <w:rPr>
                <w:rFonts w:ascii="Calibri" w:eastAsia="Times New Roman" w:hAnsi="Calibri" w:cs="Times New Roman"/>
                <w:color w:val="000000"/>
                <w:sz w:val="20"/>
                <w:szCs w:val="20"/>
              </w:rPr>
            </w:pPr>
            <w:r w:rsidRPr="00860581">
              <w:rPr>
                <w:rFonts w:ascii="Calibri" w:eastAsia="Times New Roman" w:hAnsi="Calibri" w:cs="Times New Roman"/>
                <w:color w:val="000000"/>
                <w:sz w:val="20"/>
                <w:szCs w:val="20"/>
              </w:rPr>
              <w:t>Constante</w:t>
            </w:r>
          </w:p>
        </w:tc>
        <w:tc>
          <w:tcPr>
            <w:tcW w:w="1843" w:type="dxa"/>
            <w:tcBorders>
              <w:top w:val="nil"/>
              <w:left w:val="nil"/>
              <w:bottom w:val="nil"/>
              <w:right w:val="nil"/>
            </w:tcBorders>
            <w:shd w:val="clear" w:color="auto" w:fill="auto"/>
            <w:noWrap/>
            <w:vAlign w:val="bottom"/>
            <w:hideMark/>
          </w:tcPr>
          <w:p w:rsidR="00D45CCE" w:rsidRPr="00860581" w:rsidRDefault="00D45CCE" w:rsidP="00325D79">
            <w:pPr>
              <w:spacing w:after="0" w:line="240" w:lineRule="auto"/>
              <w:jc w:val="center"/>
              <w:rPr>
                <w:rFonts w:ascii="Calibri" w:eastAsia="Times New Roman" w:hAnsi="Calibri" w:cs="Times New Roman"/>
                <w:color w:val="000000"/>
                <w:sz w:val="20"/>
                <w:szCs w:val="20"/>
              </w:rPr>
            </w:pPr>
            <w:r w:rsidRPr="00860581">
              <w:rPr>
                <w:rFonts w:ascii="Calibri" w:eastAsia="Times New Roman" w:hAnsi="Calibri" w:cs="Times New Roman"/>
                <w:color w:val="000000"/>
                <w:sz w:val="20"/>
                <w:szCs w:val="20"/>
              </w:rPr>
              <w:t>-0,123***</w:t>
            </w:r>
          </w:p>
        </w:tc>
        <w:tc>
          <w:tcPr>
            <w:tcW w:w="2410" w:type="dxa"/>
            <w:tcBorders>
              <w:top w:val="nil"/>
              <w:left w:val="nil"/>
              <w:bottom w:val="nil"/>
              <w:right w:val="nil"/>
            </w:tcBorders>
            <w:shd w:val="clear" w:color="auto" w:fill="auto"/>
            <w:noWrap/>
            <w:vAlign w:val="bottom"/>
            <w:hideMark/>
          </w:tcPr>
          <w:p w:rsidR="00D45CCE" w:rsidRPr="00860581" w:rsidRDefault="00D45CCE" w:rsidP="00325D79">
            <w:pPr>
              <w:spacing w:after="0" w:line="240" w:lineRule="auto"/>
              <w:jc w:val="center"/>
              <w:rPr>
                <w:rFonts w:ascii="Calibri" w:eastAsia="Times New Roman" w:hAnsi="Calibri" w:cs="Times New Roman"/>
                <w:color w:val="000000"/>
                <w:sz w:val="20"/>
                <w:szCs w:val="20"/>
              </w:rPr>
            </w:pPr>
            <w:r w:rsidRPr="00860581">
              <w:rPr>
                <w:rFonts w:ascii="Calibri" w:eastAsia="Times New Roman" w:hAnsi="Calibri" w:cs="Times New Roman"/>
                <w:color w:val="000000"/>
                <w:sz w:val="20"/>
                <w:szCs w:val="20"/>
              </w:rPr>
              <w:t>6,481***</w:t>
            </w:r>
          </w:p>
        </w:tc>
      </w:tr>
      <w:tr w:rsidR="00D45CCE" w:rsidRPr="00860581" w:rsidTr="00325D79">
        <w:trPr>
          <w:gridBefore w:val="1"/>
          <w:gridAfter w:val="2"/>
          <w:wBefore w:w="147" w:type="dxa"/>
          <w:wAfter w:w="3093" w:type="dxa"/>
          <w:trHeight w:val="288"/>
        </w:trPr>
        <w:tc>
          <w:tcPr>
            <w:tcW w:w="2848" w:type="dxa"/>
            <w:tcBorders>
              <w:top w:val="nil"/>
              <w:left w:val="nil"/>
              <w:bottom w:val="single" w:sz="4" w:space="0" w:color="auto"/>
              <w:right w:val="nil"/>
            </w:tcBorders>
            <w:shd w:val="clear" w:color="auto" w:fill="auto"/>
            <w:noWrap/>
            <w:vAlign w:val="bottom"/>
            <w:hideMark/>
          </w:tcPr>
          <w:p w:rsidR="00D45CCE" w:rsidRPr="00860581" w:rsidRDefault="00D45CCE" w:rsidP="00325D79">
            <w:pPr>
              <w:spacing w:after="0" w:line="240" w:lineRule="auto"/>
              <w:rPr>
                <w:rFonts w:ascii="Calibri" w:eastAsia="Times New Roman" w:hAnsi="Calibri" w:cs="Times New Roman"/>
                <w:color w:val="000000"/>
                <w:sz w:val="20"/>
                <w:szCs w:val="20"/>
              </w:rPr>
            </w:pPr>
            <w:r w:rsidRPr="00860581">
              <w:rPr>
                <w:rFonts w:ascii="Calibri" w:eastAsia="Times New Roman" w:hAnsi="Calibri" w:cs="Times New Roman"/>
                <w:color w:val="000000"/>
                <w:sz w:val="20"/>
                <w:szCs w:val="20"/>
              </w:rPr>
              <w:t> </w:t>
            </w:r>
          </w:p>
        </w:tc>
        <w:tc>
          <w:tcPr>
            <w:tcW w:w="1843" w:type="dxa"/>
            <w:tcBorders>
              <w:top w:val="nil"/>
              <w:left w:val="nil"/>
              <w:bottom w:val="single" w:sz="4" w:space="0" w:color="auto"/>
              <w:right w:val="nil"/>
            </w:tcBorders>
            <w:shd w:val="clear" w:color="auto" w:fill="auto"/>
            <w:noWrap/>
            <w:vAlign w:val="bottom"/>
            <w:hideMark/>
          </w:tcPr>
          <w:p w:rsidR="00D45CCE" w:rsidRPr="00860581" w:rsidRDefault="00D45CCE" w:rsidP="00325D79">
            <w:pPr>
              <w:spacing w:after="0" w:line="240" w:lineRule="auto"/>
              <w:jc w:val="center"/>
              <w:rPr>
                <w:rFonts w:ascii="Calibri" w:eastAsia="Times New Roman" w:hAnsi="Calibri" w:cs="Times New Roman"/>
                <w:color w:val="000000"/>
                <w:sz w:val="20"/>
                <w:szCs w:val="20"/>
              </w:rPr>
            </w:pPr>
            <w:r w:rsidRPr="00860581">
              <w:rPr>
                <w:rFonts w:ascii="Calibri" w:eastAsia="Times New Roman" w:hAnsi="Calibri" w:cs="Times New Roman"/>
                <w:color w:val="000000"/>
                <w:sz w:val="20"/>
                <w:szCs w:val="20"/>
              </w:rPr>
              <w:t>(0,0197)</w:t>
            </w:r>
          </w:p>
        </w:tc>
        <w:tc>
          <w:tcPr>
            <w:tcW w:w="2410" w:type="dxa"/>
            <w:tcBorders>
              <w:top w:val="nil"/>
              <w:left w:val="nil"/>
              <w:bottom w:val="single" w:sz="4" w:space="0" w:color="auto"/>
              <w:right w:val="nil"/>
            </w:tcBorders>
            <w:shd w:val="clear" w:color="auto" w:fill="auto"/>
            <w:noWrap/>
            <w:vAlign w:val="bottom"/>
            <w:hideMark/>
          </w:tcPr>
          <w:p w:rsidR="00D45CCE" w:rsidRPr="00860581" w:rsidRDefault="00D45CCE" w:rsidP="00325D79">
            <w:pPr>
              <w:spacing w:after="0" w:line="240" w:lineRule="auto"/>
              <w:jc w:val="center"/>
              <w:rPr>
                <w:rFonts w:ascii="Calibri" w:eastAsia="Times New Roman" w:hAnsi="Calibri" w:cs="Times New Roman"/>
                <w:color w:val="000000"/>
                <w:sz w:val="20"/>
                <w:szCs w:val="20"/>
              </w:rPr>
            </w:pPr>
            <w:r w:rsidRPr="00860581">
              <w:rPr>
                <w:rFonts w:ascii="Calibri" w:eastAsia="Times New Roman" w:hAnsi="Calibri" w:cs="Times New Roman"/>
                <w:color w:val="000000"/>
                <w:sz w:val="20"/>
                <w:szCs w:val="20"/>
              </w:rPr>
              <w:t>(0,0502)</w:t>
            </w:r>
          </w:p>
        </w:tc>
      </w:tr>
      <w:tr w:rsidR="00D45CCE" w:rsidRPr="00860581" w:rsidTr="00325D79">
        <w:trPr>
          <w:gridBefore w:val="1"/>
          <w:gridAfter w:val="2"/>
          <w:wBefore w:w="147" w:type="dxa"/>
          <w:wAfter w:w="3093" w:type="dxa"/>
          <w:trHeight w:val="288"/>
        </w:trPr>
        <w:tc>
          <w:tcPr>
            <w:tcW w:w="2848" w:type="dxa"/>
            <w:tcBorders>
              <w:top w:val="nil"/>
              <w:left w:val="nil"/>
              <w:bottom w:val="single" w:sz="4" w:space="0" w:color="auto"/>
              <w:right w:val="nil"/>
            </w:tcBorders>
            <w:shd w:val="clear" w:color="auto" w:fill="auto"/>
            <w:noWrap/>
            <w:vAlign w:val="bottom"/>
            <w:hideMark/>
          </w:tcPr>
          <w:p w:rsidR="00D45CCE" w:rsidRPr="00860581" w:rsidRDefault="00D45CCE" w:rsidP="00325D79">
            <w:pPr>
              <w:spacing w:after="0" w:line="240" w:lineRule="auto"/>
              <w:rPr>
                <w:rFonts w:ascii="Calibri" w:eastAsia="Times New Roman" w:hAnsi="Calibri" w:cs="Times New Roman"/>
                <w:color w:val="000000"/>
                <w:sz w:val="20"/>
                <w:szCs w:val="20"/>
              </w:rPr>
            </w:pPr>
            <w:r w:rsidRPr="00860581">
              <w:rPr>
                <w:rFonts w:ascii="Calibri" w:eastAsia="Times New Roman" w:hAnsi="Calibri" w:cs="Times New Roman"/>
                <w:color w:val="000000"/>
                <w:sz w:val="20"/>
                <w:szCs w:val="20"/>
              </w:rPr>
              <w:t>Número de observaciones</w:t>
            </w:r>
          </w:p>
        </w:tc>
        <w:tc>
          <w:tcPr>
            <w:tcW w:w="1843" w:type="dxa"/>
            <w:tcBorders>
              <w:top w:val="nil"/>
              <w:left w:val="nil"/>
              <w:bottom w:val="single" w:sz="4" w:space="0" w:color="auto"/>
              <w:right w:val="nil"/>
            </w:tcBorders>
            <w:shd w:val="clear" w:color="auto" w:fill="auto"/>
            <w:noWrap/>
            <w:vAlign w:val="bottom"/>
            <w:hideMark/>
          </w:tcPr>
          <w:p w:rsidR="00D45CCE" w:rsidRPr="00860581" w:rsidRDefault="00D45CCE" w:rsidP="00325D79">
            <w:pPr>
              <w:spacing w:after="0" w:line="240" w:lineRule="auto"/>
              <w:jc w:val="center"/>
              <w:rPr>
                <w:rFonts w:ascii="Calibri" w:eastAsia="Times New Roman" w:hAnsi="Calibri" w:cs="Times New Roman"/>
                <w:color w:val="000000"/>
                <w:sz w:val="20"/>
                <w:szCs w:val="20"/>
              </w:rPr>
            </w:pPr>
            <w:r w:rsidRPr="00860581">
              <w:rPr>
                <w:rFonts w:ascii="Calibri" w:eastAsia="Times New Roman" w:hAnsi="Calibri" w:cs="Times New Roman"/>
                <w:color w:val="000000"/>
                <w:sz w:val="20"/>
                <w:szCs w:val="20"/>
              </w:rPr>
              <w:t>84</w:t>
            </w:r>
            <w:r w:rsidR="00A151EB">
              <w:rPr>
                <w:rFonts w:ascii="Calibri" w:eastAsia="Times New Roman" w:hAnsi="Calibri" w:cs="Times New Roman"/>
                <w:color w:val="000000"/>
                <w:sz w:val="20"/>
                <w:szCs w:val="20"/>
              </w:rPr>
              <w:t>.</w:t>
            </w:r>
            <w:r w:rsidRPr="00860581">
              <w:rPr>
                <w:rFonts w:ascii="Calibri" w:eastAsia="Times New Roman" w:hAnsi="Calibri" w:cs="Times New Roman"/>
                <w:color w:val="000000"/>
                <w:sz w:val="20"/>
                <w:szCs w:val="20"/>
              </w:rPr>
              <w:t>064</w:t>
            </w:r>
          </w:p>
        </w:tc>
        <w:tc>
          <w:tcPr>
            <w:tcW w:w="2410" w:type="dxa"/>
            <w:tcBorders>
              <w:top w:val="nil"/>
              <w:left w:val="nil"/>
              <w:bottom w:val="single" w:sz="4" w:space="0" w:color="auto"/>
              <w:right w:val="nil"/>
            </w:tcBorders>
            <w:shd w:val="clear" w:color="auto" w:fill="auto"/>
            <w:noWrap/>
            <w:vAlign w:val="bottom"/>
            <w:hideMark/>
          </w:tcPr>
          <w:p w:rsidR="00D45CCE" w:rsidRPr="00860581" w:rsidRDefault="00D45CCE" w:rsidP="00325D79">
            <w:pPr>
              <w:spacing w:after="0" w:line="240" w:lineRule="auto"/>
              <w:jc w:val="center"/>
              <w:rPr>
                <w:rFonts w:ascii="Calibri" w:eastAsia="Times New Roman" w:hAnsi="Calibri" w:cs="Times New Roman"/>
                <w:color w:val="000000"/>
                <w:sz w:val="20"/>
                <w:szCs w:val="20"/>
              </w:rPr>
            </w:pPr>
          </w:p>
        </w:tc>
      </w:tr>
      <w:tr w:rsidR="00D45CCE" w:rsidRPr="00E9526D" w:rsidTr="00325D79">
        <w:trPr>
          <w:gridBefore w:val="1"/>
          <w:gridAfter w:val="2"/>
          <w:wBefore w:w="147" w:type="dxa"/>
          <w:wAfter w:w="3093" w:type="dxa"/>
          <w:trHeight w:val="288"/>
        </w:trPr>
        <w:tc>
          <w:tcPr>
            <w:tcW w:w="7101" w:type="dxa"/>
            <w:gridSpan w:val="3"/>
            <w:tcBorders>
              <w:top w:val="nil"/>
              <w:left w:val="nil"/>
              <w:bottom w:val="nil"/>
              <w:right w:val="nil"/>
            </w:tcBorders>
            <w:shd w:val="clear" w:color="auto" w:fill="auto"/>
            <w:noWrap/>
            <w:vAlign w:val="bottom"/>
            <w:hideMark/>
          </w:tcPr>
          <w:p w:rsidR="00D45CCE" w:rsidRPr="00E35E58" w:rsidRDefault="00D45CCE" w:rsidP="00325D79">
            <w:pPr>
              <w:spacing w:after="0" w:line="240" w:lineRule="auto"/>
              <w:rPr>
                <w:rFonts w:ascii="Calibri" w:eastAsia="Times New Roman" w:hAnsi="Calibri" w:cs="Times New Roman"/>
                <w:color w:val="000000"/>
                <w:sz w:val="20"/>
                <w:szCs w:val="20"/>
              </w:rPr>
            </w:pPr>
            <w:r w:rsidRPr="00E35E58">
              <w:rPr>
                <w:rFonts w:ascii="Calibri" w:eastAsia="Times New Roman" w:hAnsi="Calibri" w:cs="Times New Roman"/>
                <w:b/>
                <w:color w:val="000000"/>
                <w:sz w:val="20"/>
                <w:szCs w:val="20"/>
              </w:rPr>
              <w:t>Notas</w:t>
            </w:r>
            <w:r w:rsidRPr="00E35E58">
              <w:rPr>
                <w:rFonts w:ascii="Calibri" w:eastAsia="Times New Roman" w:hAnsi="Calibri" w:cs="Times New Roman"/>
                <w:color w:val="000000"/>
                <w:sz w:val="20"/>
                <w:szCs w:val="20"/>
              </w:rPr>
              <w:t>: Errores estándar robustos entre paréntesis. *** p&lt;0.01, ** p&lt;0.05, * p&lt;0.1</w:t>
            </w:r>
          </w:p>
        </w:tc>
      </w:tr>
      <w:tr w:rsidR="00D45CCE" w:rsidRPr="00117B8B" w:rsidTr="00325D79">
        <w:trPr>
          <w:trHeight w:val="288"/>
        </w:trPr>
        <w:tc>
          <w:tcPr>
            <w:tcW w:w="9004" w:type="dxa"/>
            <w:gridSpan w:val="5"/>
            <w:tcBorders>
              <w:top w:val="nil"/>
              <w:left w:val="nil"/>
              <w:bottom w:val="nil"/>
              <w:right w:val="nil"/>
            </w:tcBorders>
            <w:shd w:val="clear" w:color="auto" w:fill="auto"/>
            <w:noWrap/>
            <w:vAlign w:val="bottom"/>
            <w:hideMark/>
          </w:tcPr>
          <w:p w:rsidR="00D45CCE" w:rsidRPr="00E35E58" w:rsidRDefault="00D45CCE" w:rsidP="00325D79">
            <w:pPr>
              <w:spacing w:after="0" w:line="240" w:lineRule="auto"/>
              <w:ind w:firstLineChars="100" w:firstLine="200"/>
              <w:rPr>
                <w:rFonts w:ascii="Calibri" w:eastAsia="Times New Roman" w:hAnsi="Calibri" w:cs="Times New Roman"/>
                <w:i/>
                <w:iCs/>
                <w:color w:val="000000"/>
                <w:sz w:val="20"/>
                <w:szCs w:val="20"/>
              </w:rPr>
            </w:pPr>
            <w:r w:rsidRPr="00E35E58">
              <w:rPr>
                <w:rFonts w:ascii="Calibri" w:eastAsia="Times New Roman" w:hAnsi="Calibri" w:cs="Times New Roman"/>
                <w:i/>
                <w:iCs/>
                <w:color w:val="000000"/>
                <w:sz w:val="20"/>
                <w:szCs w:val="20"/>
              </w:rPr>
              <w:t xml:space="preserve">Sexo </w:t>
            </w:r>
            <w:r w:rsidRPr="00E35E58">
              <w:rPr>
                <w:rFonts w:ascii="Calibri" w:eastAsia="Times New Roman" w:hAnsi="Calibri" w:cs="Times New Roman"/>
                <w:color w:val="000000"/>
                <w:sz w:val="20"/>
                <w:szCs w:val="20"/>
              </w:rPr>
              <w:t>es una variable binaria que toma el valor 1 si el individuo es mujer</w:t>
            </w:r>
            <w:r w:rsidR="00D22DF4">
              <w:rPr>
                <w:rFonts w:ascii="Calibri" w:eastAsia="Times New Roman" w:hAnsi="Calibri" w:cs="Times New Roman"/>
                <w:color w:val="000000"/>
                <w:sz w:val="20"/>
                <w:szCs w:val="20"/>
              </w:rPr>
              <w:t>.</w:t>
            </w:r>
            <w:r w:rsidRPr="00E35E58">
              <w:rPr>
                <w:rFonts w:ascii="Calibri" w:eastAsia="Times New Roman" w:hAnsi="Calibri" w:cs="Times New Roman"/>
                <w:i/>
                <w:iCs/>
                <w:color w:val="000000"/>
                <w:sz w:val="20"/>
                <w:szCs w:val="20"/>
              </w:rPr>
              <w:t xml:space="preserve"> </w:t>
            </w:r>
          </w:p>
          <w:p w:rsidR="00D45CCE" w:rsidRPr="00E35E58" w:rsidRDefault="00D45CCE" w:rsidP="00325D79">
            <w:pPr>
              <w:spacing w:after="0" w:line="240" w:lineRule="auto"/>
              <w:ind w:firstLineChars="100" w:firstLine="200"/>
              <w:rPr>
                <w:rFonts w:ascii="Calibri" w:eastAsia="Times New Roman" w:hAnsi="Calibri" w:cs="Times New Roman"/>
                <w:i/>
                <w:iCs/>
                <w:color w:val="000000"/>
                <w:sz w:val="20"/>
                <w:szCs w:val="20"/>
              </w:rPr>
            </w:pPr>
            <w:r w:rsidRPr="00E35E58">
              <w:rPr>
                <w:rFonts w:ascii="Calibri" w:eastAsia="Times New Roman" w:hAnsi="Calibri" w:cs="Times New Roman"/>
                <w:i/>
                <w:iCs/>
                <w:color w:val="000000"/>
                <w:sz w:val="20"/>
                <w:szCs w:val="20"/>
              </w:rPr>
              <w:t xml:space="preserve">Edad </w:t>
            </w:r>
            <w:r w:rsidRPr="00E35E58">
              <w:rPr>
                <w:rFonts w:ascii="Calibri" w:eastAsia="Times New Roman" w:hAnsi="Calibri" w:cs="Times New Roman"/>
                <w:color w:val="000000"/>
                <w:sz w:val="20"/>
                <w:szCs w:val="20"/>
              </w:rPr>
              <w:t>representa la edad del individuo</w:t>
            </w:r>
            <w:r w:rsidR="00D22DF4">
              <w:rPr>
                <w:rFonts w:ascii="Calibri" w:eastAsia="Times New Roman" w:hAnsi="Calibri" w:cs="Times New Roman"/>
                <w:i/>
                <w:iCs/>
                <w:color w:val="000000"/>
                <w:sz w:val="20"/>
                <w:szCs w:val="20"/>
              </w:rPr>
              <w:t>.</w:t>
            </w:r>
          </w:p>
          <w:p w:rsidR="00D45CCE" w:rsidRPr="00E35E58" w:rsidRDefault="00D45CCE" w:rsidP="00325D79">
            <w:pPr>
              <w:spacing w:after="0" w:line="240" w:lineRule="auto"/>
              <w:ind w:left="232" w:hanging="1"/>
              <w:rPr>
                <w:rFonts w:ascii="Calibri" w:eastAsia="Times New Roman" w:hAnsi="Calibri" w:cs="Times New Roman"/>
                <w:color w:val="000000"/>
                <w:sz w:val="20"/>
                <w:szCs w:val="20"/>
              </w:rPr>
            </w:pPr>
            <w:r w:rsidRPr="00E35E58">
              <w:rPr>
                <w:rFonts w:ascii="Calibri" w:eastAsia="Times New Roman" w:hAnsi="Calibri" w:cs="Times New Roman"/>
                <w:i/>
                <w:iCs/>
                <w:color w:val="000000"/>
                <w:sz w:val="20"/>
                <w:szCs w:val="20"/>
              </w:rPr>
              <w:t xml:space="preserve">Hijos </w:t>
            </w:r>
            <w:r w:rsidRPr="00E35E58">
              <w:rPr>
                <w:rFonts w:ascii="Calibri" w:eastAsia="Times New Roman" w:hAnsi="Calibri" w:cs="Times New Roman"/>
                <w:color w:val="000000"/>
                <w:sz w:val="20"/>
                <w:szCs w:val="20"/>
              </w:rPr>
              <w:t>es una variable binaria que toma el valor 1 si el individuo tiene hijos en su hogar</w:t>
            </w:r>
            <w:r w:rsidRPr="00E35E58">
              <w:rPr>
                <w:rFonts w:ascii="Calibri" w:eastAsia="Times New Roman" w:hAnsi="Calibri" w:cs="Times New Roman"/>
                <w:i/>
                <w:iCs/>
                <w:color w:val="000000"/>
                <w:sz w:val="20"/>
                <w:szCs w:val="20"/>
              </w:rPr>
              <w:t xml:space="preserve"> Cónyuge </w:t>
            </w:r>
            <w:r w:rsidRPr="00E35E58">
              <w:rPr>
                <w:rFonts w:ascii="Calibri" w:eastAsia="Times New Roman" w:hAnsi="Calibri" w:cs="Times New Roman"/>
                <w:color w:val="000000"/>
                <w:sz w:val="20"/>
                <w:szCs w:val="20"/>
              </w:rPr>
              <w:t>es una variable binaria que toma el valor 1 si el individuo tiene cónyuge o pareja en su hogar</w:t>
            </w:r>
          </w:p>
          <w:p w:rsidR="00D45CCE" w:rsidRPr="00E35E58" w:rsidRDefault="00D45CCE" w:rsidP="00325D79">
            <w:pPr>
              <w:spacing w:after="0" w:line="240" w:lineRule="auto"/>
              <w:ind w:left="232" w:hanging="1"/>
              <w:rPr>
                <w:rFonts w:ascii="Calibri" w:eastAsia="Times New Roman" w:hAnsi="Calibri" w:cs="Times New Roman"/>
                <w:color w:val="000000"/>
                <w:sz w:val="20"/>
                <w:szCs w:val="20"/>
              </w:rPr>
            </w:pPr>
            <w:r w:rsidRPr="00E35E58">
              <w:rPr>
                <w:rFonts w:ascii="Calibri" w:eastAsia="Times New Roman" w:hAnsi="Calibri" w:cs="Times New Roman"/>
                <w:i/>
                <w:iCs/>
                <w:color w:val="000000"/>
                <w:sz w:val="20"/>
                <w:szCs w:val="20"/>
              </w:rPr>
              <w:t xml:space="preserve">Nivel Educativo </w:t>
            </w:r>
            <w:r w:rsidRPr="00E35E58">
              <w:rPr>
                <w:rFonts w:ascii="Calibri" w:eastAsia="Times New Roman" w:hAnsi="Calibri" w:cs="Times New Roman"/>
                <w:color w:val="000000"/>
                <w:sz w:val="20"/>
                <w:szCs w:val="20"/>
              </w:rPr>
              <w:t>refleja el máximo nivel educativo alcanzado por el individuo, y toma valor: 0 si el individuo no tiene instrucción o alcanzó hasta educación preescolar; 1 si alcanzó hasta enseñanza primaria; 2 si alcanzó hasta enseñanza secundaria; 3 si asistió a centros de formación docente; y 4 si tiene estudios universitarios</w:t>
            </w:r>
          </w:p>
          <w:p w:rsidR="00D45CCE" w:rsidRDefault="00D45CCE" w:rsidP="00325D79">
            <w:pPr>
              <w:spacing w:after="0" w:line="240" w:lineRule="auto"/>
              <w:ind w:left="232" w:hanging="1"/>
              <w:rPr>
                <w:rFonts w:ascii="Calibri" w:eastAsia="Times New Roman" w:hAnsi="Calibri" w:cs="Times New Roman"/>
                <w:color w:val="000000"/>
                <w:sz w:val="20"/>
                <w:szCs w:val="20"/>
              </w:rPr>
            </w:pPr>
            <w:r w:rsidRPr="00E35E58">
              <w:rPr>
                <w:rFonts w:ascii="Calibri" w:eastAsia="Times New Roman" w:hAnsi="Calibri" w:cs="Times New Roman"/>
                <w:i/>
                <w:iCs/>
                <w:color w:val="000000"/>
                <w:sz w:val="20"/>
                <w:szCs w:val="20"/>
              </w:rPr>
              <w:t>Logaritmo del ingreso</w:t>
            </w:r>
            <w:r w:rsidRPr="00E35E58">
              <w:rPr>
                <w:rFonts w:ascii="Calibri" w:eastAsia="Times New Roman" w:hAnsi="Calibri" w:cs="Times New Roman"/>
                <w:color w:val="000000"/>
                <w:sz w:val="20"/>
                <w:szCs w:val="20"/>
              </w:rPr>
              <w:t xml:space="preserve"> es computado como el logaritmo del total de ingresos percibidos por concepto de actividades en relación de dependencia</w:t>
            </w:r>
          </w:p>
          <w:p w:rsidR="00D22DF4" w:rsidRPr="00E35E58" w:rsidRDefault="00D22DF4" w:rsidP="00325D79">
            <w:pPr>
              <w:spacing w:after="0" w:line="240" w:lineRule="auto"/>
              <w:ind w:left="232" w:hanging="1"/>
              <w:rPr>
                <w:rFonts w:ascii="Calibri" w:eastAsia="Times New Roman" w:hAnsi="Calibri" w:cs="Times New Roman"/>
                <w:i/>
                <w:iCs/>
                <w:color w:val="000000"/>
                <w:sz w:val="20"/>
                <w:szCs w:val="20"/>
              </w:rPr>
            </w:pPr>
          </w:p>
        </w:tc>
        <w:tc>
          <w:tcPr>
            <w:tcW w:w="1337" w:type="dxa"/>
            <w:tcBorders>
              <w:top w:val="nil"/>
              <w:left w:val="nil"/>
              <w:bottom w:val="nil"/>
              <w:right w:val="nil"/>
            </w:tcBorders>
            <w:shd w:val="clear" w:color="auto" w:fill="auto"/>
            <w:noWrap/>
            <w:vAlign w:val="bottom"/>
            <w:hideMark/>
          </w:tcPr>
          <w:p w:rsidR="00D45CCE" w:rsidRPr="00117B8B" w:rsidRDefault="00D45CCE" w:rsidP="00325D79">
            <w:pPr>
              <w:spacing w:after="0" w:line="240" w:lineRule="auto"/>
              <w:rPr>
                <w:rFonts w:ascii="Calibri" w:eastAsia="Times New Roman" w:hAnsi="Calibri" w:cs="Times New Roman"/>
                <w:color w:val="000000"/>
              </w:rPr>
            </w:pPr>
          </w:p>
        </w:tc>
      </w:tr>
    </w:tbl>
    <w:p w:rsidR="00D45CCE" w:rsidRDefault="00D45CCE" w:rsidP="00D45CCE">
      <w:pPr>
        <w:jc w:val="both"/>
      </w:pPr>
      <w:r>
        <w:t>Una vez realizada la estimación, se usaron los resultados de la misma para realizar predicciones del ingreso de los reclusos, en base a sus características, y para el caso hipotético de que estuvieran en libertad y no hubieran cometido crimen. Es decir, se hizo una estimación del contrafáctico. Para ello, se dispuso de información proveniente del censo de reclusos (</w:t>
      </w:r>
      <w:r w:rsidRPr="00880889">
        <w:t>Facultad de Ciencias Sociales, 201</w:t>
      </w:r>
      <w:r>
        <w:t xml:space="preserve">0), de donde es posible obtener un perfil individual con variables similares a las utilizadas en la ecuación salarial estimada con datos de la encuesta de hogares. </w:t>
      </w:r>
    </w:p>
    <w:p w:rsidR="00D45CCE" w:rsidRDefault="00D45CCE" w:rsidP="00D45CCE">
      <w:pPr>
        <w:jc w:val="both"/>
      </w:pPr>
      <w:r>
        <w:t>A continuación se presenta una tabla comparativa de las características de los individuos de la encuesta de hogares y de los presos que dicen haber ingresado al sistema penitenciario en el año 2010.</w:t>
      </w:r>
    </w:p>
    <w:p w:rsidR="00D45CCE" w:rsidRPr="00510108" w:rsidRDefault="00784795" w:rsidP="00A151EB">
      <w:pPr>
        <w:spacing w:after="0"/>
        <w:jc w:val="both"/>
        <w:rPr>
          <w:b/>
        </w:rPr>
      </w:pPr>
      <w:r>
        <w:rPr>
          <w:b/>
        </w:rPr>
        <w:t>Cuadro 9</w:t>
      </w:r>
      <w:r w:rsidR="00D45CCE" w:rsidRPr="00510108">
        <w:rPr>
          <w:b/>
        </w:rPr>
        <w:t>. Características de la población reclus</w:t>
      </w:r>
      <w:r w:rsidR="009F782D">
        <w:rPr>
          <w:b/>
        </w:rPr>
        <w:t>a</w:t>
      </w:r>
    </w:p>
    <w:tbl>
      <w:tblPr>
        <w:tblW w:w="8095" w:type="dxa"/>
        <w:tblInd w:w="55" w:type="dxa"/>
        <w:tblCellMar>
          <w:left w:w="70" w:type="dxa"/>
          <w:right w:w="70" w:type="dxa"/>
        </w:tblCellMar>
        <w:tblLook w:val="04A0" w:firstRow="1" w:lastRow="0" w:firstColumn="1" w:lastColumn="0" w:noHBand="0" w:noVBand="1"/>
      </w:tblPr>
      <w:tblGrid>
        <w:gridCol w:w="1780"/>
        <w:gridCol w:w="3160"/>
        <w:gridCol w:w="1980"/>
        <w:gridCol w:w="1175"/>
      </w:tblGrid>
      <w:tr w:rsidR="00D45CCE" w:rsidRPr="00A53434" w:rsidTr="00325D79">
        <w:trPr>
          <w:trHeight w:val="300"/>
        </w:trPr>
        <w:tc>
          <w:tcPr>
            <w:tcW w:w="1780" w:type="dxa"/>
            <w:tcBorders>
              <w:top w:val="single" w:sz="4" w:space="0" w:color="auto"/>
              <w:bottom w:val="single" w:sz="4" w:space="0" w:color="auto"/>
            </w:tcBorders>
            <w:shd w:val="clear" w:color="auto" w:fill="auto"/>
            <w:noWrap/>
            <w:vAlign w:val="bottom"/>
            <w:hideMark/>
          </w:tcPr>
          <w:p w:rsidR="00D45CCE" w:rsidRPr="00A53434" w:rsidRDefault="00D45CCE" w:rsidP="00A151EB">
            <w:pPr>
              <w:spacing w:after="0" w:line="240" w:lineRule="auto"/>
              <w:rPr>
                <w:rFonts w:ascii="Calibri" w:eastAsia="Times New Roman" w:hAnsi="Calibri" w:cs="Times New Roman"/>
                <w:b/>
                <w:bCs/>
                <w:sz w:val="20"/>
                <w:szCs w:val="20"/>
                <w:lang w:val="es-ES" w:eastAsia="es-ES"/>
              </w:rPr>
            </w:pPr>
            <w:r w:rsidRPr="00A53434">
              <w:rPr>
                <w:rFonts w:ascii="Calibri" w:eastAsia="Times New Roman" w:hAnsi="Calibri" w:cs="Times New Roman"/>
                <w:b/>
                <w:bCs/>
                <w:sz w:val="20"/>
                <w:szCs w:val="20"/>
                <w:lang w:val="es-ES" w:eastAsia="es-ES"/>
              </w:rPr>
              <w:t>Variable</w:t>
            </w:r>
          </w:p>
        </w:tc>
        <w:tc>
          <w:tcPr>
            <w:tcW w:w="3160" w:type="dxa"/>
            <w:tcBorders>
              <w:top w:val="single" w:sz="4" w:space="0" w:color="auto"/>
              <w:bottom w:val="single" w:sz="4" w:space="0" w:color="auto"/>
            </w:tcBorders>
            <w:shd w:val="clear" w:color="auto" w:fill="auto"/>
            <w:noWrap/>
            <w:vAlign w:val="bottom"/>
            <w:hideMark/>
          </w:tcPr>
          <w:p w:rsidR="00D45CCE" w:rsidRPr="00A53434" w:rsidRDefault="00D45CCE" w:rsidP="00325D79">
            <w:pPr>
              <w:spacing w:after="0" w:line="240" w:lineRule="auto"/>
              <w:rPr>
                <w:rFonts w:ascii="Calibri" w:eastAsia="Times New Roman" w:hAnsi="Calibri" w:cs="Times New Roman"/>
                <w:b/>
                <w:bCs/>
                <w:sz w:val="20"/>
                <w:szCs w:val="20"/>
                <w:lang w:val="es-ES" w:eastAsia="es-ES"/>
              </w:rPr>
            </w:pPr>
            <w:r w:rsidRPr="00A53434">
              <w:rPr>
                <w:rFonts w:ascii="Calibri" w:eastAsia="Times New Roman" w:hAnsi="Calibri" w:cs="Times New Roman"/>
                <w:b/>
                <w:bCs/>
                <w:sz w:val="20"/>
                <w:szCs w:val="20"/>
                <w:lang w:val="es-ES" w:eastAsia="es-ES"/>
              </w:rPr>
              <w:t>Categoría</w:t>
            </w:r>
          </w:p>
        </w:tc>
        <w:tc>
          <w:tcPr>
            <w:tcW w:w="1980" w:type="dxa"/>
            <w:tcBorders>
              <w:top w:val="single" w:sz="4" w:space="0" w:color="auto"/>
              <w:bottom w:val="single" w:sz="4" w:space="0" w:color="auto"/>
            </w:tcBorders>
            <w:shd w:val="clear" w:color="auto" w:fill="auto"/>
            <w:noWrap/>
            <w:vAlign w:val="bottom"/>
            <w:hideMark/>
          </w:tcPr>
          <w:p w:rsidR="00D45CCE" w:rsidRPr="00A53434" w:rsidRDefault="00D45CCE" w:rsidP="00325D79">
            <w:pPr>
              <w:spacing w:after="0" w:line="240" w:lineRule="auto"/>
              <w:ind w:right="-111"/>
              <w:jc w:val="center"/>
              <w:rPr>
                <w:rFonts w:ascii="Calibri" w:eastAsia="Times New Roman" w:hAnsi="Calibri" w:cs="Times New Roman"/>
                <w:b/>
                <w:bCs/>
                <w:sz w:val="20"/>
                <w:szCs w:val="20"/>
                <w:lang w:val="es-ES" w:eastAsia="es-ES"/>
              </w:rPr>
            </w:pPr>
            <w:r w:rsidRPr="00A53434">
              <w:rPr>
                <w:rFonts w:ascii="Calibri" w:eastAsia="Times New Roman" w:hAnsi="Calibri" w:cs="Times New Roman"/>
                <w:b/>
                <w:bCs/>
                <w:sz w:val="20"/>
                <w:szCs w:val="20"/>
                <w:lang w:val="es-ES" w:eastAsia="es-ES"/>
              </w:rPr>
              <w:t>Censo de reclusos 1/</w:t>
            </w:r>
          </w:p>
        </w:tc>
        <w:tc>
          <w:tcPr>
            <w:tcW w:w="1175" w:type="dxa"/>
            <w:tcBorders>
              <w:top w:val="single" w:sz="4" w:space="0" w:color="auto"/>
              <w:bottom w:val="single" w:sz="4" w:space="0" w:color="auto"/>
            </w:tcBorders>
            <w:shd w:val="clear" w:color="auto" w:fill="auto"/>
            <w:noWrap/>
            <w:vAlign w:val="bottom"/>
            <w:hideMark/>
          </w:tcPr>
          <w:p w:rsidR="00D45CCE" w:rsidRPr="00A53434" w:rsidRDefault="00D45CCE" w:rsidP="00325D79">
            <w:pPr>
              <w:spacing w:after="0" w:line="240" w:lineRule="auto"/>
              <w:jc w:val="right"/>
              <w:rPr>
                <w:rFonts w:ascii="Calibri" w:eastAsia="Times New Roman" w:hAnsi="Calibri" w:cs="Times New Roman"/>
                <w:b/>
                <w:bCs/>
                <w:sz w:val="20"/>
                <w:szCs w:val="20"/>
                <w:lang w:val="es-ES" w:eastAsia="es-ES"/>
              </w:rPr>
            </w:pPr>
            <w:r w:rsidRPr="00A53434">
              <w:rPr>
                <w:rFonts w:ascii="Calibri" w:eastAsia="Times New Roman" w:hAnsi="Calibri" w:cs="Times New Roman"/>
                <w:b/>
                <w:bCs/>
                <w:sz w:val="20"/>
                <w:szCs w:val="20"/>
                <w:lang w:val="es-ES" w:eastAsia="es-ES"/>
              </w:rPr>
              <w:t>ECH 2010</w:t>
            </w:r>
          </w:p>
        </w:tc>
      </w:tr>
      <w:tr w:rsidR="00D45CCE" w:rsidRPr="00A53434" w:rsidTr="00325D79">
        <w:trPr>
          <w:trHeight w:val="300"/>
        </w:trPr>
        <w:tc>
          <w:tcPr>
            <w:tcW w:w="1780" w:type="dxa"/>
            <w:tcBorders>
              <w:top w:val="single" w:sz="4" w:space="0" w:color="auto"/>
              <w:bottom w:val="nil"/>
            </w:tcBorders>
            <w:shd w:val="clear" w:color="auto" w:fill="auto"/>
            <w:noWrap/>
            <w:vAlign w:val="bottom"/>
            <w:hideMark/>
          </w:tcPr>
          <w:p w:rsidR="00D45CCE" w:rsidRPr="00A53434" w:rsidRDefault="00D45CCE" w:rsidP="00325D79">
            <w:pPr>
              <w:spacing w:after="0" w:line="240" w:lineRule="auto"/>
              <w:rPr>
                <w:rFonts w:ascii="Calibri" w:eastAsia="Times New Roman" w:hAnsi="Calibri" w:cs="Times New Roman"/>
                <w:b/>
                <w:bCs/>
                <w:color w:val="000000"/>
                <w:sz w:val="20"/>
                <w:szCs w:val="20"/>
                <w:lang w:val="es-ES" w:eastAsia="es-ES"/>
              </w:rPr>
            </w:pPr>
            <w:r w:rsidRPr="00A53434">
              <w:rPr>
                <w:rFonts w:ascii="Calibri" w:eastAsia="Times New Roman" w:hAnsi="Calibri" w:cs="Times New Roman"/>
                <w:b/>
                <w:bCs/>
                <w:color w:val="000000"/>
                <w:sz w:val="20"/>
                <w:szCs w:val="20"/>
                <w:lang w:val="es-ES" w:eastAsia="es-ES"/>
              </w:rPr>
              <w:t>Sexo</w:t>
            </w:r>
          </w:p>
        </w:tc>
        <w:tc>
          <w:tcPr>
            <w:tcW w:w="3160" w:type="dxa"/>
            <w:tcBorders>
              <w:top w:val="single" w:sz="4" w:space="0" w:color="auto"/>
              <w:bottom w:val="nil"/>
            </w:tcBorders>
            <w:shd w:val="clear" w:color="auto" w:fill="auto"/>
            <w:noWrap/>
            <w:vAlign w:val="bottom"/>
            <w:hideMark/>
          </w:tcPr>
          <w:p w:rsidR="00D45CCE" w:rsidRPr="00A53434" w:rsidRDefault="00D45CCE" w:rsidP="00325D79">
            <w:pPr>
              <w:spacing w:after="0" w:line="240" w:lineRule="auto"/>
              <w:rPr>
                <w:rFonts w:ascii="Calibri" w:eastAsia="Times New Roman" w:hAnsi="Calibri" w:cs="Times New Roman"/>
                <w:color w:val="000000"/>
                <w:sz w:val="20"/>
                <w:szCs w:val="20"/>
                <w:lang w:val="es-ES" w:eastAsia="es-ES"/>
              </w:rPr>
            </w:pPr>
            <w:r w:rsidRPr="00A53434">
              <w:rPr>
                <w:rFonts w:ascii="Calibri" w:eastAsia="Times New Roman" w:hAnsi="Calibri" w:cs="Times New Roman"/>
                <w:color w:val="000000"/>
                <w:sz w:val="20"/>
                <w:szCs w:val="20"/>
                <w:lang w:val="es-ES" w:eastAsia="es-ES"/>
              </w:rPr>
              <w:t xml:space="preserve">Hombre </w:t>
            </w:r>
          </w:p>
        </w:tc>
        <w:tc>
          <w:tcPr>
            <w:tcW w:w="1980" w:type="dxa"/>
            <w:tcBorders>
              <w:top w:val="single" w:sz="4" w:space="0" w:color="auto"/>
              <w:bottom w:val="nil"/>
            </w:tcBorders>
            <w:shd w:val="clear" w:color="auto" w:fill="auto"/>
            <w:noWrap/>
            <w:vAlign w:val="bottom"/>
            <w:hideMark/>
          </w:tcPr>
          <w:p w:rsidR="00D45CCE" w:rsidRPr="00A53434" w:rsidRDefault="00D45CCE" w:rsidP="00325D79">
            <w:pPr>
              <w:spacing w:after="0" w:line="240" w:lineRule="auto"/>
              <w:jc w:val="right"/>
              <w:rPr>
                <w:rFonts w:ascii="Calibri" w:eastAsia="Times New Roman" w:hAnsi="Calibri" w:cs="Times New Roman"/>
                <w:color w:val="000000"/>
                <w:sz w:val="20"/>
                <w:szCs w:val="20"/>
                <w:lang w:val="es-ES" w:eastAsia="es-ES"/>
              </w:rPr>
            </w:pPr>
            <w:r w:rsidRPr="00A53434">
              <w:rPr>
                <w:rFonts w:ascii="Calibri" w:eastAsia="Times New Roman" w:hAnsi="Calibri" w:cs="Times New Roman"/>
                <w:color w:val="000000"/>
                <w:sz w:val="20"/>
                <w:szCs w:val="20"/>
                <w:lang w:val="es-ES" w:eastAsia="es-ES"/>
              </w:rPr>
              <w:t>86,6%</w:t>
            </w:r>
          </w:p>
        </w:tc>
        <w:tc>
          <w:tcPr>
            <w:tcW w:w="1175" w:type="dxa"/>
            <w:tcBorders>
              <w:top w:val="single" w:sz="4" w:space="0" w:color="auto"/>
              <w:bottom w:val="nil"/>
            </w:tcBorders>
            <w:shd w:val="clear" w:color="auto" w:fill="auto"/>
            <w:noWrap/>
            <w:vAlign w:val="bottom"/>
            <w:hideMark/>
          </w:tcPr>
          <w:p w:rsidR="00D45CCE" w:rsidRPr="00A53434" w:rsidRDefault="00D45CCE" w:rsidP="00325D79">
            <w:pPr>
              <w:spacing w:after="0" w:line="240" w:lineRule="auto"/>
              <w:jc w:val="right"/>
              <w:rPr>
                <w:rFonts w:ascii="Calibri" w:eastAsia="Times New Roman" w:hAnsi="Calibri" w:cs="Times New Roman"/>
                <w:color w:val="000000"/>
                <w:sz w:val="20"/>
                <w:szCs w:val="20"/>
                <w:lang w:val="es-ES" w:eastAsia="es-ES"/>
              </w:rPr>
            </w:pPr>
            <w:r w:rsidRPr="00A53434">
              <w:rPr>
                <w:rFonts w:ascii="Calibri" w:eastAsia="Times New Roman" w:hAnsi="Calibri" w:cs="Times New Roman"/>
                <w:color w:val="000000"/>
                <w:sz w:val="20"/>
                <w:szCs w:val="20"/>
                <w:lang w:val="es-ES" w:eastAsia="es-ES"/>
              </w:rPr>
              <w:t>46,5%</w:t>
            </w:r>
          </w:p>
        </w:tc>
      </w:tr>
      <w:tr w:rsidR="00D45CCE" w:rsidRPr="00A53434" w:rsidTr="00325D79">
        <w:trPr>
          <w:trHeight w:val="300"/>
        </w:trPr>
        <w:tc>
          <w:tcPr>
            <w:tcW w:w="1780" w:type="dxa"/>
            <w:tcBorders>
              <w:top w:val="nil"/>
            </w:tcBorders>
            <w:shd w:val="clear" w:color="auto" w:fill="auto"/>
            <w:noWrap/>
            <w:vAlign w:val="bottom"/>
            <w:hideMark/>
          </w:tcPr>
          <w:p w:rsidR="00D45CCE" w:rsidRPr="00A53434" w:rsidRDefault="00D45CCE" w:rsidP="00325D79">
            <w:pPr>
              <w:spacing w:after="0" w:line="240" w:lineRule="auto"/>
              <w:rPr>
                <w:rFonts w:ascii="Calibri" w:eastAsia="Times New Roman" w:hAnsi="Calibri" w:cs="Times New Roman"/>
                <w:b/>
                <w:bCs/>
                <w:color w:val="000000"/>
                <w:sz w:val="20"/>
                <w:szCs w:val="20"/>
                <w:lang w:val="es-ES" w:eastAsia="es-ES"/>
              </w:rPr>
            </w:pPr>
            <w:r w:rsidRPr="00A53434">
              <w:rPr>
                <w:rFonts w:ascii="Calibri" w:eastAsia="Times New Roman" w:hAnsi="Calibri" w:cs="Times New Roman"/>
                <w:b/>
                <w:bCs/>
                <w:color w:val="000000"/>
                <w:sz w:val="20"/>
                <w:szCs w:val="20"/>
                <w:lang w:val="es-ES" w:eastAsia="es-ES"/>
              </w:rPr>
              <w:t> </w:t>
            </w:r>
          </w:p>
        </w:tc>
        <w:tc>
          <w:tcPr>
            <w:tcW w:w="3160" w:type="dxa"/>
            <w:tcBorders>
              <w:top w:val="nil"/>
            </w:tcBorders>
            <w:shd w:val="clear" w:color="auto" w:fill="auto"/>
            <w:noWrap/>
            <w:vAlign w:val="bottom"/>
            <w:hideMark/>
          </w:tcPr>
          <w:p w:rsidR="00D45CCE" w:rsidRPr="00A53434" w:rsidRDefault="00D45CCE" w:rsidP="00325D79">
            <w:pPr>
              <w:spacing w:after="0" w:line="240" w:lineRule="auto"/>
              <w:rPr>
                <w:rFonts w:ascii="Calibri" w:eastAsia="Times New Roman" w:hAnsi="Calibri" w:cs="Times New Roman"/>
                <w:color w:val="000000"/>
                <w:sz w:val="20"/>
                <w:szCs w:val="20"/>
                <w:lang w:val="es-ES" w:eastAsia="es-ES"/>
              </w:rPr>
            </w:pPr>
            <w:r w:rsidRPr="00A53434">
              <w:rPr>
                <w:rFonts w:ascii="Calibri" w:eastAsia="Times New Roman" w:hAnsi="Calibri" w:cs="Times New Roman"/>
                <w:color w:val="000000"/>
                <w:sz w:val="20"/>
                <w:szCs w:val="20"/>
                <w:lang w:val="es-ES" w:eastAsia="es-ES"/>
              </w:rPr>
              <w:t>Mujer</w:t>
            </w:r>
          </w:p>
        </w:tc>
        <w:tc>
          <w:tcPr>
            <w:tcW w:w="1980" w:type="dxa"/>
            <w:tcBorders>
              <w:top w:val="nil"/>
            </w:tcBorders>
            <w:shd w:val="clear" w:color="auto" w:fill="auto"/>
            <w:noWrap/>
            <w:vAlign w:val="bottom"/>
            <w:hideMark/>
          </w:tcPr>
          <w:p w:rsidR="00D45CCE" w:rsidRPr="00A53434" w:rsidRDefault="00D45CCE" w:rsidP="00325D79">
            <w:pPr>
              <w:spacing w:after="0" w:line="240" w:lineRule="auto"/>
              <w:jc w:val="right"/>
              <w:rPr>
                <w:rFonts w:ascii="Calibri" w:eastAsia="Times New Roman" w:hAnsi="Calibri" w:cs="Times New Roman"/>
                <w:color w:val="000000"/>
                <w:sz w:val="20"/>
                <w:szCs w:val="20"/>
                <w:lang w:val="es-ES" w:eastAsia="es-ES"/>
              </w:rPr>
            </w:pPr>
            <w:r w:rsidRPr="00A53434">
              <w:rPr>
                <w:rFonts w:ascii="Calibri" w:eastAsia="Times New Roman" w:hAnsi="Calibri" w:cs="Times New Roman"/>
                <w:color w:val="000000"/>
                <w:sz w:val="20"/>
                <w:szCs w:val="20"/>
                <w:lang w:val="es-ES" w:eastAsia="es-ES"/>
              </w:rPr>
              <w:t>13,4%</w:t>
            </w:r>
          </w:p>
        </w:tc>
        <w:tc>
          <w:tcPr>
            <w:tcW w:w="1175" w:type="dxa"/>
            <w:tcBorders>
              <w:top w:val="nil"/>
            </w:tcBorders>
            <w:shd w:val="clear" w:color="auto" w:fill="auto"/>
            <w:noWrap/>
            <w:vAlign w:val="bottom"/>
            <w:hideMark/>
          </w:tcPr>
          <w:p w:rsidR="00D45CCE" w:rsidRPr="00A53434" w:rsidRDefault="00D45CCE" w:rsidP="00325D79">
            <w:pPr>
              <w:spacing w:after="0" w:line="240" w:lineRule="auto"/>
              <w:jc w:val="right"/>
              <w:rPr>
                <w:rFonts w:ascii="Calibri" w:eastAsia="Times New Roman" w:hAnsi="Calibri" w:cs="Times New Roman"/>
                <w:color w:val="000000"/>
                <w:sz w:val="20"/>
                <w:szCs w:val="20"/>
                <w:lang w:val="es-ES" w:eastAsia="es-ES"/>
              </w:rPr>
            </w:pPr>
            <w:r w:rsidRPr="00A53434">
              <w:rPr>
                <w:rFonts w:ascii="Calibri" w:eastAsia="Times New Roman" w:hAnsi="Calibri" w:cs="Times New Roman"/>
                <w:color w:val="000000"/>
                <w:sz w:val="20"/>
                <w:szCs w:val="20"/>
                <w:lang w:val="es-ES" w:eastAsia="es-ES"/>
              </w:rPr>
              <w:t>53,5%</w:t>
            </w:r>
          </w:p>
        </w:tc>
      </w:tr>
      <w:tr w:rsidR="00D45CCE" w:rsidRPr="00A53434" w:rsidTr="00325D79">
        <w:trPr>
          <w:trHeight w:val="300"/>
        </w:trPr>
        <w:tc>
          <w:tcPr>
            <w:tcW w:w="1780" w:type="dxa"/>
            <w:tcBorders>
              <w:top w:val="nil"/>
            </w:tcBorders>
            <w:shd w:val="clear" w:color="auto" w:fill="auto"/>
            <w:noWrap/>
            <w:vAlign w:val="bottom"/>
            <w:hideMark/>
          </w:tcPr>
          <w:p w:rsidR="00D45CCE" w:rsidRPr="00A53434" w:rsidRDefault="00D45CCE" w:rsidP="00325D79">
            <w:pPr>
              <w:spacing w:after="0" w:line="240" w:lineRule="auto"/>
              <w:rPr>
                <w:rFonts w:ascii="Calibri" w:eastAsia="Times New Roman" w:hAnsi="Calibri" w:cs="Times New Roman"/>
                <w:b/>
                <w:bCs/>
                <w:color w:val="000000"/>
                <w:sz w:val="20"/>
                <w:szCs w:val="20"/>
                <w:lang w:val="es-ES" w:eastAsia="es-ES"/>
              </w:rPr>
            </w:pPr>
            <w:r w:rsidRPr="00A53434">
              <w:rPr>
                <w:rFonts w:ascii="Calibri" w:eastAsia="Times New Roman" w:hAnsi="Calibri" w:cs="Times New Roman"/>
                <w:b/>
                <w:bCs/>
                <w:color w:val="000000"/>
                <w:sz w:val="20"/>
                <w:szCs w:val="20"/>
                <w:lang w:val="es-ES" w:eastAsia="es-ES"/>
              </w:rPr>
              <w:t>Edad</w:t>
            </w:r>
          </w:p>
        </w:tc>
        <w:tc>
          <w:tcPr>
            <w:tcW w:w="3160" w:type="dxa"/>
            <w:tcBorders>
              <w:top w:val="nil"/>
            </w:tcBorders>
            <w:shd w:val="clear" w:color="auto" w:fill="auto"/>
            <w:noWrap/>
            <w:vAlign w:val="bottom"/>
            <w:hideMark/>
          </w:tcPr>
          <w:p w:rsidR="00D45CCE" w:rsidRPr="00A53434" w:rsidRDefault="00D45CCE" w:rsidP="00325D79">
            <w:pPr>
              <w:spacing w:after="0" w:line="240" w:lineRule="auto"/>
              <w:rPr>
                <w:rFonts w:ascii="Calibri" w:eastAsia="Times New Roman" w:hAnsi="Calibri" w:cs="Times New Roman"/>
                <w:color w:val="000000"/>
                <w:sz w:val="20"/>
                <w:szCs w:val="20"/>
                <w:lang w:val="es-ES" w:eastAsia="es-ES"/>
              </w:rPr>
            </w:pPr>
            <w:r w:rsidRPr="00A53434">
              <w:rPr>
                <w:rFonts w:ascii="Calibri" w:eastAsia="Times New Roman" w:hAnsi="Calibri" w:cs="Times New Roman"/>
                <w:color w:val="000000"/>
                <w:sz w:val="20"/>
                <w:szCs w:val="20"/>
                <w:lang w:val="es-ES" w:eastAsia="es-ES"/>
              </w:rPr>
              <w:t>Promedio</w:t>
            </w:r>
          </w:p>
        </w:tc>
        <w:tc>
          <w:tcPr>
            <w:tcW w:w="1980" w:type="dxa"/>
            <w:tcBorders>
              <w:top w:val="nil"/>
            </w:tcBorders>
            <w:shd w:val="clear" w:color="auto" w:fill="auto"/>
            <w:noWrap/>
            <w:vAlign w:val="bottom"/>
            <w:hideMark/>
          </w:tcPr>
          <w:p w:rsidR="00D45CCE" w:rsidRPr="00A53434" w:rsidRDefault="00D45CCE" w:rsidP="00325D79">
            <w:pPr>
              <w:spacing w:after="0" w:line="240" w:lineRule="auto"/>
              <w:jc w:val="right"/>
              <w:rPr>
                <w:rFonts w:ascii="Calibri" w:eastAsia="Times New Roman" w:hAnsi="Calibri" w:cs="Times New Roman"/>
                <w:color w:val="000000"/>
                <w:sz w:val="20"/>
                <w:szCs w:val="20"/>
                <w:lang w:val="es-ES" w:eastAsia="es-ES"/>
              </w:rPr>
            </w:pPr>
            <w:r w:rsidRPr="00A53434">
              <w:rPr>
                <w:rFonts w:ascii="Calibri" w:eastAsia="Times New Roman" w:hAnsi="Calibri" w:cs="Times New Roman"/>
                <w:color w:val="000000"/>
                <w:sz w:val="20"/>
                <w:szCs w:val="20"/>
                <w:lang w:val="es-ES" w:eastAsia="es-ES"/>
              </w:rPr>
              <w:t>30,3</w:t>
            </w:r>
          </w:p>
        </w:tc>
        <w:tc>
          <w:tcPr>
            <w:tcW w:w="1175" w:type="dxa"/>
            <w:tcBorders>
              <w:top w:val="nil"/>
            </w:tcBorders>
            <w:shd w:val="clear" w:color="auto" w:fill="auto"/>
            <w:noWrap/>
            <w:vAlign w:val="bottom"/>
            <w:hideMark/>
          </w:tcPr>
          <w:p w:rsidR="00D45CCE" w:rsidRPr="00A53434" w:rsidRDefault="00D45CCE" w:rsidP="00325D79">
            <w:pPr>
              <w:spacing w:after="0" w:line="240" w:lineRule="auto"/>
              <w:jc w:val="right"/>
              <w:rPr>
                <w:rFonts w:ascii="Calibri" w:eastAsia="Times New Roman" w:hAnsi="Calibri" w:cs="Times New Roman"/>
                <w:color w:val="000000"/>
                <w:sz w:val="20"/>
                <w:szCs w:val="20"/>
                <w:lang w:val="es-ES" w:eastAsia="es-ES"/>
              </w:rPr>
            </w:pPr>
            <w:r w:rsidRPr="00A53434">
              <w:rPr>
                <w:rFonts w:ascii="Calibri" w:eastAsia="Times New Roman" w:hAnsi="Calibri" w:cs="Times New Roman"/>
                <w:color w:val="000000"/>
                <w:sz w:val="20"/>
                <w:szCs w:val="20"/>
                <w:lang w:val="es-ES" w:eastAsia="es-ES"/>
              </w:rPr>
              <w:t>44,1</w:t>
            </w:r>
          </w:p>
        </w:tc>
      </w:tr>
      <w:tr w:rsidR="00D45CCE" w:rsidRPr="00A53434" w:rsidTr="00325D79">
        <w:trPr>
          <w:trHeight w:val="300"/>
        </w:trPr>
        <w:tc>
          <w:tcPr>
            <w:tcW w:w="1780" w:type="dxa"/>
            <w:vMerge w:val="restart"/>
            <w:tcBorders>
              <w:top w:val="nil"/>
            </w:tcBorders>
            <w:shd w:val="clear" w:color="auto" w:fill="auto"/>
            <w:hideMark/>
          </w:tcPr>
          <w:p w:rsidR="00D45CCE" w:rsidRPr="00A53434" w:rsidRDefault="00D45CCE" w:rsidP="00325D79">
            <w:pPr>
              <w:spacing w:after="0" w:line="240" w:lineRule="auto"/>
              <w:rPr>
                <w:rFonts w:ascii="Calibri" w:eastAsia="Times New Roman" w:hAnsi="Calibri" w:cs="Times New Roman"/>
                <w:b/>
                <w:bCs/>
                <w:color w:val="000000"/>
                <w:sz w:val="20"/>
                <w:szCs w:val="20"/>
                <w:lang w:val="es-ES" w:eastAsia="es-ES"/>
              </w:rPr>
            </w:pPr>
            <w:r w:rsidRPr="00A53434">
              <w:rPr>
                <w:rFonts w:ascii="Calibri" w:eastAsia="Times New Roman" w:hAnsi="Calibri" w:cs="Times New Roman"/>
                <w:b/>
                <w:bCs/>
                <w:color w:val="000000"/>
                <w:sz w:val="20"/>
                <w:szCs w:val="20"/>
                <w:lang w:val="es-ES" w:eastAsia="es-ES"/>
              </w:rPr>
              <w:t>Máximo nivel educativo alcanzado</w:t>
            </w:r>
          </w:p>
        </w:tc>
        <w:tc>
          <w:tcPr>
            <w:tcW w:w="3160" w:type="dxa"/>
            <w:tcBorders>
              <w:top w:val="nil"/>
            </w:tcBorders>
            <w:shd w:val="clear" w:color="auto" w:fill="auto"/>
            <w:noWrap/>
            <w:vAlign w:val="bottom"/>
            <w:hideMark/>
          </w:tcPr>
          <w:p w:rsidR="00D45CCE" w:rsidRPr="00A53434" w:rsidRDefault="00D45CCE" w:rsidP="00325D79">
            <w:pPr>
              <w:spacing w:after="0" w:line="240" w:lineRule="auto"/>
              <w:rPr>
                <w:rFonts w:ascii="Calibri" w:eastAsia="Times New Roman" w:hAnsi="Calibri" w:cs="Times New Roman"/>
                <w:color w:val="000000"/>
                <w:sz w:val="20"/>
                <w:szCs w:val="20"/>
                <w:lang w:val="es-ES" w:eastAsia="es-ES"/>
              </w:rPr>
            </w:pPr>
            <w:r w:rsidRPr="00A53434">
              <w:rPr>
                <w:rFonts w:ascii="Calibri" w:eastAsia="Times New Roman" w:hAnsi="Calibri" w:cs="Times New Roman"/>
                <w:color w:val="000000"/>
                <w:sz w:val="20"/>
                <w:szCs w:val="20"/>
                <w:lang w:val="es-ES" w:eastAsia="es-ES"/>
              </w:rPr>
              <w:t>Hasta preescolar o sin instrucción</w:t>
            </w:r>
          </w:p>
        </w:tc>
        <w:tc>
          <w:tcPr>
            <w:tcW w:w="1980" w:type="dxa"/>
            <w:tcBorders>
              <w:top w:val="nil"/>
            </w:tcBorders>
            <w:shd w:val="clear" w:color="auto" w:fill="auto"/>
            <w:noWrap/>
            <w:vAlign w:val="bottom"/>
            <w:hideMark/>
          </w:tcPr>
          <w:p w:rsidR="00D45CCE" w:rsidRPr="00A53434" w:rsidRDefault="00D45CCE" w:rsidP="00325D79">
            <w:pPr>
              <w:spacing w:after="0" w:line="240" w:lineRule="auto"/>
              <w:jc w:val="right"/>
              <w:rPr>
                <w:rFonts w:ascii="Calibri" w:eastAsia="Times New Roman" w:hAnsi="Calibri" w:cs="Times New Roman"/>
                <w:color w:val="000000"/>
                <w:sz w:val="20"/>
                <w:szCs w:val="20"/>
                <w:lang w:val="es-ES" w:eastAsia="es-ES"/>
              </w:rPr>
            </w:pPr>
            <w:r w:rsidRPr="00A53434">
              <w:rPr>
                <w:rFonts w:ascii="Calibri" w:eastAsia="Times New Roman" w:hAnsi="Calibri" w:cs="Times New Roman"/>
                <w:color w:val="000000"/>
                <w:sz w:val="20"/>
                <w:szCs w:val="20"/>
                <w:lang w:val="es-ES" w:eastAsia="es-ES"/>
              </w:rPr>
              <w:t>0,2%</w:t>
            </w:r>
          </w:p>
        </w:tc>
        <w:tc>
          <w:tcPr>
            <w:tcW w:w="1175" w:type="dxa"/>
            <w:tcBorders>
              <w:top w:val="nil"/>
            </w:tcBorders>
            <w:shd w:val="clear" w:color="auto" w:fill="auto"/>
            <w:noWrap/>
            <w:vAlign w:val="bottom"/>
            <w:hideMark/>
          </w:tcPr>
          <w:p w:rsidR="00D45CCE" w:rsidRPr="00A53434" w:rsidRDefault="00D45CCE" w:rsidP="00325D79">
            <w:pPr>
              <w:spacing w:after="0" w:line="240" w:lineRule="auto"/>
              <w:jc w:val="right"/>
              <w:rPr>
                <w:rFonts w:ascii="Calibri" w:eastAsia="Times New Roman" w:hAnsi="Calibri" w:cs="Times New Roman"/>
                <w:color w:val="000000"/>
                <w:sz w:val="20"/>
                <w:szCs w:val="20"/>
                <w:lang w:val="es-ES" w:eastAsia="es-ES"/>
              </w:rPr>
            </w:pPr>
            <w:r w:rsidRPr="00A53434">
              <w:rPr>
                <w:rFonts w:ascii="Calibri" w:eastAsia="Times New Roman" w:hAnsi="Calibri" w:cs="Times New Roman"/>
                <w:color w:val="000000"/>
                <w:sz w:val="20"/>
                <w:szCs w:val="20"/>
                <w:lang w:val="es-ES" w:eastAsia="es-ES"/>
              </w:rPr>
              <w:t>0,0%</w:t>
            </w:r>
          </w:p>
        </w:tc>
      </w:tr>
      <w:tr w:rsidR="00D45CCE" w:rsidRPr="00A53434" w:rsidTr="00325D79">
        <w:trPr>
          <w:trHeight w:val="300"/>
        </w:trPr>
        <w:tc>
          <w:tcPr>
            <w:tcW w:w="1780" w:type="dxa"/>
            <w:vMerge/>
            <w:tcBorders>
              <w:top w:val="nil"/>
            </w:tcBorders>
            <w:vAlign w:val="center"/>
            <w:hideMark/>
          </w:tcPr>
          <w:p w:rsidR="00D45CCE" w:rsidRPr="00A53434" w:rsidRDefault="00D45CCE" w:rsidP="00325D79">
            <w:pPr>
              <w:spacing w:after="0" w:line="240" w:lineRule="auto"/>
              <w:rPr>
                <w:rFonts w:ascii="Calibri" w:eastAsia="Times New Roman" w:hAnsi="Calibri" w:cs="Times New Roman"/>
                <w:b/>
                <w:bCs/>
                <w:color w:val="000000"/>
                <w:sz w:val="20"/>
                <w:szCs w:val="20"/>
                <w:lang w:val="es-ES" w:eastAsia="es-ES"/>
              </w:rPr>
            </w:pPr>
          </w:p>
        </w:tc>
        <w:tc>
          <w:tcPr>
            <w:tcW w:w="3160" w:type="dxa"/>
            <w:tcBorders>
              <w:top w:val="nil"/>
            </w:tcBorders>
            <w:shd w:val="clear" w:color="auto" w:fill="auto"/>
            <w:noWrap/>
            <w:vAlign w:val="bottom"/>
            <w:hideMark/>
          </w:tcPr>
          <w:p w:rsidR="00D45CCE" w:rsidRPr="00A53434" w:rsidRDefault="00D45CCE" w:rsidP="00325D79">
            <w:pPr>
              <w:spacing w:after="0" w:line="240" w:lineRule="auto"/>
              <w:rPr>
                <w:rFonts w:ascii="Calibri" w:eastAsia="Times New Roman" w:hAnsi="Calibri" w:cs="Times New Roman"/>
                <w:color w:val="000000"/>
                <w:sz w:val="20"/>
                <w:szCs w:val="20"/>
                <w:lang w:val="es-ES" w:eastAsia="es-ES"/>
              </w:rPr>
            </w:pPr>
            <w:r w:rsidRPr="00A53434">
              <w:rPr>
                <w:rFonts w:ascii="Calibri" w:eastAsia="Times New Roman" w:hAnsi="Calibri" w:cs="Times New Roman"/>
                <w:color w:val="000000"/>
                <w:sz w:val="20"/>
                <w:szCs w:val="20"/>
                <w:lang w:val="es-ES" w:eastAsia="es-ES"/>
              </w:rPr>
              <w:t>Enseñanza Primaria</w:t>
            </w:r>
          </w:p>
        </w:tc>
        <w:tc>
          <w:tcPr>
            <w:tcW w:w="1980" w:type="dxa"/>
            <w:tcBorders>
              <w:top w:val="nil"/>
            </w:tcBorders>
            <w:shd w:val="clear" w:color="auto" w:fill="auto"/>
            <w:noWrap/>
            <w:vAlign w:val="bottom"/>
            <w:hideMark/>
          </w:tcPr>
          <w:p w:rsidR="00D45CCE" w:rsidRPr="00A53434" w:rsidRDefault="00D45CCE" w:rsidP="00325D79">
            <w:pPr>
              <w:spacing w:after="0" w:line="240" w:lineRule="auto"/>
              <w:jc w:val="right"/>
              <w:rPr>
                <w:rFonts w:ascii="Calibri" w:eastAsia="Times New Roman" w:hAnsi="Calibri" w:cs="Times New Roman"/>
                <w:color w:val="000000"/>
                <w:sz w:val="20"/>
                <w:szCs w:val="20"/>
                <w:lang w:val="es-ES" w:eastAsia="es-ES"/>
              </w:rPr>
            </w:pPr>
            <w:r w:rsidRPr="00A53434">
              <w:rPr>
                <w:rFonts w:ascii="Calibri" w:eastAsia="Times New Roman" w:hAnsi="Calibri" w:cs="Times New Roman"/>
                <w:color w:val="000000"/>
                <w:sz w:val="20"/>
                <w:szCs w:val="20"/>
                <w:lang w:val="es-ES" w:eastAsia="es-ES"/>
              </w:rPr>
              <w:t>44,1%</w:t>
            </w:r>
          </w:p>
        </w:tc>
        <w:tc>
          <w:tcPr>
            <w:tcW w:w="1175" w:type="dxa"/>
            <w:tcBorders>
              <w:top w:val="nil"/>
            </w:tcBorders>
            <w:shd w:val="clear" w:color="auto" w:fill="auto"/>
            <w:noWrap/>
            <w:vAlign w:val="bottom"/>
            <w:hideMark/>
          </w:tcPr>
          <w:p w:rsidR="00D45CCE" w:rsidRPr="00A53434" w:rsidRDefault="00D45CCE" w:rsidP="00325D79">
            <w:pPr>
              <w:spacing w:after="0" w:line="240" w:lineRule="auto"/>
              <w:jc w:val="right"/>
              <w:rPr>
                <w:rFonts w:ascii="Calibri" w:eastAsia="Times New Roman" w:hAnsi="Calibri" w:cs="Times New Roman"/>
                <w:color w:val="000000"/>
                <w:sz w:val="20"/>
                <w:szCs w:val="20"/>
                <w:lang w:val="es-ES" w:eastAsia="es-ES"/>
              </w:rPr>
            </w:pPr>
            <w:r w:rsidRPr="00A53434">
              <w:rPr>
                <w:rFonts w:ascii="Calibri" w:eastAsia="Times New Roman" w:hAnsi="Calibri" w:cs="Times New Roman"/>
                <w:color w:val="000000"/>
                <w:sz w:val="20"/>
                <w:szCs w:val="20"/>
                <w:lang w:val="es-ES" w:eastAsia="es-ES"/>
              </w:rPr>
              <w:t>33,2%</w:t>
            </w:r>
          </w:p>
        </w:tc>
      </w:tr>
      <w:tr w:rsidR="00D45CCE" w:rsidRPr="00A53434" w:rsidTr="00325D79">
        <w:trPr>
          <w:trHeight w:val="300"/>
        </w:trPr>
        <w:tc>
          <w:tcPr>
            <w:tcW w:w="1780" w:type="dxa"/>
            <w:vMerge/>
            <w:tcBorders>
              <w:top w:val="nil"/>
            </w:tcBorders>
            <w:vAlign w:val="center"/>
            <w:hideMark/>
          </w:tcPr>
          <w:p w:rsidR="00D45CCE" w:rsidRPr="00A53434" w:rsidRDefault="00D45CCE" w:rsidP="00325D79">
            <w:pPr>
              <w:spacing w:after="0" w:line="240" w:lineRule="auto"/>
              <w:rPr>
                <w:rFonts w:ascii="Calibri" w:eastAsia="Times New Roman" w:hAnsi="Calibri" w:cs="Times New Roman"/>
                <w:b/>
                <w:bCs/>
                <w:color w:val="000000"/>
                <w:sz w:val="20"/>
                <w:szCs w:val="20"/>
                <w:lang w:val="es-ES" w:eastAsia="es-ES"/>
              </w:rPr>
            </w:pPr>
          </w:p>
        </w:tc>
        <w:tc>
          <w:tcPr>
            <w:tcW w:w="3160" w:type="dxa"/>
            <w:tcBorders>
              <w:top w:val="nil"/>
            </w:tcBorders>
            <w:shd w:val="clear" w:color="auto" w:fill="auto"/>
            <w:noWrap/>
            <w:vAlign w:val="bottom"/>
            <w:hideMark/>
          </w:tcPr>
          <w:p w:rsidR="00D45CCE" w:rsidRPr="00A53434" w:rsidRDefault="00D45CCE" w:rsidP="00325D79">
            <w:pPr>
              <w:spacing w:after="0" w:line="240" w:lineRule="auto"/>
              <w:rPr>
                <w:rFonts w:ascii="Calibri" w:eastAsia="Times New Roman" w:hAnsi="Calibri" w:cs="Times New Roman"/>
                <w:color w:val="000000"/>
                <w:sz w:val="20"/>
                <w:szCs w:val="20"/>
                <w:lang w:val="es-ES" w:eastAsia="es-ES"/>
              </w:rPr>
            </w:pPr>
            <w:r w:rsidRPr="00A53434">
              <w:rPr>
                <w:rFonts w:ascii="Calibri" w:eastAsia="Times New Roman" w:hAnsi="Calibri" w:cs="Times New Roman"/>
                <w:color w:val="000000"/>
                <w:sz w:val="20"/>
                <w:szCs w:val="20"/>
                <w:lang w:val="es-ES" w:eastAsia="es-ES"/>
              </w:rPr>
              <w:t xml:space="preserve">Enseñanza Secundaria </w:t>
            </w:r>
          </w:p>
        </w:tc>
        <w:tc>
          <w:tcPr>
            <w:tcW w:w="1980" w:type="dxa"/>
            <w:tcBorders>
              <w:top w:val="nil"/>
            </w:tcBorders>
            <w:shd w:val="clear" w:color="auto" w:fill="auto"/>
            <w:noWrap/>
            <w:vAlign w:val="bottom"/>
            <w:hideMark/>
          </w:tcPr>
          <w:p w:rsidR="00D45CCE" w:rsidRPr="00A53434" w:rsidRDefault="00D45CCE" w:rsidP="00325D79">
            <w:pPr>
              <w:spacing w:after="0" w:line="240" w:lineRule="auto"/>
              <w:jc w:val="right"/>
              <w:rPr>
                <w:rFonts w:ascii="Calibri" w:eastAsia="Times New Roman" w:hAnsi="Calibri" w:cs="Times New Roman"/>
                <w:color w:val="000000"/>
                <w:sz w:val="20"/>
                <w:szCs w:val="20"/>
                <w:lang w:val="es-ES" w:eastAsia="es-ES"/>
              </w:rPr>
            </w:pPr>
            <w:r w:rsidRPr="00A53434">
              <w:rPr>
                <w:rFonts w:ascii="Calibri" w:eastAsia="Times New Roman" w:hAnsi="Calibri" w:cs="Times New Roman"/>
                <w:color w:val="000000"/>
                <w:sz w:val="20"/>
                <w:szCs w:val="20"/>
                <w:lang w:val="es-ES" w:eastAsia="es-ES"/>
              </w:rPr>
              <w:t>53,0%</w:t>
            </w:r>
          </w:p>
        </w:tc>
        <w:tc>
          <w:tcPr>
            <w:tcW w:w="1175" w:type="dxa"/>
            <w:tcBorders>
              <w:top w:val="nil"/>
            </w:tcBorders>
            <w:shd w:val="clear" w:color="auto" w:fill="auto"/>
            <w:noWrap/>
            <w:vAlign w:val="bottom"/>
            <w:hideMark/>
          </w:tcPr>
          <w:p w:rsidR="00D45CCE" w:rsidRPr="00A53434" w:rsidRDefault="00D45CCE" w:rsidP="00325D79">
            <w:pPr>
              <w:spacing w:after="0" w:line="240" w:lineRule="auto"/>
              <w:jc w:val="right"/>
              <w:rPr>
                <w:rFonts w:ascii="Calibri" w:eastAsia="Times New Roman" w:hAnsi="Calibri" w:cs="Times New Roman"/>
                <w:color w:val="000000"/>
                <w:sz w:val="20"/>
                <w:szCs w:val="20"/>
                <w:lang w:val="es-ES" w:eastAsia="es-ES"/>
              </w:rPr>
            </w:pPr>
            <w:r w:rsidRPr="00A53434">
              <w:rPr>
                <w:rFonts w:ascii="Calibri" w:eastAsia="Times New Roman" w:hAnsi="Calibri" w:cs="Times New Roman"/>
                <w:color w:val="000000"/>
                <w:sz w:val="20"/>
                <w:szCs w:val="20"/>
                <w:lang w:val="es-ES" w:eastAsia="es-ES"/>
              </w:rPr>
              <w:t>52,3%</w:t>
            </w:r>
          </w:p>
        </w:tc>
      </w:tr>
      <w:tr w:rsidR="00D45CCE" w:rsidRPr="00A53434" w:rsidTr="00325D79">
        <w:trPr>
          <w:trHeight w:val="300"/>
        </w:trPr>
        <w:tc>
          <w:tcPr>
            <w:tcW w:w="1780" w:type="dxa"/>
            <w:vMerge/>
            <w:tcBorders>
              <w:top w:val="nil"/>
            </w:tcBorders>
            <w:vAlign w:val="center"/>
            <w:hideMark/>
          </w:tcPr>
          <w:p w:rsidR="00D45CCE" w:rsidRPr="00A53434" w:rsidRDefault="00D45CCE" w:rsidP="00325D79">
            <w:pPr>
              <w:spacing w:after="0" w:line="240" w:lineRule="auto"/>
              <w:rPr>
                <w:rFonts w:ascii="Calibri" w:eastAsia="Times New Roman" w:hAnsi="Calibri" w:cs="Times New Roman"/>
                <w:b/>
                <w:bCs/>
                <w:color w:val="000000"/>
                <w:sz w:val="20"/>
                <w:szCs w:val="20"/>
                <w:lang w:val="es-ES" w:eastAsia="es-ES"/>
              </w:rPr>
            </w:pPr>
          </w:p>
        </w:tc>
        <w:tc>
          <w:tcPr>
            <w:tcW w:w="3160" w:type="dxa"/>
            <w:tcBorders>
              <w:top w:val="nil"/>
            </w:tcBorders>
            <w:shd w:val="clear" w:color="auto" w:fill="auto"/>
            <w:noWrap/>
            <w:vAlign w:val="bottom"/>
            <w:hideMark/>
          </w:tcPr>
          <w:p w:rsidR="00D45CCE" w:rsidRPr="00A53434" w:rsidRDefault="00D45CCE" w:rsidP="00325D79">
            <w:pPr>
              <w:spacing w:after="0" w:line="240" w:lineRule="auto"/>
              <w:rPr>
                <w:rFonts w:ascii="Calibri" w:eastAsia="Times New Roman" w:hAnsi="Calibri" w:cs="Times New Roman"/>
                <w:color w:val="000000"/>
                <w:sz w:val="20"/>
                <w:szCs w:val="20"/>
                <w:lang w:val="es-ES" w:eastAsia="es-ES"/>
              </w:rPr>
            </w:pPr>
            <w:r w:rsidRPr="00A53434">
              <w:rPr>
                <w:rFonts w:ascii="Calibri" w:eastAsia="Times New Roman" w:hAnsi="Calibri" w:cs="Times New Roman"/>
                <w:color w:val="000000"/>
                <w:sz w:val="20"/>
                <w:szCs w:val="20"/>
                <w:lang w:val="es-ES" w:eastAsia="es-ES"/>
              </w:rPr>
              <w:t>Centros de Formación docente</w:t>
            </w:r>
          </w:p>
        </w:tc>
        <w:tc>
          <w:tcPr>
            <w:tcW w:w="1980" w:type="dxa"/>
            <w:tcBorders>
              <w:top w:val="nil"/>
            </w:tcBorders>
            <w:shd w:val="clear" w:color="auto" w:fill="auto"/>
            <w:noWrap/>
            <w:vAlign w:val="bottom"/>
            <w:hideMark/>
          </w:tcPr>
          <w:p w:rsidR="00D45CCE" w:rsidRPr="00A53434" w:rsidRDefault="00D45CCE" w:rsidP="00325D79">
            <w:pPr>
              <w:spacing w:after="0" w:line="240" w:lineRule="auto"/>
              <w:jc w:val="right"/>
              <w:rPr>
                <w:rFonts w:ascii="Calibri" w:eastAsia="Times New Roman" w:hAnsi="Calibri" w:cs="Times New Roman"/>
                <w:color w:val="000000"/>
                <w:sz w:val="20"/>
                <w:szCs w:val="20"/>
                <w:lang w:val="es-ES" w:eastAsia="es-ES"/>
              </w:rPr>
            </w:pPr>
            <w:r w:rsidRPr="00A53434">
              <w:rPr>
                <w:rFonts w:ascii="Calibri" w:eastAsia="Times New Roman" w:hAnsi="Calibri" w:cs="Times New Roman"/>
                <w:color w:val="000000"/>
                <w:sz w:val="20"/>
                <w:szCs w:val="20"/>
                <w:lang w:val="es-ES" w:eastAsia="es-ES"/>
              </w:rPr>
              <w:t>0,1%</w:t>
            </w:r>
          </w:p>
        </w:tc>
        <w:tc>
          <w:tcPr>
            <w:tcW w:w="1175" w:type="dxa"/>
            <w:tcBorders>
              <w:top w:val="nil"/>
            </w:tcBorders>
            <w:shd w:val="clear" w:color="auto" w:fill="auto"/>
            <w:noWrap/>
            <w:vAlign w:val="bottom"/>
            <w:hideMark/>
          </w:tcPr>
          <w:p w:rsidR="00D45CCE" w:rsidRPr="00A53434" w:rsidRDefault="00D45CCE" w:rsidP="00325D79">
            <w:pPr>
              <w:spacing w:after="0" w:line="240" w:lineRule="auto"/>
              <w:jc w:val="right"/>
              <w:rPr>
                <w:rFonts w:ascii="Calibri" w:eastAsia="Times New Roman" w:hAnsi="Calibri" w:cs="Times New Roman"/>
                <w:color w:val="000000"/>
                <w:sz w:val="20"/>
                <w:szCs w:val="20"/>
                <w:lang w:val="es-ES" w:eastAsia="es-ES"/>
              </w:rPr>
            </w:pPr>
            <w:r w:rsidRPr="00A53434">
              <w:rPr>
                <w:rFonts w:ascii="Calibri" w:eastAsia="Times New Roman" w:hAnsi="Calibri" w:cs="Times New Roman"/>
                <w:color w:val="000000"/>
                <w:sz w:val="20"/>
                <w:szCs w:val="20"/>
                <w:lang w:val="es-ES" w:eastAsia="es-ES"/>
              </w:rPr>
              <w:t>3,0%</w:t>
            </w:r>
          </w:p>
        </w:tc>
      </w:tr>
      <w:tr w:rsidR="00D45CCE" w:rsidRPr="00A53434" w:rsidTr="00325D79">
        <w:trPr>
          <w:trHeight w:val="300"/>
        </w:trPr>
        <w:tc>
          <w:tcPr>
            <w:tcW w:w="1780" w:type="dxa"/>
            <w:vMerge/>
            <w:tcBorders>
              <w:top w:val="nil"/>
            </w:tcBorders>
            <w:vAlign w:val="center"/>
            <w:hideMark/>
          </w:tcPr>
          <w:p w:rsidR="00D45CCE" w:rsidRPr="00A53434" w:rsidRDefault="00D45CCE" w:rsidP="00325D79">
            <w:pPr>
              <w:spacing w:after="0" w:line="240" w:lineRule="auto"/>
              <w:rPr>
                <w:rFonts w:ascii="Calibri" w:eastAsia="Times New Roman" w:hAnsi="Calibri" w:cs="Times New Roman"/>
                <w:b/>
                <w:bCs/>
                <w:color w:val="000000"/>
                <w:sz w:val="20"/>
                <w:szCs w:val="20"/>
                <w:lang w:val="es-ES" w:eastAsia="es-ES"/>
              </w:rPr>
            </w:pPr>
          </w:p>
        </w:tc>
        <w:tc>
          <w:tcPr>
            <w:tcW w:w="3160" w:type="dxa"/>
            <w:tcBorders>
              <w:top w:val="nil"/>
            </w:tcBorders>
            <w:shd w:val="clear" w:color="auto" w:fill="auto"/>
            <w:noWrap/>
            <w:vAlign w:val="bottom"/>
            <w:hideMark/>
          </w:tcPr>
          <w:p w:rsidR="00D45CCE" w:rsidRPr="00A53434" w:rsidRDefault="00D45CCE" w:rsidP="00325D79">
            <w:pPr>
              <w:spacing w:after="0" w:line="240" w:lineRule="auto"/>
              <w:rPr>
                <w:rFonts w:ascii="Calibri" w:eastAsia="Times New Roman" w:hAnsi="Calibri" w:cs="Times New Roman"/>
                <w:color w:val="000000"/>
                <w:sz w:val="20"/>
                <w:szCs w:val="20"/>
                <w:lang w:val="es-ES" w:eastAsia="es-ES"/>
              </w:rPr>
            </w:pPr>
            <w:r w:rsidRPr="00A53434">
              <w:rPr>
                <w:rFonts w:ascii="Calibri" w:eastAsia="Times New Roman" w:hAnsi="Calibri" w:cs="Times New Roman"/>
                <w:color w:val="000000"/>
                <w:sz w:val="20"/>
                <w:szCs w:val="20"/>
                <w:lang w:val="es-ES" w:eastAsia="es-ES"/>
              </w:rPr>
              <w:t>Universidad</w:t>
            </w:r>
          </w:p>
        </w:tc>
        <w:tc>
          <w:tcPr>
            <w:tcW w:w="1980" w:type="dxa"/>
            <w:tcBorders>
              <w:top w:val="nil"/>
            </w:tcBorders>
            <w:shd w:val="clear" w:color="auto" w:fill="auto"/>
            <w:noWrap/>
            <w:vAlign w:val="bottom"/>
            <w:hideMark/>
          </w:tcPr>
          <w:p w:rsidR="00D45CCE" w:rsidRPr="00A53434" w:rsidRDefault="00D45CCE" w:rsidP="00325D79">
            <w:pPr>
              <w:spacing w:after="0" w:line="240" w:lineRule="auto"/>
              <w:jc w:val="right"/>
              <w:rPr>
                <w:rFonts w:ascii="Calibri" w:eastAsia="Times New Roman" w:hAnsi="Calibri" w:cs="Times New Roman"/>
                <w:color w:val="000000"/>
                <w:sz w:val="20"/>
                <w:szCs w:val="20"/>
                <w:lang w:val="es-ES" w:eastAsia="es-ES"/>
              </w:rPr>
            </w:pPr>
            <w:r w:rsidRPr="00A53434">
              <w:rPr>
                <w:rFonts w:ascii="Calibri" w:eastAsia="Times New Roman" w:hAnsi="Calibri" w:cs="Times New Roman"/>
                <w:color w:val="000000"/>
                <w:sz w:val="20"/>
                <w:szCs w:val="20"/>
                <w:lang w:val="es-ES" w:eastAsia="es-ES"/>
              </w:rPr>
              <w:t>2,7%</w:t>
            </w:r>
          </w:p>
        </w:tc>
        <w:tc>
          <w:tcPr>
            <w:tcW w:w="1175" w:type="dxa"/>
            <w:tcBorders>
              <w:top w:val="nil"/>
            </w:tcBorders>
            <w:shd w:val="clear" w:color="auto" w:fill="auto"/>
            <w:noWrap/>
            <w:vAlign w:val="bottom"/>
            <w:hideMark/>
          </w:tcPr>
          <w:p w:rsidR="00D45CCE" w:rsidRPr="00A53434" w:rsidRDefault="00D45CCE" w:rsidP="00325D79">
            <w:pPr>
              <w:spacing w:after="0" w:line="240" w:lineRule="auto"/>
              <w:jc w:val="right"/>
              <w:rPr>
                <w:rFonts w:ascii="Calibri" w:eastAsia="Times New Roman" w:hAnsi="Calibri" w:cs="Times New Roman"/>
                <w:color w:val="000000"/>
                <w:sz w:val="20"/>
                <w:szCs w:val="20"/>
                <w:lang w:val="es-ES" w:eastAsia="es-ES"/>
              </w:rPr>
            </w:pPr>
            <w:r w:rsidRPr="00A53434">
              <w:rPr>
                <w:rFonts w:ascii="Calibri" w:eastAsia="Times New Roman" w:hAnsi="Calibri" w:cs="Times New Roman"/>
                <w:color w:val="000000"/>
                <w:sz w:val="20"/>
                <w:szCs w:val="20"/>
                <w:lang w:val="es-ES" w:eastAsia="es-ES"/>
              </w:rPr>
              <w:t>11,6%</w:t>
            </w:r>
          </w:p>
        </w:tc>
      </w:tr>
      <w:tr w:rsidR="00D45CCE" w:rsidRPr="00A53434" w:rsidTr="00325D79">
        <w:trPr>
          <w:trHeight w:val="300"/>
        </w:trPr>
        <w:tc>
          <w:tcPr>
            <w:tcW w:w="1780" w:type="dxa"/>
            <w:tcBorders>
              <w:top w:val="nil"/>
              <w:bottom w:val="nil"/>
            </w:tcBorders>
            <w:shd w:val="clear" w:color="auto" w:fill="auto"/>
            <w:noWrap/>
            <w:vAlign w:val="bottom"/>
            <w:hideMark/>
          </w:tcPr>
          <w:p w:rsidR="00D45CCE" w:rsidRPr="00A53434" w:rsidRDefault="00D45CCE" w:rsidP="00325D79">
            <w:pPr>
              <w:spacing w:after="0" w:line="240" w:lineRule="auto"/>
              <w:rPr>
                <w:rFonts w:ascii="Calibri" w:eastAsia="Times New Roman" w:hAnsi="Calibri" w:cs="Times New Roman"/>
                <w:b/>
                <w:bCs/>
                <w:color w:val="000000"/>
                <w:sz w:val="20"/>
                <w:szCs w:val="20"/>
                <w:lang w:val="es-ES" w:eastAsia="es-ES"/>
              </w:rPr>
            </w:pPr>
            <w:r w:rsidRPr="00A53434">
              <w:rPr>
                <w:rFonts w:ascii="Calibri" w:eastAsia="Times New Roman" w:hAnsi="Calibri" w:cs="Times New Roman"/>
                <w:b/>
                <w:bCs/>
                <w:color w:val="000000"/>
                <w:sz w:val="20"/>
                <w:szCs w:val="20"/>
                <w:lang w:val="es-ES" w:eastAsia="es-ES"/>
              </w:rPr>
              <w:t>Hijos</w:t>
            </w:r>
          </w:p>
        </w:tc>
        <w:tc>
          <w:tcPr>
            <w:tcW w:w="3160" w:type="dxa"/>
            <w:tcBorders>
              <w:top w:val="nil"/>
              <w:bottom w:val="nil"/>
            </w:tcBorders>
            <w:shd w:val="clear" w:color="auto" w:fill="auto"/>
            <w:noWrap/>
            <w:vAlign w:val="bottom"/>
            <w:hideMark/>
          </w:tcPr>
          <w:p w:rsidR="00D45CCE" w:rsidRPr="00A53434" w:rsidRDefault="00D45CCE" w:rsidP="00325D79">
            <w:pPr>
              <w:spacing w:after="0" w:line="240" w:lineRule="auto"/>
              <w:rPr>
                <w:rFonts w:ascii="Calibri" w:eastAsia="Times New Roman" w:hAnsi="Calibri" w:cs="Times New Roman"/>
                <w:color w:val="000000"/>
                <w:sz w:val="20"/>
                <w:szCs w:val="20"/>
                <w:lang w:val="es-ES" w:eastAsia="es-ES"/>
              </w:rPr>
            </w:pPr>
            <w:r w:rsidRPr="00A53434">
              <w:rPr>
                <w:rFonts w:ascii="Calibri" w:eastAsia="Times New Roman" w:hAnsi="Calibri" w:cs="Times New Roman"/>
                <w:color w:val="000000"/>
                <w:sz w:val="20"/>
                <w:szCs w:val="20"/>
                <w:lang w:val="es-ES" w:eastAsia="es-ES"/>
              </w:rPr>
              <w:t>Tiene</w:t>
            </w:r>
          </w:p>
        </w:tc>
        <w:tc>
          <w:tcPr>
            <w:tcW w:w="1980" w:type="dxa"/>
            <w:tcBorders>
              <w:top w:val="nil"/>
              <w:bottom w:val="nil"/>
            </w:tcBorders>
            <w:shd w:val="clear" w:color="auto" w:fill="auto"/>
            <w:noWrap/>
            <w:vAlign w:val="bottom"/>
            <w:hideMark/>
          </w:tcPr>
          <w:p w:rsidR="00D45CCE" w:rsidRPr="00A53434" w:rsidRDefault="00D45CCE" w:rsidP="00325D79">
            <w:pPr>
              <w:spacing w:after="0" w:line="240" w:lineRule="auto"/>
              <w:jc w:val="right"/>
              <w:rPr>
                <w:rFonts w:ascii="Calibri" w:eastAsia="Times New Roman" w:hAnsi="Calibri" w:cs="Times New Roman"/>
                <w:color w:val="000000"/>
                <w:sz w:val="20"/>
                <w:szCs w:val="20"/>
                <w:lang w:val="es-ES" w:eastAsia="es-ES"/>
              </w:rPr>
            </w:pPr>
            <w:r w:rsidRPr="00A53434">
              <w:rPr>
                <w:rFonts w:ascii="Calibri" w:eastAsia="Times New Roman" w:hAnsi="Calibri" w:cs="Times New Roman"/>
                <w:color w:val="000000"/>
                <w:sz w:val="20"/>
                <w:szCs w:val="20"/>
                <w:lang w:val="es-ES" w:eastAsia="es-ES"/>
              </w:rPr>
              <w:t>77,4%</w:t>
            </w:r>
          </w:p>
        </w:tc>
        <w:tc>
          <w:tcPr>
            <w:tcW w:w="1175" w:type="dxa"/>
            <w:tcBorders>
              <w:top w:val="nil"/>
              <w:bottom w:val="nil"/>
            </w:tcBorders>
            <w:shd w:val="clear" w:color="auto" w:fill="auto"/>
            <w:noWrap/>
            <w:vAlign w:val="bottom"/>
            <w:hideMark/>
          </w:tcPr>
          <w:p w:rsidR="00D45CCE" w:rsidRPr="00A53434" w:rsidRDefault="00D45CCE" w:rsidP="00325D79">
            <w:pPr>
              <w:spacing w:after="0" w:line="240" w:lineRule="auto"/>
              <w:jc w:val="right"/>
              <w:rPr>
                <w:rFonts w:ascii="Calibri" w:eastAsia="Times New Roman" w:hAnsi="Calibri" w:cs="Times New Roman"/>
                <w:color w:val="000000"/>
                <w:sz w:val="20"/>
                <w:szCs w:val="20"/>
                <w:lang w:val="es-ES" w:eastAsia="es-ES"/>
              </w:rPr>
            </w:pPr>
            <w:r w:rsidRPr="00A53434">
              <w:rPr>
                <w:rFonts w:ascii="Calibri" w:eastAsia="Times New Roman" w:hAnsi="Calibri" w:cs="Times New Roman"/>
                <w:color w:val="000000"/>
                <w:sz w:val="20"/>
                <w:szCs w:val="20"/>
                <w:lang w:val="es-ES" w:eastAsia="es-ES"/>
              </w:rPr>
              <w:t>46,2%</w:t>
            </w:r>
          </w:p>
        </w:tc>
      </w:tr>
      <w:tr w:rsidR="00D45CCE" w:rsidRPr="00A53434" w:rsidTr="00325D79">
        <w:trPr>
          <w:trHeight w:val="300"/>
        </w:trPr>
        <w:tc>
          <w:tcPr>
            <w:tcW w:w="1780" w:type="dxa"/>
            <w:tcBorders>
              <w:top w:val="nil"/>
            </w:tcBorders>
            <w:shd w:val="clear" w:color="auto" w:fill="auto"/>
            <w:noWrap/>
            <w:vAlign w:val="bottom"/>
            <w:hideMark/>
          </w:tcPr>
          <w:p w:rsidR="00D45CCE" w:rsidRPr="00A53434" w:rsidRDefault="00D45CCE" w:rsidP="00325D79">
            <w:pPr>
              <w:spacing w:after="0" w:line="240" w:lineRule="auto"/>
              <w:rPr>
                <w:rFonts w:ascii="Calibri" w:eastAsia="Times New Roman" w:hAnsi="Calibri" w:cs="Times New Roman"/>
                <w:b/>
                <w:bCs/>
                <w:color w:val="000000"/>
                <w:sz w:val="20"/>
                <w:szCs w:val="20"/>
                <w:lang w:val="es-ES" w:eastAsia="es-ES"/>
              </w:rPr>
            </w:pPr>
            <w:r w:rsidRPr="00A53434">
              <w:rPr>
                <w:rFonts w:ascii="Calibri" w:eastAsia="Times New Roman" w:hAnsi="Calibri" w:cs="Times New Roman"/>
                <w:b/>
                <w:bCs/>
                <w:color w:val="000000"/>
                <w:sz w:val="20"/>
                <w:szCs w:val="20"/>
                <w:lang w:val="es-ES" w:eastAsia="es-ES"/>
              </w:rPr>
              <w:t> </w:t>
            </w:r>
          </w:p>
        </w:tc>
        <w:tc>
          <w:tcPr>
            <w:tcW w:w="3160" w:type="dxa"/>
            <w:tcBorders>
              <w:top w:val="nil"/>
            </w:tcBorders>
            <w:shd w:val="clear" w:color="auto" w:fill="auto"/>
            <w:noWrap/>
            <w:vAlign w:val="bottom"/>
            <w:hideMark/>
          </w:tcPr>
          <w:p w:rsidR="00D45CCE" w:rsidRPr="00A53434" w:rsidRDefault="00D45CCE" w:rsidP="00325D79">
            <w:pPr>
              <w:spacing w:after="0" w:line="240" w:lineRule="auto"/>
              <w:rPr>
                <w:rFonts w:ascii="Calibri" w:eastAsia="Times New Roman" w:hAnsi="Calibri" w:cs="Times New Roman"/>
                <w:color w:val="000000"/>
                <w:sz w:val="20"/>
                <w:szCs w:val="20"/>
                <w:lang w:val="es-ES" w:eastAsia="es-ES"/>
              </w:rPr>
            </w:pPr>
            <w:r w:rsidRPr="00A53434">
              <w:rPr>
                <w:rFonts w:ascii="Calibri" w:eastAsia="Times New Roman" w:hAnsi="Calibri" w:cs="Times New Roman"/>
                <w:color w:val="000000"/>
                <w:sz w:val="20"/>
                <w:szCs w:val="20"/>
                <w:lang w:val="es-ES" w:eastAsia="es-ES"/>
              </w:rPr>
              <w:t>No tiene</w:t>
            </w:r>
          </w:p>
        </w:tc>
        <w:tc>
          <w:tcPr>
            <w:tcW w:w="1980" w:type="dxa"/>
            <w:tcBorders>
              <w:top w:val="nil"/>
            </w:tcBorders>
            <w:shd w:val="clear" w:color="auto" w:fill="auto"/>
            <w:noWrap/>
            <w:vAlign w:val="bottom"/>
            <w:hideMark/>
          </w:tcPr>
          <w:p w:rsidR="00D45CCE" w:rsidRPr="00A53434" w:rsidRDefault="00D45CCE" w:rsidP="00325D79">
            <w:pPr>
              <w:spacing w:after="0" w:line="240" w:lineRule="auto"/>
              <w:jc w:val="right"/>
              <w:rPr>
                <w:rFonts w:ascii="Calibri" w:eastAsia="Times New Roman" w:hAnsi="Calibri" w:cs="Times New Roman"/>
                <w:color w:val="000000"/>
                <w:sz w:val="20"/>
                <w:szCs w:val="20"/>
                <w:lang w:val="es-ES" w:eastAsia="es-ES"/>
              </w:rPr>
            </w:pPr>
            <w:r w:rsidRPr="00A53434">
              <w:rPr>
                <w:rFonts w:ascii="Calibri" w:eastAsia="Times New Roman" w:hAnsi="Calibri" w:cs="Times New Roman"/>
                <w:color w:val="000000"/>
                <w:sz w:val="20"/>
                <w:szCs w:val="20"/>
                <w:lang w:val="es-ES" w:eastAsia="es-ES"/>
              </w:rPr>
              <w:t>22,6%</w:t>
            </w:r>
          </w:p>
        </w:tc>
        <w:tc>
          <w:tcPr>
            <w:tcW w:w="1175" w:type="dxa"/>
            <w:tcBorders>
              <w:top w:val="nil"/>
            </w:tcBorders>
            <w:shd w:val="clear" w:color="auto" w:fill="auto"/>
            <w:noWrap/>
            <w:vAlign w:val="bottom"/>
            <w:hideMark/>
          </w:tcPr>
          <w:p w:rsidR="00D45CCE" w:rsidRPr="00A53434" w:rsidRDefault="00D45CCE" w:rsidP="00325D79">
            <w:pPr>
              <w:spacing w:after="0" w:line="240" w:lineRule="auto"/>
              <w:jc w:val="right"/>
              <w:rPr>
                <w:rFonts w:ascii="Calibri" w:eastAsia="Times New Roman" w:hAnsi="Calibri" w:cs="Times New Roman"/>
                <w:color w:val="000000"/>
                <w:sz w:val="20"/>
                <w:szCs w:val="20"/>
                <w:lang w:val="es-ES" w:eastAsia="es-ES"/>
              </w:rPr>
            </w:pPr>
            <w:r w:rsidRPr="00A53434">
              <w:rPr>
                <w:rFonts w:ascii="Calibri" w:eastAsia="Times New Roman" w:hAnsi="Calibri" w:cs="Times New Roman"/>
                <w:color w:val="000000"/>
                <w:sz w:val="20"/>
                <w:szCs w:val="20"/>
                <w:lang w:val="es-ES" w:eastAsia="es-ES"/>
              </w:rPr>
              <w:t>53,8%</w:t>
            </w:r>
          </w:p>
        </w:tc>
      </w:tr>
      <w:tr w:rsidR="00D45CCE" w:rsidRPr="00A53434" w:rsidTr="00325D79">
        <w:trPr>
          <w:trHeight w:val="300"/>
        </w:trPr>
        <w:tc>
          <w:tcPr>
            <w:tcW w:w="1780" w:type="dxa"/>
            <w:tcBorders>
              <w:top w:val="nil"/>
              <w:bottom w:val="nil"/>
            </w:tcBorders>
            <w:shd w:val="clear" w:color="auto" w:fill="auto"/>
            <w:noWrap/>
            <w:vAlign w:val="bottom"/>
            <w:hideMark/>
          </w:tcPr>
          <w:p w:rsidR="00D45CCE" w:rsidRPr="00A53434" w:rsidRDefault="00D45CCE" w:rsidP="00325D79">
            <w:pPr>
              <w:spacing w:after="0" w:line="240" w:lineRule="auto"/>
              <w:rPr>
                <w:rFonts w:ascii="Calibri" w:eastAsia="Times New Roman" w:hAnsi="Calibri" w:cs="Times New Roman"/>
                <w:b/>
                <w:bCs/>
                <w:color w:val="000000"/>
                <w:sz w:val="20"/>
                <w:szCs w:val="20"/>
                <w:lang w:val="es-ES" w:eastAsia="es-ES"/>
              </w:rPr>
            </w:pPr>
            <w:r w:rsidRPr="00A53434">
              <w:rPr>
                <w:rFonts w:ascii="Calibri" w:eastAsia="Times New Roman" w:hAnsi="Calibri" w:cs="Times New Roman"/>
                <w:b/>
                <w:bCs/>
                <w:color w:val="000000"/>
                <w:sz w:val="20"/>
                <w:szCs w:val="20"/>
                <w:lang w:val="es-ES" w:eastAsia="es-ES"/>
              </w:rPr>
              <w:t>Estado civil</w:t>
            </w:r>
          </w:p>
        </w:tc>
        <w:tc>
          <w:tcPr>
            <w:tcW w:w="3160" w:type="dxa"/>
            <w:tcBorders>
              <w:top w:val="nil"/>
              <w:bottom w:val="nil"/>
            </w:tcBorders>
            <w:shd w:val="clear" w:color="auto" w:fill="auto"/>
            <w:noWrap/>
            <w:vAlign w:val="bottom"/>
            <w:hideMark/>
          </w:tcPr>
          <w:p w:rsidR="00D45CCE" w:rsidRPr="00A53434" w:rsidRDefault="00D45CCE" w:rsidP="00325D79">
            <w:pPr>
              <w:spacing w:after="0" w:line="240" w:lineRule="auto"/>
              <w:rPr>
                <w:rFonts w:ascii="Calibri" w:eastAsia="Times New Roman" w:hAnsi="Calibri" w:cs="Times New Roman"/>
                <w:color w:val="000000"/>
                <w:sz w:val="20"/>
                <w:szCs w:val="20"/>
                <w:lang w:val="es-ES" w:eastAsia="es-ES"/>
              </w:rPr>
            </w:pPr>
            <w:r w:rsidRPr="00A53434">
              <w:rPr>
                <w:rFonts w:ascii="Calibri" w:eastAsia="Times New Roman" w:hAnsi="Calibri" w:cs="Times New Roman"/>
                <w:color w:val="000000"/>
                <w:sz w:val="20"/>
                <w:szCs w:val="20"/>
                <w:lang w:val="es-ES" w:eastAsia="es-ES"/>
              </w:rPr>
              <w:t>Tiene cónyuge</w:t>
            </w:r>
          </w:p>
        </w:tc>
        <w:tc>
          <w:tcPr>
            <w:tcW w:w="1980" w:type="dxa"/>
            <w:tcBorders>
              <w:top w:val="nil"/>
              <w:bottom w:val="nil"/>
            </w:tcBorders>
            <w:shd w:val="clear" w:color="auto" w:fill="auto"/>
            <w:noWrap/>
            <w:vAlign w:val="bottom"/>
            <w:hideMark/>
          </w:tcPr>
          <w:p w:rsidR="00D45CCE" w:rsidRPr="00A53434" w:rsidRDefault="00D45CCE" w:rsidP="00325D79">
            <w:pPr>
              <w:spacing w:after="0" w:line="240" w:lineRule="auto"/>
              <w:jc w:val="right"/>
              <w:rPr>
                <w:rFonts w:ascii="Calibri" w:eastAsia="Times New Roman" w:hAnsi="Calibri" w:cs="Times New Roman"/>
                <w:color w:val="000000"/>
                <w:sz w:val="20"/>
                <w:szCs w:val="20"/>
                <w:lang w:val="es-ES" w:eastAsia="es-ES"/>
              </w:rPr>
            </w:pPr>
            <w:r w:rsidRPr="00A53434">
              <w:rPr>
                <w:rFonts w:ascii="Calibri" w:eastAsia="Times New Roman" w:hAnsi="Calibri" w:cs="Times New Roman"/>
                <w:color w:val="000000"/>
                <w:sz w:val="20"/>
                <w:szCs w:val="20"/>
                <w:lang w:val="es-ES" w:eastAsia="es-ES"/>
              </w:rPr>
              <w:t>30,5%</w:t>
            </w:r>
          </w:p>
        </w:tc>
        <w:tc>
          <w:tcPr>
            <w:tcW w:w="1175" w:type="dxa"/>
            <w:tcBorders>
              <w:top w:val="nil"/>
              <w:bottom w:val="nil"/>
            </w:tcBorders>
            <w:shd w:val="clear" w:color="auto" w:fill="auto"/>
            <w:noWrap/>
            <w:vAlign w:val="bottom"/>
            <w:hideMark/>
          </w:tcPr>
          <w:p w:rsidR="00D45CCE" w:rsidRPr="00A53434" w:rsidRDefault="00D45CCE" w:rsidP="00325D79">
            <w:pPr>
              <w:spacing w:after="0" w:line="240" w:lineRule="auto"/>
              <w:jc w:val="right"/>
              <w:rPr>
                <w:rFonts w:ascii="Calibri" w:eastAsia="Times New Roman" w:hAnsi="Calibri" w:cs="Times New Roman"/>
                <w:color w:val="000000"/>
                <w:sz w:val="20"/>
                <w:szCs w:val="20"/>
                <w:lang w:val="es-ES" w:eastAsia="es-ES"/>
              </w:rPr>
            </w:pPr>
            <w:r w:rsidRPr="00A53434">
              <w:rPr>
                <w:rFonts w:ascii="Calibri" w:eastAsia="Times New Roman" w:hAnsi="Calibri" w:cs="Times New Roman"/>
                <w:color w:val="000000"/>
                <w:sz w:val="20"/>
                <w:szCs w:val="20"/>
                <w:lang w:val="es-ES" w:eastAsia="es-ES"/>
              </w:rPr>
              <w:t>49,9%</w:t>
            </w:r>
          </w:p>
        </w:tc>
      </w:tr>
      <w:tr w:rsidR="00D45CCE" w:rsidRPr="00A53434" w:rsidTr="00325D79">
        <w:trPr>
          <w:trHeight w:val="300"/>
        </w:trPr>
        <w:tc>
          <w:tcPr>
            <w:tcW w:w="1780" w:type="dxa"/>
            <w:tcBorders>
              <w:top w:val="nil"/>
            </w:tcBorders>
            <w:shd w:val="clear" w:color="auto" w:fill="auto"/>
            <w:noWrap/>
            <w:vAlign w:val="bottom"/>
            <w:hideMark/>
          </w:tcPr>
          <w:p w:rsidR="00D45CCE" w:rsidRPr="00A53434" w:rsidRDefault="00D45CCE" w:rsidP="00325D79">
            <w:pPr>
              <w:spacing w:after="0" w:line="240" w:lineRule="auto"/>
              <w:rPr>
                <w:rFonts w:ascii="Calibri" w:eastAsia="Times New Roman" w:hAnsi="Calibri" w:cs="Times New Roman"/>
                <w:b/>
                <w:bCs/>
                <w:color w:val="000000"/>
                <w:sz w:val="20"/>
                <w:szCs w:val="20"/>
                <w:lang w:val="es-ES" w:eastAsia="es-ES"/>
              </w:rPr>
            </w:pPr>
            <w:r w:rsidRPr="00A53434">
              <w:rPr>
                <w:rFonts w:ascii="Calibri" w:eastAsia="Times New Roman" w:hAnsi="Calibri" w:cs="Times New Roman"/>
                <w:b/>
                <w:bCs/>
                <w:color w:val="000000"/>
                <w:sz w:val="20"/>
                <w:szCs w:val="20"/>
                <w:lang w:val="es-ES" w:eastAsia="es-ES"/>
              </w:rPr>
              <w:lastRenderedPageBreak/>
              <w:t> </w:t>
            </w:r>
          </w:p>
        </w:tc>
        <w:tc>
          <w:tcPr>
            <w:tcW w:w="3160" w:type="dxa"/>
            <w:tcBorders>
              <w:top w:val="nil"/>
            </w:tcBorders>
            <w:shd w:val="clear" w:color="auto" w:fill="auto"/>
            <w:noWrap/>
            <w:vAlign w:val="bottom"/>
            <w:hideMark/>
          </w:tcPr>
          <w:p w:rsidR="00D45CCE" w:rsidRPr="00A53434" w:rsidRDefault="00D45CCE" w:rsidP="00325D79">
            <w:pPr>
              <w:spacing w:after="0" w:line="240" w:lineRule="auto"/>
              <w:rPr>
                <w:rFonts w:ascii="Calibri" w:eastAsia="Times New Roman" w:hAnsi="Calibri" w:cs="Times New Roman"/>
                <w:color w:val="000000"/>
                <w:sz w:val="20"/>
                <w:szCs w:val="20"/>
                <w:lang w:val="es-ES" w:eastAsia="es-ES"/>
              </w:rPr>
            </w:pPr>
            <w:r w:rsidRPr="00A53434">
              <w:rPr>
                <w:rFonts w:ascii="Calibri" w:eastAsia="Times New Roman" w:hAnsi="Calibri" w:cs="Times New Roman"/>
                <w:color w:val="000000"/>
                <w:sz w:val="20"/>
                <w:szCs w:val="20"/>
                <w:lang w:val="es-ES" w:eastAsia="es-ES"/>
              </w:rPr>
              <w:t>No tiene cónyuge</w:t>
            </w:r>
          </w:p>
        </w:tc>
        <w:tc>
          <w:tcPr>
            <w:tcW w:w="1980" w:type="dxa"/>
            <w:tcBorders>
              <w:top w:val="nil"/>
            </w:tcBorders>
            <w:shd w:val="clear" w:color="auto" w:fill="auto"/>
            <w:noWrap/>
            <w:vAlign w:val="bottom"/>
            <w:hideMark/>
          </w:tcPr>
          <w:p w:rsidR="00D45CCE" w:rsidRPr="00A53434" w:rsidRDefault="00D45CCE" w:rsidP="00325D79">
            <w:pPr>
              <w:spacing w:after="0" w:line="240" w:lineRule="auto"/>
              <w:jc w:val="right"/>
              <w:rPr>
                <w:rFonts w:ascii="Calibri" w:eastAsia="Times New Roman" w:hAnsi="Calibri" w:cs="Times New Roman"/>
                <w:color w:val="000000"/>
                <w:sz w:val="20"/>
                <w:szCs w:val="20"/>
                <w:lang w:val="es-ES" w:eastAsia="es-ES"/>
              </w:rPr>
            </w:pPr>
            <w:r w:rsidRPr="00A53434">
              <w:rPr>
                <w:rFonts w:ascii="Calibri" w:eastAsia="Times New Roman" w:hAnsi="Calibri" w:cs="Times New Roman"/>
                <w:color w:val="000000"/>
                <w:sz w:val="20"/>
                <w:szCs w:val="20"/>
                <w:lang w:val="es-ES" w:eastAsia="es-ES"/>
              </w:rPr>
              <w:t>69,5%</w:t>
            </w:r>
          </w:p>
        </w:tc>
        <w:tc>
          <w:tcPr>
            <w:tcW w:w="1175" w:type="dxa"/>
            <w:tcBorders>
              <w:top w:val="nil"/>
            </w:tcBorders>
            <w:shd w:val="clear" w:color="auto" w:fill="auto"/>
            <w:noWrap/>
            <w:vAlign w:val="bottom"/>
            <w:hideMark/>
          </w:tcPr>
          <w:p w:rsidR="00D45CCE" w:rsidRPr="00A53434" w:rsidRDefault="00D45CCE" w:rsidP="00325D79">
            <w:pPr>
              <w:spacing w:after="0" w:line="240" w:lineRule="auto"/>
              <w:jc w:val="right"/>
              <w:rPr>
                <w:rFonts w:ascii="Calibri" w:eastAsia="Times New Roman" w:hAnsi="Calibri" w:cs="Times New Roman"/>
                <w:color w:val="000000"/>
                <w:sz w:val="20"/>
                <w:szCs w:val="20"/>
                <w:lang w:val="es-ES" w:eastAsia="es-ES"/>
              </w:rPr>
            </w:pPr>
            <w:r w:rsidRPr="00A53434">
              <w:rPr>
                <w:rFonts w:ascii="Calibri" w:eastAsia="Times New Roman" w:hAnsi="Calibri" w:cs="Times New Roman"/>
                <w:color w:val="000000"/>
                <w:sz w:val="20"/>
                <w:szCs w:val="20"/>
                <w:lang w:val="es-ES" w:eastAsia="es-ES"/>
              </w:rPr>
              <w:t>50,1%</w:t>
            </w:r>
          </w:p>
        </w:tc>
      </w:tr>
      <w:tr w:rsidR="00D45CCE" w:rsidRPr="00A53434" w:rsidTr="00325D79">
        <w:trPr>
          <w:trHeight w:val="300"/>
        </w:trPr>
        <w:tc>
          <w:tcPr>
            <w:tcW w:w="1780" w:type="dxa"/>
            <w:tcBorders>
              <w:top w:val="nil"/>
              <w:bottom w:val="single" w:sz="4" w:space="0" w:color="auto"/>
            </w:tcBorders>
            <w:shd w:val="clear" w:color="auto" w:fill="auto"/>
            <w:noWrap/>
            <w:vAlign w:val="bottom"/>
            <w:hideMark/>
          </w:tcPr>
          <w:p w:rsidR="00D45CCE" w:rsidRPr="00A53434" w:rsidRDefault="00D45CCE" w:rsidP="00325D79">
            <w:pPr>
              <w:spacing w:after="0" w:line="240" w:lineRule="auto"/>
              <w:rPr>
                <w:rFonts w:ascii="Calibri" w:eastAsia="Times New Roman" w:hAnsi="Calibri" w:cs="Times New Roman"/>
                <w:b/>
                <w:bCs/>
                <w:color w:val="000000"/>
                <w:sz w:val="20"/>
                <w:szCs w:val="20"/>
                <w:lang w:val="es-ES" w:eastAsia="es-ES"/>
              </w:rPr>
            </w:pPr>
            <w:r w:rsidRPr="00A53434">
              <w:rPr>
                <w:rFonts w:ascii="Calibri" w:eastAsia="Times New Roman" w:hAnsi="Calibri" w:cs="Times New Roman"/>
                <w:b/>
                <w:bCs/>
                <w:color w:val="000000"/>
                <w:sz w:val="20"/>
                <w:szCs w:val="20"/>
                <w:lang w:val="es-ES" w:eastAsia="es-ES"/>
              </w:rPr>
              <w:t>Salario estimado</w:t>
            </w:r>
          </w:p>
        </w:tc>
        <w:tc>
          <w:tcPr>
            <w:tcW w:w="3160" w:type="dxa"/>
            <w:tcBorders>
              <w:top w:val="nil"/>
              <w:bottom w:val="single" w:sz="4" w:space="0" w:color="auto"/>
            </w:tcBorders>
            <w:shd w:val="clear" w:color="auto" w:fill="auto"/>
            <w:noWrap/>
            <w:vAlign w:val="bottom"/>
            <w:hideMark/>
          </w:tcPr>
          <w:p w:rsidR="00D45CCE" w:rsidRPr="00A53434" w:rsidRDefault="00D45CCE" w:rsidP="00325D79">
            <w:pPr>
              <w:spacing w:after="0" w:line="240" w:lineRule="auto"/>
              <w:rPr>
                <w:rFonts w:ascii="Calibri" w:eastAsia="Times New Roman" w:hAnsi="Calibri" w:cs="Times New Roman"/>
                <w:color w:val="000000"/>
                <w:sz w:val="20"/>
                <w:szCs w:val="20"/>
                <w:lang w:val="es-ES" w:eastAsia="es-ES"/>
              </w:rPr>
            </w:pPr>
            <w:r w:rsidRPr="00A53434">
              <w:rPr>
                <w:rFonts w:ascii="Calibri" w:eastAsia="Times New Roman" w:hAnsi="Calibri" w:cs="Times New Roman"/>
                <w:color w:val="000000"/>
                <w:sz w:val="20"/>
                <w:szCs w:val="20"/>
                <w:lang w:val="es-ES" w:eastAsia="es-ES"/>
              </w:rPr>
              <w:t>Promedio</w:t>
            </w:r>
          </w:p>
        </w:tc>
        <w:tc>
          <w:tcPr>
            <w:tcW w:w="1980" w:type="dxa"/>
            <w:tcBorders>
              <w:top w:val="nil"/>
              <w:bottom w:val="single" w:sz="4" w:space="0" w:color="auto"/>
            </w:tcBorders>
            <w:shd w:val="clear" w:color="auto" w:fill="auto"/>
            <w:noWrap/>
            <w:vAlign w:val="bottom"/>
            <w:hideMark/>
          </w:tcPr>
          <w:p w:rsidR="00D45CCE" w:rsidRPr="00A53434" w:rsidRDefault="00D45CCE" w:rsidP="00325D79">
            <w:pPr>
              <w:spacing w:after="0" w:line="240" w:lineRule="auto"/>
              <w:jc w:val="right"/>
              <w:rPr>
                <w:rFonts w:ascii="Calibri" w:eastAsia="Times New Roman" w:hAnsi="Calibri" w:cs="Times New Roman"/>
                <w:color w:val="000000"/>
                <w:sz w:val="20"/>
                <w:szCs w:val="20"/>
                <w:lang w:val="es-ES" w:eastAsia="es-ES"/>
              </w:rPr>
            </w:pPr>
            <w:r w:rsidRPr="00A53434">
              <w:rPr>
                <w:rFonts w:ascii="Calibri" w:eastAsia="Times New Roman" w:hAnsi="Calibri" w:cs="Times New Roman"/>
                <w:color w:val="000000"/>
                <w:sz w:val="20"/>
                <w:szCs w:val="20"/>
                <w:lang w:val="es-ES" w:eastAsia="es-ES"/>
              </w:rPr>
              <w:t>8</w:t>
            </w:r>
            <w:r w:rsidR="00A151EB">
              <w:rPr>
                <w:rFonts w:ascii="Calibri" w:eastAsia="Times New Roman" w:hAnsi="Calibri" w:cs="Times New Roman"/>
                <w:color w:val="000000"/>
                <w:sz w:val="20"/>
                <w:szCs w:val="20"/>
                <w:lang w:val="es-ES" w:eastAsia="es-ES"/>
              </w:rPr>
              <w:t>.</w:t>
            </w:r>
            <w:r w:rsidRPr="00A53434">
              <w:rPr>
                <w:rFonts w:ascii="Calibri" w:eastAsia="Times New Roman" w:hAnsi="Calibri" w:cs="Times New Roman"/>
                <w:color w:val="000000"/>
                <w:sz w:val="20"/>
                <w:szCs w:val="20"/>
                <w:lang w:val="es-ES" w:eastAsia="es-ES"/>
              </w:rPr>
              <w:t>779</w:t>
            </w:r>
          </w:p>
        </w:tc>
        <w:tc>
          <w:tcPr>
            <w:tcW w:w="1175" w:type="dxa"/>
            <w:tcBorders>
              <w:top w:val="nil"/>
              <w:bottom w:val="single" w:sz="4" w:space="0" w:color="auto"/>
            </w:tcBorders>
            <w:shd w:val="clear" w:color="auto" w:fill="auto"/>
            <w:noWrap/>
            <w:vAlign w:val="bottom"/>
            <w:hideMark/>
          </w:tcPr>
          <w:p w:rsidR="00D45CCE" w:rsidRPr="00A53434" w:rsidRDefault="00D45CCE" w:rsidP="00325D79">
            <w:pPr>
              <w:spacing w:after="0" w:line="240" w:lineRule="auto"/>
              <w:jc w:val="right"/>
              <w:rPr>
                <w:rFonts w:ascii="Calibri" w:eastAsia="Times New Roman" w:hAnsi="Calibri" w:cs="Times New Roman"/>
                <w:color w:val="000000"/>
                <w:sz w:val="20"/>
                <w:szCs w:val="20"/>
                <w:lang w:val="es-ES" w:eastAsia="es-ES"/>
              </w:rPr>
            </w:pPr>
            <w:r w:rsidRPr="00A53434">
              <w:rPr>
                <w:rFonts w:ascii="Calibri" w:eastAsia="Times New Roman" w:hAnsi="Calibri" w:cs="Times New Roman"/>
                <w:color w:val="000000"/>
                <w:sz w:val="20"/>
                <w:szCs w:val="20"/>
                <w:lang w:val="es-ES" w:eastAsia="es-ES"/>
              </w:rPr>
              <w:t>9</w:t>
            </w:r>
            <w:r w:rsidR="00A151EB">
              <w:rPr>
                <w:rFonts w:ascii="Calibri" w:eastAsia="Times New Roman" w:hAnsi="Calibri" w:cs="Times New Roman"/>
                <w:color w:val="000000"/>
                <w:sz w:val="20"/>
                <w:szCs w:val="20"/>
                <w:lang w:val="es-ES" w:eastAsia="es-ES"/>
              </w:rPr>
              <w:t>.</w:t>
            </w:r>
            <w:r w:rsidRPr="00A53434">
              <w:rPr>
                <w:rFonts w:ascii="Calibri" w:eastAsia="Times New Roman" w:hAnsi="Calibri" w:cs="Times New Roman"/>
                <w:color w:val="000000"/>
                <w:sz w:val="20"/>
                <w:szCs w:val="20"/>
                <w:lang w:val="es-ES" w:eastAsia="es-ES"/>
              </w:rPr>
              <w:t>405</w:t>
            </w:r>
          </w:p>
        </w:tc>
      </w:tr>
      <w:tr w:rsidR="00D45CCE" w:rsidRPr="00A565EC" w:rsidTr="00325D79">
        <w:trPr>
          <w:trHeight w:val="315"/>
        </w:trPr>
        <w:tc>
          <w:tcPr>
            <w:tcW w:w="8095" w:type="dxa"/>
            <w:gridSpan w:val="4"/>
            <w:tcBorders>
              <w:top w:val="single" w:sz="4" w:space="0" w:color="auto"/>
            </w:tcBorders>
            <w:shd w:val="clear" w:color="auto" w:fill="auto"/>
            <w:noWrap/>
            <w:vAlign w:val="bottom"/>
            <w:hideMark/>
          </w:tcPr>
          <w:p w:rsidR="00D45CCE" w:rsidRPr="00A565EC" w:rsidRDefault="00D45CCE" w:rsidP="00325D79">
            <w:pPr>
              <w:spacing w:after="0" w:line="240" w:lineRule="auto"/>
              <w:rPr>
                <w:rFonts w:ascii="Calibri" w:eastAsia="Times New Roman" w:hAnsi="Calibri" w:cs="Times New Roman"/>
                <w:color w:val="000000"/>
                <w:sz w:val="20"/>
                <w:szCs w:val="20"/>
                <w:lang w:val="es-ES" w:eastAsia="es-ES"/>
              </w:rPr>
            </w:pPr>
            <w:r w:rsidRPr="00A53434">
              <w:rPr>
                <w:rFonts w:ascii="Calibri" w:eastAsia="Times New Roman" w:hAnsi="Calibri" w:cs="Times New Roman"/>
                <w:b/>
                <w:color w:val="000000"/>
                <w:sz w:val="20"/>
                <w:szCs w:val="20"/>
                <w:lang w:val="es-ES" w:eastAsia="es-ES"/>
              </w:rPr>
              <w:t>Nota</w:t>
            </w:r>
            <w:r w:rsidRPr="00A565EC">
              <w:rPr>
                <w:rFonts w:ascii="Calibri" w:eastAsia="Times New Roman" w:hAnsi="Calibri" w:cs="Times New Roman"/>
                <w:color w:val="000000"/>
                <w:sz w:val="20"/>
                <w:szCs w:val="20"/>
                <w:lang w:val="es-ES" w:eastAsia="es-ES"/>
              </w:rPr>
              <w:t>: 1/ estadísticas correspondientes a presos que ingresaron al sistema carcelario en 2010</w:t>
            </w:r>
            <w:r w:rsidR="00B2184F">
              <w:rPr>
                <w:rFonts w:ascii="Calibri" w:eastAsia="Times New Roman" w:hAnsi="Calibri" w:cs="Times New Roman"/>
                <w:color w:val="000000"/>
                <w:sz w:val="20"/>
                <w:szCs w:val="20"/>
                <w:lang w:val="es-ES" w:eastAsia="es-ES"/>
              </w:rPr>
              <w:t>.</w:t>
            </w:r>
          </w:p>
        </w:tc>
      </w:tr>
    </w:tbl>
    <w:p w:rsidR="00D45CCE" w:rsidRDefault="00D45CCE" w:rsidP="00D45CCE">
      <w:pPr>
        <w:jc w:val="both"/>
      </w:pPr>
      <w:r>
        <w:t>Los reclusos que declaran haber ingresado en el año 2010 a prisión, son en su mayoría hombres (87%), son más jóvenes (30 años en promedio), tienen un menor nivel educativo, presentan una mayor frecuencia de hijos y una menor frecuencia de cónyuges que en el promedio de la población de la ECH.</w:t>
      </w:r>
    </w:p>
    <w:p w:rsidR="00D45CCE" w:rsidRDefault="00D45CCE" w:rsidP="00D45CCE">
      <w:pPr>
        <w:jc w:val="both"/>
      </w:pPr>
      <w:r>
        <w:t>Una vez imputado un salario a los reclusos de acuerdo a sus características, se procedió a sumar el ingreso proyectado para todos los reclusos durante el total de años de condena. En este punto, se supuso que la cantidad de prisioneros y la entrada anual de individuos al sistema carcelario mantendrán una relación estable en el tiempo, lo cual permite estimar una pena promedio calculando el cociente entre la cantidad total de reclusos en 2010 y la cantidad de reclusos que ingresaron en dicho año. Dicho de otra forma, el número total de presos en 2010 puede ser una buena aproximación al total de años perdidos de actividad por la generación 2010 de presos.</w:t>
      </w:r>
    </w:p>
    <w:p w:rsidR="00D45CCE" w:rsidRDefault="00D45CCE" w:rsidP="00D45CCE">
      <w:pPr>
        <w:jc w:val="both"/>
      </w:pPr>
      <w:r>
        <w:t xml:space="preserve">En este caso, la sumatoria de ingresos a percibir en el futuro no fue descontada, </w:t>
      </w:r>
      <w:r w:rsidR="004F410F">
        <w:t xml:space="preserve">nuevamente, </w:t>
      </w:r>
      <w:r>
        <w:t xml:space="preserve">bajo el supuesto de que los ingresos futuros se ajustan a una tasa equivalente a la tasa de descuento relevante. Además, es importante señalar que solo se incorporaron en la estimación aquellos ingresos vinculados directamente con el uso de la fuerza de trabajo del individuo y que solo podrían ser percibidos en caso de estar el individuo en libertad (ingresos como trabajador dependiente). </w:t>
      </w:r>
    </w:p>
    <w:p w:rsidR="00D45CCE" w:rsidRDefault="00D45CCE" w:rsidP="00D45CCE">
      <w:pPr>
        <w:jc w:val="both"/>
      </w:pPr>
      <w:r>
        <w:t>Es importante dejar constancia que no fue descontada de la estimación la realización de tareas productivas por parte de los reclusos dentro del centro carcelario. Si bien tenemos información a partir del censo de reclusos que indica que un 17% de la población de recluidos realizaba alguna actividad y un 1</w:t>
      </w:r>
      <w:r w:rsidRPr="00EB2087">
        <w:t>/</w:t>
      </w:r>
      <w:r>
        <w:t>4 de estos (algo más del 4% de la población reclusa</w:t>
      </w:r>
      <w:r w:rsidR="00191A4E">
        <w:t>, véase tabla A.4 en Anexo</w:t>
      </w:r>
      <w:r>
        <w:t>) recibía paga monetaria por su trabajo en el ámbito de reclusión</w:t>
      </w:r>
      <w:r w:rsidRPr="008E1315">
        <w:t xml:space="preserve"> </w:t>
      </w:r>
      <w:r>
        <w:t>en el año 2010, no contamos con información respecto a las características de dichas tareas, su carga horaria y la remuneración. En cualquier caso creemos que el sesgo que esto introduce es menor, y es más que compensado por los sesgos hacia la subestimación que se comentan en los próximos párrafos.</w:t>
      </w:r>
    </w:p>
    <w:p w:rsidR="00D45CCE" w:rsidRDefault="00D45CCE" w:rsidP="00D45CCE">
      <w:pPr>
        <w:jc w:val="both"/>
      </w:pPr>
      <w:r>
        <w:t>Al respecto, es importante señalar que no hemos considerado los costos de oportunidad asociados al tiempo de reclusión de los menores de edad privados de libertad por el acometimiento de delito, ya que no tenemos características detalladas de esta población que permitan una estimación.</w:t>
      </w:r>
      <w:r>
        <w:rPr>
          <w:rStyle w:val="FootnoteReference"/>
        </w:rPr>
        <w:footnoteReference w:id="23"/>
      </w:r>
      <w:r>
        <w:t xml:space="preserve"> </w:t>
      </w:r>
    </w:p>
    <w:p w:rsidR="00D45CCE" w:rsidRDefault="00D45CCE" w:rsidP="00D45CCE">
      <w:pPr>
        <w:keepLines/>
        <w:jc w:val="both"/>
      </w:pPr>
      <w:r>
        <w:lastRenderedPageBreak/>
        <w:t>Finalmente, no hemos logrado información que nos permita estimar el costo de oportunidad del tiempo que dedican a actividades criminales los delincuentes que están en libertad. Si bien bajo algunos supuestos bastante fuertes es posible tener una estimación de esta población,</w:t>
      </w:r>
      <w:r>
        <w:rPr>
          <w:rStyle w:val="FootnoteReference"/>
        </w:rPr>
        <w:footnoteReference w:id="24"/>
      </w:r>
      <w:r>
        <w:t xml:space="preserve"> no es posible estimar el tiempo que cada criminal en libertad dedica a cometer crímenes y tampoco conocemos su perfil (aunque podríamos suponer que es similar al de la población recluida). </w:t>
      </w:r>
    </w:p>
    <w:p w:rsidR="00D45CCE" w:rsidRDefault="00D45CCE" w:rsidP="00D45CCE">
      <w:pPr>
        <w:keepLines/>
        <w:jc w:val="both"/>
      </w:pPr>
      <w:r>
        <w:t>La estimación de costos realizada se presenta en el siguiente cuadro.</w:t>
      </w:r>
    </w:p>
    <w:p w:rsidR="00D45CCE" w:rsidRPr="00510108" w:rsidRDefault="00784795" w:rsidP="00D45CCE">
      <w:pPr>
        <w:jc w:val="both"/>
        <w:rPr>
          <w:b/>
        </w:rPr>
      </w:pPr>
      <w:r>
        <w:rPr>
          <w:b/>
        </w:rPr>
        <w:t>Cuadro 10</w:t>
      </w:r>
      <w:r w:rsidR="00D45CCE" w:rsidRPr="00510108">
        <w:rPr>
          <w:b/>
        </w:rPr>
        <w:t xml:space="preserve">. Estimación del costo de oportunidad </w:t>
      </w:r>
      <w:r w:rsidR="00D45CCE">
        <w:rPr>
          <w:b/>
        </w:rPr>
        <w:t xml:space="preserve">asociado al tiempo en prisión </w:t>
      </w:r>
    </w:p>
    <w:tbl>
      <w:tblPr>
        <w:tblW w:w="7393" w:type="dxa"/>
        <w:tblInd w:w="95" w:type="dxa"/>
        <w:tblLook w:val="04A0" w:firstRow="1" w:lastRow="0" w:firstColumn="1" w:lastColumn="0" w:noHBand="0" w:noVBand="1"/>
      </w:tblPr>
      <w:tblGrid>
        <w:gridCol w:w="6223"/>
        <w:gridCol w:w="1230"/>
      </w:tblGrid>
      <w:tr w:rsidR="00D45CCE" w:rsidRPr="00631A7F" w:rsidTr="00325D79">
        <w:trPr>
          <w:trHeight w:val="288"/>
        </w:trPr>
        <w:tc>
          <w:tcPr>
            <w:tcW w:w="6223" w:type="dxa"/>
            <w:tcBorders>
              <w:top w:val="single" w:sz="4" w:space="0" w:color="auto"/>
              <w:bottom w:val="single" w:sz="4" w:space="0" w:color="auto"/>
            </w:tcBorders>
            <w:shd w:val="clear" w:color="auto" w:fill="auto"/>
            <w:noWrap/>
            <w:vAlign w:val="bottom"/>
            <w:hideMark/>
          </w:tcPr>
          <w:p w:rsidR="00D45CCE" w:rsidRPr="00631A7F" w:rsidRDefault="00D45CCE" w:rsidP="00325D79">
            <w:pPr>
              <w:spacing w:after="0" w:line="240" w:lineRule="auto"/>
              <w:rPr>
                <w:rFonts w:ascii="Calibri" w:eastAsia="Times New Roman" w:hAnsi="Calibri" w:cs="Times New Roman"/>
                <w:b/>
                <w:bCs/>
                <w:color w:val="000000"/>
                <w:sz w:val="20"/>
                <w:szCs w:val="20"/>
              </w:rPr>
            </w:pPr>
            <w:r w:rsidRPr="00631A7F">
              <w:rPr>
                <w:rFonts w:ascii="Calibri" w:eastAsia="Times New Roman" w:hAnsi="Calibri" w:cs="Times New Roman"/>
                <w:b/>
                <w:bCs/>
                <w:color w:val="000000"/>
                <w:sz w:val="20"/>
                <w:szCs w:val="20"/>
              </w:rPr>
              <w:t>Categoría</w:t>
            </w:r>
          </w:p>
        </w:tc>
        <w:tc>
          <w:tcPr>
            <w:tcW w:w="1170" w:type="dxa"/>
            <w:tcBorders>
              <w:top w:val="single" w:sz="4" w:space="0" w:color="auto"/>
              <w:bottom w:val="single" w:sz="4" w:space="0" w:color="auto"/>
            </w:tcBorders>
            <w:shd w:val="clear" w:color="auto" w:fill="auto"/>
            <w:noWrap/>
            <w:vAlign w:val="bottom"/>
            <w:hideMark/>
          </w:tcPr>
          <w:p w:rsidR="00D45CCE" w:rsidRPr="00631A7F" w:rsidRDefault="00D45CCE" w:rsidP="00325D79">
            <w:pPr>
              <w:spacing w:after="0" w:line="240" w:lineRule="auto"/>
              <w:jc w:val="right"/>
              <w:rPr>
                <w:rFonts w:ascii="Calibri" w:eastAsia="Times New Roman" w:hAnsi="Calibri" w:cs="Times New Roman"/>
                <w:b/>
                <w:color w:val="000000"/>
                <w:sz w:val="20"/>
                <w:szCs w:val="20"/>
              </w:rPr>
            </w:pPr>
            <w:r w:rsidRPr="00631A7F">
              <w:rPr>
                <w:rFonts w:ascii="Calibri" w:eastAsia="Times New Roman" w:hAnsi="Calibri" w:cs="Times New Roman"/>
                <w:b/>
                <w:color w:val="000000"/>
                <w:sz w:val="20"/>
                <w:szCs w:val="20"/>
              </w:rPr>
              <w:t>Valor</w:t>
            </w:r>
          </w:p>
        </w:tc>
      </w:tr>
      <w:tr w:rsidR="00D45CCE" w:rsidRPr="00631A7F" w:rsidTr="00325D79">
        <w:trPr>
          <w:trHeight w:val="288"/>
        </w:trPr>
        <w:tc>
          <w:tcPr>
            <w:tcW w:w="6223" w:type="dxa"/>
            <w:tcBorders>
              <w:top w:val="single" w:sz="4" w:space="0" w:color="auto"/>
            </w:tcBorders>
            <w:shd w:val="clear" w:color="auto" w:fill="auto"/>
            <w:noWrap/>
            <w:vAlign w:val="bottom"/>
            <w:hideMark/>
          </w:tcPr>
          <w:p w:rsidR="00D45CCE" w:rsidRPr="00631A7F" w:rsidRDefault="00D45CCE" w:rsidP="00325D79">
            <w:pPr>
              <w:spacing w:after="0" w:line="240" w:lineRule="auto"/>
              <w:rPr>
                <w:rFonts w:ascii="Calibri" w:eastAsia="Times New Roman" w:hAnsi="Calibri" w:cs="Times New Roman"/>
                <w:bCs/>
                <w:color w:val="000000"/>
                <w:sz w:val="20"/>
                <w:szCs w:val="20"/>
              </w:rPr>
            </w:pPr>
            <w:r w:rsidRPr="00631A7F">
              <w:rPr>
                <w:rFonts w:ascii="Calibri" w:eastAsia="Times New Roman" w:hAnsi="Calibri" w:cs="Times New Roman"/>
                <w:bCs/>
                <w:color w:val="000000"/>
                <w:sz w:val="20"/>
                <w:szCs w:val="20"/>
              </w:rPr>
              <w:t>Total presos en 2010</w:t>
            </w:r>
          </w:p>
        </w:tc>
        <w:tc>
          <w:tcPr>
            <w:tcW w:w="1170" w:type="dxa"/>
            <w:tcBorders>
              <w:top w:val="single" w:sz="4" w:space="0" w:color="auto"/>
            </w:tcBorders>
            <w:shd w:val="clear" w:color="auto" w:fill="auto"/>
            <w:noWrap/>
            <w:vAlign w:val="bottom"/>
            <w:hideMark/>
          </w:tcPr>
          <w:p w:rsidR="00D45CCE" w:rsidRPr="00631A7F" w:rsidRDefault="00D45CCE" w:rsidP="00325D79">
            <w:pPr>
              <w:spacing w:after="0" w:line="240" w:lineRule="auto"/>
              <w:jc w:val="right"/>
              <w:rPr>
                <w:rFonts w:ascii="Calibri" w:eastAsia="Times New Roman" w:hAnsi="Calibri" w:cs="Times New Roman"/>
                <w:color w:val="000000"/>
                <w:sz w:val="20"/>
                <w:szCs w:val="20"/>
              </w:rPr>
            </w:pPr>
            <w:r w:rsidRPr="00631A7F">
              <w:rPr>
                <w:rFonts w:ascii="Calibri" w:eastAsia="Times New Roman" w:hAnsi="Calibri" w:cs="Times New Roman"/>
                <w:color w:val="000000"/>
                <w:sz w:val="20"/>
                <w:szCs w:val="20"/>
              </w:rPr>
              <w:t>8.492</w:t>
            </w:r>
          </w:p>
        </w:tc>
      </w:tr>
      <w:tr w:rsidR="00D45CCE" w:rsidRPr="00631A7F" w:rsidTr="00325D79">
        <w:trPr>
          <w:trHeight w:val="288"/>
        </w:trPr>
        <w:tc>
          <w:tcPr>
            <w:tcW w:w="6223" w:type="dxa"/>
            <w:shd w:val="clear" w:color="auto" w:fill="auto"/>
            <w:noWrap/>
            <w:vAlign w:val="bottom"/>
            <w:hideMark/>
          </w:tcPr>
          <w:p w:rsidR="00D45CCE" w:rsidRPr="00631A7F" w:rsidRDefault="00D45CCE" w:rsidP="00325D79">
            <w:pPr>
              <w:spacing w:after="0" w:line="240" w:lineRule="auto"/>
              <w:rPr>
                <w:rFonts w:ascii="Calibri" w:eastAsia="Times New Roman" w:hAnsi="Calibri" w:cs="Times New Roman"/>
                <w:bCs/>
                <w:color w:val="000000"/>
                <w:sz w:val="20"/>
                <w:szCs w:val="20"/>
              </w:rPr>
            </w:pPr>
            <w:r w:rsidRPr="00631A7F">
              <w:rPr>
                <w:rFonts w:ascii="Calibri" w:eastAsia="Times New Roman" w:hAnsi="Calibri" w:cs="Times New Roman"/>
                <w:bCs/>
                <w:color w:val="000000"/>
                <w:sz w:val="20"/>
                <w:szCs w:val="20"/>
              </w:rPr>
              <w:t>Presos que ingresaron en 2010</w:t>
            </w:r>
          </w:p>
        </w:tc>
        <w:tc>
          <w:tcPr>
            <w:tcW w:w="1170" w:type="dxa"/>
            <w:shd w:val="clear" w:color="auto" w:fill="auto"/>
            <w:noWrap/>
            <w:vAlign w:val="bottom"/>
            <w:hideMark/>
          </w:tcPr>
          <w:p w:rsidR="00D45CCE" w:rsidRPr="00631A7F" w:rsidRDefault="00D45CCE" w:rsidP="00325D79">
            <w:pPr>
              <w:spacing w:after="0" w:line="240" w:lineRule="auto"/>
              <w:jc w:val="right"/>
              <w:rPr>
                <w:rFonts w:ascii="Calibri" w:eastAsia="Times New Roman" w:hAnsi="Calibri" w:cs="Times New Roman"/>
                <w:color w:val="000000"/>
                <w:sz w:val="20"/>
                <w:szCs w:val="20"/>
              </w:rPr>
            </w:pPr>
            <w:r w:rsidRPr="00631A7F">
              <w:rPr>
                <w:rFonts w:ascii="Calibri" w:eastAsia="Times New Roman" w:hAnsi="Calibri" w:cs="Times New Roman"/>
                <w:color w:val="000000"/>
                <w:sz w:val="20"/>
                <w:szCs w:val="20"/>
              </w:rPr>
              <w:t>3.220</w:t>
            </w:r>
          </w:p>
        </w:tc>
      </w:tr>
      <w:tr w:rsidR="00D45CCE" w:rsidRPr="00631A7F" w:rsidTr="00325D79">
        <w:trPr>
          <w:trHeight w:val="288"/>
        </w:trPr>
        <w:tc>
          <w:tcPr>
            <w:tcW w:w="6223" w:type="dxa"/>
            <w:shd w:val="clear" w:color="auto" w:fill="auto"/>
            <w:noWrap/>
            <w:vAlign w:val="bottom"/>
            <w:hideMark/>
          </w:tcPr>
          <w:p w:rsidR="00D45CCE" w:rsidRPr="00631A7F" w:rsidRDefault="00D45CCE" w:rsidP="00325D79">
            <w:pPr>
              <w:spacing w:after="0" w:line="240" w:lineRule="auto"/>
              <w:rPr>
                <w:rFonts w:ascii="Calibri" w:eastAsia="Times New Roman" w:hAnsi="Calibri" w:cs="Times New Roman"/>
                <w:bCs/>
                <w:color w:val="000000"/>
                <w:sz w:val="20"/>
                <w:szCs w:val="20"/>
              </w:rPr>
            </w:pPr>
            <w:r w:rsidRPr="00631A7F">
              <w:rPr>
                <w:rFonts w:ascii="Calibri" w:eastAsia="Times New Roman" w:hAnsi="Calibri" w:cs="Times New Roman"/>
                <w:bCs/>
                <w:color w:val="000000"/>
                <w:sz w:val="20"/>
                <w:szCs w:val="20"/>
              </w:rPr>
              <w:t>Pena promedio estimada (años)</w:t>
            </w:r>
          </w:p>
        </w:tc>
        <w:tc>
          <w:tcPr>
            <w:tcW w:w="1170" w:type="dxa"/>
            <w:shd w:val="clear" w:color="auto" w:fill="auto"/>
            <w:noWrap/>
            <w:vAlign w:val="bottom"/>
            <w:hideMark/>
          </w:tcPr>
          <w:p w:rsidR="00D45CCE" w:rsidRPr="00631A7F" w:rsidRDefault="00D45CCE" w:rsidP="00325D79">
            <w:pPr>
              <w:spacing w:after="0" w:line="240" w:lineRule="auto"/>
              <w:jc w:val="right"/>
              <w:rPr>
                <w:rFonts w:ascii="Calibri" w:eastAsia="Times New Roman" w:hAnsi="Calibri" w:cs="Times New Roman"/>
                <w:color w:val="000000"/>
                <w:sz w:val="20"/>
                <w:szCs w:val="20"/>
              </w:rPr>
            </w:pPr>
            <w:r w:rsidRPr="00631A7F">
              <w:rPr>
                <w:rFonts w:ascii="Calibri" w:eastAsia="Times New Roman" w:hAnsi="Calibri" w:cs="Times New Roman"/>
                <w:color w:val="000000"/>
                <w:sz w:val="20"/>
                <w:szCs w:val="20"/>
              </w:rPr>
              <w:t>2,64</w:t>
            </w:r>
          </w:p>
        </w:tc>
      </w:tr>
      <w:tr w:rsidR="00D45CCE" w:rsidRPr="00631A7F" w:rsidTr="00325D79">
        <w:trPr>
          <w:trHeight w:val="288"/>
        </w:trPr>
        <w:tc>
          <w:tcPr>
            <w:tcW w:w="6223" w:type="dxa"/>
            <w:shd w:val="clear" w:color="auto" w:fill="auto"/>
            <w:noWrap/>
            <w:vAlign w:val="bottom"/>
            <w:hideMark/>
          </w:tcPr>
          <w:p w:rsidR="00D45CCE" w:rsidRPr="00631A7F" w:rsidRDefault="00D45CCE" w:rsidP="00325D79">
            <w:pPr>
              <w:spacing w:after="0" w:line="240" w:lineRule="auto"/>
              <w:rPr>
                <w:rFonts w:ascii="Calibri" w:eastAsia="Times New Roman" w:hAnsi="Calibri" w:cs="Times New Roman"/>
                <w:bCs/>
                <w:color w:val="000000"/>
                <w:sz w:val="20"/>
                <w:szCs w:val="20"/>
              </w:rPr>
            </w:pPr>
            <w:r w:rsidRPr="00631A7F">
              <w:rPr>
                <w:rFonts w:ascii="Calibri" w:eastAsia="Times New Roman" w:hAnsi="Calibri" w:cs="Times New Roman"/>
                <w:bCs/>
                <w:color w:val="000000"/>
                <w:sz w:val="20"/>
                <w:szCs w:val="20"/>
              </w:rPr>
              <w:t>Salario promedio estimado en situación de libertad (mensual, $U)</w:t>
            </w:r>
          </w:p>
        </w:tc>
        <w:tc>
          <w:tcPr>
            <w:tcW w:w="1170" w:type="dxa"/>
            <w:shd w:val="clear" w:color="auto" w:fill="auto"/>
            <w:noWrap/>
            <w:vAlign w:val="bottom"/>
            <w:hideMark/>
          </w:tcPr>
          <w:p w:rsidR="00D45CCE" w:rsidRPr="00631A7F" w:rsidRDefault="00D45CCE" w:rsidP="00325D79">
            <w:pPr>
              <w:spacing w:after="0" w:line="240" w:lineRule="auto"/>
              <w:jc w:val="right"/>
              <w:rPr>
                <w:rFonts w:ascii="Calibri" w:eastAsia="Times New Roman" w:hAnsi="Calibri" w:cs="Times New Roman"/>
                <w:color w:val="000000"/>
                <w:sz w:val="20"/>
                <w:szCs w:val="20"/>
              </w:rPr>
            </w:pPr>
            <w:r w:rsidRPr="00631A7F">
              <w:rPr>
                <w:rFonts w:ascii="Calibri" w:eastAsia="Times New Roman" w:hAnsi="Calibri" w:cs="Times New Roman"/>
                <w:color w:val="000000"/>
                <w:sz w:val="20"/>
                <w:szCs w:val="20"/>
              </w:rPr>
              <w:t xml:space="preserve">           8.779 </w:t>
            </w:r>
          </w:p>
        </w:tc>
      </w:tr>
      <w:tr w:rsidR="00D45CCE" w:rsidRPr="00631A7F" w:rsidTr="00325D79">
        <w:trPr>
          <w:trHeight w:val="288"/>
        </w:trPr>
        <w:tc>
          <w:tcPr>
            <w:tcW w:w="6223" w:type="dxa"/>
            <w:shd w:val="clear" w:color="auto" w:fill="auto"/>
            <w:noWrap/>
            <w:vAlign w:val="bottom"/>
            <w:hideMark/>
          </w:tcPr>
          <w:p w:rsidR="00D45CCE" w:rsidRPr="00631A7F" w:rsidRDefault="00D45CCE" w:rsidP="00744660">
            <w:pPr>
              <w:spacing w:after="0" w:line="240" w:lineRule="auto"/>
              <w:rPr>
                <w:rFonts w:ascii="Calibri" w:eastAsia="Times New Roman" w:hAnsi="Calibri" w:cs="Times New Roman"/>
                <w:bCs/>
                <w:color w:val="000000"/>
                <w:sz w:val="20"/>
                <w:szCs w:val="20"/>
              </w:rPr>
            </w:pPr>
            <w:r w:rsidRPr="00631A7F">
              <w:rPr>
                <w:rFonts w:ascii="Calibri" w:eastAsia="Times New Roman" w:hAnsi="Calibri" w:cs="Times New Roman"/>
                <w:bCs/>
                <w:color w:val="000000"/>
                <w:sz w:val="20"/>
                <w:szCs w:val="20"/>
              </w:rPr>
              <w:t>Costo por preso ($U)</w:t>
            </w:r>
          </w:p>
        </w:tc>
        <w:tc>
          <w:tcPr>
            <w:tcW w:w="1170" w:type="dxa"/>
            <w:shd w:val="clear" w:color="auto" w:fill="auto"/>
            <w:noWrap/>
            <w:vAlign w:val="bottom"/>
            <w:hideMark/>
          </w:tcPr>
          <w:p w:rsidR="00D45CCE" w:rsidRPr="00631A7F" w:rsidRDefault="00D45CCE" w:rsidP="00325D79">
            <w:pPr>
              <w:spacing w:after="0" w:line="240" w:lineRule="auto"/>
              <w:jc w:val="right"/>
              <w:rPr>
                <w:rFonts w:ascii="Calibri" w:eastAsia="Times New Roman" w:hAnsi="Calibri" w:cs="Times New Roman"/>
                <w:color w:val="000000"/>
                <w:sz w:val="20"/>
                <w:szCs w:val="20"/>
              </w:rPr>
            </w:pPr>
            <w:r w:rsidRPr="00631A7F">
              <w:rPr>
                <w:rFonts w:ascii="Calibri" w:eastAsia="Times New Roman" w:hAnsi="Calibri" w:cs="Times New Roman"/>
                <w:color w:val="000000"/>
                <w:sz w:val="20"/>
                <w:szCs w:val="20"/>
              </w:rPr>
              <w:t xml:space="preserve">       277.828 </w:t>
            </w:r>
          </w:p>
        </w:tc>
      </w:tr>
      <w:tr w:rsidR="00D45CCE" w:rsidRPr="00631A7F" w:rsidTr="00325D79">
        <w:trPr>
          <w:trHeight w:val="288"/>
        </w:trPr>
        <w:tc>
          <w:tcPr>
            <w:tcW w:w="6223" w:type="dxa"/>
            <w:shd w:val="clear" w:color="auto" w:fill="auto"/>
            <w:noWrap/>
            <w:vAlign w:val="bottom"/>
            <w:hideMark/>
          </w:tcPr>
          <w:p w:rsidR="00D45CCE" w:rsidRPr="00631A7F" w:rsidRDefault="00D45CCE" w:rsidP="00325D79">
            <w:pPr>
              <w:spacing w:after="0" w:line="240" w:lineRule="auto"/>
              <w:rPr>
                <w:rFonts w:ascii="Calibri" w:eastAsia="Times New Roman" w:hAnsi="Calibri" w:cs="Times New Roman"/>
                <w:bCs/>
                <w:color w:val="000000"/>
                <w:sz w:val="20"/>
                <w:szCs w:val="20"/>
              </w:rPr>
            </w:pPr>
            <w:r w:rsidRPr="00631A7F">
              <w:rPr>
                <w:rFonts w:ascii="Calibri" w:eastAsia="Times New Roman" w:hAnsi="Calibri" w:cs="Times New Roman"/>
                <w:bCs/>
                <w:color w:val="000000"/>
                <w:sz w:val="20"/>
                <w:szCs w:val="20"/>
              </w:rPr>
              <w:t>Costo total ($U)</w:t>
            </w:r>
          </w:p>
        </w:tc>
        <w:tc>
          <w:tcPr>
            <w:tcW w:w="1170" w:type="dxa"/>
            <w:shd w:val="clear" w:color="auto" w:fill="auto"/>
            <w:noWrap/>
            <w:vAlign w:val="bottom"/>
            <w:hideMark/>
          </w:tcPr>
          <w:p w:rsidR="00D45CCE" w:rsidRPr="00631A7F" w:rsidRDefault="00D45CCE" w:rsidP="00325D79">
            <w:pPr>
              <w:spacing w:after="0" w:line="240" w:lineRule="auto"/>
              <w:jc w:val="right"/>
              <w:rPr>
                <w:rFonts w:ascii="Calibri" w:eastAsia="Times New Roman" w:hAnsi="Calibri" w:cs="Times New Roman"/>
                <w:color w:val="000000"/>
                <w:sz w:val="20"/>
                <w:szCs w:val="20"/>
              </w:rPr>
            </w:pPr>
            <w:r w:rsidRPr="00631A7F">
              <w:rPr>
                <w:rFonts w:ascii="Calibri" w:eastAsia="Times New Roman" w:hAnsi="Calibri" w:cs="Times New Roman"/>
                <w:color w:val="000000"/>
                <w:sz w:val="20"/>
                <w:szCs w:val="20"/>
              </w:rPr>
              <w:t xml:space="preserve">894.605.229 </w:t>
            </w:r>
          </w:p>
        </w:tc>
      </w:tr>
      <w:tr w:rsidR="00D45CCE" w:rsidRPr="00631A7F" w:rsidTr="00325D79">
        <w:trPr>
          <w:trHeight w:val="288"/>
        </w:trPr>
        <w:tc>
          <w:tcPr>
            <w:tcW w:w="6223" w:type="dxa"/>
            <w:shd w:val="clear" w:color="auto" w:fill="auto"/>
            <w:noWrap/>
            <w:vAlign w:val="bottom"/>
            <w:hideMark/>
          </w:tcPr>
          <w:p w:rsidR="00D45CCE" w:rsidRPr="00631A7F" w:rsidRDefault="00D45CCE" w:rsidP="00325D79">
            <w:pPr>
              <w:spacing w:after="0" w:line="240" w:lineRule="auto"/>
              <w:rPr>
                <w:rFonts w:ascii="Calibri" w:eastAsia="Times New Roman" w:hAnsi="Calibri" w:cs="Times New Roman"/>
                <w:bCs/>
                <w:color w:val="000000"/>
                <w:sz w:val="20"/>
                <w:szCs w:val="20"/>
              </w:rPr>
            </w:pPr>
            <w:r w:rsidRPr="00631A7F">
              <w:rPr>
                <w:rFonts w:ascii="Calibri" w:eastAsia="Times New Roman" w:hAnsi="Calibri" w:cs="Times New Roman"/>
                <w:bCs/>
                <w:color w:val="000000"/>
                <w:sz w:val="20"/>
                <w:szCs w:val="20"/>
              </w:rPr>
              <w:t>Costo total (USD)</w:t>
            </w:r>
          </w:p>
        </w:tc>
        <w:tc>
          <w:tcPr>
            <w:tcW w:w="1170" w:type="dxa"/>
            <w:shd w:val="clear" w:color="auto" w:fill="auto"/>
            <w:noWrap/>
            <w:vAlign w:val="bottom"/>
            <w:hideMark/>
          </w:tcPr>
          <w:p w:rsidR="00D45CCE" w:rsidRPr="00631A7F" w:rsidRDefault="00D45CCE" w:rsidP="00325D79">
            <w:pPr>
              <w:spacing w:after="0" w:line="240" w:lineRule="auto"/>
              <w:jc w:val="right"/>
              <w:rPr>
                <w:rFonts w:ascii="Calibri" w:eastAsia="Times New Roman" w:hAnsi="Calibri" w:cs="Times New Roman"/>
                <w:color w:val="000000"/>
                <w:sz w:val="20"/>
                <w:szCs w:val="20"/>
              </w:rPr>
            </w:pPr>
            <w:r w:rsidRPr="00631A7F">
              <w:rPr>
                <w:rFonts w:ascii="Calibri" w:eastAsia="Times New Roman" w:hAnsi="Calibri" w:cs="Times New Roman"/>
                <w:color w:val="000000"/>
                <w:sz w:val="20"/>
                <w:szCs w:val="20"/>
              </w:rPr>
              <w:t xml:space="preserve">  44.598.087 </w:t>
            </w:r>
          </w:p>
        </w:tc>
      </w:tr>
      <w:tr w:rsidR="00D45CCE" w:rsidRPr="00631A7F" w:rsidTr="00325D79">
        <w:trPr>
          <w:trHeight w:val="270"/>
        </w:trPr>
        <w:tc>
          <w:tcPr>
            <w:tcW w:w="6223" w:type="dxa"/>
            <w:tcBorders>
              <w:bottom w:val="single" w:sz="4" w:space="0" w:color="auto"/>
            </w:tcBorders>
            <w:shd w:val="clear" w:color="auto" w:fill="auto"/>
            <w:noWrap/>
            <w:vAlign w:val="bottom"/>
            <w:hideMark/>
          </w:tcPr>
          <w:p w:rsidR="00D45CCE" w:rsidRPr="00631A7F" w:rsidRDefault="00D45CCE" w:rsidP="00325D79">
            <w:pPr>
              <w:spacing w:after="0" w:line="240" w:lineRule="auto"/>
              <w:rPr>
                <w:rFonts w:ascii="Calibri" w:eastAsia="Times New Roman" w:hAnsi="Calibri" w:cs="Times New Roman"/>
                <w:b/>
                <w:bCs/>
                <w:color w:val="000000"/>
                <w:sz w:val="20"/>
                <w:szCs w:val="20"/>
              </w:rPr>
            </w:pPr>
            <w:r w:rsidRPr="00631A7F">
              <w:rPr>
                <w:rFonts w:ascii="Calibri" w:eastAsia="Times New Roman" w:hAnsi="Calibri" w:cs="Times New Roman"/>
                <w:b/>
                <w:bCs/>
                <w:color w:val="000000"/>
                <w:sz w:val="20"/>
                <w:szCs w:val="20"/>
              </w:rPr>
              <w:t>Costo (% PIB)</w:t>
            </w:r>
          </w:p>
        </w:tc>
        <w:tc>
          <w:tcPr>
            <w:tcW w:w="1170" w:type="dxa"/>
            <w:tcBorders>
              <w:bottom w:val="single" w:sz="4" w:space="0" w:color="auto"/>
            </w:tcBorders>
            <w:shd w:val="clear" w:color="auto" w:fill="auto"/>
            <w:noWrap/>
            <w:vAlign w:val="bottom"/>
            <w:hideMark/>
          </w:tcPr>
          <w:p w:rsidR="00D45CCE" w:rsidRPr="00631A7F" w:rsidRDefault="00D45CCE" w:rsidP="00325D79">
            <w:pPr>
              <w:spacing w:after="0" w:line="240" w:lineRule="auto"/>
              <w:jc w:val="right"/>
              <w:rPr>
                <w:rFonts w:ascii="Calibri" w:eastAsia="Times New Roman" w:hAnsi="Calibri" w:cs="Times New Roman"/>
                <w:b/>
                <w:color w:val="000000"/>
                <w:sz w:val="20"/>
                <w:szCs w:val="20"/>
              </w:rPr>
            </w:pPr>
            <w:r w:rsidRPr="00631A7F">
              <w:rPr>
                <w:rFonts w:ascii="Calibri" w:eastAsia="Times New Roman" w:hAnsi="Calibri" w:cs="Times New Roman"/>
                <w:b/>
                <w:color w:val="000000"/>
                <w:sz w:val="20"/>
                <w:szCs w:val="20"/>
              </w:rPr>
              <w:t xml:space="preserve">           0,11</w:t>
            </w:r>
            <w:r w:rsidR="00FA54F5">
              <w:rPr>
                <w:rFonts w:ascii="Calibri" w:eastAsia="Times New Roman" w:hAnsi="Calibri" w:cs="Times New Roman"/>
                <w:b/>
                <w:color w:val="000000"/>
                <w:sz w:val="20"/>
                <w:szCs w:val="20"/>
              </w:rPr>
              <w:t>%</w:t>
            </w:r>
            <w:r w:rsidRPr="00631A7F">
              <w:rPr>
                <w:rFonts w:ascii="Calibri" w:eastAsia="Times New Roman" w:hAnsi="Calibri" w:cs="Times New Roman"/>
                <w:b/>
                <w:color w:val="000000"/>
                <w:sz w:val="20"/>
                <w:szCs w:val="20"/>
              </w:rPr>
              <w:t xml:space="preserve"> </w:t>
            </w:r>
          </w:p>
        </w:tc>
      </w:tr>
    </w:tbl>
    <w:p w:rsidR="00D45CCE" w:rsidRDefault="00D45CCE" w:rsidP="00D45CCE">
      <w:pPr>
        <w:jc w:val="both"/>
      </w:pPr>
    </w:p>
    <w:p w:rsidR="00022014" w:rsidRPr="00D45CCE" w:rsidRDefault="00D45CCE" w:rsidP="00D45CCE">
      <w:pPr>
        <w:pStyle w:val="Default"/>
        <w:spacing w:after="120"/>
        <w:jc w:val="both"/>
        <w:rPr>
          <w:rFonts w:asciiTheme="minorHAnsi" w:hAnsiTheme="minorHAnsi"/>
          <w:sz w:val="22"/>
          <w:szCs w:val="22"/>
          <w:lang w:val="es-UY"/>
        </w:rPr>
      </w:pPr>
      <w:r w:rsidRPr="00D45CCE">
        <w:rPr>
          <w:rFonts w:asciiTheme="minorHAnsi" w:hAnsiTheme="minorHAnsi"/>
          <w:sz w:val="22"/>
          <w:szCs w:val="22"/>
          <w:lang w:val="es-UY"/>
        </w:rPr>
        <w:t xml:space="preserve">Las estimaciones indican que en el año 2010 se perdió por concepto de costo de oportunidad del tiempo de la población reclusa un 0,11% del PIB. </w:t>
      </w:r>
      <w:r w:rsidR="003C6D03" w:rsidRPr="00D45CCE">
        <w:rPr>
          <w:rFonts w:asciiTheme="minorHAnsi" w:hAnsiTheme="minorHAnsi"/>
          <w:sz w:val="22"/>
          <w:szCs w:val="22"/>
          <w:lang w:val="es-UY"/>
        </w:rPr>
        <w:t xml:space="preserve"> </w:t>
      </w:r>
    </w:p>
    <w:p w:rsidR="0015719C" w:rsidRPr="00022014" w:rsidRDefault="0015719C" w:rsidP="00022014">
      <w:pPr>
        <w:pStyle w:val="Default"/>
        <w:spacing w:after="120"/>
        <w:jc w:val="both"/>
        <w:rPr>
          <w:rFonts w:asciiTheme="minorHAnsi" w:hAnsiTheme="minorHAnsi"/>
          <w:sz w:val="22"/>
          <w:lang w:val="es-UY"/>
        </w:rPr>
      </w:pPr>
    </w:p>
    <w:p w:rsidR="00113579" w:rsidRPr="00DD74F2" w:rsidRDefault="00113579" w:rsidP="00DD74F2">
      <w:pPr>
        <w:pStyle w:val="ListParagraph"/>
        <w:numPr>
          <w:ilvl w:val="1"/>
          <w:numId w:val="1"/>
        </w:numPr>
        <w:ind w:hanging="720"/>
        <w:rPr>
          <w:b/>
        </w:rPr>
      </w:pPr>
      <w:r w:rsidRPr="00DD74F2">
        <w:rPr>
          <w:b/>
        </w:rPr>
        <w:t>Síntesis de resultados</w:t>
      </w:r>
    </w:p>
    <w:p w:rsidR="00113579" w:rsidRPr="006862DD" w:rsidRDefault="00784795" w:rsidP="00113579">
      <w:pPr>
        <w:spacing w:after="240"/>
        <w:jc w:val="both"/>
      </w:pPr>
      <w:r>
        <w:t>El Cuadro 11</w:t>
      </w:r>
      <w:r w:rsidR="00113579">
        <w:t xml:space="preserve"> resume los costos del crimen de los componentes estimados</w:t>
      </w:r>
      <w:r w:rsidR="00C24AD4">
        <w:t xml:space="preserve"> en este trabajo</w:t>
      </w:r>
      <w:r w:rsidR="00113579" w:rsidRPr="00C50802">
        <w:t>, diferenciado en</w:t>
      </w:r>
      <w:r w:rsidR="00113579">
        <w:t xml:space="preserve"> costos en</w:t>
      </w:r>
      <w:r w:rsidR="00113579" w:rsidRPr="00C50802">
        <w:t xml:space="preserve"> anticipación, consecuencia y respuesta al crimen. </w:t>
      </w:r>
      <w:r w:rsidR="00113579">
        <w:t>Se</w:t>
      </w:r>
      <w:r w:rsidR="00113579" w:rsidRPr="006862DD">
        <w:t xml:space="preserve"> </w:t>
      </w:r>
      <w:r w:rsidR="00113579">
        <w:t>muestran</w:t>
      </w:r>
      <w:r w:rsidR="00113579" w:rsidRPr="006862DD">
        <w:t xml:space="preserve"> l</w:t>
      </w:r>
      <w:r w:rsidR="00113579">
        <w:t>os montos en dólares y en proporción del PIB</w:t>
      </w:r>
      <w:r w:rsidR="00C24AD4" w:rsidRPr="00C24AD4">
        <w:t xml:space="preserve"> </w:t>
      </w:r>
      <w:r w:rsidR="00C24AD4">
        <w:t>del año 2010</w:t>
      </w:r>
      <w:r w:rsidR="00113579">
        <w:t xml:space="preserve">. </w:t>
      </w:r>
    </w:p>
    <w:p w:rsidR="00113579" w:rsidRPr="00071527" w:rsidRDefault="00113579" w:rsidP="00113579">
      <w:pPr>
        <w:jc w:val="both"/>
        <w:rPr>
          <w:b/>
        </w:rPr>
      </w:pPr>
      <w:r w:rsidRPr="00A942CB">
        <w:rPr>
          <w:b/>
        </w:rPr>
        <w:t xml:space="preserve">Cuadro </w:t>
      </w:r>
      <w:r w:rsidR="00A942CB" w:rsidRPr="00A942CB">
        <w:rPr>
          <w:b/>
        </w:rPr>
        <w:t>11</w:t>
      </w:r>
      <w:r w:rsidRPr="00A942CB">
        <w:rPr>
          <w:b/>
        </w:rPr>
        <w:t>.</w:t>
      </w:r>
      <w:r w:rsidRPr="00391E20">
        <w:rPr>
          <w:b/>
        </w:rPr>
        <w:t xml:space="preserve"> Costo del crimen en Uruguay  (en miles de dólares y porcentaje del PIB)</w:t>
      </w:r>
      <w:r w:rsidRPr="00071527">
        <w:rPr>
          <w:b/>
        </w:rPr>
        <w:t xml:space="preserve">  </w:t>
      </w:r>
    </w:p>
    <w:tbl>
      <w:tblPr>
        <w:tblW w:w="7125" w:type="dxa"/>
        <w:tblInd w:w="55" w:type="dxa"/>
        <w:tblLayout w:type="fixed"/>
        <w:tblCellMar>
          <w:left w:w="70" w:type="dxa"/>
          <w:right w:w="70" w:type="dxa"/>
        </w:tblCellMar>
        <w:tblLook w:val="04A0" w:firstRow="1" w:lastRow="0" w:firstColumn="1" w:lastColumn="0" w:noHBand="0" w:noVBand="1"/>
      </w:tblPr>
      <w:tblGrid>
        <w:gridCol w:w="4835"/>
        <w:gridCol w:w="1134"/>
        <w:gridCol w:w="1156"/>
      </w:tblGrid>
      <w:tr w:rsidR="00203370" w:rsidRPr="00631A7F" w:rsidTr="00C24AD4">
        <w:trPr>
          <w:trHeight w:val="585"/>
        </w:trPr>
        <w:tc>
          <w:tcPr>
            <w:tcW w:w="4835" w:type="dxa"/>
            <w:tcBorders>
              <w:top w:val="single" w:sz="4" w:space="0" w:color="auto"/>
              <w:bottom w:val="single" w:sz="4" w:space="0" w:color="auto"/>
            </w:tcBorders>
            <w:shd w:val="clear" w:color="auto" w:fill="auto"/>
            <w:hideMark/>
          </w:tcPr>
          <w:p w:rsidR="00203370" w:rsidRPr="00631A7F" w:rsidRDefault="00203370" w:rsidP="00440796">
            <w:pPr>
              <w:spacing w:after="0" w:line="240" w:lineRule="auto"/>
              <w:rPr>
                <w:rFonts w:ascii="Calibri" w:eastAsia="Times New Roman" w:hAnsi="Calibri" w:cs="Times New Roman"/>
                <w:b/>
                <w:bCs/>
                <w:sz w:val="20"/>
                <w:szCs w:val="20"/>
                <w:lang w:val="es-ES" w:eastAsia="es-ES"/>
              </w:rPr>
            </w:pPr>
            <w:r w:rsidRPr="00631A7F">
              <w:rPr>
                <w:rFonts w:ascii="Calibri" w:eastAsia="Times New Roman" w:hAnsi="Calibri" w:cs="Times New Roman"/>
                <w:b/>
                <w:bCs/>
                <w:sz w:val="20"/>
                <w:szCs w:val="20"/>
                <w:lang w:val="es-ES" w:eastAsia="es-ES"/>
              </w:rPr>
              <w:lastRenderedPageBreak/>
              <w:t>Categoría de costo</w:t>
            </w:r>
          </w:p>
        </w:tc>
        <w:tc>
          <w:tcPr>
            <w:tcW w:w="1134" w:type="dxa"/>
            <w:tcBorders>
              <w:top w:val="single" w:sz="4" w:space="0" w:color="auto"/>
              <w:bottom w:val="single" w:sz="4" w:space="0" w:color="auto"/>
            </w:tcBorders>
            <w:shd w:val="clear" w:color="auto" w:fill="auto"/>
            <w:hideMark/>
          </w:tcPr>
          <w:p w:rsidR="00203370" w:rsidRPr="00631A7F" w:rsidRDefault="00203370" w:rsidP="00A942CB">
            <w:pPr>
              <w:spacing w:after="0" w:line="240" w:lineRule="auto"/>
              <w:jc w:val="center"/>
              <w:rPr>
                <w:rFonts w:ascii="Calibri" w:eastAsia="Times New Roman" w:hAnsi="Calibri" w:cs="Times New Roman"/>
                <w:b/>
                <w:bCs/>
                <w:sz w:val="20"/>
                <w:szCs w:val="20"/>
                <w:lang w:val="es-ES" w:eastAsia="es-ES"/>
              </w:rPr>
            </w:pPr>
            <w:r w:rsidRPr="00631A7F">
              <w:rPr>
                <w:rFonts w:ascii="Calibri" w:eastAsia="Times New Roman" w:hAnsi="Calibri" w:cs="Times New Roman"/>
                <w:b/>
                <w:bCs/>
                <w:sz w:val="20"/>
                <w:szCs w:val="20"/>
                <w:lang w:val="es-ES" w:eastAsia="es-ES"/>
              </w:rPr>
              <w:t xml:space="preserve">Costo </w:t>
            </w:r>
          </w:p>
          <w:p w:rsidR="00203370" w:rsidRPr="00631A7F" w:rsidRDefault="00203370" w:rsidP="00C24AD4">
            <w:pPr>
              <w:spacing w:after="0" w:line="240" w:lineRule="auto"/>
              <w:jc w:val="center"/>
              <w:rPr>
                <w:rFonts w:ascii="Calibri" w:eastAsia="Times New Roman" w:hAnsi="Calibri" w:cs="Times New Roman"/>
                <w:b/>
                <w:bCs/>
                <w:sz w:val="20"/>
                <w:szCs w:val="20"/>
                <w:lang w:val="es-ES" w:eastAsia="es-ES"/>
              </w:rPr>
            </w:pPr>
            <w:r w:rsidRPr="00631A7F">
              <w:rPr>
                <w:rFonts w:ascii="Calibri" w:eastAsia="Times New Roman" w:hAnsi="Calibri" w:cs="Times New Roman"/>
                <w:b/>
                <w:bCs/>
                <w:sz w:val="20"/>
                <w:szCs w:val="20"/>
                <w:lang w:val="es-ES" w:eastAsia="es-ES"/>
              </w:rPr>
              <w:t>miles USD</w:t>
            </w:r>
          </w:p>
        </w:tc>
        <w:tc>
          <w:tcPr>
            <w:tcW w:w="1156" w:type="dxa"/>
            <w:tcBorders>
              <w:top w:val="single" w:sz="4" w:space="0" w:color="auto"/>
              <w:bottom w:val="single" w:sz="4" w:space="0" w:color="auto"/>
            </w:tcBorders>
            <w:shd w:val="clear" w:color="auto" w:fill="auto"/>
            <w:hideMark/>
          </w:tcPr>
          <w:p w:rsidR="00203370" w:rsidRPr="00631A7F" w:rsidRDefault="00203370" w:rsidP="00A942CB">
            <w:pPr>
              <w:spacing w:after="0" w:line="240" w:lineRule="auto"/>
              <w:jc w:val="center"/>
              <w:rPr>
                <w:rFonts w:ascii="Calibri" w:eastAsia="Times New Roman" w:hAnsi="Calibri" w:cs="Times New Roman"/>
                <w:b/>
                <w:bCs/>
                <w:sz w:val="20"/>
                <w:szCs w:val="20"/>
                <w:lang w:val="es-ES" w:eastAsia="es-ES"/>
              </w:rPr>
            </w:pPr>
            <w:r w:rsidRPr="00631A7F">
              <w:rPr>
                <w:rFonts w:ascii="Calibri" w:eastAsia="Times New Roman" w:hAnsi="Calibri" w:cs="Times New Roman"/>
                <w:b/>
                <w:bCs/>
                <w:sz w:val="20"/>
                <w:szCs w:val="20"/>
                <w:lang w:val="es-ES" w:eastAsia="es-ES"/>
              </w:rPr>
              <w:t>Costo</w:t>
            </w:r>
          </w:p>
          <w:p w:rsidR="00203370" w:rsidRPr="00631A7F" w:rsidRDefault="00203370" w:rsidP="00A942CB">
            <w:pPr>
              <w:spacing w:after="0" w:line="240" w:lineRule="auto"/>
              <w:jc w:val="center"/>
              <w:rPr>
                <w:rFonts w:ascii="Calibri" w:eastAsia="Times New Roman" w:hAnsi="Calibri" w:cs="Times New Roman"/>
                <w:b/>
                <w:bCs/>
                <w:sz w:val="20"/>
                <w:szCs w:val="20"/>
                <w:lang w:val="es-ES" w:eastAsia="es-ES"/>
              </w:rPr>
            </w:pPr>
            <w:r w:rsidRPr="00631A7F">
              <w:rPr>
                <w:rFonts w:ascii="Calibri" w:eastAsia="Times New Roman" w:hAnsi="Calibri" w:cs="Times New Roman"/>
                <w:b/>
                <w:bCs/>
                <w:sz w:val="20"/>
                <w:szCs w:val="20"/>
                <w:lang w:val="es-ES" w:eastAsia="es-ES"/>
              </w:rPr>
              <w:t>% PIB</w:t>
            </w:r>
          </w:p>
        </w:tc>
      </w:tr>
      <w:tr w:rsidR="001967FA" w:rsidRPr="00631A7F" w:rsidTr="001967FA">
        <w:trPr>
          <w:trHeight w:val="497"/>
        </w:trPr>
        <w:tc>
          <w:tcPr>
            <w:tcW w:w="4835" w:type="dxa"/>
            <w:tcBorders>
              <w:top w:val="single" w:sz="4" w:space="0" w:color="auto"/>
            </w:tcBorders>
            <w:shd w:val="clear" w:color="auto" w:fill="auto"/>
            <w:vAlign w:val="center"/>
            <w:hideMark/>
          </w:tcPr>
          <w:p w:rsidR="001967FA" w:rsidRPr="001967FA" w:rsidRDefault="001967FA" w:rsidP="001967FA">
            <w:pPr>
              <w:spacing w:before="240" w:after="0" w:line="240" w:lineRule="auto"/>
              <w:rPr>
                <w:rFonts w:ascii="Calibri" w:eastAsia="Times New Roman" w:hAnsi="Calibri" w:cs="Times New Roman"/>
                <w:b/>
                <w:color w:val="000000"/>
                <w:sz w:val="20"/>
                <w:szCs w:val="20"/>
                <w:lang w:val="es-ES" w:eastAsia="es-ES"/>
              </w:rPr>
            </w:pPr>
            <w:r w:rsidRPr="001967FA">
              <w:rPr>
                <w:rFonts w:ascii="Calibri" w:eastAsia="Times New Roman" w:hAnsi="Calibri" w:cs="Times New Roman"/>
                <w:b/>
                <w:color w:val="000000"/>
                <w:sz w:val="20"/>
                <w:szCs w:val="20"/>
                <w:lang w:val="es-ES" w:eastAsia="es-ES"/>
              </w:rPr>
              <w:t>En anticipación al crimen</w:t>
            </w:r>
          </w:p>
        </w:tc>
        <w:tc>
          <w:tcPr>
            <w:tcW w:w="1134" w:type="dxa"/>
            <w:tcBorders>
              <w:top w:val="single" w:sz="4" w:space="0" w:color="auto"/>
            </w:tcBorders>
            <w:shd w:val="clear" w:color="auto" w:fill="auto"/>
            <w:hideMark/>
          </w:tcPr>
          <w:p w:rsidR="001967FA" w:rsidRPr="001967FA" w:rsidRDefault="00D710E3" w:rsidP="00D710E3">
            <w:pPr>
              <w:spacing w:before="240" w:after="0" w:line="240" w:lineRule="auto"/>
              <w:jc w:val="right"/>
              <w:rPr>
                <w:rFonts w:ascii="Calibri" w:eastAsia="Times New Roman" w:hAnsi="Calibri" w:cs="Times New Roman"/>
                <w:b/>
                <w:color w:val="000000"/>
                <w:sz w:val="20"/>
                <w:szCs w:val="20"/>
                <w:lang w:val="es-ES" w:eastAsia="es-ES"/>
              </w:rPr>
            </w:pPr>
            <w:r>
              <w:rPr>
                <w:rFonts w:ascii="Calibri" w:eastAsia="Times New Roman" w:hAnsi="Calibri" w:cs="Times New Roman"/>
                <w:b/>
                <w:color w:val="000000"/>
                <w:sz w:val="20"/>
                <w:szCs w:val="20"/>
                <w:lang w:val="es-ES" w:eastAsia="es-ES"/>
              </w:rPr>
              <w:t>747.739</w:t>
            </w:r>
          </w:p>
        </w:tc>
        <w:tc>
          <w:tcPr>
            <w:tcW w:w="1156" w:type="dxa"/>
            <w:tcBorders>
              <w:top w:val="single" w:sz="4" w:space="0" w:color="auto"/>
            </w:tcBorders>
            <w:shd w:val="clear" w:color="auto" w:fill="auto"/>
            <w:hideMark/>
          </w:tcPr>
          <w:p w:rsidR="001967FA" w:rsidRPr="001967FA" w:rsidRDefault="00D710E3" w:rsidP="00D710E3">
            <w:pPr>
              <w:spacing w:before="240" w:after="0" w:line="240" w:lineRule="auto"/>
              <w:jc w:val="right"/>
              <w:rPr>
                <w:rFonts w:ascii="Calibri" w:eastAsia="Times New Roman" w:hAnsi="Calibri" w:cs="Times New Roman"/>
                <w:b/>
                <w:color w:val="000000"/>
                <w:sz w:val="20"/>
                <w:szCs w:val="20"/>
                <w:lang w:val="es-ES" w:eastAsia="es-ES"/>
              </w:rPr>
            </w:pPr>
            <w:r>
              <w:rPr>
                <w:rFonts w:ascii="Calibri" w:eastAsia="Times New Roman" w:hAnsi="Calibri" w:cs="Times New Roman"/>
                <w:b/>
                <w:color w:val="000000"/>
                <w:sz w:val="20"/>
                <w:szCs w:val="20"/>
                <w:lang w:val="es-ES" w:eastAsia="es-ES"/>
              </w:rPr>
              <w:t>1</w:t>
            </w:r>
            <w:r w:rsidR="001967FA" w:rsidRPr="001967FA">
              <w:rPr>
                <w:rFonts w:ascii="Calibri" w:eastAsia="Times New Roman" w:hAnsi="Calibri" w:cs="Times New Roman"/>
                <w:b/>
                <w:color w:val="000000"/>
                <w:sz w:val="20"/>
                <w:szCs w:val="20"/>
                <w:lang w:val="es-ES" w:eastAsia="es-ES"/>
              </w:rPr>
              <w:t>,</w:t>
            </w:r>
            <w:r>
              <w:rPr>
                <w:rFonts w:ascii="Calibri" w:eastAsia="Times New Roman" w:hAnsi="Calibri" w:cs="Times New Roman"/>
                <w:b/>
                <w:color w:val="000000"/>
                <w:sz w:val="20"/>
                <w:szCs w:val="20"/>
                <w:lang w:val="es-ES" w:eastAsia="es-ES"/>
              </w:rPr>
              <w:t>90</w:t>
            </w:r>
          </w:p>
        </w:tc>
      </w:tr>
      <w:tr w:rsidR="00203370" w:rsidRPr="00631A7F" w:rsidTr="00C24AD4">
        <w:trPr>
          <w:trHeight w:val="475"/>
        </w:trPr>
        <w:tc>
          <w:tcPr>
            <w:tcW w:w="4835" w:type="dxa"/>
            <w:shd w:val="clear" w:color="auto" w:fill="auto"/>
            <w:vAlign w:val="center"/>
            <w:hideMark/>
          </w:tcPr>
          <w:p w:rsidR="00203370" w:rsidRPr="00631A7F" w:rsidRDefault="00C24AD4" w:rsidP="001967FA">
            <w:pPr>
              <w:spacing w:after="0" w:line="240" w:lineRule="auto"/>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 xml:space="preserve">   </w:t>
            </w:r>
            <w:r w:rsidR="00203370" w:rsidRPr="00631A7F">
              <w:rPr>
                <w:rFonts w:ascii="Calibri" w:eastAsia="Times New Roman" w:hAnsi="Calibri" w:cs="Times New Roman"/>
                <w:color w:val="000000"/>
                <w:sz w:val="20"/>
                <w:szCs w:val="20"/>
                <w:lang w:val="es-ES" w:eastAsia="es-ES"/>
              </w:rPr>
              <w:t>Gasto privado en seguridad</w:t>
            </w:r>
          </w:p>
        </w:tc>
        <w:tc>
          <w:tcPr>
            <w:tcW w:w="1134" w:type="dxa"/>
            <w:shd w:val="clear" w:color="auto" w:fill="auto"/>
            <w:vAlign w:val="center"/>
            <w:hideMark/>
          </w:tcPr>
          <w:p w:rsidR="00203370" w:rsidRPr="00631A7F" w:rsidRDefault="00BA4DDF" w:rsidP="00550659">
            <w:pPr>
              <w:spacing w:after="0" w:line="240" w:lineRule="auto"/>
              <w:jc w:val="right"/>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214.446</w:t>
            </w:r>
          </w:p>
        </w:tc>
        <w:tc>
          <w:tcPr>
            <w:tcW w:w="1156" w:type="dxa"/>
            <w:shd w:val="clear" w:color="auto" w:fill="auto"/>
            <w:vAlign w:val="center"/>
            <w:hideMark/>
          </w:tcPr>
          <w:p w:rsidR="00203370" w:rsidRPr="00631A7F" w:rsidRDefault="00203370" w:rsidP="00BA4DDF">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0,</w:t>
            </w:r>
            <w:r w:rsidR="00BA4DDF">
              <w:rPr>
                <w:rFonts w:ascii="Calibri" w:eastAsia="Times New Roman" w:hAnsi="Calibri" w:cs="Times New Roman"/>
                <w:color w:val="000000"/>
                <w:sz w:val="20"/>
                <w:szCs w:val="20"/>
                <w:lang w:val="es-ES" w:eastAsia="es-ES"/>
              </w:rPr>
              <w:t>54</w:t>
            </w:r>
          </w:p>
        </w:tc>
      </w:tr>
      <w:tr w:rsidR="00203370" w:rsidRPr="00550659" w:rsidTr="00C24AD4">
        <w:trPr>
          <w:trHeight w:val="475"/>
        </w:trPr>
        <w:tc>
          <w:tcPr>
            <w:tcW w:w="4835" w:type="dxa"/>
            <w:shd w:val="clear" w:color="auto" w:fill="auto"/>
            <w:vAlign w:val="center"/>
            <w:hideMark/>
          </w:tcPr>
          <w:p w:rsidR="00203370" w:rsidRPr="00550659" w:rsidRDefault="00203370" w:rsidP="0015719C">
            <w:pPr>
              <w:spacing w:after="0" w:line="240" w:lineRule="auto"/>
              <w:rPr>
                <w:rFonts w:ascii="Calibri" w:eastAsia="Times New Roman" w:hAnsi="Calibri" w:cs="Times New Roman"/>
                <w:i/>
                <w:iCs/>
                <w:color w:val="000000"/>
                <w:sz w:val="20"/>
                <w:szCs w:val="20"/>
                <w:lang w:val="es-ES" w:eastAsia="es-ES"/>
              </w:rPr>
            </w:pPr>
            <w:r w:rsidRPr="00550659">
              <w:rPr>
                <w:rFonts w:ascii="Calibri" w:eastAsia="Times New Roman" w:hAnsi="Calibri" w:cs="Times New Roman"/>
                <w:i/>
                <w:iCs/>
                <w:color w:val="000000"/>
                <w:sz w:val="20"/>
                <w:szCs w:val="20"/>
                <w:lang w:val="es-ES" w:eastAsia="es-ES"/>
              </w:rPr>
              <w:t xml:space="preserve">  </w:t>
            </w:r>
            <w:r w:rsidR="00C24AD4" w:rsidRPr="00550659">
              <w:rPr>
                <w:rFonts w:ascii="Calibri" w:eastAsia="Times New Roman" w:hAnsi="Calibri" w:cs="Times New Roman"/>
                <w:i/>
                <w:iCs/>
                <w:color w:val="000000"/>
                <w:sz w:val="20"/>
                <w:szCs w:val="20"/>
                <w:lang w:val="es-ES" w:eastAsia="es-ES"/>
              </w:rPr>
              <w:t xml:space="preserve">   </w:t>
            </w:r>
            <w:r w:rsidRPr="00550659">
              <w:rPr>
                <w:rFonts w:ascii="Calibri" w:eastAsia="Times New Roman" w:hAnsi="Calibri" w:cs="Times New Roman"/>
                <w:i/>
                <w:iCs/>
                <w:color w:val="000000"/>
                <w:sz w:val="20"/>
                <w:szCs w:val="20"/>
                <w:lang w:val="es-ES" w:eastAsia="es-ES"/>
              </w:rPr>
              <w:t xml:space="preserve"> Empresas</w:t>
            </w:r>
          </w:p>
        </w:tc>
        <w:tc>
          <w:tcPr>
            <w:tcW w:w="1134" w:type="dxa"/>
            <w:shd w:val="clear" w:color="auto" w:fill="auto"/>
            <w:vAlign w:val="center"/>
            <w:hideMark/>
          </w:tcPr>
          <w:p w:rsidR="00203370" w:rsidRPr="00550659" w:rsidRDefault="00550659" w:rsidP="00550659">
            <w:pPr>
              <w:spacing w:after="0" w:line="240" w:lineRule="auto"/>
              <w:jc w:val="right"/>
              <w:rPr>
                <w:rFonts w:ascii="Calibri" w:eastAsia="Times New Roman" w:hAnsi="Calibri" w:cs="Times New Roman"/>
                <w:i/>
                <w:iCs/>
                <w:color w:val="000000"/>
                <w:sz w:val="20"/>
                <w:szCs w:val="20"/>
                <w:lang w:val="es-ES" w:eastAsia="es-ES"/>
              </w:rPr>
            </w:pPr>
            <w:r w:rsidRPr="00550659">
              <w:rPr>
                <w:rFonts w:ascii="Calibri" w:eastAsia="Times New Roman" w:hAnsi="Calibri" w:cs="Times New Roman"/>
                <w:i/>
                <w:iCs/>
                <w:color w:val="000000"/>
                <w:sz w:val="20"/>
                <w:szCs w:val="20"/>
                <w:lang w:val="es-ES" w:eastAsia="es-ES"/>
              </w:rPr>
              <w:t>91</w:t>
            </w:r>
            <w:r w:rsidR="00203370" w:rsidRPr="00550659">
              <w:rPr>
                <w:rFonts w:ascii="Calibri" w:eastAsia="Times New Roman" w:hAnsi="Calibri" w:cs="Times New Roman"/>
                <w:i/>
                <w:iCs/>
                <w:color w:val="000000"/>
                <w:sz w:val="20"/>
                <w:szCs w:val="20"/>
                <w:lang w:val="es-ES" w:eastAsia="es-ES"/>
              </w:rPr>
              <w:t>.</w:t>
            </w:r>
            <w:r w:rsidRPr="00550659">
              <w:rPr>
                <w:rFonts w:ascii="Calibri" w:eastAsia="Times New Roman" w:hAnsi="Calibri" w:cs="Times New Roman"/>
                <w:i/>
                <w:iCs/>
                <w:color w:val="000000"/>
                <w:sz w:val="20"/>
                <w:szCs w:val="20"/>
                <w:lang w:val="es-ES" w:eastAsia="es-ES"/>
              </w:rPr>
              <w:t>740</w:t>
            </w:r>
          </w:p>
        </w:tc>
        <w:tc>
          <w:tcPr>
            <w:tcW w:w="1156" w:type="dxa"/>
            <w:shd w:val="clear" w:color="auto" w:fill="auto"/>
            <w:vAlign w:val="center"/>
            <w:hideMark/>
          </w:tcPr>
          <w:p w:rsidR="00203370" w:rsidRPr="00550659" w:rsidRDefault="00550659" w:rsidP="00550659">
            <w:pPr>
              <w:spacing w:after="0" w:line="240" w:lineRule="auto"/>
              <w:jc w:val="right"/>
              <w:rPr>
                <w:rFonts w:ascii="Calibri" w:eastAsia="Times New Roman" w:hAnsi="Calibri" w:cs="Times New Roman"/>
                <w:i/>
                <w:iCs/>
                <w:color w:val="000000"/>
                <w:sz w:val="20"/>
                <w:szCs w:val="20"/>
                <w:lang w:val="es-ES" w:eastAsia="es-ES"/>
              </w:rPr>
            </w:pPr>
            <w:r>
              <w:rPr>
                <w:rFonts w:ascii="Calibri" w:eastAsia="Times New Roman" w:hAnsi="Calibri" w:cs="Times New Roman"/>
                <w:i/>
                <w:iCs/>
                <w:color w:val="000000"/>
                <w:sz w:val="20"/>
                <w:szCs w:val="20"/>
                <w:lang w:val="es-ES" w:eastAsia="es-ES"/>
              </w:rPr>
              <w:t>0,23</w:t>
            </w:r>
          </w:p>
        </w:tc>
      </w:tr>
      <w:tr w:rsidR="00203370" w:rsidRPr="00631A7F" w:rsidTr="00D710E3">
        <w:trPr>
          <w:trHeight w:val="214"/>
        </w:trPr>
        <w:tc>
          <w:tcPr>
            <w:tcW w:w="4835" w:type="dxa"/>
            <w:shd w:val="clear" w:color="auto" w:fill="auto"/>
            <w:vAlign w:val="center"/>
            <w:hideMark/>
          </w:tcPr>
          <w:p w:rsidR="00203370" w:rsidRPr="00631A7F" w:rsidRDefault="00203370" w:rsidP="0015719C">
            <w:pPr>
              <w:spacing w:after="0" w:line="240" w:lineRule="auto"/>
              <w:rPr>
                <w:rFonts w:ascii="Calibri" w:eastAsia="Times New Roman" w:hAnsi="Calibri" w:cs="Times New Roman"/>
                <w:i/>
                <w:iCs/>
                <w:color w:val="000000"/>
                <w:sz w:val="20"/>
                <w:szCs w:val="20"/>
                <w:lang w:val="es-ES" w:eastAsia="es-ES"/>
              </w:rPr>
            </w:pPr>
            <w:r w:rsidRPr="00631A7F">
              <w:rPr>
                <w:rFonts w:ascii="Calibri" w:eastAsia="Times New Roman" w:hAnsi="Calibri" w:cs="Times New Roman"/>
                <w:i/>
                <w:iCs/>
                <w:color w:val="000000"/>
                <w:sz w:val="20"/>
                <w:szCs w:val="20"/>
                <w:lang w:val="es-ES" w:eastAsia="es-ES"/>
              </w:rPr>
              <w:t xml:space="preserve">   </w:t>
            </w:r>
            <w:r w:rsidR="00C24AD4" w:rsidRPr="00631A7F">
              <w:rPr>
                <w:rFonts w:ascii="Calibri" w:eastAsia="Times New Roman" w:hAnsi="Calibri" w:cs="Times New Roman"/>
                <w:i/>
                <w:iCs/>
                <w:color w:val="000000"/>
                <w:sz w:val="20"/>
                <w:szCs w:val="20"/>
                <w:lang w:val="es-ES" w:eastAsia="es-ES"/>
              </w:rPr>
              <w:t xml:space="preserve">   </w:t>
            </w:r>
            <w:r w:rsidRPr="00631A7F">
              <w:rPr>
                <w:rFonts w:ascii="Calibri" w:eastAsia="Times New Roman" w:hAnsi="Calibri" w:cs="Times New Roman"/>
                <w:i/>
                <w:iCs/>
                <w:color w:val="000000"/>
                <w:sz w:val="20"/>
                <w:szCs w:val="20"/>
                <w:lang w:val="es-ES" w:eastAsia="es-ES"/>
              </w:rPr>
              <w:t>Hogares</w:t>
            </w:r>
          </w:p>
        </w:tc>
        <w:tc>
          <w:tcPr>
            <w:tcW w:w="1134" w:type="dxa"/>
            <w:shd w:val="clear" w:color="auto" w:fill="auto"/>
            <w:vAlign w:val="center"/>
            <w:hideMark/>
          </w:tcPr>
          <w:p w:rsidR="00203370" w:rsidRPr="00631A7F" w:rsidRDefault="00203370" w:rsidP="00550659">
            <w:pPr>
              <w:spacing w:after="0" w:line="240" w:lineRule="auto"/>
              <w:jc w:val="right"/>
              <w:rPr>
                <w:rFonts w:ascii="Calibri" w:eastAsia="Times New Roman" w:hAnsi="Calibri" w:cs="Times New Roman"/>
                <w:i/>
                <w:iCs/>
                <w:color w:val="000000"/>
                <w:sz w:val="20"/>
                <w:szCs w:val="20"/>
                <w:lang w:val="es-ES" w:eastAsia="es-ES"/>
              </w:rPr>
            </w:pPr>
            <w:r w:rsidRPr="00631A7F">
              <w:rPr>
                <w:rFonts w:ascii="Calibri" w:eastAsia="Times New Roman" w:hAnsi="Calibri" w:cs="Times New Roman"/>
                <w:i/>
                <w:iCs/>
                <w:color w:val="000000"/>
                <w:sz w:val="20"/>
                <w:szCs w:val="20"/>
                <w:lang w:val="es-ES" w:eastAsia="es-ES"/>
              </w:rPr>
              <w:t>1</w:t>
            </w:r>
            <w:r w:rsidR="00550659">
              <w:rPr>
                <w:rFonts w:ascii="Calibri" w:eastAsia="Times New Roman" w:hAnsi="Calibri" w:cs="Times New Roman"/>
                <w:i/>
                <w:iCs/>
                <w:color w:val="000000"/>
                <w:sz w:val="20"/>
                <w:szCs w:val="20"/>
                <w:lang w:val="es-ES" w:eastAsia="es-ES"/>
              </w:rPr>
              <w:t>22</w:t>
            </w:r>
            <w:r w:rsidRPr="00631A7F">
              <w:rPr>
                <w:rFonts w:ascii="Calibri" w:eastAsia="Times New Roman" w:hAnsi="Calibri" w:cs="Times New Roman"/>
                <w:i/>
                <w:iCs/>
                <w:color w:val="000000"/>
                <w:sz w:val="20"/>
                <w:szCs w:val="20"/>
                <w:lang w:val="es-ES" w:eastAsia="es-ES"/>
              </w:rPr>
              <w:t>.</w:t>
            </w:r>
            <w:r w:rsidR="00550659">
              <w:rPr>
                <w:rFonts w:ascii="Calibri" w:eastAsia="Times New Roman" w:hAnsi="Calibri" w:cs="Times New Roman"/>
                <w:i/>
                <w:iCs/>
                <w:color w:val="000000"/>
                <w:sz w:val="20"/>
                <w:szCs w:val="20"/>
                <w:lang w:val="es-ES" w:eastAsia="es-ES"/>
              </w:rPr>
              <w:t>706</w:t>
            </w:r>
          </w:p>
        </w:tc>
        <w:tc>
          <w:tcPr>
            <w:tcW w:w="1156" w:type="dxa"/>
            <w:shd w:val="clear" w:color="auto" w:fill="auto"/>
            <w:vAlign w:val="center"/>
            <w:hideMark/>
          </w:tcPr>
          <w:p w:rsidR="00203370" w:rsidRPr="00631A7F" w:rsidRDefault="00203370" w:rsidP="00550659">
            <w:pPr>
              <w:spacing w:after="0" w:line="240" w:lineRule="auto"/>
              <w:jc w:val="right"/>
              <w:rPr>
                <w:rFonts w:ascii="Calibri" w:eastAsia="Times New Roman" w:hAnsi="Calibri" w:cs="Times New Roman"/>
                <w:i/>
                <w:iCs/>
                <w:color w:val="000000"/>
                <w:sz w:val="20"/>
                <w:szCs w:val="20"/>
                <w:lang w:val="es-ES" w:eastAsia="es-ES"/>
              </w:rPr>
            </w:pPr>
            <w:r w:rsidRPr="00631A7F">
              <w:rPr>
                <w:rFonts w:ascii="Calibri" w:eastAsia="Times New Roman" w:hAnsi="Calibri" w:cs="Times New Roman"/>
                <w:i/>
                <w:iCs/>
                <w:color w:val="000000"/>
                <w:sz w:val="20"/>
                <w:szCs w:val="20"/>
                <w:lang w:val="es-ES" w:eastAsia="es-ES"/>
              </w:rPr>
              <w:t>0,3</w:t>
            </w:r>
            <w:r w:rsidR="00550659">
              <w:rPr>
                <w:rFonts w:ascii="Calibri" w:eastAsia="Times New Roman" w:hAnsi="Calibri" w:cs="Times New Roman"/>
                <w:i/>
                <w:iCs/>
                <w:color w:val="000000"/>
                <w:sz w:val="20"/>
                <w:szCs w:val="20"/>
                <w:lang w:val="es-ES" w:eastAsia="es-ES"/>
              </w:rPr>
              <w:t>1</w:t>
            </w:r>
          </w:p>
        </w:tc>
      </w:tr>
      <w:tr w:rsidR="00D710E3" w:rsidRPr="001967FA" w:rsidTr="00D710E3">
        <w:trPr>
          <w:trHeight w:val="416"/>
        </w:trPr>
        <w:tc>
          <w:tcPr>
            <w:tcW w:w="4835" w:type="dxa"/>
            <w:shd w:val="clear" w:color="auto" w:fill="auto"/>
            <w:vAlign w:val="center"/>
            <w:hideMark/>
          </w:tcPr>
          <w:p w:rsidR="00D710E3" w:rsidRPr="001967FA" w:rsidRDefault="00D710E3" w:rsidP="00F03DF3">
            <w:pPr>
              <w:spacing w:after="0" w:line="240" w:lineRule="auto"/>
              <w:rPr>
                <w:rFonts w:ascii="Calibri" w:eastAsia="Times New Roman" w:hAnsi="Calibri" w:cs="Times New Roman"/>
                <w:color w:val="000000"/>
                <w:sz w:val="20"/>
                <w:szCs w:val="20"/>
                <w:lang w:val="es-ES" w:eastAsia="es-ES"/>
              </w:rPr>
            </w:pPr>
            <w:r w:rsidRPr="001967FA">
              <w:rPr>
                <w:rFonts w:ascii="Calibri" w:eastAsia="Times New Roman" w:hAnsi="Calibri" w:cs="Times New Roman"/>
                <w:color w:val="000000"/>
                <w:sz w:val="20"/>
                <w:szCs w:val="20"/>
                <w:lang w:val="es-ES" w:eastAsia="es-ES"/>
              </w:rPr>
              <w:t xml:space="preserve">  Costos administrativos empresas de seguros</w:t>
            </w:r>
          </w:p>
        </w:tc>
        <w:tc>
          <w:tcPr>
            <w:tcW w:w="1134" w:type="dxa"/>
            <w:shd w:val="clear" w:color="auto" w:fill="auto"/>
            <w:vAlign w:val="center"/>
            <w:hideMark/>
          </w:tcPr>
          <w:p w:rsidR="00D710E3" w:rsidRPr="001967FA" w:rsidRDefault="00D710E3" w:rsidP="00F03DF3">
            <w:pPr>
              <w:spacing w:after="0" w:line="240" w:lineRule="auto"/>
              <w:jc w:val="right"/>
              <w:rPr>
                <w:rFonts w:ascii="Calibri" w:eastAsia="Times New Roman" w:hAnsi="Calibri" w:cs="Times New Roman"/>
                <w:color w:val="000000"/>
                <w:sz w:val="20"/>
                <w:szCs w:val="20"/>
                <w:lang w:val="es-ES" w:eastAsia="es-ES"/>
              </w:rPr>
            </w:pPr>
            <w:r w:rsidRPr="001967FA">
              <w:rPr>
                <w:rFonts w:ascii="Calibri" w:eastAsia="Times New Roman" w:hAnsi="Calibri" w:cs="Times New Roman"/>
                <w:color w:val="000000"/>
                <w:sz w:val="20"/>
                <w:szCs w:val="20"/>
                <w:lang w:val="es-ES" w:eastAsia="es-ES"/>
              </w:rPr>
              <w:t>136.299</w:t>
            </w:r>
          </w:p>
        </w:tc>
        <w:tc>
          <w:tcPr>
            <w:tcW w:w="1156" w:type="dxa"/>
            <w:shd w:val="clear" w:color="auto" w:fill="auto"/>
            <w:vAlign w:val="center"/>
            <w:hideMark/>
          </w:tcPr>
          <w:p w:rsidR="00D710E3" w:rsidRPr="001967FA" w:rsidRDefault="00D710E3" w:rsidP="00F03DF3">
            <w:pPr>
              <w:spacing w:after="0" w:line="240" w:lineRule="auto"/>
              <w:jc w:val="right"/>
              <w:rPr>
                <w:rFonts w:ascii="Calibri" w:eastAsia="Times New Roman" w:hAnsi="Calibri" w:cs="Times New Roman"/>
                <w:color w:val="000000"/>
                <w:sz w:val="20"/>
                <w:szCs w:val="20"/>
                <w:lang w:val="es-ES" w:eastAsia="es-ES"/>
              </w:rPr>
            </w:pPr>
            <w:r w:rsidRPr="001967FA">
              <w:rPr>
                <w:rFonts w:ascii="Calibri" w:eastAsia="Times New Roman" w:hAnsi="Calibri" w:cs="Times New Roman"/>
                <w:color w:val="000000"/>
                <w:sz w:val="20"/>
                <w:szCs w:val="20"/>
                <w:lang w:val="es-ES" w:eastAsia="es-ES"/>
              </w:rPr>
              <w:t>0,35</w:t>
            </w:r>
          </w:p>
        </w:tc>
      </w:tr>
      <w:tr w:rsidR="00203370" w:rsidRPr="00631A7F" w:rsidTr="00C24AD4">
        <w:trPr>
          <w:trHeight w:val="545"/>
        </w:trPr>
        <w:tc>
          <w:tcPr>
            <w:tcW w:w="4835" w:type="dxa"/>
            <w:shd w:val="clear" w:color="auto" w:fill="auto"/>
            <w:vAlign w:val="center"/>
            <w:hideMark/>
          </w:tcPr>
          <w:p w:rsidR="00203370" w:rsidRPr="00631A7F" w:rsidRDefault="00C24AD4" w:rsidP="0015719C">
            <w:pPr>
              <w:spacing w:after="0" w:line="240" w:lineRule="auto"/>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 xml:space="preserve">  </w:t>
            </w:r>
            <w:r w:rsidR="00203370" w:rsidRPr="00631A7F">
              <w:rPr>
                <w:rFonts w:ascii="Calibri" w:eastAsia="Times New Roman" w:hAnsi="Calibri" w:cs="Times New Roman"/>
                <w:color w:val="000000"/>
                <w:sz w:val="20"/>
                <w:szCs w:val="20"/>
                <w:lang w:val="es-ES" w:eastAsia="es-ES"/>
              </w:rPr>
              <w:t>Gasto público en seguridad y prevención</w:t>
            </w:r>
          </w:p>
        </w:tc>
        <w:tc>
          <w:tcPr>
            <w:tcW w:w="1134" w:type="dxa"/>
            <w:shd w:val="clear" w:color="auto" w:fill="auto"/>
            <w:vAlign w:val="center"/>
            <w:hideMark/>
          </w:tcPr>
          <w:p w:rsidR="00203370" w:rsidRPr="00631A7F" w:rsidRDefault="00203370" w:rsidP="00880889">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396.994</w:t>
            </w:r>
          </w:p>
        </w:tc>
        <w:tc>
          <w:tcPr>
            <w:tcW w:w="1156" w:type="dxa"/>
            <w:shd w:val="clear" w:color="auto" w:fill="auto"/>
            <w:vAlign w:val="center"/>
            <w:hideMark/>
          </w:tcPr>
          <w:p w:rsidR="00203370" w:rsidRPr="00631A7F" w:rsidRDefault="00203370" w:rsidP="00880889">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1,01</w:t>
            </w:r>
          </w:p>
        </w:tc>
      </w:tr>
      <w:tr w:rsidR="00203370" w:rsidRPr="00631A7F" w:rsidTr="00C24AD4">
        <w:trPr>
          <w:trHeight w:val="373"/>
        </w:trPr>
        <w:tc>
          <w:tcPr>
            <w:tcW w:w="4835" w:type="dxa"/>
            <w:shd w:val="clear" w:color="auto" w:fill="auto"/>
            <w:vAlign w:val="center"/>
            <w:hideMark/>
          </w:tcPr>
          <w:p w:rsidR="00203370" w:rsidRPr="00631A7F" w:rsidRDefault="00203370" w:rsidP="0015719C">
            <w:pPr>
              <w:spacing w:after="0" w:line="240" w:lineRule="auto"/>
              <w:rPr>
                <w:rFonts w:ascii="Calibri" w:eastAsia="Times New Roman" w:hAnsi="Calibri" w:cs="Times New Roman"/>
                <w:b/>
                <w:color w:val="000000"/>
                <w:sz w:val="20"/>
                <w:szCs w:val="20"/>
                <w:lang w:val="es-ES" w:eastAsia="es-ES"/>
              </w:rPr>
            </w:pPr>
            <w:r w:rsidRPr="00631A7F">
              <w:rPr>
                <w:rFonts w:ascii="Calibri" w:eastAsia="Times New Roman" w:hAnsi="Calibri" w:cs="Times New Roman"/>
                <w:b/>
                <w:color w:val="000000"/>
                <w:sz w:val="20"/>
                <w:szCs w:val="20"/>
                <w:lang w:val="es-ES" w:eastAsia="es-ES"/>
              </w:rPr>
              <w:t>Como consecuencia del crimen</w:t>
            </w:r>
          </w:p>
        </w:tc>
        <w:tc>
          <w:tcPr>
            <w:tcW w:w="1134" w:type="dxa"/>
            <w:shd w:val="clear" w:color="auto" w:fill="auto"/>
            <w:vAlign w:val="center"/>
            <w:hideMark/>
          </w:tcPr>
          <w:p w:rsidR="00203370" w:rsidRPr="00631A7F" w:rsidRDefault="00203370" w:rsidP="00880889">
            <w:pPr>
              <w:spacing w:after="0" w:line="240" w:lineRule="auto"/>
              <w:jc w:val="right"/>
              <w:rPr>
                <w:rFonts w:ascii="Calibri" w:eastAsia="Times New Roman" w:hAnsi="Calibri" w:cs="Times New Roman"/>
                <w:b/>
                <w:color w:val="000000"/>
                <w:sz w:val="20"/>
                <w:szCs w:val="20"/>
                <w:lang w:val="es-ES" w:eastAsia="es-ES"/>
              </w:rPr>
            </w:pPr>
            <w:r w:rsidRPr="00631A7F">
              <w:rPr>
                <w:rFonts w:ascii="Calibri" w:eastAsia="Times New Roman" w:hAnsi="Calibri" w:cs="Times New Roman"/>
                <w:b/>
                <w:color w:val="000000"/>
                <w:sz w:val="20"/>
                <w:szCs w:val="20"/>
                <w:lang w:val="es-ES" w:eastAsia="es-ES"/>
              </w:rPr>
              <w:t>318.815</w:t>
            </w:r>
          </w:p>
        </w:tc>
        <w:tc>
          <w:tcPr>
            <w:tcW w:w="1156" w:type="dxa"/>
            <w:shd w:val="clear" w:color="auto" w:fill="auto"/>
            <w:vAlign w:val="center"/>
            <w:hideMark/>
          </w:tcPr>
          <w:p w:rsidR="00203370" w:rsidRPr="00631A7F" w:rsidRDefault="00203370" w:rsidP="00880889">
            <w:pPr>
              <w:spacing w:after="0" w:line="240" w:lineRule="auto"/>
              <w:jc w:val="right"/>
              <w:rPr>
                <w:rFonts w:ascii="Calibri" w:eastAsia="Times New Roman" w:hAnsi="Calibri" w:cs="Times New Roman"/>
                <w:b/>
                <w:color w:val="000000"/>
                <w:sz w:val="20"/>
                <w:szCs w:val="20"/>
                <w:lang w:val="es-ES" w:eastAsia="es-ES"/>
              </w:rPr>
            </w:pPr>
            <w:r w:rsidRPr="00631A7F">
              <w:rPr>
                <w:rFonts w:ascii="Calibri" w:eastAsia="Times New Roman" w:hAnsi="Calibri" w:cs="Times New Roman"/>
                <w:b/>
                <w:color w:val="000000"/>
                <w:sz w:val="20"/>
                <w:szCs w:val="20"/>
                <w:lang w:val="es-ES" w:eastAsia="es-ES"/>
              </w:rPr>
              <w:t>0,81</w:t>
            </w:r>
          </w:p>
        </w:tc>
      </w:tr>
      <w:tr w:rsidR="00203370" w:rsidRPr="00631A7F" w:rsidTr="00C24AD4">
        <w:trPr>
          <w:trHeight w:val="475"/>
        </w:trPr>
        <w:tc>
          <w:tcPr>
            <w:tcW w:w="4835" w:type="dxa"/>
            <w:shd w:val="clear" w:color="auto" w:fill="auto"/>
            <w:vAlign w:val="center"/>
            <w:hideMark/>
          </w:tcPr>
          <w:p w:rsidR="00203370" w:rsidRPr="00631A7F" w:rsidRDefault="00C24AD4" w:rsidP="0015719C">
            <w:pPr>
              <w:spacing w:after="0" w:line="240" w:lineRule="auto"/>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 xml:space="preserve">   </w:t>
            </w:r>
            <w:r w:rsidR="00203370" w:rsidRPr="00631A7F">
              <w:rPr>
                <w:rFonts w:ascii="Calibri" w:eastAsia="Times New Roman" w:hAnsi="Calibri" w:cs="Times New Roman"/>
                <w:color w:val="000000"/>
                <w:sz w:val="20"/>
                <w:szCs w:val="20"/>
                <w:lang w:val="es-ES" w:eastAsia="es-ES"/>
              </w:rPr>
              <w:t>Propiedad robada</w:t>
            </w:r>
          </w:p>
        </w:tc>
        <w:tc>
          <w:tcPr>
            <w:tcW w:w="1134" w:type="dxa"/>
            <w:shd w:val="clear" w:color="auto" w:fill="auto"/>
            <w:vAlign w:val="center"/>
            <w:hideMark/>
          </w:tcPr>
          <w:p w:rsidR="00203370" w:rsidRPr="00631A7F" w:rsidRDefault="00203370" w:rsidP="00880889">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157.992</w:t>
            </w:r>
          </w:p>
        </w:tc>
        <w:tc>
          <w:tcPr>
            <w:tcW w:w="1156" w:type="dxa"/>
            <w:shd w:val="clear" w:color="auto" w:fill="auto"/>
            <w:vAlign w:val="center"/>
            <w:hideMark/>
          </w:tcPr>
          <w:p w:rsidR="00203370" w:rsidRPr="00631A7F" w:rsidRDefault="00203370" w:rsidP="00880889">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0,4</w:t>
            </w:r>
          </w:p>
        </w:tc>
      </w:tr>
      <w:tr w:rsidR="00203370" w:rsidRPr="00631A7F" w:rsidTr="00C24AD4">
        <w:trPr>
          <w:trHeight w:val="475"/>
        </w:trPr>
        <w:tc>
          <w:tcPr>
            <w:tcW w:w="4835" w:type="dxa"/>
            <w:shd w:val="clear" w:color="auto" w:fill="auto"/>
            <w:vAlign w:val="center"/>
            <w:hideMark/>
          </w:tcPr>
          <w:p w:rsidR="00203370" w:rsidRPr="00631A7F" w:rsidRDefault="00203370" w:rsidP="0015719C">
            <w:pPr>
              <w:spacing w:after="0" w:line="240" w:lineRule="auto"/>
              <w:rPr>
                <w:rFonts w:ascii="Calibri" w:eastAsia="Times New Roman" w:hAnsi="Calibri" w:cs="Times New Roman"/>
                <w:i/>
                <w:iCs/>
                <w:color w:val="000000"/>
                <w:sz w:val="20"/>
                <w:szCs w:val="20"/>
                <w:lang w:val="es-ES" w:eastAsia="es-ES"/>
              </w:rPr>
            </w:pPr>
            <w:r w:rsidRPr="00631A7F">
              <w:rPr>
                <w:rFonts w:ascii="Calibri" w:eastAsia="Times New Roman" w:hAnsi="Calibri" w:cs="Times New Roman"/>
                <w:i/>
                <w:iCs/>
                <w:color w:val="000000"/>
                <w:sz w:val="20"/>
                <w:szCs w:val="20"/>
                <w:lang w:val="es-ES" w:eastAsia="es-ES"/>
              </w:rPr>
              <w:t xml:space="preserve">   </w:t>
            </w:r>
            <w:r w:rsidR="00C24AD4" w:rsidRPr="00631A7F">
              <w:rPr>
                <w:rFonts w:ascii="Calibri" w:eastAsia="Times New Roman" w:hAnsi="Calibri" w:cs="Times New Roman"/>
                <w:i/>
                <w:iCs/>
                <w:color w:val="000000"/>
                <w:sz w:val="20"/>
                <w:szCs w:val="20"/>
                <w:lang w:val="es-ES" w:eastAsia="es-ES"/>
              </w:rPr>
              <w:t xml:space="preserve">   </w:t>
            </w:r>
            <w:r w:rsidRPr="00631A7F">
              <w:rPr>
                <w:rFonts w:ascii="Calibri" w:eastAsia="Times New Roman" w:hAnsi="Calibri" w:cs="Times New Roman"/>
                <w:i/>
                <w:iCs/>
                <w:color w:val="000000"/>
                <w:sz w:val="20"/>
                <w:szCs w:val="20"/>
                <w:lang w:val="es-ES" w:eastAsia="es-ES"/>
              </w:rPr>
              <w:t>Empresas</w:t>
            </w:r>
          </w:p>
        </w:tc>
        <w:tc>
          <w:tcPr>
            <w:tcW w:w="1134" w:type="dxa"/>
            <w:shd w:val="clear" w:color="auto" w:fill="auto"/>
            <w:vAlign w:val="center"/>
            <w:hideMark/>
          </w:tcPr>
          <w:p w:rsidR="00203370" w:rsidRPr="00631A7F" w:rsidRDefault="00203370" w:rsidP="00880889">
            <w:pPr>
              <w:spacing w:after="0" w:line="240" w:lineRule="auto"/>
              <w:jc w:val="right"/>
              <w:rPr>
                <w:rFonts w:ascii="Calibri" w:eastAsia="Times New Roman" w:hAnsi="Calibri" w:cs="Times New Roman"/>
                <w:i/>
                <w:iCs/>
                <w:color w:val="000000"/>
                <w:sz w:val="20"/>
                <w:szCs w:val="20"/>
                <w:lang w:val="es-ES" w:eastAsia="es-ES"/>
              </w:rPr>
            </w:pPr>
            <w:r w:rsidRPr="00631A7F">
              <w:rPr>
                <w:rFonts w:ascii="Calibri" w:eastAsia="Times New Roman" w:hAnsi="Calibri" w:cs="Times New Roman"/>
                <w:i/>
                <w:iCs/>
                <w:color w:val="000000"/>
                <w:sz w:val="20"/>
                <w:szCs w:val="20"/>
                <w:lang w:val="es-ES" w:eastAsia="es-ES"/>
              </w:rPr>
              <w:t>58.415</w:t>
            </w:r>
          </w:p>
        </w:tc>
        <w:tc>
          <w:tcPr>
            <w:tcW w:w="1156" w:type="dxa"/>
            <w:shd w:val="clear" w:color="auto" w:fill="auto"/>
            <w:vAlign w:val="center"/>
            <w:hideMark/>
          </w:tcPr>
          <w:p w:rsidR="00203370" w:rsidRPr="00631A7F" w:rsidRDefault="00203370" w:rsidP="00880889">
            <w:pPr>
              <w:spacing w:after="0" w:line="240" w:lineRule="auto"/>
              <w:jc w:val="right"/>
              <w:rPr>
                <w:rFonts w:ascii="Calibri" w:eastAsia="Times New Roman" w:hAnsi="Calibri" w:cs="Times New Roman"/>
                <w:i/>
                <w:iCs/>
                <w:color w:val="000000"/>
                <w:sz w:val="20"/>
                <w:szCs w:val="20"/>
                <w:lang w:val="es-ES" w:eastAsia="es-ES"/>
              </w:rPr>
            </w:pPr>
            <w:r w:rsidRPr="00631A7F">
              <w:rPr>
                <w:rFonts w:ascii="Calibri" w:eastAsia="Times New Roman" w:hAnsi="Calibri" w:cs="Times New Roman"/>
                <w:i/>
                <w:iCs/>
                <w:color w:val="000000"/>
                <w:sz w:val="20"/>
                <w:szCs w:val="20"/>
                <w:lang w:val="es-ES" w:eastAsia="es-ES"/>
              </w:rPr>
              <w:t>0,15</w:t>
            </w:r>
          </w:p>
        </w:tc>
      </w:tr>
      <w:tr w:rsidR="00203370" w:rsidRPr="00631A7F" w:rsidTr="00C24AD4">
        <w:trPr>
          <w:trHeight w:val="475"/>
        </w:trPr>
        <w:tc>
          <w:tcPr>
            <w:tcW w:w="4835" w:type="dxa"/>
            <w:shd w:val="clear" w:color="auto" w:fill="auto"/>
            <w:vAlign w:val="center"/>
            <w:hideMark/>
          </w:tcPr>
          <w:p w:rsidR="00203370" w:rsidRPr="00631A7F" w:rsidRDefault="00203370" w:rsidP="0015719C">
            <w:pPr>
              <w:spacing w:after="0" w:line="240" w:lineRule="auto"/>
              <w:rPr>
                <w:rFonts w:ascii="Calibri" w:eastAsia="Times New Roman" w:hAnsi="Calibri" w:cs="Times New Roman"/>
                <w:i/>
                <w:iCs/>
                <w:color w:val="000000"/>
                <w:sz w:val="20"/>
                <w:szCs w:val="20"/>
                <w:lang w:val="es-ES" w:eastAsia="es-ES"/>
              </w:rPr>
            </w:pPr>
            <w:r w:rsidRPr="00631A7F">
              <w:rPr>
                <w:rFonts w:ascii="Calibri" w:eastAsia="Times New Roman" w:hAnsi="Calibri" w:cs="Times New Roman"/>
                <w:i/>
                <w:iCs/>
                <w:color w:val="000000"/>
                <w:sz w:val="20"/>
                <w:szCs w:val="20"/>
                <w:lang w:val="es-ES" w:eastAsia="es-ES"/>
              </w:rPr>
              <w:t xml:space="preserve">   </w:t>
            </w:r>
            <w:r w:rsidR="00C24AD4" w:rsidRPr="00631A7F">
              <w:rPr>
                <w:rFonts w:ascii="Calibri" w:eastAsia="Times New Roman" w:hAnsi="Calibri" w:cs="Times New Roman"/>
                <w:i/>
                <w:iCs/>
                <w:color w:val="000000"/>
                <w:sz w:val="20"/>
                <w:szCs w:val="20"/>
                <w:lang w:val="es-ES" w:eastAsia="es-ES"/>
              </w:rPr>
              <w:t xml:space="preserve">   </w:t>
            </w:r>
            <w:r w:rsidRPr="00631A7F">
              <w:rPr>
                <w:rFonts w:ascii="Calibri" w:eastAsia="Times New Roman" w:hAnsi="Calibri" w:cs="Times New Roman"/>
                <w:i/>
                <w:iCs/>
                <w:color w:val="000000"/>
                <w:sz w:val="20"/>
                <w:szCs w:val="20"/>
                <w:lang w:val="es-ES" w:eastAsia="es-ES"/>
              </w:rPr>
              <w:t>Hogares</w:t>
            </w:r>
          </w:p>
        </w:tc>
        <w:tc>
          <w:tcPr>
            <w:tcW w:w="1134" w:type="dxa"/>
            <w:shd w:val="clear" w:color="auto" w:fill="auto"/>
            <w:vAlign w:val="center"/>
            <w:hideMark/>
          </w:tcPr>
          <w:p w:rsidR="00203370" w:rsidRPr="00631A7F" w:rsidRDefault="00203370" w:rsidP="00880889">
            <w:pPr>
              <w:spacing w:after="0" w:line="240" w:lineRule="auto"/>
              <w:jc w:val="right"/>
              <w:rPr>
                <w:rFonts w:ascii="Calibri" w:eastAsia="Times New Roman" w:hAnsi="Calibri" w:cs="Times New Roman"/>
                <w:i/>
                <w:iCs/>
                <w:color w:val="000000"/>
                <w:sz w:val="20"/>
                <w:szCs w:val="20"/>
                <w:lang w:val="es-ES" w:eastAsia="es-ES"/>
              </w:rPr>
            </w:pPr>
            <w:r w:rsidRPr="00631A7F">
              <w:rPr>
                <w:rFonts w:ascii="Calibri" w:eastAsia="Times New Roman" w:hAnsi="Calibri" w:cs="Times New Roman"/>
                <w:i/>
                <w:iCs/>
                <w:color w:val="000000"/>
                <w:sz w:val="20"/>
                <w:szCs w:val="20"/>
                <w:lang w:val="es-ES" w:eastAsia="es-ES"/>
              </w:rPr>
              <w:t>99.577</w:t>
            </w:r>
          </w:p>
        </w:tc>
        <w:tc>
          <w:tcPr>
            <w:tcW w:w="1156" w:type="dxa"/>
            <w:shd w:val="clear" w:color="auto" w:fill="auto"/>
            <w:vAlign w:val="center"/>
            <w:hideMark/>
          </w:tcPr>
          <w:p w:rsidR="00203370" w:rsidRPr="00631A7F" w:rsidRDefault="00203370" w:rsidP="00880889">
            <w:pPr>
              <w:spacing w:after="0" w:line="240" w:lineRule="auto"/>
              <w:jc w:val="right"/>
              <w:rPr>
                <w:rFonts w:ascii="Calibri" w:eastAsia="Times New Roman" w:hAnsi="Calibri" w:cs="Times New Roman"/>
                <w:i/>
                <w:iCs/>
                <w:color w:val="000000"/>
                <w:sz w:val="20"/>
                <w:szCs w:val="20"/>
                <w:lang w:val="es-ES" w:eastAsia="es-ES"/>
              </w:rPr>
            </w:pPr>
            <w:r w:rsidRPr="00631A7F">
              <w:rPr>
                <w:rFonts w:ascii="Calibri" w:eastAsia="Times New Roman" w:hAnsi="Calibri" w:cs="Times New Roman"/>
                <w:i/>
                <w:iCs/>
                <w:color w:val="000000"/>
                <w:sz w:val="20"/>
                <w:szCs w:val="20"/>
                <w:lang w:val="es-ES" w:eastAsia="es-ES"/>
              </w:rPr>
              <w:t>0,25</w:t>
            </w:r>
          </w:p>
        </w:tc>
      </w:tr>
      <w:tr w:rsidR="00203370" w:rsidRPr="00631A7F" w:rsidTr="00C24AD4">
        <w:trPr>
          <w:trHeight w:val="475"/>
        </w:trPr>
        <w:tc>
          <w:tcPr>
            <w:tcW w:w="4835" w:type="dxa"/>
            <w:shd w:val="clear" w:color="auto" w:fill="auto"/>
            <w:vAlign w:val="center"/>
            <w:hideMark/>
          </w:tcPr>
          <w:p w:rsidR="00203370" w:rsidRPr="00631A7F" w:rsidRDefault="00C24AD4" w:rsidP="0015719C">
            <w:pPr>
              <w:spacing w:after="0" w:line="240" w:lineRule="auto"/>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 xml:space="preserve">   </w:t>
            </w:r>
            <w:r w:rsidR="00203370" w:rsidRPr="00631A7F">
              <w:rPr>
                <w:rFonts w:ascii="Calibri" w:eastAsia="Times New Roman" w:hAnsi="Calibri" w:cs="Times New Roman"/>
                <w:color w:val="000000"/>
                <w:sz w:val="20"/>
                <w:szCs w:val="20"/>
                <w:lang w:val="es-ES" w:eastAsia="es-ES"/>
              </w:rPr>
              <w:t>Costo de oportunidad del tiempo en prisión</w:t>
            </w:r>
          </w:p>
        </w:tc>
        <w:tc>
          <w:tcPr>
            <w:tcW w:w="1134" w:type="dxa"/>
            <w:shd w:val="clear" w:color="auto" w:fill="auto"/>
            <w:vAlign w:val="center"/>
            <w:hideMark/>
          </w:tcPr>
          <w:p w:rsidR="00203370" w:rsidRPr="00631A7F" w:rsidRDefault="00203370" w:rsidP="00880889">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44.598</w:t>
            </w:r>
          </w:p>
        </w:tc>
        <w:tc>
          <w:tcPr>
            <w:tcW w:w="1156" w:type="dxa"/>
            <w:shd w:val="clear" w:color="auto" w:fill="auto"/>
            <w:vAlign w:val="center"/>
            <w:hideMark/>
          </w:tcPr>
          <w:p w:rsidR="00203370" w:rsidRPr="00631A7F" w:rsidRDefault="00203370" w:rsidP="00880889">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0,11</w:t>
            </w:r>
          </w:p>
        </w:tc>
      </w:tr>
      <w:tr w:rsidR="00203370" w:rsidRPr="00631A7F" w:rsidTr="00C24AD4">
        <w:trPr>
          <w:trHeight w:val="475"/>
        </w:trPr>
        <w:tc>
          <w:tcPr>
            <w:tcW w:w="4835" w:type="dxa"/>
            <w:shd w:val="clear" w:color="auto" w:fill="auto"/>
            <w:vAlign w:val="center"/>
            <w:hideMark/>
          </w:tcPr>
          <w:p w:rsidR="00203370" w:rsidRPr="00631A7F" w:rsidRDefault="00C24AD4" w:rsidP="00C24AD4">
            <w:pPr>
              <w:spacing w:after="0" w:line="240" w:lineRule="auto"/>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 xml:space="preserve">   Homicidios</w:t>
            </w:r>
          </w:p>
        </w:tc>
        <w:tc>
          <w:tcPr>
            <w:tcW w:w="1134" w:type="dxa"/>
            <w:shd w:val="clear" w:color="auto" w:fill="auto"/>
            <w:vAlign w:val="center"/>
            <w:hideMark/>
          </w:tcPr>
          <w:p w:rsidR="00203370" w:rsidRPr="00631A7F" w:rsidRDefault="00203370" w:rsidP="00880889">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48.927</w:t>
            </w:r>
          </w:p>
        </w:tc>
        <w:tc>
          <w:tcPr>
            <w:tcW w:w="1156" w:type="dxa"/>
            <w:shd w:val="clear" w:color="auto" w:fill="auto"/>
            <w:vAlign w:val="center"/>
            <w:hideMark/>
          </w:tcPr>
          <w:p w:rsidR="00203370" w:rsidRPr="00631A7F" w:rsidRDefault="00203370" w:rsidP="00880889">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0,13</w:t>
            </w:r>
          </w:p>
        </w:tc>
      </w:tr>
      <w:tr w:rsidR="00203370" w:rsidRPr="00631A7F" w:rsidTr="00C24AD4">
        <w:trPr>
          <w:trHeight w:val="475"/>
        </w:trPr>
        <w:tc>
          <w:tcPr>
            <w:tcW w:w="4835" w:type="dxa"/>
            <w:shd w:val="clear" w:color="auto" w:fill="auto"/>
            <w:vAlign w:val="center"/>
            <w:hideMark/>
          </w:tcPr>
          <w:p w:rsidR="00203370" w:rsidRPr="00631A7F" w:rsidRDefault="00C24AD4" w:rsidP="00C24AD4">
            <w:pPr>
              <w:spacing w:after="0" w:line="240" w:lineRule="auto"/>
              <w:ind w:left="229" w:hanging="229"/>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 xml:space="preserve">   </w:t>
            </w:r>
            <w:r w:rsidR="00203370" w:rsidRPr="00631A7F">
              <w:rPr>
                <w:rFonts w:ascii="Calibri" w:eastAsia="Times New Roman" w:hAnsi="Calibri" w:cs="Times New Roman"/>
                <w:color w:val="000000"/>
                <w:sz w:val="20"/>
                <w:szCs w:val="20"/>
                <w:lang w:val="es-ES" w:eastAsia="es-ES"/>
              </w:rPr>
              <w:t>Costos intangibles</w:t>
            </w:r>
            <w:r w:rsidRPr="00631A7F">
              <w:rPr>
                <w:rFonts w:ascii="Calibri" w:eastAsia="Times New Roman" w:hAnsi="Calibri" w:cs="Times New Roman"/>
                <w:color w:val="000000"/>
                <w:sz w:val="20"/>
                <w:szCs w:val="20"/>
                <w:lang w:val="es-ES" w:eastAsia="es-ES"/>
              </w:rPr>
              <w:t xml:space="preserve"> de</w:t>
            </w:r>
            <w:r w:rsidR="00203370" w:rsidRPr="00631A7F">
              <w:rPr>
                <w:rFonts w:ascii="Calibri" w:eastAsia="Times New Roman" w:hAnsi="Calibri" w:cs="Times New Roman"/>
                <w:color w:val="000000"/>
                <w:sz w:val="20"/>
                <w:szCs w:val="20"/>
                <w:lang w:val="es-ES" w:eastAsia="es-ES"/>
              </w:rPr>
              <w:t xml:space="preserve"> víctimas</w:t>
            </w:r>
            <w:r w:rsidRPr="00631A7F">
              <w:rPr>
                <w:rFonts w:ascii="Calibri" w:eastAsia="Times New Roman" w:hAnsi="Calibri" w:cs="Times New Roman"/>
                <w:color w:val="000000"/>
                <w:sz w:val="20"/>
                <w:szCs w:val="20"/>
                <w:lang w:val="es-ES" w:eastAsia="es-ES"/>
              </w:rPr>
              <w:t xml:space="preserve"> de otros crímenes</w:t>
            </w:r>
          </w:p>
        </w:tc>
        <w:tc>
          <w:tcPr>
            <w:tcW w:w="1134" w:type="dxa"/>
            <w:shd w:val="clear" w:color="auto" w:fill="auto"/>
            <w:vAlign w:val="center"/>
            <w:hideMark/>
          </w:tcPr>
          <w:p w:rsidR="00203370" w:rsidRPr="00631A7F" w:rsidRDefault="00203370" w:rsidP="00880889">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67.298</w:t>
            </w:r>
          </w:p>
        </w:tc>
        <w:tc>
          <w:tcPr>
            <w:tcW w:w="1156" w:type="dxa"/>
            <w:shd w:val="clear" w:color="auto" w:fill="auto"/>
            <w:vAlign w:val="center"/>
            <w:hideMark/>
          </w:tcPr>
          <w:p w:rsidR="00203370" w:rsidRPr="00631A7F" w:rsidRDefault="00203370" w:rsidP="00880889">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0,17</w:t>
            </w:r>
          </w:p>
        </w:tc>
      </w:tr>
      <w:tr w:rsidR="00203370" w:rsidRPr="00631A7F" w:rsidTr="00C24AD4">
        <w:trPr>
          <w:trHeight w:val="475"/>
        </w:trPr>
        <w:tc>
          <w:tcPr>
            <w:tcW w:w="4835" w:type="dxa"/>
            <w:shd w:val="clear" w:color="auto" w:fill="auto"/>
            <w:vAlign w:val="center"/>
            <w:hideMark/>
          </w:tcPr>
          <w:p w:rsidR="00203370" w:rsidRPr="00631A7F" w:rsidRDefault="00203370" w:rsidP="0015719C">
            <w:pPr>
              <w:spacing w:after="0" w:line="240" w:lineRule="auto"/>
              <w:rPr>
                <w:rFonts w:ascii="Calibri" w:eastAsia="Times New Roman" w:hAnsi="Calibri" w:cs="Times New Roman"/>
                <w:b/>
                <w:color w:val="000000"/>
                <w:sz w:val="20"/>
                <w:szCs w:val="20"/>
                <w:lang w:val="es-ES" w:eastAsia="es-ES"/>
              </w:rPr>
            </w:pPr>
            <w:r w:rsidRPr="00631A7F">
              <w:rPr>
                <w:rFonts w:ascii="Calibri" w:eastAsia="Times New Roman" w:hAnsi="Calibri" w:cs="Times New Roman"/>
                <w:b/>
                <w:color w:val="000000"/>
                <w:sz w:val="20"/>
                <w:szCs w:val="20"/>
                <w:lang w:val="es-ES" w:eastAsia="es-ES"/>
              </w:rPr>
              <w:t>En respuesta al crimen</w:t>
            </w:r>
          </w:p>
        </w:tc>
        <w:tc>
          <w:tcPr>
            <w:tcW w:w="1134" w:type="dxa"/>
            <w:shd w:val="clear" w:color="auto" w:fill="auto"/>
            <w:vAlign w:val="center"/>
            <w:hideMark/>
          </w:tcPr>
          <w:p w:rsidR="00203370" w:rsidRPr="00631A7F" w:rsidRDefault="00203370" w:rsidP="00880889">
            <w:pPr>
              <w:spacing w:after="0" w:line="240" w:lineRule="auto"/>
              <w:jc w:val="right"/>
              <w:rPr>
                <w:rFonts w:ascii="Calibri" w:eastAsia="Times New Roman" w:hAnsi="Calibri" w:cs="Times New Roman"/>
                <w:b/>
                <w:color w:val="000000"/>
                <w:sz w:val="20"/>
                <w:szCs w:val="20"/>
                <w:lang w:val="es-ES" w:eastAsia="es-ES"/>
              </w:rPr>
            </w:pPr>
            <w:r w:rsidRPr="00631A7F">
              <w:rPr>
                <w:rFonts w:ascii="Calibri" w:eastAsia="Times New Roman" w:hAnsi="Calibri" w:cs="Times New Roman"/>
                <w:b/>
                <w:color w:val="000000"/>
                <w:sz w:val="20"/>
                <w:szCs w:val="20"/>
                <w:lang w:val="es-ES" w:eastAsia="es-ES"/>
              </w:rPr>
              <w:t>144.595</w:t>
            </w:r>
          </w:p>
        </w:tc>
        <w:tc>
          <w:tcPr>
            <w:tcW w:w="1156" w:type="dxa"/>
            <w:shd w:val="clear" w:color="auto" w:fill="auto"/>
            <w:vAlign w:val="center"/>
            <w:hideMark/>
          </w:tcPr>
          <w:p w:rsidR="00203370" w:rsidRPr="00631A7F" w:rsidRDefault="00203370" w:rsidP="00880889">
            <w:pPr>
              <w:spacing w:after="0" w:line="240" w:lineRule="auto"/>
              <w:jc w:val="right"/>
              <w:rPr>
                <w:rFonts w:ascii="Calibri" w:eastAsia="Times New Roman" w:hAnsi="Calibri" w:cs="Times New Roman"/>
                <w:b/>
                <w:color w:val="000000"/>
                <w:sz w:val="20"/>
                <w:szCs w:val="20"/>
                <w:lang w:val="es-ES" w:eastAsia="es-ES"/>
              </w:rPr>
            </w:pPr>
            <w:r w:rsidRPr="00631A7F">
              <w:rPr>
                <w:rFonts w:ascii="Calibri" w:eastAsia="Times New Roman" w:hAnsi="Calibri" w:cs="Times New Roman"/>
                <w:b/>
                <w:color w:val="000000"/>
                <w:sz w:val="20"/>
                <w:szCs w:val="20"/>
                <w:lang w:val="es-ES" w:eastAsia="es-ES"/>
              </w:rPr>
              <w:t>0,37</w:t>
            </w:r>
          </w:p>
        </w:tc>
      </w:tr>
      <w:tr w:rsidR="00203370" w:rsidRPr="00631A7F" w:rsidTr="00C24AD4">
        <w:trPr>
          <w:trHeight w:val="571"/>
        </w:trPr>
        <w:tc>
          <w:tcPr>
            <w:tcW w:w="4835" w:type="dxa"/>
            <w:shd w:val="clear" w:color="auto" w:fill="auto"/>
            <w:vAlign w:val="center"/>
            <w:hideMark/>
          </w:tcPr>
          <w:p w:rsidR="00203370" w:rsidRPr="00631A7F" w:rsidRDefault="00C24AD4" w:rsidP="0015719C">
            <w:pPr>
              <w:spacing w:after="0" w:line="240" w:lineRule="auto"/>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 xml:space="preserve">   </w:t>
            </w:r>
            <w:r w:rsidR="00203370" w:rsidRPr="00631A7F">
              <w:rPr>
                <w:rFonts w:ascii="Calibri" w:eastAsia="Times New Roman" w:hAnsi="Calibri" w:cs="Times New Roman"/>
                <w:color w:val="000000"/>
                <w:sz w:val="20"/>
                <w:szCs w:val="20"/>
                <w:lang w:val="es-ES" w:eastAsia="es-ES"/>
              </w:rPr>
              <w:t>Gasto público en justicia, reclusión y rehabilitación</w:t>
            </w:r>
          </w:p>
        </w:tc>
        <w:tc>
          <w:tcPr>
            <w:tcW w:w="1134" w:type="dxa"/>
            <w:shd w:val="clear" w:color="auto" w:fill="auto"/>
            <w:vAlign w:val="center"/>
            <w:hideMark/>
          </w:tcPr>
          <w:p w:rsidR="00203370" w:rsidRPr="00631A7F" w:rsidRDefault="00203370" w:rsidP="00880889">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121.193</w:t>
            </w:r>
          </w:p>
        </w:tc>
        <w:tc>
          <w:tcPr>
            <w:tcW w:w="1156" w:type="dxa"/>
            <w:shd w:val="clear" w:color="auto" w:fill="auto"/>
            <w:vAlign w:val="center"/>
            <w:hideMark/>
          </w:tcPr>
          <w:p w:rsidR="00203370" w:rsidRPr="00631A7F" w:rsidRDefault="00203370" w:rsidP="00880889">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0,31</w:t>
            </w:r>
          </w:p>
        </w:tc>
      </w:tr>
      <w:tr w:rsidR="00203370" w:rsidRPr="00631A7F" w:rsidTr="00C24AD4">
        <w:trPr>
          <w:trHeight w:val="571"/>
        </w:trPr>
        <w:tc>
          <w:tcPr>
            <w:tcW w:w="4835" w:type="dxa"/>
            <w:shd w:val="clear" w:color="auto" w:fill="auto"/>
            <w:vAlign w:val="center"/>
            <w:hideMark/>
          </w:tcPr>
          <w:p w:rsidR="00203370" w:rsidRPr="00631A7F" w:rsidRDefault="00C24AD4" w:rsidP="0015719C">
            <w:pPr>
              <w:spacing w:after="0" w:line="240" w:lineRule="auto"/>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 xml:space="preserve">   </w:t>
            </w:r>
            <w:r w:rsidR="00203370" w:rsidRPr="00631A7F">
              <w:rPr>
                <w:rFonts w:ascii="Calibri" w:eastAsia="Times New Roman" w:hAnsi="Calibri" w:cs="Times New Roman"/>
                <w:color w:val="000000"/>
                <w:sz w:val="20"/>
                <w:szCs w:val="20"/>
                <w:lang w:val="es-ES" w:eastAsia="es-ES"/>
              </w:rPr>
              <w:t>Gasto privado en ayuda legal penal</w:t>
            </w:r>
          </w:p>
        </w:tc>
        <w:tc>
          <w:tcPr>
            <w:tcW w:w="1134" w:type="dxa"/>
            <w:shd w:val="clear" w:color="auto" w:fill="auto"/>
            <w:vAlign w:val="center"/>
            <w:hideMark/>
          </w:tcPr>
          <w:p w:rsidR="00203370" w:rsidRPr="00631A7F" w:rsidRDefault="00203370" w:rsidP="00880889">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23.402</w:t>
            </w:r>
          </w:p>
        </w:tc>
        <w:tc>
          <w:tcPr>
            <w:tcW w:w="1156" w:type="dxa"/>
            <w:shd w:val="clear" w:color="auto" w:fill="auto"/>
            <w:vAlign w:val="center"/>
            <w:hideMark/>
          </w:tcPr>
          <w:p w:rsidR="00203370" w:rsidRPr="00631A7F" w:rsidRDefault="00203370" w:rsidP="00880889">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0,06</w:t>
            </w:r>
          </w:p>
        </w:tc>
      </w:tr>
      <w:tr w:rsidR="00203370" w:rsidRPr="00550659" w:rsidTr="00C24AD4">
        <w:trPr>
          <w:trHeight w:val="475"/>
        </w:trPr>
        <w:tc>
          <w:tcPr>
            <w:tcW w:w="4835" w:type="dxa"/>
            <w:tcBorders>
              <w:bottom w:val="single" w:sz="4" w:space="0" w:color="auto"/>
            </w:tcBorders>
            <w:shd w:val="clear" w:color="auto" w:fill="auto"/>
            <w:vAlign w:val="center"/>
            <w:hideMark/>
          </w:tcPr>
          <w:p w:rsidR="00203370" w:rsidRPr="00550659" w:rsidRDefault="00880889" w:rsidP="00880889">
            <w:pPr>
              <w:spacing w:after="0" w:line="240" w:lineRule="auto"/>
              <w:rPr>
                <w:rFonts w:ascii="Calibri" w:eastAsia="Times New Roman" w:hAnsi="Calibri" w:cs="Times New Roman"/>
                <w:bCs/>
                <w:color w:val="000000"/>
                <w:sz w:val="20"/>
                <w:szCs w:val="20"/>
                <w:lang w:val="es-ES" w:eastAsia="es-ES"/>
              </w:rPr>
            </w:pPr>
            <w:r w:rsidRPr="00550659">
              <w:rPr>
                <w:rFonts w:ascii="Calibri" w:eastAsia="Times New Roman" w:hAnsi="Calibri" w:cs="Times New Roman"/>
                <w:bCs/>
                <w:color w:val="000000"/>
                <w:sz w:val="20"/>
                <w:szCs w:val="20"/>
                <w:lang w:val="es-ES" w:eastAsia="es-ES"/>
              </w:rPr>
              <w:t>Total</w:t>
            </w:r>
          </w:p>
        </w:tc>
        <w:tc>
          <w:tcPr>
            <w:tcW w:w="1134" w:type="dxa"/>
            <w:tcBorders>
              <w:bottom w:val="single" w:sz="4" w:space="0" w:color="auto"/>
            </w:tcBorders>
            <w:shd w:val="clear" w:color="auto" w:fill="auto"/>
            <w:vAlign w:val="center"/>
            <w:hideMark/>
          </w:tcPr>
          <w:p w:rsidR="00203370" w:rsidRPr="00550659" w:rsidRDefault="00203370" w:rsidP="00550659">
            <w:pPr>
              <w:spacing w:after="0" w:line="240" w:lineRule="auto"/>
              <w:jc w:val="right"/>
              <w:rPr>
                <w:rFonts w:ascii="Calibri" w:eastAsia="Times New Roman" w:hAnsi="Calibri" w:cs="Times New Roman"/>
                <w:color w:val="000000"/>
                <w:sz w:val="20"/>
                <w:szCs w:val="20"/>
                <w:lang w:val="es-ES" w:eastAsia="es-ES"/>
              </w:rPr>
            </w:pPr>
            <w:r w:rsidRPr="00550659">
              <w:rPr>
                <w:rFonts w:ascii="Calibri" w:eastAsia="Times New Roman" w:hAnsi="Calibri" w:cs="Times New Roman"/>
                <w:color w:val="000000"/>
                <w:sz w:val="20"/>
                <w:szCs w:val="20"/>
                <w:lang w:val="es-ES" w:eastAsia="es-ES"/>
              </w:rPr>
              <w:t>1.</w:t>
            </w:r>
            <w:r w:rsidR="00550659" w:rsidRPr="00550659">
              <w:rPr>
                <w:rFonts w:ascii="Calibri" w:eastAsia="Times New Roman" w:hAnsi="Calibri" w:cs="Times New Roman"/>
                <w:color w:val="000000"/>
                <w:sz w:val="20"/>
                <w:szCs w:val="20"/>
                <w:lang w:val="es-ES" w:eastAsia="es-ES"/>
              </w:rPr>
              <w:t>211</w:t>
            </w:r>
            <w:r w:rsidRPr="00550659">
              <w:rPr>
                <w:rFonts w:ascii="Calibri" w:eastAsia="Times New Roman" w:hAnsi="Calibri" w:cs="Times New Roman"/>
                <w:color w:val="000000"/>
                <w:sz w:val="20"/>
                <w:szCs w:val="20"/>
                <w:lang w:val="es-ES" w:eastAsia="es-ES"/>
              </w:rPr>
              <w:t>.</w:t>
            </w:r>
            <w:r w:rsidR="00550659" w:rsidRPr="00550659">
              <w:rPr>
                <w:rFonts w:ascii="Calibri" w:eastAsia="Times New Roman" w:hAnsi="Calibri" w:cs="Times New Roman"/>
                <w:color w:val="000000"/>
                <w:sz w:val="20"/>
                <w:szCs w:val="20"/>
                <w:lang w:val="es-ES" w:eastAsia="es-ES"/>
              </w:rPr>
              <w:t>149</w:t>
            </w:r>
          </w:p>
        </w:tc>
        <w:tc>
          <w:tcPr>
            <w:tcW w:w="1156" w:type="dxa"/>
            <w:tcBorders>
              <w:bottom w:val="single" w:sz="4" w:space="0" w:color="auto"/>
            </w:tcBorders>
            <w:shd w:val="clear" w:color="auto" w:fill="auto"/>
            <w:noWrap/>
            <w:vAlign w:val="center"/>
            <w:hideMark/>
          </w:tcPr>
          <w:p w:rsidR="00203370" w:rsidRPr="00550659" w:rsidRDefault="00550659" w:rsidP="00F0323D">
            <w:pPr>
              <w:spacing w:after="0" w:line="240" w:lineRule="auto"/>
              <w:jc w:val="right"/>
              <w:rPr>
                <w:rFonts w:ascii="Calibri" w:eastAsia="Times New Roman" w:hAnsi="Calibri" w:cs="Times New Roman"/>
                <w:color w:val="000000"/>
                <w:sz w:val="20"/>
                <w:szCs w:val="20"/>
                <w:lang w:val="es-ES" w:eastAsia="es-ES"/>
              </w:rPr>
            </w:pPr>
            <w:r w:rsidRPr="00550659">
              <w:rPr>
                <w:rFonts w:ascii="Calibri" w:eastAsia="Times New Roman" w:hAnsi="Calibri" w:cs="Times New Roman"/>
                <w:color w:val="000000"/>
                <w:sz w:val="20"/>
                <w:szCs w:val="20"/>
                <w:lang w:val="es-ES" w:eastAsia="es-ES"/>
              </w:rPr>
              <w:t>3</w:t>
            </w:r>
            <w:r w:rsidR="00203370" w:rsidRPr="00550659">
              <w:rPr>
                <w:rFonts w:ascii="Calibri" w:eastAsia="Times New Roman" w:hAnsi="Calibri" w:cs="Times New Roman"/>
                <w:color w:val="000000"/>
                <w:sz w:val="20"/>
                <w:szCs w:val="20"/>
                <w:lang w:val="es-ES" w:eastAsia="es-ES"/>
              </w:rPr>
              <w:t>,</w:t>
            </w:r>
            <w:r w:rsidRPr="00550659">
              <w:rPr>
                <w:rFonts w:ascii="Calibri" w:eastAsia="Times New Roman" w:hAnsi="Calibri" w:cs="Times New Roman"/>
                <w:color w:val="000000"/>
                <w:sz w:val="20"/>
                <w:szCs w:val="20"/>
                <w:lang w:val="es-ES" w:eastAsia="es-ES"/>
              </w:rPr>
              <w:t>0</w:t>
            </w:r>
            <w:r w:rsidR="00F0323D">
              <w:rPr>
                <w:rFonts w:ascii="Calibri" w:eastAsia="Times New Roman" w:hAnsi="Calibri" w:cs="Times New Roman"/>
                <w:color w:val="000000"/>
                <w:sz w:val="20"/>
                <w:szCs w:val="20"/>
                <w:lang w:val="es-ES" w:eastAsia="es-ES"/>
              </w:rPr>
              <w:t>8</w:t>
            </w:r>
          </w:p>
        </w:tc>
      </w:tr>
    </w:tbl>
    <w:p w:rsidR="00113579" w:rsidRPr="006F5A5D" w:rsidRDefault="00113579" w:rsidP="00113579">
      <w:pPr>
        <w:jc w:val="both"/>
        <w:rPr>
          <w:sz w:val="20"/>
          <w:szCs w:val="20"/>
        </w:rPr>
      </w:pPr>
      <w:r w:rsidRPr="006F5A5D">
        <w:rPr>
          <w:sz w:val="20"/>
          <w:szCs w:val="20"/>
        </w:rPr>
        <w:t xml:space="preserve">Fuente: </w:t>
      </w:r>
      <w:r w:rsidR="00C24AD4">
        <w:rPr>
          <w:sz w:val="20"/>
          <w:szCs w:val="20"/>
        </w:rPr>
        <w:t>cuadros anteriores</w:t>
      </w:r>
      <w:r w:rsidRPr="006F5A5D">
        <w:rPr>
          <w:sz w:val="20"/>
          <w:szCs w:val="20"/>
        </w:rPr>
        <w:t>.</w:t>
      </w:r>
    </w:p>
    <w:p w:rsidR="00113579" w:rsidRDefault="00113579" w:rsidP="009620C5">
      <w:pPr>
        <w:jc w:val="both"/>
      </w:pPr>
      <w:r w:rsidRPr="006D2729">
        <w:t>De acuerd</w:t>
      </w:r>
      <w:r>
        <w:t>o a nuestros resultados, el costo del delito por los conceptos estima</w:t>
      </w:r>
      <w:r w:rsidR="00C24AD4">
        <w:t xml:space="preserve">dos en este trabajo </w:t>
      </w:r>
      <w:r w:rsidR="00C24AD4" w:rsidRPr="00550659">
        <w:t xml:space="preserve">ascendería a </w:t>
      </w:r>
      <w:r w:rsidR="00550659" w:rsidRPr="00550659">
        <w:t>3,0</w:t>
      </w:r>
      <w:r w:rsidR="00F0323D">
        <w:t>8</w:t>
      </w:r>
      <w:r w:rsidRPr="00550659">
        <w:t>% del PIB uruguayo. La mayor parte de ellos corresponde a los costos asociados a la anticipación del crimen (1,</w:t>
      </w:r>
      <w:r w:rsidR="00550659" w:rsidRPr="00550659">
        <w:t>90</w:t>
      </w:r>
      <w:r>
        <w:t xml:space="preserve">% del PIB). Como se comentó, estas partidas de prevención fueron las relevadas con mayor completitud. </w:t>
      </w:r>
      <w:r w:rsidR="0033434C">
        <w:t>Más de dos tercios de</w:t>
      </w:r>
      <w:r>
        <w:t xml:space="preserve">l restante </w:t>
      </w:r>
      <w:r w:rsidR="0033434C">
        <w:t>1</w:t>
      </w:r>
      <w:r>
        <w:t>,</w:t>
      </w:r>
      <w:r w:rsidR="0033434C">
        <w:t>19</w:t>
      </w:r>
      <w:r>
        <w:t xml:space="preserve">% se </w:t>
      </w:r>
      <w:r w:rsidR="0033434C">
        <w:t xml:space="preserve">asocian a los costos como consecuencia del crimen. Dentro de estos costos, la mitad corresponden a </w:t>
      </w:r>
      <w:r>
        <w:t>la partida correspondiente a bienes robados (0,4%)</w:t>
      </w:r>
      <w:r w:rsidR="009620C5">
        <w:t xml:space="preserve">. Cabe destacar que el costo de salud asciende 0,3% del PIB, considerando tanto el costo por homicidios y por lesiones. Por último, menos 0,4% del PIB se asocia al </w:t>
      </w:r>
      <w:r>
        <w:t xml:space="preserve">los gastos en </w:t>
      </w:r>
      <w:r w:rsidR="009620C5">
        <w:t xml:space="preserve">respuesta al crimen, es decir, gastos en </w:t>
      </w:r>
      <w:r>
        <w:t>justicia, incluyendo sistema de reclusión y rehabi</w:t>
      </w:r>
      <w:r w:rsidR="00C24AD4">
        <w:t xml:space="preserve">litación). Como se ha discutido a lo largo del documento se presume que en general se </w:t>
      </w:r>
      <w:r>
        <w:t>ha cometido un sesgo a la baj</w:t>
      </w:r>
      <w:r w:rsidR="00C24AD4">
        <w:t>a en las estimaciones</w:t>
      </w:r>
      <w:r>
        <w:t>.</w:t>
      </w:r>
    </w:p>
    <w:p w:rsidR="002F20EA" w:rsidRDefault="004B623D" w:rsidP="004B623D">
      <w:pPr>
        <w:jc w:val="both"/>
      </w:pPr>
      <w:r>
        <w:t xml:space="preserve">Dado que la metodología empleada en este trabajo y los costos considerados en general no son equivalentes a los reportados en otros estudios hemos decidido no compararlos. </w:t>
      </w:r>
      <w:r w:rsidR="00C24AD4">
        <w:t>Sin embargo</w:t>
      </w:r>
      <w:r w:rsidR="00191A4E">
        <w:t>, en el cuadro A.5</w:t>
      </w:r>
      <w:r w:rsidR="006D16DB">
        <w:t xml:space="preserve"> del Anexo </w:t>
      </w:r>
      <w:r>
        <w:t>presentamos algunos resultados para otros países</w:t>
      </w:r>
      <w:r w:rsidRPr="004B623D">
        <w:t xml:space="preserve"> </w:t>
      </w:r>
      <w:r>
        <w:t xml:space="preserve">como información adicional. </w:t>
      </w:r>
    </w:p>
    <w:p w:rsidR="00DD74F2" w:rsidRPr="00DD74F2" w:rsidRDefault="00DD74F2" w:rsidP="00DD74F2">
      <w:pPr>
        <w:pStyle w:val="ListParagraph"/>
        <w:numPr>
          <w:ilvl w:val="0"/>
          <w:numId w:val="1"/>
        </w:numPr>
        <w:ind w:hanging="720"/>
        <w:jc w:val="both"/>
        <w:rPr>
          <w:b/>
        </w:rPr>
      </w:pPr>
      <w:r w:rsidRPr="00DD74F2">
        <w:rPr>
          <w:b/>
        </w:rPr>
        <w:lastRenderedPageBreak/>
        <w:t>Conclusiones</w:t>
      </w:r>
      <w:r w:rsidR="00B77F08">
        <w:rPr>
          <w:b/>
        </w:rPr>
        <w:t xml:space="preserve"> e implicaciones de política</w:t>
      </w:r>
    </w:p>
    <w:p w:rsidR="00BB2F39" w:rsidRDefault="00BB2F39" w:rsidP="00DD74F2">
      <w:pPr>
        <w:jc w:val="both"/>
      </w:pPr>
      <w:r w:rsidRPr="00BB2F39">
        <w:t>Aun cuando las tasas de criminalidad en Uruguay son en general más bajas que en otros países de América Latina</w:t>
      </w:r>
      <w:r>
        <w:t>,</w:t>
      </w:r>
      <w:r w:rsidRPr="00BB2F39">
        <w:t xml:space="preserve"> </w:t>
      </w:r>
      <w:r>
        <w:t>d</w:t>
      </w:r>
      <w:r w:rsidRPr="00BB2F39">
        <w:t xml:space="preserve">urante las últimas dos décadas </w:t>
      </w:r>
      <w:r>
        <w:t xml:space="preserve">Uruguay ha experimentado un considerable aumento de </w:t>
      </w:r>
      <w:r w:rsidRPr="00BB2F39">
        <w:t>las tasas de delincuencia y violencia.</w:t>
      </w:r>
      <w:r>
        <w:t xml:space="preserve"> Ello ha conducido a que </w:t>
      </w:r>
      <w:r w:rsidRPr="00BB2F39">
        <w:t>e</w:t>
      </w:r>
      <w:r>
        <w:t xml:space="preserve">ste </w:t>
      </w:r>
      <w:r w:rsidRPr="00BB2F39">
        <w:t xml:space="preserve">tema se </w:t>
      </w:r>
      <w:r>
        <w:t>haya colocado como una de las principales preocupaciones, tanto de los ciudadanos como de las políticas públicas</w:t>
      </w:r>
      <w:r w:rsidRPr="00BB2F39">
        <w:t xml:space="preserve">. </w:t>
      </w:r>
    </w:p>
    <w:p w:rsidR="00BB2F39" w:rsidRDefault="00BB2F39" w:rsidP="00BB2F39">
      <w:pPr>
        <w:jc w:val="both"/>
      </w:pPr>
      <w:r>
        <w:t xml:space="preserve">En ese contexto, </w:t>
      </w:r>
      <w:r w:rsidRPr="006106D2">
        <w:t>la medición de los costos impuestos a la sociedad por el delito</w:t>
      </w:r>
      <w:r>
        <w:t>,</w:t>
      </w:r>
      <w:r w:rsidRPr="006106D2">
        <w:t xml:space="preserve"> o </w:t>
      </w:r>
      <w:r>
        <w:t>de otra manera de l</w:t>
      </w:r>
      <w:r w:rsidRPr="006106D2">
        <w:t>os beneficios sociales que se deriva</w:t>
      </w:r>
      <w:r>
        <w:t>ría</w:t>
      </w:r>
      <w:r w:rsidRPr="006106D2">
        <w:t>n de la reducción de l</w:t>
      </w:r>
      <w:r>
        <w:t xml:space="preserve">a delincuencia, </w:t>
      </w:r>
      <w:r w:rsidR="00EE4FAD">
        <w:t xml:space="preserve">que aquí se calcula </w:t>
      </w:r>
      <w:r w:rsidR="00FC2D5A">
        <w:t>intenta ser un aporte útil para</w:t>
      </w:r>
      <w:r>
        <w:t xml:space="preserve"> las políticas gubernamentales</w:t>
      </w:r>
      <w:r w:rsidR="00FC2D5A">
        <w:t>, y e</w:t>
      </w:r>
      <w:r>
        <w:t xml:space="preserve">l debate público. </w:t>
      </w:r>
      <w:r w:rsidR="00AC6A8F">
        <w:t>Creemos que esta información puede ser útil t</w:t>
      </w:r>
      <w:r>
        <w:t xml:space="preserve">anto para la planificación de las políticas y su evaluación de impacto ex-post, como para informar las discusiones y focalizar la atención hacia allí donde están los costos más importantes de la criminalidad. </w:t>
      </w:r>
    </w:p>
    <w:p w:rsidR="00DB6580" w:rsidRDefault="00CC2963" w:rsidP="00DD74F2">
      <w:pPr>
        <w:jc w:val="both"/>
      </w:pPr>
      <w:r>
        <w:t>De acuerdo con los cálculos aquí realizados</w:t>
      </w:r>
      <w:r w:rsidR="00337361">
        <w:t>, a consecuencia de</w:t>
      </w:r>
      <w:r>
        <w:t xml:space="preserve"> </w:t>
      </w:r>
      <w:r w:rsidR="00223D98">
        <w:t>crímenes</w:t>
      </w:r>
      <w:r>
        <w:t xml:space="preserve"> sobre los b</w:t>
      </w:r>
      <w:r w:rsidR="00337361">
        <w:t>ienes y las personas s</w:t>
      </w:r>
      <w:r w:rsidR="00337AFB">
        <w:t>uperó los</w:t>
      </w:r>
      <w:r w:rsidR="00337361">
        <w:t xml:space="preserve"> </w:t>
      </w:r>
      <w:r w:rsidR="00AA0310">
        <w:t>1.200 millones de dólares</w:t>
      </w:r>
      <w:r w:rsidR="00337361">
        <w:t xml:space="preserve"> en el año 2010</w:t>
      </w:r>
      <w:r w:rsidR="00AA0310">
        <w:t>,</w:t>
      </w:r>
      <w:r w:rsidR="00337361">
        <w:t xml:space="preserve"> equivalentes a</w:t>
      </w:r>
      <w:r w:rsidR="00AA0310">
        <w:t xml:space="preserve"> </w:t>
      </w:r>
      <w:r>
        <w:t>3</w:t>
      </w:r>
      <w:r w:rsidR="00DB6580">
        <w:t>,1</w:t>
      </w:r>
      <w:r>
        <w:t xml:space="preserve">% del PIB </w:t>
      </w:r>
      <w:r w:rsidR="00AA0310">
        <w:t>nacional</w:t>
      </w:r>
      <w:r w:rsidR="006A5399">
        <w:t>.</w:t>
      </w:r>
      <w:r w:rsidR="00223D98">
        <w:t xml:space="preserve"> </w:t>
      </w:r>
    </w:p>
    <w:p w:rsidR="00F15859" w:rsidRDefault="00F15859" w:rsidP="00DD74F2">
      <w:pPr>
        <w:jc w:val="both"/>
      </w:pPr>
      <w:r>
        <w:t>Si bien en este trabajo no se ha hecho una cuantificación de costos por delitos debido a limitaciones de información</w:t>
      </w:r>
      <w:r w:rsidR="00F0323D">
        <w:t>,</w:t>
      </w:r>
      <w:r>
        <w:t xml:space="preserve"> es posible extraer algunas conclusiones generales al respecto.</w:t>
      </w:r>
    </w:p>
    <w:p w:rsidR="000707A1" w:rsidRDefault="00AC6A8F" w:rsidP="00DD74F2">
      <w:pPr>
        <w:jc w:val="both"/>
      </w:pPr>
      <w:r>
        <w:t>Los delitos contra la propiedad son l</w:t>
      </w:r>
      <w:r w:rsidR="00EE4FAD">
        <w:t>os que causan un mayor costo. Só</w:t>
      </w:r>
      <w:r>
        <w:t>lo l</w:t>
      </w:r>
      <w:r w:rsidR="000707A1">
        <w:t xml:space="preserve">os </w:t>
      </w:r>
      <w:r w:rsidR="00E34E6F">
        <w:t>costos asociados al valor de los bienes robados alcanzan los</w:t>
      </w:r>
      <w:r w:rsidR="000707A1">
        <w:t xml:space="preserve"> </w:t>
      </w:r>
      <w:r w:rsidR="005774F7" w:rsidRPr="00AC6A8F">
        <w:t>158</w:t>
      </w:r>
      <w:r w:rsidR="000707A1" w:rsidRPr="00AC6A8F">
        <w:t xml:space="preserve"> millones de dólar</w:t>
      </w:r>
      <w:r w:rsidR="000707A1">
        <w:t xml:space="preserve">es. </w:t>
      </w:r>
      <w:r>
        <w:t>Por otra parte, s</w:t>
      </w:r>
      <w:r w:rsidR="000707A1">
        <w:t xml:space="preserve">i bien no es posible contar con </w:t>
      </w:r>
      <w:r w:rsidR="000707A1" w:rsidRPr="00F15859">
        <w:t>una estimación precisa de</w:t>
      </w:r>
      <w:r w:rsidR="005774F7" w:rsidRPr="00F15859">
        <w:t xml:space="preserve"> que proporc</w:t>
      </w:r>
      <w:r w:rsidR="0030598A" w:rsidRPr="00F15859">
        <w:t>ión</w:t>
      </w:r>
      <w:r w:rsidR="0030598A">
        <w:t xml:space="preserve"> de la seguridad privada está</w:t>
      </w:r>
      <w:r w:rsidR="005774F7">
        <w:t xml:space="preserve"> motivad</w:t>
      </w:r>
      <w:r w:rsidR="0030598A">
        <w:t>a</w:t>
      </w:r>
      <w:r w:rsidR="005774F7">
        <w:t xml:space="preserve"> por este tipo de </w:t>
      </w:r>
      <w:r w:rsidR="005774F7" w:rsidRPr="00F15859">
        <w:t>delitos</w:t>
      </w:r>
      <w:r w:rsidR="000707A1" w:rsidRPr="00F15859">
        <w:t>, creemos</w:t>
      </w:r>
      <w:r w:rsidR="000707A1">
        <w:t xml:space="preserve"> que </w:t>
      </w:r>
      <w:r w:rsidR="0030598A">
        <w:t xml:space="preserve">representa </w:t>
      </w:r>
      <w:r w:rsidR="000707A1">
        <w:t xml:space="preserve">una porción importante de </w:t>
      </w:r>
      <w:r w:rsidR="000707A1" w:rsidRPr="00AC6A8F">
        <w:t>los 214</w:t>
      </w:r>
      <w:r w:rsidR="000707A1">
        <w:t xml:space="preserve"> millones de dólares </w:t>
      </w:r>
      <w:r w:rsidR="0030598A">
        <w:t>destinados</w:t>
      </w:r>
      <w:r w:rsidR="000707A1">
        <w:t xml:space="preserve"> a </w:t>
      </w:r>
      <w:r w:rsidR="0030598A">
        <w:t>tales efectos por parte de</w:t>
      </w:r>
      <w:r w:rsidR="000707A1">
        <w:t xml:space="preserve"> </w:t>
      </w:r>
      <w:r w:rsidR="0030598A">
        <w:t xml:space="preserve">los </w:t>
      </w:r>
      <w:r w:rsidR="000707A1">
        <w:t xml:space="preserve">hogares y </w:t>
      </w:r>
      <w:r w:rsidR="0030598A">
        <w:t xml:space="preserve">las </w:t>
      </w:r>
      <w:r w:rsidR="000707A1">
        <w:t>empresas</w:t>
      </w:r>
      <w:r w:rsidR="000707A1" w:rsidRPr="00F15859">
        <w:t>.</w:t>
      </w:r>
      <w:r w:rsidR="00F15859">
        <w:t xml:space="preserve"> </w:t>
      </w:r>
      <w:r w:rsidR="00F0323D">
        <w:t>A esto habría que adicionarle costos del sector público, costos asociados a seguros y costos intangibles.</w:t>
      </w:r>
      <w:r w:rsidRPr="00F15859">
        <w:t xml:space="preserve"> </w:t>
      </w:r>
    </w:p>
    <w:p w:rsidR="00F146A7" w:rsidRDefault="00F0323D" w:rsidP="00DD74F2">
      <w:pPr>
        <w:jc w:val="both"/>
      </w:pPr>
      <w:r>
        <w:t>Por otra parte, l</w:t>
      </w:r>
      <w:r w:rsidR="00F146A7">
        <w:t>os homicidios ocupan el primer lugar en el ranking de los costos</w:t>
      </w:r>
      <w:r w:rsidR="001A2189">
        <w:t xml:space="preserve"> intangibles de la criminalidad y violencia</w:t>
      </w:r>
      <w:r w:rsidR="00F146A7">
        <w:t>. Con una pérdida estimada cercana a los 49 millones de dólares anuales</w:t>
      </w:r>
      <w:r>
        <w:t>,</w:t>
      </w:r>
      <w:r w:rsidR="00F146A7">
        <w:t xml:space="preserve"> son los que más impactan en la estructura de los costos</w:t>
      </w:r>
      <w:r>
        <w:t xml:space="preserve"> intangibles</w:t>
      </w:r>
      <w:r w:rsidR="00F146A7">
        <w:t>. Acá el rendimiento de cada dólar que se invierta para la prevención y aclaración de estos hechos (en la presunción de que esto último desalentará su ocurrencia) p</w:t>
      </w:r>
      <w:r w:rsidR="00F15859">
        <w:t>odría</w:t>
      </w:r>
      <w:r w:rsidR="00F146A7">
        <w:t xml:space="preserve"> ser elevado. </w:t>
      </w:r>
    </w:p>
    <w:p w:rsidR="001A2189" w:rsidRDefault="008B200B" w:rsidP="00DD74F2">
      <w:pPr>
        <w:jc w:val="both"/>
      </w:pPr>
      <w:r>
        <w:t>L</w:t>
      </w:r>
      <w:r w:rsidR="001A2189">
        <w:t>a violencia doméstica</w:t>
      </w:r>
      <w:r w:rsidR="00A15627">
        <w:t>, con un costo</w:t>
      </w:r>
      <w:r w:rsidR="00FF539A">
        <w:t xml:space="preserve"> intangible</w:t>
      </w:r>
      <w:r w:rsidR="00A15627">
        <w:t xml:space="preserve"> estimado de 39 m</w:t>
      </w:r>
      <w:r w:rsidR="00CC2963">
        <w:t>illones de dólares</w:t>
      </w:r>
      <w:r>
        <w:t xml:space="preserve"> ocupa el segundo lugar en este ítem</w:t>
      </w:r>
      <w:r w:rsidR="00CC2963">
        <w:t>. Sin dudas, é</w:t>
      </w:r>
      <w:r w:rsidR="00A15627">
        <w:t xml:space="preserve">sta también </w:t>
      </w:r>
      <w:r w:rsidR="009C450D">
        <w:t>es</w:t>
      </w:r>
      <w:r w:rsidR="00A15627">
        <w:t xml:space="preserve"> un área donde </w:t>
      </w:r>
      <w:r w:rsidR="00975FF8">
        <w:t xml:space="preserve">el fortalecimiento de </w:t>
      </w:r>
      <w:r w:rsidR="00A15627">
        <w:t>las tareas de prevención y educación est</w:t>
      </w:r>
      <w:r w:rsidR="00975FF8">
        <w:t>á</w:t>
      </w:r>
      <w:r w:rsidR="00A15627">
        <w:t xml:space="preserve"> justificad</w:t>
      </w:r>
      <w:r w:rsidR="00975FF8">
        <w:t>o</w:t>
      </w:r>
      <w:r w:rsidR="00A15627">
        <w:t xml:space="preserve"> desde el punto de vista de su </w:t>
      </w:r>
      <w:r w:rsidR="00F15859">
        <w:t xml:space="preserve">alto costo </w:t>
      </w:r>
      <w:r w:rsidR="00A15627">
        <w:t>económico, más allá de otras consideraciones.</w:t>
      </w:r>
    </w:p>
    <w:p w:rsidR="00A15627" w:rsidRDefault="008B200B" w:rsidP="00DD74F2">
      <w:pPr>
        <w:jc w:val="both"/>
      </w:pPr>
      <w:r>
        <w:t>P</w:t>
      </w:r>
      <w:r w:rsidR="00975FF8">
        <w:t>or el gran número de ocurrencia</w:t>
      </w:r>
      <w:r>
        <w:t>s</w:t>
      </w:r>
      <w:r w:rsidR="00A15627">
        <w:t>, más que por su costo unitario,</w:t>
      </w:r>
      <w:r w:rsidR="00C23B97">
        <w:t xml:space="preserve"> crímenes como</w:t>
      </w:r>
      <w:r w:rsidR="00A15627">
        <w:t xml:space="preserve"> los hurtos y rapiñas generan pérdidas</w:t>
      </w:r>
      <w:r w:rsidR="00FF539A">
        <w:t xml:space="preserve"> intangibles</w:t>
      </w:r>
      <w:r w:rsidR="00A15627">
        <w:t xml:space="preserve"> importantes a la sociedad. Además si consideramos que muy probablemente la tasa d</w:t>
      </w:r>
      <w:r w:rsidR="00F632C3">
        <w:t>e sub-reporte de estos hechos sea</w:t>
      </w:r>
      <w:r w:rsidR="00A15627">
        <w:t xml:space="preserve"> mayor que la existente por ejemplo para homicidios u otros hechos de mayor gravedad,</w:t>
      </w:r>
      <w:r w:rsidR="00F632C3">
        <w:t xml:space="preserve"> tenemos que</w:t>
      </w:r>
      <w:r w:rsidR="00A15627">
        <w:t xml:space="preserve"> los costos</w:t>
      </w:r>
      <w:r w:rsidR="00C23B97">
        <w:t xml:space="preserve"> relativos</w:t>
      </w:r>
      <w:r w:rsidR="00A15627">
        <w:t xml:space="preserve"> pueden ser aún mayores que los considerados en el trabajo. </w:t>
      </w:r>
      <w:r w:rsidR="00C23B97">
        <w:t>Por tanto, la focalización en medidas de prevención y combate de estos delitos</w:t>
      </w:r>
      <w:r>
        <w:t xml:space="preserve"> también</w:t>
      </w:r>
      <w:r w:rsidR="00C23B97">
        <w:t xml:space="preserve"> pueden tener impactos </w:t>
      </w:r>
      <w:r w:rsidR="00C23B97">
        <w:lastRenderedPageBreak/>
        <w:t>económicos no despreciables</w:t>
      </w:r>
      <w:r>
        <w:t xml:space="preserve">  vía la reducción de costos intangibles, en adición a la reducción de costos tangibles</w:t>
      </w:r>
      <w:r w:rsidR="00F632C3">
        <w:t xml:space="preserve"> que implicarán</w:t>
      </w:r>
      <w:r w:rsidR="00C23B97">
        <w:t>.</w:t>
      </w:r>
      <w:r w:rsidR="00A15627">
        <w:t xml:space="preserve"> </w:t>
      </w:r>
    </w:p>
    <w:p w:rsidR="00EC4DAA" w:rsidRDefault="001F5C56" w:rsidP="00DD74F2">
      <w:pPr>
        <w:jc w:val="both"/>
      </w:pPr>
      <w:r>
        <w:t>P</w:t>
      </w:r>
      <w:r w:rsidR="00B66B7E">
        <w:t>olíticas que promuevan el</w:t>
      </w:r>
      <w:r w:rsidR="00325D79">
        <w:t xml:space="preserve"> trabajo de los reclusos</w:t>
      </w:r>
      <w:r w:rsidR="00B66B7E">
        <w:t xml:space="preserve"> y </w:t>
      </w:r>
      <w:r w:rsidR="008072E8">
        <w:t xml:space="preserve">su </w:t>
      </w:r>
      <w:r w:rsidR="00B66B7E">
        <w:t xml:space="preserve">capacitación </w:t>
      </w:r>
      <w:r w:rsidR="00325D79">
        <w:t>podría</w:t>
      </w:r>
      <w:r w:rsidR="00B66B7E">
        <w:t xml:space="preserve">n llevar a la reducción del costo implícito </w:t>
      </w:r>
      <w:r w:rsidR="008B200B">
        <w:t xml:space="preserve">o intangible </w:t>
      </w:r>
      <w:r w:rsidR="00B66B7E">
        <w:t>de la criminalidad</w:t>
      </w:r>
      <w:r w:rsidR="008072E8">
        <w:t xml:space="preserve">. Esta reducción de costos </w:t>
      </w:r>
      <w:r w:rsidR="00B66B7E">
        <w:t>podría ser</w:t>
      </w:r>
      <w:r w:rsidR="008072E8">
        <w:t xml:space="preserve"> aún</w:t>
      </w:r>
      <w:r w:rsidR="00B66B7E">
        <w:t xml:space="preserve"> mayor</w:t>
      </w:r>
      <w:r w:rsidR="008072E8">
        <w:t xml:space="preserve"> </w:t>
      </w:r>
      <w:r w:rsidR="00B66B7E">
        <w:t xml:space="preserve">que </w:t>
      </w:r>
      <w:r w:rsidR="008072E8">
        <w:t>el</w:t>
      </w:r>
      <w:r w:rsidR="00B66B7E">
        <w:t xml:space="preserve"> costo de oportunidad del tiempo</w:t>
      </w:r>
      <w:r w:rsidR="008072E8">
        <w:t xml:space="preserve"> en prisión</w:t>
      </w:r>
      <w:r w:rsidR="00F52AE9">
        <w:t xml:space="preserve"> estimado en este trabajo</w:t>
      </w:r>
      <w:r w:rsidR="00B66B7E">
        <w:t>, ya que estas actividades impactarían probablemente en forma positiva en el perfil de ingresos de la población recluida una vez estén en libertad</w:t>
      </w:r>
      <w:r w:rsidR="008B200B">
        <w:t>, y en las tasas de reinserción en actividades legales</w:t>
      </w:r>
      <w:r w:rsidR="008072E8">
        <w:t>, lo que representa un efecto positivo adicional</w:t>
      </w:r>
      <w:r w:rsidR="00F52AE9">
        <w:t xml:space="preserve"> a considerar</w:t>
      </w:r>
      <w:r w:rsidR="004A2C00">
        <w:t xml:space="preserve">. En forma adicional, </w:t>
      </w:r>
      <w:r w:rsidR="00413B87">
        <w:t xml:space="preserve">nótese que </w:t>
      </w:r>
      <w:r w:rsidR="004A2C00">
        <w:t>l</w:t>
      </w:r>
      <w:r w:rsidR="009817BF">
        <w:t xml:space="preserve">o relevante en términos de los costos </w:t>
      </w:r>
      <w:r w:rsidR="00413B87">
        <w:t>es la utilidad de la población carcelaria</w:t>
      </w:r>
      <w:r w:rsidR="004A2C00">
        <w:t xml:space="preserve">, </w:t>
      </w:r>
      <w:r w:rsidR="009817BF">
        <w:t xml:space="preserve">por tanto </w:t>
      </w:r>
      <w:r w:rsidR="004A2C00">
        <w:t xml:space="preserve">medidas que impliquen mejores condiciones de vida de la población reclusa también </w:t>
      </w:r>
      <w:r w:rsidR="00B77F08">
        <w:t>debería</w:t>
      </w:r>
      <w:r w:rsidR="004A2C00">
        <w:t xml:space="preserve"> impactar en forma positiva en la reducción de los costos de la criminalidad</w:t>
      </w:r>
      <w:r w:rsidR="009817BF">
        <w:t xml:space="preserve"> (aun cuando no necesariamente impacten </w:t>
      </w:r>
      <w:r w:rsidR="00B77F08">
        <w:t>a</w:t>
      </w:r>
      <w:r w:rsidR="00F632C3">
        <w:t>l proxy que estamos utilizando en este trabajo</w:t>
      </w:r>
      <w:r w:rsidR="009817BF">
        <w:t>)</w:t>
      </w:r>
      <w:r w:rsidR="004A2C00">
        <w:t>.</w:t>
      </w:r>
      <w:r w:rsidR="00775983">
        <w:tab/>
      </w:r>
      <w:r w:rsidR="00775983">
        <w:tab/>
      </w:r>
      <w:r w:rsidR="00775983">
        <w:tab/>
      </w:r>
    </w:p>
    <w:p w:rsidR="00197762" w:rsidRDefault="009C450D" w:rsidP="009C450D">
      <w:pPr>
        <w:jc w:val="both"/>
      </w:pPr>
      <w:r w:rsidRPr="009C450D">
        <w:t xml:space="preserve">Por último cabe reiterar algunos aspectos que muestran </w:t>
      </w:r>
      <w:r w:rsidR="00197762">
        <w:t>algunas de las</w:t>
      </w:r>
      <w:r w:rsidRPr="009C450D">
        <w:t xml:space="preserve"> limitaciones de</w:t>
      </w:r>
      <w:r w:rsidR="00197762">
        <w:t xml:space="preserve"> los resultados aquí expuestos, y que deben tenerse en cuenta a la hora de reflexionar acerca de los resultados alcanzados.</w:t>
      </w:r>
    </w:p>
    <w:p w:rsidR="00EC4DAA" w:rsidRDefault="009C450D" w:rsidP="009C450D">
      <w:pPr>
        <w:jc w:val="both"/>
      </w:pPr>
      <w:r>
        <w:t xml:space="preserve">En primer lugar, </w:t>
      </w:r>
      <w:r w:rsidR="00AA0310">
        <w:t>el análisis efectuado ha sido de carácter estático. N</w:t>
      </w:r>
      <w:r w:rsidRPr="009C450D">
        <w:t xml:space="preserve">o </w:t>
      </w:r>
      <w:r w:rsidR="00AA0310">
        <w:t>han sido considerados en los cálculos</w:t>
      </w:r>
      <w:r w:rsidRPr="009C450D">
        <w:t xml:space="preserve"> los</w:t>
      </w:r>
      <w:r w:rsidR="00EC4DAA" w:rsidRPr="009C450D">
        <w:t xml:space="preserve"> efectos dinámicos</w:t>
      </w:r>
      <w:r w:rsidRPr="009C450D">
        <w:t xml:space="preserve"> </w:t>
      </w:r>
      <w:r w:rsidR="00EC4DAA" w:rsidRPr="009C450D">
        <w:t xml:space="preserve">que básicamente afectan la producción, </w:t>
      </w:r>
      <w:r w:rsidRPr="009C450D">
        <w:t xml:space="preserve">a través de la </w:t>
      </w:r>
      <w:r w:rsidR="00EC4DAA" w:rsidRPr="009C450D">
        <w:t xml:space="preserve">destrucción o </w:t>
      </w:r>
      <w:r w:rsidRPr="009C450D">
        <w:t xml:space="preserve">de la </w:t>
      </w:r>
      <w:r w:rsidR="00EC4DAA" w:rsidRPr="009C450D">
        <w:t xml:space="preserve">menor acumulación de capital físico y humano. Tampoco se </w:t>
      </w:r>
      <w:r w:rsidR="00AA0310">
        <w:t xml:space="preserve">ha </w:t>
      </w:r>
      <w:r w:rsidR="00EC4DAA" w:rsidRPr="009C450D">
        <w:t>considera</w:t>
      </w:r>
      <w:r w:rsidR="00AA0310">
        <w:t>do</w:t>
      </w:r>
      <w:r w:rsidR="00EC4DAA" w:rsidRPr="009C450D">
        <w:t xml:space="preserve"> </w:t>
      </w:r>
      <w:r w:rsidR="00AA0310">
        <w:t xml:space="preserve">los </w:t>
      </w:r>
      <w:r w:rsidR="00EC4DAA" w:rsidRPr="009C450D">
        <w:t>costos por ca</w:t>
      </w:r>
      <w:r w:rsidRPr="009C450D">
        <w:t>m</w:t>
      </w:r>
      <w:r w:rsidR="00EC4DAA" w:rsidRPr="009C450D">
        <w:t>bios de comportamiento</w:t>
      </w:r>
      <w:r w:rsidRPr="009C450D">
        <w:t xml:space="preserve"> de los ciudadanos </w:t>
      </w:r>
      <w:r w:rsidR="00AA0310">
        <w:t>inducidos por e</w:t>
      </w:r>
      <w:r w:rsidRPr="009C450D">
        <w:t>l miedo a ser víctima del crimen</w:t>
      </w:r>
      <w:r w:rsidR="00197762">
        <w:t>,</w:t>
      </w:r>
      <w:r w:rsidRPr="009C450D">
        <w:t xml:space="preserve"> por ejemplo cambios en los</w:t>
      </w:r>
      <w:r w:rsidR="00197762">
        <w:t xml:space="preserve"> hábitos de recreación y gastos</w:t>
      </w:r>
      <w:r w:rsidR="00EC4DAA" w:rsidRPr="009C450D">
        <w:t>.</w:t>
      </w:r>
      <w:r w:rsidR="00197762">
        <w:t xml:space="preserve"> </w:t>
      </w:r>
    </w:p>
    <w:p w:rsidR="009C450D" w:rsidRPr="009C450D" w:rsidRDefault="009C450D" w:rsidP="009C450D">
      <w:pPr>
        <w:jc w:val="both"/>
      </w:pPr>
      <w:r>
        <w:t xml:space="preserve">En segundo lugar, </w:t>
      </w:r>
      <w:r w:rsidR="00975FF8">
        <w:t xml:space="preserve">tal como se señaló oportunamente </w:t>
      </w:r>
      <w:r>
        <w:t xml:space="preserve">la propia metodología de cálculo empleada </w:t>
      </w:r>
      <w:r w:rsidR="00197762">
        <w:t xml:space="preserve">de </w:t>
      </w:r>
      <w:r>
        <w:t>contabilidad de pérdidas y ga</w:t>
      </w:r>
      <w:r w:rsidR="00463B32">
        <w:t>stos</w:t>
      </w:r>
      <w:r w:rsidR="00AA0310">
        <w:t xml:space="preserve">, </w:t>
      </w:r>
      <w:r w:rsidR="00197762">
        <w:t xml:space="preserve">conlleva </w:t>
      </w:r>
      <w:r w:rsidR="00AA0310">
        <w:t xml:space="preserve">algunos </w:t>
      </w:r>
      <w:r w:rsidR="00197762">
        <w:t>problemas. S</w:t>
      </w:r>
      <w:r w:rsidR="00463B32">
        <w:t>i bien ofrece la ventaja</w:t>
      </w:r>
      <w:r>
        <w:t xml:space="preserve"> de incluir diferentes tipos de componentes en la ecuación de costos</w:t>
      </w:r>
      <w:r w:rsidR="00197762">
        <w:t xml:space="preserve">, este procedimiento de cómputos de las pérdidas </w:t>
      </w:r>
      <w:r>
        <w:t xml:space="preserve">puede dar lugar a sesgos hacia la </w:t>
      </w:r>
      <w:r w:rsidR="00463B32">
        <w:t>o</w:t>
      </w:r>
      <w:r>
        <w:t>misi</w:t>
      </w:r>
      <w:r w:rsidR="00463B32">
        <w:t>ón</w:t>
      </w:r>
      <w:r>
        <w:t xml:space="preserve"> de información relevante, principalmente debido a la falta de datos o el recuento doble en algunos casos. </w:t>
      </w:r>
      <w:r w:rsidR="00463B32">
        <w:t>De todas formas, en cada uno de los casos en donde se presumió algún tipo de sesgo ha sido reportado como tal en el desarrollo del informe.</w:t>
      </w:r>
    </w:p>
    <w:p w:rsidR="00DD74F2" w:rsidRDefault="00463B32" w:rsidP="00EC4DAA">
      <w:pPr>
        <w:jc w:val="both"/>
      </w:pPr>
      <w:r w:rsidRPr="00463B32">
        <w:t>Cabe hacer una última consideración acerca de la implicancia de los resultados. Los</w:t>
      </w:r>
      <w:r w:rsidR="00EC4DAA" w:rsidRPr="00463B32">
        <w:t xml:space="preserve"> aumentos </w:t>
      </w:r>
      <w:r w:rsidR="00F632C3">
        <w:t xml:space="preserve">(reducciones) </w:t>
      </w:r>
      <w:r w:rsidR="00EC4DAA" w:rsidRPr="00463B32">
        <w:t xml:space="preserve">de </w:t>
      </w:r>
      <w:r w:rsidR="00A266C9">
        <w:t xml:space="preserve">algunos componentes de </w:t>
      </w:r>
      <w:r w:rsidR="00EC4DAA" w:rsidRPr="00463B32">
        <w:t>costos individuales no necesariamente implica</w:t>
      </w:r>
      <w:r w:rsidRPr="00463B32">
        <w:t>n</w:t>
      </w:r>
      <w:r w:rsidR="00EC4DAA" w:rsidRPr="00463B32">
        <w:t xml:space="preserve"> aumento </w:t>
      </w:r>
      <w:r w:rsidR="00F632C3">
        <w:t xml:space="preserve">(reducción) </w:t>
      </w:r>
      <w:r w:rsidR="00EC4DAA" w:rsidRPr="00463B32">
        <w:t xml:space="preserve">de </w:t>
      </w:r>
      <w:r w:rsidR="00A266C9">
        <w:t xml:space="preserve">los </w:t>
      </w:r>
      <w:r w:rsidR="00EC4DAA" w:rsidRPr="00463B32">
        <w:t xml:space="preserve">costos en </w:t>
      </w:r>
      <w:r w:rsidR="00A266C9">
        <w:t>“</w:t>
      </w:r>
      <w:r w:rsidR="00EC4DAA" w:rsidRPr="00463B32">
        <w:t>equilibrio general</w:t>
      </w:r>
      <w:r w:rsidR="00A266C9">
        <w:t>”</w:t>
      </w:r>
      <w:r w:rsidR="00EC4DAA" w:rsidRPr="00463B32">
        <w:t xml:space="preserve">. </w:t>
      </w:r>
      <w:r w:rsidRPr="00463B32">
        <w:t>En efecto, p</w:t>
      </w:r>
      <w:r w:rsidR="00EC4DAA" w:rsidRPr="00463B32">
        <w:t>or ejemplo</w:t>
      </w:r>
      <w:r w:rsidR="00D0264B">
        <w:t>,</w:t>
      </w:r>
      <w:r w:rsidR="00EC4DAA" w:rsidRPr="00463B32">
        <w:t xml:space="preserve"> </w:t>
      </w:r>
      <w:r w:rsidR="00441F69">
        <w:t>y yendo a lo más obvio</w:t>
      </w:r>
      <w:r w:rsidR="00D0264B">
        <w:t>,</w:t>
      </w:r>
      <w:r w:rsidR="00441F69">
        <w:t xml:space="preserve"> </w:t>
      </w:r>
      <w:r w:rsidR="00EC4DAA" w:rsidRPr="00463B32">
        <w:t xml:space="preserve">un mayor presupuesto </w:t>
      </w:r>
      <w:r w:rsidRPr="00463B32">
        <w:t>público</w:t>
      </w:r>
      <w:r w:rsidR="00EC4DAA" w:rsidRPr="00463B32">
        <w:t xml:space="preserve"> </w:t>
      </w:r>
      <w:r w:rsidRPr="00463B32">
        <w:t>asignado a la prevención</w:t>
      </w:r>
      <w:r w:rsidR="00A266C9">
        <w:t>, que implica un aumento de costo</w:t>
      </w:r>
      <w:r w:rsidR="00441F69">
        <w:t>s</w:t>
      </w:r>
      <w:r w:rsidR="00A266C9">
        <w:t>,</w:t>
      </w:r>
      <w:r w:rsidR="00EC4DAA" w:rsidRPr="00463B32">
        <w:t xml:space="preserve"> </w:t>
      </w:r>
      <w:r w:rsidRPr="00463B32">
        <w:t xml:space="preserve">seguramente reduzca el costo de seguridad privado y </w:t>
      </w:r>
      <w:r w:rsidR="00A266C9">
        <w:t xml:space="preserve">otros costos tangibles e </w:t>
      </w:r>
      <w:r w:rsidR="00EC4DAA" w:rsidRPr="00463B32">
        <w:t>intangibles</w:t>
      </w:r>
      <w:r w:rsidR="008B200B">
        <w:t>,</w:t>
      </w:r>
      <w:r w:rsidR="00EC4DAA" w:rsidRPr="00463B32">
        <w:t xml:space="preserve"> etc</w:t>
      </w:r>
      <w:r w:rsidRPr="00463B32">
        <w:t>.;</w:t>
      </w:r>
      <w:r w:rsidR="00EC4DAA" w:rsidRPr="00463B32">
        <w:t xml:space="preserve"> </w:t>
      </w:r>
      <w:r w:rsidRPr="00463B32">
        <w:t>una m</w:t>
      </w:r>
      <w:r w:rsidR="00EC4DAA" w:rsidRPr="00463B32">
        <w:t>ayor eficiencia policial p</w:t>
      </w:r>
      <w:r w:rsidRPr="00463B32">
        <w:t>odría</w:t>
      </w:r>
      <w:r w:rsidR="00A266C9">
        <w:t xml:space="preserve"> conducir a un aumento en los costos asociados a la población recluida (en la medida que aumente el número de recluidos) </w:t>
      </w:r>
      <w:r w:rsidR="00EC4DAA" w:rsidRPr="00463B32">
        <w:t>pero bajar costos por robos</w:t>
      </w:r>
      <w:r w:rsidR="00A266C9">
        <w:t>, etc. Por tanto</w:t>
      </w:r>
      <w:r w:rsidR="00441F69">
        <w:t>,</w:t>
      </w:r>
      <w:r w:rsidR="00A266C9">
        <w:t xml:space="preserve"> un análisis de la efectividad de políticas alternativas debería considerar efectos de </w:t>
      </w:r>
      <w:r w:rsidR="00A266C9" w:rsidRPr="00A266C9">
        <w:t>“</w:t>
      </w:r>
      <w:r w:rsidR="00A266C9">
        <w:t>equilibrio general”.</w:t>
      </w:r>
      <w:r w:rsidR="00775983">
        <w:tab/>
      </w:r>
      <w:r w:rsidR="00775983">
        <w:tab/>
      </w:r>
      <w:r w:rsidR="00775983">
        <w:tab/>
      </w:r>
      <w:r w:rsidR="00775983">
        <w:tab/>
      </w:r>
      <w:r w:rsidR="00775983">
        <w:tab/>
      </w:r>
      <w:r w:rsidR="00775983">
        <w:tab/>
      </w:r>
      <w:r w:rsidR="00775983">
        <w:tab/>
      </w:r>
      <w:r w:rsidR="00775983">
        <w:tab/>
      </w:r>
      <w:r w:rsidR="00775983">
        <w:tab/>
      </w:r>
      <w:r w:rsidR="00775983">
        <w:tab/>
      </w:r>
      <w:r w:rsidR="00775983">
        <w:tab/>
      </w:r>
      <w:r w:rsidR="00775983">
        <w:tab/>
      </w:r>
      <w:r w:rsidR="00775983">
        <w:tab/>
      </w:r>
      <w:r w:rsidR="00775983">
        <w:tab/>
      </w:r>
      <w:r w:rsidR="00775983">
        <w:tab/>
      </w:r>
      <w:r w:rsidR="00775983">
        <w:tab/>
      </w:r>
      <w:r w:rsidR="00775983">
        <w:tab/>
      </w:r>
      <w:r w:rsidR="00775983">
        <w:tab/>
      </w:r>
      <w:r w:rsidR="00775983">
        <w:tab/>
      </w:r>
      <w:r w:rsidR="00775983">
        <w:tab/>
      </w:r>
      <w:r w:rsidR="00775983">
        <w:tab/>
      </w:r>
      <w:r w:rsidR="00775983">
        <w:tab/>
      </w:r>
      <w:r w:rsidR="00B66B7E">
        <w:t>.</w:t>
      </w:r>
    </w:p>
    <w:p w:rsidR="00A942CB" w:rsidRDefault="00A942CB">
      <w:r>
        <w:br w:type="page"/>
      </w:r>
    </w:p>
    <w:p w:rsidR="00EB67AB" w:rsidRDefault="00EB67AB" w:rsidP="002C4191">
      <w:pPr>
        <w:rPr>
          <w:b/>
          <w:sz w:val="24"/>
        </w:rPr>
      </w:pPr>
      <w:r w:rsidRPr="004861C8">
        <w:rPr>
          <w:b/>
          <w:sz w:val="24"/>
        </w:rPr>
        <w:lastRenderedPageBreak/>
        <w:t>Bibliografía</w:t>
      </w:r>
      <w:r w:rsidR="003A7522" w:rsidRPr="004861C8">
        <w:rPr>
          <w:b/>
          <w:sz w:val="24"/>
        </w:rPr>
        <w:t xml:space="preserve">     </w:t>
      </w:r>
    </w:p>
    <w:p w:rsidR="009E6F01" w:rsidRDefault="009E6F01" w:rsidP="009E6F01">
      <w:pPr>
        <w:spacing w:line="240" w:lineRule="auto"/>
        <w:ind w:left="706" w:hanging="706"/>
        <w:jc w:val="both"/>
      </w:pPr>
      <w:r>
        <w:t>Aboal, D.,</w:t>
      </w:r>
      <w:r w:rsidRPr="00D57687">
        <w:t xml:space="preserve"> Lorenzo, F. </w:t>
      </w:r>
      <w:r>
        <w:t>y Perera, M. 2007</w:t>
      </w:r>
      <w:r w:rsidRPr="00D57687">
        <w:t xml:space="preserve">. </w:t>
      </w:r>
      <w:r w:rsidRPr="00B0694F">
        <w:t>“Crimen y Violencia en Uruguay</w:t>
      </w:r>
      <w:r>
        <w:t>”</w:t>
      </w:r>
      <w:r w:rsidRPr="00C24270">
        <w:t xml:space="preserve">.  </w:t>
      </w:r>
      <w:r w:rsidRPr="00552B41">
        <w:t>C</w:t>
      </w:r>
      <w:r>
        <w:t>omisión Sectorial de Investigación Científica:</w:t>
      </w:r>
      <w:r w:rsidRPr="00552B41">
        <w:t xml:space="preserve"> Universidad de la República</w:t>
      </w:r>
      <w:r>
        <w:t>, Uruguay</w:t>
      </w:r>
      <w:r w:rsidRPr="00552B41">
        <w:t>.</w:t>
      </w:r>
      <w:r>
        <w:t xml:space="preserve"> </w:t>
      </w:r>
    </w:p>
    <w:p w:rsidR="009E6F01" w:rsidRPr="00744660" w:rsidRDefault="009E6F01" w:rsidP="009E6F01">
      <w:pPr>
        <w:spacing w:line="240" w:lineRule="auto"/>
        <w:ind w:left="706" w:hanging="706"/>
        <w:jc w:val="both"/>
      </w:pPr>
      <w:r w:rsidRPr="00296D08">
        <w:t xml:space="preserve">Alda, E. </w:t>
      </w:r>
      <w:r>
        <w:t>y Cuesta, J. 2010</w:t>
      </w:r>
      <w:r w:rsidRPr="00296D08">
        <w:t xml:space="preserve">. </w:t>
      </w:r>
      <w:r w:rsidRPr="009E6F01">
        <w:t xml:space="preserve">“A comprehensive estimation of costs of crime in South Africa and its implications for effective </w:t>
      </w:r>
      <w:r>
        <w:t xml:space="preserve">policy making”. </w:t>
      </w:r>
      <w:r w:rsidRPr="00744660">
        <w:rPr>
          <w:i/>
        </w:rPr>
        <w:t>Journal of International Development</w:t>
      </w:r>
      <w:r w:rsidRPr="00744660">
        <w:t xml:space="preserve"> 23 (7): 926-935.</w:t>
      </w:r>
    </w:p>
    <w:p w:rsidR="008C164C" w:rsidRPr="008C164C" w:rsidRDefault="008C164C" w:rsidP="009E6F01">
      <w:pPr>
        <w:spacing w:line="240" w:lineRule="auto"/>
        <w:ind w:left="706" w:hanging="706"/>
        <w:jc w:val="both"/>
        <w:rPr>
          <w:lang w:val="es-ES"/>
        </w:rPr>
      </w:pPr>
      <w:r w:rsidRPr="008C164C">
        <w:rPr>
          <w:lang w:val="es-ES"/>
        </w:rPr>
        <w:t xml:space="preserve">Alvis, N. y Valenzuela, T. 2010. “Los QALYs </w:t>
      </w:r>
      <w:r>
        <w:rPr>
          <w:lang w:val="es-ES"/>
        </w:rPr>
        <w:t xml:space="preserve">y los DALYs como indicadores sintéticos de salud”. </w:t>
      </w:r>
      <w:r w:rsidRPr="008C164C">
        <w:rPr>
          <w:i/>
          <w:lang w:val="es-ES"/>
        </w:rPr>
        <w:t xml:space="preserve">Revista Médica de Chile </w:t>
      </w:r>
      <w:r>
        <w:rPr>
          <w:lang w:val="es-ES"/>
        </w:rPr>
        <w:t>138 (supl.2): 83-87.</w:t>
      </w:r>
    </w:p>
    <w:p w:rsidR="009E6F01" w:rsidRPr="00D0570C" w:rsidRDefault="009E6F01" w:rsidP="009E6F01">
      <w:pPr>
        <w:spacing w:line="240" w:lineRule="auto"/>
        <w:ind w:left="706" w:hanging="706"/>
        <w:jc w:val="both"/>
      </w:pPr>
      <w:r w:rsidRPr="00744660">
        <w:t xml:space="preserve">Anderson, D. 1999. </w:t>
      </w:r>
      <w:r>
        <w:t>“</w:t>
      </w:r>
      <w:r w:rsidRPr="00860D5E">
        <w:t>The Aggregate Burden of Crime</w:t>
      </w:r>
      <w:r>
        <w:t xml:space="preserve">”. </w:t>
      </w:r>
      <w:r w:rsidRPr="0045412C">
        <w:rPr>
          <w:i/>
        </w:rPr>
        <w:t>Journal of Law and Economics</w:t>
      </w:r>
      <w:r>
        <w:t xml:space="preserve"> 42 (2): 611-642.</w:t>
      </w:r>
    </w:p>
    <w:p w:rsidR="009E6F01" w:rsidRPr="009E6F01" w:rsidRDefault="009E6F01" w:rsidP="009E6F01">
      <w:pPr>
        <w:spacing w:line="240" w:lineRule="auto"/>
        <w:ind w:left="706" w:hanging="706"/>
        <w:jc w:val="both"/>
      </w:pPr>
      <w:r>
        <w:t>Atkinson, G.,</w:t>
      </w:r>
      <w:r w:rsidRPr="00D0570C">
        <w:t xml:space="preserve"> Healey, A. </w:t>
      </w:r>
      <w:r>
        <w:t>y Mourato, S. 2005</w:t>
      </w:r>
      <w:r w:rsidRPr="00D0570C">
        <w:t xml:space="preserve">. </w:t>
      </w:r>
      <w:r w:rsidRPr="00B0694F">
        <w:t>“Valuing the costs of violent crime: a stated preference approach”</w:t>
      </w:r>
      <w:r>
        <w:t xml:space="preserve">. </w:t>
      </w:r>
      <w:r w:rsidRPr="009E6F01">
        <w:rPr>
          <w:i/>
        </w:rPr>
        <w:t>Oxford Economic Papers</w:t>
      </w:r>
      <w:r w:rsidRPr="009E6F01">
        <w:t xml:space="preserve"> 57 (2005): 559-585.</w:t>
      </w:r>
    </w:p>
    <w:p w:rsidR="009E6F01" w:rsidRPr="00C82957" w:rsidRDefault="009E6F01" w:rsidP="009E6F01">
      <w:pPr>
        <w:spacing w:line="240" w:lineRule="auto"/>
        <w:ind w:left="706" w:hanging="706"/>
        <w:jc w:val="both"/>
      </w:pPr>
      <w:r w:rsidRPr="005077F9">
        <w:t>B</w:t>
      </w:r>
      <w:r>
        <w:t xml:space="preserve">anco </w:t>
      </w:r>
      <w:r w:rsidRPr="005077F9">
        <w:t>I</w:t>
      </w:r>
      <w:r>
        <w:t xml:space="preserve">nteramericano de </w:t>
      </w:r>
      <w:r w:rsidRPr="005077F9">
        <w:t>D</w:t>
      </w:r>
      <w:r>
        <w:t>esarrollo</w:t>
      </w:r>
      <w:r w:rsidRPr="005077F9">
        <w:t>.</w:t>
      </w:r>
      <w:r>
        <w:t xml:space="preserve"> 1998</w:t>
      </w:r>
      <w:r w:rsidRPr="005077F9">
        <w:t xml:space="preserve">. </w:t>
      </w:r>
      <w:r w:rsidRPr="00DC6B55">
        <w:t>“Análisis de la magnitud y costos</w:t>
      </w:r>
      <w:r>
        <w:t xml:space="preserve"> </w:t>
      </w:r>
      <w:r w:rsidRPr="00DC6B55">
        <w:t>de la violencia en la Ciudad de México</w:t>
      </w:r>
      <w:r>
        <w:t>”. Documento de trabajo del BID R-331. Washington, DC, Estados Unidos: Banco Interamericano de Desarrollo, Red de Centro de Investigación.</w:t>
      </w:r>
    </w:p>
    <w:p w:rsidR="009E6F01" w:rsidRPr="00744660" w:rsidRDefault="009E6F01" w:rsidP="009E6F01">
      <w:pPr>
        <w:spacing w:line="240" w:lineRule="auto"/>
        <w:ind w:left="706" w:hanging="706"/>
        <w:jc w:val="both"/>
      </w:pPr>
      <w:r w:rsidRPr="007B160B">
        <w:t>Bartley</w:t>
      </w:r>
      <w:r>
        <w:t>, W</w:t>
      </w:r>
      <w:r w:rsidRPr="007B160B">
        <w:t xml:space="preserve">. </w:t>
      </w:r>
      <w:r>
        <w:t xml:space="preserve">2000. </w:t>
      </w:r>
      <w:r w:rsidRPr="00B0694F">
        <w:t>“Valuation of Specific Crime Rates</w:t>
      </w:r>
      <w:r>
        <w:t>: Final Report</w:t>
      </w:r>
      <w:r w:rsidRPr="00B0694F">
        <w:t>”.</w:t>
      </w:r>
      <w:r>
        <w:t xml:space="preserve"> </w:t>
      </w:r>
      <w:r w:rsidRPr="00744660">
        <w:rPr>
          <w:sz w:val="23"/>
          <w:szCs w:val="23"/>
        </w:rPr>
        <w:t>Vanderbilt University, Estados Unidos. Mimeo.</w:t>
      </w:r>
    </w:p>
    <w:p w:rsidR="009E6F01" w:rsidRPr="00281F57" w:rsidRDefault="009E6F01" w:rsidP="009E6F01">
      <w:pPr>
        <w:spacing w:line="240" w:lineRule="auto"/>
        <w:ind w:left="706" w:hanging="706"/>
        <w:jc w:val="both"/>
      </w:pPr>
      <w:r w:rsidRPr="00744660">
        <w:t xml:space="preserve">Bishop, K. y Timmins, C. 2011. </w:t>
      </w:r>
      <w:r w:rsidRPr="00971DD7">
        <w:t xml:space="preserve">“Hedonic Prices and Implicit Markets: Consistent Estimation of Marginal Willingness to Pay for Differentiated Products without Exclusion Restrictions”. </w:t>
      </w:r>
      <w:r w:rsidRPr="00722126">
        <w:t>Nicholas Institute Working Paper</w:t>
      </w:r>
      <w:r>
        <w:t>. Durham, NC, Estados Unidos: Duke U</w:t>
      </w:r>
      <w:r w:rsidRPr="00722126">
        <w:t>n</w:t>
      </w:r>
      <w:r>
        <w:t>i</w:t>
      </w:r>
      <w:r w:rsidRPr="00722126">
        <w:t xml:space="preserve">versity. </w:t>
      </w:r>
      <w:r w:rsidRPr="00281F57">
        <w:t>Mimeo.</w:t>
      </w:r>
    </w:p>
    <w:p w:rsidR="009E6F01" w:rsidRPr="00552B41" w:rsidRDefault="009E6F01" w:rsidP="009E6F01">
      <w:pPr>
        <w:spacing w:line="240" w:lineRule="auto"/>
        <w:ind w:left="706" w:hanging="706"/>
        <w:jc w:val="both"/>
      </w:pPr>
      <w:r>
        <w:t xml:space="preserve">Borraz, F. y González, N. 2010. “Determinantes económicos y sociodemográficos de la delincuencia en Uruguay”. </w:t>
      </w:r>
      <w:r w:rsidRPr="00722126">
        <w:rPr>
          <w:i/>
        </w:rPr>
        <w:t>Bienestar y Política Social</w:t>
      </w:r>
      <w:r>
        <w:t xml:space="preserve"> 6 (2): 47-77</w:t>
      </w:r>
      <w:r w:rsidRPr="00552B41">
        <w:t>.</w:t>
      </w:r>
    </w:p>
    <w:p w:rsidR="009E6F01" w:rsidRPr="00722126" w:rsidRDefault="009E6F01" w:rsidP="009E6F01">
      <w:pPr>
        <w:spacing w:line="240" w:lineRule="auto"/>
        <w:ind w:left="706" w:hanging="706"/>
        <w:jc w:val="both"/>
      </w:pPr>
      <w:r w:rsidRPr="00552B41">
        <w:t xml:space="preserve">Brand, S. </w:t>
      </w:r>
      <w:r>
        <w:t xml:space="preserve">y Price, R. </w:t>
      </w:r>
      <w:r w:rsidRPr="00552B41">
        <w:t xml:space="preserve">2000. “The economic and social costs of crime”. </w:t>
      </w:r>
      <w:r w:rsidRPr="00722126">
        <w:t>Home Office Research Study 217. Londres, Reino Unido: Economics and Resource Analysis, Home Office.</w:t>
      </w:r>
    </w:p>
    <w:p w:rsidR="009E6F01" w:rsidRDefault="009E6F01" w:rsidP="009E6F01">
      <w:pPr>
        <w:spacing w:line="240" w:lineRule="auto"/>
        <w:ind w:left="706" w:hanging="706"/>
        <w:jc w:val="both"/>
      </w:pPr>
      <w:r>
        <w:t>Campanella, J. 2008. “</w:t>
      </w:r>
      <w:r w:rsidRPr="009C2CB0">
        <w:t>Una aproximación</w:t>
      </w:r>
      <w:r>
        <w:t xml:space="preserve"> </w:t>
      </w:r>
      <w:r w:rsidRPr="009C2CB0">
        <w:t>económica a los</w:t>
      </w:r>
      <w:r>
        <w:t xml:space="preserve"> </w:t>
      </w:r>
      <w:r w:rsidRPr="009C2CB0">
        <w:t>determinantes del delito</w:t>
      </w:r>
      <w:r>
        <w:t xml:space="preserve"> </w:t>
      </w:r>
      <w:r w:rsidRPr="009C2CB0">
        <w:t>en Montevideo en el</w:t>
      </w:r>
      <w:r>
        <w:t xml:space="preserve"> </w:t>
      </w:r>
      <w:r w:rsidRPr="009C2CB0">
        <w:t>período 1986-2005</w:t>
      </w:r>
      <w:r>
        <w:t xml:space="preserve">”. En: Paternain, R. y Sanseviero, R, compiladores. </w:t>
      </w:r>
      <w:r w:rsidRPr="00722126">
        <w:rPr>
          <w:i/>
        </w:rPr>
        <w:t>Violencia, Inseguridad y Miedos en Uruguay. ¿Qué tienen para decir las Ciencias Sociales?</w:t>
      </w:r>
      <w:r>
        <w:t xml:space="preserve">. Montevideo, Uruguay: Fundación </w:t>
      </w:r>
      <w:r w:rsidRPr="00722126">
        <w:t>Friedrich Ebert Stiftung</w:t>
      </w:r>
      <w:r>
        <w:t>.</w:t>
      </w:r>
    </w:p>
    <w:p w:rsidR="009E6F01" w:rsidRDefault="009E6F01" w:rsidP="009E6F01">
      <w:pPr>
        <w:spacing w:line="240" w:lineRule="auto"/>
        <w:ind w:left="706" w:hanging="706"/>
        <w:jc w:val="both"/>
      </w:pPr>
      <w:r>
        <w:t>Cohen, M y Piquero, A. 2008</w:t>
      </w:r>
      <w:r w:rsidRPr="002007A0">
        <w:t xml:space="preserve">. </w:t>
      </w:r>
      <w:r w:rsidRPr="00971DD7">
        <w:t xml:space="preserve">“New Evidence on the Monetary Value of Saving a High Risk Youth”. </w:t>
      </w:r>
      <w:r w:rsidRPr="00B92E24">
        <w:rPr>
          <w:i/>
        </w:rPr>
        <w:t>Journal of Quantitative Criminology</w:t>
      </w:r>
      <w:r w:rsidRPr="009F76A6">
        <w:t xml:space="preserve"> 25: 25-49.</w:t>
      </w:r>
      <w:r w:rsidRPr="00D93795">
        <w:t xml:space="preserve"> </w:t>
      </w:r>
    </w:p>
    <w:p w:rsidR="009E6F01" w:rsidRPr="008C5D1A" w:rsidRDefault="009E6F01" w:rsidP="009E6F01">
      <w:pPr>
        <w:spacing w:line="240" w:lineRule="auto"/>
        <w:ind w:left="706" w:hanging="706"/>
        <w:jc w:val="both"/>
      </w:pPr>
      <w:r w:rsidRPr="008C5D1A">
        <w:t xml:space="preserve">Dammert, L., Salazar, F., Montt, C. y González, P. 2009. </w:t>
      </w:r>
      <w:r>
        <w:t xml:space="preserve">“Crimen e Inseguridad. </w:t>
      </w:r>
      <w:r w:rsidRPr="007476AB">
        <w:t xml:space="preserve">Indicadores para las Américas”. </w:t>
      </w:r>
      <w:r w:rsidRPr="001B4E42">
        <w:rPr>
          <w:i/>
        </w:rPr>
        <w:t>Proyecto  Violencia y Criminalidad en América Latina y el Caribe</w:t>
      </w:r>
      <w:r w:rsidRPr="001B4E42">
        <w:t xml:space="preserve">. </w:t>
      </w:r>
      <w:r w:rsidRPr="008C5D1A">
        <w:t>Santiago, Chile: FLACSO‐Chile/Banco Interamericano de Desarrollo.</w:t>
      </w:r>
    </w:p>
    <w:p w:rsidR="009E6F01" w:rsidRPr="00B92E24" w:rsidRDefault="009E6F01" w:rsidP="009E6F01">
      <w:pPr>
        <w:spacing w:line="240" w:lineRule="auto"/>
        <w:ind w:left="706" w:hanging="706"/>
        <w:jc w:val="both"/>
      </w:pPr>
      <w:r w:rsidRPr="00B92E24">
        <w:t xml:space="preserve">Detotto, C. y Vannini, M. </w:t>
      </w:r>
      <w:r>
        <w:t>2010</w:t>
      </w:r>
      <w:r w:rsidRPr="00B92E24">
        <w:t xml:space="preserve">. </w:t>
      </w:r>
      <w:r w:rsidRPr="006223BA">
        <w:t>“Counting the Cost of Crime in Italy</w:t>
      </w:r>
      <w:r>
        <w:t xml:space="preserve">”. </w:t>
      </w:r>
      <w:r w:rsidRPr="00B92E24">
        <w:t>Centro Ricerche Economiche Nord Sud Working Paper 2010/13. Cagliari, Italia: Università di Cagliari, Universit</w:t>
      </w:r>
      <w:r>
        <w:t xml:space="preserve">à di Sassari. </w:t>
      </w:r>
    </w:p>
    <w:p w:rsidR="009E6F01" w:rsidRPr="009F76A6" w:rsidRDefault="009E6F01" w:rsidP="009E6F01">
      <w:pPr>
        <w:spacing w:line="240" w:lineRule="auto"/>
        <w:ind w:left="706" w:hanging="706"/>
        <w:jc w:val="both"/>
      </w:pPr>
      <w:r w:rsidRPr="00F24F16">
        <w:t xml:space="preserve">Dolan, P., Loomes, G., Peasgood, T. y Tsuchiya, A. 2005. </w:t>
      </w:r>
      <w:r>
        <w:t xml:space="preserve">“Estimating the Intangible Victim Costs of Violent Crime”. </w:t>
      </w:r>
      <w:r w:rsidRPr="00B92E24">
        <w:rPr>
          <w:i/>
        </w:rPr>
        <w:t>British Journal of Criminology</w:t>
      </w:r>
      <w:r w:rsidRPr="009F76A6">
        <w:t xml:space="preserve"> 45: 958-976.</w:t>
      </w:r>
    </w:p>
    <w:p w:rsidR="009E6F01" w:rsidRPr="00744660" w:rsidRDefault="009E6F01" w:rsidP="009E6F01">
      <w:pPr>
        <w:spacing w:line="240" w:lineRule="auto"/>
        <w:ind w:left="706" w:hanging="706"/>
        <w:jc w:val="both"/>
      </w:pPr>
      <w:r>
        <w:lastRenderedPageBreak/>
        <w:t>Donnangelo, J. 2006</w:t>
      </w:r>
      <w:r w:rsidRPr="009F76A6">
        <w:t xml:space="preserve">. </w:t>
      </w:r>
      <w:r>
        <w:t>“</w:t>
      </w:r>
      <w:r w:rsidRPr="007B160B">
        <w:t>E</w:t>
      </w:r>
      <w:r>
        <w:t xml:space="preserve">volución y patrones recientes de la criminalidad en Uruguay”. Reporte técnico del </w:t>
      </w:r>
      <w:r w:rsidRPr="00FB6D2E">
        <w:t xml:space="preserve"> </w:t>
      </w:r>
      <w:r>
        <w:t>Ministerio del Interior</w:t>
      </w:r>
      <w:r w:rsidRPr="003B04B8">
        <w:t>.</w:t>
      </w:r>
      <w:r>
        <w:t xml:space="preserve"> Montevideo, Uruguay: Ministerio del Interior. </w:t>
      </w:r>
      <w:r w:rsidRPr="00744660">
        <w:t>Mimeo.</w:t>
      </w:r>
    </w:p>
    <w:p w:rsidR="009E6F01" w:rsidRPr="00B92E24" w:rsidRDefault="009E6F01" w:rsidP="009E6F01">
      <w:pPr>
        <w:spacing w:line="240" w:lineRule="auto"/>
        <w:ind w:left="706" w:hanging="706"/>
        <w:jc w:val="both"/>
      </w:pPr>
      <w:r w:rsidRPr="00744660">
        <w:t xml:space="preserve">Gaviria, A., Medina, C., Morales, L. y Núñez, J. 2007. </w:t>
      </w:r>
      <w:r w:rsidRPr="009E6F01">
        <w:t xml:space="preserve">“The </w:t>
      </w:r>
      <w:r w:rsidRPr="00725B60">
        <w:t>Cost of Avoiding Crime: The Case of</w:t>
      </w:r>
      <w:r w:rsidRPr="005321F3">
        <w:t xml:space="preserve"> Bogotá”. </w:t>
      </w:r>
      <w:r w:rsidRPr="00B92E24">
        <w:t>Borradores de Economía 508. Bogotá, Colombia: Banco de la República de Colombia.</w:t>
      </w:r>
    </w:p>
    <w:p w:rsidR="009E6F01" w:rsidRPr="009F76A6" w:rsidRDefault="009E6F01" w:rsidP="009E6F01">
      <w:pPr>
        <w:spacing w:line="240" w:lineRule="auto"/>
        <w:ind w:left="706" w:hanging="706"/>
        <w:jc w:val="both"/>
      </w:pPr>
      <w:r>
        <w:t>Gerard, K. 1992</w:t>
      </w:r>
      <w:r w:rsidRPr="0020164F">
        <w:t xml:space="preserve">. </w:t>
      </w:r>
      <w:r>
        <w:t>“</w:t>
      </w:r>
      <w:r w:rsidRPr="0020164F">
        <w:t>Cost-utility in practice: A policy maker's guide to the state of the art</w:t>
      </w:r>
      <w:r>
        <w:t xml:space="preserve">”. </w:t>
      </w:r>
      <w:r w:rsidRPr="00F02A70">
        <w:rPr>
          <w:i/>
        </w:rPr>
        <w:t>Health Policy</w:t>
      </w:r>
      <w:r w:rsidRPr="009F76A6">
        <w:t xml:space="preserve"> 21: 249-279.</w:t>
      </w:r>
    </w:p>
    <w:p w:rsidR="009E6F01" w:rsidRDefault="009E6F01" w:rsidP="009E6F01">
      <w:pPr>
        <w:spacing w:line="240" w:lineRule="auto"/>
        <w:ind w:left="706" w:hanging="706"/>
        <w:jc w:val="both"/>
      </w:pPr>
      <w:r w:rsidRPr="000D0467">
        <w:t>Kaztman, R., Filgueira, F. y Errandonea, F.</w:t>
      </w:r>
      <w:r>
        <w:t xml:space="preserve"> 2004</w:t>
      </w:r>
      <w:r w:rsidRPr="000D0467">
        <w:t>. “La ciudad fragmentada: respuesta de los</w:t>
      </w:r>
      <w:r w:rsidRPr="0052042C">
        <w:t xml:space="preserve"> sectores populares urbanos a las transformaciones del mercado y el territorio en Montevideo”. Serie </w:t>
      </w:r>
      <w:r>
        <w:t xml:space="preserve">Documentos de Trabajo del Programa sobre Integración, Pobreza y Exclusión Social, </w:t>
      </w:r>
      <w:r w:rsidRPr="0052042C">
        <w:t xml:space="preserve">Colección Monitor Social del Uruguay Nº2. </w:t>
      </w:r>
      <w:r>
        <w:t>Montevideo, Uruguay: Universidad Católica del Uruguay.</w:t>
      </w:r>
    </w:p>
    <w:p w:rsidR="009E6F01" w:rsidRPr="0052042C" w:rsidRDefault="009E6F01" w:rsidP="009E6F01">
      <w:pPr>
        <w:spacing w:line="240" w:lineRule="auto"/>
        <w:ind w:left="706" w:hanging="706"/>
        <w:jc w:val="both"/>
      </w:pPr>
      <w:r>
        <w:t>Kaztman, R. 1997.</w:t>
      </w:r>
      <w:r w:rsidRPr="0052042C">
        <w:t xml:space="preserve"> “Marginalidad e Integración Social en Uruguay</w:t>
      </w:r>
      <w:r>
        <w:t>”.</w:t>
      </w:r>
      <w:r w:rsidRPr="0052042C">
        <w:t xml:space="preserve"> </w:t>
      </w:r>
      <w:r w:rsidRPr="000B6213">
        <w:rPr>
          <w:i/>
        </w:rPr>
        <w:t>Revista de la CEPAL</w:t>
      </w:r>
      <w:r w:rsidRPr="0052042C">
        <w:t xml:space="preserve"> 62</w:t>
      </w:r>
      <w:r>
        <w:t>: 91-117</w:t>
      </w:r>
      <w:r w:rsidRPr="0052042C">
        <w:t>.</w:t>
      </w:r>
    </w:p>
    <w:p w:rsidR="009E6F01" w:rsidRDefault="009E6F01" w:rsidP="009E6F01">
      <w:pPr>
        <w:spacing w:line="240" w:lineRule="auto"/>
        <w:ind w:left="706" w:hanging="706"/>
        <w:jc w:val="both"/>
      </w:pPr>
      <w:r w:rsidRPr="007476AB">
        <w:t xml:space="preserve">Londoño, J. </w:t>
      </w:r>
      <w:r>
        <w:t>y Guerrero, R. 1999</w:t>
      </w:r>
      <w:r w:rsidRPr="007476AB">
        <w:t xml:space="preserve">. </w:t>
      </w:r>
      <w:r w:rsidRPr="00F24982">
        <w:t xml:space="preserve">“Violencia en América Latina: Epidemiología y Costos”. </w:t>
      </w:r>
      <w:r>
        <w:t>Documento de trabajo del BID R-375. Washington, DC, Estados Unidos: Banco Interamericano de Desarrollo, Red de Centro de Investigación.</w:t>
      </w:r>
    </w:p>
    <w:p w:rsidR="009E6F01" w:rsidRDefault="009E6F01" w:rsidP="009E6F01">
      <w:pPr>
        <w:spacing w:line="240" w:lineRule="auto"/>
        <w:ind w:left="706" w:hanging="706"/>
        <w:jc w:val="both"/>
      </w:pPr>
      <w:r w:rsidRPr="009E6F01">
        <w:t xml:space="preserve">Ludwig, J. y Cook. P. 2001. </w:t>
      </w:r>
      <w:r>
        <w:t>“</w:t>
      </w:r>
      <w:r w:rsidRPr="00B31348">
        <w:t>The Benefits of Reducing Gun Violence:</w:t>
      </w:r>
      <w:r>
        <w:t xml:space="preserve"> </w:t>
      </w:r>
      <w:r w:rsidRPr="00B31348">
        <w:t xml:space="preserve">Evidence from </w:t>
      </w:r>
      <w:r w:rsidRPr="0052042C">
        <w:t xml:space="preserve">Contingent-Valuation Survey Data”. </w:t>
      </w:r>
      <w:r w:rsidRPr="00C82957">
        <w:rPr>
          <w:i/>
        </w:rPr>
        <w:t>The Journal of Risk and Uncertainty</w:t>
      </w:r>
      <w:r>
        <w:t xml:space="preserve"> 22 (3): 207-226</w:t>
      </w:r>
      <w:r w:rsidRPr="0052042C">
        <w:t>.</w:t>
      </w:r>
    </w:p>
    <w:p w:rsidR="009E6F01" w:rsidRPr="0052042C" w:rsidRDefault="009E6F01" w:rsidP="009E6F01">
      <w:pPr>
        <w:spacing w:line="240" w:lineRule="auto"/>
        <w:ind w:left="706" w:hanging="706"/>
        <w:jc w:val="both"/>
      </w:pPr>
      <w:r>
        <w:t xml:space="preserve">Mayhew, P. 2003. “Counting the Costs of Crime in Australia: Technical Report”. </w:t>
      </w:r>
      <w:r w:rsidRPr="006223BA">
        <w:t>Australian Institute of Criminology</w:t>
      </w:r>
      <w:r>
        <w:t xml:space="preserve">, </w:t>
      </w:r>
      <w:r w:rsidRPr="006223BA">
        <w:t>Technical and Background Paper Series</w:t>
      </w:r>
      <w:r>
        <w:t xml:space="preserve"> 4. Canberra, Australia: Australian Institute of Criminology. </w:t>
      </w:r>
    </w:p>
    <w:p w:rsidR="009E6F01" w:rsidRDefault="009E6F01" w:rsidP="009E6F01">
      <w:pPr>
        <w:spacing w:line="240" w:lineRule="auto"/>
        <w:ind w:left="706" w:hanging="706"/>
        <w:jc w:val="both"/>
      </w:pPr>
      <w:r w:rsidRPr="0052042C">
        <w:t xml:space="preserve">Mocan, H., Billups, S. </w:t>
      </w:r>
      <w:r>
        <w:t>y Overland, J. 2005</w:t>
      </w:r>
      <w:r w:rsidRPr="0052042C">
        <w:t xml:space="preserve">. “A Dynamic Model of Differential Human Capital and Criminal Activity”.  </w:t>
      </w:r>
      <w:r w:rsidRPr="00C82957">
        <w:rPr>
          <w:i/>
        </w:rPr>
        <w:t>Economica</w:t>
      </w:r>
      <w:r w:rsidRPr="0052042C">
        <w:t xml:space="preserve"> 72: 655-681.</w:t>
      </w:r>
    </w:p>
    <w:p w:rsidR="009E6F01" w:rsidRPr="00044208" w:rsidRDefault="009E6F01" w:rsidP="009E6F01">
      <w:pPr>
        <w:spacing w:line="240" w:lineRule="auto"/>
        <w:ind w:left="706" w:hanging="706"/>
        <w:jc w:val="both"/>
      </w:pPr>
      <w:r w:rsidRPr="008C164C">
        <w:rPr>
          <w:lang w:val="es-ES"/>
        </w:rPr>
        <w:t xml:space="preserve">Mocan, H.  y Bali, T. 2010. </w:t>
      </w:r>
      <w:r w:rsidRPr="00044208">
        <w:t xml:space="preserve">“Asymmetric crime cycles”. </w:t>
      </w:r>
      <w:r w:rsidRPr="00C82957">
        <w:rPr>
          <w:i/>
        </w:rPr>
        <w:t>The Review of Economics and Statistics</w:t>
      </w:r>
      <w:r>
        <w:t xml:space="preserve"> 92: </w:t>
      </w:r>
      <w:r w:rsidRPr="00044208">
        <w:t>899–911.</w:t>
      </w:r>
    </w:p>
    <w:p w:rsidR="009E6F01" w:rsidRPr="008F1D7A" w:rsidRDefault="009E6F01" w:rsidP="009E6F01">
      <w:pPr>
        <w:spacing w:line="240" w:lineRule="auto"/>
        <w:ind w:left="706" w:hanging="706"/>
        <w:jc w:val="both"/>
      </w:pPr>
      <w:r w:rsidRPr="00FB6D2E">
        <w:t>Munyo, I.</w:t>
      </w:r>
      <w:r>
        <w:t xml:space="preserve">  2011. “</w:t>
      </w:r>
      <w:r w:rsidRPr="00FB6D2E">
        <w:t>The Juvenile Crime Dilemma: The Case of Uruguay</w:t>
      </w:r>
      <w:r>
        <w:t>”. Montevideo, Uruguay: CERES</w:t>
      </w:r>
      <w:r w:rsidRPr="008F1D7A">
        <w:t>.</w:t>
      </w:r>
      <w:r>
        <w:t xml:space="preserve"> Mimeo</w:t>
      </w:r>
    </w:p>
    <w:p w:rsidR="009E6F01" w:rsidRPr="009E6F01" w:rsidRDefault="009E6F01" w:rsidP="009E6F01">
      <w:pPr>
        <w:spacing w:line="240" w:lineRule="auto"/>
        <w:ind w:left="706" w:hanging="706"/>
        <w:jc w:val="both"/>
      </w:pPr>
      <w:r w:rsidRPr="008F1D7A">
        <w:t xml:space="preserve">Nadal, J., Gordon, M., Iglesias, J. y </w:t>
      </w:r>
      <w:r>
        <w:t>Semeshenko V. 2010</w:t>
      </w:r>
      <w:r w:rsidRPr="008F1D7A">
        <w:t xml:space="preserve">. </w:t>
      </w:r>
      <w:r w:rsidRPr="00044208">
        <w:t xml:space="preserve">“Modelling the individual and collective dynamics of the propensity to offend”. </w:t>
      </w:r>
      <w:r w:rsidRPr="009E6F01">
        <w:rPr>
          <w:i/>
        </w:rPr>
        <w:t>European Journal of Applied Mathematics</w:t>
      </w:r>
      <w:r w:rsidRPr="009E6F01">
        <w:t xml:space="preserve"> 21: 421-440.</w:t>
      </w:r>
    </w:p>
    <w:p w:rsidR="009E6F01" w:rsidRDefault="009E6F01" w:rsidP="009E6F01">
      <w:pPr>
        <w:spacing w:line="240" w:lineRule="auto"/>
        <w:ind w:left="706" w:hanging="706"/>
        <w:jc w:val="both"/>
      </w:pPr>
      <w:r w:rsidRPr="00F24F16">
        <w:t xml:space="preserve">Patternain, R. 2008a. “Los espacios regionales del delito en Uruguay”. </w:t>
      </w:r>
      <w:r>
        <w:t xml:space="preserve">En: Paternain, R. y Sanseviero, R, compiladores. </w:t>
      </w:r>
      <w:r w:rsidRPr="00722126">
        <w:rPr>
          <w:i/>
        </w:rPr>
        <w:t>Violencia, Inseguridad y Miedos en Uruguay. ¿Qué tienen para decir las Ciencias Sociales?</w:t>
      </w:r>
      <w:r>
        <w:t xml:space="preserve">. Montevideo, Uruguay: Fundación </w:t>
      </w:r>
      <w:r w:rsidRPr="00722126">
        <w:t>Friedrich Ebert Stiftung</w:t>
      </w:r>
      <w:r>
        <w:t>.</w:t>
      </w:r>
    </w:p>
    <w:p w:rsidR="009E6F01" w:rsidRPr="00BA0CD5" w:rsidRDefault="009E6F01" w:rsidP="009E6F01">
      <w:pPr>
        <w:spacing w:line="240" w:lineRule="auto"/>
        <w:ind w:left="706" w:hanging="706"/>
        <w:jc w:val="both"/>
      </w:pPr>
      <w:r>
        <w:t xml:space="preserve">----. </w:t>
      </w:r>
      <w:r w:rsidRPr="00BA0CD5">
        <w:t>2008</w:t>
      </w:r>
      <w:r>
        <w:t>b</w:t>
      </w:r>
      <w:r w:rsidRPr="00BA0CD5">
        <w:t xml:space="preserve">. </w:t>
      </w:r>
      <w:r>
        <w:t>“</w:t>
      </w:r>
      <w:r w:rsidRPr="00BA0CD5">
        <w:t>Panorama d</w:t>
      </w:r>
      <w:r>
        <w:t>e la violencia, la criminalidad y la inseguridad en Uruguay. Datos tendencias y perspectivas”. Montevideo, Uruguay: Ministerio del Interior y Programa de las Naciones Unidas para el Desarrollo.</w:t>
      </w:r>
    </w:p>
    <w:p w:rsidR="009E6F01" w:rsidRPr="009F76A6" w:rsidRDefault="009E6F01" w:rsidP="009E6F01">
      <w:pPr>
        <w:spacing w:line="240" w:lineRule="auto"/>
        <w:ind w:left="706" w:hanging="706"/>
        <w:jc w:val="both"/>
      </w:pPr>
      <w:r w:rsidRPr="009F76A6">
        <w:rPr>
          <w:lang w:val="pt-BR"/>
        </w:rPr>
        <w:t xml:space="preserve">Rondon, V. y Andrade, M. </w:t>
      </w:r>
      <w:r>
        <w:rPr>
          <w:lang w:val="pt-BR"/>
        </w:rPr>
        <w:t>2003</w:t>
      </w:r>
      <w:r w:rsidRPr="009F76A6">
        <w:rPr>
          <w:lang w:val="pt-BR"/>
        </w:rPr>
        <w:t xml:space="preserve">. “Custos da criminalidade em Belo Horizonte”. </w:t>
      </w:r>
      <w:r w:rsidRPr="00D93795">
        <w:rPr>
          <w:i/>
        </w:rPr>
        <w:t>Economia, Nitéroi (RJ)</w:t>
      </w:r>
      <w:r w:rsidRPr="009F76A6">
        <w:t xml:space="preserve"> 4: 223-259.</w:t>
      </w:r>
    </w:p>
    <w:p w:rsidR="009E6F01" w:rsidRPr="006223BA" w:rsidRDefault="009E6F01" w:rsidP="009E6F01">
      <w:pPr>
        <w:spacing w:line="240" w:lineRule="auto"/>
        <w:ind w:left="706" w:hanging="706"/>
        <w:jc w:val="both"/>
      </w:pPr>
      <w:r>
        <w:lastRenderedPageBreak/>
        <w:t>Roper, T. y Thompson, A. 2006</w:t>
      </w:r>
      <w:r w:rsidRPr="006223BA">
        <w:t xml:space="preserve">. </w:t>
      </w:r>
      <w:r>
        <w:t>“</w:t>
      </w:r>
      <w:r w:rsidRPr="006223BA">
        <w:t>Estimating the costs of crime in</w:t>
      </w:r>
      <w:r>
        <w:t xml:space="preserve"> </w:t>
      </w:r>
      <w:r w:rsidRPr="006223BA">
        <w:t>New Zealand in 2003/04</w:t>
      </w:r>
      <w:r>
        <w:t>”. New Zealand Treasury Working Paper 06/04. Wellington, Nueva Zelanda: New Zealand Treasury.</w:t>
      </w:r>
    </w:p>
    <w:p w:rsidR="009E6F01" w:rsidRPr="009C2D82" w:rsidRDefault="009E6F01" w:rsidP="009E6F01">
      <w:pPr>
        <w:spacing w:line="240" w:lineRule="auto"/>
        <w:ind w:left="706" w:hanging="706"/>
        <w:jc w:val="both"/>
      </w:pPr>
      <w:r>
        <w:t>Soares, R. 2006</w:t>
      </w:r>
      <w:r w:rsidRPr="006223BA">
        <w:t xml:space="preserve">. </w:t>
      </w:r>
      <w:r>
        <w:t>“</w:t>
      </w:r>
      <w:r w:rsidRPr="009C2D82">
        <w:t>The welfare cost of violence across countries</w:t>
      </w:r>
      <w:r>
        <w:t xml:space="preserve">”. </w:t>
      </w:r>
      <w:r w:rsidRPr="00D93795">
        <w:rPr>
          <w:i/>
        </w:rPr>
        <w:t>Journal of Health Economics</w:t>
      </w:r>
      <w:r>
        <w:t xml:space="preserve"> 25: 821-846.</w:t>
      </w:r>
    </w:p>
    <w:p w:rsidR="009E6F01" w:rsidRPr="001B4E42" w:rsidRDefault="009E6F01" w:rsidP="009E6F01">
      <w:pPr>
        <w:spacing w:line="240" w:lineRule="auto"/>
        <w:ind w:left="706" w:hanging="706"/>
        <w:jc w:val="both"/>
        <w:rPr>
          <w:lang w:val="pt-BR"/>
        </w:rPr>
      </w:pPr>
      <w:r w:rsidRPr="009E6F01">
        <w:t xml:space="preserve">---. 2009. “Welfare Costs of Crime and Common Violence: A Critical Review”. </w:t>
      </w:r>
      <w:r w:rsidRPr="001B4E42">
        <w:rPr>
          <w:lang w:val="pt-BR"/>
        </w:rPr>
        <w:t>Texto para discusión 581. Río de Janeiro, Brasil: Pontifícia Universidade Católica do Rio de Janeiro.</w:t>
      </w:r>
    </w:p>
    <w:p w:rsidR="009E6F01" w:rsidRPr="009E6F01" w:rsidRDefault="009E6F01" w:rsidP="009E6F01">
      <w:pPr>
        <w:spacing w:line="240" w:lineRule="auto"/>
        <w:ind w:left="706" w:hanging="706"/>
        <w:jc w:val="both"/>
      </w:pPr>
      <w:r>
        <w:t>Trajtenberg, N. 2004</w:t>
      </w:r>
      <w:r w:rsidRPr="00037AD4">
        <w:t xml:space="preserve">. “Uvas amargas: La situación de los adolescentes privados de libertad en el Uruguay”. </w:t>
      </w:r>
      <w:r w:rsidRPr="009E6F01">
        <w:t>Montevideo, Uruguay: Mastergraf.</w:t>
      </w:r>
    </w:p>
    <w:p w:rsidR="009E6F01" w:rsidRPr="00744660" w:rsidRDefault="009E6F01" w:rsidP="009E6F01">
      <w:pPr>
        <w:spacing w:line="240" w:lineRule="auto"/>
        <w:ind w:left="706" w:hanging="706"/>
        <w:jc w:val="both"/>
      </w:pPr>
      <w:r w:rsidRPr="009E6F01">
        <w:t xml:space="preserve">Vergara, R. 2009. “Crime Prevention Programs: Evidence for a Developing Country”. </w:t>
      </w:r>
      <w:r w:rsidRPr="00744660">
        <w:t>Documento de trabajo 362.  Santiago, Chile: Pontificia Universidad Católica de Chile.</w:t>
      </w:r>
    </w:p>
    <w:p w:rsidR="009E6F01" w:rsidRPr="00744660" w:rsidRDefault="009E6F01" w:rsidP="009E6F01">
      <w:pPr>
        <w:spacing w:line="240" w:lineRule="auto"/>
        <w:ind w:left="706" w:hanging="706"/>
        <w:jc w:val="both"/>
      </w:pPr>
      <w:r w:rsidRPr="009E6F01">
        <w:t xml:space="preserve">Weinstein, M., Torrance, G., McGuire, A. 2009. “QALYs: The Basics”. </w:t>
      </w:r>
      <w:r w:rsidRPr="00744660">
        <w:rPr>
          <w:i/>
        </w:rPr>
        <w:t>Value in Health</w:t>
      </w:r>
      <w:r w:rsidRPr="00744660">
        <w:t xml:space="preserve"> 12 (1): S5-S9.</w:t>
      </w:r>
    </w:p>
    <w:p w:rsidR="00044208" w:rsidRPr="00744660" w:rsidRDefault="00044208" w:rsidP="00044208">
      <w:pPr>
        <w:autoSpaceDE w:val="0"/>
        <w:autoSpaceDN w:val="0"/>
        <w:adjustRightInd w:val="0"/>
        <w:spacing w:after="0" w:line="240" w:lineRule="auto"/>
      </w:pPr>
    </w:p>
    <w:p w:rsidR="00044208" w:rsidRPr="00744660" w:rsidRDefault="00044208" w:rsidP="003378CC">
      <w:pPr>
        <w:spacing w:line="240" w:lineRule="auto"/>
        <w:ind w:left="706" w:hanging="706"/>
        <w:jc w:val="both"/>
      </w:pPr>
    </w:p>
    <w:p w:rsidR="00ED11CC" w:rsidRPr="00744660" w:rsidRDefault="00ED11CC">
      <w:r w:rsidRPr="00744660">
        <w:br w:type="page"/>
      </w:r>
    </w:p>
    <w:p w:rsidR="00ED11CC" w:rsidRPr="00B66253" w:rsidRDefault="00ED11CC" w:rsidP="00ED11CC">
      <w:pPr>
        <w:rPr>
          <w:b/>
          <w:sz w:val="24"/>
        </w:rPr>
      </w:pPr>
      <w:r w:rsidRPr="00B66253">
        <w:rPr>
          <w:b/>
          <w:sz w:val="24"/>
        </w:rPr>
        <w:lastRenderedPageBreak/>
        <w:t>Anexo</w:t>
      </w:r>
      <w:r w:rsidR="0039425D">
        <w:rPr>
          <w:b/>
          <w:sz w:val="24"/>
        </w:rPr>
        <w:t xml:space="preserve"> 1. Cuadros</w:t>
      </w:r>
    </w:p>
    <w:p w:rsidR="00ED11CC" w:rsidRPr="00B66253" w:rsidRDefault="00ED11CC" w:rsidP="00ED11CC">
      <w:pPr>
        <w:rPr>
          <w:b/>
        </w:rPr>
      </w:pPr>
      <w:r>
        <w:rPr>
          <w:b/>
        </w:rPr>
        <w:t>Cuadro</w:t>
      </w:r>
      <w:r w:rsidRPr="00B66253">
        <w:rPr>
          <w:b/>
        </w:rPr>
        <w:t xml:space="preserve"> </w:t>
      </w:r>
      <w:r>
        <w:rPr>
          <w:b/>
        </w:rPr>
        <w:t>A.</w:t>
      </w:r>
      <w:r w:rsidRPr="00B66253">
        <w:rPr>
          <w:b/>
        </w:rPr>
        <w:t>1: Robos según Encuesta de Victimización</w:t>
      </w:r>
    </w:p>
    <w:tbl>
      <w:tblPr>
        <w:tblW w:w="7575" w:type="dxa"/>
        <w:tblInd w:w="55" w:type="dxa"/>
        <w:tblCellMar>
          <w:left w:w="70" w:type="dxa"/>
          <w:right w:w="70" w:type="dxa"/>
        </w:tblCellMar>
        <w:tblLook w:val="04A0" w:firstRow="1" w:lastRow="0" w:firstColumn="1" w:lastColumn="0" w:noHBand="0" w:noVBand="1"/>
      </w:tblPr>
      <w:tblGrid>
        <w:gridCol w:w="1940"/>
        <w:gridCol w:w="2260"/>
        <w:gridCol w:w="1200"/>
        <w:gridCol w:w="2175"/>
      </w:tblGrid>
      <w:tr w:rsidR="00B54574" w:rsidRPr="00631A7F" w:rsidTr="002010D1">
        <w:trPr>
          <w:trHeight w:val="315"/>
        </w:trPr>
        <w:tc>
          <w:tcPr>
            <w:tcW w:w="1940" w:type="dxa"/>
            <w:tcBorders>
              <w:top w:val="single" w:sz="4" w:space="0" w:color="auto"/>
              <w:bottom w:val="single" w:sz="4" w:space="0" w:color="auto"/>
            </w:tcBorders>
            <w:shd w:val="clear" w:color="auto" w:fill="auto"/>
            <w:noWrap/>
            <w:hideMark/>
          </w:tcPr>
          <w:p w:rsidR="00B54574" w:rsidRPr="00631A7F" w:rsidRDefault="00B54574" w:rsidP="0015719C">
            <w:pPr>
              <w:spacing w:after="0" w:line="240" w:lineRule="auto"/>
              <w:rPr>
                <w:rFonts w:ascii="Calibri" w:eastAsia="Times New Roman" w:hAnsi="Calibri" w:cs="Times New Roman"/>
                <w:b/>
                <w:bCs/>
                <w:color w:val="000000"/>
                <w:sz w:val="20"/>
                <w:szCs w:val="20"/>
                <w:lang w:val="es-ES" w:eastAsia="es-ES"/>
              </w:rPr>
            </w:pPr>
            <w:r w:rsidRPr="00631A7F">
              <w:rPr>
                <w:rFonts w:ascii="Calibri" w:eastAsia="Times New Roman" w:hAnsi="Calibri" w:cs="Times New Roman"/>
                <w:b/>
                <w:bCs/>
                <w:color w:val="000000"/>
                <w:sz w:val="20"/>
                <w:szCs w:val="20"/>
                <w:lang w:val="es-ES" w:eastAsia="es-ES"/>
              </w:rPr>
              <w:t>Ítem</w:t>
            </w:r>
          </w:p>
        </w:tc>
        <w:tc>
          <w:tcPr>
            <w:tcW w:w="2260" w:type="dxa"/>
            <w:tcBorders>
              <w:top w:val="single" w:sz="4" w:space="0" w:color="auto"/>
              <w:bottom w:val="single" w:sz="4" w:space="0" w:color="auto"/>
            </w:tcBorders>
            <w:shd w:val="clear" w:color="auto" w:fill="auto"/>
            <w:noWrap/>
            <w:hideMark/>
          </w:tcPr>
          <w:p w:rsidR="00B54574" w:rsidRPr="00631A7F" w:rsidRDefault="00B54574" w:rsidP="00D530EF">
            <w:pPr>
              <w:spacing w:after="0" w:line="240" w:lineRule="auto"/>
              <w:jc w:val="center"/>
              <w:rPr>
                <w:rFonts w:ascii="Calibri" w:eastAsia="Times New Roman" w:hAnsi="Calibri" w:cs="Times New Roman"/>
                <w:b/>
                <w:bCs/>
                <w:color w:val="000000"/>
                <w:sz w:val="20"/>
                <w:szCs w:val="20"/>
                <w:lang w:val="es-ES" w:eastAsia="es-ES"/>
              </w:rPr>
            </w:pPr>
            <w:r w:rsidRPr="00631A7F">
              <w:rPr>
                <w:rFonts w:ascii="Calibri" w:eastAsia="Times New Roman" w:hAnsi="Calibri" w:cs="Times New Roman"/>
                <w:b/>
                <w:bCs/>
                <w:color w:val="000000"/>
                <w:sz w:val="20"/>
                <w:szCs w:val="20"/>
                <w:lang w:val="es-ES" w:eastAsia="es-ES"/>
              </w:rPr>
              <w:t>N</w:t>
            </w:r>
            <w:r w:rsidR="00D530EF" w:rsidRPr="00631A7F">
              <w:rPr>
                <w:rFonts w:ascii="Calibri" w:eastAsia="Times New Roman" w:hAnsi="Calibri" w:cs="Times New Roman"/>
                <w:b/>
                <w:bCs/>
                <w:color w:val="000000"/>
                <w:sz w:val="20"/>
                <w:szCs w:val="20"/>
                <w:lang w:val="es-ES" w:eastAsia="es-ES"/>
              </w:rPr>
              <w:t>úmero de robos en encuesta</w:t>
            </w:r>
          </w:p>
        </w:tc>
        <w:tc>
          <w:tcPr>
            <w:tcW w:w="1200" w:type="dxa"/>
            <w:tcBorders>
              <w:top w:val="single" w:sz="4" w:space="0" w:color="auto"/>
              <w:bottom w:val="single" w:sz="4" w:space="0" w:color="auto"/>
            </w:tcBorders>
            <w:shd w:val="clear" w:color="auto" w:fill="auto"/>
            <w:noWrap/>
            <w:hideMark/>
          </w:tcPr>
          <w:p w:rsidR="00B54574" w:rsidRPr="00631A7F" w:rsidRDefault="00B54574" w:rsidP="00B54574">
            <w:pPr>
              <w:spacing w:after="0" w:line="240" w:lineRule="auto"/>
              <w:jc w:val="center"/>
              <w:rPr>
                <w:rFonts w:ascii="Calibri" w:eastAsia="Times New Roman" w:hAnsi="Calibri" w:cs="Times New Roman"/>
                <w:b/>
                <w:bCs/>
                <w:color w:val="000000"/>
                <w:sz w:val="20"/>
                <w:szCs w:val="20"/>
                <w:lang w:val="es-ES" w:eastAsia="es-ES"/>
              </w:rPr>
            </w:pPr>
            <w:r w:rsidRPr="00631A7F">
              <w:rPr>
                <w:rFonts w:ascii="Calibri" w:eastAsia="Times New Roman" w:hAnsi="Calibri" w:cs="Times New Roman"/>
                <w:b/>
                <w:bCs/>
                <w:color w:val="000000"/>
                <w:sz w:val="20"/>
                <w:szCs w:val="20"/>
                <w:lang w:val="es-ES" w:eastAsia="es-ES"/>
              </w:rPr>
              <w:t>% muestra</w:t>
            </w:r>
          </w:p>
        </w:tc>
        <w:tc>
          <w:tcPr>
            <w:tcW w:w="2175" w:type="dxa"/>
            <w:tcBorders>
              <w:top w:val="single" w:sz="4" w:space="0" w:color="auto"/>
              <w:bottom w:val="single" w:sz="4" w:space="0" w:color="auto"/>
            </w:tcBorders>
            <w:shd w:val="clear" w:color="auto" w:fill="auto"/>
            <w:noWrap/>
            <w:hideMark/>
          </w:tcPr>
          <w:p w:rsidR="00B54574" w:rsidRPr="00631A7F" w:rsidRDefault="00B54574" w:rsidP="00B54574">
            <w:pPr>
              <w:spacing w:after="0" w:line="240" w:lineRule="auto"/>
              <w:jc w:val="center"/>
              <w:rPr>
                <w:rFonts w:ascii="Calibri" w:eastAsia="Times New Roman" w:hAnsi="Calibri" w:cs="Times New Roman"/>
                <w:b/>
                <w:bCs/>
                <w:color w:val="000000"/>
                <w:sz w:val="20"/>
                <w:szCs w:val="20"/>
                <w:lang w:val="es-ES" w:eastAsia="es-ES"/>
              </w:rPr>
            </w:pPr>
            <w:r w:rsidRPr="00631A7F">
              <w:rPr>
                <w:rFonts w:ascii="Calibri" w:eastAsia="Times New Roman" w:hAnsi="Calibri" w:cs="Times New Roman"/>
                <w:b/>
                <w:bCs/>
                <w:color w:val="000000"/>
                <w:sz w:val="20"/>
                <w:szCs w:val="20"/>
                <w:lang w:val="es-ES" w:eastAsia="es-ES"/>
              </w:rPr>
              <w:t>Robos expandido</w:t>
            </w:r>
          </w:p>
        </w:tc>
      </w:tr>
      <w:tr w:rsidR="00B54574" w:rsidRPr="00631A7F" w:rsidTr="002010D1">
        <w:trPr>
          <w:trHeight w:val="300"/>
        </w:trPr>
        <w:tc>
          <w:tcPr>
            <w:tcW w:w="1940" w:type="dxa"/>
            <w:tcBorders>
              <w:top w:val="single" w:sz="4" w:space="0" w:color="auto"/>
            </w:tcBorders>
            <w:shd w:val="clear" w:color="auto" w:fill="auto"/>
            <w:noWrap/>
            <w:vAlign w:val="bottom"/>
            <w:hideMark/>
          </w:tcPr>
          <w:p w:rsidR="00B54574" w:rsidRPr="00631A7F" w:rsidRDefault="00B54574" w:rsidP="00B54574">
            <w:pPr>
              <w:spacing w:after="0" w:line="240" w:lineRule="auto"/>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Autos</w:t>
            </w:r>
          </w:p>
        </w:tc>
        <w:tc>
          <w:tcPr>
            <w:tcW w:w="2260" w:type="dxa"/>
            <w:tcBorders>
              <w:top w:val="single" w:sz="4" w:space="0" w:color="auto"/>
            </w:tcBorders>
            <w:shd w:val="clear" w:color="auto" w:fill="auto"/>
            <w:noWrap/>
            <w:vAlign w:val="bottom"/>
            <w:hideMark/>
          </w:tcPr>
          <w:p w:rsidR="00B54574" w:rsidRPr="00631A7F" w:rsidRDefault="00B54574" w:rsidP="00B54574">
            <w:pPr>
              <w:spacing w:after="0" w:line="240" w:lineRule="auto"/>
              <w:jc w:val="center"/>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5</w:t>
            </w:r>
          </w:p>
        </w:tc>
        <w:tc>
          <w:tcPr>
            <w:tcW w:w="1200" w:type="dxa"/>
            <w:tcBorders>
              <w:top w:val="single" w:sz="4" w:space="0" w:color="auto"/>
            </w:tcBorders>
            <w:shd w:val="clear" w:color="auto" w:fill="auto"/>
            <w:noWrap/>
            <w:vAlign w:val="bottom"/>
            <w:hideMark/>
          </w:tcPr>
          <w:p w:rsidR="00B54574" w:rsidRPr="00631A7F" w:rsidRDefault="00B54574" w:rsidP="00B54574">
            <w:pPr>
              <w:spacing w:after="0" w:line="240" w:lineRule="auto"/>
              <w:jc w:val="center"/>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0,33%</w:t>
            </w:r>
          </w:p>
        </w:tc>
        <w:tc>
          <w:tcPr>
            <w:tcW w:w="2175" w:type="dxa"/>
            <w:tcBorders>
              <w:top w:val="single" w:sz="4" w:space="0" w:color="auto"/>
            </w:tcBorders>
            <w:shd w:val="clear" w:color="auto" w:fill="auto"/>
            <w:noWrap/>
            <w:vAlign w:val="bottom"/>
            <w:hideMark/>
          </w:tcPr>
          <w:p w:rsidR="00B54574" w:rsidRPr="00631A7F" w:rsidRDefault="00B54574" w:rsidP="00B54574">
            <w:pPr>
              <w:spacing w:after="0" w:line="240" w:lineRule="auto"/>
              <w:jc w:val="center"/>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3.605,58</w:t>
            </w:r>
          </w:p>
        </w:tc>
      </w:tr>
      <w:tr w:rsidR="00B54574" w:rsidRPr="00631A7F" w:rsidTr="002010D1">
        <w:trPr>
          <w:trHeight w:val="300"/>
        </w:trPr>
        <w:tc>
          <w:tcPr>
            <w:tcW w:w="1940" w:type="dxa"/>
            <w:shd w:val="clear" w:color="auto" w:fill="auto"/>
            <w:noWrap/>
            <w:vAlign w:val="bottom"/>
            <w:hideMark/>
          </w:tcPr>
          <w:p w:rsidR="00B54574" w:rsidRPr="00631A7F" w:rsidRDefault="00B54574" w:rsidP="00B54574">
            <w:pPr>
              <w:spacing w:after="0" w:line="240" w:lineRule="auto"/>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Motos</w:t>
            </w:r>
          </w:p>
        </w:tc>
        <w:tc>
          <w:tcPr>
            <w:tcW w:w="2260" w:type="dxa"/>
            <w:shd w:val="clear" w:color="auto" w:fill="auto"/>
            <w:noWrap/>
            <w:vAlign w:val="bottom"/>
            <w:hideMark/>
          </w:tcPr>
          <w:p w:rsidR="00B54574" w:rsidRPr="00631A7F" w:rsidRDefault="00B54574" w:rsidP="00B54574">
            <w:pPr>
              <w:spacing w:after="0" w:line="240" w:lineRule="auto"/>
              <w:jc w:val="center"/>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69</w:t>
            </w:r>
          </w:p>
        </w:tc>
        <w:tc>
          <w:tcPr>
            <w:tcW w:w="1200" w:type="dxa"/>
            <w:shd w:val="clear" w:color="auto" w:fill="auto"/>
            <w:noWrap/>
            <w:vAlign w:val="bottom"/>
            <w:hideMark/>
          </w:tcPr>
          <w:p w:rsidR="00B54574" w:rsidRPr="00631A7F" w:rsidRDefault="00B54574" w:rsidP="00B54574">
            <w:pPr>
              <w:spacing w:after="0" w:line="240" w:lineRule="auto"/>
              <w:jc w:val="center"/>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4,50%</w:t>
            </w:r>
          </w:p>
        </w:tc>
        <w:tc>
          <w:tcPr>
            <w:tcW w:w="2175" w:type="dxa"/>
            <w:shd w:val="clear" w:color="auto" w:fill="auto"/>
            <w:noWrap/>
            <w:vAlign w:val="bottom"/>
            <w:hideMark/>
          </w:tcPr>
          <w:p w:rsidR="00B54574" w:rsidRPr="00631A7F" w:rsidRDefault="00B54574" w:rsidP="00B54574">
            <w:pPr>
              <w:spacing w:after="0" w:line="240" w:lineRule="auto"/>
              <w:jc w:val="center"/>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49.757,05</w:t>
            </w:r>
          </w:p>
        </w:tc>
      </w:tr>
      <w:tr w:rsidR="00B54574" w:rsidRPr="00631A7F" w:rsidTr="002010D1">
        <w:trPr>
          <w:trHeight w:val="300"/>
        </w:trPr>
        <w:tc>
          <w:tcPr>
            <w:tcW w:w="1940" w:type="dxa"/>
            <w:shd w:val="clear" w:color="auto" w:fill="auto"/>
            <w:noWrap/>
            <w:vAlign w:val="bottom"/>
            <w:hideMark/>
          </w:tcPr>
          <w:p w:rsidR="00B54574" w:rsidRPr="00631A7F" w:rsidRDefault="00B54574" w:rsidP="00B54574">
            <w:pPr>
              <w:spacing w:after="0" w:line="240" w:lineRule="auto"/>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Bicis</w:t>
            </w:r>
          </w:p>
        </w:tc>
        <w:tc>
          <w:tcPr>
            <w:tcW w:w="2260" w:type="dxa"/>
            <w:shd w:val="clear" w:color="auto" w:fill="auto"/>
            <w:noWrap/>
            <w:vAlign w:val="bottom"/>
            <w:hideMark/>
          </w:tcPr>
          <w:p w:rsidR="00B54574" w:rsidRPr="00631A7F" w:rsidRDefault="00B54574" w:rsidP="00B54574">
            <w:pPr>
              <w:spacing w:after="0" w:line="240" w:lineRule="auto"/>
              <w:jc w:val="center"/>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62</w:t>
            </w:r>
          </w:p>
        </w:tc>
        <w:tc>
          <w:tcPr>
            <w:tcW w:w="1200" w:type="dxa"/>
            <w:shd w:val="clear" w:color="auto" w:fill="auto"/>
            <w:noWrap/>
            <w:vAlign w:val="bottom"/>
            <w:hideMark/>
          </w:tcPr>
          <w:p w:rsidR="00B54574" w:rsidRPr="00631A7F" w:rsidRDefault="00B54574" w:rsidP="00B54574">
            <w:pPr>
              <w:spacing w:after="0" w:line="240" w:lineRule="auto"/>
              <w:jc w:val="center"/>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4,04%</w:t>
            </w:r>
          </w:p>
        </w:tc>
        <w:tc>
          <w:tcPr>
            <w:tcW w:w="2175" w:type="dxa"/>
            <w:shd w:val="clear" w:color="auto" w:fill="auto"/>
            <w:noWrap/>
            <w:vAlign w:val="bottom"/>
            <w:hideMark/>
          </w:tcPr>
          <w:p w:rsidR="00B54574" w:rsidRPr="00631A7F" w:rsidRDefault="00B54574" w:rsidP="00B54574">
            <w:pPr>
              <w:spacing w:after="0" w:line="240" w:lineRule="auto"/>
              <w:jc w:val="center"/>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44.709,23</w:t>
            </w:r>
          </w:p>
        </w:tc>
      </w:tr>
      <w:tr w:rsidR="00B54574" w:rsidRPr="00631A7F" w:rsidTr="002010D1">
        <w:trPr>
          <w:trHeight w:val="300"/>
        </w:trPr>
        <w:tc>
          <w:tcPr>
            <w:tcW w:w="1940" w:type="dxa"/>
            <w:shd w:val="clear" w:color="auto" w:fill="auto"/>
            <w:noWrap/>
            <w:vAlign w:val="bottom"/>
            <w:hideMark/>
          </w:tcPr>
          <w:p w:rsidR="00B54574" w:rsidRPr="00631A7F" w:rsidRDefault="00B54574" w:rsidP="00B54574">
            <w:pPr>
              <w:spacing w:after="0" w:line="240" w:lineRule="auto"/>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Dinero</w:t>
            </w:r>
          </w:p>
        </w:tc>
        <w:tc>
          <w:tcPr>
            <w:tcW w:w="2260" w:type="dxa"/>
            <w:shd w:val="clear" w:color="auto" w:fill="auto"/>
            <w:noWrap/>
            <w:vAlign w:val="bottom"/>
            <w:hideMark/>
          </w:tcPr>
          <w:p w:rsidR="00B54574" w:rsidRPr="00631A7F" w:rsidRDefault="00B54574" w:rsidP="00B54574">
            <w:pPr>
              <w:spacing w:after="0" w:line="240" w:lineRule="auto"/>
              <w:jc w:val="center"/>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74</w:t>
            </w:r>
          </w:p>
        </w:tc>
        <w:tc>
          <w:tcPr>
            <w:tcW w:w="1200" w:type="dxa"/>
            <w:shd w:val="clear" w:color="auto" w:fill="auto"/>
            <w:noWrap/>
            <w:vAlign w:val="bottom"/>
            <w:hideMark/>
          </w:tcPr>
          <w:p w:rsidR="00B54574" w:rsidRPr="00631A7F" w:rsidRDefault="00B54574" w:rsidP="00B54574">
            <w:pPr>
              <w:spacing w:after="0" w:line="240" w:lineRule="auto"/>
              <w:jc w:val="center"/>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4,82%</w:t>
            </w:r>
          </w:p>
        </w:tc>
        <w:tc>
          <w:tcPr>
            <w:tcW w:w="2175" w:type="dxa"/>
            <w:shd w:val="clear" w:color="auto" w:fill="auto"/>
            <w:noWrap/>
            <w:vAlign w:val="bottom"/>
            <w:hideMark/>
          </w:tcPr>
          <w:p w:rsidR="00B54574" w:rsidRPr="00631A7F" w:rsidRDefault="00B54574" w:rsidP="00B54574">
            <w:pPr>
              <w:spacing w:after="0" w:line="240" w:lineRule="auto"/>
              <w:jc w:val="center"/>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53.362,63</w:t>
            </w:r>
          </w:p>
        </w:tc>
      </w:tr>
      <w:tr w:rsidR="00B54574" w:rsidRPr="00631A7F" w:rsidTr="002010D1">
        <w:trPr>
          <w:trHeight w:val="300"/>
        </w:trPr>
        <w:tc>
          <w:tcPr>
            <w:tcW w:w="1940" w:type="dxa"/>
            <w:shd w:val="clear" w:color="auto" w:fill="auto"/>
            <w:noWrap/>
            <w:vAlign w:val="bottom"/>
            <w:hideMark/>
          </w:tcPr>
          <w:p w:rsidR="00B54574" w:rsidRPr="00631A7F" w:rsidRDefault="00B54574" w:rsidP="00B54574">
            <w:pPr>
              <w:spacing w:after="0" w:line="240" w:lineRule="auto"/>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Joyas</w:t>
            </w:r>
          </w:p>
        </w:tc>
        <w:tc>
          <w:tcPr>
            <w:tcW w:w="2260" w:type="dxa"/>
            <w:shd w:val="clear" w:color="auto" w:fill="auto"/>
            <w:noWrap/>
            <w:vAlign w:val="bottom"/>
            <w:hideMark/>
          </w:tcPr>
          <w:p w:rsidR="00B54574" w:rsidRPr="00631A7F" w:rsidRDefault="00B54574" w:rsidP="00B54574">
            <w:pPr>
              <w:spacing w:after="0" w:line="240" w:lineRule="auto"/>
              <w:jc w:val="center"/>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38</w:t>
            </w:r>
          </w:p>
        </w:tc>
        <w:tc>
          <w:tcPr>
            <w:tcW w:w="1200" w:type="dxa"/>
            <w:shd w:val="clear" w:color="auto" w:fill="auto"/>
            <w:noWrap/>
            <w:vAlign w:val="bottom"/>
            <w:hideMark/>
          </w:tcPr>
          <w:p w:rsidR="00B54574" w:rsidRPr="00631A7F" w:rsidRDefault="00B54574" w:rsidP="00B54574">
            <w:pPr>
              <w:spacing w:after="0" w:line="240" w:lineRule="auto"/>
              <w:jc w:val="center"/>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2,48%</w:t>
            </w:r>
          </w:p>
        </w:tc>
        <w:tc>
          <w:tcPr>
            <w:tcW w:w="2175" w:type="dxa"/>
            <w:shd w:val="clear" w:color="auto" w:fill="auto"/>
            <w:noWrap/>
            <w:vAlign w:val="bottom"/>
            <w:hideMark/>
          </w:tcPr>
          <w:p w:rsidR="00B54574" w:rsidRPr="00631A7F" w:rsidRDefault="00B54574" w:rsidP="00B54574">
            <w:pPr>
              <w:spacing w:after="0" w:line="240" w:lineRule="auto"/>
              <w:jc w:val="center"/>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27.402,43</w:t>
            </w:r>
          </w:p>
        </w:tc>
      </w:tr>
      <w:tr w:rsidR="00B54574" w:rsidRPr="00631A7F" w:rsidTr="002010D1">
        <w:trPr>
          <w:trHeight w:val="300"/>
        </w:trPr>
        <w:tc>
          <w:tcPr>
            <w:tcW w:w="1940" w:type="dxa"/>
            <w:shd w:val="clear" w:color="auto" w:fill="auto"/>
            <w:noWrap/>
            <w:vAlign w:val="bottom"/>
            <w:hideMark/>
          </w:tcPr>
          <w:p w:rsidR="00B54574" w:rsidRPr="00631A7F" w:rsidRDefault="00B54574" w:rsidP="00B54574">
            <w:pPr>
              <w:spacing w:after="0" w:line="240" w:lineRule="auto"/>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Ropa</w:t>
            </w:r>
          </w:p>
        </w:tc>
        <w:tc>
          <w:tcPr>
            <w:tcW w:w="2260" w:type="dxa"/>
            <w:shd w:val="clear" w:color="auto" w:fill="auto"/>
            <w:noWrap/>
            <w:vAlign w:val="bottom"/>
            <w:hideMark/>
          </w:tcPr>
          <w:p w:rsidR="00B54574" w:rsidRPr="00631A7F" w:rsidRDefault="00B54574" w:rsidP="00B54574">
            <w:pPr>
              <w:spacing w:after="0" w:line="240" w:lineRule="auto"/>
              <w:jc w:val="center"/>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107</w:t>
            </w:r>
          </w:p>
        </w:tc>
        <w:tc>
          <w:tcPr>
            <w:tcW w:w="1200" w:type="dxa"/>
            <w:shd w:val="clear" w:color="auto" w:fill="auto"/>
            <w:noWrap/>
            <w:vAlign w:val="bottom"/>
            <w:hideMark/>
          </w:tcPr>
          <w:p w:rsidR="00B54574" w:rsidRPr="00631A7F" w:rsidRDefault="00B54574" w:rsidP="00B54574">
            <w:pPr>
              <w:spacing w:after="0" w:line="240" w:lineRule="auto"/>
              <w:jc w:val="center"/>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6,98%</w:t>
            </w:r>
          </w:p>
        </w:tc>
        <w:tc>
          <w:tcPr>
            <w:tcW w:w="2175" w:type="dxa"/>
            <w:shd w:val="clear" w:color="auto" w:fill="auto"/>
            <w:noWrap/>
            <w:vAlign w:val="bottom"/>
            <w:hideMark/>
          </w:tcPr>
          <w:p w:rsidR="00B54574" w:rsidRPr="00631A7F" w:rsidRDefault="00B54574" w:rsidP="00B54574">
            <w:pPr>
              <w:spacing w:after="0" w:line="240" w:lineRule="auto"/>
              <w:jc w:val="center"/>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77.159,49</w:t>
            </w:r>
          </w:p>
        </w:tc>
      </w:tr>
      <w:tr w:rsidR="00B54574" w:rsidRPr="00631A7F" w:rsidTr="002010D1">
        <w:trPr>
          <w:trHeight w:val="300"/>
        </w:trPr>
        <w:tc>
          <w:tcPr>
            <w:tcW w:w="1940" w:type="dxa"/>
            <w:shd w:val="clear" w:color="auto" w:fill="auto"/>
            <w:noWrap/>
            <w:vAlign w:val="bottom"/>
            <w:hideMark/>
          </w:tcPr>
          <w:p w:rsidR="00B54574" w:rsidRPr="00631A7F" w:rsidRDefault="00B54574" w:rsidP="00B54574">
            <w:pPr>
              <w:spacing w:after="0" w:line="240" w:lineRule="auto"/>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TV</w:t>
            </w:r>
          </w:p>
        </w:tc>
        <w:tc>
          <w:tcPr>
            <w:tcW w:w="2260" w:type="dxa"/>
            <w:shd w:val="clear" w:color="auto" w:fill="auto"/>
            <w:noWrap/>
            <w:vAlign w:val="bottom"/>
            <w:hideMark/>
          </w:tcPr>
          <w:p w:rsidR="00B54574" w:rsidRPr="00631A7F" w:rsidRDefault="00B54574" w:rsidP="00B54574">
            <w:pPr>
              <w:spacing w:after="0" w:line="240" w:lineRule="auto"/>
              <w:jc w:val="center"/>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55</w:t>
            </w:r>
          </w:p>
        </w:tc>
        <w:tc>
          <w:tcPr>
            <w:tcW w:w="1200" w:type="dxa"/>
            <w:shd w:val="clear" w:color="auto" w:fill="auto"/>
            <w:noWrap/>
            <w:vAlign w:val="bottom"/>
            <w:hideMark/>
          </w:tcPr>
          <w:p w:rsidR="00B54574" w:rsidRPr="00631A7F" w:rsidRDefault="00B54574" w:rsidP="00B54574">
            <w:pPr>
              <w:spacing w:after="0" w:line="240" w:lineRule="auto"/>
              <w:jc w:val="center"/>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3,59%</w:t>
            </w:r>
          </w:p>
        </w:tc>
        <w:tc>
          <w:tcPr>
            <w:tcW w:w="2175" w:type="dxa"/>
            <w:shd w:val="clear" w:color="auto" w:fill="auto"/>
            <w:noWrap/>
            <w:vAlign w:val="bottom"/>
            <w:hideMark/>
          </w:tcPr>
          <w:p w:rsidR="00B54574" w:rsidRPr="00631A7F" w:rsidRDefault="00B54574" w:rsidP="00B54574">
            <w:pPr>
              <w:spacing w:after="0" w:line="240" w:lineRule="auto"/>
              <w:jc w:val="center"/>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39.661,42</w:t>
            </w:r>
          </w:p>
        </w:tc>
      </w:tr>
      <w:tr w:rsidR="00B54574" w:rsidRPr="00631A7F" w:rsidTr="002010D1">
        <w:trPr>
          <w:trHeight w:val="300"/>
        </w:trPr>
        <w:tc>
          <w:tcPr>
            <w:tcW w:w="1940" w:type="dxa"/>
            <w:shd w:val="clear" w:color="auto" w:fill="auto"/>
            <w:noWrap/>
            <w:vAlign w:val="bottom"/>
            <w:hideMark/>
          </w:tcPr>
          <w:p w:rsidR="00B54574" w:rsidRPr="00631A7F" w:rsidRDefault="00B54574" w:rsidP="00B54574">
            <w:pPr>
              <w:spacing w:after="0" w:line="240" w:lineRule="auto"/>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DVD</w:t>
            </w:r>
          </w:p>
        </w:tc>
        <w:tc>
          <w:tcPr>
            <w:tcW w:w="2260" w:type="dxa"/>
            <w:shd w:val="clear" w:color="auto" w:fill="auto"/>
            <w:noWrap/>
            <w:vAlign w:val="bottom"/>
            <w:hideMark/>
          </w:tcPr>
          <w:p w:rsidR="00B54574" w:rsidRPr="00631A7F" w:rsidRDefault="00B54574" w:rsidP="00B54574">
            <w:pPr>
              <w:spacing w:after="0" w:line="240" w:lineRule="auto"/>
              <w:jc w:val="center"/>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44</w:t>
            </w:r>
          </w:p>
        </w:tc>
        <w:tc>
          <w:tcPr>
            <w:tcW w:w="1200" w:type="dxa"/>
            <w:shd w:val="clear" w:color="auto" w:fill="auto"/>
            <w:noWrap/>
            <w:vAlign w:val="bottom"/>
            <w:hideMark/>
          </w:tcPr>
          <w:p w:rsidR="00B54574" w:rsidRPr="00631A7F" w:rsidRDefault="00B54574" w:rsidP="00B54574">
            <w:pPr>
              <w:spacing w:after="0" w:line="240" w:lineRule="auto"/>
              <w:jc w:val="center"/>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2,87%</w:t>
            </w:r>
          </w:p>
        </w:tc>
        <w:tc>
          <w:tcPr>
            <w:tcW w:w="2175" w:type="dxa"/>
            <w:shd w:val="clear" w:color="auto" w:fill="auto"/>
            <w:noWrap/>
            <w:vAlign w:val="bottom"/>
            <w:hideMark/>
          </w:tcPr>
          <w:p w:rsidR="00B54574" w:rsidRPr="00631A7F" w:rsidRDefault="00B54574" w:rsidP="00B54574">
            <w:pPr>
              <w:spacing w:after="0" w:line="240" w:lineRule="auto"/>
              <w:jc w:val="center"/>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31.729,13</w:t>
            </w:r>
          </w:p>
        </w:tc>
      </w:tr>
      <w:tr w:rsidR="00B54574" w:rsidRPr="00631A7F" w:rsidTr="002010D1">
        <w:trPr>
          <w:trHeight w:val="315"/>
        </w:trPr>
        <w:tc>
          <w:tcPr>
            <w:tcW w:w="1940" w:type="dxa"/>
            <w:shd w:val="clear" w:color="auto" w:fill="auto"/>
            <w:noWrap/>
            <w:vAlign w:val="bottom"/>
            <w:hideMark/>
          </w:tcPr>
          <w:p w:rsidR="00B54574" w:rsidRPr="00631A7F" w:rsidRDefault="00B54574" w:rsidP="00B54574">
            <w:pPr>
              <w:spacing w:after="0" w:line="240" w:lineRule="auto"/>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Equipo de audio</w:t>
            </w:r>
          </w:p>
        </w:tc>
        <w:tc>
          <w:tcPr>
            <w:tcW w:w="2260" w:type="dxa"/>
            <w:shd w:val="clear" w:color="auto" w:fill="auto"/>
            <w:noWrap/>
            <w:vAlign w:val="bottom"/>
            <w:hideMark/>
          </w:tcPr>
          <w:p w:rsidR="00B54574" w:rsidRPr="00631A7F" w:rsidRDefault="00B54574" w:rsidP="00B54574">
            <w:pPr>
              <w:spacing w:after="0" w:line="240" w:lineRule="auto"/>
              <w:jc w:val="center"/>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57</w:t>
            </w:r>
          </w:p>
        </w:tc>
        <w:tc>
          <w:tcPr>
            <w:tcW w:w="1200" w:type="dxa"/>
            <w:shd w:val="clear" w:color="auto" w:fill="auto"/>
            <w:noWrap/>
            <w:vAlign w:val="bottom"/>
            <w:hideMark/>
          </w:tcPr>
          <w:p w:rsidR="00B54574" w:rsidRPr="00631A7F" w:rsidRDefault="00B54574" w:rsidP="00B54574">
            <w:pPr>
              <w:spacing w:after="0" w:line="240" w:lineRule="auto"/>
              <w:jc w:val="center"/>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3,72%</w:t>
            </w:r>
          </w:p>
        </w:tc>
        <w:tc>
          <w:tcPr>
            <w:tcW w:w="2175" w:type="dxa"/>
            <w:shd w:val="clear" w:color="auto" w:fill="auto"/>
            <w:noWrap/>
            <w:vAlign w:val="bottom"/>
            <w:hideMark/>
          </w:tcPr>
          <w:p w:rsidR="00B54574" w:rsidRPr="00631A7F" w:rsidRDefault="00B54574" w:rsidP="00B54574">
            <w:pPr>
              <w:spacing w:after="0" w:line="240" w:lineRule="auto"/>
              <w:jc w:val="center"/>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41.103,65</w:t>
            </w:r>
          </w:p>
        </w:tc>
      </w:tr>
      <w:tr w:rsidR="00B54574" w:rsidRPr="00631A7F" w:rsidTr="002010D1">
        <w:trPr>
          <w:trHeight w:val="315"/>
        </w:trPr>
        <w:tc>
          <w:tcPr>
            <w:tcW w:w="1940" w:type="dxa"/>
            <w:shd w:val="clear" w:color="auto" w:fill="auto"/>
            <w:noWrap/>
            <w:vAlign w:val="bottom"/>
            <w:hideMark/>
          </w:tcPr>
          <w:p w:rsidR="00B54574" w:rsidRPr="00631A7F" w:rsidRDefault="00F71AA6" w:rsidP="00B54574">
            <w:pPr>
              <w:spacing w:after="0" w:line="240" w:lineRule="auto"/>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Cámara</w:t>
            </w:r>
            <w:r w:rsidR="00B54574" w:rsidRPr="00631A7F">
              <w:rPr>
                <w:rFonts w:ascii="Calibri" w:eastAsia="Times New Roman" w:hAnsi="Calibri" w:cs="Times New Roman"/>
                <w:color w:val="000000"/>
                <w:sz w:val="20"/>
                <w:szCs w:val="20"/>
                <w:lang w:val="es-ES" w:eastAsia="es-ES"/>
              </w:rPr>
              <w:t xml:space="preserve"> fotos</w:t>
            </w:r>
          </w:p>
        </w:tc>
        <w:tc>
          <w:tcPr>
            <w:tcW w:w="2260" w:type="dxa"/>
            <w:shd w:val="clear" w:color="auto" w:fill="auto"/>
            <w:noWrap/>
            <w:vAlign w:val="bottom"/>
            <w:hideMark/>
          </w:tcPr>
          <w:p w:rsidR="00B54574" w:rsidRPr="00631A7F" w:rsidRDefault="00B54574" w:rsidP="00B54574">
            <w:pPr>
              <w:spacing w:after="0" w:line="240" w:lineRule="auto"/>
              <w:jc w:val="center"/>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31</w:t>
            </w:r>
          </w:p>
        </w:tc>
        <w:tc>
          <w:tcPr>
            <w:tcW w:w="1200" w:type="dxa"/>
            <w:shd w:val="clear" w:color="auto" w:fill="auto"/>
            <w:noWrap/>
            <w:vAlign w:val="bottom"/>
            <w:hideMark/>
          </w:tcPr>
          <w:p w:rsidR="00B54574" w:rsidRPr="00631A7F" w:rsidRDefault="00B54574" w:rsidP="00B54574">
            <w:pPr>
              <w:spacing w:after="0" w:line="240" w:lineRule="auto"/>
              <w:jc w:val="center"/>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2,02%</w:t>
            </w:r>
          </w:p>
        </w:tc>
        <w:tc>
          <w:tcPr>
            <w:tcW w:w="2175" w:type="dxa"/>
            <w:shd w:val="clear" w:color="auto" w:fill="auto"/>
            <w:noWrap/>
            <w:vAlign w:val="bottom"/>
            <w:hideMark/>
          </w:tcPr>
          <w:p w:rsidR="00B54574" w:rsidRPr="00631A7F" w:rsidRDefault="00B54574" w:rsidP="00B54574">
            <w:pPr>
              <w:spacing w:after="0" w:line="240" w:lineRule="auto"/>
              <w:jc w:val="center"/>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22.354,62</w:t>
            </w:r>
          </w:p>
        </w:tc>
      </w:tr>
      <w:tr w:rsidR="00B54574" w:rsidRPr="00631A7F" w:rsidTr="002010D1">
        <w:trPr>
          <w:trHeight w:val="300"/>
        </w:trPr>
        <w:tc>
          <w:tcPr>
            <w:tcW w:w="1940" w:type="dxa"/>
            <w:shd w:val="clear" w:color="auto" w:fill="auto"/>
            <w:noWrap/>
            <w:vAlign w:val="bottom"/>
            <w:hideMark/>
          </w:tcPr>
          <w:p w:rsidR="00B54574" w:rsidRPr="00631A7F" w:rsidRDefault="00B54574" w:rsidP="00B54574">
            <w:pPr>
              <w:spacing w:after="0" w:line="240" w:lineRule="auto"/>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Computadora</w:t>
            </w:r>
          </w:p>
        </w:tc>
        <w:tc>
          <w:tcPr>
            <w:tcW w:w="2260" w:type="dxa"/>
            <w:shd w:val="clear" w:color="auto" w:fill="auto"/>
            <w:noWrap/>
            <w:vAlign w:val="bottom"/>
            <w:hideMark/>
          </w:tcPr>
          <w:p w:rsidR="00B54574" w:rsidRPr="00631A7F" w:rsidRDefault="00B54574" w:rsidP="00B54574">
            <w:pPr>
              <w:spacing w:after="0" w:line="240" w:lineRule="auto"/>
              <w:jc w:val="center"/>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25</w:t>
            </w:r>
          </w:p>
        </w:tc>
        <w:tc>
          <w:tcPr>
            <w:tcW w:w="1200" w:type="dxa"/>
            <w:shd w:val="clear" w:color="auto" w:fill="auto"/>
            <w:noWrap/>
            <w:vAlign w:val="bottom"/>
            <w:hideMark/>
          </w:tcPr>
          <w:p w:rsidR="00B54574" w:rsidRPr="00631A7F" w:rsidRDefault="00B54574" w:rsidP="00B54574">
            <w:pPr>
              <w:spacing w:after="0" w:line="240" w:lineRule="auto"/>
              <w:jc w:val="center"/>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1,63%</w:t>
            </w:r>
          </w:p>
        </w:tc>
        <w:tc>
          <w:tcPr>
            <w:tcW w:w="2175" w:type="dxa"/>
            <w:shd w:val="clear" w:color="auto" w:fill="auto"/>
            <w:noWrap/>
            <w:vAlign w:val="bottom"/>
            <w:hideMark/>
          </w:tcPr>
          <w:p w:rsidR="00B54574" w:rsidRPr="00631A7F" w:rsidRDefault="00B54574" w:rsidP="00B54574">
            <w:pPr>
              <w:spacing w:after="0" w:line="240" w:lineRule="auto"/>
              <w:jc w:val="center"/>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18.027,92</w:t>
            </w:r>
          </w:p>
        </w:tc>
      </w:tr>
      <w:tr w:rsidR="00B54574" w:rsidRPr="00631A7F" w:rsidTr="002010D1">
        <w:trPr>
          <w:trHeight w:val="300"/>
        </w:trPr>
        <w:tc>
          <w:tcPr>
            <w:tcW w:w="1940" w:type="dxa"/>
            <w:shd w:val="clear" w:color="auto" w:fill="auto"/>
            <w:noWrap/>
            <w:vAlign w:val="bottom"/>
            <w:hideMark/>
          </w:tcPr>
          <w:p w:rsidR="00B54574" w:rsidRPr="00631A7F" w:rsidRDefault="00B54574" w:rsidP="00B54574">
            <w:pPr>
              <w:spacing w:after="0" w:line="240" w:lineRule="auto"/>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CD</w:t>
            </w:r>
          </w:p>
        </w:tc>
        <w:tc>
          <w:tcPr>
            <w:tcW w:w="2260" w:type="dxa"/>
            <w:shd w:val="clear" w:color="auto" w:fill="auto"/>
            <w:noWrap/>
            <w:vAlign w:val="bottom"/>
            <w:hideMark/>
          </w:tcPr>
          <w:p w:rsidR="00B54574" w:rsidRPr="00631A7F" w:rsidRDefault="00B54574" w:rsidP="00B54574">
            <w:pPr>
              <w:spacing w:after="0" w:line="240" w:lineRule="auto"/>
              <w:jc w:val="center"/>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30</w:t>
            </w:r>
          </w:p>
        </w:tc>
        <w:tc>
          <w:tcPr>
            <w:tcW w:w="1200" w:type="dxa"/>
            <w:shd w:val="clear" w:color="auto" w:fill="auto"/>
            <w:noWrap/>
            <w:vAlign w:val="bottom"/>
            <w:hideMark/>
          </w:tcPr>
          <w:p w:rsidR="00B54574" w:rsidRPr="00631A7F" w:rsidRDefault="00B54574" w:rsidP="00B54574">
            <w:pPr>
              <w:spacing w:after="0" w:line="240" w:lineRule="auto"/>
              <w:jc w:val="center"/>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1,96%</w:t>
            </w:r>
          </w:p>
        </w:tc>
        <w:tc>
          <w:tcPr>
            <w:tcW w:w="2175" w:type="dxa"/>
            <w:shd w:val="clear" w:color="auto" w:fill="auto"/>
            <w:noWrap/>
            <w:vAlign w:val="bottom"/>
            <w:hideMark/>
          </w:tcPr>
          <w:p w:rsidR="00B54574" w:rsidRPr="00631A7F" w:rsidRDefault="00B54574" w:rsidP="00B54574">
            <w:pPr>
              <w:spacing w:after="0" w:line="240" w:lineRule="auto"/>
              <w:jc w:val="center"/>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21.633,50</w:t>
            </w:r>
          </w:p>
        </w:tc>
      </w:tr>
      <w:tr w:rsidR="00B54574" w:rsidRPr="00631A7F" w:rsidTr="002010D1">
        <w:trPr>
          <w:trHeight w:val="300"/>
        </w:trPr>
        <w:tc>
          <w:tcPr>
            <w:tcW w:w="1940" w:type="dxa"/>
            <w:shd w:val="clear" w:color="auto" w:fill="auto"/>
            <w:noWrap/>
            <w:vAlign w:val="bottom"/>
            <w:hideMark/>
          </w:tcPr>
          <w:p w:rsidR="00B54574" w:rsidRPr="00631A7F" w:rsidRDefault="00B54574" w:rsidP="00B54574">
            <w:pPr>
              <w:spacing w:after="0" w:line="240" w:lineRule="auto"/>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Herramientas</w:t>
            </w:r>
          </w:p>
        </w:tc>
        <w:tc>
          <w:tcPr>
            <w:tcW w:w="2260" w:type="dxa"/>
            <w:shd w:val="clear" w:color="auto" w:fill="auto"/>
            <w:noWrap/>
            <w:vAlign w:val="bottom"/>
            <w:hideMark/>
          </w:tcPr>
          <w:p w:rsidR="00B54574" w:rsidRPr="00631A7F" w:rsidRDefault="00B54574" w:rsidP="00B54574">
            <w:pPr>
              <w:spacing w:after="0" w:line="240" w:lineRule="auto"/>
              <w:jc w:val="center"/>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110</w:t>
            </w:r>
          </w:p>
        </w:tc>
        <w:tc>
          <w:tcPr>
            <w:tcW w:w="1200" w:type="dxa"/>
            <w:shd w:val="clear" w:color="auto" w:fill="auto"/>
            <w:noWrap/>
            <w:vAlign w:val="bottom"/>
            <w:hideMark/>
          </w:tcPr>
          <w:p w:rsidR="00B54574" w:rsidRPr="00631A7F" w:rsidRDefault="00B54574" w:rsidP="00B54574">
            <w:pPr>
              <w:spacing w:after="0" w:line="240" w:lineRule="auto"/>
              <w:jc w:val="center"/>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7,17%</w:t>
            </w:r>
          </w:p>
        </w:tc>
        <w:tc>
          <w:tcPr>
            <w:tcW w:w="2175" w:type="dxa"/>
            <w:shd w:val="clear" w:color="auto" w:fill="auto"/>
            <w:noWrap/>
            <w:vAlign w:val="bottom"/>
            <w:hideMark/>
          </w:tcPr>
          <w:p w:rsidR="00B54574" w:rsidRPr="00631A7F" w:rsidRDefault="00B54574" w:rsidP="00B54574">
            <w:pPr>
              <w:spacing w:after="0" w:line="240" w:lineRule="auto"/>
              <w:jc w:val="center"/>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79.322,84</w:t>
            </w:r>
          </w:p>
        </w:tc>
      </w:tr>
      <w:tr w:rsidR="00B54574" w:rsidRPr="00631A7F" w:rsidTr="002010D1">
        <w:trPr>
          <w:trHeight w:val="315"/>
        </w:trPr>
        <w:tc>
          <w:tcPr>
            <w:tcW w:w="1940" w:type="dxa"/>
            <w:tcBorders>
              <w:bottom w:val="single" w:sz="4" w:space="0" w:color="auto"/>
            </w:tcBorders>
            <w:shd w:val="clear" w:color="auto" w:fill="auto"/>
            <w:noWrap/>
            <w:vAlign w:val="bottom"/>
            <w:hideMark/>
          </w:tcPr>
          <w:p w:rsidR="00B54574" w:rsidRPr="00631A7F" w:rsidRDefault="00B54574" w:rsidP="00B54574">
            <w:pPr>
              <w:spacing w:after="0" w:line="240" w:lineRule="auto"/>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Armas de fuego</w:t>
            </w:r>
          </w:p>
        </w:tc>
        <w:tc>
          <w:tcPr>
            <w:tcW w:w="2260" w:type="dxa"/>
            <w:tcBorders>
              <w:bottom w:val="single" w:sz="4" w:space="0" w:color="auto"/>
            </w:tcBorders>
            <w:shd w:val="clear" w:color="auto" w:fill="auto"/>
            <w:noWrap/>
            <w:vAlign w:val="bottom"/>
            <w:hideMark/>
          </w:tcPr>
          <w:p w:rsidR="00B54574" w:rsidRPr="00631A7F" w:rsidRDefault="00B54574" w:rsidP="00B54574">
            <w:pPr>
              <w:spacing w:after="0" w:line="240" w:lineRule="auto"/>
              <w:jc w:val="center"/>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8</w:t>
            </w:r>
          </w:p>
        </w:tc>
        <w:tc>
          <w:tcPr>
            <w:tcW w:w="1200" w:type="dxa"/>
            <w:tcBorders>
              <w:bottom w:val="single" w:sz="4" w:space="0" w:color="auto"/>
            </w:tcBorders>
            <w:shd w:val="clear" w:color="auto" w:fill="auto"/>
            <w:noWrap/>
            <w:vAlign w:val="bottom"/>
            <w:hideMark/>
          </w:tcPr>
          <w:p w:rsidR="00B54574" w:rsidRPr="00631A7F" w:rsidRDefault="00B54574" w:rsidP="00B54574">
            <w:pPr>
              <w:spacing w:after="0" w:line="240" w:lineRule="auto"/>
              <w:jc w:val="center"/>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0,52%</w:t>
            </w:r>
          </w:p>
        </w:tc>
        <w:tc>
          <w:tcPr>
            <w:tcW w:w="2175" w:type="dxa"/>
            <w:tcBorders>
              <w:bottom w:val="single" w:sz="4" w:space="0" w:color="auto"/>
            </w:tcBorders>
            <w:shd w:val="clear" w:color="auto" w:fill="auto"/>
            <w:noWrap/>
            <w:vAlign w:val="bottom"/>
            <w:hideMark/>
          </w:tcPr>
          <w:p w:rsidR="00B54574" w:rsidRPr="00631A7F" w:rsidRDefault="00B54574" w:rsidP="00B54574">
            <w:pPr>
              <w:spacing w:after="0" w:line="240" w:lineRule="auto"/>
              <w:jc w:val="center"/>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5.768,93</w:t>
            </w:r>
          </w:p>
        </w:tc>
      </w:tr>
    </w:tbl>
    <w:p w:rsidR="00ED11CC" w:rsidRDefault="00ED11CC" w:rsidP="00ED11CC">
      <w:pPr>
        <w:jc w:val="both"/>
        <w:rPr>
          <w:sz w:val="20"/>
        </w:rPr>
      </w:pPr>
      <w:r w:rsidRPr="00D530EF">
        <w:rPr>
          <w:b/>
          <w:sz w:val="20"/>
        </w:rPr>
        <w:t>Notas</w:t>
      </w:r>
      <w:r w:rsidRPr="00B66253">
        <w:rPr>
          <w:sz w:val="20"/>
        </w:rPr>
        <w:t xml:space="preserve">: La muestra es de 1534 hogares, todos no rurales. Para expandir las proporciones al total de hogares se utilizó el total de hogares no rurales de acuerdo al Censo 2011 realizado por el INE. Tal </w:t>
      </w:r>
      <w:r w:rsidR="00146CEC">
        <w:rPr>
          <w:sz w:val="20"/>
        </w:rPr>
        <w:t xml:space="preserve">número </w:t>
      </w:r>
      <w:r w:rsidRPr="00B66253">
        <w:rPr>
          <w:sz w:val="20"/>
        </w:rPr>
        <w:t>asciende a 1.106.193</w:t>
      </w:r>
      <w:r w:rsidR="00146CEC">
        <w:rPr>
          <w:sz w:val="20"/>
        </w:rPr>
        <w:t xml:space="preserve"> hogares.</w:t>
      </w:r>
    </w:p>
    <w:p w:rsidR="00ED11CC" w:rsidRDefault="00ED11CC" w:rsidP="00ED11CC">
      <w:pPr>
        <w:rPr>
          <w:sz w:val="20"/>
        </w:rPr>
      </w:pPr>
    </w:p>
    <w:p w:rsidR="00ED11CC" w:rsidRPr="00F51B60" w:rsidRDefault="00ED11CC" w:rsidP="00ED11CC">
      <w:pPr>
        <w:rPr>
          <w:b/>
        </w:rPr>
      </w:pPr>
      <w:r w:rsidRPr="00F51B60">
        <w:rPr>
          <w:b/>
        </w:rPr>
        <w:t>Cuadro A.2: Valor de lo robado, de acuerdo a Encuesta de Mercado</w:t>
      </w:r>
    </w:p>
    <w:tbl>
      <w:tblPr>
        <w:tblW w:w="8734" w:type="dxa"/>
        <w:tblInd w:w="55" w:type="dxa"/>
        <w:tblCellMar>
          <w:left w:w="70" w:type="dxa"/>
          <w:right w:w="70" w:type="dxa"/>
        </w:tblCellMar>
        <w:tblLook w:val="04A0" w:firstRow="1" w:lastRow="0" w:firstColumn="1" w:lastColumn="0" w:noHBand="0" w:noVBand="1"/>
      </w:tblPr>
      <w:tblGrid>
        <w:gridCol w:w="990"/>
        <w:gridCol w:w="149"/>
        <w:gridCol w:w="1085"/>
        <w:gridCol w:w="1085"/>
        <w:gridCol w:w="1085"/>
        <w:gridCol w:w="1085"/>
        <w:gridCol w:w="1085"/>
        <w:gridCol w:w="1085"/>
        <w:gridCol w:w="1085"/>
      </w:tblGrid>
      <w:tr w:rsidR="00B54574" w:rsidRPr="00631A7F" w:rsidTr="002010D1">
        <w:trPr>
          <w:trHeight w:val="347"/>
        </w:trPr>
        <w:tc>
          <w:tcPr>
            <w:tcW w:w="990" w:type="dxa"/>
            <w:tcBorders>
              <w:top w:val="single" w:sz="4" w:space="0" w:color="auto"/>
              <w:bottom w:val="single" w:sz="4" w:space="0" w:color="auto"/>
            </w:tcBorders>
            <w:shd w:val="clear" w:color="auto" w:fill="auto"/>
            <w:noWrap/>
            <w:vAlign w:val="bottom"/>
            <w:hideMark/>
          </w:tcPr>
          <w:p w:rsidR="00B54574" w:rsidRPr="00F51B60" w:rsidRDefault="00B54574" w:rsidP="00B54574">
            <w:pPr>
              <w:spacing w:after="0" w:line="240" w:lineRule="auto"/>
              <w:rPr>
                <w:rFonts w:ascii="Calibri" w:eastAsia="Times New Roman" w:hAnsi="Calibri" w:cs="Times New Roman"/>
                <w:color w:val="000000"/>
                <w:sz w:val="20"/>
                <w:szCs w:val="20"/>
                <w:lang w:val="es-ES" w:eastAsia="es-ES"/>
              </w:rPr>
            </w:pPr>
            <w:r w:rsidRPr="00F51B60">
              <w:rPr>
                <w:rFonts w:ascii="Calibri" w:eastAsia="Times New Roman" w:hAnsi="Calibri" w:cs="Times New Roman"/>
                <w:color w:val="000000"/>
                <w:sz w:val="20"/>
                <w:szCs w:val="20"/>
                <w:lang w:val="es-ES" w:eastAsia="es-ES"/>
              </w:rPr>
              <w:t>Ítem</w:t>
            </w:r>
          </w:p>
        </w:tc>
        <w:tc>
          <w:tcPr>
            <w:tcW w:w="149" w:type="dxa"/>
            <w:tcBorders>
              <w:top w:val="single" w:sz="4" w:space="0" w:color="auto"/>
              <w:bottom w:val="single" w:sz="4" w:space="0" w:color="auto"/>
            </w:tcBorders>
            <w:shd w:val="clear" w:color="auto" w:fill="auto"/>
            <w:vAlign w:val="bottom"/>
          </w:tcPr>
          <w:p w:rsidR="00B54574" w:rsidRPr="00F51B60" w:rsidRDefault="00B54574" w:rsidP="00B54574">
            <w:pPr>
              <w:spacing w:after="0" w:line="240" w:lineRule="auto"/>
              <w:rPr>
                <w:rFonts w:ascii="Calibri" w:eastAsia="Times New Roman" w:hAnsi="Calibri" w:cs="Times New Roman"/>
                <w:color w:val="000000"/>
                <w:sz w:val="20"/>
                <w:szCs w:val="20"/>
                <w:lang w:val="es-ES" w:eastAsia="es-ES"/>
              </w:rPr>
            </w:pPr>
          </w:p>
        </w:tc>
        <w:tc>
          <w:tcPr>
            <w:tcW w:w="1085" w:type="dxa"/>
            <w:tcBorders>
              <w:top w:val="single" w:sz="4" w:space="0" w:color="auto"/>
              <w:bottom w:val="single" w:sz="4" w:space="0" w:color="auto"/>
            </w:tcBorders>
            <w:shd w:val="clear" w:color="auto" w:fill="auto"/>
            <w:noWrap/>
            <w:vAlign w:val="bottom"/>
            <w:hideMark/>
          </w:tcPr>
          <w:p w:rsidR="00B54574" w:rsidRPr="00F51B60" w:rsidRDefault="00B54574" w:rsidP="00B54574">
            <w:pPr>
              <w:spacing w:after="0" w:line="240" w:lineRule="auto"/>
              <w:rPr>
                <w:rFonts w:ascii="Calibri" w:eastAsia="Times New Roman" w:hAnsi="Calibri" w:cs="Times New Roman"/>
                <w:color w:val="000000"/>
                <w:sz w:val="20"/>
                <w:szCs w:val="20"/>
                <w:lang w:val="es-ES" w:eastAsia="es-ES"/>
              </w:rPr>
            </w:pPr>
            <w:r w:rsidRPr="00F51B60">
              <w:rPr>
                <w:rFonts w:ascii="Calibri" w:eastAsia="Times New Roman" w:hAnsi="Calibri" w:cs="Times New Roman"/>
                <w:color w:val="000000"/>
                <w:sz w:val="20"/>
                <w:szCs w:val="20"/>
                <w:lang w:val="es-ES" w:eastAsia="es-ES"/>
              </w:rPr>
              <w:t>Empresa 1</w:t>
            </w:r>
          </w:p>
        </w:tc>
        <w:tc>
          <w:tcPr>
            <w:tcW w:w="1085" w:type="dxa"/>
            <w:tcBorders>
              <w:top w:val="single" w:sz="4" w:space="0" w:color="auto"/>
              <w:bottom w:val="single" w:sz="4" w:space="0" w:color="auto"/>
            </w:tcBorders>
            <w:shd w:val="clear" w:color="auto" w:fill="auto"/>
            <w:noWrap/>
            <w:vAlign w:val="bottom"/>
            <w:hideMark/>
          </w:tcPr>
          <w:p w:rsidR="00B54574" w:rsidRPr="00F51B60" w:rsidRDefault="00B54574" w:rsidP="00B54574">
            <w:pPr>
              <w:spacing w:after="0" w:line="240" w:lineRule="auto"/>
              <w:rPr>
                <w:rFonts w:ascii="Calibri" w:eastAsia="Times New Roman" w:hAnsi="Calibri" w:cs="Times New Roman"/>
                <w:color w:val="000000"/>
                <w:sz w:val="20"/>
                <w:szCs w:val="20"/>
                <w:lang w:val="es-ES" w:eastAsia="es-ES"/>
              </w:rPr>
            </w:pPr>
            <w:r w:rsidRPr="00F51B60">
              <w:rPr>
                <w:rFonts w:ascii="Calibri" w:eastAsia="Times New Roman" w:hAnsi="Calibri" w:cs="Times New Roman"/>
                <w:color w:val="000000"/>
                <w:sz w:val="20"/>
                <w:szCs w:val="20"/>
                <w:lang w:val="es-ES" w:eastAsia="es-ES"/>
              </w:rPr>
              <w:t>Empresa 2</w:t>
            </w:r>
          </w:p>
        </w:tc>
        <w:tc>
          <w:tcPr>
            <w:tcW w:w="1085" w:type="dxa"/>
            <w:tcBorders>
              <w:top w:val="single" w:sz="4" w:space="0" w:color="auto"/>
              <w:bottom w:val="single" w:sz="4" w:space="0" w:color="auto"/>
            </w:tcBorders>
            <w:shd w:val="clear" w:color="auto" w:fill="auto"/>
            <w:noWrap/>
            <w:vAlign w:val="bottom"/>
            <w:hideMark/>
          </w:tcPr>
          <w:p w:rsidR="00B54574" w:rsidRPr="00F51B60" w:rsidRDefault="00B54574" w:rsidP="00B54574">
            <w:pPr>
              <w:spacing w:after="0" w:line="240" w:lineRule="auto"/>
              <w:rPr>
                <w:rFonts w:ascii="Calibri" w:eastAsia="Times New Roman" w:hAnsi="Calibri" w:cs="Times New Roman"/>
                <w:color w:val="000000"/>
                <w:sz w:val="20"/>
                <w:szCs w:val="20"/>
                <w:lang w:val="es-ES" w:eastAsia="es-ES"/>
              </w:rPr>
            </w:pPr>
            <w:r w:rsidRPr="00F51B60">
              <w:rPr>
                <w:rFonts w:ascii="Calibri" w:eastAsia="Times New Roman" w:hAnsi="Calibri" w:cs="Times New Roman"/>
                <w:color w:val="000000"/>
                <w:sz w:val="20"/>
                <w:szCs w:val="20"/>
                <w:lang w:val="es-ES" w:eastAsia="es-ES"/>
              </w:rPr>
              <w:t>Empresa 3</w:t>
            </w:r>
          </w:p>
        </w:tc>
        <w:tc>
          <w:tcPr>
            <w:tcW w:w="1085" w:type="dxa"/>
            <w:tcBorders>
              <w:top w:val="single" w:sz="4" w:space="0" w:color="auto"/>
              <w:bottom w:val="single" w:sz="4" w:space="0" w:color="auto"/>
            </w:tcBorders>
            <w:shd w:val="clear" w:color="auto" w:fill="auto"/>
            <w:noWrap/>
            <w:vAlign w:val="bottom"/>
            <w:hideMark/>
          </w:tcPr>
          <w:p w:rsidR="00B54574" w:rsidRPr="00F51B60" w:rsidRDefault="00B54574" w:rsidP="00B54574">
            <w:pPr>
              <w:spacing w:after="0" w:line="240" w:lineRule="auto"/>
              <w:rPr>
                <w:rFonts w:ascii="Calibri" w:eastAsia="Times New Roman" w:hAnsi="Calibri" w:cs="Times New Roman"/>
                <w:color w:val="000000"/>
                <w:sz w:val="20"/>
                <w:szCs w:val="20"/>
                <w:lang w:val="es-ES" w:eastAsia="es-ES"/>
              </w:rPr>
            </w:pPr>
            <w:r w:rsidRPr="00F51B60">
              <w:rPr>
                <w:rFonts w:ascii="Calibri" w:eastAsia="Times New Roman" w:hAnsi="Calibri" w:cs="Times New Roman"/>
                <w:color w:val="000000"/>
                <w:sz w:val="20"/>
                <w:szCs w:val="20"/>
                <w:lang w:val="es-ES" w:eastAsia="es-ES"/>
              </w:rPr>
              <w:t>Empresa 4</w:t>
            </w:r>
          </w:p>
        </w:tc>
        <w:tc>
          <w:tcPr>
            <w:tcW w:w="1085" w:type="dxa"/>
            <w:tcBorders>
              <w:top w:val="single" w:sz="4" w:space="0" w:color="auto"/>
              <w:bottom w:val="single" w:sz="4" w:space="0" w:color="auto"/>
            </w:tcBorders>
            <w:shd w:val="clear" w:color="auto" w:fill="auto"/>
            <w:noWrap/>
            <w:vAlign w:val="bottom"/>
            <w:hideMark/>
          </w:tcPr>
          <w:p w:rsidR="00B54574" w:rsidRPr="00F51B60" w:rsidRDefault="00B54574" w:rsidP="00B54574">
            <w:pPr>
              <w:spacing w:after="0" w:line="240" w:lineRule="auto"/>
              <w:rPr>
                <w:rFonts w:ascii="Calibri" w:eastAsia="Times New Roman" w:hAnsi="Calibri" w:cs="Times New Roman"/>
                <w:color w:val="000000"/>
                <w:sz w:val="20"/>
                <w:szCs w:val="20"/>
                <w:lang w:val="es-ES" w:eastAsia="es-ES"/>
              </w:rPr>
            </w:pPr>
            <w:r w:rsidRPr="00F51B60">
              <w:rPr>
                <w:rFonts w:ascii="Calibri" w:eastAsia="Times New Roman" w:hAnsi="Calibri" w:cs="Times New Roman"/>
                <w:color w:val="000000"/>
                <w:sz w:val="20"/>
                <w:szCs w:val="20"/>
                <w:lang w:val="es-ES" w:eastAsia="es-ES"/>
              </w:rPr>
              <w:t>Empresa 5</w:t>
            </w:r>
          </w:p>
        </w:tc>
        <w:tc>
          <w:tcPr>
            <w:tcW w:w="1085" w:type="dxa"/>
            <w:tcBorders>
              <w:top w:val="single" w:sz="4" w:space="0" w:color="auto"/>
              <w:bottom w:val="single" w:sz="4" w:space="0" w:color="auto"/>
            </w:tcBorders>
            <w:shd w:val="clear" w:color="auto" w:fill="auto"/>
            <w:noWrap/>
            <w:vAlign w:val="bottom"/>
            <w:hideMark/>
          </w:tcPr>
          <w:p w:rsidR="00B54574" w:rsidRPr="00F51B60" w:rsidRDefault="00B54574" w:rsidP="00B54574">
            <w:pPr>
              <w:spacing w:after="0" w:line="240" w:lineRule="auto"/>
              <w:rPr>
                <w:rFonts w:ascii="Calibri" w:eastAsia="Times New Roman" w:hAnsi="Calibri" w:cs="Times New Roman"/>
                <w:color w:val="000000"/>
                <w:sz w:val="20"/>
                <w:szCs w:val="20"/>
                <w:lang w:val="es-ES" w:eastAsia="es-ES"/>
              </w:rPr>
            </w:pPr>
            <w:r w:rsidRPr="00F51B60">
              <w:rPr>
                <w:rFonts w:ascii="Calibri" w:eastAsia="Times New Roman" w:hAnsi="Calibri" w:cs="Times New Roman"/>
                <w:color w:val="000000"/>
                <w:sz w:val="20"/>
                <w:szCs w:val="20"/>
                <w:lang w:val="es-ES" w:eastAsia="es-ES"/>
              </w:rPr>
              <w:t>Empresa 6</w:t>
            </w:r>
          </w:p>
        </w:tc>
        <w:tc>
          <w:tcPr>
            <w:tcW w:w="1085" w:type="dxa"/>
            <w:tcBorders>
              <w:top w:val="single" w:sz="4" w:space="0" w:color="auto"/>
              <w:bottom w:val="single" w:sz="4" w:space="0" w:color="auto"/>
            </w:tcBorders>
            <w:shd w:val="clear" w:color="auto" w:fill="auto"/>
            <w:noWrap/>
            <w:vAlign w:val="bottom"/>
            <w:hideMark/>
          </w:tcPr>
          <w:p w:rsidR="00B54574" w:rsidRPr="00631A7F" w:rsidRDefault="00B54574" w:rsidP="00B54574">
            <w:pPr>
              <w:spacing w:after="0" w:line="240" w:lineRule="auto"/>
              <w:rPr>
                <w:rFonts w:ascii="Calibri" w:eastAsia="Times New Roman" w:hAnsi="Calibri" w:cs="Times New Roman"/>
                <w:color w:val="000000"/>
                <w:sz w:val="20"/>
                <w:szCs w:val="20"/>
                <w:lang w:val="es-ES" w:eastAsia="es-ES"/>
              </w:rPr>
            </w:pPr>
            <w:r w:rsidRPr="00F51B60">
              <w:rPr>
                <w:rFonts w:ascii="Calibri" w:eastAsia="Times New Roman" w:hAnsi="Calibri" w:cs="Times New Roman"/>
                <w:color w:val="000000"/>
                <w:sz w:val="20"/>
                <w:szCs w:val="20"/>
                <w:lang w:val="es-ES" w:eastAsia="es-ES"/>
              </w:rPr>
              <w:t>Mínimo</w:t>
            </w:r>
          </w:p>
        </w:tc>
      </w:tr>
      <w:tr w:rsidR="00B54574" w:rsidRPr="00631A7F" w:rsidTr="002010D1">
        <w:trPr>
          <w:trHeight w:val="331"/>
        </w:trPr>
        <w:tc>
          <w:tcPr>
            <w:tcW w:w="990" w:type="dxa"/>
            <w:tcBorders>
              <w:top w:val="single" w:sz="4" w:space="0" w:color="auto"/>
            </w:tcBorders>
            <w:shd w:val="clear" w:color="auto" w:fill="auto"/>
            <w:noWrap/>
            <w:vAlign w:val="bottom"/>
            <w:hideMark/>
          </w:tcPr>
          <w:p w:rsidR="00B54574" w:rsidRPr="00631A7F" w:rsidRDefault="00B54574" w:rsidP="00B54574">
            <w:pPr>
              <w:spacing w:after="0" w:line="240" w:lineRule="auto"/>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TV</w:t>
            </w:r>
          </w:p>
        </w:tc>
        <w:tc>
          <w:tcPr>
            <w:tcW w:w="149" w:type="dxa"/>
            <w:tcBorders>
              <w:top w:val="single" w:sz="4" w:space="0" w:color="auto"/>
            </w:tcBorders>
            <w:shd w:val="clear" w:color="auto" w:fill="auto"/>
            <w:vAlign w:val="bottom"/>
          </w:tcPr>
          <w:p w:rsidR="00B54574" w:rsidRPr="00631A7F" w:rsidRDefault="00B54574" w:rsidP="00B54574">
            <w:pPr>
              <w:spacing w:after="0" w:line="240" w:lineRule="auto"/>
              <w:rPr>
                <w:rFonts w:ascii="Calibri" w:eastAsia="Times New Roman" w:hAnsi="Calibri" w:cs="Times New Roman"/>
                <w:color w:val="000000"/>
                <w:sz w:val="20"/>
                <w:szCs w:val="20"/>
                <w:lang w:val="es-ES" w:eastAsia="es-ES"/>
              </w:rPr>
            </w:pPr>
          </w:p>
        </w:tc>
        <w:tc>
          <w:tcPr>
            <w:tcW w:w="1085" w:type="dxa"/>
            <w:tcBorders>
              <w:top w:val="single" w:sz="4" w:space="0" w:color="auto"/>
            </w:tcBorders>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290</w:t>
            </w:r>
          </w:p>
        </w:tc>
        <w:tc>
          <w:tcPr>
            <w:tcW w:w="1085" w:type="dxa"/>
            <w:tcBorders>
              <w:top w:val="single" w:sz="4" w:space="0" w:color="auto"/>
            </w:tcBorders>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399</w:t>
            </w:r>
          </w:p>
        </w:tc>
        <w:tc>
          <w:tcPr>
            <w:tcW w:w="1085" w:type="dxa"/>
            <w:tcBorders>
              <w:top w:val="single" w:sz="4" w:space="0" w:color="auto"/>
            </w:tcBorders>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299</w:t>
            </w:r>
          </w:p>
        </w:tc>
        <w:tc>
          <w:tcPr>
            <w:tcW w:w="1085" w:type="dxa"/>
            <w:tcBorders>
              <w:top w:val="single" w:sz="4" w:space="0" w:color="auto"/>
            </w:tcBorders>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299</w:t>
            </w:r>
          </w:p>
        </w:tc>
        <w:tc>
          <w:tcPr>
            <w:tcW w:w="1085" w:type="dxa"/>
            <w:tcBorders>
              <w:top w:val="single" w:sz="4" w:space="0" w:color="auto"/>
            </w:tcBorders>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299</w:t>
            </w:r>
          </w:p>
        </w:tc>
        <w:tc>
          <w:tcPr>
            <w:tcW w:w="1085" w:type="dxa"/>
            <w:tcBorders>
              <w:top w:val="single" w:sz="4" w:space="0" w:color="auto"/>
            </w:tcBorders>
            <w:shd w:val="clear" w:color="auto" w:fill="auto"/>
            <w:noWrap/>
            <w:vAlign w:val="bottom"/>
            <w:hideMark/>
          </w:tcPr>
          <w:p w:rsidR="00B54574" w:rsidRPr="00631A7F" w:rsidRDefault="00B54574" w:rsidP="00B54574">
            <w:pPr>
              <w:spacing w:after="0" w:line="240" w:lineRule="auto"/>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 </w:t>
            </w:r>
          </w:p>
        </w:tc>
        <w:tc>
          <w:tcPr>
            <w:tcW w:w="1085" w:type="dxa"/>
            <w:tcBorders>
              <w:top w:val="single" w:sz="4" w:space="0" w:color="auto"/>
            </w:tcBorders>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290</w:t>
            </w:r>
          </w:p>
        </w:tc>
      </w:tr>
      <w:tr w:rsidR="00B54574" w:rsidRPr="00631A7F" w:rsidTr="002010D1">
        <w:trPr>
          <w:trHeight w:val="331"/>
        </w:trPr>
        <w:tc>
          <w:tcPr>
            <w:tcW w:w="990" w:type="dxa"/>
            <w:shd w:val="clear" w:color="auto" w:fill="auto"/>
            <w:noWrap/>
            <w:vAlign w:val="bottom"/>
            <w:hideMark/>
          </w:tcPr>
          <w:p w:rsidR="00B54574" w:rsidRPr="00631A7F" w:rsidRDefault="00B54574" w:rsidP="00B54574">
            <w:pPr>
              <w:spacing w:after="0" w:line="240" w:lineRule="auto"/>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DVD</w:t>
            </w:r>
          </w:p>
        </w:tc>
        <w:tc>
          <w:tcPr>
            <w:tcW w:w="149" w:type="dxa"/>
            <w:shd w:val="clear" w:color="auto" w:fill="auto"/>
            <w:vAlign w:val="bottom"/>
          </w:tcPr>
          <w:p w:rsidR="00B54574" w:rsidRPr="00631A7F" w:rsidRDefault="00B54574" w:rsidP="00B54574">
            <w:pPr>
              <w:spacing w:after="0" w:line="240" w:lineRule="auto"/>
              <w:rPr>
                <w:rFonts w:ascii="Calibri" w:eastAsia="Times New Roman" w:hAnsi="Calibri" w:cs="Times New Roman"/>
                <w:color w:val="000000"/>
                <w:sz w:val="20"/>
                <w:szCs w:val="20"/>
                <w:lang w:val="es-ES" w:eastAsia="es-ES"/>
              </w:rPr>
            </w:pPr>
          </w:p>
        </w:tc>
        <w:tc>
          <w:tcPr>
            <w:tcW w:w="1085" w:type="dxa"/>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42</w:t>
            </w:r>
          </w:p>
        </w:tc>
        <w:tc>
          <w:tcPr>
            <w:tcW w:w="1085" w:type="dxa"/>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43</w:t>
            </w:r>
          </w:p>
        </w:tc>
        <w:tc>
          <w:tcPr>
            <w:tcW w:w="1085" w:type="dxa"/>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61</w:t>
            </w:r>
          </w:p>
        </w:tc>
        <w:tc>
          <w:tcPr>
            <w:tcW w:w="1085" w:type="dxa"/>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50</w:t>
            </w:r>
          </w:p>
        </w:tc>
        <w:tc>
          <w:tcPr>
            <w:tcW w:w="1085" w:type="dxa"/>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45</w:t>
            </w:r>
          </w:p>
        </w:tc>
        <w:tc>
          <w:tcPr>
            <w:tcW w:w="1085" w:type="dxa"/>
            <w:shd w:val="clear" w:color="auto" w:fill="auto"/>
            <w:noWrap/>
            <w:vAlign w:val="bottom"/>
            <w:hideMark/>
          </w:tcPr>
          <w:p w:rsidR="00B54574" w:rsidRPr="00631A7F" w:rsidRDefault="00B54574" w:rsidP="00B54574">
            <w:pPr>
              <w:spacing w:after="0" w:line="240" w:lineRule="auto"/>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 </w:t>
            </w:r>
          </w:p>
        </w:tc>
        <w:tc>
          <w:tcPr>
            <w:tcW w:w="1085" w:type="dxa"/>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42</w:t>
            </w:r>
          </w:p>
        </w:tc>
      </w:tr>
      <w:tr w:rsidR="00B54574" w:rsidRPr="00631A7F" w:rsidTr="002010D1">
        <w:trPr>
          <w:trHeight w:val="331"/>
        </w:trPr>
        <w:tc>
          <w:tcPr>
            <w:tcW w:w="990" w:type="dxa"/>
            <w:shd w:val="clear" w:color="auto" w:fill="auto"/>
            <w:noWrap/>
            <w:vAlign w:val="bottom"/>
            <w:hideMark/>
          </w:tcPr>
          <w:p w:rsidR="00B54574" w:rsidRPr="00631A7F" w:rsidRDefault="00B54574" w:rsidP="00B54574">
            <w:pPr>
              <w:spacing w:after="0" w:line="240" w:lineRule="auto"/>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Audio</w:t>
            </w:r>
          </w:p>
        </w:tc>
        <w:tc>
          <w:tcPr>
            <w:tcW w:w="149" w:type="dxa"/>
            <w:shd w:val="clear" w:color="auto" w:fill="auto"/>
            <w:vAlign w:val="bottom"/>
          </w:tcPr>
          <w:p w:rsidR="00B54574" w:rsidRPr="00631A7F" w:rsidRDefault="00B54574" w:rsidP="00B54574">
            <w:pPr>
              <w:spacing w:after="0" w:line="240" w:lineRule="auto"/>
              <w:rPr>
                <w:rFonts w:ascii="Calibri" w:eastAsia="Times New Roman" w:hAnsi="Calibri" w:cs="Times New Roman"/>
                <w:color w:val="000000"/>
                <w:sz w:val="20"/>
                <w:szCs w:val="20"/>
                <w:lang w:val="es-ES" w:eastAsia="es-ES"/>
              </w:rPr>
            </w:pPr>
          </w:p>
        </w:tc>
        <w:tc>
          <w:tcPr>
            <w:tcW w:w="1085" w:type="dxa"/>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62</w:t>
            </w:r>
          </w:p>
        </w:tc>
        <w:tc>
          <w:tcPr>
            <w:tcW w:w="1085" w:type="dxa"/>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69</w:t>
            </w:r>
          </w:p>
        </w:tc>
        <w:tc>
          <w:tcPr>
            <w:tcW w:w="1085" w:type="dxa"/>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109</w:t>
            </w:r>
          </w:p>
        </w:tc>
        <w:tc>
          <w:tcPr>
            <w:tcW w:w="1085" w:type="dxa"/>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99</w:t>
            </w:r>
          </w:p>
        </w:tc>
        <w:tc>
          <w:tcPr>
            <w:tcW w:w="1085" w:type="dxa"/>
            <w:shd w:val="clear" w:color="auto" w:fill="auto"/>
            <w:noWrap/>
            <w:vAlign w:val="bottom"/>
            <w:hideMark/>
          </w:tcPr>
          <w:p w:rsidR="00B54574" w:rsidRPr="00631A7F" w:rsidRDefault="00B54574" w:rsidP="00B54574">
            <w:pPr>
              <w:spacing w:after="0" w:line="240" w:lineRule="auto"/>
              <w:rPr>
                <w:rFonts w:ascii="Calibri" w:eastAsia="Times New Roman" w:hAnsi="Calibri" w:cs="Times New Roman"/>
                <w:color w:val="000000"/>
                <w:sz w:val="20"/>
                <w:szCs w:val="20"/>
                <w:lang w:val="es-ES" w:eastAsia="es-ES"/>
              </w:rPr>
            </w:pPr>
          </w:p>
        </w:tc>
        <w:tc>
          <w:tcPr>
            <w:tcW w:w="1085" w:type="dxa"/>
            <w:shd w:val="clear" w:color="auto" w:fill="auto"/>
            <w:noWrap/>
            <w:vAlign w:val="bottom"/>
            <w:hideMark/>
          </w:tcPr>
          <w:p w:rsidR="00B54574" w:rsidRPr="00631A7F" w:rsidRDefault="00B54574" w:rsidP="00B54574">
            <w:pPr>
              <w:spacing w:after="0" w:line="240" w:lineRule="auto"/>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 </w:t>
            </w:r>
          </w:p>
        </w:tc>
        <w:tc>
          <w:tcPr>
            <w:tcW w:w="1085" w:type="dxa"/>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62</w:t>
            </w:r>
          </w:p>
        </w:tc>
      </w:tr>
      <w:tr w:rsidR="00B54574" w:rsidRPr="00631A7F" w:rsidTr="002010D1">
        <w:trPr>
          <w:trHeight w:val="331"/>
        </w:trPr>
        <w:tc>
          <w:tcPr>
            <w:tcW w:w="990" w:type="dxa"/>
            <w:shd w:val="clear" w:color="auto" w:fill="auto"/>
            <w:noWrap/>
            <w:vAlign w:val="bottom"/>
            <w:hideMark/>
          </w:tcPr>
          <w:p w:rsidR="00B54574" w:rsidRPr="00631A7F" w:rsidRDefault="00B54574" w:rsidP="00B54574">
            <w:pPr>
              <w:spacing w:after="0" w:line="240" w:lineRule="auto"/>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Fotos</w:t>
            </w:r>
          </w:p>
        </w:tc>
        <w:tc>
          <w:tcPr>
            <w:tcW w:w="149" w:type="dxa"/>
            <w:shd w:val="clear" w:color="auto" w:fill="auto"/>
            <w:vAlign w:val="bottom"/>
          </w:tcPr>
          <w:p w:rsidR="00B54574" w:rsidRPr="00631A7F" w:rsidRDefault="00B54574" w:rsidP="00B54574">
            <w:pPr>
              <w:spacing w:after="0" w:line="240" w:lineRule="auto"/>
              <w:rPr>
                <w:rFonts w:ascii="Calibri" w:eastAsia="Times New Roman" w:hAnsi="Calibri" w:cs="Times New Roman"/>
                <w:color w:val="000000"/>
                <w:sz w:val="20"/>
                <w:szCs w:val="20"/>
                <w:lang w:val="es-ES" w:eastAsia="es-ES"/>
              </w:rPr>
            </w:pPr>
          </w:p>
        </w:tc>
        <w:tc>
          <w:tcPr>
            <w:tcW w:w="1085" w:type="dxa"/>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95</w:t>
            </w:r>
          </w:p>
        </w:tc>
        <w:tc>
          <w:tcPr>
            <w:tcW w:w="1085" w:type="dxa"/>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89</w:t>
            </w:r>
          </w:p>
        </w:tc>
        <w:tc>
          <w:tcPr>
            <w:tcW w:w="1085" w:type="dxa"/>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199</w:t>
            </w:r>
          </w:p>
        </w:tc>
        <w:tc>
          <w:tcPr>
            <w:tcW w:w="1085" w:type="dxa"/>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129</w:t>
            </w:r>
          </w:p>
        </w:tc>
        <w:tc>
          <w:tcPr>
            <w:tcW w:w="1085" w:type="dxa"/>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119</w:t>
            </w:r>
          </w:p>
        </w:tc>
        <w:tc>
          <w:tcPr>
            <w:tcW w:w="1085" w:type="dxa"/>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129</w:t>
            </w:r>
          </w:p>
        </w:tc>
        <w:tc>
          <w:tcPr>
            <w:tcW w:w="1085" w:type="dxa"/>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89</w:t>
            </w:r>
          </w:p>
        </w:tc>
      </w:tr>
      <w:tr w:rsidR="00B54574" w:rsidRPr="00631A7F" w:rsidTr="002010D1">
        <w:trPr>
          <w:trHeight w:val="331"/>
        </w:trPr>
        <w:tc>
          <w:tcPr>
            <w:tcW w:w="990" w:type="dxa"/>
            <w:shd w:val="clear" w:color="auto" w:fill="auto"/>
            <w:noWrap/>
            <w:vAlign w:val="bottom"/>
            <w:hideMark/>
          </w:tcPr>
          <w:p w:rsidR="00B54574" w:rsidRPr="00631A7F" w:rsidRDefault="00B54574" w:rsidP="00B54574">
            <w:pPr>
              <w:spacing w:after="0" w:line="240" w:lineRule="auto"/>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PC</w:t>
            </w:r>
          </w:p>
        </w:tc>
        <w:tc>
          <w:tcPr>
            <w:tcW w:w="149" w:type="dxa"/>
            <w:shd w:val="clear" w:color="auto" w:fill="auto"/>
            <w:vAlign w:val="bottom"/>
          </w:tcPr>
          <w:p w:rsidR="00B54574" w:rsidRPr="00631A7F" w:rsidRDefault="00B54574" w:rsidP="00B54574">
            <w:pPr>
              <w:spacing w:after="0" w:line="240" w:lineRule="auto"/>
              <w:rPr>
                <w:rFonts w:ascii="Calibri" w:eastAsia="Times New Roman" w:hAnsi="Calibri" w:cs="Times New Roman"/>
                <w:color w:val="000000"/>
                <w:sz w:val="20"/>
                <w:szCs w:val="20"/>
                <w:lang w:val="es-ES" w:eastAsia="es-ES"/>
              </w:rPr>
            </w:pPr>
          </w:p>
        </w:tc>
        <w:tc>
          <w:tcPr>
            <w:tcW w:w="1085" w:type="dxa"/>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600</w:t>
            </w:r>
          </w:p>
        </w:tc>
        <w:tc>
          <w:tcPr>
            <w:tcW w:w="1085" w:type="dxa"/>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599</w:t>
            </w:r>
          </w:p>
        </w:tc>
        <w:tc>
          <w:tcPr>
            <w:tcW w:w="1085" w:type="dxa"/>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679</w:t>
            </w:r>
          </w:p>
        </w:tc>
        <w:tc>
          <w:tcPr>
            <w:tcW w:w="1085" w:type="dxa"/>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699</w:t>
            </w:r>
          </w:p>
        </w:tc>
        <w:tc>
          <w:tcPr>
            <w:tcW w:w="1085" w:type="dxa"/>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599</w:t>
            </w:r>
          </w:p>
        </w:tc>
        <w:tc>
          <w:tcPr>
            <w:tcW w:w="1085" w:type="dxa"/>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629</w:t>
            </w:r>
          </w:p>
        </w:tc>
        <w:tc>
          <w:tcPr>
            <w:tcW w:w="1085" w:type="dxa"/>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599</w:t>
            </w:r>
          </w:p>
        </w:tc>
      </w:tr>
      <w:tr w:rsidR="00B54574" w:rsidRPr="00631A7F" w:rsidTr="002010D1">
        <w:trPr>
          <w:trHeight w:val="347"/>
        </w:trPr>
        <w:tc>
          <w:tcPr>
            <w:tcW w:w="990" w:type="dxa"/>
            <w:tcBorders>
              <w:bottom w:val="single" w:sz="4" w:space="0" w:color="auto"/>
            </w:tcBorders>
            <w:shd w:val="clear" w:color="auto" w:fill="auto"/>
            <w:noWrap/>
            <w:vAlign w:val="bottom"/>
            <w:hideMark/>
          </w:tcPr>
          <w:p w:rsidR="00B54574" w:rsidRPr="00631A7F" w:rsidRDefault="00B54574" w:rsidP="00B54574">
            <w:pPr>
              <w:spacing w:after="0" w:line="240" w:lineRule="auto"/>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CD</w:t>
            </w:r>
          </w:p>
        </w:tc>
        <w:tc>
          <w:tcPr>
            <w:tcW w:w="149" w:type="dxa"/>
            <w:tcBorders>
              <w:bottom w:val="single" w:sz="4" w:space="0" w:color="auto"/>
            </w:tcBorders>
            <w:shd w:val="clear" w:color="auto" w:fill="auto"/>
            <w:vAlign w:val="bottom"/>
          </w:tcPr>
          <w:p w:rsidR="00B54574" w:rsidRPr="00631A7F" w:rsidRDefault="00B54574" w:rsidP="00B54574">
            <w:pPr>
              <w:spacing w:after="0" w:line="240" w:lineRule="auto"/>
              <w:rPr>
                <w:rFonts w:ascii="Calibri" w:eastAsia="Times New Roman" w:hAnsi="Calibri" w:cs="Times New Roman"/>
                <w:color w:val="000000"/>
                <w:sz w:val="20"/>
                <w:szCs w:val="20"/>
                <w:lang w:val="es-ES" w:eastAsia="es-ES"/>
              </w:rPr>
            </w:pPr>
          </w:p>
        </w:tc>
        <w:tc>
          <w:tcPr>
            <w:tcW w:w="1085" w:type="dxa"/>
            <w:tcBorders>
              <w:bottom w:val="single" w:sz="4" w:space="0" w:color="auto"/>
            </w:tcBorders>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10</w:t>
            </w:r>
          </w:p>
        </w:tc>
        <w:tc>
          <w:tcPr>
            <w:tcW w:w="1085" w:type="dxa"/>
            <w:tcBorders>
              <w:bottom w:val="single" w:sz="4" w:space="0" w:color="auto"/>
            </w:tcBorders>
            <w:shd w:val="clear" w:color="auto" w:fill="auto"/>
            <w:noWrap/>
            <w:vAlign w:val="bottom"/>
            <w:hideMark/>
          </w:tcPr>
          <w:p w:rsidR="00B54574" w:rsidRPr="00631A7F" w:rsidRDefault="00B54574" w:rsidP="00B54574">
            <w:pPr>
              <w:spacing w:after="0" w:line="240" w:lineRule="auto"/>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 </w:t>
            </w:r>
          </w:p>
        </w:tc>
        <w:tc>
          <w:tcPr>
            <w:tcW w:w="1085" w:type="dxa"/>
            <w:tcBorders>
              <w:bottom w:val="single" w:sz="4" w:space="0" w:color="auto"/>
            </w:tcBorders>
            <w:shd w:val="clear" w:color="auto" w:fill="auto"/>
            <w:noWrap/>
            <w:vAlign w:val="bottom"/>
            <w:hideMark/>
          </w:tcPr>
          <w:p w:rsidR="00B54574" w:rsidRPr="00631A7F" w:rsidRDefault="00B54574" w:rsidP="00B54574">
            <w:pPr>
              <w:spacing w:after="0" w:line="240" w:lineRule="auto"/>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 </w:t>
            </w:r>
          </w:p>
        </w:tc>
        <w:tc>
          <w:tcPr>
            <w:tcW w:w="1085" w:type="dxa"/>
            <w:tcBorders>
              <w:bottom w:val="single" w:sz="4" w:space="0" w:color="auto"/>
            </w:tcBorders>
            <w:shd w:val="clear" w:color="auto" w:fill="auto"/>
            <w:noWrap/>
            <w:vAlign w:val="bottom"/>
            <w:hideMark/>
          </w:tcPr>
          <w:p w:rsidR="00B54574" w:rsidRPr="00631A7F" w:rsidRDefault="00B54574" w:rsidP="00B54574">
            <w:pPr>
              <w:spacing w:after="0" w:line="240" w:lineRule="auto"/>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 </w:t>
            </w:r>
          </w:p>
        </w:tc>
        <w:tc>
          <w:tcPr>
            <w:tcW w:w="1085" w:type="dxa"/>
            <w:tcBorders>
              <w:bottom w:val="single" w:sz="4" w:space="0" w:color="auto"/>
            </w:tcBorders>
            <w:shd w:val="clear" w:color="auto" w:fill="auto"/>
            <w:noWrap/>
            <w:vAlign w:val="bottom"/>
            <w:hideMark/>
          </w:tcPr>
          <w:p w:rsidR="00B54574" w:rsidRPr="00631A7F" w:rsidRDefault="00B54574" w:rsidP="00B54574">
            <w:pPr>
              <w:spacing w:after="0" w:line="240" w:lineRule="auto"/>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 </w:t>
            </w:r>
          </w:p>
        </w:tc>
        <w:tc>
          <w:tcPr>
            <w:tcW w:w="1085" w:type="dxa"/>
            <w:tcBorders>
              <w:bottom w:val="single" w:sz="4" w:space="0" w:color="auto"/>
            </w:tcBorders>
            <w:shd w:val="clear" w:color="auto" w:fill="auto"/>
            <w:noWrap/>
            <w:vAlign w:val="bottom"/>
            <w:hideMark/>
          </w:tcPr>
          <w:p w:rsidR="00B54574" w:rsidRPr="00631A7F" w:rsidRDefault="00B54574" w:rsidP="00B54574">
            <w:pPr>
              <w:spacing w:after="0" w:line="240" w:lineRule="auto"/>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 </w:t>
            </w:r>
          </w:p>
        </w:tc>
        <w:tc>
          <w:tcPr>
            <w:tcW w:w="1085" w:type="dxa"/>
            <w:tcBorders>
              <w:bottom w:val="single" w:sz="4" w:space="0" w:color="auto"/>
            </w:tcBorders>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10</w:t>
            </w:r>
          </w:p>
        </w:tc>
      </w:tr>
    </w:tbl>
    <w:p w:rsidR="00ED11CC" w:rsidRDefault="00ED11CC" w:rsidP="00ED11CC">
      <w:pPr>
        <w:jc w:val="both"/>
        <w:rPr>
          <w:sz w:val="20"/>
        </w:rPr>
      </w:pPr>
      <w:r w:rsidRPr="00F51B60">
        <w:rPr>
          <w:b/>
          <w:sz w:val="20"/>
        </w:rPr>
        <w:t>Notas</w:t>
      </w:r>
      <w:r w:rsidRPr="00F51B60">
        <w:rPr>
          <w:sz w:val="20"/>
        </w:rPr>
        <w:t xml:space="preserve">: Las empresas fueron elegidas </w:t>
      </w:r>
      <w:r w:rsidR="00394101" w:rsidRPr="00F51B60">
        <w:rPr>
          <w:sz w:val="20"/>
        </w:rPr>
        <w:t>entre las empresas medianas y grandes según información del Registro de Empresas del INE</w:t>
      </w:r>
      <w:r w:rsidRPr="00F51B60">
        <w:rPr>
          <w:sz w:val="20"/>
        </w:rPr>
        <w:t xml:space="preserve">. A partir de ello, se supone </w:t>
      </w:r>
      <w:r w:rsidR="00394101" w:rsidRPr="00F51B60">
        <w:rPr>
          <w:sz w:val="20"/>
        </w:rPr>
        <w:t>que sus</w:t>
      </w:r>
      <w:r w:rsidRPr="00F51B60">
        <w:rPr>
          <w:sz w:val="20"/>
        </w:rPr>
        <w:t xml:space="preserve"> precios serían representativos del</w:t>
      </w:r>
      <w:r>
        <w:rPr>
          <w:sz w:val="20"/>
        </w:rPr>
        <w:t xml:space="preserve"> mercado en su conjunto.</w:t>
      </w:r>
    </w:p>
    <w:p w:rsidR="00ED11CC" w:rsidRPr="00B66253" w:rsidRDefault="00ED11CC" w:rsidP="00ED11CC">
      <w:pPr>
        <w:jc w:val="both"/>
        <w:rPr>
          <w:sz w:val="20"/>
        </w:rPr>
      </w:pPr>
    </w:p>
    <w:p w:rsidR="00ED11CC" w:rsidRDefault="00ED11CC" w:rsidP="00ED11CC">
      <w:pPr>
        <w:rPr>
          <w:b/>
        </w:rPr>
      </w:pPr>
      <w:r>
        <w:rPr>
          <w:b/>
        </w:rPr>
        <w:br w:type="page"/>
      </w:r>
    </w:p>
    <w:p w:rsidR="00ED11CC" w:rsidRDefault="00ED11CC" w:rsidP="00ED11CC">
      <w:pPr>
        <w:rPr>
          <w:b/>
        </w:rPr>
      </w:pPr>
      <w:r>
        <w:rPr>
          <w:b/>
        </w:rPr>
        <w:lastRenderedPageBreak/>
        <w:t>Cuadro</w:t>
      </w:r>
      <w:r w:rsidRPr="00B66253">
        <w:rPr>
          <w:b/>
        </w:rPr>
        <w:t xml:space="preserve"> </w:t>
      </w:r>
      <w:r>
        <w:rPr>
          <w:b/>
        </w:rPr>
        <w:t>A.</w:t>
      </w:r>
      <w:r w:rsidRPr="00B66253">
        <w:rPr>
          <w:b/>
        </w:rPr>
        <w:t>3: Valor de l</w:t>
      </w:r>
      <w:r>
        <w:rPr>
          <w:b/>
        </w:rPr>
        <w:t>a propiedad robada a hogares</w:t>
      </w:r>
    </w:p>
    <w:tbl>
      <w:tblPr>
        <w:tblW w:w="6675" w:type="dxa"/>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085"/>
        <w:gridCol w:w="1350"/>
        <w:gridCol w:w="1440"/>
        <w:gridCol w:w="1800"/>
      </w:tblGrid>
      <w:tr w:rsidR="00B54574" w:rsidRPr="00631A7F" w:rsidTr="002010D1">
        <w:trPr>
          <w:trHeight w:val="315"/>
        </w:trPr>
        <w:tc>
          <w:tcPr>
            <w:tcW w:w="2085" w:type="dxa"/>
            <w:tcBorders>
              <w:top w:val="single" w:sz="4" w:space="0" w:color="auto"/>
              <w:bottom w:val="single" w:sz="4" w:space="0" w:color="auto"/>
            </w:tcBorders>
            <w:shd w:val="clear" w:color="auto" w:fill="auto"/>
            <w:noWrap/>
            <w:hideMark/>
          </w:tcPr>
          <w:p w:rsidR="00B54574" w:rsidRPr="00631A7F" w:rsidRDefault="00B54574" w:rsidP="00B54574">
            <w:pPr>
              <w:spacing w:after="0" w:line="240" w:lineRule="auto"/>
              <w:rPr>
                <w:rFonts w:ascii="Calibri" w:eastAsia="Times New Roman" w:hAnsi="Calibri" w:cs="Times New Roman"/>
                <w:b/>
                <w:bCs/>
                <w:color w:val="000000"/>
                <w:sz w:val="20"/>
                <w:szCs w:val="20"/>
                <w:lang w:val="es-ES" w:eastAsia="es-ES"/>
              </w:rPr>
            </w:pPr>
            <w:r w:rsidRPr="00631A7F">
              <w:rPr>
                <w:rFonts w:ascii="Calibri" w:eastAsia="Times New Roman" w:hAnsi="Calibri" w:cs="Times New Roman"/>
                <w:b/>
                <w:bCs/>
                <w:color w:val="000000"/>
                <w:sz w:val="20"/>
                <w:szCs w:val="20"/>
                <w:lang w:val="es-ES" w:eastAsia="es-ES"/>
              </w:rPr>
              <w:t>Ítem</w:t>
            </w:r>
          </w:p>
        </w:tc>
        <w:tc>
          <w:tcPr>
            <w:tcW w:w="1350" w:type="dxa"/>
            <w:tcBorders>
              <w:top w:val="single" w:sz="4" w:space="0" w:color="auto"/>
              <w:bottom w:val="single" w:sz="4" w:space="0" w:color="auto"/>
            </w:tcBorders>
            <w:shd w:val="clear" w:color="auto" w:fill="auto"/>
            <w:noWrap/>
            <w:hideMark/>
          </w:tcPr>
          <w:p w:rsidR="00B54574" w:rsidRPr="00631A7F" w:rsidRDefault="00B54574" w:rsidP="00D530EF">
            <w:pPr>
              <w:spacing w:after="0" w:line="240" w:lineRule="auto"/>
              <w:jc w:val="right"/>
              <w:rPr>
                <w:rFonts w:ascii="Calibri" w:eastAsia="Times New Roman" w:hAnsi="Calibri" w:cs="Times New Roman"/>
                <w:b/>
                <w:bCs/>
                <w:color w:val="000000"/>
                <w:sz w:val="20"/>
                <w:szCs w:val="20"/>
                <w:lang w:val="es-ES" w:eastAsia="es-ES"/>
              </w:rPr>
            </w:pPr>
            <w:r w:rsidRPr="00631A7F">
              <w:rPr>
                <w:rFonts w:ascii="Calibri" w:eastAsia="Times New Roman" w:hAnsi="Calibri" w:cs="Times New Roman"/>
                <w:b/>
                <w:bCs/>
                <w:color w:val="000000"/>
                <w:sz w:val="20"/>
                <w:szCs w:val="20"/>
                <w:lang w:val="es-ES" w:eastAsia="es-ES"/>
              </w:rPr>
              <w:t>Cantidad</w:t>
            </w:r>
          </w:p>
        </w:tc>
        <w:tc>
          <w:tcPr>
            <w:tcW w:w="1440" w:type="dxa"/>
            <w:tcBorders>
              <w:top w:val="single" w:sz="4" w:space="0" w:color="auto"/>
              <w:bottom w:val="single" w:sz="4" w:space="0" w:color="auto"/>
            </w:tcBorders>
            <w:shd w:val="clear" w:color="auto" w:fill="auto"/>
            <w:noWrap/>
            <w:hideMark/>
          </w:tcPr>
          <w:p w:rsidR="00B54574" w:rsidRPr="00631A7F" w:rsidRDefault="00B54574" w:rsidP="00D530EF">
            <w:pPr>
              <w:spacing w:after="0" w:line="240" w:lineRule="auto"/>
              <w:jc w:val="right"/>
              <w:rPr>
                <w:rFonts w:ascii="Calibri" w:eastAsia="Times New Roman" w:hAnsi="Calibri" w:cs="Times New Roman"/>
                <w:b/>
                <w:bCs/>
                <w:color w:val="000000"/>
                <w:sz w:val="20"/>
                <w:szCs w:val="20"/>
                <w:lang w:val="es-ES" w:eastAsia="es-ES"/>
              </w:rPr>
            </w:pPr>
            <w:r w:rsidRPr="00631A7F">
              <w:rPr>
                <w:rFonts w:ascii="Calibri" w:eastAsia="Times New Roman" w:hAnsi="Calibri" w:cs="Times New Roman"/>
                <w:b/>
                <w:bCs/>
                <w:color w:val="000000"/>
                <w:sz w:val="20"/>
                <w:szCs w:val="20"/>
                <w:lang w:val="es-ES" w:eastAsia="es-ES"/>
              </w:rPr>
              <w:t>Precio (USD)</w:t>
            </w:r>
          </w:p>
        </w:tc>
        <w:tc>
          <w:tcPr>
            <w:tcW w:w="1800" w:type="dxa"/>
            <w:tcBorders>
              <w:top w:val="single" w:sz="4" w:space="0" w:color="auto"/>
              <w:bottom w:val="single" w:sz="4" w:space="0" w:color="auto"/>
            </w:tcBorders>
            <w:shd w:val="clear" w:color="auto" w:fill="auto"/>
            <w:noWrap/>
            <w:hideMark/>
          </w:tcPr>
          <w:p w:rsidR="00B54574" w:rsidRPr="00631A7F" w:rsidRDefault="00B54574" w:rsidP="00D530EF">
            <w:pPr>
              <w:spacing w:after="0" w:line="240" w:lineRule="auto"/>
              <w:jc w:val="right"/>
              <w:rPr>
                <w:rFonts w:ascii="Calibri" w:eastAsia="Times New Roman" w:hAnsi="Calibri" w:cs="Times New Roman"/>
                <w:b/>
                <w:bCs/>
                <w:color w:val="000000"/>
                <w:sz w:val="20"/>
                <w:szCs w:val="20"/>
                <w:lang w:val="es-ES" w:eastAsia="es-ES"/>
              </w:rPr>
            </w:pPr>
            <w:r w:rsidRPr="00631A7F">
              <w:rPr>
                <w:rFonts w:ascii="Calibri" w:eastAsia="Times New Roman" w:hAnsi="Calibri" w:cs="Times New Roman"/>
                <w:b/>
                <w:bCs/>
                <w:color w:val="000000"/>
                <w:sz w:val="20"/>
                <w:szCs w:val="20"/>
                <w:lang w:val="es-ES" w:eastAsia="es-ES"/>
              </w:rPr>
              <w:t>Valor (miles USD)</w:t>
            </w:r>
          </w:p>
        </w:tc>
      </w:tr>
      <w:tr w:rsidR="00B54574" w:rsidRPr="00631A7F" w:rsidTr="002010D1">
        <w:trPr>
          <w:trHeight w:val="300"/>
        </w:trPr>
        <w:tc>
          <w:tcPr>
            <w:tcW w:w="2085" w:type="dxa"/>
            <w:tcBorders>
              <w:top w:val="single" w:sz="4" w:space="0" w:color="auto"/>
            </w:tcBorders>
            <w:shd w:val="clear" w:color="auto" w:fill="auto"/>
            <w:noWrap/>
            <w:vAlign w:val="bottom"/>
            <w:hideMark/>
          </w:tcPr>
          <w:p w:rsidR="00B54574" w:rsidRPr="00631A7F" w:rsidRDefault="00B54574" w:rsidP="00B54574">
            <w:pPr>
              <w:spacing w:after="0" w:line="240" w:lineRule="auto"/>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Autos</w:t>
            </w:r>
          </w:p>
        </w:tc>
        <w:tc>
          <w:tcPr>
            <w:tcW w:w="1350" w:type="dxa"/>
            <w:tcBorders>
              <w:top w:val="single" w:sz="4" w:space="0" w:color="auto"/>
            </w:tcBorders>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3.606</w:t>
            </w:r>
          </w:p>
        </w:tc>
        <w:tc>
          <w:tcPr>
            <w:tcW w:w="1440" w:type="dxa"/>
            <w:tcBorders>
              <w:top w:val="single" w:sz="4" w:space="0" w:color="auto"/>
            </w:tcBorders>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9990</w:t>
            </w:r>
          </w:p>
        </w:tc>
        <w:tc>
          <w:tcPr>
            <w:tcW w:w="1800" w:type="dxa"/>
            <w:tcBorders>
              <w:top w:val="single" w:sz="4" w:space="0" w:color="auto"/>
            </w:tcBorders>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36.020</w:t>
            </w:r>
          </w:p>
        </w:tc>
      </w:tr>
      <w:tr w:rsidR="00B54574" w:rsidRPr="00631A7F" w:rsidTr="002010D1">
        <w:trPr>
          <w:trHeight w:val="300"/>
        </w:trPr>
        <w:tc>
          <w:tcPr>
            <w:tcW w:w="2085" w:type="dxa"/>
            <w:shd w:val="clear" w:color="auto" w:fill="auto"/>
            <w:noWrap/>
            <w:vAlign w:val="bottom"/>
            <w:hideMark/>
          </w:tcPr>
          <w:p w:rsidR="00B54574" w:rsidRPr="00631A7F" w:rsidRDefault="00B54574" w:rsidP="00B54574">
            <w:pPr>
              <w:spacing w:after="0" w:line="240" w:lineRule="auto"/>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Motos</w:t>
            </w:r>
          </w:p>
        </w:tc>
        <w:tc>
          <w:tcPr>
            <w:tcW w:w="1350" w:type="dxa"/>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49.757</w:t>
            </w:r>
          </w:p>
        </w:tc>
        <w:tc>
          <w:tcPr>
            <w:tcW w:w="1440" w:type="dxa"/>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599</w:t>
            </w:r>
          </w:p>
        </w:tc>
        <w:tc>
          <w:tcPr>
            <w:tcW w:w="1800" w:type="dxa"/>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29.804</w:t>
            </w:r>
          </w:p>
        </w:tc>
      </w:tr>
      <w:tr w:rsidR="00B54574" w:rsidRPr="00631A7F" w:rsidTr="002010D1">
        <w:trPr>
          <w:trHeight w:val="300"/>
        </w:trPr>
        <w:tc>
          <w:tcPr>
            <w:tcW w:w="2085" w:type="dxa"/>
            <w:shd w:val="clear" w:color="auto" w:fill="auto"/>
            <w:noWrap/>
            <w:vAlign w:val="bottom"/>
            <w:hideMark/>
          </w:tcPr>
          <w:p w:rsidR="00B54574" w:rsidRPr="00631A7F" w:rsidRDefault="00B54574" w:rsidP="00B54574">
            <w:pPr>
              <w:spacing w:after="0" w:line="240" w:lineRule="auto"/>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Bicicleta</w:t>
            </w:r>
          </w:p>
        </w:tc>
        <w:tc>
          <w:tcPr>
            <w:tcW w:w="1350" w:type="dxa"/>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44.709</w:t>
            </w:r>
          </w:p>
        </w:tc>
        <w:tc>
          <w:tcPr>
            <w:tcW w:w="1440" w:type="dxa"/>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120</w:t>
            </w:r>
          </w:p>
        </w:tc>
        <w:tc>
          <w:tcPr>
            <w:tcW w:w="1800" w:type="dxa"/>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5.365</w:t>
            </w:r>
          </w:p>
        </w:tc>
      </w:tr>
      <w:tr w:rsidR="00B54574" w:rsidRPr="00631A7F" w:rsidTr="002010D1">
        <w:trPr>
          <w:trHeight w:val="300"/>
        </w:trPr>
        <w:tc>
          <w:tcPr>
            <w:tcW w:w="2085" w:type="dxa"/>
            <w:shd w:val="clear" w:color="auto" w:fill="auto"/>
            <w:noWrap/>
            <w:vAlign w:val="bottom"/>
            <w:hideMark/>
          </w:tcPr>
          <w:p w:rsidR="00B54574" w:rsidRPr="00631A7F" w:rsidRDefault="00B54574" w:rsidP="00B54574">
            <w:pPr>
              <w:spacing w:after="0" w:line="240" w:lineRule="auto"/>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Televisión</w:t>
            </w:r>
          </w:p>
        </w:tc>
        <w:tc>
          <w:tcPr>
            <w:tcW w:w="1350" w:type="dxa"/>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39.661</w:t>
            </w:r>
          </w:p>
        </w:tc>
        <w:tc>
          <w:tcPr>
            <w:tcW w:w="1440" w:type="dxa"/>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290</w:t>
            </w:r>
          </w:p>
        </w:tc>
        <w:tc>
          <w:tcPr>
            <w:tcW w:w="1800" w:type="dxa"/>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11.502</w:t>
            </w:r>
          </w:p>
        </w:tc>
      </w:tr>
      <w:tr w:rsidR="00B54574" w:rsidRPr="00631A7F" w:rsidTr="002010D1">
        <w:trPr>
          <w:trHeight w:val="300"/>
        </w:trPr>
        <w:tc>
          <w:tcPr>
            <w:tcW w:w="2085" w:type="dxa"/>
            <w:shd w:val="clear" w:color="auto" w:fill="auto"/>
            <w:noWrap/>
            <w:vAlign w:val="bottom"/>
            <w:hideMark/>
          </w:tcPr>
          <w:p w:rsidR="00B54574" w:rsidRPr="00631A7F" w:rsidRDefault="00B54574" w:rsidP="00B54574">
            <w:pPr>
              <w:spacing w:after="0" w:line="240" w:lineRule="auto"/>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Reproductor DVD</w:t>
            </w:r>
          </w:p>
        </w:tc>
        <w:tc>
          <w:tcPr>
            <w:tcW w:w="1350" w:type="dxa"/>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31.729</w:t>
            </w:r>
          </w:p>
        </w:tc>
        <w:tc>
          <w:tcPr>
            <w:tcW w:w="1440" w:type="dxa"/>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42</w:t>
            </w:r>
          </w:p>
        </w:tc>
        <w:tc>
          <w:tcPr>
            <w:tcW w:w="1800" w:type="dxa"/>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1.333</w:t>
            </w:r>
          </w:p>
        </w:tc>
      </w:tr>
      <w:tr w:rsidR="00B54574" w:rsidRPr="00631A7F" w:rsidTr="002010D1">
        <w:trPr>
          <w:trHeight w:val="300"/>
        </w:trPr>
        <w:tc>
          <w:tcPr>
            <w:tcW w:w="2085" w:type="dxa"/>
            <w:shd w:val="clear" w:color="auto" w:fill="auto"/>
            <w:noWrap/>
            <w:vAlign w:val="bottom"/>
            <w:hideMark/>
          </w:tcPr>
          <w:p w:rsidR="00B54574" w:rsidRPr="00631A7F" w:rsidRDefault="00B54574" w:rsidP="00B54574">
            <w:pPr>
              <w:spacing w:after="0" w:line="240" w:lineRule="auto"/>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Equipo de audio</w:t>
            </w:r>
          </w:p>
        </w:tc>
        <w:tc>
          <w:tcPr>
            <w:tcW w:w="1350" w:type="dxa"/>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41.104</w:t>
            </w:r>
          </w:p>
        </w:tc>
        <w:tc>
          <w:tcPr>
            <w:tcW w:w="1440" w:type="dxa"/>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62</w:t>
            </w:r>
          </w:p>
        </w:tc>
        <w:tc>
          <w:tcPr>
            <w:tcW w:w="1800" w:type="dxa"/>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2.548</w:t>
            </w:r>
          </w:p>
        </w:tc>
      </w:tr>
      <w:tr w:rsidR="00B54574" w:rsidRPr="00631A7F" w:rsidTr="002010D1">
        <w:trPr>
          <w:trHeight w:val="300"/>
        </w:trPr>
        <w:tc>
          <w:tcPr>
            <w:tcW w:w="2085" w:type="dxa"/>
            <w:shd w:val="clear" w:color="auto" w:fill="auto"/>
            <w:noWrap/>
            <w:vAlign w:val="bottom"/>
            <w:hideMark/>
          </w:tcPr>
          <w:p w:rsidR="00B54574" w:rsidRPr="00631A7F" w:rsidRDefault="00191A4E" w:rsidP="00B54574">
            <w:pPr>
              <w:spacing w:after="0" w:line="240" w:lineRule="auto"/>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Cámara</w:t>
            </w:r>
            <w:r w:rsidR="00B54574" w:rsidRPr="00631A7F">
              <w:rPr>
                <w:rFonts w:ascii="Calibri" w:eastAsia="Times New Roman" w:hAnsi="Calibri" w:cs="Times New Roman"/>
                <w:color w:val="000000"/>
                <w:sz w:val="20"/>
                <w:szCs w:val="20"/>
                <w:lang w:val="es-ES" w:eastAsia="es-ES"/>
              </w:rPr>
              <w:t xml:space="preserve"> fotos</w:t>
            </w:r>
          </w:p>
        </w:tc>
        <w:tc>
          <w:tcPr>
            <w:tcW w:w="1350" w:type="dxa"/>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22.355</w:t>
            </w:r>
          </w:p>
        </w:tc>
        <w:tc>
          <w:tcPr>
            <w:tcW w:w="1440" w:type="dxa"/>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89</w:t>
            </w:r>
          </w:p>
        </w:tc>
        <w:tc>
          <w:tcPr>
            <w:tcW w:w="1800" w:type="dxa"/>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1.990</w:t>
            </w:r>
          </w:p>
        </w:tc>
      </w:tr>
      <w:tr w:rsidR="00B54574" w:rsidRPr="00631A7F" w:rsidTr="002010D1">
        <w:trPr>
          <w:trHeight w:val="300"/>
        </w:trPr>
        <w:tc>
          <w:tcPr>
            <w:tcW w:w="2085" w:type="dxa"/>
            <w:shd w:val="clear" w:color="auto" w:fill="auto"/>
            <w:noWrap/>
            <w:vAlign w:val="bottom"/>
            <w:hideMark/>
          </w:tcPr>
          <w:p w:rsidR="00B54574" w:rsidRPr="00631A7F" w:rsidRDefault="00B54574" w:rsidP="00B54574">
            <w:pPr>
              <w:spacing w:after="0" w:line="240" w:lineRule="auto"/>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Computadora</w:t>
            </w:r>
          </w:p>
        </w:tc>
        <w:tc>
          <w:tcPr>
            <w:tcW w:w="1350" w:type="dxa"/>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18.028</w:t>
            </w:r>
          </w:p>
        </w:tc>
        <w:tc>
          <w:tcPr>
            <w:tcW w:w="1440" w:type="dxa"/>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599</w:t>
            </w:r>
          </w:p>
        </w:tc>
        <w:tc>
          <w:tcPr>
            <w:tcW w:w="1800" w:type="dxa"/>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10.799</w:t>
            </w:r>
          </w:p>
        </w:tc>
      </w:tr>
      <w:tr w:rsidR="00B54574" w:rsidRPr="00631A7F" w:rsidTr="002010D1">
        <w:trPr>
          <w:trHeight w:val="315"/>
        </w:trPr>
        <w:tc>
          <w:tcPr>
            <w:tcW w:w="2085" w:type="dxa"/>
            <w:shd w:val="clear" w:color="auto" w:fill="auto"/>
            <w:noWrap/>
            <w:vAlign w:val="bottom"/>
            <w:hideMark/>
          </w:tcPr>
          <w:p w:rsidR="00B54574" w:rsidRPr="00631A7F" w:rsidRDefault="00B54574" w:rsidP="00B54574">
            <w:pPr>
              <w:spacing w:after="0" w:line="240" w:lineRule="auto"/>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Discos compactos</w:t>
            </w:r>
          </w:p>
        </w:tc>
        <w:tc>
          <w:tcPr>
            <w:tcW w:w="1350" w:type="dxa"/>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21.634</w:t>
            </w:r>
          </w:p>
        </w:tc>
        <w:tc>
          <w:tcPr>
            <w:tcW w:w="1440" w:type="dxa"/>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10</w:t>
            </w:r>
          </w:p>
        </w:tc>
        <w:tc>
          <w:tcPr>
            <w:tcW w:w="1800" w:type="dxa"/>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216</w:t>
            </w:r>
          </w:p>
        </w:tc>
      </w:tr>
      <w:tr w:rsidR="00B54574" w:rsidRPr="00631A7F" w:rsidTr="002010D1">
        <w:trPr>
          <w:trHeight w:val="315"/>
        </w:trPr>
        <w:tc>
          <w:tcPr>
            <w:tcW w:w="2085" w:type="dxa"/>
            <w:shd w:val="clear" w:color="auto" w:fill="auto"/>
            <w:noWrap/>
            <w:vAlign w:val="bottom"/>
            <w:hideMark/>
          </w:tcPr>
          <w:p w:rsidR="00B54574" w:rsidRPr="00631A7F" w:rsidRDefault="00B54574" w:rsidP="00B54574">
            <w:pPr>
              <w:spacing w:after="0" w:line="240" w:lineRule="auto"/>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TOTAL</w:t>
            </w:r>
          </w:p>
        </w:tc>
        <w:tc>
          <w:tcPr>
            <w:tcW w:w="1350" w:type="dxa"/>
            <w:shd w:val="clear" w:color="auto" w:fill="auto"/>
            <w:noWrap/>
            <w:vAlign w:val="bottom"/>
            <w:hideMark/>
          </w:tcPr>
          <w:p w:rsidR="00B54574" w:rsidRPr="00631A7F" w:rsidRDefault="00B54574" w:rsidP="00B54574">
            <w:pPr>
              <w:spacing w:after="0" w:line="240" w:lineRule="auto"/>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 </w:t>
            </w:r>
          </w:p>
        </w:tc>
        <w:tc>
          <w:tcPr>
            <w:tcW w:w="1440" w:type="dxa"/>
            <w:shd w:val="clear" w:color="auto" w:fill="auto"/>
            <w:noWrap/>
            <w:vAlign w:val="bottom"/>
            <w:hideMark/>
          </w:tcPr>
          <w:p w:rsidR="00B54574" w:rsidRPr="00631A7F" w:rsidRDefault="00B54574" w:rsidP="00B54574">
            <w:pPr>
              <w:spacing w:after="0" w:line="240" w:lineRule="auto"/>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 </w:t>
            </w:r>
          </w:p>
        </w:tc>
        <w:tc>
          <w:tcPr>
            <w:tcW w:w="1800" w:type="dxa"/>
            <w:shd w:val="clear" w:color="auto" w:fill="auto"/>
            <w:noWrap/>
            <w:vAlign w:val="bottom"/>
            <w:hideMark/>
          </w:tcPr>
          <w:p w:rsidR="00B54574" w:rsidRPr="00631A7F" w:rsidRDefault="00B54574" w:rsidP="00B54574">
            <w:pPr>
              <w:spacing w:after="0" w:line="240" w:lineRule="auto"/>
              <w:jc w:val="right"/>
              <w:rPr>
                <w:rFonts w:ascii="Calibri" w:eastAsia="Times New Roman" w:hAnsi="Calibri" w:cs="Times New Roman"/>
                <w:color w:val="000000"/>
                <w:sz w:val="20"/>
                <w:szCs w:val="20"/>
                <w:lang w:val="es-ES" w:eastAsia="es-ES"/>
              </w:rPr>
            </w:pPr>
            <w:r w:rsidRPr="00631A7F">
              <w:rPr>
                <w:rFonts w:ascii="Calibri" w:eastAsia="Times New Roman" w:hAnsi="Calibri" w:cs="Times New Roman"/>
                <w:color w:val="000000"/>
                <w:sz w:val="20"/>
                <w:szCs w:val="20"/>
                <w:lang w:val="es-ES" w:eastAsia="es-ES"/>
              </w:rPr>
              <w:t>99.577</w:t>
            </w:r>
          </w:p>
        </w:tc>
      </w:tr>
    </w:tbl>
    <w:p w:rsidR="004E56CD" w:rsidRDefault="004E56CD" w:rsidP="00ED11CC"/>
    <w:p w:rsidR="004E56CD" w:rsidRPr="004E56CD" w:rsidRDefault="004E56CD" w:rsidP="00ED11CC">
      <w:pPr>
        <w:rPr>
          <w:b/>
        </w:rPr>
      </w:pPr>
      <w:r w:rsidRPr="004E56CD">
        <w:rPr>
          <w:b/>
        </w:rPr>
        <w:t>Cuadro A.4 Actividades desarrolladas por reclusos</w:t>
      </w:r>
    </w:p>
    <w:tbl>
      <w:tblPr>
        <w:tblW w:w="5354" w:type="dxa"/>
        <w:tblInd w:w="97" w:type="dxa"/>
        <w:tblLook w:val="04A0" w:firstRow="1" w:lastRow="0" w:firstColumn="1" w:lastColumn="0" w:noHBand="0" w:noVBand="1"/>
      </w:tblPr>
      <w:tblGrid>
        <w:gridCol w:w="1755"/>
        <w:gridCol w:w="1186"/>
        <w:gridCol w:w="1182"/>
        <w:gridCol w:w="1231"/>
      </w:tblGrid>
      <w:tr w:rsidR="004E56CD" w:rsidRPr="004E56CD" w:rsidTr="004E56CD">
        <w:trPr>
          <w:trHeight w:val="288"/>
        </w:trPr>
        <w:tc>
          <w:tcPr>
            <w:tcW w:w="5354" w:type="dxa"/>
            <w:gridSpan w:val="4"/>
            <w:tcBorders>
              <w:top w:val="single" w:sz="4" w:space="0" w:color="auto"/>
              <w:left w:val="nil"/>
              <w:bottom w:val="single" w:sz="4" w:space="0" w:color="auto"/>
              <w:right w:val="nil"/>
            </w:tcBorders>
            <w:shd w:val="clear" w:color="auto" w:fill="auto"/>
            <w:noWrap/>
            <w:vAlign w:val="bottom"/>
            <w:hideMark/>
          </w:tcPr>
          <w:p w:rsidR="004E56CD" w:rsidRPr="004E56CD" w:rsidRDefault="004E56CD" w:rsidP="004E56CD">
            <w:pPr>
              <w:spacing w:after="0" w:line="240" w:lineRule="auto"/>
              <w:rPr>
                <w:rFonts w:ascii="Calibri" w:eastAsia="Times New Roman" w:hAnsi="Calibri" w:cs="Times New Roman"/>
                <w:b/>
                <w:bCs/>
                <w:color w:val="000000"/>
                <w:sz w:val="20"/>
                <w:szCs w:val="20"/>
              </w:rPr>
            </w:pPr>
            <w:r w:rsidRPr="004E56CD">
              <w:rPr>
                <w:rFonts w:ascii="Calibri" w:eastAsia="Times New Roman" w:hAnsi="Calibri" w:cs="Times New Roman"/>
                <w:b/>
                <w:bCs/>
                <w:color w:val="000000"/>
                <w:sz w:val="20"/>
                <w:szCs w:val="20"/>
              </w:rPr>
              <w:t>p50. En este establecimiento, desempeña actividades laborales?</w:t>
            </w:r>
          </w:p>
        </w:tc>
      </w:tr>
      <w:tr w:rsidR="004E56CD" w:rsidRPr="004E56CD" w:rsidTr="004E56CD">
        <w:trPr>
          <w:trHeight w:val="288"/>
        </w:trPr>
        <w:tc>
          <w:tcPr>
            <w:tcW w:w="1755" w:type="dxa"/>
            <w:tcBorders>
              <w:top w:val="nil"/>
              <w:left w:val="nil"/>
              <w:bottom w:val="nil"/>
              <w:right w:val="nil"/>
            </w:tcBorders>
            <w:shd w:val="clear" w:color="auto" w:fill="auto"/>
            <w:noWrap/>
            <w:vAlign w:val="bottom"/>
            <w:hideMark/>
          </w:tcPr>
          <w:p w:rsidR="004E56CD" w:rsidRPr="004E56CD" w:rsidRDefault="004E56CD" w:rsidP="004E56CD">
            <w:pPr>
              <w:spacing w:after="0" w:line="240" w:lineRule="auto"/>
              <w:rPr>
                <w:rFonts w:ascii="Calibri" w:eastAsia="Times New Roman" w:hAnsi="Calibri" w:cs="Times New Roman"/>
                <w:color w:val="000000"/>
                <w:sz w:val="20"/>
                <w:szCs w:val="20"/>
              </w:rPr>
            </w:pPr>
          </w:p>
        </w:tc>
        <w:tc>
          <w:tcPr>
            <w:tcW w:w="1186" w:type="dxa"/>
            <w:tcBorders>
              <w:top w:val="nil"/>
              <w:left w:val="nil"/>
              <w:bottom w:val="nil"/>
              <w:right w:val="nil"/>
            </w:tcBorders>
            <w:shd w:val="clear" w:color="auto" w:fill="auto"/>
            <w:noWrap/>
            <w:vAlign w:val="bottom"/>
            <w:hideMark/>
          </w:tcPr>
          <w:p w:rsidR="004E56CD" w:rsidRPr="004E56CD" w:rsidRDefault="004E56CD" w:rsidP="004E56CD">
            <w:pPr>
              <w:spacing w:after="0" w:line="240" w:lineRule="auto"/>
              <w:rPr>
                <w:rFonts w:ascii="Calibri" w:eastAsia="Times New Roman" w:hAnsi="Calibri" w:cs="Times New Roman"/>
                <w:color w:val="000000"/>
                <w:sz w:val="20"/>
                <w:szCs w:val="20"/>
              </w:rPr>
            </w:pPr>
            <w:r w:rsidRPr="004E56CD">
              <w:rPr>
                <w:rFonts w:ascii="Calibri" w:eastAsia="Times New Roman" w:hAnsi="Calibri" w:cs="Times New Roman"/>
                <w:color w:val="000000"/>
                <w:sz w:val="20"/>
                <w:szCs w:val="20"/>
              </w:rPr>
              <w:t>Frecuencia</w:t>
            </w:r>
          </w:p>
        </w:tc>
        <w:tc>
          <w:tcPr>
            <w:tcW w:w="1182" w:type="dxa"/>
            <w:tcBorders>
              <w:top w:val="nil"/>
              <w:left w:val="nil"/>
              <w:bottom w:val="nil"/>
              <w:right w:val="nil"/>
            </w:tcBorders>
            <w:shd w:val="clear" w:color="auto" w:fill="auto"/>
            <w:noWrap/>
            <w:vAlign w:val="bottom"/>
            <w:hideMark/>
          </w:tcPr>
          <w:p w:rsidR="004E56CD" w:rsidRPr="004E56CD" w:rsidRDefault="004E56CD" w:rsidP="004E56CD">
            <w:pPr>
              <w:spacing w:after="0" w:line="240" w:lineRule="auto"/>
              <w:rPr>
                <w:rFonts w:ascii="Calibri" w:eastAsia="Times New Roman" w:hAnsi="Calibri" w:cs="Times New Roman"/>
                <w:color w:val="000000"/>
                <w:sz w:val="20"/>
                <w:szCs w:val="20"/>
              </w:rPr>
            </w:pPr>
            <w:r w:rsidRPr="004E56CD">
              <w:rPr>
                <w:rFonts w:ascii="Calibri" w:eastAsia="Times New Roman" w:hAnsi="Calibri" w:cs="Times New Roman"/>
                <w:color w:val="000000"/>
                <w:sz w:val="20"/>
                <w:szCs w:val="20"/>
              </w:rPr>
              <w:t>Porcentaje</w:t>
            </w:r>
          </w:p>
        </w:tc>
        <w:tc>
          <w:tcPr>
            <w:tcW w:w="1231" w:type="dxa"/>
            <w:tcBorders>
              <w:top w:val="nil"/>
              <w:left w:val="nil"/>
              <w:bottom w:val="nil"/>
              <w:right w:val="nil"/>
            </w:tcBorders>
            <w:shd w:val="clear" w:color="auto" w:fill="auto"/>
            <w:noWrap/>
            <w:vAlign w:val="bottom"/>
            <w:hideMark/>
          </w:tcPr>
          <w:p w:rsidR="004E56CD" w:rsidRPr="004E56CD" w:rsidRDefault="004E56CD" w:rsidP="004E56CD">
            <w:pPr>
              <w:spacing w:after="0" w:line="240" w:lineRule="auto"/>
              <w:rPr>
                <w:rFonts w:ascii="Calibri" w:eastAsia="Times New Roman" w:hAnsi="Calibri" w:cs="Times New Roman"/>
                <w:color w:val="000000"/>
                <w:sz w:val="20"/>
                <w:szCs w:val="20"/>
              </w:rPr>
            </w:pPr>
            <w:r w:rsidRPr="004E56CD">
              <w:rPr>
                <w:rFonts w:ascii="Calibri" w:eastAsia="Times New Roman" w:hAnsi="Calibri" w:cs="Times New Roman"/>
                <w:color w:val="000000"/>
                <w:sz w:val="20"/>
                <w:szCs w:val="20"/>
              </w:rPr>
              <w:t>Acumulado</w:t>
            </w:r>
          </w:p>
        </w:tc>
      </w:tr>
      <w:tr w:rsidR="004E56CD" w:rsidRPr="004E56CD" w:rsidTr="004E56CD">
        <w:trPr>
          <w:trHeight w:val="288"/>
        </w:trPr>
        <w:tc>
          <w:tcPr>
            <w:tcW w:w="1755" w:type="dxa"/>
            <w:tcBorders>
              <w:top w:val="nil"/>
              <w:left w:val="nil"/>
              <w:bottom w:val="nil"/>
              <w:right w:val="nil"/>
            </w:tcBorders>
            <w:shd w:val="clear" w:color="auto" w:fill="auto"/>
            <w:noWrap/>
            <w:vAlign w:val="bottom"/>
            <w:hideMark/>
          </w:tcPr>
          <w:p w:rsidR="004E56CD" w:rsidRPr="004E56CD" w:rsidRDefault="004E56CD" w:rsidP="004E56CD">
            <w:pPr>
              <w:spacing w:after="0" w:line="240" w:lineRule="auto"/>
              <w:rPr>
                <w:rFonts w:ascii="Calibri" w:eastAsia="Times New Roman" w:hAnsi="Calibri" w:cs="Times New Roman"/>
                <w:color w:val="000000"/>
                <w:sz w:val="20"/>
                <w:szCs w:val="20"/>
              </w:rPr>
            </w:pPr>
            <w:r w:rsidRPr="004E56CD">
              <w:rPr>
                <w:rFonts w:ascii="Calibri" w:eastAsia="Times New Roman" w:hAnsi="Calibri" w:cs="Times New Roman"/>
                <w:color w:val="000000"/>
                <w:sz w:val="20"/>
                <w:szCs w:val="20"/>
              </w:rPr>
              <w:t>si</w:t>
            </w:r>
          </w:p>
        </w:tc>
        <w:tc>
          <w:tcPr>
            <w:tcW w:w="1186" w:type="dxa"/>
            <w:tcBorders>
              <w:top w:val="nil"/>
              <w:left w:val="nil"/>
              <w:bottom w:val="nil"/>
              <w:right w:val="nil"/>
            </w:tcBorders>
            <w:shd w:val="clear" w:color="auto" w:fill="auto"/>
            <w:noWrap/>
            <w:vAlign w:val="bottom"/>
            <w:hideMark/>
          </w:tcPr>
          <w:p w:rsidR="004E56CD" w:rsidRPr="004E56CD" w:rsidRDefault="004E56CD" w:rsidP="004E56CD">
            <w:pPr>
              <w:spacing w:after="0" w:line="240" w:lineRule="auto"/>
              <w:jc w:val="right"/>
              <w:rPr>
                <w:rFonts w:ascii="Calibri" w:eastAsia="Times New Roman" w:hAnsi="Calibri" w:cs="Times New Roman"/>
                <w:color w:val="000000"/>
                <w:sz w:val="20"/>
                <w:szCs w:val="20"/>
              </w:rPr>
            </w:pPr>
            <w:r w:rsidRPr="004E56CD">
              <w:rPr>
                <w:rFonts w:ascii="Calibri" w:eastAsia="Times New Roman" w:hAnsi="Calibri" w:cs="Times New Roman"/>
                <w:color w:val="000000"/>
                <w:sz w:val="20"/>
                <w:szCs w:val="20"/>
              </w:rPr>
              <w:t>366</w:t>
            </w:r>
          </w:p>
        </w:tc>
        <w:tc>
          <w:tcPr>
            <w:tcW w:w="1182" w:type="dxa"/>
            <w:tcBorders>
              <w:top w:val="nil"/>
              <w:left w:val="nil"/>
              <w:bottom w:val="nil"/>
              <w:right w:val="nil"/>
            </w:tcBorders>
            <w:shd w:val="clear" w:color="auto" w:fill="auto"/>
            <w:noWrap/>
            <w:vAlign w:val="bottom"/>
            <w:hideMark/>
          </w:tcPr>
          <w:p w:rsidR="004E56CD" w:rsidRPr="004E56CD" w:rsidRDefault="004E56CD" w:rsidP="004E56CD">
            <w:pPr>
              <w:spacing w:after="0" w:line="240" w:lineRule="auto"/>
              <w:jc w:val="right"/>
              <w:rPr>
                <w:rFonts w:ascii="Calibri" w:eastAsia="Times New Roman" w:hAnsi="Calibri" w:cs="Times New Roman"/>
                <w:color w:val="000000"/>
                <w:sz w:val="20"/>
                <w:szCs w:val="20"/>
              </w:rPr>
            </w:pPr>
            <w:r w:rsidRPr="004E56CD">
              <w:rPr>
                <w:rFonts w:ascii="Calibri" w:eastAsia="Times New Roman" w:hAnsi="Calibri" w:cs="Times New Roman"/>
                <w:color w:val="000000"/>
                <w:sz w:val="20"/>
                <w:szCs w:val="20"/>
              </w:rPr>
              <w:t>17</w:t>
            </w:r>
            <w:r>
              <w:rPr>
                <w:rFonts w:ascii="Calibri" w:eastAsia="Times New Roman" w:hAnsi="Calibri" w:cs="Times New Roman"/>
                <w:color w:val="000000"/>
                <w:sz w:val="20"/>
                <w:szCs w:val="20"/>
              </w:rPr>
              <w:t>,2</w:t>
            </w:r>
          </w:p>
        </w:tc>
        <w:tc>
          <w:tcPr>
            <w:tcW w:w="1231" w:type="dxa"/>
            <w:tcBorders>
              <w:top w:val="nil"/>
              <w:left w:val="nil"/>
              <w:bottom w:val="nil"/>
              <w:right w:val="nil"/>
            </w:tcBorders>
            <w:shd w:val="clear" w:color="auto" w:fill="auto"/>
            <w:noWrap/>
            <w:vAlign w:val="bottom"/>
            <w:hideMark/>
          </w:tcPr>
          <w:p w:rsidR="004E56CD" w:rsidRPr="004E56CD" w:rsidRDefault="004E56CD" w:rsidP="004E56C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17,2</w:t>
            </w:r>
          </w:p>
        </w:tc>
      </w:tr>
      <w:tr w:rsidR="004E56CD" w:rsidRPr="004E56CD" w:rsidTr="004E56CD">
        <w:trPr>
          <w:trHeight w:val="288"/>
        </w:trPr>
        <w:tc>
          <w:tcPr>
            <w:tcW w:w="1755" w:type="dxa"/>
            <w:tcBorders>
              <w:top w:val="nil"/>
              <w:left w:val="nil"/>
              <w:bottom w:val="nil"/>
              <w:right w:val="nil"/>
            </w:tcBorders>
            <w:shd w:val="clear" w:color="auto" w:fill="auto"/>
            <w:noWrap/>
            <w:vAlign w:val="bottom"/>
            <w:hideMark/>
          </w:tcPr>
          <w:p w:rsidR="004E56CD" w:rsidRPr="004E56CD" w:rsidRDefault="004E56CD" w:rsidP="004E56CD">
            <w:pPr>
              <w:spacing w:after="0" w:line="240" w:lineRule="auto"/>
              <w:rPr>
                <w:rFonts w:ascii="Calibri" w:eastAsia="Times New Roman" w:hAnsi="Calibri" w:cs="Times New Roman"/>
                <w:color w:val="000000"/>
                <w:sz w:val="20"/>
                <w:szCs w:val="20"/>
              </w:rPr>
            </w:pPr>
            <w:r w:rsidRPr="004E56CD">
              <w:rPr>
                <w:rFonts w:ascii="Calibri" w:eastAsia="Times New Roman" w:hAnsi="Calibri" w:cs="Times New Roman"/>
                <w:color w:val="000000"/>
                <w:sz w:val="20"/>
                <w:szCs w:val="20"/>
              </w:rPr>
              <w:t>no</w:t>
            </w:r>
          </w:p>
        </w:tc>
        <w:tc>
          <w:tcPr>
            <w:tcW w:w="1186" w:type="dxa"/>
            <w:tcBorders>
              <w:top w:val="nil"/>
              <w:left w:val="nil"/>
              <w:bottom w:val="nil"/>
              <w:right w:val="nil"/>
            </w:tcBorders>
            <w:shd w:val="clear" w:color="auto" w:fill="auto"/>
            <w:noWrap/>
            <w:vAlign w:val="bottom"/>
            <w:hideMark/>
          </w:tcPr>
          <w:p w:rsidR="004E56CD" w:rsidRPr="004E56CD" w:rsidRDefault="004E56CD" w:rsidP="004E56C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r w:rsidRPr="004E56CD">
              <w:rPr>
                <w:rFonts w:ascii="Calibri" w:eastAsia="Times New Roman" w:hAnsi="Calibri" w:cs="Times New Roman"/>
                <w:color w:val="000000"/>
                <w:sz w:val="20"/>
                <w:szCs w:val="20"/>
              </w:rPr>
              <w:t>764</w:t>
            </w:r>
          </w:p>
        </w:tc>
        <w:tc>
          <w:tcPr>
            <w:tcW w:w="1182" w:type="dxa"/>
            <w:tcBorders>
              <w:top w:val="nil"/>
              <w:left w:val="nil"/>
              <w:bottom w:val="nil"/>
              <w:right w:val="nil"/>
            </w:tcBorders>
            <w:shd w:val="clear" w:color="auto" w:fill="auto"/>
            <w:noWrap/>
            <w:vAlign w:val="bottom"/>
            <w:hideMark/>
          </w:tcPr>
          <w:p w:rsidR="004E56CD" w:rsidRPr="004E56CD" w:rsidRDefault="004E56CD" w:rsidP="004E56CD">
            <w:pPr>
              <w:spacing w:after="0" w:line="240" w:lineRule="auto"/>
              <w:jc w:val="right"/>
              <w:rPr>
                <w:rFonts w:ascii="Calibri" w:eastAsia="Times New Roman" w:hAnsi="Calibri" w:cs="Times New Roman"/>
                <w:color w:val="000000"/>
                <w:sz w:val="20"/>
                <w:szCs w:val="20"/>
              </w:rPr>
            </w:pPr>
            <w:r w:rsidRPr="004E56CD">
              <w:rPr>
                <w:rFonts w:ascii="Calibri" w:eastAsia="Times New Roman" w:hAnsi="Calibri" w:cs="Times New Roman"/>
                <w:color w:val="000000"/>
                <w:sz w:val="20"/>
                <w:szCs w:val="20"/>
              </w:rPr>
              <w:t>82</w:t>
            </w:r>
            <w:r>
              <w:rPr>
                <w:rFonts w:ascii="Calibri" w:eastAsia="Times New Roman" w:hAnsi="Calibri" w:cs="Times New Roman"/>
                <w:color w:val="000000"/>
                <w:sz w:val="20"/>
                <w:szCs w:val="20"/>
              </w:rPr>
              <w:t>,8</w:t>
            </w:r>
          </w:p>
        </w:tc>
        <w:tc>
          <w:tcPr>
            <w:tcW w:w="1231" w:type="dxa"/>
            <w:tcBorders>
              <w:top w:val="nil"/>
              <w:left w:val="nil"/>
              <w:bottom w:val="nil"/>
              <w:right w:val="nil"/>
            </w:tcBorders>
            <w:shd w:val="clear" w:color="auto" w:fill="auto"/>
            <w:noWrap/>
            <w:vAlign w:val="bottom"/>
            <w:hideMark/>
          </w:tcPr>
          <w:p w:rsidR="004E56CD" w:rsidRPr="004E56CD" w:rsidRDefault="004E56CD" w:rsidP="004E56C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99,</w:t>
            </w:r>
            <w:r w:rsidRPr="004E56CD">
              <w:rPr>
                <w:rFonts w:ascii="Calibri" w:eastAsia="Times New Roman" w:hAnsi="Calibri" w:cs="Times New Roman"/>
                <w:color w:val="000000"/>
                <w:sz w:val="20"/>
                <w:szCs w:val="20"/>
              </w:rPr>
              <w:t>9</w:t>
            </w:r>
          </w:p>
        </w:tc>
      </w:tr>
      <w:tr w:rsidR="004E56CD" w:rsidRPr="004E56CD" w:rsidTr="004E56CD">
        <w:trPr>
          <w:trHeight w:val="288"/>
        </w:trPr>
        <w:tc>
          <w:tcPr>
            <w:tcW w:w="1755" w:type="dxa"/>
            <w:tcBorders>
              <w:top w:val="nil"/>
              <w:left w:val="nil"/>
              <w:bottom w:val="nil"/>
              <w:right w:val="nil"/>
            </w:tcBorders>
            <w:shd w:val="clear" w:color="auto" w:fill="auto"/>
            <w:noWrap/>
            <w:vAlign w:val="bottom"/>
            <w:hideMark/>
          </w:tcPr>
          <w:p w:rsidR="004E56CD" w:rsidRPr="004E56CD" w:rsidRDefault="004E56CD" w:rsidP="004E56CD">
            <w:pPr>
              <w:spacing w:after="0" w:line="240" w:lineRule="auto"/>
              <w:rPr>
                <w:rFonts w:ascii="Calibri" w:eastAsia="Times New Roman" w:hAnsi="Calibri" w:cs="Times New Roman"/>
                <w:color w:val="000000"/>
                <w:sz w:val="20"/>
                <w:szCs w:val="20"/>
              </w:rPr>
            </w:pPr>
            <w:r w:rsidRPr="004E56CD">
              <w:rPr>
                <w:rFonts w:ascii="Calibri" w:eastAsia="Times New Roman" w:hAnsi="Calibri" w:cs="Times New Roman"/>
                <w:color w:val="000000"/>
                <w:sz w:val="20"/>
                <w:szCs w:val="20"/>
              </w:rPr>
              <w:t>ns/nc</w:t>
            </w:r>
          </w:p>
        </w:tc>
        <w:tc>
          <w:tcPr>
            <w:tcW w:w="1186" w:type="dxa"/>
            <w:tcBorders>
              <w:top w:val="nil"/>
              <w:left w:val="nil"/>
              <w:bottom w:val="nil"/>
              <w:right w:val="nil"/>
            </w:tcBorders>
            <w:shd w:val="clear" w:color="auto" w:fill="auto"/>
            <w:noWrap/>
            <w:vAlign w:val="bottom"/>
            <w:hideMark/>
          </w:tcPr>
          <w:p w:rsidR="004E56CD" w:rsidRPr="004E56CD" w:rsidRDefault="004E56CD" w:rsidP="004E56CD">
            <w:pPr>
              <w:spacing w:after="0" w:line="240" w:lineRule="auto"/>
              <w:jc w:val="right"/>
              <w:rPr>
                <w:rFonts w:ascii="Calibri" w:eastAsia="Times New Roman" w:hAnsi="Calibri" w:cs="Times New Roman"/>
                <w:color w:val="000000"/>
                <w:sz w:val="20"/>
                <w:szCs w:val="20"/>
              </w:rPr>
            </w:pPr>
            <w:r w:rsidRPr="004E56CD">
              <w:rPr>
                <w:rFonts w:ascii="Calibri" w:eastAsia="Times New Roman" w:hAnsi="Calibri" w:cs="Times New Roman"/>
                <w:color w:val="000000"/>
                <w:sz w:val="20"/>
                <w:szCs w:val="20"/>
              </w:rPr>
              <w:t>1</w:t>
            </w:r>
          </w:p>
        </w:tc>
        <w:tc>
          <w:tcPr>
            <w:tcW w:w="1182" w:type="dxa"/>
            <w:tcBorders>
              <w:top w:val="nil"/>
              <w:left w:val="nil"/>
              <w:bottom w:val="nil"/>
              <w:right w:val="nil"/>
            </w:tcBorders>
            <w:shd w:val="clear" w:color="auto" w:fill="auto"/>
            <w:noWrap/>
            <w:vAlign w:val="bottom"/>
            <w:hideMark/>
          </w:tcPr>
          <w:p w:rsidR="004E56CD" w:rsidRPr="004E56CD" w:rsidRDefault="004E56CD" w:rsidP="004E56C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r w:rsidRPr="004E56CD">
              <w:rPr>
                <w:rFonts w:ascii="Calibri" w:eastAsia="Times New Roman" w:hAnsi="Calibri" w:cs="Times New Roman"/>
                <w:color w:val="000000"/>
                <w:sz w:val="20"/>
                <w:szCs w:val="20"/>
              </w:rPr>
              <w:t>05</w:t>
            </w:r>
          </w:p>
        </w:tc>
        <w:tc>
          <w:tcPr>
            <w:tcW w:w="1231" w:type="dxa"/>
            <w:tcBorders>
              <w:top w:val="nil"/>
              <w:left w:val="nil"/>
              <w:bottom w:val="nil"/>
              <w:right w:val="nil"/>
            </w:tcBorders>
            <w:shd w:val="clear" w:color="auto" w:fill="auto"/>
            <w:noWrap/>
            <w:vAlign w:val="bottom"/>
            <w:hideMark/>
          </w:tcPr>
          <w:p w:rsidR="004E56CD" w:rsidRPr="004E56CD" w:rsidRDefault="004E56CD" w:rsidP="004E56CD">
            <w:pPr>
              <w:spacing w:after="0" w:line="240" w:lineRule="auto"/>
              <w:jc w:val="right"/>
              <w:rPr>
                <w:rFonts w:ascii="Calibri" w:eastAsia="Times New Roman" w:hAnsi="Calibri" w:cs="Times New Roman"/>
                <w:color w:val="000000"/>
                <w:sz w:val="20"/>
                <w:szCs w:val="20"/>
              </w:rPr>
            </w:pPr>
            <w:r w:rsidRPr="004E56CD">
              <w:rPr>
                <w:rFonts w:ascii="Calibri" w:eastAsia="Times New Roman" w:hAnsi="Calibri" w:cs="Times New Roman"/>
                <w:color w:val="000000"/>
                <w:sz w:val="20"/>
                <w:szCs w:val="20"/>
              </w:rPr>
              <w:t>100</w:t>
            </w:r>
          </w:p>
        </w:tc>
      </w:tr>
      <w:tr w:rsidR="004E56CD" w:rsidRPr="004E56CD" w:rsidTr="004E56CD">
        <w:trPr>
          <w:trHeight w:val="288"/>
        </w:trPr>
        <w:tc>
          <w:tcPr>
            <w:tcW w:w="1755" w:type="dxa"/>
            <w:tcBorders>
              <w:top w:val="nil"/>
              <w:left w:val="nil"/>
              <w:bottom w:val="single" w:sz="4" w:space="0" w:color="auto"/>
              <w:right w:val="nil"/>
            </w:tcBorders>
            <w:shd w:val="clear" w:color="auto" w:fill="auto"/>
            <w:noWrap/>
            <w:vAlign w:val="bottom"/>
            <w:hideMark/>
          </w:tcPr>
          <w:p w:rsidR="004E56CD" w:rsidRPr="004E56CD" w:rsidRDefault="004E56CD" w:rsidP="004E56CD">
            <w:pPr>
              <w:spacing w:after="0" w:line="240" w:lineRule="auto"/>
              <w:rPr>
                <w:rFonts w:ascii="Calibri" w:eastAsia="Times New Roman" w:hAnsi="Calibri" w:cs="Times New Roman"/>
                <w:color w:val="000000"/>
                <w:sz w:val="20"/>
                <w:szCs w:val="20"/>
              </w:rPr>
            </w:pPr>
            <w:r w:rsidRPr="004E56CD">
              <w:rPr>
                <w:rFonts w:ascii="Calibri" w:eastAsia="Times New Roman" w:hAnsi="Calibri" w:cs="Times New Roman"/>
                <w:color w:val="000000"/>
                <w:sz w:val="20"/>
                <w:szCs w:val="20"/>
              </w:rPr>
              <w:t>Total</w:t>
            </w:r>
          </w:p>
        </w:tc>
        <w:tc>
          <w:tcPr>
            <w:tcW w:w="1186" w:type="dxa"/>
            <w:tcBorders>
              <w:top w:val="nil"/>
              <w:left w:val="nil"/>
              <w:bottom w:val="single" w:sz="4" w:space="0" w:color="auto"/>
              <w:right w:val="nil"/>
            </w:tcBorders>
            <w:shd w:val="clear" w:color="auto" w:fill="auto"/>
            <w:noWrap/>
            <w:vAlign w:val="bottom"/>
            <w:hideMark/>
          </w:tcPr>
          <w:p w:rsidR="004E56CD" w:rsidRPr="004E56CD" w:rsidRDefault="004E56CD" w:rsidP="004E56C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r w:rsidRPr="004E56CD">
              <w:rPr>
                <w:rFonts w:ascii="Calibri" w:eastAsia="Times New Roman" w:hAnsi="Calibri" w:cs="Times New Roman"/>
                <w:color w:val="000000"/>
                <w:sz w:val="20"/>
                <w:szCs w:val="20"/>
              </w:rPr>
              <w:t>131</w:t>
            </w:r>
          </w:p>
        </w:tc>
        <w:tc>
          <w:tcPr>
            <w:tcW w:w="1182" w:type="dxa"/>
            <w:tcBorders>
              <w:top w:val="nil"/>
              <w:left w:val="nil"/>
              <w:bottom w:val="single" w:sz="4" w:space="0" w:color="auto"/>
              <w:right w:val="nil"/>
            </w:tcBorders>
            <w:shd w:val="clear" w:color="auto" w:fill="auto"/>
            <w:noWrap/>
            <w:vAlign w:val="bottom"/>
            <w:hideMark/>
          </w:tcPr>
          <w:p w:rsidR="004E56CD" w:rsidRPr="004E56CD" w:rsidRDefault="004E56CD" w:rsidP="004E56CD">
            <w:pPr>
              <w:spacing w:after="0" w:line="240" w:lineRule="auto"/>
              <w:jc w:val="right"/>
              <w:rPr>
                <w:rFonts w:ascii="Calibri" w:eastAsia="Times New Roman" w:hAnsi="Calibri" w:cs="Times New Roman"/>
                <w:color w:val="000000"/>
                <w:sz w:val="20"/>
                <w:szCs w:val="20"/>
              </w:rPr>
            </w:pPr>
            <w:r w:rsidRPr="004E56CD">
              <w:rPr>
                <w:rFonts w:ascii="Calibri" w:eastAsia="Times New Roman" w:hAnsi="Calibri" w:cs="Times New Roman"/>
                <w:color w:val="000000"/>
                <w:sz w:val="20"/>
                <w:szCs w:val="20"/>
              </w:rPr>
              <w:t>100</w:t>
            </w:r>
          </w:p>
        </w:tc>
        <w:tc>
          <w:tcPr>
            <w:tcW w:w="1231" w:type="dxa"/>
            <w:tcBorders>
              <w:top w:val="nil"/>
              <w:left w:val="nil"/>
              <w:bottom w:val="single" w:sz="4" w:space="0" w:color="auto"/>
              <w:right w:val="nil"/>
            </w:tcBorders>
            <w:shd w:val="clear" w:color="auto" w:fill="auto"/>
            <w:noWrap/>
            <w:vAlign w:val="bottom"/>
            <w:hideMark/>
          </w:tcPr>
          <w:p w:rsidR="004E56CD" w:rsidRPr="004E56CD" w:rsidRDefault="004E56CD" w:rsidP="004E56CD">
            <w:pPr>
              <w:spacing w:after="0" w:line="240" w:lineRule="auto"/>
              <w:rPr>
                <w:rFonts w:ascii="Calibri" w:eastAsia="Times New Roman" w:hAnsi="Calibri" w:cs="Times New Roman"/>
                <w:color w:val="000000"/>
                <w:sz w:val="20"/>
                <w:szCs w:val="20"/>
              </w:rPr>
            </w:pPr>
            <w:r w:rsidRPr="004E56CD">
              <w:rPr>
                <w:rFonts w:ascii="Calibri" w:eastAsia="Times New Roman" w:hAnsi="Calibri" w:cs="Times New Roman"/>
                <w:color w:val="000000"/>
                <w:sz w:val="20"/>
                <w:szCs w:val="20"/>
              </w:rPr>
              <w:t> </w:t>
            </w:r>
          </w:p>
        </w:tc>
      </w:tr>
      <w:tr w:rsidR="004E56CD" w:rsidRPr="004E56CD" w:rsidTr="004E56CD">
        <w:trPr>
          <w:trHeight w:val="288"/>
        </w:trPr>
        <w:tc>
          <w:tcPr>
            <w:tcW w:w="4123" w:type="dxa"/>
            <w:gridSpan w:val="3"/>
            <w:tcBorders>
              <w:top w:val="single" w:sz="4" w:space="0" w:color="auto"/>
              <w:left w:val="nil"/>
              <w:bottom w:val="single" w:sz="4" w:space="0" w:color="auto"/>
              <w:right w:val="nil"/>
            </w:tcBorders>
            <w:shd w:val="clear" w:color="auto" w:fill="auto"/>
            <w:noWrap/>
            <w:vAlign w:val="bottom"/>
            <w:hideMark/>
          </w:tcPr>
          <w:p w:rsidR="004E56CD" w:rsidRPr="004E56CD" w:rsidRDefault="004E56CD" w:rsidP="004E56CD">
            <w:pPr>
              <w:spacing w:after="0" w:line="240" w:lineRule="auto"/>
              <w:rPr>
                <w:rFonts w:ascii="Calibri" w:eastAsia="Times New Roman" w:hAnsi="Calibri" w:cs="Times New Roman"/>
                <w:b/>
                <w:bCs/>
                <w:color w:val="000000"/>
                <w:sz w:val="20"/>
                <w:szCs w:val="20"/>
              </w:rPr>
            </w:pPr>
            <w:r w:rsidRPr="004E56CD">
              <w:rPr>
                <w:rFonts w:ascii="Calibri" w:eastAsia="Times New Roman" w:hAnsi="Calibri" w:cs="Times New Roman"/>
                <w:b/>
                <w:bCs/>
                <w:color w:val="000000"/>
                <w:sz w:val="20"/>
                <w:szCs w:val="20"/>
              </w:rPr>
              <w:t>p51. Las tareas que desempeña son…?</w:t>
            </w:r>
          </w:p>
        </w:tc>
        <w:tc>
          <w:tcPr>
            <w:tcW w:w="1231" w:type="dxa"/>
            <w:tcBorders>
              <w:top w:val="single" w:sz="4" w:space="0" w:color="auto"/>
              <w:left w:val="nil"/>
              <w:bottom w:val="single" w:sz="4" w:space="0" w:color="auto"/>
              <w:right w:val="nil"/>
            </w:tcBorders>
            <w:shd w:val="clear" w:color="auto" w:fill="auto"/>
            <w:noWrap/>
            <w:vAlign w:val="bottom"/>
            <w:hideMark/>
          </w:tcPr>
          <w:p w:rsidR="004E56CD" w:rsidRPr="004E56CD" w:rsidRDefault="004E56CD" w:rsidP="004E56CD">
            <w:pPr>
              <w:spacing w:after="0" w:line="240" w:lineRule="auto"/>
              <w:rPr>
                <w:rFonts w:ascii="Calibri" w:eastAsia="Times New Roman" w:hAnsi="Calibri" w:cs="Times New Roman"/>
                <w:b/>
                <w:bCs/>
                <w:color w:val="000000"/>
                <w:sz w:val="20"/>
                <w:szCs w:val="20"/>
              </w:rPr>
            </w:pPr>
            <w:r w:rsidRPr="004E56CD">
              <w:rPr>
                <w:rFonts w:ascii="Calibri" w:eastAsia="Times New Roman" w:hAnsi="Calibri" w:cs="Times New Roman"/>
                <w:b/>
                <w:bCs/>
                <w:color w:val="000000"/>
                <w:sz w:val="20"/>
                <w:szCs w:val="20"/>
              </w:rPr>
              <w:t> </w:t>
            </w:r>
          </w:p>
        </w:tc>
      </w:tr>
      <w:tr w:rsidR="004E56CD" w:rsidRPr="004E56CD" w:rsidTr="004E56CD">
        <w:trPr>
          <w:trHeight w:val="288"/>
        </w:trPr>
        <w:tc>
          <w:tcPr>
            <w:tcW w:w="1755" w:type="dxa"/>
            <w:tcBorders>
              <w:top w:val="nil"/>
              <w:left w:val="nil"/>
              <w:bottom w:val="nil"/>
              <w:right w:val="nil"/>
            </w:tcBorders>
            <w:shd w:val="clear" w:color="auto" w:fill="auto"/>
            <w:noWrap/>
            <w:vAlign w:val="bottom"/>
            <w:hideMark/>
          </w:tcPr>
          <w:p w:rsidR="004E56CD" w:rsidRPr="004E56CD" w:rsidRDefault="004E56CD" w:rsidP="004E56CD">
            <w:pPr>
              <w:spacing w:after="0" w:line="240" w:lineRule="auto"/>
              <w:rPr>
                <w:rFonts w:ascii="Calibri" w:eastAsia="Times New Roman" w:hAnsi="Calibri" w:cs="Times New Roman"/>
                <w:color w:val="000000"/>
                <w:sz w:val="20"/>
                <w:szCs w:val="20"/>
              </w:rPr>
            </w:pPr>
          </w:p>
        </w:tc>
        <w:tc>
          <w:tcPr>
            <w:tcW w:w="1186" w:type="dxa"/>
            <w:tcBorders>
              <w:top w:val="nil"/>
              <w:left w:val="nil"/>
              <w:bottom w:val="nil"/>
              <w:right w:val="nil"/>
            </w:tcBorders>
            <w:shd w:val="clear" w:color="auto" w:fill="auto"/>
            <w:noWrap/>
            <w:vAlign w:val="bottom"/>
            <w:hideMark/>
          </w:tcPr>
          <w:p w:rsidR="004E56CD" w:rsidRPr="004E56CD" w:rsidRDefault="004E56CD" w:rsidP="004E56CD">
            <w:pPr>
              <w:spacing w:after="0" w:line="240" w:lineRule="auto"/>
              <w:rPr>
                <w:rFonts w:ascii="Calibri" w:eastAsia="Times New Roman" w:hAnsi="Calibri" w:cs="Times New Roman"/>
                <w:color w:val="000000"/>
                <w:sz w:val="20"/>
                <w:szCs w:val="20"/>
              </w:rPr>
            </w:pPr>
            <w:r w:rsidRPr="004E56CD">
              <w:rPr>
                <w:rFonts w:ascii="Calibri" w:eastAsia="Times New Roman" w:hAnsi="Calibri" w:cs="Times New Roman"/>
                <w:color w:val="000000"/>
                <w:sz w:val="20"/>
                <w:szCs w:val="20"/>
              </w:rPr>
              <w:t>Frecuencia</w:t>
            </w:r>
          </w:p>
        </w:tc>
        <w:tc>
          <w:tcPr>
            <w:tcW w:w="1182" w:type="dxa"/>
            <w:tcBorders>
              <w:top w:val="nil"/>
              <w:left w:val="nil"/>
              <w:bottom w:val="nil"/>
              <w:right w:val="nil"/>
            </w:tcBorders>
            <w:shd w:val="clear" w:color="auto" w:fill="auto"/>
            <w:noWrap/>
            <w:vAlign w:val="bottom"/>
            <w:hideMark/>
          </w:tcPr>
          <w:p w:rsidR="004E56CD" w:rsidRPr="004E56CD" w:rsidRDefault="004E56CD" w:rsidP="004E56CD">
            <w:pPr>
              <w:spacing w:after="0" w:line="240" w:lineRule="auto"/>
              <w:rPr>
                <w:rFonts w:ascii="Calibri" w:eastAsia="Times New Roman" w:hAnsi="Calibri" w:cs="Times New Roman"/>
                <w:color w:val="000000"/>
                <w:sz w:val="20"/>
                <w:szCs w:val="20"/>
              </w:rPr>
            </w:pPr>
            <w:r w:rsidRPr="004E56CD">
              <w:rPr>
                <w:rFonts w:ascii="Calibri" w:eastAsia="Times New Roman" w:hAnsi="Calibri" w:cs="Times New Roman"/>
                <w:color w:val="000000"/>
                <w:sz w:val="20"/>
                <w:szCs w:val="20"/>
              </w:rPr>
              <w:t>Porcentaje</w:t>
            </w:r>
          </w:p>
        </w:tc>
        <w:tc>
          <w:tcPr>
            <w:tcW w:w="1231" w:type="dxa"/>
            <w:tcBorders>
              <w:top w:val="nil"/>
              <w:left w:val="nil"/>
              <w:bottom w:val="nil"/>
              <w:right w:val="nil"/>
            </w:tcBorders>
            <w:shd w:val="clear" w:color="auto" w:fill="auto"/>
            <w:noWrap/>
            <w:vAlign w:val="bottom"/>
            <w:hideMark/>
          </w:tcPr>
          <w:p w:rsidR="004E56CD" w:rsidRPr="004E56CD" w:rsidRDefault="004E56CD" w:rsidP="004E56CD">
            <w:pPr>
              <w:spacing w:after="0" w:line="240" w:lineRule="auto"/>
              <w:rPr>
                <w:rFonts w:ascii="Calibri" w:eastAsia="Times New Roman" w:hAnsi="Calibri" w:cs="Times New Roman"/>
                <w:color w:val="000000"/>
                <w:sz w:val="20"/>
                <w:szCs w:val="20"/>
              </w:rPr>
            </w:pPr>
            <w:r w:rsidRPr="004E56CD">
              <w:rPr>
                <w:rFonts w:ascii="Calibri" w:eastAsia="Times New Roman" w:hAnsi="Calibri" w:cs="Times New Roman"/>
                <w:color w:val="000000"/>
                <w:sz w:val="20"/>
                <w:szCs w:val="20"/>
              </w:rPr>
              <w:t>Acumulado</w:t>
            </w:r>
          </w:p>
        </w:tc>
      </w:tr>
      <w:tr w:rsidR="004E56CD" w:rsidRPr="004E56CD" w:rsidTr="004E56CD">
        <w:trPr>
          <w:trHeight w:val="288"/>
        </w:trPr>
        <w:tc>
          <w:tcPr>
            <w:tcW w:w="1755" w:type="dxa"/>
            <w:tcBorders>
              <w:top w:val="nil"/>
              <w:left w:val="nil"/>
              <w:bottom w:val="nil"/>
              <w:right w:val="nil"/>
            </w:tcBorders>
            <w:shd w:val="clear" w:color="auto" w:fill="auto"/>
            <w:noWrap/>
            <w:vAlign w:val="bottom"/>
            <w:hideMark/>
          </w:tcPr>
          <w:p w:rsidR="004E56CD" w:rsidRPr="004E56CD" w:rsidRDefault="004E56CD" w:rsidP="004E56CD">
            <w:pPr>
              <w:spacing w:after="0" w:line="240" w:lineRule="auto"/>
              <w:rPr>
                <w:rFonts w:ascii="Calibri" w:eastAsia="Times New Roman" w:hAnsi="Calibri" w:cs="Times New Roman"/>
                <w:color w:val="000000"/>
                <w:sz w:val="20"/>
                <w:szCs w:val="20"/>
              </w:rPr>
            </w:pPr>
            <w:r w:rsidRPr="004E56CD">
              <w:rPr>
                <w:rFonts w:ascii="Calibri" w:eastAsia="Times New Roman" w:hAnsi="Calibri" w:cs="Times New Roman"/>
                <w:color w:val="000000"/>
                <w:sz w:val="20"/>
                <w:szCs w:val="20"/>
              </w:rPr>
              <w:t>pagas</w:t>
            </w:r>
          </w:p>
        </w:tc>
        <w:tc>
          <w:tcPr>
            <w:tcW w:w="1186" w:type="dxa"/>
            <w:tcBorders>
              <w:top w:val="nil"/>
              <w:left w:val="nil"/>
              <w:bottom w:val="nil"/>
              <w:right w:val="nil"/>
            </w:tcBorders>
            <w:shd w:val="clear" w:color="auto" w:fill="auto"/>
            <w:noWrap/>
            <w:vAlign w:val="bottom"/>
            <w:hideMark/>
          </w:tcPr>
          <w:p w:rsidR="004E56CD" w:rsidRPr="004E56CD" w:rsidRDefault="004E56CD" w:rsidP="004E56CD">
            <w:pPr>
              <w:spacing w:after="0" w:line="240" w:lineRule="auto"/>
              <w:jc w:val="right"/>
              <w:rPr>
                <w:rFonts w:ascii="Calibri" w:eastAsia="Times New Roman" w:hAnsi="Calibri" w:cs="Times New Roman"/>
                <w:color w:val="000000"/>
                <w:sz w:val="20"/>
                <w:szCs w:val="20"/>
              </w:rPr>
            </w:pPr>
            <w:r w:rsidRPr="004E56CD">
              <w:rPr>
                <w:rFonts w:ascii="Calibri" w:eastAsia="Times New Roman" w:hAnsi="Calibri" w:cs="Times New Roman"/>
                <w:color w:val="000000"/>
                <w:sz w:val="20"/>
                <w:szCs w:val="20"/>
              </w:rPr>
              <w:t>92</w:t>
            </w:r>
          </w:p>
        </w:tc>
        <w:tc>
          <w:tcPr>
            <w:tcW w:w="1182" w:type="dxa"/>
            <w:tcBorders>
              <w:top w:val="nil"/>
              <w:left w:val="nil"/>
              <w:bottom w:val="nil"/>
              <w:right w:val="nil"/>
            </w:tcBorders>
            <w:shd w:val="clear" w:color="auto" w:fill="auto"/>
            <w:noWrap/>
            <w:vAlign w:val="bottom"/>
            <w:hideMark/>
          </w:tcPr>
          <w:p w:rsidR="004E56CD" w:rsidRPr="004E56CD" w:rsidRDefault="004E56CD" w:rsidP="004E56CD">
            <w:pPr>
              <w:spacing w:after="0" w:line="240" w:lineRule="auto"/>
              <w:jc w:val="right"/>
              <w:rPr>
                <w:rFonts w:ascii="Calibri" w:eastAsia="Times New Roman" w:hAnsi="Calibri" w:cs="Times New Roman"/>
                <w:color w:val="000000"/>
                <w:sz w:val="20"/>
                <w:szCs w:val="20"/>
              </w:rPr>
            </w:pPr>
            <w:r w:rsidRPr="004E56CD">
              <w:rPr>
                <w:rFonts w:ascii="Calibri" w:eastAsia="Times New Roman" w:hAnsi="Calibri" w:cs="Times New Roman"/>
                <w:color w:val="000000"/>
                <w:sz w:val="20"/>
                <w:szCs w:val="20"/>
              </w:rPr>
              <w:t>24</w:t>
            </w:r>
            <w:r>
              <w:rPr>
                <w:rFonts w:ascii="Calibri" w:eastAsia="Times New Roman" w:hAnsi="Calibri" w:cs="Times New Roman"/>
                <w:color w:val="000000"/>
                <w:sz w:val="20"/>
                <w:szCs w:val="20"/>
              </w:rPr>
              <w:t>,</w:t>
            </w:r>
            <w:r w:rsidRPr="004E56CD">
              <w:rPr>
                <w:rFonts w:ascii="Calibri" w:eastAsia="Times New Roman" w:hAnsi="Calibri" w:cs="Times New Roman"/>
                <w:color w:val="000000"/>
                <w:sz w:val="20"/>
                <w:szCs w:val="20"/>
              </w:rPr>
              <w:t>9</w:t>
            </w:r>
          </w:p>
        </w:tc>
        <w:tc>
          <w:tcPr>
            <w:tcW w:w="1231" w:type="dxa"/>
            <w:tcBorders>
              <w:top w:val="nil"/>
              <w:left w:val="nil"/>
              <w:bottom w:val="nil"/>
              <w:right w:val="nil"/>
            </w:tcBorders>
            <w:shd w:val="clear" w:color="auto" w:fill="auto"/>
            <w:noWrap/>
            <w:vAlign w:val="bottom"/>
            <w:hideMark/>
          </w:tcPr>
          <w:p w:rsidR="004E56CD" w:rsidRPr="004E56CD" w:rsidRDefault="004E56CD" w:rsidP="004E56C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24,</w:t>
            </w:r>
            <w:r w:rsidRPr="004E56CD">
              <w:rPr>
                <w:rFonts w:ascii="Calibri" w:eastAsia="Times New Roman" w:hAnsi="Calibri" w:cs="Times New Roman"/>
                <w:color w:val="000000"/>
                <w:sz w:val="20"/>
                <w:szCs w:val="20"/>
              </w:rPr>
              <w:t>9</w:t>
            </w:r>
          </w:p>
        </w:tc>
      </w:tr>
      <w:tr w:rsidR="004E56CD" w:rsidRPr="004E56CD" w:rsidTr="004E56CD">
        <w:trPr>
          <w:trHeight w:val="288"/>
        </w:trPr>
        <w:tc>
          <w:tcPr>
            <w:tcW w:w="1755" w:type="dxa"/>
            <w:tcBorders>
              <w:top w:val="nil"/>
              <w:left w:val="nil"/>
              <w:bottom w:val="nil"/>
              <w:right w:val="nil"/>
            </w:tcBorders>
            <w:shd w:val="clear" w:color="auto" w:fill="auto"/>
            <w:noWrap/>
            <w:vAlign w:val="bottom"/>
            <w:hideMark/>
          </w:tcPr>
          <w:p w:rsidR="004E56CD" w:rsidRPr="004E56CD" w:rsidRDefault="004E56CD" w:rsidP="004E56CD">
            <w:pPr>
              <w:spacing w:after="0" w:line="240" w:lineRule="auto"/>
              <w:rPr>
                <w:rFonts w:ascii="Calibri" w:eastAsia="Times New Roman" w:hAnsi="Calibri" w:cs="Times New Roman"/>
                <w:color w:val="000000"/>
                <w:sz w:val="20"/>
                <w:szCs w:val="20"/>
              </w:rPr>
            </w:pPr>
            <w:r w:rsidRPr="004E56CD">
              <w:rPr>
                <w:rFonts w:ascii="Calibri" w:eastAsia="Times New Roman" w:hAnsi="Calibri" w:cs="Times New Roman"/>
                <w:color w:val="000000"/>
                <w:sz w:val="20"/>
                <w:szCs w:val="20"/>
              </w:rPr>
              <w:t>no pagas</w:t>
            </w:r>
          </w:p>
        </w:tc>
        <w:tc>
          <w:tcPr>
            <w:tcW w:w="1186" w:type="dxa"/>
            <w:tcBorders>
              <w:top w:val="nil"/>
              <w:left w:val="nil"/>
              <w:bottom w:val="nil"/>
              <w:right w:val="nil"/>
            </w:tcBorders>
            <w:shd w:val="clear" w:color="auto" w:fill="auto"/>
            <w:noWrap/>
            <w:vAlign w:val="bottom"/>
            <w:hideMark/>
          </w:tcPr>
          <w:p w:rsidR="004E56CD" w:rsidRPr="004E56CD" w:rsidRDefault="004E56CD" w:rsidP="004E56CD">
            <w:pPr>
              <w:spacing w:after="0" w:line="240" w:lineRule="auto"/>
              <w:jc w:val="right"/>
              <w:rPr>
                <w:rFonts w:ascii="Calibri" w:eastAsia="Times New Roman" w:hAnsi="Calibri" w:cs="Times New Roman"/>
                <w:color w:val="000000"/>
                <w:sz w:val="20"/>
                <w:szCs w:val="20"/>
              </w:rPr>
            </w:pPr>
            <w:r w:rsidRPr="004E56CD">
              <w:rPr>
                <w:rFonts w:ascii="Calibri" w:eastAsia="Times New Roman" w:hAnsi="Calibri" w:cs="Times New Roman"/>
                <w:color w:val="000000"/>
                <w:sz w:val="20"/>
                <w:szCs w:val="20"/>
              </w:rPr>
              <w:t>263</w:t>
            </w:r>
          </w:p>
        </w:tc>
        <w:tc>
          <w:tcPr>
            <w:tcW w:w="1182" w:type="dxa"/>
            <w:tcBorders>
              <w:top w:val="nil"/>
              <w:left w:val="nil"/>
              <w:bottom w:val="nil"/>
              <w:right w:val="nil"/>
            </w:tcBorders>
            <w:shd w:val="clear" w:color="auto" w:fill="auto"/>
            <w:noWrap/>
            <w:vAlign w:val="bottom"/>
            <w:hideMark/>
          </w:tcPr>
          <w:p w:rsidR="004E56CD" w:rsidRPr="004E56CD" w:rsidRDefault="004E56CD" w:rsidP="004E56CD">
            <w:pPr>
              <w:spacing w:after="0" w:line="240" w:lineRule="auto"/>
              <w:jc w:val="right"/>
              <w:rPr>
                <w:rFonts w:ascii="Calibri" w:eastAsia="Times New Roman" w:hAnsi="Calibri" w:cs="Times New Roman"/>
                <w:color w:val="000000"/>
                <w:sz w:val="20"/>
                <w:szCs w:val="20"/>
              </w:rPr>
            </w:pPr>
            <w:r w:rsidRPr="004E56CD">
              <w:rPr>
                <w:rFonts w:ascii="Calibri" w:eastAsia="Times New Roman" w:hAnsi="Calibri" w:cs="Times New Roman"/>
                <w:color w:val="000000"/>
                <w:sz w:val="20"/>
                <w:szCs w:val="20"/>
              </w:rPr>
              <w:t>71</w:t>
            </w:r>
            <w:r>
              <w:rPr>
                <w:rFonts w:ascii="Calibri" w:eastAsia="Times New Roman" w:hAnsi="Calibri" w:cs="Times New Roman"/>
                <w:color w:val="000000"/>
                <w:sz w:val="20"/>
                <w:szCs w:val="20"/>
              </w:rPr>
              <w:t>,3</w:t>
            </w:r>
          </w:p>
        </w:tc>
        <w:tc>
          <w:tcPr>
            <w:tcW w:w="1231" w:type="dxa"/>
            <w:tcBorders>
              <w:top w:val="nil"/>
              <w:left w:val="nil"/>
              <w:bottom w:val="nil"/>
              <w:right w:val="nil"/>
            </w:tcBorders>
            <w:shd w:val="clear" w:color="auto" w:fill="auto"/>
            <w:noWrap/>
            <w:vAlign w:val="bottom"/>
            <w:hideMark/>
          </w:tcPr>
          <w:p w:rsidR="004E56CD" w:rsidRPr="004E56CD" w:rsidRDefault="004E56CD" w:rsidP="004E56C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96,</w:t>
            </w:r>
            <w:r w:rsidRPr="004E56CD">
              <w:rPr>
                <w:rFonts w:ascii="Calibri" w:eastAsia="Times New Roman" w:hAnsi="Calibri" w:cs="Times New Roman"/>
                <w:color w:val="000000"/>
                <w:sz w:val="20"/>
                <w:szCs w:val="20"/>
              </w:rPr>
              <w:t>2</w:t>
            </w:r>
          </w:p>
        </w:tc>
      </w:tr>
      <w:tr w:rsidR="004E56CD" w:rsidRPr="004E56CD" w:rsidTr="004E56CD">
        <w:trPr>
          <w:trHeight w:val="288"/>
        </w:trPr>
        <w:tc>
          <w:tcPr>
            <w:tcW w:w="1755" w:type="dxa"/>
            <w:tcBorders>
              <w:top w:val="nil"/>
              <w:left w:val="nil"/>
              <w:bottom w:val="nil"/>
              <w:right w:val="nil"/>
            </w:tcBorders>
            <w:shd w:val="clear" w:color="auto" w:fill="auto"/>
            <w:noWrap/>
            <w:vAlign w:val="bottom"/>
            <w:hideMark/>
          </w:tcPr>
          <w:p w:rsidR="004E56CD" w:rsidRPr="004E56CD" w:rsidRDefault="004E56CD" w:rsidP="004E56CD">
            <w:pPr>
              <w:spacing w:after="0" w:line="240" w:lineRule="auto"/>
              <w:rPr>
                <w:rFonts w:ascii="Calibri" w:eastAsia="Times New Roman" w:hAnsi="Calibri" w:cs="Times New Roman"/>
                <w:color w:val="000000"/>
                <w:sz w:val="20"/>
                <w:szCs w:val="20"/>
              </w:rPr>
            </w:pPr>
            <w:r w:rsidRPr="004E56CD">
              <w:rPr>
                <w:rFonts w:ascii="Calibri" w:eastAsia="Times New Roman" w:hAnsi="Calibri" w:cs="Times New Roman"/>
                <w:color w:val="000000"/>
                <w:sz w:val="20"/>
                <w:szCs w:val="20"/>
              </w:rPr>
              <w:t>pagan en especies</w:t>
            </w:r>
          </w:p>
        </w:tc>
        <w:tc>
          <w:tcPr>
            <w:tcW w:w="1186" w:type="dxa"/>
            <w:tcBorders>
              <w:top w:val="nil"/>
              <w:left w:val="nil"/>
              <w:bottom w:val="nil"/>
              <w:right w:val="nil"/>
            </w:tcBorders>
            <w:shd w:val="clear" w:color="auto" w:fill="auto"/>
            <w:noWrap/>
            <w:vAlign w:val="bottom"/>
            <w:hideMark/>
          </w:tcPr>
          <w:p w:rsidR="004E56CD" w:rsidRPr="004E56CD" w:rsidRDefault="004E56CD" w:rsidP="004E56CD">
            <w:pPr>
              <w:spacing w:after="0" w:line="240" w:lineRule="auto"/>
              <w:jc w:val="right"/>
              <w:rPr>
                <w:rFonts w:ascii="Calibri" w:eastAsia="Times New Roman" w:hAnsi="Calibri" w:cs="Times New Roman"/>
                <w:color w:val="000000"/>
                <w:sz w:val="20"/>
                <w:szCs w:val="20"/>
              </w:rPr>
            </w:pPr>
            <w:r w:rsidRPr="004E56CD">
              <w:rPr>
                <w:rFonts w:ascii="Calibri" w:eastAsia="Times New Roman" w:hAnsi="Calibri" w:cs="Times New Roman"/>
                <w:color w:val="000000"/>
                <w:sz w:val="20"/>
                <w:szCs w:val="20"/>
              </w:rPr>
              <w:t>9</w:t>
            </w:r>
          </w:p>
        </w:tc>
        <w:tc>
          <w:tcPr>
            <w:tcW w:w="1182" w:type="dxa"/>
            <w:tcBorders>
              <w:top w:val="nil"/>
              <w:left w:val="nil"/>
              <w:bottom w:val="nil"/>
              <w:right w:val="nil"/>
            </w:tcBorders>
            <w:shd w:val="clear" w:color="auto" w:fill="auto"/>
            <w:noWrap/>
            <w:vAlign w:val="bottom"/>
            <w:hideMark/>
          </w:tcPr>
          <w:p w:rsidR="004E56CD" w:rsidRPr="004E56CD" w:rsidRDefault="004E56CD" w:rsidP="004E56C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r w:rsidRPr="004E56CD">
              <w:rPr>
                <w:rFonts w:ascii="Calibri" w:eastAsia="Times New Roman" w:hAnsi="Calibri" w:cs="Times New Roman"/>
                <w:color w:val="000000"/>
                <w:sz w:val="20"/>
                <w:szCs w:val="20"/>
              </w:rPr>
              <w:t>4</w:t>
            </w:r>
          </w:p>
        </w:tc>
        <w:tc>
          <w:tcPr>
            <w:tcW w:w="1231" w:type="dxa"/>
            <w:tcBorders>
              <w:top w:val="nil"/>
              <w:left w:val="nil"/>
              <w:bottom w:val="nil"/>
              <w:right w:val="nil"/>
            </w:tcBorders>
            <w:shd w:val="clear" w:color="auto" w:fill="auto"/>
            <w:noWrap/>
            <w:vAlign w:val="bottom"/>
            <w:hideMark/>
          </w:tcPr>
          <w:p w:rsidR="004E56CD" w:rsidRPr="004E56CD" w:rsidRDefault="004E56CD" w:rsidP="004E56C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98,</w:t>
            </w:r>
            <w:r w:rsidRPr="004E56CD">
              <w:rPr>
                <w:rFonts w:ascii="Calibri" w:eastAsia="Times New Roman" w:hAnsi="Calibri" w:cs="Times New Roman"/>
                <w:color w:val="000000"/>
                <w:sz w:val="20"/>
                <w:szCs w:val="20"/>
              </w:rPr>
              <w:t>6</w:t>
            </w:r>
          </w:p>
        </w:tc>
      </w:tr>
      <w:tr w:rsidR="004E56CD" w:rsidRPr="004E56CD" w:rsidTr="004E56CD">
        <w:trPr>
          <w:trHeight w:val="288"/>
        </w:trPr>
        <w:tc>
          <w:tcPr>
            <w:tcW w:w="1755" w:type="dxa"/>
            <w:tcBorders>
              <w:top w:val="nil"/>
              <w:left w:val="nil"/>
              <w:bottom w:val="nil"/>
              <w:right w:val="nil"/>
            </w:tcBorders>
            <w:shd w:val="clear" w:color="auto" w:fill="auto"/>
            <w:noWrap/>
            <w:vAlign w:val="bottom"/>
            <w:hideMark/>
          </w:tcPr>
          <w:p w:rsidR="004E56CD" w:rsidRPr="004E56CD" w:rsidRDefault="004E56CD" w:rsidP="004E56CD">
            <w:pPr>
              <w:spacing w:after="0" w:line="240" w:lineRule="auto"/>
              <w:rPr>
                <w:rFonts w:ascii="Calibri" w:eastAsia="Times New Roman" w:hAnsi="Calibri" w:cs="Times New Roman"/>
                <w:color w:val="000000"/>
                <w:sz w:val="20"/>
                <w:szCs w:val="20"/>
              </w:rPr>
            </w:pPr>
            <w:r w:rsidRPr="004E56CD">
              <w:rPr>
                <w:rFonts w:ascii="Calibri" w:eastAsia="Times New Roman" w:hAnsi="Calibri" w:cs="Times New Roman"/>
                <w:color w:val="000000"/>
                <w:sz w:val="20"/>
                <w:szCs w:val="20"/>
              </w:rPr>
              <w:t>ns/nc</w:t>
            </w:r>
          </w:p>
        </w:tc>
        <w:tc>
          <w:tcPr>
            <w:tcW w:w="1186" w:type="dxa"/>
            <w:tcBorders>
              <w:top w:val="nil"/>
              <w:left w:val="nil"/>
              <w:bottom w:val="nil"/>
              <w:right w:val="nil"/>
            </w:tcBorders>
            <w:shd w:val="clear" w:color="auto" w:fill="auto"/>
            <w:noWrap/>
            <w:vAlign w:val="bottom"/>
            <w:hideMark/>
          </w:tcPr>
          <w:p w:rsidR="004E56CD" w:rsidRPr="004E56CD" w:rsidRDefault="004E56CD" w:rsidP="004E56CD">
            <w:pPr>
              <w:spacing w:after="0" w:line="240" w:lineRule="auto"/>
              <w:jc w:val="right"/>
              <w:rPr>
                <w:rFonts w:ascii="Calibri" w:eastAsia="Times New Roman" w:hAnsi="Calibri" w:cs="Times New Roman"/>
                <w:color w:val="000000"/>
                <w:sz w:val="20"/>
                <w:szCs w:val="20"/>
              </w:rPr>
            </w:pPr>
            <w:r w:rsidRPr="004E56CD">
              <w:rPr>
                <w:rFonts w:ascii="Calibri" w:eastAsia="Times New Roman" w:hAnsi="Calibri" w:cs="Times New Roman"/>
                <w:color w:val="000000"/>
                <w:sz w:val="20"/>
                <w:szCs w:val="20"/>
              </w:rPr>
              <w:t>5</w:t>
            </w:r>
          </w:p>
        </w:tc>
        <w:tc>
          <w:tcPr>
            <w:tcW w:w="1182" w:type="dxa"/>
            <w:tcBorders>
              <w:top w:val="nil"/>
              <w:left w:val="nil"/>
              <w:bottom w:val="nil"/>
              <w:right w:val="nil"/>
            </w:tcBorders>
            <w:shd w:val="clear" w:color="auto" w:fill="auto"/>
            <w:noWrap/>
            <w:vAlign w:val="bottom"/>
            <w:hideMark/>
          </w:tcPr>
          <w:p w:rsidR="004E56CD" w:rsidRPr="004E56CD" w:rsidRDefault="004E56CD" w:rsidP="004E56C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1,4</w:t>
            </w:r>
          </w:p>
        </w:tc>
        <w:tc>
          <w:tcPr>
            <w:tcW w:w="1231" w:type="dxa"/>
            <w:tcBorders>
              <w:top w:val="nil"/>
              <w:left w:val="nil"/>
              <w:bottom w:val="nil"/>
              <w:right w:val="nil"/>
            </w:tcBorders>
            <w:shd w:val="clear" w:color="auto" w:fill="auto"/>
            <w:noWrap/>
            <w:vAlign w:val="bottom"/>
            <w:hideMark/>
          </w:tcPr>
          <w:p w:rsidR="004E56CD" w:rsidRPr="004E56CD" w:rsidRDefault="004E56CD" w:rsidP="004E56CD">
            <w:pPr>
              <w:spacing w:after="0" w:line="240" w:lineRule="auto"/>
              <w:jc w:val="right"/>
              <w:rPr>
                <w:rFonts w:ascii="Calibri" w:eastAsia="Times New Roman" w:hAnsi="Calibri" w:cs="Times New Roman"/>
                <w:color w:val="000000"/>
                <w:sz w:val="20"/>
                <w:szCs w:val="20"/>
              </w:rPr>
            </w:pPr>
            <w:r w:rsidRPr="004E56CD">
              <w:rPr>
                <w:rFonts w:ascii="Calibri" w:eastAsia="Times New Roman" w:hAnsi="Calibri" w:cs="Times New Roman"/>
                <w:color w:val="000000"/>
                <w:sz w:val="20"/>
                <w:szCs w:val="20"/>
              </w:rPr>
              <w:t>100</w:t>
            </w:r>
          </w:p>
        </w:tc>
      </w:tr>
      <w:tr w:rsidR="004E56CD" w:rsidRPr="004E56CD" w:rsidTr="004E56CD">
        <w:trPr>
          <w:trHeight w:val="288"/>
        </w:trPr>
        <w:tc>
          <w:tcPr>
            <w:tcW w:w="1755" w:type="dxa"/>
            <w:tcBorders>
              <w:top w:val="nil"/>
              <w:left w:val="nil"/>
              <w:bottom w:val="single" w:sz="4" w:space="0" w:color="auto"/>
              <w:right w:val="nil"/>
            </w:tcBorders>
            <w:shd w:val="clear" w:color="auto" w:fill="auto"/>
            <w:noWrap/>
            <w:vAlign w:val="bottom"/>
            <w:hideMark/>
          </w:tcPr>
          <w:p w:rsidR="004E56CD" w:rsidRPr="004E56CD" w:rsidRDefault="004E56CD" w:rsidP="004E56CD">
            <w:pPr>
              <w:spacing w:after="0" w:line="240" w:lineRule="auto"/>
              <w:rPr>
                <w:rFonts w:ascii="Calibri" w:eastAsia="Times New Roman" w:hAnsi="Calibri" w:cs="Times New Roman"/>
                <w:color w:val="000000"/>
                <w:sz w:val="20"/>
                <w:szCs w:val="20"/>
              </w:rPr>
            </w:pPr>
            <w:r w:rsidRPr="004E56CD">
              <w:rPr>
                <w:rFonts w:ascii="Calibri" w:eastAsia="Times New Roman" w:hAnsi="Calibri" w:cs="Times New Roman"/>
                <w:color w:val="000000"/>
                <w:sz w:val="20"/>
                <w:szCs w:val="20"/>
              </w:rPr>
              <w:t>Total</w:t>
            </w:r>
          </w:p>
        </w:tc>
        <w:tc>
          <w:tcPr>
            <w:tcW w:w="1186" w:type="dxa"/>
            <w:tcBorders>
              <w:top w:val="nil"/>
              <w:left w:val="nil"/>
              <w:bottom w:val="single" w:sz="4" w:space="0" w:color="auto"/>
              <w:right w:val="nil"/>
            </w:tcBorders>
            <w:shd w:val="clear" w:color="auto" w:fill="auto"/>
            <w:noWrap/>
            <w:vAlign w:val="bottom"/>
            <w:hideMark/>
          </w:tcPr>
          <w:p w:rsidR="004E56CD" w:rsidRPr="004E56CD" w:rsidRDefault="004E56CD" w:rsidP="004E56CD">
            <w:pPr>
              <w:spacing w:after="0" w:line="240" w:lineRule="auto"/>
              <w:jc w:val="right"/>
              <w:rPr>
                <w:rFonts w:ascii="Calibri" w:eastAsia="Times New Roman" w:hAnsi="Calibri" w:cs="Times New Roman"/>
                <w:color w:val="000000"/>
                <w:sz w:val="20"/>
                <w:szCs w:val="20"/>
              </w:rPr>
            </w:pPr>
            <w:r w:rsidRPr="004E56CD">
              <w:rPr>
                <w:rFonts w:ascii="Calibri" w:eastAsia="Times New Roman" w:hAnsi="Calibri" w:cs="Times New Roman"/>
                <w:color w:val="000000"/>
                <w:sz w:val="20"/>
                <w:szCs w:val="20"/>
              </w:rPr>
              <w:t>369</w:t>
            </w:r>
          </w:p>
        </w:tc>
        <w:tc>
          <w:tcPr>
            <w:tcW w:w="1182" w:type="dxa"/>
            <w:tcBorders>
              <w:top w:val="nil"/>
              <w:left w:val="nil"/>
              <w:bottom w:val="single" w:sz="4" w:space="0" w:color="auto"/>
              <w:right w:val="nil"/>
            </w:tcBorders>
            <w:shd w:val="clear" w:color="auto" w:fill="auto"/>
            <w:noWrap/>
            <w:vAlign w:val="bottom"/>
            <w:hideMark/>
          </w:tcPr>
          <w:p w:rsidR="004E56CD" w:rsidRPr="004E56CD" w:rsidRDefault="004E56CD" w:rsidP="004E56CD">
            <w:pPr>
              <w:spacing w:after="0" w:line="240" w:lineRule="auto"/>
              <w:jc w:val="right"/>
              <w:rPr>
                <w:rFonts w:ascii="Calibri" w:eastAsia="Times New Roman" w:hAnsi="Calibri" w:cs="Times New Roman"/>
                <w:color w:val="000000"/>
                <w:sz w:val="20"/>
                <w:szCs w:val="20"/>
              </w:rPr>
            </w:pPr>
            <w:r w:rsidRPr="004E56CD">
              <w:rPr>
                <w:rFonts w:ascii="Calibri" w:eastAsia="Times New Roman" w:hAnsi="Calibri" w:cs="Times New Roman"/>
                <w:color w:val="000000"/>
                <w:sz w:val="20"/>
                <w:szCs w:val="20"/>
              </w:rPr>
              <w:t>100</w:t>
            </w:r>
          </w:p>
        </w:tc>
        <w:tc>
          <w:tcPr>
            <w:tcW w:w="1231" w:type="dxa"/>
            <w:tcBorders>
              <w:top w:val="nil"/>
              <w:left w:val="nil"/>
              <w:bottom w:val="single" w:sz="4" w:space="0" w:color="auto"/>
              <w:right w:val="nil"/>
            </w:tcBorders>
            <w:shd w:val="clear" w:color="auto" w:fill="auto"/>
            <w:noWrap/>
            <w:vAlign w:val="bottom"/>
            <w:hideMark/>
          </w:tcPr>
          <w:p w:rsidR="004E56CD" w:rsidRPr="004E56CD" w:rsidRDefault="004E56CD" w:rsidP="004E56CD">
            <w:pPr>
              <w:spacing w:after="0" w:line="240" w:lineRule="auto"/>
              <w:rPr>
                <w:rFonts w:ascii="Calibri" w:eastAsia="Times New Roman" w:hAnsi="Calibri" w:cs="Times New Roman"/>
                <w:color w:val="000000"/>
                <w:sz w:val="20"/>
                <w:szCs w:val="20"/>
              </w:rPr>
            </w:pPr>
            <w:r w:rsidRPr="004E56CD">
              <w:rPr>
                <w:rFonts w:ascii="Calibri" w:eastAsia="Times New Roman" w:hAnsi="Calibri" w:cs="Times New Roman"/>
                <w:color w:val="000000"/>
                <w:sz w:val="20"/>
                <w:szCs w:val="20"/>
              </w:rPr>
              <w:t> </w:t>
            </w:r>
          </w:p>
        </w:tc>
      </w:tr>
    </w:tbl>
    <w:p w:rsidR="00ED11CC" w:rsidRPr="008C5D1A" w:rsidRDefault="008C5D1A" w:rsidP="00ED11CC">
      <w:pPr>
        <w:rPr>
          <w:sz w:val="20"/>
          <w:szCs w:val="20"/>
        </w:rPr>
      </w:pPr>
      <w:r w:rsidRPr="008C5D1A">
        <w:rPr>
          <w:b/>
          <w:sz w:val="20"/>
          <w:szCs w:val="20"/>
        </w:rPr>
        <w:t>Fuente</w:t>
      </w:r>
      <w:r w:rsidRPr="008C5D1A">
        <w:rPr>
          <w:sz w:val="20"/>
          <w:szCs w:val="20"/>
        </w:rPr>
        <w:t>: Censo de reclusos.</w:t>
      </w:r>
      <w:r w:rsidR="00ED11CC" w:rsidRPr="008C5D1A">
        <w:rPr>
          <w:sz w:val="20"/>
          <w:szCs w:val="20"/>
        </w:rPr>
        <w:br w:type="page"/>
      </w:r>
    </w:p>
    <w:p w:rsidR="004E56CD" w:rsidRDefault="004E56CD" w:rsidP="00ED11CC"/>
    <w:p w:rsidR="006D16DB" w:rsidRDefault="00191A4E" w:rsidP="00ED11CC">
      <w:pPr>
        <w:rPr>
          <w:b/>
        </w:rPr>
      </w:pPr>
      <w:r>
        <w:rPr>
          <w:b/>
        </w:rPr>
        <w:t>Cuadro A.5</w:t>
      </w:r>
      <w:r w:rsidR="006D16DB" w:rsidRPr="006D16DB">
        <w:rPr>
          <w:b/>
        </w:rPr>
        <w:t>. Estimaciones de costos en otros estudios</w:t>
      </w:r>
    </w:p>
    <w:tbl>
      <w:tblPr>
        <w:tblW w:w="9229" w:type="dxa"/>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088"/>
        <w:gridCol w:w="1351"/>
        <w:gridCol w:w="1249"/>
        <w:gridCol w:w="1435"/>
        <w:gridCol w:w="1334"/>
        <w:gridCol w:w="1213"/>
        <w:gridCol w:w="850"/>
        <w:gridCol w:w="709"/>
      </w:tblGrid>
      <w:tr w:rsidR="00B54574" w:rsidRPr="00BE33AD" w:rsidTr="00BE33AD">
        <w:trPr>
          <w:trHeight w:val="905"/>
        </w:trPr>
        <w:tc>
          <w:tcPr>
            <w:tcW w:w="1088" w:type="dxa"/>
            <w:tcBorders>
              <w:top w:val="single" w:sz="4" w:space="0" w:color="auto"/>
              <w:bottom w:val="single" w:sz="4" w:space="0" w:color="auto"/>
            </w:tcBorders>
            <w:shd w:val="clear" w:color="auto" w:fill="auto"/>
            <w:hideMark/>
          </w:tcPr>
          <w:p w:rsidR="00B54574" w:rsidRPr="00BE33AD" w:rsidRDefault="00B54574" w:rsidP="002010D1">
            <w:pPr>
              <w:spacing w:after="0" w:line="240" w:lineRule="auto"/>
              <w:rPr>
                <w:rFonts w:ascii="Calibri" w:eastAsia="Times New Roman" w:hAnsi="Calibri" w:cs="Times New Roman"/>
                <w:b/>
                <w:bCs/>
                <w:sz w:val="20"/>
                <w:szCs w:val="20"/>
                <w:lang w:val="es-ES" w:eastAsia="es-ES"/>
              </w:rPr>
            </w:pPr>
            <w:r w:rsidRPr="00BE33AD">
              <w:rPr>
                <w:rFonts w:ascii="Calibri" w:eastAsia="Times New Roman" w:hAnsi="Calibri" w:cs="Times New Roman"/>
                <w:b/>
                <w:bCs/>
                <w:sz w:val="20"/>
                <w:szCs w:val="20"/>
                <w:lang w:val="es-ES" w:eastAsia="es-ES"/>
              </w:rPr>
              <w:t>Estudio</w:t>
            </w:r>
          </w:p>
        </w:tc>
        <w:tc>
          <w:tcPr>
            <w:tcW w:w="1351" w:type="dxa"/>
            <w:tcBorders>
              <w:top w:val="single" w:sz="4" w:space="0" w:color="auto"/>
              <w:bottom w:val="single" w:sz="4" w:space="0" w:color="auto"/>
            </w:tcBorders>
            <w:shd w:val="clear" w:color="auto" w:fill="auto"/>
            <w:hideMark/>
          </w:tcPr>
          <w:p w:rsidR="00B54574" w:rsidRPr="00BE33AD" w:rsidRDefault="00B54574" w:rsidP="00B54574">
            <w:pPr>
              <w:spacing w:after="0" w:line="240" w:lineRule="auto"/>
              <w:jc w:val="center"/>
              <w:rPr>
                <w:rFonts w:ascii="Calibri" w:eastAsia="Times New Roman" w:hAnsi="Calibri" w:cs="Times New Roman"/>
                <w:b/>
                <w:bCs/>
                <w:sz w:val="20"/>
                <w:szCs w:val="20"/>
                <w:lang w:val="es-ES" w:eastAsia="es-ES"/>
              </w:rPr>
            </w:pPr>
            <w:r w:rsidRPr="00BE33AD">
              <w:rPr>
                <w:rFonts w:ascii="Calibri" w:eastAsia="Times New Roman" w:hAnsi="Calibri" w:cs="Times New Roman"/>
                <w:b/>
                <w:bCs/>
                <w:sz w:val="20"/>
                <w:szCs w:val="20"/>
                <w:lang w:val="es-ES" w:eastAsia="es-ES"/>
              </w:rPr>
              <w:t>Año y unidad de análisis</w:t>
            </w:r>
          </w:p>
        </w:tc>
        <w:tc>
          <w:tcPr>
            <w:tcW w:w="1249" w:type="dxa"/>
            <w:tcBorders>
              <w:top w:val="single" w:sz="4" w:space="0" w:color="auto"/>
              <w:bottom w:val="single" w:sz="4" w:space="0" w:color="auto"/>
            </w:tcBorders>
            <w:shd w:val="clear" w:color="auto" w:fill="auto"/>
            <w:hideMark/>
          </w:tcPr>
          <w:p w:rsidR="00B54574" w:rsidRPr="00BE33AD" w:rsidRDefault="00B54574" w:rsidP="00B54574">
            <w:pPr>
              <w:spacing w:after="0" w:line="240" w:lineRule="auto"/>
              <w:jc w:val="center"/>
              <w:rPr>
                <w:rFonts w:ascii="Calibri" w:eastAsia="Times New Roman" w:hAnsi="Calibri" w:cs="Times New Roman"/>
                <w:b/>
                <w:bCs/>
                <w:sz w:val="20"/>
                <w:szCs w:val="20"/>
                <w:lang w:val="es-ES" w:eastAsia="es-ES"/>
              </w:rPr>
            </w:pPr>
            <w:r w:rsidRPr="00BE33AD">
              <w:rPr>
                <w:rFonts w:ascii="Calibri" w:eastAsia="Times New Roman" w:hAnsi="Calibri" w:cs="Times New Roman"/>
                <w:b/>
                <w:bCs/>
                <w:sz w:val="20"/>
                <w:szCs w:val="20"/>
                <w:lang w:val="es-ES" w:eastAsia="es-ES"/>
              </w:rPr>
              <w:t>Seguridad y prevención</w:t>
            </w:r>
          </w:p>
        </w:tc>
        <w:tc>
          <w:tcPr>
            <w:tcW w:w="1435" w:type="dxa"/>
            <w:tcBorders>
              <w:top w:val="single" w:sz="4" w:space="0" w:color="auto"/>
              <w:bottom w:val="single" w:sz="4" w:space="0" w:color="auto"/>
            </w:tcBorders>
            <w:shd w:val="clear" w:color="auto" w:fill="auto"/>
            <w:hideMark/>
          </w:tcPr>
          <w:p w:rsidR="00B54574" w:rsidRPr="00BE33AD" w:rsidRDefault="00B54574" w:rsidP="00B54574">
            <w:pPr>
              <w:spacing w:after="0" w:line="240" w:lineRule="auto"/>
              <w:jc w:val="center"/>
              <w:rPr>
                <w:rFonts w:ascii="Calibri" w:eastAsia="Times New Roman" w:hAnsi="Calibri" w:cs="Times New Roman"/>
                <w:b/>
                <w:bCs/>
                <w:sz w:val="20"/>
                <w:szCs w:val="20"/>
                <w:lang w:val="es-ES" w:eastAsia="es-ES"/>
              </w:rPr>
            </w:pPr>
            <w:r w:rsidRPr="00BE33AD">
              <w:rPr>
                <w:rFonts w:ascii="Calibri" w:eastAsia="Times New Roman" w:hAnsi="Calibri" w:cs="Times New Roman"/>
                <w:b/>
                <w:bCs/>
                <w:sz w:val="20"/>
                <w:szCs w:val="20"/>
                <w:lang w:val="es-ES" w:eastAsia="es-ES"/>
              </w:rPr>
              <w:t>Propiedad robada y/o vandalizada</w:t>
            </w:r>
          </w:p>
        </w:tc>
        <w:tc>
          <w:tcPr>
            <w:tcW w:w="1334" w:type="dxa"/>
            <w:tcBorders>
              <w:top w:val="single" w:sz="4" w:space="0" w:color="auto"/>
              <w:bottom w:val="single" w:sz="4" w:space="0" w:color="auto"/>
            </w:tcBorders>
            <w:shd w:val="clear" w:color="auto" w:fill="auto"/>
            <w:hideMark/>
          </w:tcPr>
          <w:p w:rsidR="00B54574" w:rsidRPr="00BE33AD" w:rsidRDefault="00B54574" w:rsidP="00B54574">
            <w:pPr>
              <w:spacing w:after="0" w:line="240" w:lineRule="auto"/>
              <w:jc w:val="center"/>
              <w:rPr>
                <w:rFonts w:ascii="Calibri" w:eastAsia="Times New Roman" w:hAnsi="Calibri" w:cs="Times New Roman"/>
                <w:b/>
                <w:bCs/>
                <w:sz w:val="20"/>
                <w:szCs w:val="20"/>
                <w:lang w:val="es-ES" w:eastAsia="es-ES"/>
              </w:rPr>
            </w:pPr>
            <w:r w:rsidRPr="00BE33AD">
              <w:rPr>
                <w:rFonts w:ascii="Calibri" w:eastAsia="Times New Roman" w:hAnsi="Calibri" w:cs="Times New Roman"/>
                <w:b/>
                <w:bCs/>
                <w:sz w:val="20"/>
                <w:szCs w:val="20"/>
                <w:lang w:val="es-ES" w:eastAsia="es-ES"/>
              </w:rPr>
              <w:t>Costos intangibles y de salud</w:t>
            </w:r>
          </w:p>
        </w:tc>
        <w:tc>
          <w:tcPr>
            <w:tcW w:w="1213" w:type="dxa"/>
            <w:tcBorders>
              <w:top w:val="single" w:sz="4" w:space="0" w:color="auto"/>
              <w:bottom w:val="single" w:sz="4" w:space="0" w:color="auto"/>
            </w:tcBorders>
            <w:shd w:val="clear" w:color="auto" w:fill="auto"/>
            <w:hideMark/>
          </w:tcPr>
          <w:p w:rsidR="00B54574" w:rsidRPr="00BE33AD" w:rsidRDefault="00B54574" w:rsidP="00B54574">
            <w:pPr>
              <w:spacing w:after="0" w:line="240" w:lineRule="auto"/>
              <w:jc w:val="center"/>
              <w:rPr>
                <w:rFonts w:ascii="Calibri" w:eastAsia="Times New Roman" w:hAnsi="Calibri" w:cs="Times New Roman"/>
                <w:b/>
                <w:bCs/>
                <w:sz w:val="20"/>
                <w:szCs w:val="20"/>
                <w:lang w:val="es-ES" w:eastAsia="es-ES"/>
              </w:rPr>
            </w:pPr>
            <w:r w:rsidRPr="00BE33AD">
              <w:rPr>
                <w:rFonts w:ascii="Calibri" w:eastAsia="Times New Roman" w:hAnsi="Calibri" w:cs="Times New Roman"/>
                <w:b/>
                <w:bCs/>
                <w:sz w:val="20"/>
                <w:szCs w:val="20"/>
                <w:lang w:val="es-ES" w:eastAsia="es-ES"/>
              </w:rPr>
              <w:t>Costos de oportunidad</w:t>
            </w:r>
          </w:p>
        </w:tc>
        <w:tc>
          <w:tcPr>
            <w:tcW w:w="850" w:type="dxa"/>
            <w:tcBorders>
              <w:top w:val="single" w:sz="4" w:space="0" w:color="auto"/>
              <w:bottom w:val="single" w:sz="4" w:space="0" w:color="auto"/>
            </w:tcBorders>
            <w:shd w:val="clear" w:color="auto" w:fill="auto"/>
            <w:hideMark/>
          </w:tcPr>
          <w:p w:rsidR="00B54574" w:rsidRPr="00BE33AD" w:rsidRDefault="00B54574" w:rsidP="00B54574">
            <w:pPr>
              <w:spacing w:after="0" w:line="240" w:lineRule="auto"/>
              <w:jc w:val="center"/>
              <w:rPr>
                <w:rFonts w:ascii="Calibri" w:eastAsia="Times New Roman" w:hAnsi="Calibri" w:cs="Times New Roman"/>
                <w:b/>
                <w:bCs/>
                <w:sz w:val="20"/>
                <w:szCs w:val="20"/>
                <w:lang w:val="es-ES" w:eastAsia="es-ES"/>
              </w:rPr>
            </w:pPr>
            <w:r w:rsidRPr="00BE33AD">
              <w:rPr>
                <w:rFonts w:ascii="Calibri" w:eastAsia="Times New Roman" w:hAnsi="Calibri" w:cs="Times New Roman"/>
                <w:b/>
                <w:bCs/>
                <w:sz w:val="20"/>
                <w:szCs w:val="20"/>
                <w:lang w:val="es-ES" w:eastAsia="es-ES"/>
              </w:rPr>
              <w:t>Justicia</w:t>
            </w:r>
          </w:p>
        </w:tc>
        <w:bookmarkStart w:id="2" w:name="RANGE!H1"/>
        <w:tc>
          <w:tcPr>
            <w:tcW w:w="709" w:type="dxa"/>
            <w:tcBorders>
              <w:top w:val="single" w:sz="4" w:space="0" w:color="auto"/>
              <w:bottom w:val="single" w:sz="4" w:space="0" w:color="auto"/>
            </w:tcBorders>
            <w:shd w:val="clear" w:color="auto" w:fill="auto"/>
            <w:hideMark/>
          </w:tcPr>
          <w:p w:rsidR="00B54574" w:rsidRPr="00BE33AD" w:rsidRDefault="007572A6" w:rsidP="0015719C">
            <w:pPr>
              <w:spacing w:after="0" w:line="240" w:lineRule="auto"/>
              <w:jc w:val="center"/>
              <w:rPr>
                <w:rFonts w:ascii="Calibri" w:eastAsia="Times New Roman" w:hAnsi="Calibri" w:cs="Times New Roman"/>
                <w:b/>
                <w:bCs/>
                <w:sz w:val="20"/>
                <w:szCs w:val="20"/>
                <w:u w:val="single"/>
                <w:lang w:val="es-ES" w:eastAsia="es-ES"/>
              </w:rPr>
            </w:pPr>
            <w:r w:rsidRPr="00BE33AD">
              <w:rPr>
                <w:rFonts w:ascii="Calibri" w:eastAsia="Times New Roman" w:hAnsi="Calibri" w:cs="Times New Roman"/>
                <w:b/>
                <w:bCs/>
                <w:sz w:val="20"/>
                <w:szCs w:val="20"/>
                <w:u w:val="single"/>
                <w:lang w:val="es-ES" w:eastAsia="es-ES"/>
              </w:rPr>
              <w:fldChar w:fldCharType="begin"/>
            </w:r>
            <w:r w:rsidR="00B54574" w:rsidRPr="00BE33AD">
              <w:rPr>
                <w:rFonts w:ascii="Calibri" w:eastAsia="Times New Roman" w:hAnsi="Calibri" w:cs="Times New Roman"/>
                <w:b/>
                <w:bCs/>
                <w:sz w:val="20"/>
                <w:szCs w:val="20"/>
                <w:u w:val="single"/>
                <w:lang w:val="es-ES" w:eastAsia="es-ES"/>
              </w:rPr>
              <w:instrText xml:space="preserve"> HYPERLINK "file:///C:\\Documents%20and%20Settings\\userxp\\Mis%20documentos\\Dropbox\\BID_Costo%20del%20Crimen%20(1)\\Informe%20Final\\Tablas_todas.xlsx" \l "RANGE!A26" </w:instrText>
            </w:r>
            <w:r w:rsidRPr="00BE33AD">
              <w:rPr>
                <w:rFonts w:ascii="Calibri" w:eastAsia="Times New Roman" w:hAnsi="Calibri" w:cs="Times New Roman"/>
                <w:b/>
                <w:bCs/>
                <w:sz w:val="20"/>
                <w:szCs w:val="20"/>
                <w:u w:val="single"/>
                <w:lang w:val="es-ES" w:eastAsia="es-ES"/>
              </w:rPr>
              <w:fldChar w:fldCharType="separate"/>
            </w:r>
            <w:r w:rsidR="00B54574" w:rsidRPr="00BE33AD">
              <w:rPr>
                <w:rFonts w:ascii="Calibri" w:eastAsia="Times New Roman" w:hAnsi="Calibri" w:cs="Times New Roman"/>
                <w:b/>
                <w:bCs/>
                <w:sz w:val="20"/>
                <w:szCs w:val="20"/>
                <w:u w:val="single"/>
                <w:lang w:val="es-ES" w:eastAsia="es-ES"/>
              </w:rPr>
              <w:t>Costo total</w:t>
            </w:r>
            <w:r w:rsidRPr="00BE33AD">
              <w:rPr>
                <w:rFonts w:ascii="Calibri" w:eastAsia="Times New Roman" w:hAnsi="Calibri" w:cs="Times New Roman"/>
                <w:b/>
                <w:bCs/>
                <w:sz w:val="20"/>
                <w:szCs w:val="20"/>
                <w:u w:val="single"/>
                <w:lang w:val="es-ES" w:eastAsia="es-ES"/>
              </w:rPr>
              <w:fldChar w:fldCharType="end"/>
            </w:r>
            <w:bookmarkEnd w:id="2"/>
          </w:p>
        </w:tc>
      </w:tr>
      <w:tr w:rsidR="00B54574" w:rsidRPr="00BE33AD" w:rsidTr="00BE33AD">
        <w:trPr>
          <w:trHeight w:val="580"/>
        </w:trPr>
        <w:tc>
          <w:tcPr>
            <w:tcW w:w="1088" w:type="dxa"/>
            <w:tcBorders>
              <w:top w:val="single" w:sz="4" w:space="0" w:color="auto"/>
            </w:tcBorders>
            <w:shd w:val="clear" w:color="auto" w:fill="auto"/>
            <w:hideMark/>
          </w:tcPr>
          <w:p w:rsidR="00B54574" w:rsidRPr="00BE33AD" w:rsidRDefault="00B54574" w:rsidP="002010D1">
            <w:pPr>
              <w:spacing w:after="0" w:line="240" w:lineRule="auto"/>
              <w:rPr>
                <w:rFonts w:ascii="Calibri" w:eastAsia="Times New Roman" w:hAnsi="Calibri" w:cs="Times New Roman"/>
                <w:bCs/>
                <w:color w:val="000000"/>
                <w:sz w:val="20"/>
                <w:szCs w:val="20"/>
                <w:lang w:val="es-ES" w:eastAsia="es-ES"/>
              </w:rPr>
            </w:pPr>
            <w:r w:rsidRPr="00BE33AD">
              <w:rPr>
                <w:rFonts w:ascii="Calibri" w:eastAsia="Times New Roman" w:hAnsi="Calibri" w:cs="Times New Roman"/>
                <w:bCs/>
                <w:color w:val="000000"/>
                <w:sz w:val="20"/>
                <w:szCs w:val="20"/>
                <w:lang w:val="es-ES" w:eastAsia="es-ES"/>
              </w:rPr>
              <w:t>Anderson (1999)</w:t>
            </w:r>
          </w:p>
        </w:tc>
        <w:tc>
          <w:tcPr>
            <w:tcW w:w="1351" w:type="dxa"/>
            <w:tcBorders>
              <w:top w:val="single" w:sz="4" w:space="0" w:color="auto"/>
            </w:tcBorders>
            <w:shd w:val="clear" w:color="auto" w:fill="auto"/>
            <w:hideMark/>
          </w:tcPr>
          <w:p w:rsidR="00B54574" w:rsidRPr="00BE33AD" w:rsidRDefault="00B54574" w:rsidP="00B54574">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Estados Unidos (1997)</w:t>
            </w:r>
          </w:p>
        </w:tc>
        <w:tc>
          <w:tcPr>
            <w:tcW w:w="1249" w:type="dxa"/>
            <w:tcBorders>
              <w:top w:val="single" w:sz="4" w:space="0" w:color="auto"/>
            </w:tcBorders>
            <w:shd w:val="clear" w:color="auto" w:fill="auto"/>
            <w:hideMark/>
          </w:tcPr>
          <w:p w:rsidR="00B54574" w:rsidRPr="00BE33AD" w:rsidRDefault="00D530EF" w:rsidP="00B54574">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0,4</w:t>
            </w:r>
            <w:r w:rsidR="00B54574" w:rsidRPr="00BE33AD">
              <w:rPr>
                <w:rFonts w:ascii="Calibri" w:eastAsia="Times New Roman" w:hAnsi="Calibri" w:cs="Times New Roman"/>
                <w:color w:val="000000"/>
                <w:sz w:val="20"/>
                <w:szCs w:val="20"/>
                <w:lang w:val="es-ES" w:eastAsia="es-ES"/>
              </w:rPr>
              <w:t>%</w:t>
            </w:r>
          </w:p>
        </w:tc>
        <w:tc>
          <w:tcPr>
            <w:tcW w:w="1435" w:type="dxa"/>
            <w:tcBorders>
              <w:top w:val="single" w:sz="4" w:space="0" w:color="auto"/>
            </w:tcBorders>
            <w:shd w:val="clear" w:color="auto" w:fill="auto"/>
            <w:hideMark/>
          </w:tcPr>
          <w:p w:rsidR="00B54574" w:rsidRPr="00BE33AD" w:rsidRDefault="00B54574" w:rsidP="00D530EF">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0,4%</w:t>
            </w:r>
          </w:p>
        </w:tc>
        <w:tc>
          <w:tcPr>
            <w:tcW w:w="1334" w:type="dxa"/>
            <w:tcBorders>
              <w:top w:val="single" w:sz="4" w:space="0" w:color="auto"/>
            </w:tcBorders>
            <w:shd w:val="clear" w:color="auto" w:fill="auto"/>
            <w:hideMark/>
          </w:tcPr>
          <w:p w:rsidR="00B54574" w:rsidRPr="00BE33AD" w:rsidRDefault="00B54574" w:rsidP="00D530EF">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6,2%</w:t>
            </w:r>
          </w:p>
        </w:tc>
        <w:tc>
          <w:tcPr>
            <w:tcW w:w="1213" w:type="dxa"/>
            <w:tcBorders>
              <w:top w:val="single" w:sz="4" w:space="0" w:color="auto"/>
            </w:tcBorders>
            <w:shd w:val="clear" w:color="auto" w:fill="auto"/>
            <w:hideMark/>
          </w:tcPr>
          <w:p w:rsidR="00B54574" w:rsidRPr="00BE33AD" w:rsidRDefault="00B54574" w:rsidP="00D530EF">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1,4%</w:t>
            </w:r>
          </w:p>
        </w:tc>
        <w:tc>
          <w:tcPr>
            <w:tcW w:w="850" w:type="dxa"/>
            <w:tcBorders>
              <w:top w:val="single" w:sz="4" w:space="0" w:color="auto"/>
            </w:tcBorders>
            <w:shd w:val="clear" w:color="auto" w:fill="auto"/>
            <w:hideMark/>
          </w:tcPr>
          <w:p w:rsidR="00B54574" w:rsidRPr="00BE33AD" w:rsidRDefault="00B54574" w:rsidP="00D530EF">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0,6%</w:t>
            </w:r>
          </w:p>
        </w:tc>
        <w:tc>
          <w:tcPr>
            <w:tcW w:w="709" w:type="dxa"/>
            <w:tcBorders>
              <w:top w:val="single" w:sz="4" w:space="0" w:color="auto"/>
            </w:tcBorders>
            <w:shd w:val="clear" w:color="auto" w:fill="auto"/>
            <w:hideMark/>
          </w:tcPr>
          <w:p w:rsidR="00B54574" w:rsidRPr="00BE33AD" w:rsidRDefault="00B54574" w:rsidP="00D530EF">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12,3%</w:t>
            </w:r>
          </w:p>
        </w:tc>
      </w:tr>
      <w:tr w:rsidR="00B54574" w:rsidRPr="00BE33AD" w:rsidTr="00BE33AD">
        <w:trPr>
          <w:trHeight w:val="283"/>
        </w:trPr>
        <w:tc>
          <w:tcPr>
            <w:tcW w:w="1088" w:type="dxa"/>
            <w:vMerge w:val="restart"/>
            <w:shd w:val="clear" w:color="auto" w:fill="auto"/>
            <w:hideMark/>
          </w:tcPr>
          <w:p w:rsidR="00B54574" w:rsidRPr="00BE33AD" w:rsidRDefault="00B54574" w:rsidP="002010D1">
            <w:pPr>
              <w:spacing w:after="0" w:line="240" w:lineRule="auto"/>
              <w:rPr>
                <w:rFonts w:ascii="Calibri" w:eastAsia="Times New Roman" w:hAnsi="Calibri" w:cs="Times New Roman"/>
                <w:bCs/>
                <w:color w:val="000000"/>
                <w:sz w:val="20"/>
                <w:szCs w:val="20"/>
                <w:lang w:val="es-ES" w:eastAsia="es-ES"/>
              </w:rPr>
            </w:pPr>
            <w:r w:rsidRPr="00BE33AD">
              <w:rPr>
                <w:rFonts w:ascii="Calibri" w:eastAsia="Times New Roman" w:hAnsi="Calibri" w:cs="Times New Roman"/>
                <w:bCs/>
                <w:color w:val="000000"/>
                <w:sz w:val="20"/>
                <w:szCs w:val="20"/>
                <w:lang w:val="es-ES" w:eastAsia="es-ES"/>
              </w:rPr>
              <w:t>BID (1998)</w:t>
            </w:r>
          </w:p>
        </w:tc>
        <w:tc>
          <w:tcPr>
            <w:tcW w:w="1351" w:type="dxa"/>
            <w:vMerge w:val="restart"/>
            <w:shd w:val="clear" w:color="auto" w:fill="auto"/>
            <w:hideMark/>
          </w:tcPr>
          <w:p w:rsidR="00B54574" w:rsidRPr="00BE33AD" w:rsidRDefault="00B54574" w:rsidP="00B54574">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Ciudad de México, México (1995)</w:t>
            </w:r>
          </w:p>
        </w:tc>
        <w:tc>
          <w:tcPr>
            <w:tcW w:w="1249" w:type="dxa"/>
            <w:shd w:val="clear" w:color="auto" w:fill="auto"/>
            <w:hideMark/>
          </w:tcPr>
          <w:p w:rsidR="00B54574" w:rsidRPr="00BE33AD" w:rsidRDefault="00B54574" w:rsidP="00D530EF">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0,8%</w:t>
            </w:r>
          </w:p>
        </w:tc>
        <w:tc>
          <w:tcPr>
            <w:tcW w:w="1435" w:type="dxa"/>
            <w:vMerge w:val="restart"/>
            <w:shd w:val="clear" w:color="auto" w:fill="auto"/>
            <w:hideMark/>
          </w:tcPr>
          <w:p w:rsidR="00B54574" w:rsidRPr="00BE33AD" w:rsidRDefault="00B54574" w:rsidP="00D530EF">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0,9%</w:t>
            </w:r>
          </w:p>
        </w:tc>
        <w:tc>
          <w:tcPr>
            <w:tcW w:w="1334" w:type="dxa"/>
            <w:vMerge w:val="restart"/>
            <w:shd w:val="clear" w:color="auto" w:fill="auto"/>
            <w:hideMark/>
          </w:tcPr>
          <w:p w:rsidR="00B54574" w:rsidRPr="00BE33AD" w:rsidRDefault="00B54574" w:rsidP="00D530EF">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1,4%</w:t>
            </w:r>
          </w:p>
        </w:tc>
        <w:tc>
          <w:tcPr>
            <w:tcW w:w="1213" w:type="dxa"/>
            <w:vMerge w:val="restart"/>
            <w:shd w:val="clear" w:color="auto" w:fill="auto"/>
            <w:hideMark/>
          </w:tcPr>
          <w:p w:rsidR="00B54574" w:rsidRPr="00BE33AD" w:rsidRDefault="00B54574" w:rsidP="00D530EF">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0,1%</w:t>
            </w:r>
          </w:p>
        </w:tc>
        <w:tc>
          <w:tcPr>
            <w:tcW w:w="850" w:type="dxa"/>
            <w:vMerge w:val="restart"/>
            <w:shd w:val="clear" w:color="auto" w:fill="auto"/>
            <w:hideMark/>
          </w:tcPr>
          <w:p w:rsidR="00B54574" w:rsidRPr="00BE33AD" w:rsidRDefault="00B54574" w:rsidP="00D530EF">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0,4%</w:t>
            </w:r>
          </w:p>
        </w:tc>
        <w:tc>
          <w:tcPr>
            <w:tcW w:w="709" w:type="dxa"/>
            <w:vMerge w:val="restart"/>
            <w:shd w:val="clear" w:color="auto" w:fill="auto"/>
            <w:hideMark/>
          </w:tcPr>
          <w:p w:rsidR="00B54574" w:rsidRPr="00BE33AD" w:rsidRDefault="00B54574" w:rsidP="00D530EF">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4,2%</w:t>
            </w:r>
          </w:p>
        </w:tc>
      </w:tr>
      <w:tr w:rsidR="00B54574" w:rsidRPr="00BE33AD" w:rsidTr="00BE33AD">
        <w:trPr>
          <w:trHeight w:val="566"/>
        </w:trPr>
        <w:tc>
          <w:tcPr>
            <w:tcW w:w="1088" w:type="dxa"/>
            <w:vMerge/>
            <w:vAlign w:val="center"/>
            <w:hideMark/>
          </w:tcPr>
          <w:p w:rsidR="00B54574" w:rsidRPr="00BE33AD" w:rsidRDefault="00B54574" w:rsidP="002010D1">
            <w:pPr>
              <w:spacing w:after="0" w:line="240" w:lineRule="auto"/>
              <w:rPr>
                <w:rFonts w:ascii="Calibri" w:eastAsia="Times New Roman" w:hAnsi="Calibri" w:cs="Times New Roman"/>
                <w:bCs/>
                <w:color w:val="000000"/>
                <w:sz w:val="20"/>
                <w:szCs w:val="20"/>
                <w:lang w:val="es-ES" w:eastAsia="es-ES"/>
              </w:rPr>
            </w:pPr>
          </w:p>
        </w:tc>
        <w:tc>
          <w:tcPr>
            <w:tcW w:w="1351"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1249" w:type="dxa"/>
            <w:shd w:val="clear" w:color="auto" w:fill="auto"/>
            <w:hideMark/>
          </w:tcPr>
          <w:p w:rsidR="00B54574" w:rsidRPr="00BE33AD" w:rsidRDefault="00B54574" w:rsidP="00B54574">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(Gasto privado)</w:t>
            </w:r>
          </w:p>
        </w:tc>
        <w:tc>
          <w:tcPr>
            <w:tcW w:w="1435"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1334"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1213"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850"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709"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r>
      <w:tr w:rsidR="00B54574" w:rsidRPr="00BE33AD" w:rsidTr="00BE33AD">
        <w:trPr>
          <w:trHeight w:val="283"/>
        </w:trPr>
        <w:tc>
          <w:tcPr>
            <w:tcW w:w="1088" w:type="dxa"/>
            <w:vMerge/>
            <w:vAlign w:val="center"/>
            <w:hideMark/>
          </w:tcPr>
          <w:p w:rsidR="00B54574" w:rsidRPr="00BE33AD" w:rsidRDefault="00B54574" w:rsidP="002010D1">
            <w:pPr>
              <w:spacing w:after="0" w:line="240" w:lineRule="auto"/>
              <w:rPr>
                <w:rFonts w:ascii="Calibri" w:eastAsia="Times New Roman" w:hAnsi="Calibri" w:cs="Times New Roman"/>
                <w:bCs/>
                <w:color w:val="000000"/>
                <w:sz w:val="20"/>
                <w:szCs w:val="20"/>
                <w:lang w:val="es-ES" w:eastAsia="es-ES"/>
              </w:rPr>
            </w:pPr>
          </w:p>
        </w:tc>
        <w:tc>
          <w:tcPr>
            <w:tcW w:w="1351"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1249" w:type="dxa"/>
            <w:shd w:val="clear" w:color="auto" w:fill="auto"/>
            <w:hideMark/>
          </w:tcPr>
          <w:p w:rsidR="00B54574" w:rsidRPr="00BE33AD" w:rsidRDefault="00B54574" w:rsidP="00B54574">
            <w:pPr>
              <w:spacing w:after="0" w:line="240" w:lineRule="auto"/>
              <w:jc w:val="center"/>
              <w:rPr>
                <w:rFonts w:ascii="Calibri" w:eastAsia="Times New Roman" w:hAnsi="Calibri" w:cs="Times New Roman"/>
                <w:color w:val="000000"/>
                <w:sz w:val="20"/>
                <w:szCs w:val="20"/>
                <w:lang w:val="es-ES" w:eastAsia="es-ES"/>
              </w:rPr>
            </w:pPr>
          </w:p>
        </w:tc>
        <w:tc>
          <w:tcPr>
            <w:tcW w:w="1435"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1334"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1213"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850"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709"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r>
      <w:tr w:rsidR="00B54574" w:rsidRPr="00BE33AD" w:rsidTr="00BE33AD">
        <w:trPr>
          <w:trHeight w:val="283"/>
        </w:trPr>
        <w:tc>
          <w:tcPr>
            <w:tcW w:w="1088" w:type="dxa"/>
            <w:vMerge/>
            <w:vAlign w:val="center"/>
            <w:hideMark/>
          </w:tcPr>
          <w:p w:rsidR="00B54574" w:rsidRPr="00BE33AD" w:rsidRDefault="00B54574" w:rsidP="002010D1">
            <w:pPr>
              <w:spacing w:after="0" w:line="240" w:lineRule="auto"/>
              <w:rPr>
                <w:rFonts w:ascii="Calibri" w:eastAsia="Times New Roman" w:hAnsi="Calibri" w:cs="Times New Roman"/>
                <w:bCs/>
                <w:color w:val="000000"/>
                <w:sz w:val="20"/>
                <w:szCs w:val="20"/>
                <w:lang w:val="es-ES" w:eastAsia="es-ES"/>
              </w:rPr>
            </w:pPr>
          </w:p>
        </w:tc>
        <w:tc>
          <w:tcPr>
            <w:tcW w:w="1351"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1249" w:type="dxa"/>
            <w:shd w:val="clear" w:color="auto" w:fill="auto"/>
            <w:hideMark/>
          </w:tcPr>
          <w:p w:rsidR="00B54574" w:rsidRPr="00BE33AD" w:rsidRDefault="00B54574" w:rsidP="00B54574">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0,10%</w:t>
            </w:r>
          </w:p>
        </w:tc>
        <w:tc>
          <w:tcPr>
            <w:tcW w:w="1435"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1334"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1213"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850"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709"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r>
      <w:tr w:rsidR="00B54574" w:rsidRPr="00BE33AD" w:rsidTr="00BE33AD">
        <w:trPr>
          <w:trHeight w:val="566"/>
        </w:trPr>
        <w:tc>
          <w:tcPr>
            <w:tcW w:w="1088" w:type="dxa"/>
            <w:vMerge/>
            <w:vAlign w:val="center"/>
            <w:hideMark/>
          </w:tcPr>
          <w:p w:rsidR="00B54574" w:rsidRPr="00BE33AD" w:rsidRDefault="00B54574" w:rsidP="002010D1">
            <w:pPr>
              <w:spacing w:after="0" w:line="240" w:lineRule="auto"/>
              <w:rPr>
                <w:rFonts w:ascii="Calibri" w:eastAsia="Times New Roman" w:hAnsi="Calibri" w:cs="Times New Roman"/>
                <w:bCs/>
                <w:color w:val="000000"/>
                <w:sz w:val="20"/>
                <w:szCs w:val="20"/>
                <w:lang w:val="es-ES" w:eastAsia="es-ES"/>
              </w:rPr>
            </w:pPr>
          </w:p>
        </w:tc>
        <w:tc>
          <w:tcPr>
            <w:tcW w:w="1351"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1249" w:type="dxa"/>
            <w:shd w:val="clear" w:color="auto" w:fill="auto"/>
            <w:hideMark/>
          </w:tcPr>
          <w:p w:rsidR="00B54574" w:rsidRPr="00BE33AD" w:rsidRDefault="00B54574" w:rsidP="00B54574">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(Gasto público)</w:t>
            </w:r>
          </w:p>
        </w:tc>
        <w:tc>
          <w:tcPr>
            <w:tcW w:w="1435"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1334"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1213"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850"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709"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r>
      <w:tr w:rsidR="00B54574" w:rsidRPr="00BE33AD" w:rsidTr="00BE33AD">
        <w:trPr>
          <w:trHeight w:val="297"/>
        </w:trPr>
        <w:tc>
          <w:tcPr>
            <w:tcW w:w="1088" w:type="dxa"/>
            <w:vMerge/>
            <w:vAlign w:val="center"/>
            <w:hideMark/>
          </w:tcPr>
          <w:p w:rsidR="00B54574" w:rsidRPr="00BE33AD" w:rsidRDefault="00B54574" w:rsidP="002010D1">
            <w:pPr>
              <w:spacing w:after="0" w:line="240" w:lineRule="auto"/>
              <w:rPr>
                <w:rFonts w:ascii="Calibri" w:eastAsia="Times New Roman" w:hAnsi="Calibri" w:cs="Times New Roman"/>
                <w:bCs/>
                <w:color w:val="000000"/>
                <w:sz w:val="20"/>
                <w:szCs w:val="20"/>
                <w:lang w:val="es-ES" w:eastAsia="es-ES"/>
              </w:rPr>
            </w:pPr>
          </w:p>
        </w:tc>
        <w:tc>
          <w:tcPr>
            <w:tcW w:w="1351"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1249" w:type="dxa"/>
            <w:shd w:val="clear" w:color="auto" w:fill="auto"/>
            <w:hideMark/>
          </w:tcPr>
          <w:p w:rsidR="00B54574" w:rsidRPr="00BE33AD" w:rsidRDefault="00B54574" w:rsidP="00B54574">
            <w:pPr>
              <w:spacing w:after="0" w:line="240" w:lineRule="auto"/>
              <w:jc w:val="center"/>
              <w:rPr>
                <w:rFonts w:ascii="Calibri" w:eastAsia="Times New Roman" w:hAnsi="Calibri" w:cs="Times New Roman"/>
                <w:color w:val="000000"/>
                <w:sz w:val="20"/>
                <w:szCs w:val="20"/>
                <w:lang w:val="es-ES" w:eastAsia="es-ES"/>
              </w:rPr>
            </w:pPr>
          </w:p>
        </w:tc>
        <w:tc>
          <w:tcPr>
            <w:tcW w:w="1435"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1334"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1213"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850"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709"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r>
      <w:tr w:rsidR="00B54574" w:rsidRPr="00BE33AD" w:rsidTr="00BE33AD">
        <w:trPr>
          <w:trHeight w:val="863"/>
        </w:trPr>
        <w:tc>
          <w:tcPr>
            <w:tcW w:w="1088" w:type="dxa"/>
            <w:shd w:val="clear" w:color="auto" w:fill="auto"/>
            <w:hideMark/>
          </w:tcPr>
          <w:p w:rsidR="00B54574" w:rsidRPr="00BE33AD" w:rsidRDefault="00B54574" w:rsidP="002010D1">
            <w:pPr>
              <w:spacing w:after="0" w:line="240" w:lineRule="auto"/>
              <w:rPr>
                <w:rFonts w:ascii="Calibri" w:eastAsia="Times New Roman" w:hAnsi="Calibri" w:cs="Times New Roman"/>
                <w:bCs/>
                <w:color w:val="000000"/>
                <w:sz w:val="20"/>
                <w:szCs w:val="20"/>
                <w:lang w:val="es-ES" w:eastAsia="es-ES"/>
              </w:rPr>
            </w:pPr>
            <w:r w:rsidRPr="00BE33AD">
              <w:rPr>
                <w:rFonts w:ascii="Calibri" w:eastAsia="Times New Roman" w:hAnsi="Calibri" w:cs="Times New Roman"/>
                <w:bCs/>
                <w:color w:val="000000"/>
                <w:sz w:val="20"/>
                <w:szCs w:val="20"/>
                <w:lang w:val="es-ES" w:eastAsia="es-ES"/>
              </w:rPr>
              <w:t>Brand y Price (2000)</w:t>
            </w:r>
          </w:p>
        </w:tc>
        <w:tc>
          <w:tcPr>
            <w:tcW w:w="1351" w:type="dxa"/>
            <w:shd w:val="clear" w:color="auto" w:fill="auto"/>
            <w:hideMark/>
          </w:tcPr>
          <w:p w:rsidR="00B54574" w:rsidRPr="00BE33AD" w:rsidRDefault="00B54574" w:rsidP="00B54574">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Inglaterra y Gales (1999-2000)</w:t>
            </w:r>
          </w:p>
        </w:tc>
        <w:tc>
          <w:tcPr>
            <w:tcW w:w="1249" w:type="dxa"/>
            <w:shd w:val="clear" w:color="auto" w:fill="auto"/>
            <w:hideMark/>
          </w:tcPr>
          <w:p w:rsidR="00B54574" w:rsidRPr="00BE33AD" w:rsidRDefault="00B54574" w:rsidP="00D530EF">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0,7%</w:t>
            </w:r>
          </w:p>
        </w:tc>
        <w:tc>
          <w:tcPr>
            <w:tcW w:w="1435" w:type="dxa"/>
            <w:shd w:val="clear" w:color="auto" w:fill="auto"/>
            <w:hideMark/>
          </w:tcPr>
          <w:p w:rsidR="00B54574" w:rsidRPr="00BE33AD" w:rsidRDefault="00B54574" w:rsidP="00D530EF">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2,2%</w:t>
            </w:r>
          </w:p>
        </w:tc>
        <w:tc>
          <w:tcPr>
            <w:tcW w:w="1334" w:type="dxa"/>
            <w:shd w:val="clear" w:color="auto" w:fill="auto"/>
            <w:hideMark/>
          </w:tcPr>
          <w:p w:rsidR="00B54574" w:rsidRPr="00BE33AD" w:rsidRDefault="00B54574" w:rsidP="00D530EF">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2,3%</w:t>
            </w:r>
          </w:p>
        </w:tc>
        <w:tc>
          <w:tcPr>
            <w:tcW w:w="1213" w:type="dxa"/>
            <w:shd w:val="clear" w:color="auto" w:fill="auto"/>
            <w:hideMark/>
          </w:tcPr>
          <w:p w:rsidR="00B54574" w:rsidRPr="00BE33AD" w:rsidRDefault="00B54574" w:rsidP="00D530EF">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0,4%</w:t>
            </w:r>
          </w:p>
        </w:tc>
        <w:tc>
          <w:tcPr>
            <w:tcW w:w="850" w:type="dxa"/>
            <w:shd w:val="clear" w:color="auto" w:fill="auto"/>
            <w:hideMark/>
          </w:tcPr>
          <w:p w:rsidR="00B54574" w:rsidRPr="00BE33AD" w:rsidRDefault="00B54574" w:rsidP="00D530EF">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1,4%</w:t>
            </w:r>
          </w:p>
        </w:tc>
        <w:tc>
          <w:tcPr>
            <w:tcW w:w="709" w:type="dxa"/>
            <w:shd w:val="clear" w:color="auto" w:fill="auto"/>
            <w:hideMark/>
          </w:tcPr>
          <w:p w:rsidR="00B54574" w:rsidRPr="00BE33AD" w:rsidRDefault="00B54574" w:rsidP="00D530EF">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7,0%</w:t>
            </w:r>
          </w:p>
        </w:tc>
      </w:tr>
      <w:tr w:rsidR="00B54574" w:rsidRPr="00BE33AD" w:rsidTr="00BE33AD">
        <w:trPr>
          <w:trHeight w:val="863"/>
        </w:trPr>
        <w:tc>
          <w:tcPr>
            <w:tcW w:w="1088" w:type="dxa"/>
            <w:shd w:val="clear" w:color="auto" w:fill="auto"/>
            <w:hideMark/>
          </w:tcPr>
          <w:p w:rsidR="00B54574" w:rsidRPr="00BE33AD" w:rsidRDefault="00B54574" w:rsidP="002010D1">
            <w:pPr>
              <w:spacing w:after="0" w:line="240" w:lineRule="auto"/>
              <w:rPr>
                <w:rFonts w:ascii="Calibri" w:eastAsia="Times New Roman" w:hAnsi="Calibri" w:cs="Times New Roman"/>
                <w:bCs/>
                <w:color w:val="000000"/>
                <w:sz w:val="20"/>
                <w:szCs w:val="20"/>
                <w:lang w:val="es-ES" w:eastAsia="es-ES"/>
              </w:rPr>
            </w:pPr>
            <w:r w:rsidRPr="00BE33AD">
              <w:rPr>
                <w:rFonts w:ascii="Calibri" w:eastAsia="Times New Roman" w:hAnsi="Calibri" w:cs="Times New Roman"/>
                <w:bCs/>
                <w:color w:val="000000"/>
                <w:sz w:val="20"/>
                <w:szCs w:val="20"/>
                <w:lang w:val="es-ES" w:eastAsia="es-ES"/>
              </w:rPr>
              <w:t>Detotto, Vannini (2010)</w:t>
            </w:r>
          </w:p>
        </w:tc>
        <w:tc>
          <w:tcPr>
            <w:tcW w:w="1351" w:type="dxa"/>
            <w:shd w:val="clear" w:color="auto" w:fill="auto"/>
            <w:hideMark/>
          </w:tcPr>
          <w:p w:rsidR="00B54574" w:rsidRPr="00BE33AD" w:rsidRDefault="00B54574" w:rsidP="00B54574">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Italia (2006)</w:t>
            </w:r>
          </w:p>
        </w:tc>
        <w:tc>
          <w:tcPr>
            <w:tcW w:w="1249" w:type="dxa"/>
            <w:shd w:val="clear" w:color="auto" w:fill="auto"/>
            <w:hideMark/>
          </w:tcPr>
          <w:p w:rsidR="00B54574" w:rsidRPr="00BE33AD" w:rsidRDefault="00B54574" w:rsidP="00D530EF">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0,3%</w:t>
            </w:r>
          </w:p>
        </w:tc>
        <w:tc>
          <w:tcPr>
            <w:tcW w:w="1435" w:type="dxa"/>
            <w:shd w:val="clear" w:color="auto" w:fill="auto"/>
            <w:hideMark/>
          </w:tcPr>
          <w:p w:rsidR="00B54574" w:rsidRPr="00BE33AD" w:rsidRDefault="00B54574" w:rsidP="00B54574">
            <w:pPr>
              <w:spacing w:after="0" w:line="240" w:lineRule="auto"/>
              <w:jc w:val="center"/>
              <w:rPr>
                <w:rFonts w:ascii="Calibri" w:eastAsia="Times New Roman" w:hAnsi="Calibri" w:cs="Times New Roman"/>
                <w:color w:val="000000"/>
                <w:sz w:val="20"/>
                <w:szCs w:val="20"/>
                <w:lang w:val="es-ES" w:eastAsia="es-ES"/>
              </w:rPr>
            </w:pPr>
          </w:p>
        </w:tc>
        <w:tc>
          <w:tcPr>
            <w:tcW w:w="1334" w:type="dxa"/>
            <w:shd w:val="clear" w:color="auto" w:fill="auto"/>
            <w:hideMark/>
          </w:tcPr>
          <w:p w:rsidR="00B54574" w:rsidRPr="00BE33AD" w:rsidRDefault="00B54574" w:rsidP="00B54574">
            <w:pPr>
              <w:spacing w:after="0" w:line="240" w:lineRule="auto"/>
              <w:jc w:val="center"/>
              <w:rPr>
                <w:rFonts w:ascii="Calibri" w:eastAsia="Times New Roman" w:hAnsi="Calibri" w:cs="Times New Roman"/>
                <w:color w:val="000000"/>
                <w:sz w:val="20"/>
                <w:szCs w:val="20"/>
                <w:lang w:val="es-ES" w:eastAsia="es-ES"/>
              </w:rPr>
            </w:pPr>
          </w:p>
        </w:tc>
        <w:tc>
          <w:tcPr>
            <w:tcW w:w="1213" w:type="dxa"/>
            <w:shd w:val="clear" w:color="auto" w:fill="auto"/>
            <w:hideMark/>
          </w:tcPr>
          <w:p w:rsidR="00B54574" w:rsidRPr="00BE33AD" w:rsidRDefault="00B54574" w:rsidP="00B54574">
            <w:pPr>
              <w:spacing w:after="0" w:line="240" w:lineRule="auto"/>
              <w:jc w:val="center"/>
              <w:rPr>
                <w:rFonts w:ascii="Calibri" w:eastAsia="Times New Roman" w:hAnsi="Calibri" w:cs="Times New Roman"/>
                <w:color w:val="000000"/>
                <w:sz w:val="20"/>
                <w:szCs w:val="20"/>
                <w:lang w:val="es-ES" w:eastAsia="es-ES"/>
              </w:rPr>
            </w:pPr>
          </w:p>
        </w:tc>
        <w:tc>
          <w:tcPr>
            <w:tcW w:w="850" w:type="dxa"/>
            <w:shd w:val="clear" w:color="auto" w:fill="auto"/>
            <w:hideMark/>
          </w:tcPr>
          <w:p w:rsidR="00B54574" w:rsidRPr="00BE33AD" w:rsidRDefault="00B54574" w:rsidP="00D530EF">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0,7%</w:t>
            </w:r>
          </w:p>
        </w:tc>
        <w:tc>
          <w:tcPr>
            <w:tcW w:w="709" w:type="dxa"/>
            <w:shd w:val="clear" w:color="auto" w:fill="auto"/>
            <w:hideMark/>
          </w:tcPr>
          <w:p w:rsidR="00B54574" w:rsidRPr="00BE33AD" w:rsidRDefault="00B54574" w:rsidP="00D530EF">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2,6%</w:t>
            </w:r>
          </w:p>
        </w:tc>
      </w:tr>
      <w:tr w:rsidR="00B54574" w:rsidRPr="00BE33AD" w:rsidTr="00BE33AD">
        <w:trPr>
          <w:trHeight w:val="283"/>
        </w:trPr>
        <w:tc>
          <w:tcPr>
            <w:tcW w:w="1088" w:type="dxa"/>
            <w:vMerge w:val="restart"/>
            <w:shd w:val="clear" w:color="auto" w:fill="auto"/>
            <w:hideMark/>
          </w:tcPr>
          <w:p w:rsidR="00B54574" w:rsidRPr="00BE33AD" w:rsidRDefault="002B324A" w:rsidP="002010D1">
            <w:pPr>
              <w:spacing w:after="0" w:line="240" w:lineRule="auto"/>
              <w:rPr>
                <w:rFonts w:ascii="Calibri" w:eastAsia="Times New Roman" w:hAnsi="Calibri" w:cs="Times New Roman"/>
                <w:bCs/>
                <w:color w:val="000000"/>
                <w:sz w:val="20"/>
                <w:szCs w:val="20"/>
                <w:lang w:val="es-ES" w:eastAsia="es-ES"/>
              </w:rPr>
            </w:pPr>
            <w:r>
              <w:rPr>
                <w:rFonts w:ascii="Calibri" w:eastAsia="Times New Roman" w:hAnsi="Calibri" w:cs="Times New Roman"/>
                <w:bCs/>
                <w:color w:val="000000"/>
                <w:sz w:val="20"/>
                <w:szCs w:val="20"/>
                <w:lang w:val="es-ES" w:eastAsia="es-ES"/>
              </w:rPr>
              <w:t>Londoño y Guerrero (1999</w:t>
            </w:r>
            <w:r w:rsidR="00B54574" w:rsidRPr="00BE33AD">
              <w:rPr>
                <w:rFonts w:ascii="Calibri" w:eastAsia="Times New Roman" w:hAnsi="Calibri" w:cs="Times New Roman"/>
                <w:bCs/>
                <w:color w:val="000000"/>
                <w:sz w:val="20"/>
                <w:szCs w:val="20"/>
                <w:lang w:val="es-ES" w:eastAsia="es-ES"/>
              </w:rPr>
              <w:t>)</w:t>
            </w:r>
          </w:p>
        </w:tc>
        <w:tc>
          <w:tcPr>
            <w:tcW w:w="1351" w:type="dxa"/>
            <w:vMerge w:val="restart"/>
            <w:shd w:val="clear" w:color="auto" w:fill="auto"/>
            <w:hideMark/>
          </w:tcPr>
          <w:p w:rsidR="00B54574" w:rsidRPr="00BE33AD" w:rsidRDefault="00B54574" w:rsidP="00B54574">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América Latina (1990’s)</w:t>
            </w:r>
          </w:p>
        </w:tc>
        <w:tc>
          <w:tcPr>
            <w:tcW w:w="1249" w:type="dxa"/>
            <w:shd w:val="clear" w:color="auto" w:fill="auto"/>
            <w:hideMark/>
          </w:tcPr>
          <w:p w:rsidR="00B54574" w:rsidRPr="00BE33AD" w:rsidRDefault="00B54574" w:rsidP="00D530EF">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1,4%</w:t>
            </w:r>
          </w:p>
        </w:tc>
        <w:tc>
          <w:tcPr>
            <w:tcW w:w="1435" w:type="dxa"/>
            <w:vMerge w:val="restart"/>
            <w:shd w:val="clear" w:color="auto" w:fill="auto"/>
            <w:hideMark/>
          </w:tcPr>
          <w:p w:rsidR="00B54574" w:rsidRPr="00BE33AD" w:rsidRDefault="00D530EF" w:rsidP="00B54574">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2,1</w:t>
            </w:r>
            <w:r w:rsidR="00B54574" w:rsidRPr="00BE33AD">
              <w:rPr>
                <w:rFonts w:ascii="Calibri" w:eastAsia="Times New Roman" w:hAnsi="Calibri" w:cs="Times New Roman"/>
                <w:color w:val="000000"/>
                <w:sz w:val="20"/>
                <w:szCs w:val="20"/>
                <w:lang w:val="es-ES" w:eastAsia="es-ES"/>
              </w:rPr>
              <w:t>%</w:t>
            </w:r>
          </w:p>
        </w:tc>
        <w:tc>
          <w:tcPr>
            <w:tcW w:w="1334" w:type="dxa"/>
            <w:vMerge w:val="restart"/>
            <w:shd w:val="clear" w:color="auto" w:fill="auto"/>
            <w:hideMark/>
          </w:tcPr>
          <w:p w:rsidR="00B54574" w:rsidRPr="00BE33AD" w:rsidRDefault="00D530EF" w:rsidP="00B54574">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7,2</w:t>
            </w:r>
            <w:r w:rsidR="00B54574" w:rsidRPr="00BE33AD">
              <w:rPr>
                <w:rFonts w:ascii="Calibri" w:eastAsia="Times New Roman" w:hAnsi="Calibri" w:cs="Times New Roman"/>
                <w:color w:val="000000"/>
                <w:sz w:val="20"/>
                <w:szCs w:val="20"/>
                <w:lang w:val="es-ES" w:eastAsia="es-ES"/>
              </w:rPr>
              <w:t>%</w:t>
            </w:r>
          </w:p>
        </w:tc>
        <w:tc>
          <w:tcPr>
            <w:tcW w:w="1213" w:type="dxa"/>
            <w:vMerge w:val="restart"/>
            <w:shd w:val="clear" w:color="auto" w:fill="auto"/>
            <w:hideMark/>
          </w:tcPr>
          <w:p w:rsidR="00B54574" w:rsidRPr="00BE33AD" w:rsidRDefault="00B54574" w:rsidP="00D530EF">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1,8%</w:t>
            </w:r>
          </w:p>
        </w:tc>
        <w:tc>
          <w:tcPr>
            <w:tcW w:w="850" w:type="dxa"/>
            <w:vMerge w:val="restart"/>
            <w:shd w:val="clear" w:color="auto" w:fill="auto"/>
            <w:hideMark/>
          </w:tcPr>
          <w:p w:rsidR="00B54574" w:rsidRPr="00BE33AD" w:rsidRDefault="00B54574" w:rsidP="00D530EF">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0,5%</w:t>
            </w:r>
          </w:p>
        </w:tc>
        <w:tc>
          <w:tcPr>
            <w:tcW w:w="709" w:type="dxa"/>
            <w:vMerge w:val="restart"/>
            <w:shd w:val="clear" w:color="auto" w:fill="auto"/>
            <w:hideMark/>
          </w:tcPr>
          <w:p w:rsidR="00B54574" w:rsidRPr="00BE33AD" w:rsidRDefault="00B54574" w:rsidP="00D530EF">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14,2%</w:t>
            </w:r>
          </w:p>
        </w:tc>
      </w:tr>
      <w:tr w:rsidR="00B54574" w:rsidRPr="00BE33AD" w:rsidTr="00BE33AD">
        <w:trPr>
          <w:trHeight w:val="566"/>
        </w:trPr>
        <w:tc>
          <w:tcPr>
            <w:tcW w:w="1088" w:type="dxa"/>
            <w:vMerge/>
            <w:vAlign w:val="center"/>
            <w:hideMark/>
          </w:tcPr>
          <w:p w:rsidR="00B54574" w:rsidRPr="00BE33AD" w:rsidRDefault="00B54574" w:rsidP="002010D1">
            <w:pPr>
              <w:spacing w:after="0" w:line="240" w:lineRule="auto"/>
              <w:rPr>
                <w:rFonts w:ascii="Calibri" w:eastAsia="Times New Roman" w:hAnsi="Calibri" w:cs="Times New Roman"/>
                <w:bCs/>
                <w:color w:val="000000"/>
                <w:sz w:val="20"/>
                <w:szCs w:val="20"/>
                <w:lang w:val="es-ES" w:eastAsia="es-ES"/>
              </w:rPr>
            </w:pPr>
          </w:p>
        </w:tc>
        <w:tc>
          <w:tcPr>
            <w:tcW w:w="1351"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1249" w:type="dxa"/>
            <w:shd w:val="clear" w:color="auto" w:fill="auto"/>
            <w:hideMark/>
          </w:tcPr>
          <w:p w:rsidR="00B54574" w:rsidRPr="00BE33AD" w:rsidRDefault="00B54574" w:rsidP="00B54574">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(Gasto privado)</w:t>
            </w:r>
          </w:p>
        </w:tc>
        <w:tc>
          <w:tcPr>
            <w:tcW w:w="1435"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1334"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1213"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850"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709"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r>
      <w:tr w:rsidR="00B54574" w:rsidRPr="00BE33AD" w:rsidTr="00BE33AD">
        <w:trPr>
          <w:trHeight w:val="283"/>
        </w:trPr>
        <w:tc>
          <w:tcPr>
            <w:tcW w:w="1088" w:type="dxa"/>
            <w:vMerge/>
            <w:vAlign w:val="center"/>
            <w:hideMark/>
          </w:tcPr>
          <w:p w:rsidR="00B54574" w:rsidRPr="00BE33AD" w:rsidRDefault="00B54574" w:rsidP="002010D1">
            <w:pPr>
              <w:spacing w:after="0" w:line="240" w:lineRule="auto"/>
              <w:rPr>
                <w:rFonts w:ascii="Calibri" w:eastAsia="Times New Roman" w:hAnsi="Calibri" w:cs="Times New Roman"/>
                <w:bCs/>
                <w:color w:val="000000"/>
                <w:sz w:val="20"/>
                <w:szCs w:val="20"/>
                <w:lang w:val="es-ES" w:eastAsia="es-ES"/>
              </w:rPr>
            </w:pPr>
          </w:p>
        </w:tc>
        <w:tc>
          <w:tcPr>
            <w:tcW w:w="1351"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1249" w:type="dxa"/>
            <w:shd w:val="clear" w:color="auto" w:fill="auto"/>
            <w:hideMark/>
          </w:tcPr>
          <w:p w:rsidR="00B54574" w:rsidRPr="00BE33AD" w:rsidRDefault="00B54574" w:rsidP="00B54574">
            <w:pPr>
              <w:spacing w:after="0" w:line="240" w:lineRule="auto"/>
              <w:jc w:val="center"/>
              <w:rPr>
                <w:rFonts w:ascii="Calibri" w:eastAsia="Times New Roman" w:hAnsi="Calibri" w:cs="Times New Roman"/>
                <w:color w:val="000000"/>
                <w:sz w:val="20"/>
                <w:szCs w:val="20"/>
                <w:lang w:val="es-ES" w:eastAsia="es-ES"/>
              </w:rPr>
            </w:pPr>
          </w:p>
        </w:tc>
        <w:tc>
          <w:tcPr>
            <w:tcW w:w="1435"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1334"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1213"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850"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709"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r>
      <w:tr w:rsidR="00B54574" w:rsidRPr="00BE33AD" w:rsidTr="00BE33AD">
        <w:trPr>
          <w:trHeight w:val="283"/>
        </w:trPr>
        <w:tc>
          <w:tcPr>
            <w:tcW w:w="1088" w:type="dxa"/>
            <w:vMerge/>
            <w:vAlign w:val="center"/>
            <w:hideMark/>
          </w:tcPr>
          <w:p w:rsidR="00B54574" w:rsidRPr="00BE33AD" w:rsidRDefault="00B54574" w:rsidP="002010D1">
            <w:pPr>
              <w:spacing w:after="0" w:line="240" w:lineRule="auto"/>
              <w:rPr>
                <w:rFonts w:ascii="Calibri" w:eastAsia="Times New Roman" w:hAnsi="Calibri" w:cs="Times New Roman"/>
                <w:bCs/>
                <w:color w:val="000000"/>
                <w:sz w:val="20"/>
                <w:szCs w:val="20"/>
                <w:lang w:val="es-ES" w:eastAsia="es-ES"/>
              </w:rPr>
            </w:pPr>
          </w:p>
        </w:tc>
        <w:tc>
          <w:tcPr>
            <w:tcW w:w="1351"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1249" w:type="dxa"/>
            <w:shd w:val="clear" w:color="auto" w:fill="auto"/>
            <w:hideMark/>
          </w:tcPr>
          <w:p w:rsidR="00B54574" w:rsidRPr="00BE33AD" w:rsidRDefault="00D530EF" w:rsidP="00B54574">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1,1</w:t>
            </w:r>
            <w:r w:rsidR="00B54574" w:rsidRPr="00BE33AD">
              <w:rPr>
                <w:rFonts w:ascii="Calibri" w:eastAsia="Times New Roman" w:hAnsi="Calibri" w:cs="Times New Roman"/>
                <w:color w:val="000000"/>
                <w:sz w:val="20"/>
                <w:szCs w:val="20"/>
                <w:lang w:val="es-ES" w:eastAsia="es-ES"/>
              </w:rPr>
              <w:t>%</w:t>
            </w:r>
          </w:p>
        </w:tc>
        <w:tc>
          <w:tcPr>
            <w:tcW w:w="1435"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1334"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1213"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850"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709"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r>
      <w:tr w:rsidR="00B54574" w:rsidRPr="00BE33AD" w:rsidTr="00BE33AD">
        <w:trPr>
          <w:trHeight w:val="566"/>
        </w:trPr>
        <w:tc>
          <w:tcPr>
            <w:tcW w:w="1088" w:type="dxa"/>
            <w:vMerge/>
            <w:vAlign w:val="center"/>
            <w:hideMark/>
          </w:tcPr>
          <w:p w:rsidR="00B54574" w:rsidRPr="00BE33AD" w:rsidRDefault="00B54574" w:rsidP="002010D1">
            <w:pPr>
              <w:spacing w:after="0" w:line="240" w:lineRule="auto"/>
              <w:rPr>
                <w:rFonts w:ascii="Calibri" w:eastAsia="Times New Roman" w:hAnsi="Calibri" w:cs="Times New Roman"/>
                <w:bCs/>
                <w:color w:val="000000"/>
                <w:sz w:val="20"/>
                <w:szCs w:val="20"/>
                <w:lang w:val="es-ES" w:eastAsia="es-ES"/>
              </w:rPr>
            </w:pPr>
          </w:p>
        </w:tc>
        <w:tc>
          <w:tcPr>
            <w:tcW w:w="1351"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1249" w:type="dxa"/>
            <w:shd w:val="clear" w:color="auto" w:fill="auto"/>
            <w:hideMark/>
          </w:tcPr>
          <w:p w:rsidR="00B54574" w:rsidRPr="00BE33AD" w:rsidRDefault="00B54574" w:rsidP="00B54574">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(Gasto público)</w:t>
            </w:r>
          </w:p>
        </w:tc>
        <w:tc>
          <w:tcPr>
            <w:tcW w:w="1435"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1334"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1213"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850"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709"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r>
      <w:tr w:rsidR="00B54574" w:rsidRPr="00BE33AD" w:rsidTr="00BE33AD">
        <w:trPr>
          <w:trHeight w:val="111"/>
        </w:trPr>
        <w:tc>
          <w:tcPr>
            <w:tcW w:w="1088" w:type="dxa"/>
            <w:vMerge/>
            <w:vAlign w:val="center"/>
            <w:hideMark/>
          </w:tcPr>
          <w:p w:rsidR="00B54574" w:rsidRPr="00BE33AD" w:rsidRDefault="00B54574" w:rsidP="002010D1">
            <w:pPr>
              <w:spacing w:after="0" w:line="240" w:lineRule="auto"/>
              <w:rPr>
                <w:rFonts w:ascii="Calibri" w:eastAsia="Times New Roman" w:hAnsi="Calibri" w:cs="Times New Roman"/>
                <w:bCs/>
                <w:color w:val="000000"/>
                <w:sz w:val="20"/>
                <w:szCs w:val="20"/>
                <w:lang w:val="es-ES" w:eastAsia="es-ES"/>
              </w:rPr>
            </w:pPr>
          </w:p>
        </w:tc>
        <w:tc>
          <w:tcPr>
            <w:tcW w:w="1351"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1249" w:type="dxa"/>
            <w:shd w:val="clear" w:color="auto" w:fill="auto"/>
            <w:hideMark/>
          </w:tcPr>
          <w:p w:rsidR="00B54574" w:rsidRPr="00BE33AD" w:rsidRDefault="00B54574" w:rsidP="00B54574">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 </w:t>
            </w:r>
          </w:p>
        </w:tc>
        <w:tc>
          <w:tcPr>
            <w:tcW w:w="1435"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1334"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1213"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850"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709"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r>
      <w:tr w:rsidR="00B54574" w:rsidRPr="00BE33AD" w:rsidTr="00BE33AD">
        <w:trPr>
          <w:trHeight w:val="580"/>
        </w:trPr>
        <w:tc>
          <w:tcPr>
            <w:tcW w:w="1088" w:type="dxa"/>
            <w:shd w:val="clear" w:color="auto" w:fill="auto"/>
            <w:hideMark/>
          </w:tcPr>
          <w:p w:rsidR="00B54574" w:rsidRPr="00BE33AD" w:rsidRDefault="00B54574" w:rsidP="002010D1">
            <w:pPr>
              <w:spacing w:after="0" w:line="240" w:lineRule="auto"/>
              <w:rPr>
                <w:rFonts w:ascii="Calibri" w:eastAsia="Times New Roman" w:hAnsi="Calibri" w:cs="Times New Roman"/>
                <w:bCs/>
                <w:color w:val="000000"/>
                <w:sz w:val="20"/>
                <w:szCs w:val="20"/>
                <w:lang w:val="es-ES" w:eastAsia="es-ES"/>
              </w:rPr>
            </w:pPr>
            <w:r w:rsidRPr="00BE33AD">
              <w:rPr>
                <w:rFonts w:ascii="Calibri" w:eastAsia="Times New Roman" w:hAnsi="Calibri" w:cs="Times New Roman"/>
                <w:bCs/>
                <w:color w:val="000000"/>
                <w:sz w:val="20"/>
                <w:szCs w:val="20"/>
                <w:lang w:val="es-ES" w:eastAsia="es-ES"/>
              </w:rPr>
              <w:t>Mayhew (2003)</w:t>
            </w:r>
          </w:p>
        </w:tc>
        <w:tc>
          <w:tcPr>
            <w:tcW w:w="1351" w:type="dxa"/>
            <w:shd w:val="clear" w:color="auto" w:fill="auto"/>
            <w:hideMark/>
          </w:tcPr>
          <w:p w:rsidR="00B54574" w:rsidRPr="00BE33AD" w:rsidRDefault="00B54574" w:rsidP="00B54574">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Australia (2001-2002)</w:t>
            </w:r>
          </w:p>
        </w:tc>
        <w:tc>
          <w:tcPr>
            <w:tcW w:w="1249" w:type="dxa"/>
            <w:shd w:val="clear" w:color="auto" w:fill="auto"/>
            <w:hideMark/>
          </w:tcPr>
          <w:p w:rsidR="00B54574" w:rsidRPr="00BE33AD" w:rsidRDefault="00B54574" w:rsidP="00D530EF">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0,5%</w:t>
            </w:r>
          </w:p>
        </w:tc>
        <w:tc>
          <w:tcPr>
            <w:tcW w:w="1435" w:type="dxa"/>
            <w:shd w:val="clear" w:color="auto" w:fill="auto"/>
            <w:hideMark/>
          </w:tcPr>
          <w:p w:rsidR="00B54574" w:rsidRPr="00BE33AD" w:rsidRDefault="00B54574" w:rsidP="00D530EF">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0,5%</w:t>
            </w:r>
          </w:p>
        </w:tc>
        <w:tc>
          <w:tcPr>
            <w:tcW w:w="1334" w:type="dxa"/>
            <w:shd w:val="clear" w:color="auto" w:fill="auto"/>
            <w:hideMark/>
          </w:tcPr>
          <w:p w:rsidR="00B54574" w:rsidRPr="00BE33AD" w:rsidRDefault="00B54574" w:rsidP="00D530EF">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0,5%</w:t>
            </w:r>
          </w:p>
        </w:tc>
        <w:tc>
          <w:tcPr>
            <w:tcW w:w="1213" w:type="dxa"/>
            <w:shd w:val="clear" w:color="auto" w:fill="auto"/>
            <w:hideMark/>
          </w:tcPr>
          <w:p w:rsidR="00B54574" w:rsidRPr="00BE33AD" w:rsidRDefault="00B54574" w:rsidP="00D530EF">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0,3%</w:t>
            </w:r>
          </w:p>
        </w:tc>
        <w:tc>
          <w:tcPr>
            <w:tcW w:w="850" w:type="dxa"/>
            <w:shd w:val="clear" w:color="auto" w:fill="auto"/>
            <w:hideMark/>
          </w:tcPr>
          <w:p w:rsidR="00B54574" w:rsidRPr="00BE33AD" w:rsidRDefault="00B54574" w:rsidP="00D530EF">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0,9%</w:t>
            </w:r>
          </w:p>
        </w:tc>
        <w:tc>
          <w:tcPr>
            <w:tcW w:w="709" w:type="dxa"/>
            <w:shd w:val="clear" w:color="auto" w:fill="auto"/>
            <w:hideMark/>
          </w:tcPr>
          <w:p w:rsidR="00B54574" w:rsidRPr="00BE33AD" w:rsidRDefault="00B54574" w:rsidP="00D530EF">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4,2%</w:t>
            </w:r>
          </w:p>
        </w:tc>
      </w:tr>
      <w:tr w:rsidR="00B54574" w:rsidRPr="00BE33AD" w:rsidTr="00BE33AD">
        <w:trPr>
          <w:trHeight w:val="283"/>
        </w:trPr>
        <w:tc>
          <w:tcPr>
            <w:tcW w:w="1088" w:type="dxa"/>
            <w:vMerge w:val="restart"/>
            <w:shd w:val="clear" w:color="auto" w:fill="auto"/>
            <w:hideMark/>
          </w:tcPr>
          <w:p w:rsidR="00B54574" w:rsidRPr="00BE33AD" w:rsidRDefault="00B54574" w:rsidP="002010D1">
            <w:pPr>
              <w:spacing w:after="0" w:line="240" w:lineRule="auto"/>
              <w:rPr>
                <w:rFonts w:ascii="Calibri" w:eastAsia="Times New Roman" w:hAnsi="Calibri" w:cs="Times New Roman"/>
                <w:bCs/>
                <w:color w:val="000000"/>
                <w:sz w:val="20"/>
                <w:szCs w:val="20"/>
                <w:lang w:val="es-ES" w:eastAsia="es-ES"/>
              </w:rPr>
            </w:pPr>
            <w:r w:rsidRPr="00BE33AD">
              <w:rPr>
                <w:rFonts w:ascii="Calibri" w:eastAsia="Times New Roman" w:hAnsi="Calibri" w:cs="Times New Roman"/>
                <w:bCs/>
                <w:color w:val="000000"/>
                <w:sz w:val="20"/>
                <w:szCs w:val="20"/>
                <w:lang w:val="es-ES" w:eastAsia="es-ES"/>
              </w:rPr>
              <w:t>Rondon y Andrade (2003)</w:t>
            </w:r>
          </w:p>
        </w:tc>
        <w:tc>
          <w:tcPr>
            <w:tcW w:w="1351" w:type="dxa"/>
            <w:vMerge w:val="restart"/>
            <w:shd w:val="clear" w:color="auto" w:fill="auto"/>
            <w:hideMark/>
          </w:tcPr>
          <w:p w:rsidR="00B54574" w:rsidRPr="00BE33AD" w:rsidRDefault="00B54574" w:rsidP="00B54574">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Belo Horizonte, Brasil (1999)</w:t>
            </w:r>
          </w:p>
        </w:tc>
        <w:tc>
          <w:tcPr>
            <w:tcW w:w="1249" w:type="dxa"/>
            <w:shd w:val="clear" w:color="auto" w:fill="auto"/>
            <w:hideMark/>
          </w:tcPr>
          <w:p w:rsidR="00B54574" w:rsidRPr="00BE33AD" w:rsidRDefault="00B54574" w:rsidP="00D530EF">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0,3%</w:t>
            </w:r>
          </w:p>
        </w:tc>
        <w:tc>
          <w:tcPr>
            <w:tcW w:w="1435" w:type="dxa"/>
            <w:vMerge w:val="restart"/>
            <w:shd w:val="clear" w:color="auto" w:fill="auto"/>
            <w:hideMark/>
          </w:tcPr>
          <w:p w:rsidR="00B54574" w:rsidRPr="00BE33AD" w:rsidRDefault="00D530EF" w:rsidP="00B54574">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0,8</w:t>
            </w:r>
            <w:r w:rsidR="00B54574" w:rsidRPr="00BE33AD">
              <w:rPr>
                <w:rFonts w:ascii="Calibri" w:eastAsia="Times New Roman" w:hAnsi="Calibri" w:cs="Times New Roman"/>
                <w:color w:val="000000"/>
                <w:sz w:val="20"/>
                <w:szCs w:val="20"/>
                <w:lang w:val="es-ES" w:eastAsia="es-ES"/>
              </w:rPr>
              <w:t>%</w:t>
            </w:r>
          </w:p>
        </w:tc>
        <w:tc>
          <w:tcPr>
            <w:tcW w:w="1334" w:type="dxa"/>
            <w:vMerge w:val="restart"/>
            <w:shd w:val="clear" w:color="auto" w:fill="auto"/>
            <w:hideMark/>
          </w:tcPr>
          <w:p w:rsidR="00B54574" w:rsidRPr="00BE33AD" w:rsidRDefault="00B54574" w:rsidP="00D530EF">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0,0%</w:t>
            </w:r>
          </w:p>
        </w:tc>
        <w:tc>
          <w:tcPr>
            <w:tcW w:w="1213" w:type="dxa"/>
            <w:vMerge w:val="restart"/>
            <w:shd w:val="clear" w:color="auto" w:fill="auto"/>
            <w:hideMark/>
          </w:tcPr>
          <w:p w:rsidR="00B54574" w:rsidRPr="00BE33AD" w:rsidRDefault="00D530EF" w:rsidP="00B54574">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0,8</w:t>
            </w:r>
            <w:r w:rsidR="00B54574" w:rsidRPr="00BE33AD">
              <w:rPr>
                <w:rFonts w:ascii="Calibri" w:eastAsia="Times New Roman" w:hAnsi="Calibri" w:cs="Times New Roman"/>
                <w:color w:val="000000"/>
                <w:sz w:val="20"/>
                <w:szCs w:val="20"/>
                <w:lang w:val="es-ES" w:eastAsia="es-ES"/>
              </w:rPr>
              <w:t>%</w:t>
            </w:r>
          </w:p>
        </w:tc>
        <w:tc>
          <w:tcPr>
            <w:tcW w:w="850" w:type="dxa"/>
            <w:vMerge w:val="restart"/>
            <w:shd w:val="clear" w:color="auto" w:fill="auto"/>
            <w:hideMark/>
          </w:tcPr>
          <w:p w:rsidR="00B54574" w:rsidRPr="00BE33AD" w:rsidRDefault="00B54574" w:rsidP="00D530EF">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1,6%</w:t>
            </w:r>
          </w:p>
        </w:tc>
        <w:tc>
          <w:tcPr>
            <w:tcW w:w="709" w:type="dxa"/>
            <w:vMerge w:val="restart"/>
            <w:shd w:val="clear" w:color="auto" w:fill="auto"/>
            <w:hideMark/>
          </w:tcPr>
          <w:p w:rsidR="00B54574" w:rsidRPr="00BE33AD" w:rsidRDefault="00B54574" w:rsidP="00D530EF">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4,1%</w:t>
            </w:r>
          </w:p>
        </w:tc>
      </w:tr>
      <w:tr w:rsidR="00B54574" w:rsidRPr="00BE33AD" w:rsidTr="00BE33AD">
        <w:trPr>
          <w:trHeight w:val="580"/>
        </w:trPr>
        <w:tc>
          <w:tcPr>
            <w:tcW w:w="1088" w:type="dxa"/>
            <w:vMerge/>
            <w:vAlign w:val="center"/>
            <w:hideMark/>
          </w:tcPr>
          <w:p w:rsidR="00B54574" w:rsidRPr="00BE33AD" w:rsidRDefault="00B54574" w:rsidP="002010D1">
            <w:pPr>
              <w:spacing w:after="0" w:line="240" w:lineRule="auto"/>
              <w:rPr>
                <w:rFonts w:ascii="Calibri" w:eastAsia="Times New Roman" w:hAnsi="Calibri" w:cs="Times New Roman"/>
                <w:bCs/>
                <w:color w:val="000000"/>
                <w:sz w:val="20"/>
                <w:szCs w:val="20"/>
                <w:lang w:val="es-ES" w:eastAsia="es-ES"/>
              </w:rPr>
            </w:pPr>
          </w:p>
        </w:tc>
        <w:tc>
          <w:tcPr>
            <w:tcW w:w="1351"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1249" w:type="dxa"/>
            <w:shd w:val="clear" w:color="auto" w:fill="auto"/>
            <w:hideMark/>
          </w:tcPr>
          <w:p w:rsidR="00B54574" w:rsidRPr="00BE33AD" w:rsidRDefault="00B54574" w:rsidP="00B54574">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 xml:space="preserve"> (Gasto privado)</w:t>
            </w:r>
          </w:p>
        </w:tc>
        <w:tc>
          <w:tcPr>
            <w:tcW w:w="1435"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1334"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1213"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850"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709"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r>
      <w:tr w:rsidR="00B54574" w:rsidRPr="00BE33AD" w:rsidTr="00BE33AD">
        <w:trPr>
          <w:trHeight w:val="283"/>
        </w:trPr>
        <w:tc>
          <w:tcPr>
            <w:tcW w:w="1088" w:type="dxa"/>
            <w:vMerge w:val="restart"/>
            <w:shd w:val="clear" w:color="auto" w:fill="auto"/>
            <w:hideMark/>
          </w:tcPr>
          <w:p w:rsidR="00B54574" w:rsidRPr="00BE33AD" w:rsidRDefault="00B54574" w:rsidP="002010D1">
            <w:pPr>
              <w:spacing w:after="0" w:line="240" w:lineRule="auto"/>
              <w:rPr>
                <w:rFonts w:ascii="Calibri" w:eastAsia="Times New Roman" w:hAnsi="Calibri" w:cs="Times New Roman"/>
                <w:bCs/>
                <w:color w:val="000000"/>
                <w:sz w:val="20"/>
                <w:szCs w:val="20"/>
                <w:lang w:val="es-ES" w:eastAsia="es-ES"/>
              </w:rPr>
            </w:pPr>
            <w:r w:rsidRPr="00BE33AD">
              <w:rPr>
                <w:rFonts w:ascii="Calibri" w:eastAsia="Times New Roman" w:hAnsi="Calibri" w:cs="Times New Roman"/>
                <w:bCs/>
                <w:color w:val="000000"/>
                <w:sz w:val="20"/>
                <w:szCs w:val="20"/>
                <w:lang w:val="es-ES" w:eastAsia="es-ES"/>
              </w:rPr>
              <w:t>Roper y Thompson (2006)</w:t>
            </w:r>
          </w:p>
        </w:tc>
        <w:tc>
          <w:tcPr>
            <w:tcW w:w="1351" w:type="dxa"/>
            <w:vMerge w:val="restart"/>
            <w:shd w:val="clear" w:color="auto" w:fill="auto"/>
            <w:hideMark/>
          </w:tcPr>
          <w:p w:rsidR="00B54574" w:rsidRPr="00BE33AD" w:rsidRDefault="00B54574" w:rsidP="00B54574">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Nueva Zelanda (2003-2004)</w:t>
            </w:r>
          </w:p>
        </w:tc>
        <w:tc>
          <w:tcPr>
            <w:tcW w:w="1249" w:type="dxa"/>
            <w:shd w:val="clear" w:color="auto" w:fill="auto"/>
            <w:hideMark/>
          </w:tcPr>
          <w:p w:rsidR="00B54574" w:rsidRPr="00BE33AD" w:rsidRDefault="00B54574" w:rsidP="00D530EF">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0,2%</w:t>
            </w:r>
          </w:p>
        </w:tc>
        <w:tc>
          <w:tcPr>
            <w:tcW w:w="1435" w:type="dxa"/>
            <w:vMerge w:val="restart"/>
            <w:shd w:val="clear" w:color="auto" w:fill="auto"/>
            <w:hideMark/>
          </w:tcPr>
          <w:p w:rsidR="00B54574" w:rsidRPr="00BE33AD" w:rsidRDefault="00B54574" w:rsidP="00D530EF">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1,3%</w:t>
            </w:r>
          </w:p>
        </w:tc>
        <w:tc>
          <w:tcPr>
            <w:tcW w:w="1334" w:type="dxa"/>
            <w:vMerge w:val="restart"/>
            <w:shd w:val="clear" w:color="auto" w:fill="auto"/>
            <w:hideMark/>
          </w:tcPr>
          <w:p w:rsidR="00B54574" w:rsidRPr="00BE33AD" w:rsidRDefault="00B54574" w:rsidP="00D530EF">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3,1%</w:t>
            </w:r>
          </w:p>
        </w:tc>
        <w:tc>
          <w:tcPr>
            <w:tcW w:w="1213" w:type="dxa"/>
            <w:vMerge w:val="restart"/>
            <w:shd w:val="clear" w:color="auto" w:fill="auto"/>
            <w:hideMark/>
          </w:tcPr>
          <w:p w:rsidR="00B54574" w:rsidRPr="00BE33AD" w:rsidRDefault="00B54574" w:rsidP="00D530EF">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0,7%</w:t>
            </w:r>
          </w:p>
        </w:tc>
        <w:tc>
          <w:tcPr>
            <w:tcW w:w="850" w:type="dxa"/>
            <w:vMerge w:val="restart"/>
            <w:shd w:val="clear" w:color="auto" w:fill="auto"/>
            <w:hideMark/>
          </w:tcPr>
          <w:p w:rsidR="00B54574" w:rsidRPr="00BE33AD" w:rsidRDefault="00B54574" w:rsidP="00D530EF">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1,1%</w:t>
            </w:r>
          </w:p>
        </w:tc>
        <w:tc>
          <w:tcPr>
            <w:tcW w:w="709" w:type="dxa"/>
            <w:vMerge w:val="restart"/>
            <w:shd w:val="clear" w:color="auto" w:fill="auto"/>
            <w:hideMark/>
          </w:tcPr>
          <w:p w:rsidR="00B54574" w:rsidRPr="00BE33AD" w:rsidRDefault="00B54574" w:rsidP="00D530EF">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6,5%</w:t>
            </w:r>
          </w:p>
        </w:tc>
      </w:tr>
      <w:tr w:rsidR="00B54574" w:rsidRPr="00BE33AD" w:rsidTr="00BE33AD">
        <w:trPr>
          <w:trHeight w:val="633"/>
        </w:trPr>
        <w:tc>
          <w:tcPr>
            <w:tcW w:w="1088" w:type="dxa"/>
            <w:vMerge/>
            <w:vAlign w:val="center"/>
            <w:hideMark/>
          </w:tcPr>
          <w:p w:rsidR="00B54574" w:rsidRPr="00BE33AD" w:rsidRDefault="00B54574" w:rsidP="00B54574">
            <w:pPr>
              <w:spacing w:after="0" w:line="240" w:lineRule="auto"/>
              <w:rPr>
                <w:rFonts w:ascii="Calibri" w:eastAsia="Times New Roman" w:hAnsi="Calibri" w:cs="Times New Roman"/>
                <w:bCs/>
                <w:color w:val="000000"/>
                <w:sz w:val="20"/>
                <w:szCs w:val="20"/>
                <w:lang w:val="es-ES" w:eastAsia="es-ES"/>
              </w:rPr>
            </w:pPr>
          </w:p>
        </w:tc>
        <w:tc>
          <w:tcPr>
            <w:tcW w:w="1351"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1249" w:type="dxa"/>
            <w:shd w:val="clear" w:color="auto" w:fill="auto"/>
            <w:hideMark/>
          </w:tcPr>
          <w:p w:rsidR="00B54574" w:rsidRPr="00BE33AD" w:rsidRDefault="00B54574" w:rsidP="00B54574">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(Gasto privado)</w:t>
            </w:r>
          </w:p>
        </w:tc>
        <w:tc>
          <w:tcPr>
            <w:tcW w:w="1435"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1334"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1213"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850"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709"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r>
      <w:tr w:rsidR="00B54574" w:rsidRPr="00BE33AD" w:rsidTr="00BE33AD">
        <w:trPr>
          <w:trHeight w:val="283"/>
        </w:trPr>
        <w:tc>
          <w:tcPr>
            <w:tcW w:w="1088" w:type="dxa"/>
            <w:vMerge/>
            <w:vAlign w:val="center"/>
            <w:hideMark/>
          </w:tcPr>
          <w:p w:rsidR="00B54574" w:rsidRPr="00BE33AD" w:rsidRDefault="00B54574" w:rsidP="00B54574">
            <w:pPr>
              <w:spacing w:after="0" w:line="240" w:lineRule="auto"/>
              <w:rPr>
                <w:rFonts w:ascii="Calibri" w:eastAsia="Times New Roman" w:hAnsi="Calibri" w:cs="Times New Roman"/>
                <w:bCs/>
                <w:color w:val="000000"/>
                <w:sz w:val="20"/>
                <w:szCs w:val="20"/>
                <w:lang w:val="es-ES" w:eastAsia="es-ES"/>
              </w:rPr>
            </w:pPr>
          </w:p>
        </w:tc>
        <w:tc>
          <w:tcPr>
            <w:tcW w:w="1351"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1249" w:type="dxa"/>
            <w:shd w:val="clear" w:color="auto" w:fill="auto"/>
            <w:hideMark/>
          </w:tcPr>
          <w:p w:rsidR="00B54574" w:rsidRPr="00BE33AD" w:rsidRDefault="00B54574" w:rsidP="00B54574">
            <w:pPr>
              <w:spacing w:after="0" w:line="240" w:lineRule="auto"/>
              <w:jc w:val="center"/>
              <w:rPr>
                <w:rFonts w:ascii="Calibri" w:eastAsia="Times New Roman" w:hAnsi="Calibri" w:cs="Times New Roman"/>
                <w:color w:val="000000"/>
                <w:sz w:val="20"/>
                <w:szCs w:val="20"/>
                <w:lang w:val="es-ES" w:eastAsia="es-ES"/>
              </w:rPr>
            </w:pPr>
          </w:p>
        </w:tc>
        <w:tc>
          <w:tcPr>
            <w:tcW w:w="1435"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1334"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1213"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850"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709"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r>
      <w:tr w:rsidR="00B54574" w:rsidRPr="00BE33AD" w:rsidTr="00BE33AD">
        <w:trPr>
          <w:trHeight w:val="283"/>
        </w:trPr>
        <w:tc>
          <w:tcPr>
            <w:tcW w:w="1088" w:type="dxa"/>
            <w:vMerge/>
            <w:vAlign w:val="center"/>
            <w:hideMark/>
          </w:tcPr>
          <w:p w:rsidR="00B54574" w:rsidRPr="00BE33AD" w:rsidRDefault="00B54574" w:rsidP="00B54574">
            <w:pPr>
              <w:spacing w:after="0" w:line="240" w:lineRule="auto"/>
              <w:rPr>
                <w:rFonts w:ascii="Calibri" w:eastAsia="Times New Roman" w:hAnsi="Calibri" w:cs="Times New Roman"/>
                <w:bCs/>
                <w:color w:val="000000"/>
                <w:sz w:val="20"/>
                <w:szCs w:val="20"/>
                <w:lang w:val="es-ES" w:eastAsia="es-ES"/>
              </w:rPr>
            </w:pPr>
          </w:p>
        </w:tc>
        <w:tc>
          <w:tcPr>
            <w:tcW w:w="1351"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1249" w:type="dxa"/>
            <w:shd w:val="clear" w:color="auto" w:fill="auto"/>
            <w:hideMark/>
          </w:tcPr>
          <w:p w:rsidR="00B54574" w:rsidRPr="00BE33AD" w:rsidRDefault="00D530EF" w:rsidP="00B54574">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0,1</w:t>
            </w:r>
            <w:r w:rsidR="00B54574" w:rsidRPr="00BE33AD">
              <w:rPr>
                <w:rFonts w:ascii="Calibri" w:eastAsia="Times New Roman" w:hAnsi="Calibri" w:cs="Times New Roman"/>
                <w:color w:val="000000"/>
                <w:sz w:val="20"/>
                <w:szCs w:val="20"/>
                <w:lang w:val="es-ES" w:eastAsia="es-ES"/>
              </w:rPr>
              <w:t>%</w:t>
            </w:r>
          </w:p>
        </w:tc>
        <w:tc>
          <w:tcPr>
            <w:tcW w:w="1435"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1334"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1213"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850"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709"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r>
      <w:tr w:rsidR="00B54574" w:rsidRPr="00BE33AD" w:rsidTr="00BE33AD">
        <w:trPr>
          <w:trHeight w:val="363"/>
        </w:trPr>
        <w:tc>
          <w:tcPr>
            <w:tcW w:w="1088" w:type="dxa"/>
            <w:vMerge/>
            <w:vAlign w:val="center"/>
            <w:hideMark/>
          </w:tcPr>
          <w:p w:rsidR="00B54574" w:rsidRPr="00BE33AD" w:rsidRDefault="00B54574" w:rsidP="00B54574">
            <w:pPr>
              <w:spacing w:after="0" w:line="240" w:lineRule="auto"/>
              <w:rPr>
                <w:rFonts w:ascii="Calibri" w:eastAsia="Times New Roman" w:hAnsi="Calibri" w:cs="Times New Roman"/>
                <w:bCs/>
                <w:color w:val="000000"/>
                <w:sz w:val="20"/>
                <w:szCs w:val="20"/>
                <w:lang w:val="es-ES" w:eastAsia="es-ES"/>
              </w:rPr>
            </w:pPr>
          </w:p>
        </w:tc>
        <w:tc>
          <w:tcPr>
            <w:tcW w:w="1351"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1249" w:type="dxa"/>
            <w:shd w:val="clear" w:color="auto" w:fill="auto"/>
            <w:hideMark/>
          </w:tcPr>
          <w:p w:rsidR="00B54574" w:rsidRPr="00BE33AD" w:rsidRDefault="00B54574" w:rsidP="00B54574">
            <w:pPr>
              <w:spacing w:after="0" w:line="240" w:lineRule="auto"/>
              <w:jc w:val="center"/>
              <w:rPr>
                <w:rFonts w:ascii="Calibri" w:eastAsia="Times New Roman" w:hAnsi="Calibri" w:cs="Times New Roman"/>
                <w:color w:val="000000"/>
                <w:sz w:val="20"/>
                <w:szCs w:val="20"/>
                <w:lang w:val="es-ES" w:eastAsia="es-ES"/>
              </w:rPr>
            </w:pPr>
            <w:r w:rsidRPr="00BE33AD">
              <w:rPr>
                <w:rFonts w:ascii="Calibri" w:eastAsia="Times New Roman" w:hAnsi="Calibri" w:cs="Times New Roman"/>
                <w:color w:val="000000"/>
                <w:sz w:val="20"/>
                <w:szCs w:val="20"/>
                <w:lang w:val="es-ES" w:eastAsia="es-ES"/>
              </w:rPr>
              <w:t>(Gasto público)</w:t>
            </w:r>
          </w:p>
        </w:tc>
        <w:tc>
          <w:tcPr>
            <w:tcW w:w="1435"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1334"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1213"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850"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c>
          <w:tcPr>
            <w:tcW w:w="709" w:type="dxa"/>
            <w:vMerge/>
            <w:vAlign w:val="center"/>
            <w:hideMark/>
          </w:tcPr>
          <w:p w:rsidR="00B54574" w:rsidRPr="00BE33AD" w:rsidRDefault="00B54574" w:rsidP="00B54574">
            <w:pPr>
              <w:spacing w:after="0" w:line="240" w:lineRule="auto"/>
              <w:rPr>
                <w:rFonts w:ascii="Calibri" w:eastAsia="Times New Roman" w:hAnsi="Calibri" w:cs="Times New Roman"/>
                <w:color w:val="000000"/>
                <w:sz w:val="20"/>
                <w:szCs w:val="20"/>
                <w:lang w:val="es-ES" w:eastAsia="es-ES"/>
              </w:rPr>
            </w:pPr>
          </w:p>
        </w:tc>
      </w:tr>
    </w:tbl>
    <w:p w:rsidR="00DE2DA7" w:rsidRDefault="00DE2DA7" w:rsidP="00DE2DA7">
      <w:pPr>
        <w:rPr>
          <w:b/>
        </w:rPr>
      </w:pPr>
      <w:r>
        <w:rPr>
          <w:b/>
        </w:rPr>
        <w:t>Notas:</w:t>
      </w:r>
    </w:p>
    <w:p w:rsidR="00975FF8" w:rsidRPr="007C6BFA" w:rsidRDefault="00975FF8" w:rsidP="00975FF8">
      <w:pPr>
        <w:pStyle w:val="ListParagraph"/>
        <w:numPr>
          <w:ilvl w:val="0"/>
          <w:numId w:val="2"/>
        </w:numPr>
        <w:tabs>
          <w:tab w:val="left" w:pos="360"/>
        </w:tabs>
        <w:ind w:left="360"/>
        <w:rPr>
          <w:sz w:val="20"/>
          <w:szCs w:val="20"/>
        </w:rPr>
      </w:pPr>
      <w:r w:rsidRPr="007C6BFA">
        <w:rPr>
          <w:sz w:val="20"/>
          <w:szCs w:val="20"/>
          <w:u w:val="single"/>
        </w:rPr>
        <w:t xml:space="preserve">Anderson (1999): </w:t>
      </w:r>
    </w:p>
    <w:p w:rsidR="00975FF8" w:rsidRPr="007C6BFA" w:rsidRDefault="00975FF8" w:rsidP="00975FF8">
      <w:pPr>
        <w:pStyle w:val="ListParagraph"/>
        <w:ind w:left="360"/>
        <w:jc w:val="both"/>
        <w:rPr>
          <w:sz w:val="20"/>
          <w:szCs w:val="20"/>
        </w:rPr>
      </w:pPr>
      <w:r>
        <w:rPr>
          <w:i/>
          <w:sz w:val="20"/>
          <w:szCs w:val="20"/>
        </w:rPr>
        <w:t>Seguridad y prevención</w:t>
      </w:r>
      <w:r w:rsidRPr="007C6BFA">
        <w:rPr>
          <w:sz w:val="20"/>
          <w:szCs w:val="20"/>
        </w:rPr>
        <w:t xml:space="preserve">. Incluye categorías: guardias, armas (estadísticas de gasto privado); gasto en alarmas (estimación de otro trabajo); cerraduras, cámaras de seguridad, iluminación y cercas </w:t>
      </w:r>
      <w:r w:rsidRPr="007C6BFA">
        <w:rPr>
          <w:sz w:val="20"/>
          <w:szCs w:val="20"/>
        </w:rPr>
        <w:lastRenderedPageBreak/>
        <w:t>eléctricas (actividad del sector</w:t>
      </w:r>
      <w:r>
        <w:rPr>
          <w:sz w:val="20"/>
          <w:szCs w:val="20"/>
        </w:rPr>
        <w:t xml:space="preserve"> </w:t>
      </w:r>
      <w:r w:rsidRPr="007C6BFA">
        <w:rPr>
          <w:sz w:val="20"/>
          <w:szCs w:val="20"/>
        </w:rPr>
        <w:t xml:space="preserve">-Bureau of the Census- y estimación de la proporción que corresponde a artículos para seguridad). No distingue gasto público de privado. </w:t>
      </w:r>
    </w:p>
    <w:p w:rsidR="00975FF8" w:rsidRPr="007C6BFA" w:rsidRDefault="00975FF8" w:rsidP="00975FF8">
      <w:pPr>
        <w:pStyle w:val="ListParagraph"/>
        <w:ind w:left="360"/>
        <w:jc w:val="both"/>
        <w:rPr>
          <w:sz w:val="20"/>
          <w:szCs w:val="20"/>
        </w:rPr>
      </w:pPr>
      <w:r>
        <w:rPr>
          <w:i/>
          <w:sz w:val="20"/>
          <w:szCs w:val="20"/>
        </w:rPr>
        <w:t>Propiedad</w:t>
      </w:r>
      <w:r w:rsidRPr="007C6BFA">
        <w:rPr>
          <w:i/>
          <w:sz w:val="20"/>
          <w:szCs w:val="20"/>
        </w:rPr>
        <w:t xml:space="preserve"> robada</w:t>
      </w:r>
      <w:r>
        <w:rPr>
          <w:i/>
          <w:sz w:val="20"/>
          <w:szCs w:val="20"/>
        </w:rPr>
        <w:t xml:space="preserve"> y/o vandaliz</w:t>
      </w:r>
      <w:r w:rsidRPr="007C6BFA">
        <w:rPr>
          <w:i/>
          <w:sz w:val="20"/>
          <w:szCs w:val="20"/>
        </w:rPr>
        <w:t>ada</w:t>
      </w:r>
      <w:r>
        <w:rPr>
          <w:sz w:val="20"/>
          <w:szCs w:val="20"/>
        </w:rPr>
        <w:t>:</w:t>
      </w:r>
      <w:r w:rsidRPr="007C6BFA">
        <w:rPr>
          <w:sz w:val="20"/>
          <w:szCs w:val="20"/>
        </w:rPr>
        <w:t xml:space="preserve"> basado en estimaciones de otros trabajos</w:t>
      </w:r>
      <w:r>
        <w:rPr>
          <w:sz w:val="20"/>
          <w:szCs w:val="20"/>
        </w:rPr>
        <w:t>.</w:t>
      </w:r>
    </w:p>
    <w:p w:rsidR="00975FF8" w:rsidRPr="007C6BFA" w:rsidRDefault="00975FF8" w:rsidP="00975FF8">
      <w:pPr>
        <w:pStyle w:val="ListParagraph"/>
        <w:ind w:left="360"/>
        <w:jc w:val="both"/>
        <w:rPr>
          <w:sz w:val="20"/>
          <w:szCs w:val="20"/>
        </w:rPr>
      </w:pPr>
      <w:r w:rsidRPr="007C6BFA">
        <w:rPr>
          <w:i/>
          <w:sz w:val="20"/>
          <w:szCs w:val="20"/>
        </w:rPr>
        <w:t>Costos intangibles</w:t>
      </w:r>
      <w:r>
        <w:rPr>
          <w:i/>
          <w:sz w:val="20"/>
          <w:szCs w:val="20"/>
        </w:rPr>
        <w:t xml:space="preserve"> y de salud</w:t>
      </w:r>
      <w:r w:rsidRPr="007C6BFA">
        <w:rPr>
          <w:i/>
          <w:sz w:val="20"/>
          <w:szCs w:val="20"/>
        </w:rPr>
        <w:t xml:space="preserve">. </w:t>
      </w:r>
      <w:r w:rsidRPr="007C6BFA">
        <w:rPr>
          <w:sz w:val="20"/>
          <w:szCs w:val="20"/>
        </w:rPr>
        <w:t>Cantidad de lesiones (por tipo) o muertes*estimaciones de otros estudios del costo de cada lesión o de la vida humana.</w:t>
      </w:r>
    </w:p>
    <w:p w:rsidR="00975FF8" w:rsidRDefault="00975FF8" w:rsidP="00975FF8">
      <w:pPr>
        <w:pStyle w:val="ListParagraph"/>
        <w:ind w:left="360"/>
        <w:jc w:val="both"/>
        <w:rPr>
          <w:sz w:val="20"/>
          <w:szCs w:val="20"/>
        </w:rPr>
      </w:pPr>
      <w:r w:rsidRPr="007C6BFA">
        <w:rPr>
          <w:i/>
          <w:sz w:val="20"/>
          <w:szCs w:val="20"/>
        </w:rPr>
        <w:t xml:space="preserve">Costos de oportunidad. </w:t>
      </w:r>
      <w:r w:rsidRPr="007C6BFA">
        <w:rPr>
          <w:sz w:val="20"/>
          <w:szCs w:val="20"/>
        </w:rPr>
        <w:t>Incluye: tiempo perdido asegurando bienes (obtiene tiempo diario dedicado a cerrar y abrir puertas y a buscar llaves, a través de encuesta y observación de individuos, no aclara cómo lo convierte a cifras nominales), días de trabajo perdidos por criminales planeando y ejecutando el crimen, y en la cárcel (el salario medio del criminal se extrae de las características de la población carcelaria, no explica cómo se obtienen las horas de esfuerzo criminal), días de trabajo perdidos por las víctimas (cantidad de días a través de encuesta de victimización, multiplicado por salario medio).</w:t>
      </w:r>
    </w:p>
    <w:p w:rsidR="00975FF8" w:rsidRPr="00E912EB" w:rsidRDefault="00975FF8" w:rsidP="00975FF8">
      <w:pPr>
        <w:pStyle w:val="ListParagraph"/>
        <w:ind w:left="360"/>
        <w:jc w:val="both"/>
        <w:rPr>
          <w:sz w:val="20"/>
          <w:szCs w:val="20"/>
        </w:rPr>
      </w:pPr>
      <w:r w:rsidRPr="007C6BFA">
        <w:rPr>
          <w:i/>
          <w:sz w:val="20"/>
          <w:szCs w:val="20"/>
        </w:rPr>
        <w:t>Justicia</w:t>
      </w:r>
      <w:r w:rsidRPr="007C6BFA">
        <w:rPr>
          <w:sz w:val="20"/>
          <w:szCs w:val="20"/>
        </w:rPr>
        <w:t>. Incluye: policía, sistema carcelario, s</w:t>
      </w:r>
      <w:r>
        <w:rPr>
          <w:sz w:val="20"/>
          <w:szCs w:val="20"/>
        </w:rPr>
        <w:t>ervicios judiciales y legales (F</w:t>
      </w:r>
      <w:r w:rsidRPr="007C6BFA">
        <w:rPr>
          <w:sz w:val="20"/>
          <w:szCs w:val="20"/>
        </w:rPr>
        <w:t>uente: presupuesto del Estado).</w:t>
      </w:r>
    </w:p>
    <w:p w:rsidR="00975FF8" w:rsidRPr="007C6BFA" w:rsidRDefault="00975FF8" w:rsidP="00975FF8">
      <w:pPr>
        <w:pStyle w:val="ListParagraph"/>
        <w:ind w:left="360"/>
        <w:jc w:val="both"/>
        <w:rPr>
          <w:sz w:val="20"/>
          <w:szCs w:val="20"/>
        </w:rPr>
      </w:pPr>
      <w:r w:rsidRPr="007C6BFA">
        <w:rPr>
          <w:i/>
          <w:sz w:val="20"/>
          <w:szCs w:val="20"/>
        </w:rPr>
        <w:t>Costo total</w:t>
      </w:r>
      <w:r w:rsidRPr="007C6BFA">
        <w:rPr>
          <w:sz w:val="20"/>
          <w:szCs w:val="20"/>
        </w:rPr>
        <w:t xml:space="preserve">: incluye muchas otras categorías en términos de tipo de costo, y de tipo de crimen (estafas, fraude, evasión de impuestos, etc.). </w:t>
      </w:r>
    </w:p>
    <w:p w:rsidR="00975FF8" w:rsidRDefault="00975FF8" w:rsidP="00975FF8">
      <w:pPr>
        <w:pStyle w:val="FootnoteText"/>
        <w:numPr>
          <w:ilvl w:val="0"/>
          <w:numId w:val="2"/>
        </w:numPr>
        <w:ind w:left="360"/>
        <w:jc w:val="both"/>
      </w:pPr>
      <w:r w:rsidRPr="007C6BFA">
        <w:rPr>
          <w:u w:val="single"/>
        </w:rPr>
        <w:t xml:space="preserve">BID (1998): </w:t>
      </w:r>
      <w:r w:rsidRPr="007C6BFA">
        <w:t>Los % están en referencia al PIB de Ciudad de México.</w:t>
      </w:r>
    </w:p>
    <w:p w:rsidR="00975FF8" w:rsidRPr="00E912EB" w:rsidRDefault="00975FF8" w:rsidP="00975FF8">
      <w:pPr>
        <w:pStyle w:val="FootnoteText"/>
        <w:ind w:left="360"/>
        <w:jc w:val="both"/>
      </w:pPr>
      <w:r>
        <w:rPr>
          <w:i/>
        </w:rPr>
        <w:t>Seguridad y prevención</w:t>
      </w:r>
      <w:r w:rsidRPr="007C6BFA">
        <w:t>. Privado: estimación a través del personal ocupado en el sector. Público: presupuesto del Estado.</w:t>
      </w:r>
    </w:p>
    <w:p w:rsidR="00975FF8" w:rsidRDefault="00975FF8" w:rsidP="00975FF8">
      <w:pPr>
        <w:pStyle w:val="FootnoteText"/>
        <w:ind w:left="360"/>
        <w:jc w:val="both"/>
      </w:pPr>
      <w:r>
        <w:rPr>
          <w:i/>
        </w:rPr>
        <w:t>Propiedad</w:t>
      </w:r>
      <w:r w:rsidRPr="007C6BFA">
        <w:rPr>
          <w:i/>
        </w:rPr>
        <w:t xml:space="preserve"> robada y/o vandalizada</w:t>
      </w:r>
      <w:r w:rsidRPr="007C6BFA">
        <w:t>: cantidad de delitos*estimación de costo promedio por delito (aseguradoras)</w:t>
      </w:r>
      <w:r>
        <w:t>.</w:t>
      </w:r>
    </w:p>
    <w:p w:rsidR="00975FF8" w:rsidRPr="007C6BFA" w:rsidRDefault="00975FF8" w:rsidP="00975FF8">
      <w:pPr>
        <w:pStyle w:val="FootnoteText"/>
        <w:ind w:left="360"/>
        <w:jc w:val="both"/>
      </w:pPr>
      <w:r w:rsidRPr="007C6BFA">
        <w:rPr>
          <w:i/>
        </w:rPr>
        <w:t>Costos intangibles</w:t>
      </w:r>
      <w:r>
        <w:rPr>
          <w:i/>
        </w:rPr>
        <w:t xml:space="preserve"> y de salud</w:t>
      </w:r>
      <w:r w:rsidRPr="007C6BFA">
        <w:t xml:space="preserve">. Incluye: atención médica de las lesiones (cantidad de lesiones (por tipo)*costo de la lesión (a través de </w:t>
      </w:r>
      <w:r>
        <w:t>estimación de expertos clínicos)</w:t>
      </w:r>
      <w:r w:rsidRPr="007C6BFA">
        <w:t>); pérdida por días de enfermedad y recuperación (días promedio de hospitalización a través de procesamiento de datos de hospitales*salario promedio</w:t>
      </w:r>
      <w:r>
        <w:t xml:space="preserve"> </w:t>
      </w:r>
      <w:r w:rsidRPr="007C6BFA">
        <w:t>+ días que se estima los familiares acompañan al hospitalizado*salario promedio); disposición a pagar para evitar secuelas de miedo, angustia y lesiones físicas (a través de encuesta); pérdidas por años de vida saludable (AVISA perdidos*salario promedio).</w:t>
      </w:r>
    </w:p>
    <w:p w:rsidR="00975FF8" w:rsidRPr="007C6BFA" w:rsidRDefault="00975FF8" w:rsidP="00975FF8">
      <w:pPr>
        <w:pStyle w:val="FootnoteText"/>
        <w:ind w:left="360"/>
        <w:jc w:val="both"/>
      </w:pPr>
      <w:r w:rsidRPr="007C6BFA">
        <w:rPr>
          <w:i/>
        </w:rPr>
        <w:t>Costos de oportunidad</w:t>
      </w:r>
      <w:r w:rsidRPr="007C6BFA">
        <w:t>. Incluye: pérdida por encarcelamiento (días de condena*salario promedio); pérdida de oportunidades empresariales (estimación sobre actividades que no pueden funcionar de noche por criminalidad)</w:t>
      </w:r>
      <w:r>
        <w:t>.</w:t>
      </w:r>
    </w:p>
    <w:p w:rsidR="00975FF8" w:rsidRPr="007C6BFA" w:rsidRDefault="00975FF8" w:rsidP="00975FF8">
      <w:pPr>
        <w:pStyle w:val="FootnoteText"/>
        <w:ind w:left="360"/>
        <w:jc w:val="both"/>
      </w:pPr>
      <w:r w:rsidRPr="007C6BFA">
        <w:rPr>
          <w:i/>
        </w:rPr>
        <w:t>Justicia</w:t>
      </w:r>
      <w:r w:rsidRPr="007C6BFA">
        <w:t>. Incluye: sistema judicial,  sistema carcelario y fuerza policial (presupuesto del Estado); gasto en abogados</w:t>
      </w:r>
      <w:r>
        <w:t>.</w:t>
      </w:r>
    </w:p>
    <w:p w:rsidR="00975FF8" w:rsidRPr="007C6BFA" w:rsidRDefault="00975FF8" w:rsidP="00975FF8">
      <w:pPr>
        <w:pStyle w:val="FootnoteText"/>
        <w:ind w:left="360"/>
        <w:jc w:val="both"/>
      </w:pPr>
      <w:r w:rsidRPr="007C6BFA">
        <w:rPr>
          <w:i/>
        </w:rPr>
        <w:t>Costo total</w:t>
      </w:r>
      <w:r w:rsidRPr="007C6BFA">
        <w:t>. Incluye además: disposición a pagar de las víctimas por recuperar su estilo de vida anterior y disposición a pagar de la ciudadanía por mejorar la seguridad pública y gasto en primas por seguros.</w:t>
      </w:r>
    </w:p>
    <w:p w:rsidR="00975FF8" w:rsidRPr="00E05452" w:rsidRDefault="00975FF8" w:rsidP="00975FF8">
      <w:pPr>
        <w:pStyle w:val="FootnoteText"/>
        <w:tabs>
          <w:tab w:val="left" w:pos="1668"/>
        </w:tabs>
        <w:ind w:left="360"/>
        <w:jc w:val="both"/>
      </w:pPr>
      <w:r>
        <w:tab/>
      </w:r>
    </w:p>
    <w:p w:rsidR="00975FF8" w:rsidRPr="00E912EB" w:rsidRDefault="00975FF8" w:rsidP="00975FF8">
      <w:pPr>
        <w:pStyle w:val="ListParagraph"/>
        <w:numPr>
          <w:ilvl w:val="0"/>
          <w:numId w:val="2"/>
        </w:numPr>
        <w:ind w:left="360"/>
        <w:jc w:val="both"/>
        <w:rPr>
          <w:sz w:val="20"/>
          <w:szCs w:val="20"/>
        </w:rPr>
      </w:pPr>
      <w:r w:rsidRPr="00237108">
        <w:rPr>
          <w:sz w:val="20"/>
          <w:szCs w:val="20"/>
          <w:u w:val="single"/>
        </w:rPr>
        <w:t xml:space="preserve">Brand y Price (2000): </w:t>
      </w:r>
    </w:p>
    <w:p w:rsidR="00975FF8" w:rsidRPr="00E912EB" w:rsidRDefault="00975FF8" w:rsidP="00975FF8">
      <w:pPr>
        <w:pStyle w:val="ListParagraph"/>
        <w:ind w:left="360"/>
        <w:jc w:val="both"/>
        <w:rPr>
          <w:sz w:val="20"/>
          <w:szCs w:val="20"/>
        </w:rPr>
      </w:pPr>
      <w:r>
        <w:rPr>
          <w:i/>
          <w:sz w:val="20"/>
          <w:szCs w:val="20"/>
        </w:rPr>
        <w:t>S</w:t>
      </w:r>
      <w:r w:rsidRPr="00E912EB">
        <w:rPr>
          <w:i/>
          <w:sz w:val="20"/>
          <w:szCs w:val="20"/>
        </w:rPr>
        <w:t>eguridad</w:t>
      </w:r>
      <w:r>
        <w:rPr>
          <w:i/>
          <w:sz w:val="20"/>
          <w:szCs w:val="20"/>
        </w:rPr>
        <w:t xml:space="preserve"> y prevención</w:t>
      </w:r>
      <w:r w:rsidRPr="00E912EB">
        <w:rPr>
          <w:i/>
          <w:sz w:val="20"/>
          <w:szCs w:val="20"/>
        </w:rPr>
        <w:t xml:space="preserve">. </w:t>
      </w:r>
      <w:r>
        <w:rPr>
          <w:sz w:val="20"/>
          <w:szCs w:val="20"/>
        </w:rPr>
        <w:t>Incluye: gasto privado (F</w:t>
      </w:r>
      <w:r w:rsidRPr="00E912EB">
        <w:rPr>
          <w:sz w:val="20"/>
          <w:szCs w:val="20"/>
        </w:rPr>
        <w:t>uente: estadísticas del mercado de empresas de seguridad) y administración de aseguradoras (comisiones y gastos administrativos).</w:t>
      </w:r>
    </w:p>
    <w:p w:rsidR="00975FF8" w:rsidRDefault="00975FF8" w:rsidP="00975FF8">
      <w:pPr>
        <w:pStyle w:val="ListParagraph"/>
        <w:ind w:left="360"/>
        <w:jc w:val="both"/>
        <w:rPr>
          <w:sz w:val="20"/>
          <w:szCs w:val="20"/>
        </w:rPr>
      </w:pPr>
      <w:r>
        <w:rPr>
          <w:i/>
          <w:sz w:val="20"/>
          <w:szCs w:val="20"/>
        </w:rPr>
        <w:t>Propiedad</w:t>
      </w:r>
      <w:r w:rsidRPr="00237108">
        <w:rPr>
          <w:i/>
          <w:sz w:val="20"/>
          <w:szCs w:val="20"/>
        </w:rPr>
        <w:t xml:space="preserve"> robada y/o vandalizada.</w:t>
      </w:r>
      <w:r w:rsidRPr="00237108">
        <w:rPr>
          <w:sz w:val="20"/>
          <w:szCs w:val="20"/>
        </w:rPr>
        <w:t xml:space="preserve"> Fuente: encuesta de victimización que pregunta valor de la propiedad perdida.</w:t>
      </w:r>
    </w:p>
    <w:p w:rsidR="00975FF8" w:rsidRPr="00E912EB" w:rsidRDefault="00975FF8" w:rsidP="00975FF8">
      <w:pPr>
        <w:pStyle w:val="ListParagraph"/>
        <w:ind w:left="360"/>
        <w:jc w:val="both"/>
        <w:rPr>
          <w:sz w:val="20"/>
          <w:szCs w:val="20"/>
        </w:rPr>
      </w:pPr>
      <w:r w:rsidRPr="00237108">
        <w:rPr>
          <w:i/>
          <w:sz w:val="20"/>
          <w:szCs w:val="20"/>
        </w:rPr>
        <w:t xml:space="preserve">Costos intangibles y de salud. </w:t>
      </w:r>
      <w:r w:rsidRPr="00237108">
        <w:rPr>
          <w:sz w:val="20"/>
          <w:szCs w:val="20"/>
        </w:rPr>
        <w:t>Incluye: intangibles y gasto en servicios médicos (estimaciones del Departamento de Transporte del costo emocional y físico de los accidentes de tránsito), gasto en programa de apoyo a las víctimas.</w:t>
      </w:r>
    </w:p>
    <w:p w:rsidR="00975FF8" w:rsidRPr="00237108" w:rsidRDefault="00975FF8" w:rsidP="00975FF8">
      <w:pPr>
        <w:pStyle w:val="ListParagraph"/>
        <w:ind w:left="360"/>
        <w:jc w:val="both"/>
        <w:rPr>
          <w:sz w:val="20"/>
          <w:szCs w:val="20"/>
        </w:rPr>
      </w:pPr>
      <w:r w:rsidRPr="00237108">
        <w:rPr>
          <w:i/>
          <w:sz w:val="20"/>
          <w:szCs w:val="20"/>
        </w:rPr>
        <w:t>Costos de oportunidad.</w:t>
      </w:r>
      <w:r w:rsidRPr="00237108">
        <w:rPr>
          <w:sz w:val="20"/>
          <w:szCs w:val="20"/>
        </w:rPr>
        <w:t xml:space="preserve"> Tiempo que se toman libre del trabajo las víctimas (preguntado en encuesta de victimización)*salario promedio.</w:t>
      </w:r>
    </w:p>
    <w:p w:rsidR="00975FF8" w:rsidRPr="00E912EB" w:rsidRDefault="00975FF8" w:rsidP="00975FF8">
      <w:pPr>
        <w:pStyle w:val="ListParagraph"/>
        <w:ind w:left="360"/>
        <w:jc w:val="both"/>
        <w:rPr>
          <w:sz w:val="20"/>
          <w:szCs w:val="20"/>
        </w:rPr>
      </w:pPr>
      <w:r w:rsidRPr="00237108">
        <w:rPr>
          <w:i/>
          <w:sz w:val="20"/>
          <w:szCs w:val="20"/>
        </w:rPr>
        <w:t>Justicia:</w:t>
      </w:r>
      <w:r w:rsidRPr="00237108">
        <w:rPr>
          <w:sz w:val="20"/>
          <w:szCs w:val="20"/>
        </w:rPr>
        <w:t xml:space="preserve"> incluye todo el presupuesto del sistema judicial (la policía inclusive).</w:t>
      </w:r>
    </w:p>
    <w:p w:rsidR="00975FF8" w:rsidRDefault="00975FF8" w:rsidP="00975FF8">
      <w:pPr>
        <w:pStyle w:val="ListParagraph"/>
        <w:ind w:left="360"/>
        <w:jc w:val="both"/>
        <w:rPr>
          <w:sz w:val="20"/>
          <w:szCs w:val="20"/>
        </w:rPr>
      </w:pPr>
      <w:r w:rsidRPr="00237108">
        <w:rPr>
          <w:i/>
          <w:sz w:val="20"/>
          <w:szCs w:val="20"/>
        </w:rPr>
        <w:t>Costo total:</w:t>
      </w:r>
      <w:r>
        <w:rPr>
          <w:sz w:val="20"/>
          <w:szCs w:val="20"/>
        </w:rPr>
        <w:t xml:space="preserve"> todas las categorías estima</w:t>
      </w:r>
      <w:r w:rsidRPr="00237108">
        <w:rPr>
          <w:sz w:val="20"/>
          <w:szCs w:val="20"/>
        </w:rPr>
        <w:t>das están en la tabla.</w:t>
      </w:r>
    </w:p>
    <w:p w:rsidR="00975FF8" w:rsidRDefault="00975FF8" w:rsidP="00975FF8">
      <w:pPr>
        <w:pStyle w:val="ListParagraph"/>
        <w:ind w:left="360"/>
        <w:jc w:val="both"/>
        <w:rPr>
          <w:sz w:val="20"/>
          <w:szCs w:val="20"/>
        </w:rPr>
      </w:pPr>
    </w:p>
    <w:p w:rsidR="00975FF8" w:rsidRPr="00032915" w:rsidRDefault="00975FF8" w:rsidP="00975FF8">
      <w:pPr>
        <w:pStyle w:val="ListParagraph"/>
        <w:numPr>
          <w:ilvl w:val="0"/>
          <w:numId w:val="2"/>
        </w:numPr>
        <w:ind w:left="360"/>
        <w:jc w:val="both"/>
        <w:rPr>
          <w:sz w:val="20"/>
          <w:szCs w:val="20"/>
          <w:u w:val="single"/>
        </w:rPr>
      </w:pPr>
      <w:r w:rsidRPr="00032915">
        <w:rPr>
          <w:sz w:val="20"/>
          <w:szCs w:val="20"/>
          <w:u w:val="single"/>
        </w:rPr>
        <w:t>Detotto y Vannini (2010):</w:t>
      </w:r>
    </w:p>
    <w:p w:rsidR="00975FF8" w:rsidRPr="00032915" w:rsidRDefault="00975FF8" w:rsidP="00975FF8">
      <w:pPr>
        <w:pStyle w:val="ListParagraph"/>
        <w:ind w:left="360"/>
        <w:jc w:val="both"/>
        <w:rPr>
          <w:sz w:val="20"/>
          <w:szCs w:val="20"/>
        </w:rPr>
      </w:pPr>
      <w:r w:rsidRPr="00032915">
        <w:rPr>
          <w:i/>
          <w:sz w:val="20"/>
          <w:szCs w:val="20"/>
        </w:rPr>
        <w:lastRenderedPageBreak/>
        <w:t>Seguridad</w:t>
      </w:r>
      <w:r>
        <w:rPr>
          <w:i/>
          <w:sz w:val="20"/>
          <w:szCs w:val="20"/>
        </w:rPr>
        <w:t xml:space="preserve"> y prevención</w:t>
      </w:r>
      <w:r w:rsidRPr="00032915">
        <w:rPr>
          <w:i/>
          <w:sz w:val="20"/>
          <w:szCs w:val="20"/>
        </w:rPr>
        <w:t xml:space="preserve">. </w:t>
      </w:r>
      <w:r w:rsidRPr="00032915">
        <w:rPr>
          <w:sz w:val="20"/>
          <w:szCs w:val="20"/>
        </w:rPr>
        <w:t>Incluye: gasto total en bienes y servicios para seguridad, y costos administrativos de aseguradoras.</w:t>
      </w:r>
    </w:p>
    <w:p w:rsidR="00975FF8" w:rsidRDefault="00975FF8" w:rsidP="00975FF8">
      <w:pPr>
        <w:pStyle w:val="ListParagraph"/>
        <w:ind w:left="360"/>
        <w:jc w:val="both"/>
        <w:rPr>
          <w:sz w:val="20"/>
          <w:szCs w:val="20"/>
        </w:rPr>
      </w:pPr>
      <w:r w:rsidRPr="00032915">
        <w:rPr>
          <w:i/>
          <w:sz w:val="20"/>
          <w:szCs w:val="20"/>
        </w:rPr>
        <w:t xml:space="preserve">Costos intangibles y de salud/ </w:t>
      </w:r>
      <w:r>
        <w:rPr>
          <w:i/>
          <w:sz w:val="20"/>
          <w:szCs w:val="20"/>
        </w:rPr>
        <w:t>P</w:t>
      </w:r>
      <w:r w:rsidRPr="00032915">
        <w:rPr>
          <w:i/>
          <w:sz w:val="20"/>
          <w:szCs w:val="20"/>
        </w:rPr>
        <w:t xml:space="preserve">ropiedad robada y/o vandalizada. </w:t>
      </w:r>
      <w:r w:rsidRPr="00032915">
        <w:rPr>
          <w:sz w:val="20"/>
          <w:szCs w:val="20"/>
        </w:rPr>
        <w:t>Estiman los “costos como consecuencia del crimen” (1,6%) en donde se incluyen ambas categorías</w:t>
      </w:r>
      <w:r>
        <w:rPr>
          <w:sz w:val="20"/>
          <w:szCs w:val="20"/>
        </w:rPr>
        <w:t xml:space="preserve">. </w:t>
      </w:r>
      <w:r w:rsidRPr="00032915">
        <w:rPr>
          <w:sz w:val="20"/>
          <w:szCs w:val="20"/>
        </w:rPr>
        <w:t>Fuente: encuesta de victimización con cantidad de delitos y costo promedio asociado a ellos (para delitos contra la propiedad). Menciona que incluye costos en salud</w:t>
      </w:r>
      <w:r>
        <w:rPr>
          <w:sz w:val="20"/>
          <w:szCs w:val="20"/>
        </w:rPr>
        <w:t xml:space="preserve"> (no especif</w:t>
      </w:r>
      <w:r w:rsidRPr="00032915">
        <w:rPr>
          <w:sz w:val="20"/>
          <w:szCs w:val="20"/>
        </w:rPr>
        <w:t>ica la fuente</w:t>
      </w:r>
      <w:r>
        <w:rPr>
          <w:sz w:val="20"/>
          <w:szCs w:val="20"/>
        </w:rPr>
        <w:t>)</w:t>
      </w:r>
      <w:r w:rsidRPr="00032915">
        <w:rPr>
          <w:sz w:val="20"/>
          <w:szCs w:val="20"/>
        </w:rPr>
        <w:t>.</w:t>
      </w:r>
    </w:p>
    <w:p w:rsidR="00975FF8" w:rsidRPr="00E912EB" w:rsidRDefault="00975FF8" w:rsidP="00975FF8">
      <w:pPr>
        <w:pStyle w:val="ListParagraph"/>
        <w:ind w:left="360"/>
        <w:jc w:val="both"/>
        <w:rPr>
          <w:sz w:val="20"/>
          <w:szCs w:val="20"/>
        </w:rPr>
      </w:pPr>
      <w:r w:rsidRPr="00032915">
        <w:rPr>
          <w:i/>
          <w:sz w:val="20"/>
          <w:szCs w:val="20"/>
        </w:rPr>
        <w:t>Costos de oportunidad.</w:t>
      </w:r>
      <w:r w:rsidRPr="00032915">
        <w:rPr>
          <w:sz w:val="20"/>
          <w:szCs w:val="20"/>
        </w:rPr>
        <w:t xml:space="preserve"> No los estima.</w:t>
      </w:r>
    </w:p>
    <w:p w:rsidR="00975FF8" w:rsidRPr="00E912EB" w:rsidRDefault="00975FF8" w:rsidP="00975FF8">
      <w:pPr>
        <w:pStyle w:val="ListParagraph"/>
        <w:ind w:left="360"/>
        <w:jc w:val="both"/>
        <w:rPr>
          <w:sz w:val="20"/>
          <w:szCs w:val="20"/>
        </w:rPr>
      </w:pPr>
      <w:r w:rsidRPr="00032915">
        <w:rPr>
          <w:i/>
          <w:sz w:val="20"/>
          <w:szCs w:val="20"/>
        </w:rPr>
        <w:t>Justicia.</w:t>
      </w:r>
      <w:r w:rsidRPr="00032915">
        <w:rPr>
          <w:sz w:val="20"/>
          <w:szCs w:val="20"/>
        </w:rPr>
        <w:t xml:space="preserve"> Presupuesto para policía, sistema judicial y sistema carcelario.</w:t>
      </w:r>
    </w:p>
    <w:p w:rsidR="00975FF8" w:rsidRPr="00836ACA" w:rsidRDefault="00975FF8" w:rsidP="00975FF8">
      <w:pPr>
        <w:pStyle w:val="ListParagraph"/>
        <w:ind w:left="360"/>
        <w:jc w:val="both"/>
        <w:rPr>
          <w:sz w:val="20"/>
          <w:szCs w:val="20"/>
        </w:rPr>
      </w:pPr>
      <w:r w:rsidRPr="00032915">
        <w:rPr>
          <w:i/>
          <w:sz w:val="20"/>
          <w:szCs w:val="20"/>
        </w:rPr>
        <w:t>Costo total:</w:t>
      </w:r>
      <w:r w:rsidRPr="00032915">
        <w:rPr>
          <w:sz w:val="20"/>
          <w:szCs w:val="20"/>
        </w:rPr>
        <w:t xml:space="preserve"> justicia + seguridad + costos como consecuencia del crimen</w:t>
      </w:r>
      <w:r>
        <w:rPr>
          <w:sz w:val="20"/>
          <w:szCs w:val="20"/>
        </w:rPr>
        <w:t>.</w:t>
      </w:r>
    </w:p>
    <w:p w:rsidR="00975FF8" w:rsidRDefault="00975FF8" w:rsidP="00975FF8">
      <w:pPr>
        <w:pStyle w:val="ListParagraph"/>
        <w:ind w:left="360"/>
        <w:jc w:val="both"/>
      </w:pPr>
    </w:p>
    <w:p w:rsidR="00975FF8" w:rsidRPr="00341755" w:rsidRDefault="00975FF8" w:rsidP="00975FF8">
      <w:pPr>
        <w:pStyle w:val="ListParagraph"/>
        <w:numPr>
          <w:ilvl w:val="0"/>
          <w:numId w:val="2"/>
        </w:numPr>
        <w:ind w:left="360"/>
        <w:jc w:val="both"/>
        <w:rPr>
          <w:sz w:val="20"/>
          <w:szCs w:val="20"/>
        </w:rPr>
      </w:pPr>
      <w:r w:rsidRPr="00341755">
        <w:rPr>
          <w:sz w:val="20"/>
          <w:szCs w:val="20"/>
          <w:u w:val="single"/>
        </w:rPr>
        <w:t>Londoño y Guerrero (2000)</w:t>
      </w:r>
      <w:r w:rsidRPr="00CF63CE">
        <w:rPr>
          <w:sz w:val="20"/>
          <w:szCs w:val="20"/>
        </w:rPr>
        <w:t xml:space="preserve">: </w:t>
      </w:r>
      <w:r w:rsidRPr="00341755">
        <w:rPr>
          <w:sz w:val="20"/>
          <w:szCs w:val="20"/>
        </w:rPr>
        <w:t>Países: México, El Salvador, Colombia, Venezuela, Perú y Brasil.</w:t>
      </w:r>
    </w:p>
    <w:p w:rsidR="00975FF8" w:rsidRDefault="00975FF8" w:rsidP="00975FF8">
      <w:pPr>
        <w:pStyle w:val="ListParagraph"/>
        <w:ind w:left="360"/>
        <w:jc w:val="both"/>
        <w:rPr>
          <w:sz w:val="20"/>
          <w:szCs w:val="20"/>
        </w:rPr>
      </w:pPr>
      <w:r w:rsidRPr="00341755">
        <w:rPr>
          <w:i/>
          <w:sz w:val="20"/>
          <w:szCs w:val="20"/>
        </w:rPr>
        <w:t>Seguridad</w:t>
      </w:r>
      <w:r>
        <w:rPr>
          <w:i/>
          <w:sz w:val="20"/>
          <w:szCs w:val="20"/>
        </w:rPr>
        <w:t xml:space="preserve"> y prevención</w:t>
      </w:r>
      <w:r w:rsidRPr="00341755">
        <w:rPr>
          <w:i/>
          <w:sz w:val="20"/>
          <w:szCs w:val="20"/>
        </w:rPr>
        <w:t>.</w:t>
      </w:r>
      <w:r w:rsidRPr="00341755">
        <w:rPr>
          <w:sz w:val="20"/>
          <w:szCs w:val="20"/>
        </w:rPr>
        <w:t xml:space="preserve"> Incluye: público (fuente: presupuestos estatales) y privado (fuentes: información de empresas de seguridad y encuestas de hogares)</w:t>
      </w:r>
    </w:p>
    <w:p w:rsidR="00975FF8" w:rsidRPr="00E912EB" w:rsidRDefault="00975FF8" w:rsidP="00975FF8">
      <w:pPr>
        <w:pStyle w:val="ListParagraph"/>
        <w:ind w:left="360"/>
        <w:jc w:val="both"/>
        <w:rPr>
          <w:sz w:val="20"/>
          <w:szCs w:val="20"/>
        </w:rPr>
      </w:pPr>
      <w:r>
        <w:rPr>
          <w:i/>
          <w:sz w:val="20"/>
          <w:szCs w:val="20"/>
        </w:rPr>
        <w:t>P</w:t>
      </w:r>
      <w:r w:rsidRPr="00237108">
        <w:rPr>
          <w:i/>
          <w:sz w:val="20"/>
          <w:szCs w:val="20"/>
        </w:rPr>
        <w:t>ropiedad robada y/o vandalizada</w:t>
      </w:r>
      <w:r>
        <w:rPr>
          <w:i/>
          <w:sz w:val="20"/>
          <w:szCs w:val="20"/>
        </w:rPr>
        <w:t xml:space="preserve">. </w:t>
      </w:r>
      <w:r>
        <w:rPr>
          <w:sz w:val="20"/>
          <w:szCs w:val="20"/>
        </w:rPr>
        <w:t>No especifica método.</w:t>
      </w:r>
    </w:p>
    <w:p w:rsidR="00975FF8" w:rsidRPr="00341755" w:rsidRDefault="00975FF8" w:rsidP="00975FF8">
      <w:pPr>
        <w:pStyle w:val="ListParagraph"/>
        <w:ind w:left="360"/>
        <w:jc w:val="both"/>
        <w:rPr>
          <w:sz w:val="20"/>
          <w:szCs w:val="20"/>
        </w:rPr>
      </w:pPr>
      <w:r w:rsidRPr="00341755">
        <w:rPr>
          <w:i/>
          <w:sz w:val="20"/>
          <w:szCs w:val="20"/>
        </w:rPr>
        <w:t xml:space="preserve">Costos intangibles y de salud. </w:t>
      </w:r>
      <w:r w:rsidRPr="00341755">
        <w:rPr>
          <w:sz w:val="20"/>
          <w:szCs w:val="20"/>
        </w:rPr>
        <w:t xml:space="preserve">Incluye: atención médica a </w:t>
      </w:r>
      <w:r>
        <w:rPr>
          <w:sz w:val="20"/>
          <w:szCs w:val="20"/>
        </w:rPr>
        <w:t>víctimas (F</w:t>
      </w:r>
      <w:r w:rsidRPr="00341755">
        <w:rPr>
          <w:sz w:val="20"/>
          <w:szCs w:val="20"/>
        </w:rPr>
        <w:t>uente: encuesta realizada a hospitales); valor de años de vida saludable perdidos (metodología tipo QALY*ingreso per cápita de la economía); intangibles (disposición a pagar por eliminar la violencia, manifestada en encuestas).</w:t>
      </w:r>
    </w:p>
    <w:p w:rsidR="00975FF8" w:rsidRPr="00341755" w:rsidRDefault="00975FF8" w:rsidP="00975FF8">
      <w:pPr>
        <w:pStyle w:val="ListParagraph"/>
        <w:ind w:left="360"/>
        <w:jc w:val="both"/>
        <w:rPr>
          <w:sz w:val="20"/>
          <w:szCs w:val="20"/>
        </w:rPr>
      </w:pPr>
      <w:r w:rsidRPr="00341755">
        <w:rPr>
          <w:i/>
          <w:sz w:val="20"/>
          <w:szCs w:val="20"/>
        </w:rPr>
        <w:t>Costos de oportunidad.</w:t>
      </w:r>
      <w:r w:rsidRPr="00341755">
        <w:rPr>
          <w:sz w:val="20"/>
          <w:szCs w:val="20"/>
        </w:rPr>
        <w:t xml:space="preserve"> A través de modelos econométricos que estiman el deterioro sobre la inversión y la productividad.</w:t>
      </w:r>
    </w:p>
    <w:p w:rsidR="00975FF8" w:rsidRPr="00DD4F03" w:rsidRDefault="00975FF8" w:rsidP="00975FF8">
      <w:pPr>
        <w:pStyle w:val="ListParagraph"/>
        <w:ind w:left="360"/>
        <w:jc w:val="both"/>
        <w:rPr>
          <w:sz w:val="20"/>
          <w:szCs w:val="20"/>
        </w:rPr>
      </w:pPr>
      <w:r w:rsidRPr="00341755">
        <w:rPr>
          <w:i/>
          <w:sz w:val="20"/>
          <w:szCs w:val="20"/>
        </w:rPr>
        <w:t>Justicia.</w:t>
      </w:r>
      <w:r w:rsidRPr="00341755">
        <w:rPr>
          <w:sz w:val="20"/>
          <w:szCs w:val="20"/>
        </w:rPr>
        <w:t xml:space="preserve"> Incluye apa</w:t>
      </w:r>
      <w:r>
        <w:rPr>
          <w:sz w:val="20"/>
          <w:szCs w:val="20"/>
        </w:rPr>
        <w:t>ratos judiciales y represivos (F</w:t>
      </w:r>
      <w:r w:rsidRPr="00341755">
        <w:rPr>
          <w:sz w:val="20"/>
          <w:szCs w:val="20"/>
        </w:rPr>
        <w:t>uente: presupuestos estatales).</w:t>
      </w:r>
      <w:r>
        <w:rPr>
          <w:sz w:val="20"/>
          <w:szCs w:val="20"/>
        </w:rPr>
        <w:t xml:space="preserve"> </w:t>
      </w:r>
    </w:p>
    <w:p w:rsidR="00975FF8" w:rsidRDefault="00975FF8" w:rsidP="00975FF8">
      <w:pPr>
        <w:pStyle w:val="ListParagraph"/>
        <w:ind w:left="360"/>
        <w:jc w:val="both"/>
        <w:rPr>
          <w:sz w:val="20"/>
          <w:szCs w:val="20"/>
        </w:rPr>
      </w:pPr>
      <w:r>
        <w:rPr>
          <w:i/>
          <w:sz w:val="20"/>
          <w:szCs w:val="20"/>
        </w:rPr>
        <w:t xml:space="preserve">Costo total. </w:t>
      </w:r>
      <w:r>
        <w:rPr>
          <w:sz w:val="20"/>
          <w:szCs w:val="20"/>
        </w:rPr>
        <w:t>Todas las categorías incluidas están en la tabla.</w:t>
      </w:r>
    </w:p>
    <w:p w:rsidR="00975FF8" w:rsidRDefault="00975FF8" w:rsidP="00975FF8">
      <w:pPr>
        <w:pStyle w:val="ListParagraph"/>
        <w:ind w:left="360"/>
        <w:jc w:val="both"/>
        <w:rPr>
          <w:sz w:val="20"/>
          <w:szCs w:val="20"/>
        </w:rPr>
      </w:pPr>
    </w:p>
    <w:p w:rsidR="00975FF8" w:rsidRPr="0034502D" w:rsidRDefault="00975FF8" w:rsidP="00975FF8">
      <w:pPr>
        <w:pStyle w:val="ListParagraph"/>
        <w:numPr>
          <w:ilvl w:val="0"/>
          <w:numId w:val="2"/>
        </w:numPr>
        <w:ind w:left="360"/>
        <w:jc w:val="both"/>
        <w:rPr>
          <w:sz w:val="20"/>
          <w:szCs w:val="20"/>
        </w:rPr>
      </w:pPr>
      <w:r>
        <w:rPr>
          <w:sz w:val="20"/>
          <w:szCs w:val="20"/>
          <w:u w:val="single"/>
        </w:rPr>
        <w:t>Mayhew (2003):</w:t>
      </w:r>
    </w:p>
    <w:p w:rsidR="00975FF8" w:rsidRDefault="00975FF8" w:rsidP="00975FF8">
      <w:pPr>
        <w:pStyle w:val="ListParagraph"/>
        <w:ind w:left="360"/>
        <w:jc w:val="both"/>
        <w:rPr>
          <w:sz w:val="20"/>
          <w:szCs w:val="20"/>
        </w:rPr>
      </w:pPr>
      <w:r>
        <w:rPr>
          <w:i/>
          <w:sz w:val="20"/>
          <w:szCs w:val="20"/>
        </w:rPr>
        <w:t xml:space="preserve">Seguridad y prevención. </w:t>
      </w:r>
      <w:r>
        <w:rPr>
          <w:sz w:val="20"/>
          <w:szCs w:val="20"/>
        </w:rPr>
        <w:t>Incluye gastos administrativos de aseguradoras y gasto privado (Fuente: ventas de las empresas de seguridad*estimación de especialistas de la proporción que corresponde a costos vinculados al crimen)</w:t>
      </w:r>
    </w:p>
    <w:p w:rsidR="00975FF8" w:rsidRPr="00E912EB" w:rsidRDefault="00975FF8" w:rsidP="00975FF8">
      <w:pPr>
        <w:pStyle w:val="ListParagraph"/>
        <w:ind w:left="360"/>
        <w:jc w:val="both"/>
        <w:rPr>
          <w:sz w:val="20"/>
          <w:szCs w:val="20"/>
        </w:rPr>
      </w:pPr>
      <w:r>
        <w:rPr>
          <w:i/>
          <w:sz w:val="20"/>
          <w:szCs w:val="20"/>
        </w:rPr>
        <w:t>P</w:t>
      </w:r>
      <w:r w:rsidRPr="00237108">
        <w:rPr>
          <w:i/>
          <w:sz w:val="20"/>
          <w:szCs w:val="20"/>
        </w:rPr>
        <w:t>ropiedad robada y/o vandalizada</w:t>
      </w:r>
      <w:r>
        <w:rPr>
          <w:i/>
          <w:sz w:val="20"/>
          <w:szCs w:val="20"/>
        </w:rPr>
        <w:t>.</w:t>
      </w:r>
      <w:r>
        <w:rPr>
          <w:sz w:val="20"/>
          <w:szCs w:val="20"/>
        </w:rPr>
        <w:t xml:space="preserve"> Fuente: estimaciones de otros trabajos sobre el valor promedio de los robos.</w:t>
      </w:r>
    </w:p>
    <w:p w:rsidR="00975FF8" w:rsidRDefault="00975FF8" w:rsidP="00975FF8">
      <w:pPr>
        <w:pStyle w:val="ListParagraph"/>
        <w:ind w:left="360"/>
        <w:jc w:val="both"/>
        <w:rPr>
          <w:sz w:val="20"/>
          <w:szCs w:val="20"/>
        </w:rPr>
      </w:pPr>
      <w:r>
        <w:rPr>
          <w:i/>
          <w:sz w:val="20"/>
          <w:szCs w:val="20"/>
        </w:rPr>
        <w:t>Costos intangibles y de salud.</w:t>
      </w:r>
      <w:r>
        <w:rPr>
          <w:sz w:val="20"/>
          <w:szCs w:val="20"/>
        </w:rPr>
        <w:t xml:space="preserve"> Incluye: gastos en atención médica (lesiones (por tipo)*estimación de otro trabajo del gasto en atención médica por lesión); intangibles (estimación de costo por lesiones y muerte en accidentes de tránsito de la Dirección de Transporte en el caso de delitos contra la persona, y estimaciones de encuesta de victimización británica sobre por cuánto querrían ser compensadas las víctimas de delitos contra la propiedad); programas estatales de apoyo a las víctimas (Fuente: presupuesto estatal). </w:t>
      </w:r>
    </w:p>
    <w:p w:rsidR="00975FF8" w:rsidRDefault="00975FF8" w:rsidP="00975FF8">
      <w:pPr>
        <w:pStyle w:val="ListParagraph"/>
        <w:ind w:left="360"/>
        <w:jc w:val="both"/>
        <w:rPr>
          <w:sz w:val="20"/>
          <w:szCs w:val="20"/>
        </w:rPr>
      </w:pPr>
      <w:r>
        <w:rPr>
          <w:i/>
          <w:sz w:val="20"/>
          <w:szCs w:val="20"/>
        </w:rPr>
        <w:t>Costos de oportunidad.</w:t>
      </w:r>
      <w:r>
        <w:rPr>
          <w:sz w:val="20"/>
          <w:szCs w:val="20"/>
        </w:rPr>
        <w:t xml:space="preserve"> Años de trabajo perdidos por muerte o discapacidad de víctimas en el caso de delitos contra la persona (fuente: estimaciones de otro trabajo) o días de trabajo que se tomaron libres las víctimas en el caso de crímenes contra la propiedad (Fuente: encuesta de victimización)*salario (no especifica qué salario usa).</w:t>
      </w:r>
    </w:p>
    <w:p w:rsidR="00975FF8" w:rsidRPr="006F598E" w:rsidRDefault="00975FF8" w:rsidP="00975FF8">
      <w:pPr>
        <w:pStyle w:val="ListParagraph"/>
        <w:ind w:left="360"/>
        <w:jc w:val="both"/>
        <w:rPr>
          <w:sz w:val="20"/>
          <w:szCs w:val="20"/>
        </w:rPr>
      </w:pPr>
      <w:r>
        <w:rPr>
          <w:i/>
          <w:sz w:val="20"/>
          <w:szCs w:val="20"/>
        </w:rPr>
        <w:t xml:space="preserve">Justicia. </w:t>
      </w:r>
      <w:r>
        <w:rPr>
          <w:sz w:val="20"/>
          <w:szCs w:val="20"/>
        </w:rPr>
        <w:t xml:space="preserve">Incluye: sistema judicial, policía y sistema carcelario (Fuente: presupuesto estatal). </w:t>
      </w:r>
    </w:p>
    <w:p w:rsidR="00975FF8" w:rsidRDefault="00975FF8" w:rsidP="00975FF8">
      <w:pPr>
        <w:pStyle w:val="ListParagraph"/>
        <w:ind w:left="360"/>
        <w:jc w:val="both"/>
        <w:rPr>
          <w:sz w:val="20"/>
          <w:szCs w:val="20"/>
        </w:rPr>
      </w:pPr>
      <w:r>
        <w:rPr>
          <w:i/>
          <w:sz w:val="20"/>
          <w:szCs w:val="20"/>
        </w:rPr>
        <w:t>Costo total.</w:t>
      </w:r>
      <w:r>
        <w:rPr>
          <w:sz w:val="20"/>
          <w:szCs w:val="20"/>
        </w:rPr>
        <w:t xml:space="preserve"> Incluye además otras actividades delictivas (uso de drogas, prostitución, fraude, etc.). El análisis se basa más en la desagregación por tipo de delito que por tipo de costo.</w:t>
      </w:r>
    </w:p>
    <w:p w:rsidR="00975FF8" w:rsidRDefault="00975FF8" w:rsidP="00975FF8">
      <w:pPr>
        <w:pStyle w:val="ListParagraph"/>
        <w:ind w:left="360"/>
        <w:jc w:val="both"/>
      </w:pPr>
    </w:p>
    <w:p w:rsidR="00975FF8" w:rsidRPr="00032915" w:rsidRDefault="00975FF8" w:rsidP="00975FF8">
      <w:pPr>
        <w:pStyle w:val="ListParagraph"/>
        <w:numPr>
          <w:ilvl w:val="0"/>
          <w:numId w:val="2"/>
        </w:numPr>
        <w:ind w:left="360"/>
        <w:jc w:val="both"/>
        <w:rPr>
          <w:sz w:val="20"/>
          <w:szCs w:val="20"/>
        </w:rPr>
      </w:pPr>
      <w:r w:rsidRPr="00032915">
        <w:rPr>
          <w:sz w:val="20"/>
          <w:szCs w:val="20"/>
          <w:u w:val="single"/>
        </w:rPr>
        <w:t>Rondon y Andrade (2003):</w:t>
      </w:r>
      <w:r w:rsidRPr="00032915">
        <w:rPr>
          <w:sz w:val="20"/>
          <w:szCs w:val="20"/>
        </w:rPr>
        <w:t xml:space="preserve"> Los % están en referencia al PBI de Belo Horizonte.</w:t>
      </w:r>
    </w:p>
    <w:p w:rsidR="00975FF8" w:rsidRDefault="00975FF8" w:rsidP="00975FF8">
      <w:pPr>
        <w:pStyle w:val="ListParagraph"/>
        <w:ind w:left="360"/>
        <w:jc w:val="both"/>
        <w:rPr>
          <w:sz w:val="20"/>
          <w:szCs w:val="20"/>
        </w:rPr>
      </w:pPr>
      <w:r w:rsidRPr="00032915">
        <w:rPr>
          <w:i/>
          <w:sz w:val="20"/>
          <w:szCs w:val="20"/>
        </w:rPr>
        <w:t>Seguridad</w:t>
      </w:r>
      <w:r>
        <w:rPr>
          <w:i/>
          <w:sz w:val="20"/>
          <w:szCs w:val="20"/>
        </w:rPr>
        <w:t xml:space="preserve"> y prevención</w:t>
      </w:r>
      <w:r w:rsidRPr="00032915">
        <w:rPr>
          <w:i/>
          <w:sz w:val="20"/>
          <w:szCs w:val="20"/>
        </w:rPr>
        <w:t xml:space="preserve">. </w:t>
      </w:r>
      <w:r w:rsidRPr="00032915">
        <w:rPr>
          <w:sz w:val="20"/>
          <w:szCs w:val="20"/>
        </w:rPr>
        <w:t>Incluye: contratación de personal de seguridad por privados (a través de encuesta a hogares: tomaron el total de personas que declaran tener un empleo en seguridad para el sector privado y su respectivo ingreso). No incluye equipamientos de seguridad tipo alarmas, rejas, etc. por falta de datos.</w:t>
      </w:r>
    </w:p>
    <w:p w:rsidR="00975FF8" w:rsidRPr="00E912EB" w:rsidRDefault="00975FF8" w:rsidP="00975FF8">
      <w:pPr>
        <w:pStyle w:val="ListParagraph"/>
        <w:ind w:left="360"/>
        <w:jc w:val="both"/>
        <w:rPr>
          <w:sz w:val="20"/>
          <w:szCs w:val="20"/>
        </w:rPr>
      </w:pPr>
      <w:r>
        <w:rPr>
          <w:i/>
          <w:sz w:val="20"/>
          <w:szCs w:val="20"/>
        </w:rPr>
        <w:t>P</w:t>
      </w:r>
      <w:r w:rsidRPr="00032915">
        <w:rPr>
          <w:i/>
          <w:sz w:val="20"/>
          <w:szCs w:val="20"/>
        </w:rPr>
        <w:t xml:space="preserve">ropiedad robada y/o vandalizada. </w:t>
      </w:r>
      <w:r w:rsidRPr="00032915">
        <w:rPr>
          <w:sz w:val="20"/>
          <w:szCs w:val="20"/>
        </w:rPr>
        <w:t>A través de encuesta de victimización que pregunta por valor de lo robado.</w:t>
      </w:r>
    </w:p>
    <w:p w:rsidR="00975FF8" w:rsidRPr="00032915" w:rsidRDefault="00975FF8" w:rsidP="00975FF8">
      <w:pPr>
        <w:pStyle w:val="ListParagraph"/>
        <w:ind w:left="360"/>
        <w:jc w:val="both"/>
        <w:rPr>
          <w:sz w:val="20"/>
          <w:szCs w:val="20"/>
        </w:rPr>
      </w:pPr>
      <w:r w:rsidRPr="00032915">
        <w:rPr>
          <w:i/>
          <w:sz w:val="20"/>
          <w:szCs w:val="20"/>
        </w:rPr>
        <w:lastRenderedPageBreak/>
        <w:t xml:space="preserve">Costos intangibles y de salud. </w:t>
      </w:r>
      <w:r w:rsidRPr="00032915">
        <w:rPr>
          <w:sz w:val="20"/>
          <w:szCs w:val="20"/>
        </w:rPr>
        <w:t xml:space="preserve">Incluye: gasto en atención médica a víctimas (fuente: base de datos de hospitales donde identifican causa de internación). </w:t>
      </w:r>
    </w:p>
    <w:p w:rsidR="00975FF8" w:rsidRPr="00032915" w:rsidRDefault="00975FF8" w:rsidP="00975FF8">
      <w:pPr>
        <w:pStyle w:val="ListParagraph"/>
        <w:ind w:left="360"/>
        <w:jc w:val="both"/>
        <w:rPr>
          <w:sz w:val="20"/>
          <w:szCs w:val="20"/>
        </w:rPr>
      </w:pPr>
      <w:r w:rsidRPr="00032915">
        <w:rPr>
          <w:i/>
          <w:sz w:val="20"/>
          <w:szCs w:val="20"/>
        </w:rPr>
        <w:t>Costos de oportunidad.</w:t>
      </w:r>
      <w:r w:rsidRPr="00032915">
        <w:rPr>
          <w:sz w:val="20"/>
          <w:szCs w:val="20"/>
        </w:rPr>
        <w:t xml:space="preserve"> Ingreso que hubiera sido percibido por víctimas fatales (obtienen perfil de las víctimas a través de base de datos sobre mortalidad y usan datos de encuestas de hogares para asignarles un ingreso medio)</w:t>
      </w:r>
      <w:r>
        <w:rPr>
          <w:sz w:val="20"/>
          <w:szCs w:val="20"/>
        </w:rPr>
        <w:t>.</w:t>
      </w:r>
    </w:p>
    <w:p w:rsidR="00975FF8" w:rsidRPr="00032915" w:rsidRDefault="00975FF8" w:rsidP="00975FF8">
      <w:pPr>
        <w:pStyle w:val="ListParagraph"/>
        <w:ind w:left="360"/>
        <w:jc w:val="both"/>
        <w:rPr>
          <w:sz w:val="20"/>
          <w:szCs w:val="20"/>
        </w:rPr>
      </w:pPr>
      <w:r w:rsidRPr="00032915">
        <w:rPr>
          <w:i/>
          <w:sz w:val="20"/>
          <w:szCs w:val="20"/>
        </w:rPr>
        <w:t>Justicia.</w:t>
      </w:r>
      <w:r w:rsidRPr="00032915">
        <w:rPr>
          <w:sz w:val="20"/>
          <w:szCs w:val="20"/>
        </w:rPr>
        <w:t xml:space="preserve"> Incluye: sistema judicial,</w:t>
      </w:r>
      <w:r>
        <w:rPr>
          <w:sz w:val="20"/>
          <w:szCs w:val="20"/>
        </w:rPr>
        <w:t xml:space="preserve"> policía y sistema carcelario (F</w:t>
      </w:r>
      <w:r w:rsidRPr="00032915">
        <w:rPr>
          <w:sz w:val="20"/>
          <w:szCs w:val="20"/>
        </w:rPr>
        <w:t>uente: presupuesto estatal).</w:t>
      </w:r>
    </w:p>
    <w:p w:rsidR="00975FF8" w:rsidRPr="00032915" w:rsidRDefault="00975FF8" w:rsidP="00975FF8">
      <w:pPr>
        <w:pStyle w:val="ListParagraph"/>
        <w:ind w:left="360"/>
        <w:jc w:val="both"/>
        <w:rPr>
          <w:sz w:val="20"/>
          <w:szCs w:val="20"/>
        </w:rPr>
      </w:pPr>
      <w:r w:rsidRPr="00032915">
        <w:rPr>
          <w:i/>
          <w:sz w:val="20"/>
          <w:szCs w:val="20"/>
        </w:rPr>
        <w:t xml:space="preserve">Costo total. </w:t>
      </w:r>
      <w:r w:rsidRPr="00032915">
        <w:rPr>
          <w:sz w:val="20"/>
          <w:szCs w:val="20"/>
        </w:rPr>
        <w:t>No incluye gasto privado en equipamiento de seguridad. Incluye además: gasto privado en primas por seguros de vehículos (no incluido en la tabla)</w:t>
      </w:r>
    </w:p>
    <w:p w:rsidR="00975FF8" w:rsidRDefault="00975FF8" w:rsidP="00975FF8">
      <w:pPr>
        <w:pStyle w:val="ListParagraph"/>
        <w:ind w:left="360"/>
        <w:jc w:val="both"/>
      </w:pPr>
    </w:p>
    <w:p w:rsidR="00975FF8" w:rsidRPr="004D2F10" w:rsidRDefault="00975FF8" w:rsidP="00975FF8">
      <w:pPr>
        <w:pStyle w:val="ListParagraph"/>
        <w:numPr>
          <w:ilvl w:val="0"/>
          <w:numId w:val="2"/>
        </w:numPr>
        <w:ind w:left="360"/>
        <w:jc w:val="both"/>
        <w:rPr>
          <w:sz w:val="20"/>
          <w:szCs w:val="20"/>
        </w:rPr>
      </w:pPr>
      <w:r w:rsidRPr="004D2F10">
        <w:rPr>
          <w:sz w:val="20"/>
          <w:szCs w:val="20"/>
          <w:u w:val="single"/>
        </w:rPr>
        <w:t xml:space="preserve">Roper y Thompson (2006): </w:t>
      </w:r>
    </w:p>
    <w:p w:rsidR="00975FF8" w:rsidRPr="004D2F10" w:rsidRDefault="00975FF8" w:rsidP="00975FF8">
      <w:pPr>
        <w:pStyle w:val="ListParagraph"/>
        <w:ind w:left="360"/>
        <w:jc w:val="both"/>
        <w:rPr>
          <w:sz w:val="20"/>
          <w:szCs w:val="20"/>
        </w:rPr>
      </w:pPr>
      <w:r w:rsidRPr="004D2F10">
        <w:rPr>
          <w:i/>
          <w:sz w:val="20"/>
          <w:szCs w:val="20"/>
        </w:rPr>
        <w:t>Seguridad</w:t>
      </w:r>
      <w:r>
        <w:rPr>
          <w:i/>
          <w:sz w:val="20"/>
          <w:szCs w:val="20"/>
        </w:rPr>
        <w:t xml:space="preserve"> y prevención</w:t>
      </w:r>
      <w:r w:rsidRPr="004D2F10">
        <w:rPr>
          <w:i/>
          <w:sz w:val="20"/>
          <w:szCs w:val="20"/>
        </w:rPr>
        <w:t>.</w:t>
      </w:r>
      <w:r w:rsidRPr="004D2F10">
        <w:rPr>
          <w:sz w:val="20"/>
          <w:szCs w:val="20"/>
        </w:rPr>
        <w:t xml:space="preserve"> Incluye: gasto público (algunas agencias del Estado como aduana, detección de fraudes, programas de prevención del Ministerio del Desarrollo); gasto privado en equipamiento y servicios de seguridad (</w:t>
      </w:r>
      <w:r>
        <w:rPr>
          <w:sz w:val="20"/>
          <w:szCs w:val="20"/>
        </w:rPr>
        <w:t>F</w:t>
      </w:r>
      <w:r w:rsidRPr="004D2F10">
        <w:rPr>
          <w:sz w:val="20"/>
          <w:szCs w:val="20"/>
        </w:rPr>
        <w:t xml:space="preserve">uente: estimaciones para Reino Unido de otro trabajo); administración de aseguradoras. </w:t>
      </w:r>
    </w:p>
    <w:p w:rsidR="00975FF8" w:rsidRDefault="00975FF8" w:rsidP="00975FF8">
      <w:pPr>
        <w:pStyle w:val="ListParagraph"/>
        <w:ind w:left="360"/>
        <w:jc w:val="both"/>
        <w:rPr>
          <w:sz w:val="20"/>
          <w:szCs w:val="20"/>
        </w:rPr>
      </w:pPr>
      <w:r>
        <w:rPr>
          <w:i/>
          <w:sz w:val="20"/>
          <w:szCs w:val="20"/>
        </w:rPr>
        <w:t>P</w:t>
      </w:r>
      <w:r w:rsidRPr="004D2F10">
        <w:rPr>
          <w:i/>
          <w:sz w:val="20"/>
          <w:szCs w:val="20"/>
        </w:rPr>
        <w:t xml:space="preserve">ropiedad robada y/o vandalizada. </w:t>
      </w:r>
      <w:r w:rsidRPr="004D2F10">
        <w:rPr>
          <w:sz w:val="20"/>
          <w:szCs w:val="20"/>
        </w:rPr>
        <w:t>Toman estimación para el Reino Unido de otro trabajo.</w:t>
      </w:r>
    </w:p>
    <w:p w:rsidR="00975FF8" w:rsidRPr="00E912EB" w:rsidRDefault="00975FF8" w:rsidP="00975FF8">
      <w:pPr>
        <w:pStyle w:val="ListParagraph"/>
        <w:ind w:left="360"/>
        <w:jc w:val="both"/>
        <w:rPr>
          <w:sz w:val="20"/>
          <w:szCs w:val="20"/>
        </w:rPr>
      </w:pPr>
      <w:r w:rsidRPr="004D2F10">
        <w:rPr>
          <w:i/>
          <w:sz w:val="20"/>
          <w:szCs w:val="20"/>
        </w:rPr>
        <w:t xml:space="preserve">Costos intangibles y de salud. </w:t>
      </w:r>
      <w:r w:rsidRPr="004D2F10">
        <w:rPr>
          <w:sz w:val="20"/>
          <w:szCs w:val="20"/>
        </w:rPr>
        <w:t>Incluye: gasto en atención médica a víctimas (toman estimaciones del costo por lesión de Brand y Price</w:t>
      </w:r>
      <w:r>
        <w:rPr>
          <w:sz w:val="20"/>
          <w:szCs w:val="20"/>
        </w:rPr>
        <w:t>, 2000</w:t>
      </w:r>
      <w:r w:rsidRPr="004D2F10">
        <w:rPr>
          <w:sz w:val="20"/>
          <w:szCs w:val="20"/>
        </w:rPr>
        <w:t>); intangibles (estimaciones QALY de trabajo del Reino Unido)</w:t>
      </w:r>
    </w:p>
    <w:p w:rsidR="00975FF8" w:rsidRPr="00E912EB" w:rsidRDefault="00975FF8" w:rsidP="00975FF8">
      <w:pPr>
        <w:pStyle w:val="ListParagraph"/>
        <w:ind w:left="360"/>
        <w:jc w:val="both"/>
        <w:rPr>
          <w:sz w:val="20"/>
          <w:szCs w:val="20"/>
        </w:rPr>
      </w:pPr>
      <w:r w:rsidRPr="004D2F10">
        <w:rPr>
          <w:i/>
          <w:sz w:val="20"/>
          <w:szCs w:val="20"/>
        </w:rPr>
        <w:t>Costos de oportunidad.</w:t>
      </w:r>
      <w:r w:rsidRPr="004D2F10">
        <w:rPr>
          <w:sz w:val="20"/>
          <w:szCs w:val="20"/>
        </w:rPr>
        <w:t xml:space="preserve"> Estimación de los días libres de trabajo tomados por las víctimas para Reino Unido.</w:t>
      </w:r>
    </w:p>
    <w:p w:rsidR="00975FF8" w:rsidRPr="004D2F10" w:rsidRDefault="00975FF8" w:rsidP="00975FF8">
      <w:pPr>
        <w:pStyle w:val="ListParagraph"/>
        <w:ind w:left="360"/>
        <w:jc w:val="both"/>
        <w:rPr>
          <w:sz w:val="20"/>
          <w:szCs w:val="20"/>
        </w:rPr>
      </w:pPr>
      <w:r w:rsidRPr="004D2F10">
        <w:rPr>
          <w:i/>
          <w:sz w:val="20"/>
          <w:szCs w:val="20"/>
        </w:rPr>
        <w:t xml:space="preserve">Justicia. </w:t>
      </w:r>
      <w:r w:rsidRPr="004D2F10">
        <w:rPr>
          <w:sz w:val="20"/>
          <w:szCs w:val="20"/>
        </w:rPr>
        <w:t xml:space="preserve">Incluye: policía, sistema </w:t>
      </w:r>
      <w:r>
        <w:rPr>
          <w:sz w:val="20"/>
          <w:szCs w:val="20"/>
        </w:rPr>
        <w:t>judicial y sistema carcelario (F</w:t>
      </w:r>
      <w:r w:rsidRPr="004D2F10">
        <w:rPr>
          <w:sz w:val="20"/>
          <w:szCs w:val="20"/>
        </w:rPr>
        <w:t>uente: presupuesto estatal).</w:t>
      </w:r>
    </w:p>
    <w:p w:rsidR="00975FF8" w:rsidRPr="004D2F10" w:rsidRDefault="00975FF8" w:rsidP="00975FF8">
      <w:pPr>
        <w:pStyle w:val="ListParagraph"/>
        <w:ind w:left="360"/>
        <w:jc w:val="both"/>
        <w:rPr>
          <w:sz w:val="20"/>
          <w:szCs w:val="20"/>
        </w:rPr>
      </w:pPr>
      <w:r w:rsidRPr="004D2F10">
        <w:rPr>
          <w:i/>
          <w:sz w:val="20"/>
          <w:szCs w:val="20"/>
        </w:rPr>
        <w:t>Costo total.</w:t>
      </w:r>
      <w:r w:rsidRPr="004D2F10">
        <w:rPr>
          <w:sz w:val="20"/>
          <w:szCs w:val="20"/>
        </w:rPr>
        <w:t xml:space="preserve"> Todas las categorías estimadas están incluidas en la tabla.</w:t>
      </w:r>
    </w:p>
    <w:p w:rsidR="0039425D" w:rsidRDefault="0039425D">
      <w:pPr>
        <w:rPr>
          <w:b/>
        </w:rPr>
      </w:pPr>
      <w:r>
        <w:rPr>
          <w:b/>
        </w:rPr>
        <w:br w:type="page"/>
      </w:r>
    </w:p>
    <w:p w:rsidR="00ED11CC" w:rsidRPr="00FB4531" w:rsidRDefault="00ED11CC" w:rsidP="00ED11CC">
      <w:pPr>
        <w:rPr>
          <w:b/>
          <w:sz w:val="24"/>
        </w:rPr>
      </w:pPr>
      <w:r w:rsidRPr="00FB4531">
        <w:rPr>
          <w:b/>
          <w:sz w:val="24"/>
        </w:rPr>
        <w:lastRenderedPageBreak/>
        <w:t>Glosario</w:t>
      </w:r>
    </w:p>
    <w:p w:rsidR="00ED11CC" w:rsidRDefault="00ED11CC" w:rsidP="00ED11CC">
      <w:r>
        <w:t>BCU – Banco Central del Uruguay</w:t>
      </w:r>
    </w:p>
    <w:p w:rsidR="00ED11CC" w:rsidRDefault="00ED11CC" w:rsidP="00ED11CC">
      <w:r>
        <w:t>BID – Banco Interamericano de Desarrollo</w:t>
      </w:r>
    </w:p>
    <w:p w:rsidR="00ED11CC" w:rsidRDefault="00ED11CC" w:rsidP="00ED11CC">
      <w:r>
        <w:t>BM – Banco Mundial</w:t>
      </w:r>
    </w:p>
    <w:p w:rsidR="00ED11CC" w:rsidRDefault="00ED11CC" w:rsidP="00ED11CC">
      <w:r>
        <w:t>CGN – Contaduría General de la Nación</w:t>
      </w:r>
    </w:p>
    <w:p w:rsidR="00ED11CC" w:rsidRDefault="00ED11CC" w:rsidP="00ED11CC">
      <w:r>
        <w:t>CNCS – Cámara Nacional de Comercio y Servicios</w:t>
      </w:r>
    </w:p>
    <w:p w:rsidR="00ED11CC" w:rsidRDefault="00ED11CC" w:rsidP="00ED11CC">
      <w:r>
        <w:t>DALY – Disability Adjusted Life Years</w:t>
      </w:r>
    </w:p>
    <w:p w:rsidR="00ED11CC" w:rsidRDefault="00ED11CC" w:rsidP="00ED11CC">
      <w:r>
        <w:t>DDEA - Departamento de Datos, Estadísticas y Análisis. Ministerio del Interior</w:t>
      </w:r>
    </w:p>
    <w:p w:rsidR="00ED11CC" w:rsidRDefault="00ED11CC" w:rsidP="00ED11CC">
      <w:r>
        <w:t>DGI – Dirección General Impositiva</w:t>
      </w:r>
    </w:p>
    <w:p w:rsidR="00ED11CC" w:rsidRDefault="00ED11CC" w:rsidP="00ED11CC">
      <w:r>
        <w:t>EAE – Encuesta de Actividad Económica. Elaborada por el INE</w:t>
      </w:r>
    </w:p>
    <w:p w:rsidR="00ED11CC" w:rsidRDefault="00ED11CC" w:rsidP="00ED11CC">
      <w:r>
        <w:t>EGIH – Encuesta de Gastos e Ingresos de los Hogares</w:t>
      </w:r>
    </w:p>
    <w:p w:rsidR="00ED11CC" w:rsidRDefault="00ED11CC" w:rsidP="00ED11CC">
      <w:r>
        <w:t>ES – Enterprise Survey</w:t>
      </w:r>
    </w:p>
    <w:p w:rsidR="00ED11CC" w:rsidRDefault="00ED11CC" w:rsidP="00ED11CC">
      <w:r>
        <w:t>INAU – Instituto del Niño y el Adolescente del Uruguay</w:t>
      </w:r>
    </w:p>
    <w:p w:rsidR="00ED11CC" w:rsidRDefault="00ED11CC" w:rsidP="00ED11CC">
      <w:r>
        <w:t>INE – Instituto Nacional de Estadística</w:t>
      </w:r>
    </w:p>
    <w:p w:rsidR="00975FF8" w:rsidRDefault="00975FF8" w:rsidP="00ED11CC">
      <w:r>
        <w:t>ITF – Instituto Técnico Forense</w:t>
      </w:r>
    </w:p>
    <w:p w:rsidR="00ED11CC" w:rsidRDefault="00ED11CC" w:rsidP="00ED11CC">
      <w:r>
        <w:t>MDN – Ministerio de Defensa Nacional</w:t>
      </w:r>
    </w:p>
    <w:p w:rsidR="00ED11CC" w:rsidRDefault="00ED11CC" w:rsidP="00ED11CC">
      <w:r>
        <w:t>MIDES – Ministerio de Desarrollo Social</w:t>
      </w:r>
    </w:p>
    <w:p w:rsidR="00ED11CC" w:rsidRDefault="00ED11CC" w:rsidP="00ED11CC">
      <w:r>
        <w:t>MI – Ministerio del Interior</w:t>
      </w:r>
    </w:p>
    <w:p w:rsidR="00ED11CC" w:rsidRDefault="00ED11CC" w:rsidP="00ED11CC">
      <w:r>
        <w:t>OMS – Organización Mundial de la Salud</w:t>
      </w:r>
    </w:p>
    <w:p w:rsidR="004D6B8D" w:rsidRDefault="004D6B8D" w:rsidP="00ED11CC">
      <w:r>
        <w:t>USD – Dólar USA</w:t>
      </w:r>
    </w:p>
    <w:p w:rsidR="00CA7CD9" w:rsidRPr="00A11E23" w:rsidRDefault="00CA7CD9" w:rsidP="00A11E23">
      <w:pPr>
        <w:rPr>
          <w:b/>
          <w:sz w:val="24"/>
        </w:rPr>
      </w:pPr>
    </w:p>
    <w:sectPr w:rsidR="00CA7CD9" w:rsidRPr="00A11E23" w:rsidSect="007A24E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8DC" w:rsidRDefault="003468DC" w:rsidP="00101B6C">
      <w:pPr>
        <w:spacing w:after="0" w:line="240" w:lineRule="auto"/>
      </w:pPr>
      <w:r>
        <w:separator/>
      </w:r>
    </w:p>
  </w:endnote>
  <w:endnote w:type="continuationSeparator" w:id="0">
    <w:p w:rsidR="003468DC" w:rsidRDefault="003468DC" w:rsidP="00101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24915"/>
      <w:docPartObj>
        <w:docPartGallery w:val="Page Numbers (Bottom of Page)"/>
        <w:docPartUnique/>
      </w:docPartObj>
    </w:sdtPr>
    <w:sdtEndPr/>
    <w:sdtContent>
      <w:p w:rsidR="00AC6A8F" w:rsidRDefault="00F9567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C6A8F" w:rsidRDefault="00AC6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8DC" w:rsidRDefault="003468DC" w:rsidP="00101B6C">
      <w:pPr>
        <w:spacing w:after="0" w:line="240" w:lineRule="auto"/>
      </w:pPr>
      <w:r>
        <w:separator/>
      </w:r>
    </w:p>
  </w:footnote>
  <w:footnote w:type="continuationSeparator" w:id="0">
    <w:p w:rsidR="003468DC" w:rsidRDefault="003468DC" w:rsidP="00101B6C">
      <w:pPr>
        <w:spacing w:after="0" w:line="240" w:lineRule="auto"/>
      </w:pPr>
      <w:r>
        <w:continuationSeparator/>
      </w:r>
    </w:p>
  </w:footnote>
  <w:footnote w:id="1">
    <w:p w:rsidR="00AC6A8F" w:rsidRPr="0082469D" w:rsidRDefault="00AC6A8F" w:rsidP="00405EA2">
      <w:pPr>
        <w:pStyle w:val="FootnoteText"/>
        <w:jc w:val="both"/>
      </w:pPr>
      <w:r>
        <w:rPr>
          <w:rStyle w:val="FootnoteReference"/>
        </w:rPr>
        <w:footnoteRef/>
      </w:r>
      <w:r>
        <w:t xml:space="preserve"> </w:t>
      </w:r>
      <w:r w:rsidRPr="0082469D">
        <w:t xml:space="preserve">Agradecemos </w:t>
      </w:r>
      <w:r>
        <w:t xml:space="preserve">a </w:t>
      </w:r>
      <w:r w:rsidRPr="0082469D">
        <w:t>Javier Donnangelo (Ministerio del Interior, DDEA), Gustavo Gon</w:t>
      </w:r>
      <w:r>
        <w:t>zález (Asesoría Económica Dirección General Impositiva), Graciela Mazzuchi (Ministerio de Desarrollo Social), Ana Laura Fernández (Cámara Nacional de Comercio y Servicios), Laura Bruzzone (Poder Judicial, Departamento de Planificación),</w:t>
      </w:r>
      <w:r w:rsidRPr="00A65C30">
        <w:t xml:space="preserve"> </w:t>
      </w:r>
      <w:r>
        <w:t xml:space="preserve">Martin Méndez (Ministerio de Industria, Energía y Minería) y Viviana Carella (Banco de Seguros del Estado) por su colaboración con información para este trabajo. La responsabilidad por errores y omisiones es nuestra. </w:t>
      </w:r>
    </w:p>
  </w:footnote>
  <w:footnote w:id="2">
    <w:p w:rsidR="00097570" w:rsidRPr="00097570" w:rsidRDefault="00097570" w:rsidP="00097570">
      <w:pPr>
        <w:rPr>
          <w:rFonts w:ascii="Arial" w:eastAsia="Times New Roman" w:hAnsi="Arial" w:cs="Arial"/>
          <w:color w:val="000000"/>
          <w:sz w:val="24"/>
          <w:szCs w:val="24"/>
          <w:lang w:val="es-AR"/>
        </w:rPr>
      </w:pPr>
      <w:r>
        <w:rPr>
          <w:rStyle w:val="FootnoteReference"/>
        </w:rPr>
        <w:footnoteRef/>
      </w:r>
      <w:r>
        <w:t xml:space="preserve"> </w:t>
      </w:r>
      <w:r w:rsidRPr="00097570">
        <w:rPr>
          <w:sz w:val="20"/>
          <w:szCs w:val="20"/>
        </w:rPr>
        <w:t>Versión  Preliminar no oficial. El presente documento no es una publicación oficial del BID. La opinión y datos presentados por los autores son personales y no comprometen una posición oficial del Banco.</w:t>
      </w:r>
    </w:p>
    <w:p w:rsidR="00097570" w:rsidRPr="00097570" w:rsidRDefault="00097570">
      <w:pPr>
        <w:pStyle w:val="FootnoteText"/>
        <w:rPr>
          <w:lang w:val="es-AR"/>
        </w:rPr>
      </w:pPr>
    </w:p>
  </w:footnote>
  <w:footnote w:id="3">
    <w:p w:rsidR="00AC6A8F" w:rsidRPr="00E80538" w:rsidRDefault="00AC6A8F">
      <w:pPr>
        <w:pStyle w:val="FootnoteText"/>
      </w:pPr>
      <w:r>
        <w:rPr>
          <w:rStyle w:val="FootnoteReference"/>
        </w:rPr>
        <w:footnoteRef/>
      </w:r>
      <w:r>
        <w:t xml:space="preserve"> Encuesta Nacional de Opinión, mayo de</w:t>
      </w:r>
      <w:r w:rsidRPr="006106D2">
        <w:t xml:space="preserve"> 2012</w:t>
      </w:r>
      <w:r>
        <w:t>,</w:t>
      </w:r>
      <w:r w:rsidRPr="00E80538">
        <w:t xml:space="preserve"> </w:t>
      </w:r>
      <w:r w:rsidRPr="006106D2">
        <w:t>Cifra</w:t>
      </w:r>
      <w:r>
        <w:t>.</w:t>
      </w:r>
    </w:p>
  </w:footnote>
  <w:footnote w:id="4">
    <w:p w:rsidR="00AC6A8F" w:rsidRPr="007C3AFE" w:rsidRDefault="00AC6A8F">
      <w:pPr>
        <w:pStyle w:val="FootnoteText"/>
      </w:pPr>
      <w:r>
        <w:rPr>
          <w:rStyle w:val="FootnoteReference"/>
        </w:rPr>
        <w:footnoteRef/>
      </w:r>
      <w:r>
        <w:t xml:space="preserve"> En Soares (2006) hay una estimación de los costos asociados a los homicidios para un conjunto de 73 países, entre ellos Uruguay.</w:t>
      </w:r>
    </w:p>
  </w:footnote>
  <w:footnote w:id="5">
    <w:p w:rsidR="00AC6A8F" w:rsidRPr="00500D5C" w:rsidRDefault="00AC6A8F">
      <w:pPr>
        <w:pStyle w:val="FootnoteText"/>
      </w:pPr>
      <w:r>
        <w:rPr>
          <w:rStyle w:val="FootnoteReference"/>
        </w:rPr>
        <w:footnoteRef/>
      </w:r>
      <w:r>
        <w:t xml:space="preserve"> E</w:t>
      </w:r>
      <w:r w:rsidRPr="00500D5C">
        <w:t>ste supuesto no es necesariamente exacto cuando se consideran series para períodos relativamente la</w:t>
      </w:r>
      <w:r>
        <w:t>rgos en donde es más plausible que se</w:t>
      </w:r>
      <w:r w:rsidRPr="00500D5C">
        <w:t xml:space="preserve"> </w:t>
      </w:r>
      <w:r>
        <w:t>registren</w:t>
      </w:r>
      <w:r w:rsidRPr="00500D5C">
        <w:t xml:space="preserve"> cambios en los comportamientos de las personas o las agencias policiales en lo que hace a la propensión a denunciar o a registrar  delitos.</w:t>
      </w:r>
    </w:p>
  </w:footnote>
  <w:footnote w:id="6">
    <w:p w:rsidR="00AC6A8F" w:rsidRDefault="00AC6A8F" w:rsidP="00F6345A">
      <w:pPr>
        <w:pStyle w:val="FootnoteText"/>
        <w:jc w:val="both"/>
      </w:pPr>
      <w:r>
        <w:rPr>
          <w:rStyle w:val="FootnoteReference"/>
        </w:rPr>
        <w:footnoteRef/>
      </w:r>
      <w:r>
        <w:t xml:space="preserve"> Aboal et al. (2007) muestra que las tasas de criminalidad en Uruguay</w:t>
      </w:r>
      <w:r w:rsidRPr="008D534F">
        <w:t xml:space="preserve"> </w:t>
      </w:r>
      <w:r>
        <w:t xml:space="preserve">muestran inercia en el tiempo. Por ejemplo, Mocan y Bali (2010) para Estados Unidos de América reportan respuestas asimétricas al ciclo de las tasas de criminalidad.  Mocan et al. (2005) y Nadal et al. (2010) presentan algunos argumentos teóricos que podrían justificar este tipo de comportamiento de las tasas de criminalidad. Por ejemplo Mocan et al. (2005) encuentran que cuando </w:t>
      </w:r>
      <w:r w:rsidRPr="00490B11">
        <w:t>una persona participa en una actividad criminal durante una recesión económica, su capital humano</w:t>
      </w:r>
      <w:r>
        <w:t xml:space="preserve"> legal</w:t>
      </w:r>
      <w:r w:rsidRPr="00490B11">
        <w:t xml:space="preserve"> se deprecia</w:t>
      </w:r>
      <w:r>
        <w:t xml:space="preserve"> (se pierden algunas capacidades para el trabajo en el área legal de la economía)</w:t>
      </w:r>
      <w:r w:rsidRPr="00490B11">
        <w:t xml:space="preserve"> y su capital humano criminal </w:t>
      </w:r>
      <w:r>
        <w:t>crece (se aprende a cometer crímenes)</w:t>
      </w:r>
      <w:r w:rsidRPr="00490B11">
        <w:t>, lo que hace difícil</w:t>
      </w:r>
      <w:r>
        <w:t xml:space="preserve"> el retorno de estos individuos</w:t>
      </w:r>
      <w:r w:rsidRPr="00490B11">
        <w:t xml:space="preserve"> al sector legal </w:t>
      </w:r>
      <w:r>
        <w:t>una vez que</w:t>
      </w:r>
      <w:r w:rsidRPr="00490B11">
        <w:t xml:space="preserve"> la recesión ha terminado.</w:t>
      </w:r>
    </w:p>
  </w:footnote>
  <w:footnote w:id="7">
    <w:p w:rsidR="00AC6A8F" w:rsidRPr="00F03DF3" w:rsidRDefault="00AC6A8F" w:rsidP="003866A3">
      <w:pPr>
        <w:pStyle w:val="FootnoteText"/>
      </w:pPr>
      <w:r>
        <w:rPr>
          <w:rStyle w:val="FootnoteReference"/>
        </w:rPr>
        <w:footnoteRef/>
      </w:r>
      <w:r>
        <w:t xml:space="preserve"> En rigor, en los departamentos que reciben anualmente mayores flujos de turistas es factible que se vea artificialmente incrementado el porcentaje de crímenes cada mil habitantes. Téngase en cuenta que Uruguay alcanzó en 2010 a más de dos millones de turistas extranjeros con una estadía promedio de casi 2 días. Los departamentos más afectados en este sentido son Montevideo, Maldonado. A ello debe sumarse en algunos departamentos la incidencia del turismo interno (de residentes uruguayos).</w:t>
      </w:r>
    </w:p>
  </w:footnote>
  <w:footnote w:id="8">
    <w:p w:rsidR="00AC6A8F" w:rsidRPr="00263BB0" w:rsidRDefault="00AC6A8F" w:rsidP="007924BB">
      <w:pPr>
        <w:pStyle w:val="FootnoteText"/>
        <w:jc w:val="both"/>
      </w:pPr>
      <w:r>
        <w:rPr>
          <w:rStyle w:val="FootnoteReference"/>
        </w:rPr>
        <w:footnoteRef/>
      </w:r>
      <w:r w:rsidRPr="00263BB0">
        <w:t xml:space="preserve"> </w:t>
      </w:r>
      <w:r>
        <w:t>En realidad, si bien este es el supuesto habitual, es necesario tener en cuenta que las transferencias no necesariamente son neutras desde el punto de vista del bienestar social. Si esto fuera así, no se justificarían por ejemplo distintos planes de asistencia social. Dicho de otro modo el</w:t>
      </w:r>
      <w:r w:rsidRPr="00263BB0">
        <w:t xml:space="preserve"> debate en última instancia podría dar</w:t>
      </w:r>
      <w:r>
        <w:t>se</w:t>
      </w:r>
      <w:r w:rsidRPr="00263BB0">
        <w:t xml:space="preserve"> en </w:t>
      </w:r>
      <w:r>
        <w:t>términos</w:t>
      </w:r>
      <w:r w:rsidRPr="00263BB0">
        <w:t xml:space="preserve"> de cuánto pesa en la función de bienestar social la pérdida de un individuo y la ganancia de otro</w:t>
      </w:r>
      <w:r>
        <w:t>, el resultado sobre el bienestar social podría ser positivo, nulo o negativo</w:t>
      </w:r>
      <w:r w:rsidRPr="00263BB0">
        <w:t xml:space="preserve">. </w:t>
      </w:r>
    </w:p>
  </w:footnote>
  <w:footnote w:id="9">
    <w:p w:rsidR="00AC6A8F" w:rsidRPr="007D52C7" w:rsidRDefault="00AC6A8F" w:rsidP="00EE2395">
      <w:pPr>
        <w:pStyle w:val="FootnoteText"/>
      </w:pPr>
      <w:r>
        <w:rPr>
          <w:rStyle w:val="FootnoteReference"/>
        </w:rPr>
        <w:footnoteRef/>
      </w:r>
      <w:r>
        <w:t xml:space="preserve"> Algunos de estos costos pueden considerarse costos asociados a la respuesta al crimen, por ejemplo las reacciones inmediatamente posteriores a la comprobación de hechos delictivos. No obstante, es muy dificultoso diferenciarlas de las de control por lo que se mantendrán bajo este título. </w:t>
      </w:r>
    </w:p>
  </w:footnote>
  <w:footnote w:id="10">
    <w:p w:rsidR="00AC6A8F" w:rsidRPr="00F501C9" w:rsidRDefault="00AC6A8F" w:rsidP="00EE2395">
      <w:pPr>
        <w:pStyle w:val="FootnoteText"/>
      </w:pPr>
      <w:r>
        <w:rPr>
          <w:rStyle w:val="FootnoteReference"/>
        </w:rPr>
        <w:footnoteRef/>
      </w:r>
      <w:r>
        <w:t xml:space="preserve"> Se consideraron las partidas centrales correspondientes a Administración, </w:t>
      </w:r>
      <w:r w:rsidRPr="00F501C9">
        <w:t xml:space="preserve">Asistencia y Bienestar Social Policial  </w:t>
      </w:r>
      <w:r>
        <w:t xml:space="preserve"> General, </w:t>
      </w:r>
      <w:r w:rsidRPr="00F501C9">
        <w:t>Capacitación Profesional</w:t>
      </w:r>
      <w:r>
        <w:t>,  Servicio de Sanidad Policial.</w:t>
      </w:r>
    </w:p>
  </w:footnote>
  <w:footnote w:id="11">
    <w:p w:rsidR="00AC6A8F" w:rsidRPr="00F501C9" w:rsidRDefault="00AC6A8F" w:rsidP="00EE2395">
      <w:pPr>
        <w:pStyle w:val="FootnoteText"/>
      </w:pPr>
      <w:r>
        <w:rPr>
          <w:rStyle w:val="FootnoteReference"/>
        </w:rPr>
        <w:footnoteRef/>
      </w:r>
      <w:r>
        <w:t xml:space="preserve"> En el MDN se consideraron las partidas centrales de </w:t>
      </w:r>
      <w:r w:rsidRPr="00F501C9">
        <w:t>Formación y Capacitación</w:t>
      </w:r>
      <w:r>
        <w:t xml:space="preserve">, Sanidad Militar y </w:t>
      </w:r>
      <w:r w:rsidRPr="00F501C9">
        <w:t>Atención Integral de la Salud</w:t>
      </w:r>
      <w:r>
        <w:t>.</w:t>
      </w:r>
    </w:p>
  </w:footnote>
  <w:footnote w:id="12">
    <w:p w:rsidR="00AC6A8F" w:rsidRPr="00F501C9" w:rsidRDefault="00AC6A8F" w:rsidP="00EE2395">
      <w:pPr>
        <w:pStyle w:val="FootnoteText"/>
      </w:pPr>
      <w:r>
        <w:rPr>
          <w:rStyle w:val="FootnoteReference"/>
        </w:rPr>
        <w:footnoteRef/>
      </w:r>
      <w:r>
        <w:t xml:space="preserve"> Se siguió aquí el criterio sugerido por los técnicos de la Suprema Corte de Justicia, dado que no poseían una estimación de costos más exacta.</w:t>
      </w:r>
    </w:p>
  </w:footnote>
  <w:footnote w:id="13">
    <w:p w:rsidR="00AC6A8F" w:rsidRPr="00E955B3" w:rsidRDefault="00AC6A8F" w:rsidP="00EE2395">
      <w:pPr>
        <w:pStyle w:val="FootnoteText"/>
      </w:pPr>
      <w:r>
        <w:rPr>
          <w:rStyle w:val="FootnoteReference"/>
        </w:rPr>
        <w:footnoteRef/>
      </w:r>
      <w:r>
        <w:t xml:space="preserve"> De acuerdo al Banco Central del Uruguay, e</w:t>
      </w:r>
      <w:r w:rsidRPr="00E955B3">
        <w:t>l PIB corriente del 2010 asciende a 790</w:t>
      </w:r>
      <w:r>
        <w:t>.</w:t>
      </w:r>
      <w:r w:rsidRPr="00E955B3">
        <w:t>576</w:t>
      </w:r>
      <w:r>
        <w:t xml:space="preserve"> millones de pesos uruguayos, equivalente a 39,4 mil millones de dólares (tipo de cambio promedio del 2010: 20,06 $U por USD).</w:t>
      </w:r>
    </w:p>
  </w:footnote>
  <w:footnote w:id="14">
    <w:p w:rsidR="00AC6A8F" w:rsidRDefault="00AC6A8F" w:rsidP="00EE2395">
      <w:pPr>
        <w:pStyle w:val="FootnoteText"/>
      </w:pPr>
      <w:r>
        <w:rPr>
          <w:rStyle w:val="FootnoteReference"/>
        </w:rPr>
        <w:footnoteRef/>
      </w:r>
      <w:r>
        <w:t xml:space="preserve"> </w:t>
      </w:r>
      <w:r w:rsidRPr="005B511D">
        <w:t>El sector s</w:t>
      </w:r>
      <w:r>
        <w:t>e identifica con la división 80 de la CIIU revisión 4 (</w:t>
      </w:r>
      <w:r w:rsidRPr="002D4521">
        <w:t>Actividades de seguridad e investigación</w:t>
      </w:r>
      <w:r>
        <w:t>), que incluye los subsectores de: Servicios de transportes de caudales, Servicios de guardias de seguridad, sin monitoreo electrónico, Otras actividades de seguridad e investigación n.c.p., Talleres de cerrajería</w:t>
      </w:r>
    </w:p>
    <w:p w:rsidR="00AC6A8F" w:rsidRPr="005B511D" w:rsidRDefault="00AC6A8F" w:rsidP="00EE2395">
      <w:pPr>
        <w:pStyle w:val="FootnoteText"/>
      </w:pPr>
      <w:r>
        <w:t>Otras actividades de servicios de sistemas de seguridad, Actividades de investigación.</w:t>
      </w:r>
    </w:p>
  </w:footnote>
  <w:footnote w:id="15">
    <w:p w:rsidR="00AC6A8F" w:rsidRPr="00A34523" w:rsidRDefault="00AC6A8F" w:rsidP="00EE2395">
      <w:pPr>
        <w:pStyle w:val="FootnoteText"/>
      </w:pPr>
      <w:r w:rsidRPr="00F95465">
        <w:rPr>
          <w:rStyle w:val="FootnoteReference"/>
        </w:rPr>
        <w:footnoteRef/>
      </w:r>
      <w:r w:rsidRPr="00F95465">
        <w:t xml:space="preserve"> Preguntas i2a e i2b del cuestionario.</w:t>
      </w:r>
    </w:p>
  </w:footnote>
  <w:footnote w:id="16">
    <w:p w:rsidR="00AC6A8F" w:rsidRPr="00A34523" w:rsidRDefault="00AC6A8F" w:rsidP="00EE2395">
      <w:pPr>
        <w:pStyle w:val="FootnoteText"/>
      </w:pPr>
      <w:r>
        <w:rPr>
          <w:rStyle w:val="FootnoteReference"/>
        </w:rPr>
        <w:footnoteRef/>
      </w:r>
      <w:r>
        <w:t xml:space="preserve"> Por otra parte es sabido que en general en las encuestas se tiende a sobreestimar el costo de lo robado, a veces con el objetivo de generar una respuesta de parte de las autoridades. Esto podría generar cierto sesgo al alza en estas cifras. Más allá de esto creemos que en balance el sesgo es hacia la subestimación por las razones dadas en el texto.</w:t>
      </w:r>
    </w:p>
  </w:footnote>
  <w:footnote w:id="17">
    <w:p w:rsidR="00AC6A8F" w:rsidRPr="001303FB" w:rsidRDefault="00AC6A8F" w:rsidP="00EE2395">
      <w:pPr>
        <w:pStyle w:val="FootnoteText"/>
        <w:jc w:val="both"/>
      </w:pPr>
      <w:r>
        <w:rPr>
          <w:rStyle w:val="FootnoteReference"/>
        </w:rPr>
        <w:footnoteRef/>
      </w:r>
      <w:r>
        <w:t xml:space="preserve"> La distribución que surge de este cálculo f</w:t>
      </w:r>
      <w:r w:rsidRPr="001303FB">
        <w:t xml:space="preserve">ue </w:t>
      </w:r>
      <w:r>
        <w:t xml:space="preserve">corroborada a </w:t>
      </w:r>
      <w:r w:rsidRPr="001303FB">
        <w:t>t</w:t>
      </w:r>
      <w:r>
        <w:t>ravés de consultas a empresarios de empresas de seguridad agremiadas que estiman que el porcentaje de sus ventas globales a hogares se encuentra en el orden del 65% del total.</w:t>
      </w:r>
    </w:p>
  </w:footnote>
  <w:footnote w:id="18">
    <w:p w:rsidR="00AC6A8F" w:rsidRPr="001A6C13" w:rsidRDefault="00AC6A8F" w:rsidP="00EE2395">
      <w:pPr>
        <w:pStyle w:val="FootnoteText"/>
        <w:jc w:val="both"/>
      </w:pPr>
      <w:r>
        <w:rPr>
          <w:rStyle w:val="FootnoteReference"/>
        </w:rPr>
        <w:footnoteRef/>
      </w:r>
      <w:r>
        <w:t xml:space="preserve"> Si bien en la encuesta se indaga acerca de la cantidad de veces a la que el individuo ha sido objeto de robo, se consideró sólo una vez por cada sujeto que respondía afirmativamente para evitar sobreestimaciones. V</w:t>
      </w:r>
      <w:r w:rsidRPr="001A6C13">
        <w:t xml:space="preserve">éase cuadro </w:t>
      </w:r>
      <w:r>
        <w:t>A.1</w:t>
      </w:r>
      <w:r w:rsidRPr="001A6C13">
        <w:t xml:space="preserve"> </w:t>
      </w:r>
      <w:r>
        <w:t>del</w:t>
      </w:r>
      <w:r w:rsidRPr="001A6C13">
        <w:t xml:space="preserve"> Anexo.</w:t>
      </w:r>
    </w:p>
  </w:footnote>
  <w:footnote w:id="19">
    <w:p w:rsidR="00AC6A8F" w:rsidRPr="001A6C13" w:rsidRDefault="00AC6A8F" w:rsidP="00EE2395">
      <w:pPr>
        <w:pStyle w:val="FootnoteText"/>
        <w:jc w:val="both"/>
      </w:pPr>
      <w:r>
        <w:rPr>
          <w:rStyle w:val="FootnoteReference"/>
        </w:rPr>
        <w:footnoteRef/>
      </w:r>
      <w:r>
        <w:t xml:space="preserve"> Los precios de mercado se relevaron de la siguiente forma. </w:t>
      </w:r>
      <w:r w:rsidRPr="00B17353">
        <w:t>Del Registro de empresas del INE se seleccionaron las empresas clasificadas como medianas y grandes de ventas de estos artículos al por menor</w:t>
      </w:r>
      <w:r>
        <w:t xml:space="preserve"> (Rama 5233 de la CIIU rev.3. “Comercio al por menor de equipos y aparatos de uso domésticos”).</w:t>
      </w:r>
      <w:r w:rsidRPr="00E4492F">
        <w:t xml:space="preserve"> </w:t>
      </w:r>
      <w:r>
        <w:t>De ellas se relevó en la actualidad los precios en dólares de cada ítem robado. Véanse cuadros A.2 y A.3 del Anexo.</w:t>
      </w:r>
    </w:p>
  </w:footnote>
  <w:footnote w:id="20">
    <w:p w:rsidR="00AC6A8F" w:rsidRPr="00FE2F73" w:rsidRDefault="00AC6A8F" w:rsidP="00E2600F">
      <w:pPr>
        <w:pStyle w:val="FootnoteText"/>
      </w:pPr>
      <w:r>
        <w:rPr>
          <w:rStyle w:val="FootnoteReference"/>
        </w:rPr>
        <w:footnoteRef/>
      </w:r>
      <w:r>
        <w:t xml:space="preserve"> Se trabajó con las causas X85-Y09 según la codificación ICD10 de la OMS.</w:t>
      </w:r>
    </w:p>
  </w:footnote>
  <w:footnote w:id="21">
    <w:p w:rsidR="00AC6A8F" w:rsidRDefault="00AC6A8F" w:rsidP="00126D21">
      <w:pPr>
        <w:pStyle w:val="FootnoteText"/>
      </w:pPr>
      <w:r>
        <w:rPr>
          <w:rStyle w:val="FootnoteReference"/>
        </w:rPr>
        <w:footnoteRef/>
      </w:r>
      <w:r>
        <w:t xml:space="preserve">  La ecuación salarial estimada fue la siguiente: </w:t>
      </w:r>
    </w:p>
    <w:p w:rsidR="00AC6A8F" w:rsidRPr="008A61E9" w:rsidRDefault="00AC6A8F" w:rsidP="00126D21">
      <w:pPr>
        <w:pStyle w:val="FootnoteText"/>
        <w:rPr>
          <w:rFonts w:ascii="Times New Roman" w:hAnsi="Times New Roman" w:cs="Times New Roman"/>
          <w:i/>
        </w:rPr>
      </w:pPr>
      <w:r w:rsidRPr="008A61E9">
        <w:rPr>
          <w:rFonts w:ascii="Times New Roman" w:hAnsi="Times New Roman" w:cs="Times New Roman"/>
          <w:i/>
        </w:rPr>
        <w:t xml:space="preserve">log(salario)   =   cte      -  </w:t>
      </w:r>
      <w:r w:rsidRPr="0039728C">
        <w:rPr>
          <w:rFonts w:ascii="Times New Roman" w:hAnsi="Times New Roman" w:cs="Times New Roman"/>
        </w:rPr>
        <w:t>0,381</w:t>
      </w:r>
      <w:r w:rsidRPr="008A61E9">
        <w:rPr>
          <w:rFonts w:ascii="Times New Roman" w:hAnsi="Times New Roman" w:cs="Times New Roman"/>
          <w:i/>
        </w:rPr>
        <w:t xml:space="preserve">.sexo + </w:t>
      </w:r>
      <w:r w:rsidRPr="0039728C">
        <w:rPr>
          <w:rFonts w:ascii="Times New Roman" w:hAnsi="Times New Roman" w:cs="Times New Roman"/>
        </w:rPr>
        <w:t>0,119.</w:t>
      </w:r>
      <w:r w:rsidRPr="008A61E9">
        <w:rPr>
          <w:rFonts w:ascii="Times New Roman" w:hAnsi="Times New Roman" w:cs="Times New Roman"/>
          <w:i/>
        </w:rPr>
        <w:t xml:space="preserve">edad - </w:t>
      </w:r>
      <w:r w:rsidRPr="0039728C">
        <w:rPr>
          <w:rFonts w:ascii="Times New Roman" w:hAnsi="Times New Roman" w:cs="Times New Roman"/>
        </w:rPr>
        <w:t>0,001</w:t>
      </w:r>
      <w:r w:rsidRPr="008A61E9">
        <w:rPr>
          <w:rFonts w:ascii="Times New Roman" w:hAnsi="Times New Roman" w:cs="Times New Roman"/>
          <w:i/>
        </w:rPr>
        <w:t>.edad2</w:t>
      </w:r>
    </w:p>
    <w:p w:rsidR="00AC6A8F" w:rsidRDefault="00AC6A8F" w:rsidP="00126D21">
      <w:pPr>
        <w:pStyle w:val="FootnoteText"/>
      </w:pPr>
      <w:r>
        <w:t xml:space="preserve">    </w:t>
      </w:r>
      <w:r>
        <w:tab/>
        <w:t xml:space="preserve">          (0.0383)     (0.0086)         (0.0020)       (0.0000)</w:t>
      </w:r>
    </w:p>
    <w:p w:rsidR="00AC6A8F" w:rsidRPr="00B873E2" w:rsidRDefault="00AC6A8F" w:rsidP="00126D21">
      <w:pPr>
        <w:pStyle w:val="FootnoteText"/>
        <w:jc w:val="both"/>
      </w:pPr>
      <w:r>
        <w:t>La ecuación estimada omite variables relevantes a la hora de estimar los ingresos como dependientes de las víctimas, lo cual puede generar s</w:t>
      </w:r>
      <w:r w:rsidRPr="00B873E2">
        <w:t xml:space="preserve">esgos </w:t>
      </w:r>
      <w:r>
        <w:t>en los coeficientes estimados. De todas formas, nótese que nuestro principal interés es la predicción de dichos ingresos, la que seguramente no se vea distorsionada significativamente. Por otra parte, no se contó con más información que la empleada respecto de los perfiles de las víctimas fallecidas. Es posible que esta estimación se pueda ajustar con información solicitada al ITF (Instituto Técnico Forense), a la que aún no accedimos a la fecha de este informe.</w:t>
      </w:r>
    </w:p>
  </w:footnote>
  <w:footnote w:id="22">
    <w:p w:rsidR="00AC6A8F" w:rsidRPr="00126D21" w:rsidRDefault="00AC6A8F">
      <w:pPr>
        <w:pStyle w:val="FootnoteText"/>
      </w:pPr>
      <w:r>
        <w:rPr>
          <w:rStyle w:val="FootnoteReference"/>
        </w:rPr>
        <w:footnoteRef/>
      </w:r>
      <w:r>
        <w:t xml:space="preserve">  </w:t>
      </w:r>
      <w:r w:rsidRPr="0068789E">
        <w:t>Calcular a través del costo de oportunidad las pérdidas por homicidios puede subestimar su costo (véase  Soares, 2006). No obstante, nótese que de acuerdo a Dolan et. al (2005) el valor de una vida para Reino Unido (según</w:t>
      </w:r>
      <w:r>
        <w:t xml:space="preserve"> el </w:t>
      </w:r>
      <w:r w:rsidRPr="0068789E">
        <w:t xml:space="preserve">NICE, </w:t>
      </w:r>
      <w:r w:rsidRPr="0068789E">
        <w:rPr>
          <w:i/>
        </w:rPr>
        <w:t>National Institute for Clinical Excellence</w:t>
      </w:r>
      <w:r w:rsidRPr="0068789E">
        <w:t>) alcanza a alrededor de 800 mil dólares, por lo que los cálculos realizados para Uruguay, dadas las diferencias en</w:t>
      </w:r>
      <w:r>
        <w:t>tre</w:t>
      </w:r>
      <w:r w:rsidRPr="0068789E">
        <w:t xml:space="preserve"> los PIB per cápita de cada país</w:t>
      </w:r>
      <w:r>
        <w:t>,</w:t>
      </w:r>
      <w:r w:rsidRPr="0068789E">
        <w:t xml:space="preserve"> pueden considerarse razonables.</w:t>
      </w:r>
    </w:p>
  </w:footnote>
  <w:footnote w:id="23">
    <w:p w:rsidR="00AC6A8F" w:rsidRDefault="00AC6A8F" w:rsidP="00D45CCE">
      <w:pPr>
        <w:pStyle w:val="FootnoteText"/>
        <w:jc w:val="both"/>
      </w:pPr>
      <w:r>
        <w:rPr>
          <w:rStyle w:val="FootnoteReference"/>
        </w:rPr>
        <w:footnoteRef/>
      </w:r>
      <w:r>
        <w:t xml:space="preserve"> En cualquier caso el número de menores recluidos por crímenes es menor en comparación con los mayores de edad. Este número esta en el orden del 5% de la población adulta recluida.</w:t>
      </w:r>
    </w:p>
  </w:footnote>
  <w:footnote w:id="24">
    <w:p w:rsidR="00AC6A8F" w:rsidRDefault="00AC6A8F" w:rsidP="00D45CCE">
      <w:pPr>
        <w:pStyle w:val="FootnoteText"/>
        <w:jc w:val="both"/>
      </w:pPr>
      <w:r>
        <w:rPr>
          <w:rStyle w:val="FootnoteReference"/>
        </w:rPr>
        <w:footnoteRef/>
      </w:r>
      <w:r>
        <w:t xml:space="preserve"> A partir de la encuesta de victimización se puede determinar que el 7,5% de las victimas dicen saber que hubieron detenciones de los criminales con posterioridad al crimen. Esta cifra, junto con la cifra de presos ingresados en el sistema penitenciario en el año 2010, permitiría tener una estimación de los criminales que no fueron apresados. Obviamente esta estimación tendrá varios sesgos, pero puede ser una primera aproximación al número total de criminales en libertad.</w:t>
      </w:r>
    </w:p>
    <w:tbl>
      <w:tblPr>
        <w:tblW w:w="8457" w:type="dxa"/>
        <w:tblInd w:w="95" w:type="dxa"/>
        <w:tblLook w:val="04A0" w:firstRow="1" w:lastRow="0" w:firstColumn="1" w:lastColumn="0" w:noHBand="0" w:noVBand="1"/>
      </w:tblPr>
      <w:tblGrid>
        <w:gridCol w:w="7419"/>
        <w:gridCol w:w="1206"/>
      </w:tblGrid>
      <w:tr w:rsidR="00AC6A8F" w:rsidRPr="006012B4" w:rsidTr="006012B4">
        <w:trPr>
          <w:trHeight w:val="300"/>
        </w:trPr>
        <w:tc>
          <w:tcPr>
            <w:tcW w:w="7217" w:type="dxa"/>
            <w:tcBorders>
              <w:top w:val="nil"/>
              <w:left w:val="nil"/>
              <w:bottom w:val="nil"/>
              <w:right w:val="nil"/>
            </w:tcBorders>
            <w:shd w:val="clear" w:color="auto" w:fill="auto"/>
            <w:noWrap/>
            <w:vAlign w:val="bottom"/>
            <w:hideMark/>
          </w:tcPr>
          <w:p w:rsidR="00AC6A8F" w:rsidRDefault="00AC6A8F" w:rsidP="006012B4">
            <w:pPr>
              <w:spacing w:after="0" w:line="240" w:lineRule="auto"/>
              <w:rPr>
                <w:sz w:val="20"/>
                <w:szCs w:val="20"/>
              </w:rPr>
            </w:pPr>
            <w:r w:rsidRPr="006012B4">
              <w:rPr>
                <w:sz w:val="20"/>
                <w:szCs w:val="20"/>
              </w:rPr>
              <w:t>¿Consiguió la policía detener al autor o autores del delito?</w:t>
            </w:r>
          </w:p>
          <w:tbl>
            <w:tblPr>
              <w:tblW w:w="7418" w:type="dxa"/>
              <w:tblBorders>
                <w:top w:val="single" w:sz="4" w:space="0" w:color="auto"/>
                <w:bottom w:val="single" w:sz="4" w:space="0" w:color="auto"/>
              </w:tblBorders>
              <w:tblLook w:val="04A0" w:firstRow="1" w:lastRow="0" w:firstColumn="1" w:lastColumn="0" w:noHBand="0" w:noVBand="1"/>
            </w:tblPr>
            <w:tblGrid>
              <w:gridCol w:w="2868"/>
              <w:gridCol w:w="1109"/>
              <w:gridCol w:w="1109"/>
              <w:gridCol w:w="2117"/>
            </w:tblGrid>
            <w:tr w:rsidR="00AC6A8F" w:rsidRPr="006012B4" w:rsidTr="00B97560">
              <w:trPr>
                <w:trHeight w:val="258"/>
              </w:trPr>
              <w:tc>
                <w:tcPr>
                  <w:tcW w:w="2959" w:type="dxa"/>
                  <w:tcBorders>
                    <w:top w:val="single" w:sz="4" w:space="0" w:color="auto"/>
                    <w:bottom w:val="single" w:sz="4" w:space="0" w:color="auto"/>
                  </w:tcBorders>
                  <w:shd w:val="clear" w:color="auto" w:fill="auto"/>
                  <w:noWrap/>
                  <w:vAlign w:val="bottom"/>
                  <w:hideMark/>
                </w:tcPr>
                <w:p w:rsidR="00AC6A8F" w:rsidRPr="006012B4" w:rsidRDefault="00AC6A8F" w:rsidP="006012B4">
                  <w:pPr>
                    <w:spacing w:after="0" w:line="240" w:lineRule="auto"/>
                    <w:rPr>
                      <w:sz w:val="20"/>
                      <w:szCs w:val="20"/>
                    </w:rPr>
                  </w:pPr>
                  <w:r w:rsidRPr="006012B4">
                    <w:rPr>
                      <w:sz w:val="20"/>
                      <w:szCs w:val="20"/>
                    </w:rPr>
                    <w:t> </w:t>
                  </w:r>
                </w:p>
              </w:tc>
              <w:tc>
                <w:tcPr>
                  <w:tcW w:w="1139" w:type="dxa"/>
                  <w:tcBorders>
                    <w:top w:val="single" w:sz="4" w:space="0" w:color="auto"/>
                    <w:bottom w:val="single" w:sz="4" w:space="0" w:color="auto"/>
                  </w:tcBorders>
                  <w:shd w:val="clear" w:color="auto" w:fill="auto"/>
                  <w:noWrap/>
                  <w:vAlign w:val="bottom"/>
                  <w:hideMark/>
                </w:tcPr>
                <w:p w:rsidR="00AC6A8F" w:rsidRPr="006012B4" w:rsidRDefault="00AC6A8F" w:rsidP="006012B4">
                  <w:pPr>
                    <w:spacing w:after="0" w:line="240" w:lineRule="auto"/>
                    <w:rPr>
                      <w:sz w:val="20"/>
                      <w:szCs w:val="20"/>
                    </w:rPr>
                  </w:pPr>
                  <w:r w:rsidRPr="006012B4">
                    <w:rPr>
                      <w:sz w:val="20"/>
                      <w:szCs w:val="20"/>
                    </w:rPr>
                    <w:t>Frecuencia</w:t>
                  </w:r>
                </w:p>
              </w:tc>
              <w:tc>
                <w:tcPr>
                  <w:tcW w:w="1139" w:type="dxa"/>
                  <w:tcBorders>
                    <w:top w:val="single" w:sz="4" w:space="0" w:color="auto"/>
                    <w:bottom w:val="single" w:sz="4" w:space="0" w:color="auto"/>
                  </w:tcBorders>
                  <w:shd w:val="clear" w:color="auto" w:fill="auto"/>
                  <w:noWrap/>
                  <w:vAlign w:val="bottom"/>
                  <w:hideMark/>
                </w:tcPr>
                <w:p w:rsidR="00AC6A8F" w:rsidRPr="006012B4" w:rsidRDefault="00AC6A8F" w:rsidP="006012B4">
                  <w:pPr>
                    <w:spacing w:after="0" w:line="240" w:lineRule="auto"/>
                    <w:rPr>
                      <w:sz w:val="20"/>
                      <w:szCs w:val="20"/>
                    </w:rPr>
                  </w:pPr>
                  <w:r w:rsidRPr="006012B4">
                    <w:rPr>
                      <w:sz w:val="20"/>
                      <w:szCs w:val="20"/>
                    </w:rPr>
                    <w:t>Porcentaje</w:t>
                  </w:r>
                </w:p>
              </w:tc>
              <w:tc>
                <w:tcPr>
                  <w:tcW w:w="2181" w:type="dxa"/>
                  <w:tcBorders>
                    <w:top w:val="single" w:sz="4" w:space="0" w:color="auto"/>
                    <w:bottom w:val="single" w:sz="4" w:space="0" w:color="auto"/>
                  </w:tcBorders>
                  <w:shd w:val="clear" w:color="auto" w:fill="auto"/>
                  <w:vAlign w:val="bottom"/>
                  <w:hideMark/>
                </w:tcPr>
                <w:p w:rsidR="00AC6A8F" w:rsidRPr="006012B4" w:rsidRDefault="00AC6A8F" w:rsidP="00B97560">
                  <w:pPr>
                    <w:spacing w:after="0" w:line="240" w:lineRule="auto"/>
                    <w:jc w:val="right"/>
                    <w:rPr>
                      <w:sz w:val="20"/>
                      <w:szCs w:val="20"/>
                    </w:rPr>
                  </w:pPr>
                  <w:r w:rsidRPr="006012B4">
                    <w:rPr>
                      <w:sz w:val="20"/>
                      <w:szCs w:val="20"/>
                    </w:rPr>
                    <w:t>Porcentaje</w:t>
                  </w:r>
                  <w:r>
                    <w:rPr>
                      <w:sz w:val="20"/>
                      <w:szCs w:val="20"/>
                    </w:rPr>
                    <w:t xml:space="preserve"> </w:t>
                  </w:r>
                  <w:r w:rsidRPr="006012B4">
                    <w:rPr>
                      <w:sz w:val="20"/>
                      <w:szCs w:val="20"/>
                    </w:rPr>
                    <w:t>acumulado</w:t>
                  </w:r>
                </w:p>
              </w:tc>
            </w:tr>
            <w:tr w:rsidR="00AC6A8F" w:rsidRPr="006012B4" w:rsidTr="00B97560">
              <w:trPr>
                <w:trHeight w:val="288"/>
              </w:trPr>
              <w:tc>
                <w:tcPr>
                  <w:tcW w:w="2959" w:type="dxa"/>
                  <w:tcBorders>
                    <w:top w:val="single" w:sz="4" w:space="0" w:color="auto"/>
                  </w:tcBorders>
                  <w:shd w:val="clear" w:color="auto" w:fill="auto"/>
                  <w:noWrap/>
                  <w:vAlign w:val="bottom"/>
                  <w:hideMark/>
                </w:tcPr>
                <w:p w:rsidR="00AC6A8F" w:rsidRPr="006012B4" w:rsidRDefault="00AC6A8F" w:rsidP="006012B4">
                  <w:pPr>
                    <w:spacing w:after="0" w:line="240" w:lineRule="auto"/>
                    <w:rPr>
                      <w:sz w:val="20"/>
                      <w:szCs w:val="20"/>
                    </w:rPr>
                  </w:pPr>
                  <w:r w:rsidRPr="006012B4">
                    <w:rPr>
                      <w:sz w:val="20"/>
                      <w:szCs w:val="20"/>
                    </w:rPr>
                    <w:t>Sí a todos</w:t>
                  </w:r>
                </w:p>
              </w:tc>
              <w:tc>
                <w:tcPr>
                  <w:tcW w:w="1139" w:type="dxa"/>
                  <w:tcBorders>
                    <w:top w:val="single" w:sz="4" w:space="0" w:color="auto"/>
                  </w:tcBorders>
                  <w:shd w:val="clear" w:color="auto" w:fill="auto"/>
                  <w:noWrap/>
                  <w:vAlign w:val="bottom"/>
                  <w:hideMark/>
                </w:tcPr>
                <w:p w:rsidR="00AC6A8F" w:rsidRPr="006012B4" w:rsidRDefault="00AC6A8F" w:rsidP="006012B4">
                  <w:pPr>
                    <w:spacing w:after="0" w:line="240" w:lineRule="auto"/>
                    <w:jc w:val="right"/>
                    <w:rPr>
                      <w:sz w:val="20"/>
                      <w:szCs w:val="20"/>
                    </w:rPr>
                  </w:pPr>
                  <w:r w:rsidRPr="006012B4">
                    <w:rPr>
                      <w:sz w:val="20"/>
                      <w:szCs w:val="20"/>
                    </w:rPr>
                    <w:t>48</w:t>
                  </w:r>
                </w:p>
              </w:tc>
              <w:tc>
                <w:tcPr>
                  <w:tcW w:w="1139" w:type="dxa"/>
                  <w:tcBorders>
                    <w:top w:val="single" w:sz="4" w:space="0" w:color="auto"/>
                  </w:tcBorders>
                  <w:shd w:val="clear" w:color="auto" w:fill="auto"/>
                  <w:noWrap/>
                  <w:vAlign w:val="bottom"/>
                  <w:hideMark/>
                </w:tcPr>
                <w:p w:rsidR="00AC6A8F" w:rsidRPr="006012B4" w:rsidRDefault="00AC6A8F" w:rsidP="006012B4">
                  <w:pPr>
                    <w:spacing w:after="0" w:line="240" w:lineRule="auto"/>
                    <w:jc w:val="right"/>
                    <w:rPr>
                      <w:sz w:val="20"/>
                      <w:szCs w:val="20"/>
                    </w:rPr>
                  </w:pPr>
                  <w:r w:rsidRPr="006012B4">
                    <w:rPr>
                      <w:sz w:val="20"/>
                      <w:szCs w:val="20"/>
                    </w:rPr>
                    <w:t>5</w:t>
                  </w:r>
                  <w:r>
                    <w:rPr>
                      <w:sz w:val="20"/>
                      <w:szCs w:val="20"/>
                    </w:rPr>
                    <w:t>,</w:t>
                  </w:r>
                  <w:r w:rsidRPr="006012B4">
                    <w:rPr>
                      <w:sz w:val="20"/>
                      <w:szCs w:val="20"/>
                    </w:rPr>
                    <w:t>5</w:t>
                  </w:r>
                </w:p>
              </w:tc>
              <w:tc>
                <w:tcPr>
                  <w:tcW w:w="2181" w:type="dxa"/>
                  <w:tcBorders>
                    <w:top w:val="single" w:sz="4" w:space="0" w:color="auto"/>
                  </w:tcBorders>
                  <w:shd w:val="clear" w:color="auto" w:fill="auto"/>
                  <w:noWrap/>
                  <w:vAlign w:val="bottom"/>
                  <w:hideMark/>
                </w:tcPr>
                <w:p w:rsidR="00AC6A8F" w:rsidRPr="006012B4" w:rsidRDefault="00AC6A8F" w:rsidP="006012B4">
                  <w:pPr>
                    <w:spacing w:after="0" w:line="240" w:lineRule="auto"/>
                    <w:jc w:val="right"/>
                    <w:rPr>
                      <w:sz w:val="20"/>
                      <w:szCs w:val="20"/>
                    </w:rPr>
                  </w:pPr>
                  <w:r w:rsidRPr="006012B4">
                    <w:rPr>
                      <w:sz w:val="20"/>
                      <w:szCs w:val="20"/>
                    </w:rPr>
                    <w:t>5</w:t>
                  </w:r>
                  <w:r>
                    <w:rPr>
                      <w:sz w:val="20"/>
                      <w:szCs w:val="20"/>
                    </w:rPr>
                    <w:t>,</w:t>
                  </w:r>
                  <w:r w:rsidRPr="006012B4">
                    <w:rPr>
                      <w:sz w:val="20"/>
                      <w:szCs w:val="20"/>
                    </w:rPr>
                    <w:t>5</w:t>
                  </w:r>
                </w:p>
              </w:tc>
            </w:tr>
            <w:tr w:rsidR="00AC6A8F" w:rsidRPr="006012B4" w:rsidTr="00B97560">
              <w:trPr>
                <w:trHeight w:val="288"/>
              </w:trPr>
              <w:tc>
                <w:tcPr>
                  <w:tcW w:w="2959" w:type="dxa"/>
                  <w:shd w:val="clear" w:color="auto" w:fill="auto"/>
                  <w:noWrap/>
                  <w:vAlign w:val="bottom"/>
                  <w:hideMark/>
                </w:tcPr>
                <w:p w:rsidR="00AC6A8F" w:rsidRPr="006012B4" w:rsidRDefault="00AC6A8F" w:rsidP="006012B4">
                  <w:pPr>
                    <w:spacing w:after="0" w:line="240" w:lineRule="auto"/>
                    <w:rPr>
                      <w:sz w:val="20"/>
                      <w:szCs w:val="20"/>
                    </w:rPr>
                  </w:pPr>
                  <w:r w:rsidRPr="006012B4">
                    <w:rPr>
                      <w:sz w:val="20"/>
                      <w:szCs w:val="20"/>
                    </w:rPr>
                    <w:t>Sí a algunos</w:t>
                  </w:r>
                </w:p>
              </w:tc>
              <w:tc>
                <w:tcPr>
                  <w:tcW w:w="1139" w:type="dxa"/>
                  <w:shd w:val="clear" w:color="auto" w:fill="auto"/>
                  <w:noWrap/>
                  <w:vAlign w:val="bottom"/>
                  <w:hideMark/>
                </w:tcPr>
                <w:p w:rsidR="00AC6A8F" w:rsidRPr="006012B4" w:rsidRDefault="00AC6A8F" w:rsidP="006012B4">
                  <w:pPr>
                    <w:spacing w:after="0" w:line="240" w:lineRule="auto"/>
                    <w:jc w:val="right"/>
                    <w:rPr>
                      <w:sz w:val="20"/>
                      <w:szCs w:val="20"/>
                    </w:rPr>
                  </w:pPr>
                  <w:r w:rsidRPr="006012B4">
                    <w:rPr>
                      <w:sz w:val="20"/>
                      <w:szCs w:val="20"/>
                    </w:rPr>
                    <w:t>17</w:t>
                  </w:r>
                </w:p>
              </w:tc>
              <w:tc>
                <w:tcPr>
                  <w:tcW w:w="1139" w:type="dxa"/>
                  <w:shd w:val="clear" w:color="auto" w:fill="auto"/>
                  <w:noWrap/>
                  <w:vAlign w:val="bottom"/>
                  <w:hideMark/>
                </w:tcPr>
                <w:p w:rsidR="00AC6A8F" w:rsidRPr="006012B4" w:rsidRDefault="00AC6A8F" w:rsidP="006012B4">
                  <w:pPr>
                    <w:spacing w:after="0" w:line="240" w:lineRule="auto"/>
                    <w:jc w:val="right"/>
                    <w:rPr>
                      <w:sz w:val="20"/>
                      <w:szCs w:val="20"/>
                    </w:rPr>
                  </w:pPr>
                  <w:r w:rsidRPr="006012B4">
                    <w:rPr>
                      <w:sz w:val="20"/>
                      <w:szCs w:val="20"/>
                    </w:rPr>
                    <w:t>2</w:t>
                  </w:r>
                  <w:r>
                    <w:rPr>
                      <w:sz w:val="20"/>
                      <w:szCs w:val="20"/>
                    </w:rPr>
                    <w:t>,</w:t>
                  </w:r>
                  <w:r w:rsidRPr="006012B4">
                    <w:rPr>
                      <w:sz w:val="20"/>
                      <w:szCs w:val="20"/>
                    </w:rPr>
                    <w:t>0</w:t>
                  </w:r>
                </w:p>
              </w:tc>
              <w:tc>
                <w:tcPr>
                  <w:tcW w:w="2181" w:type="dxa"/>
                  <w:shd w:val="clear" w:color="auto" w:fill="auto"/>
                  <w:noWrap/>
                  <w:vAlign w:val="bottom"/>
                  <w:hideMark/>
                </w:tcPr>
                <w:p w:rsidR="00AC6A8F" w:rsidRPr="006012B4" w:rsidRDefault="00AC6A8F" w:rsidP="006012B4">
                  <w:pPr>
                    <w:spacing w:after="0" w:line="240" w:lineRule="auto"/>
                    <w:jc w:val="right"/>
                    <w:rPr>
                      <w:sz w:val="20"/>
                      <w:szCs w:val="20"/>
                    </w:rPr>
                  </w:pPr>
                  <w:r w:rsidRPr="006012B4">
                    <w:rPr>
                      <w:sz w:val="20"/>
                      <w:szCs w:val="20"/>
                    </w:rPr>
                    <w:t>7</w:t>
                  </w:r>
                  <w:r>
                    <w:rPr>
                      <w:sz w:val="20"/>
                      <w:szCs w:val="20"/>
                    </w:rPr>
                    <w:t>,</w:t>
                  </w:r>
                  <w:r w:rsidRPr="006012B4">
                    <w:rPr>
                      <w:sz w:val="20"/>
                      <w:szCs w:val="20"/>
                    </w:rPr>
                    <w:t>5</w:t>
                  </w:r>
                </w:p>
              </w:tc>
            </w:tr>
            <w:tr w:rsidR="00AC6A8F" w:rsidRPr="006012B4" w:rsidTr="00B97560">
              <w:trPr>
                <w:trHeight w:val="330"/>
              </w:trPr>
              <w:tc>
                <w:tcPr>
                  <w:tcW w:w="2959" w:type="dxa"/>
                  <w:shd w:val="clear" w:color="auto" w:fill="auto"/>
                  <w:noWrap/>
                  <w:vAlign w:val="bottom"/>
                  <w:hideMark/>
                </w:tcPr>
                <w:p w:rsidR="00AC6A8F" w:rsidRPr="006012B4" w:rsidRDefault="00AC6A8F" w:rsidP="006012B4">
                  <w:pPr>
                    <w:spacing w:after="0" w:line="240" w:lineRule="auto"/>
                    <w:rPr>
                      <w:sz w:val="20"/>
                      <w:szCs w:val="20"/>
                    </w:rPr>
                  </w:pPr>
                  <w:r w:rsidRPr="006012B4">
                    <w:rPr>
                      <w:sz w:val="20"/>
                      <w:szCs w:val="20"/>
                    </w:rPr>
                    <w:t>No detuvo a ninguno de los autores</w:t>
                  </w:r>
                </w:p>
              </w:tc>
              <w:tc>
                <w:tcPr>
                  <w:tcW w:w="1139" w:type="dxa"/>
                  <w:shd w:val="clear" w:color="auto" w:fill="auto"/>
                  <w:noWrap/>
                  <w:vAlign w:val="bottom"/>
                  <w:hideMark/>
                </w:tcPr>
                <w:p w:rsidR="00AC6A8F" w:rsidRPr="006012B4" w:rsidRDefault="00AC6A8F" w:rsidP="006012B4">
                  <w:pPr>
                    <w:spacing w:after="0" w:line="240" w:lineRule="auto"/>
                    <w:jc w:val="right"/>
                    <w:rPr>
                      <w:sz w:val="20"/>
                      <w:szCs w:val="20"/>
                    </w:rPr>
                  </w:pPr>
                  <w:r w:rsidRPr="006012B4">
                    <w:rPr>
                      <w:sz w:val="20"/>
                      <w:szCs w:val="20"/>
                    </w:rPr>
                    <w:t>375</w:t>
                  </w:r>
                </w:p>
              </w:tc>
              <w:tc>
                <w:tcPr>
                  <w:tcW w:w="1139" w:type="dxa"/>
                  <w:shd w:val="clear" w:color="auto" w:fill="auto"/>
                  <w:noWrap/>
                  <w:vAlign w:val="bottom"/>
                  <w:hideMark/>
                </w:tcPr>
                <w:p w:rsidR="00AC6A8F" w:rsidRPr="006012B4" w:rsidRDefault="00AC6A8F" w:rsidP="006012B4">
                  <w:pPr>
                    <w:spacing w:after="0" w:line="240" w:lineRule="auto"/>
                    <w:jc w:val="right"/>
                    <w:rPr>
                      <w:sz w:val="20"/>
                      <w:szCs w:val="20"/>
                    </w:rPr>
                  </w:pPr>
                  <w:r w:rsidRPr="006012B4">
                    <w:rPr>
                      <w:sz w:val="20"/>
                      <w:szCs w:val="20"/>
                    </w:rPr>
                    <w:t>43</w:t>
                  </w:r>
                  <w:r>
                    <w:rPr>
                      <w:sz w:val="20"/>
                      <w:szCs w:val="20"/>
                    </w:rPr>
                    <w:t>,</w:t>
                  </w:r>
                  <w:r w:rsidRPr="006012B4">
                    <w:rPr>
                      <w:sz w:val="20"/>
                      <w:szCs w:val="20"/>
                    </w:rPr>
                    <w:t>3</w:t>
                  </w:r>
                </w:p>
              </w:tc>
              <w:tc>
                <w:tcPr>
                  <w:tcW w:w="2181" w:type="dxa"/>
                  <w:shd w:val="clear" w:color="auto" w:fill="auto"/>
                  <w:noWrap/>
                  <w:vAlign w:val="bottom"/>
                  <w:hideMark/>
                </w:tcPr>
                <w:p w:rsidR="00AC6A8F" w:rsidRPr="006012B4" w:rsidRDefault="00AC6A8F" w:rsidP="006012B4">
                  <w:pPr>
                    <w:spacing w:after="0" w:line="240" w:lineRule="auto"/>
                    <w:jc w:val="right"/>
                    <w:rPr>
                      <w:sz w:val="20"/>
                      <w:szCs w:val="20"/>
                    </w:rPr>
                  </w:pPr>
                  <w:r w:rsidRPr="006012B4">
                    <w:rPr>
                      <w:sz w:val="20"/>
                      <w:szCs w:val="20"/>
                    </w:rPr>
                    <w:t>50</w:t>
                  </w:r>
                  <w:r>
                    <w:rPr>
                      <w:sz w:val="20"/>
                      <w:szCs w:val="20"/>
                    </w:rPr>
                    <w:t>,</w:t>
                  </w:r>
                  <w:r w:rsidRPr="006012B4">
                    <w:rPr>
                      <w:sz w:val="20"/>
                      <w:szCs w:val="20"/>
                    </w:rPr>
                    <w:t>8</w:t>
                  </w:r>
                </w:p>
              </w:tc>
            </w:tr>
            <w:tr w:rsidR="00AC6A8F" w:rsidRPr="006012B4" w:rsidTr="00B97560">
              <w:trPr>
                <w:trHeight w:val="288"/>
              </w:trPr>
              <w:tc>
                <w:tcPr>
                  <w:tcW w:w="2959" w:type="dxa"/>
                  <w:shd w:val="clear" w:color="auto" w:fill="auto"/>
                  <w:noWrap/>
                  <w:vAlign w:val="bottom"/>
                  <w:hideMark/>
                </w:tcPr>
                <w:p w:rsidR="00AC6A8F" w:rsidRPr="006012B4" w:rsidRDefault="00AC6A8F" w:rsidP="00893324">
                  <w:pPr>
                    <w:spacing w:after="0" w:line="240" w:lineRule="auto"/>
                    <w:rPr>
                      <w:sz w:val="20"/>
                      <w:szCs w:val="20"/>
                    </w:rPr>
                  </w:pPr>
                  <w:r w:rsidRPr="006012B4">
                    <w:rPr>
                      <w:sz w:val="20"/>
                      <w:szCs w:val="20"/>
                    </w:rPr>
                    <w:t>N</w:t>
                  </w:r>
                  <w:r>
                    <w:rPr>
                      <w:sz w:val="20"/>
                      <w:szCs w:val="20"/>
                    </w:rPr>
                    <w:t>o sabe</w:t>
                  </w:r>
                  <w:r w:rsidRPr="006012B4">
                    <w:rPr>
                      <w:sz w:val="20"/>
                      <w:szCs w:val="20"/>
                    </w:rPr>
                    <w:t>/N</w:t>
                  </w:r>
                  <w:r>
                    <w:rPr>
                      <w:sz w:val="20"/>
                      <w:szCs w:val="20"/>
                    </w:rPr>
                    <w:t>o contesta</w:t>
                  </w:r>
                </w:p>
              </w:tc>
              <w:tc>
                <w:tcPr>
                  <w:tcW w:w="1139" w:type="dxa"/>
                  <w:shd w:val="clear" w:color="auto" w:fill="auto"/>
                  <w:noWrap/>
                  <w:vAlign w:val="bottom"/>
                  <w:hideMark/>
                </w:tcPr>
                <w:p w:rsidR="00AC6A8F" w:rsidRPr="006012B4" w:rsidRDefault="00AC6A8F" w:rsidP="006012B4">
                  <w:pPr>
                    <w:spacing w:after="0" w:line="240" w:lineRule="auto"/>
                    <w:jc w:val="right"/>
                    <w:rPr>
                      <w:sz w:val="20"/>
                      <w:szCs w:val="20"/>
                    </w:rPr>
                  </w:pPr>
                  <w:r w:rsidRPr="006012B4">
                    <w:rPr>
                      <w:sz w:val="20"/>
                      <w:szCs w:val="20"/>
                    </w:rPr>
                    <w:t>30</w:t>
                  </w:r>
                </w:p>
              </w:tc>
              <w:tc>
                <w:tcPr>
                  <w:tcW w:w="1139" w:type="dxa"/>
                  <w:shd w:val="clear" w:color="auto" w:fill="auto"/>
                  <w:noWrap/>
                  <w:vAlign w:val="bottom"/>
                  <w:hideMark/>
                </w:tcPr>
                <w:p w:rsidR="00AC6A8F" w:rsidRPr="006012B4" w:rsidRDefault="00AC6A8F" w:rsidP="006012B4">
                  <w:pPr>
                    <w:spacing w:after="0" w:line="240" w:lineRule="auto"/>
                    <w:jc w:val="right"/>
                    <w:rPr>
                      <w:sz w:val="20"/>
                      <w:szCs w:val="20"/>
                    </w:rPr>
                  </w:pPr>
                  <w:r w:rsidRPr="006012B4">
                    <w:rPr>
                      <w:sz w:val="20"/>
                      <w:szCs w:val="20"/>
                    </w:rPr>
                    <w:t>3</w:t>
                  </w:r>
                  <w:r>
                    <w:rPr>
                      <w:sz w:val="20"/>
                      <w:szCs w:val="20"/>
                    </w:rPr>
                    <w:t>,</w:t>
                  </w:r>
                  <w:r w:rsidRPr="006012B4">
                    <w:rPr>
                      <w:sz w:val="20"/>
                      <w:szCs w:val="20"/>
                    </w:rPr>
                    <w:t>5</w:t>
                  </w:r>
                </w:p>
              </w:tc>
              <w:tc>
                <w:tcPr>
                  <w:tcW w:w="2181" w:type="dxa"/>
                  <w:shd w:val="clear" w:color="auto" w:fill="auto"/>
                  <w:noWrap/>
                  <w:vAlign w:val="bottom"/>
                  <w:hideMark/>
                </w:tcPr>
                <w:p w:rsidR="00AC6A8F" w:rsidRPr="006012B4" w:rsidRDefault="00AC6A8F" w:rsidP="006012B4">
                  <w:pPr>
                    <w:spacing w:after="0" w:line="240" w:lineRule="auto"/>
                    <w:jc w:val="right"/>
                    <w:rPr>
                      <w:sz w:val="20"/>
                      <w:szCs w:val="20"/>
                    </w:rPr>
                  </w:pPr>
                  <w:r w:rsidRPr="006012B4">
                    <w:rPr>
                      <w:sz w:val="20"/>
                      <w:szCs w:val="20"/>
                    </w:rPr>
                    <w:t>54</w:t>
                  </w:r>
                  <w:r>
                    <w:rPr>
                      <w:sz w:val="20"/>
                      <w:szCs w:val="20"/>
                    </w:rPr>
                    <w:t>,</w:t>
                  </w:r>
                  <w:r w:rsidRPr="006012B4">
                    <w:rPr>
                      <w:sz w:val="20"/>
                      <w:szCs w:val="20"/>
                    </w:rPr>
                    <w:t>3</w:t>
                  </w:r>
                </w:p>
              </w:tc>
            </w:tr>
            <w:tr w:rsidR="00AC6A8F" w:rsidRPr="006012B4" w:rsidTr="00B97560">
              <w:trPr>
                <w:trHeight w:val="288"/>
              </w:trPr>
              <w:tc>
                <w:tcPr>
                  <w:tcW w:w="2959" w:type="dxa"/>
                  <w:shd w:val="clear" w:color="auto" w:fill="auto"/>
                  <w:noWrap/>
                  <w:vAlign w:val="bottom"/>
                  <w:hideMark/>
                </w:tcPr>
                <w:p w:rsidR="00AC6A8F" w:rsidRPr="006012B4" w:rsidRDefault="00AC6A8F" w:rsidP="006012B4">
                  <w:pPr>
                    <w:spacing w:after="0" w:line="240" w:lineRule="auto"/>
                    <w:rPr>
                      <w:sz w:val="20"/>
                      <w:szCs w:val="20"/>
                    </w:rPr>
                  </w:pPr>
                  <w:r w:rsidRPr="006012B4">
                    <w:rPr>
                      <w:sz w:val="20"/>
                      <w:szCs w:val="20"/>
                    </w:rPr>
                    <w:t>No denunció</w:t>
                  </w:r>
                </w:p>
              </w:tc>
              <w:tc>
                <w:tcPr>
                  <w:tcW w:w="1139" w:type="dxa"/>
                  <w:shd w:val="clear" w:color="auto" w:fill="auto"/>
                  <w:noWrap/>
                  <w:vAlign w:val="bottom"/>
                  <w:hideMark/>
                </w:tcPr>
                <w:p w:rsidR="00AC6A8F" w:rsidRPr="006012B4" w:rsidRDefault="00AC6A8F" w:rsidP="006012B4">
                  <w:pPr>
                    <w:spacing w:after="0" w:line="240" w:lineRule="auto"/>
                    <w:jc w:val="right"/>
                    <w:rPr>
                      <w:sz w:val="20"/>
                      <w:szCs w:val="20"/>
                    </w:rPr>
                  </w:pPr>
                  <w:r w:rsidRPr="006012B4">
                    <w:rPr>
                      <w:sz w:val="20"/>
                      <w:szCs w:val="20"/>
                    </w:rPr>
                    <w:t>396</w:t>
                  </w:r>
                </w:p>
              </w:tc>
              <w:tc>
                <w:tcPr>
                  <w:tcW w:w="1139" w:type="dxa"/>
                  <w:shd w:val="clear" w:color="auto" w:fill="auto"/>
                  <w:noWrap/>
                  <w:vAlign w:val="bottom"/>
                  <w:hideMark/>
                </w:tcPr>
                <w:p w:rsidR="00AC6A8F" w:rsidRPr="006012B4" w:rsidRDefault="00AC6A8F" w:rsidP="006012B4">
                  <w:pPr>
                    <w:spacing w:after="0" w:line="240" w:lineRule="auto"/>
                    <w:jc w:val="right"/>
                    <w:rPr>
                      <w:sz w:val="20"/>
                      <w:szCs w:val="20"/>
                    </w:rPr>
                  </w:pPr>
                  <w:r w:rsidRPr="006012B4">
                    <w:rPr>
                      <w:sz w:val="20"/>
                      <w:szCs w:val="20"/>
                    </w:rPr>
                    <w:t>45</w:t>
                  </w:r>
                  <w:r>
                    <w:rPr>
                      <w:sz w:val="20"/>
                      <w:szCs w:val="20"/>
                    </w:rPr>
                    <w:t>,</w:t>
                  </w:r>
                  <w:r w:rsidRPr="006012B4">
                    <w:rPr>
                      <w:sz w:val="20"/>
                      <w:szCs w:val="20"/>
                    </w:rPr>
                    <w:t>7</w:t>
                  </w:r>
                </w:p>
              </w:tc>
              <w:tc>
                <w:tcPr>
                  <w:tcW w:w="2181" w:type="dxa"/>
                  <w:shd w:val="clear" w:color="auto" w:fill="auto"/>
                  <w:noWrap/>
                  <w:vAlign w:val="bottom"/>
                  <w:hideMark/>
                </w:tcPr>
                <w:p w:rsidR="00AC6A8F" w:rsidRPr="006012B4" w:rsidRDefault="00AC6A8F" w:rsidP="006012B4">
                  <w:pPr>
                    <w:spacing w:after="0" w:line="240" w:lineRule="auto"/>
                    <w:jc w:val="right"/>
                    <w:rPr>
                      <w:sz w:val="20"/>
                      <w:szCs w:val="20"/>
                    </w:rPr>
                  </w:pPr>
                  <w:r w:rsidRPr="006012B4">
                    <w:rPr>
                      <w:sz w:val="20"/>
                      <w:szCs w:val="20"/>
                    </w:rPr>
                    <w:t>100</w:t>
                  </w:r>
                </w:p>
              </w:tc>
            </w:tr>
            <w:tr w:rsidR="00AC6A8F" w:rsidRPr="006012B4" w:rsidTr="00B97560">
              <w:trPr>
                <w:trHeight w:val="300"/>
              </w:trPr>
              <w:tc>
                <w:tcPr>
                  <w:tcW w:w="2959" w:type="dxa"/>
                  <w:shd w:val="clear" w:color="auto" w:fill="auto"/>
                  <w:noWrap/>
                  <w:vAlign w:val="bottom"/>
                  <w:hideMark/>
                </w:tcPr>
                <w:p w:rsidR="00AC6A8F" w:rsidRPr="006012B4" w:rsidRDefault="00AC6A8F" w:rsidP="006012B4">
                  <w:pPr>
                    <w:spacing w:after="0" w:line="240" w:lineRule="auto"/>
                    <w:rPr>
                      <w:sz w:val="20"/>
                      <w:szCs w:val="20"/>
                    </w:rPr>
                  </w:pPr>
                  <w:r w:rsidRPr="006012B4">
                    <w:rPr>
                      <w:sz w:val="20"/>
                      <w:szCs w:val="20"/>
                    </w:rPr>
                    <w:t>Total</w:t>
                  </w:r>
                </w:p>
              </w:tc>
              <w:tc>
                <w:tcPr>
                  <w:tcW w:w="1139" w:type="dxa"/>
                  <w:shd w:val="clear" w:color="auto" w:fill="auto"/>
                  <w:noWrap/>
                  <w:vAlign w:val="bottom"/>
                  <w:hideMark/>
                </w:tcPr>
                <w:p w:rsidR="00AC6A8F" w:rsidRPr="006012B4" w:rsidRDefault="00AC6A8F" w:rsidP="006012B4">
                  <w:pPr>
                    <w:spacing w:after="0" w:line="240" w:lineRule="auto"/>
                    <w:jc w:val="right"/>
                    <w:rPr>
                      <w:sz w:val="20"/>
                      <w:szCs w:val="20"/>
                    </w:rPr>
                  </w:pPr>
                  <w:r w:rsidRPr="006012B4">
                    <w:rPr>
                      <w:sz w:val="20"/>
                      <w:szCs w:val="20"/>
                    </w:rPr>
                    <w:t>866</w:t>
                  </w:r>
                </w:p>
              </w:tc>
              <w:tc>
                <w:tcPr>
                  <w:tcW w:w="1139" w:type="dxa"/>
                  <w:shd w:val="clear" w:color="auto" w:fill="auto"/>
                  <w:noWrap/>
                  <w:vAlign w:val="bottom"/>
                  <w:hideMark/>
                </w:tcPr>
                <w:p w:rsidR="00AC6A8F" w:rsidRPr="006012B4" w:rsidRDefault="00AC6A8F" w:rsidP="006012B4">
                  <w:pPr>
                    <w:spacing w:after="0" w:line="240" w:lineRule="auto"/>
                    <w:jc w:val="right"/>
                    <w:rPr>
                      <w:sz w:val="20"/>
                      <w:szCs w:val="20"/>
                    </w:rPr>
                  </w:pPr>
                  <w:r w:rsidRPr="006012B4">
                    <w:rPr>
                      <w:sz w:val="20"/>
                      <w:szCs w:val="20"/>
                    </w:rPr>
                    <w:t>100</w:t>
                  </w:r>
                </w:p>
              </w:tc>
              <w:tc>
                <w:tcPr>
                  <w:tcW w:w="2181" w:type="dxa"/>
                  <w:shd w:val="clear" w:color="auto" w:fill="auto"/>
                  <w:noWrap/>
                  <w:vAlign w:val="bottom"/>
                  <w:hideMark/>
                </w:tcPr>
                <w:p w:rsidR="00AC6A8F" w:rsidRPr="006012B4" w:rsidRDefault="00AC6A8F" w:rsidP="006012B4">
                  <w:pPr>
                    <w:spacing w:after="0" w:line="240" w:lineRule="auto"/>
                    <w:rPr>
                      <w:sz w:val="20"/>
                      <w:szCs w:val="20"/>
                    </w:rPr>
                  </w:pPr>
                  <w:r w:rsidRPr="006012B4">
                    <w:rPr>
                      <w:sz w:val="20"/>
                      <w:szCs w:val="20"/>
                    </w:rPr>
                    <w:t> </w:t>
                  </w:r>
                </w:p>
              </w:tc>
            </w:tr>
          </w:tbl>
          <w:p w:rsidR="00AC6A8F" w:rsidRPr="006012B4" w:rsidRDefault="00AC6A8F" w:rsidP="006012B4">
            <w:pPr>
              <w:spacing w:after="0" w:line="240" w:lineRule="auto"/>
              <w:rPr>
                <w:sz w:val="20"/>
                <w:szCs w:val="20"/>
              </w:rPr>
            </w:pPr>
          </w:p>
        </w:tc>
        <w:tc>
          <w:tcPr>
            <w:tcW w:w="1240" w:type="dxa"/>
            <w:tcBorders>
              <w:top w:val="nil"/>
              <w:left w:val="nil"/>
              <w:bottom w:val="nil"/>
              <w:right w:val="nil"/>
            </w:tcBorders>
            <w:shd w:val="clear" w:color="auto" w:fill="auto"/>
            <w:noWrap/>
            <w:vAlign w:val="bottom"/>
            <w:hideMark/>
          </w:tcPr>
          <w:p w:rsidR="00AC6A8F" w:rsidRPr="006012B4" w:rsidRDefault="00AC6A8F" w:rsidP="006012B4">
            <w:pPr>
              <w:spacing w:after="0" w:line="240" w:lineRule="auto"/>
              <w:rPr>
                <w:sz w:val="20"/>
                <w:szCs w:val="20"/>
              </w:rPr>
            </w:pPr>
          </w:p>
        </w:tc>
      </w:tr>
    </w:tbl>
    <w:p w:rsidR="00AC6A8F" w:rsidRDefault="00AC6A8F" w:rsidP="00D45CCE">
      <w:pPr>
        <w:pStyle w:val="FootnoteText"/>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A64B7"/>
    <w:multiLevelType w:val="hybridMultilevel"/>
    <w:tmpl w:val="B8122ECA"/>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426D04F0"/>
    <w:multiLevelType w:val="multilevel"/>
    <w:tmpl w:val="3C2841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7A3"/>
    <w:rsid w:val="000012FB"/>
    <w:rsid w:val="00011F80"/>
    <w:rsid w:val="00012144"/>
    <w:rsid w:val="00022014"/>
    <w:rsid w:val="00023F7E"/>
    <w:rsid w:val="000245E9"/>
    <w:rsid w:val="0002511E"/>
    <w:rsid w:val="00032648"/>
    <w:rsid w:val="00032979"/>
    <w:rsid w:val="00032F8B"/>
    <w:rsid w:val="00035489"/>
    <w:rsid w:val="0003562C"/>
    <w:rsid w:val="00036C5C"/>
    <w:rsid w:val="00037778"/>
    <w:rsid w:val="00037AD4"/>
    <w:rsid w:val="00044208"/>
    <w:rsid w:val="0004775E"/>
    <w:rsid w:val="00054474"/>
    <w:rsid w:val="00057B4E"/>
    <w:rsid w:val="000707A1"/>
    <w:rsid w:val="00086B88"/>
    <w:rsid w:val="000925FE"/>
    <w:rsid w:val="00094194"/>
    <w:rsid w:val="0009718F"/>
    <w:rsid w:val="000971B6"/>
    <w:rsid w:val="00097570"/>
    <w:rsid w:val="000A46C2"/>
    <w:rsid w:val="000A5E83"/>
    <w:rsid w:val="000A62B7"/>
    <w:rsid w:val="000B13AD"/>
    <w:rsid w:val="000B4EE6"/>
    <w:rsid w:val="000C45BB"/>
    <w:rsid w:val="000C57D3"/>
    <w:rsid w:val="000C6861"/>
    <w:rsid w:val="000C7CE4"/>
    <w:rsid w:val="000D0467"/>
    <w:rsid w:val="000D4295"/>
    <w:rsid w:val="000D7007"/>
    <w:rsid w:val="000E2106"/>
    <w:rsid w:val="000F2224"/>
    <w:rsid w:val="000F610F"/>
    <w:rsid w:val="00101B6C"/>
    <w:rsid w:val="00105BC1"/>
    <w:rsid w:val="00107BA8"/>
    <w:rsid w:val="00113579"/>
    <w:rsid w:val="0011652A"/>
    <w:rsid w:val="00117B8B"/>
    <w:rsid w:val="00120417"/>
    <w:rsid w:val="00121D6B"/>
    <w:rsid w:val="00126D21"/>
    <w:rsid w:val="00131A87"/>
    <w:rsid w:val="00140495"/>
    <w:rsid w:val="001409B3"/>
    <w:rsid w:val="001428F3"/>
    <w:rsid w:val="00144FB9"/>
    <w:rsid w:val="00146CEC"/>
    <w:rsid w:val="00150F05"/>
    <w:rsid w:val="00151017"/>
    <w:rsid w:val="00152C5C"/>
    <w:rsid w:val="0015719C"/>
    <w:rsid w:val="00157253"/>
    <w:rsid w:val="00157DDF"/>
    <w:rsid w:val="00163206"/>
    <w:rsid w:val="001659C7"/>
    <w:rsid w:val="00170E60"/>
    <w:rsid w:val="00181E1F"/>
    <w:rsid w:val="00184313"/>
    <w:rsid w:val="0018770B"/>
    <w:rsid w:val="00191368"/>
    <w:rsid w:val="00191A4E"/>
    <w:rsid w:val="00195349"/>
    <w:rsid w:val="001965F0"/>
    <w:rsid w:val="001967FA"/>
    <w:rsid w:val="00197762"/>
    <w:rsid w:val="00197D66"/>
    <w:rsid w:val="001A2189"/>
    <w:rsid w:val="001A5D67"/>
    <w:rsid w:val="001B1C41"/>
    <w:rsid w:val="001B4E42"/>
    <w:rsid w:val="001C5EAB"/>
    <w:rsid w:val="001D3593"/>
    <w:rsid w:val="001D3D8D"/>
    <w:rsid w:val="001D5745"/>
    <w:rsid w:val="001D5A28"/>
    <w:rsid w:val="001E290C"/>
    <w:rsid w:val="001F19B5"/>
    <w:rsid w:val="001F1DDA"/>
    <w:rsid w:val="001F4258"/>
    <w:rsid w:val="001F4BB3"/>
    <w:rsid w:val="001F5C56"/>
    <w:rsid w:val="001F6C32"/>
    <w:rsid w:val="001F7FE6"/>
    <w:rsid w:val="002007A0"/>
    <w:rsid w:val="002010D1"/>
    <w:rsid w:val="00203370"/>
    <w:rsid w:val="00203F0F"/>
    <w:rsid w:val="00204294"/>
    <w:rsid w:val="00205DD5"/>
    <w:rsid w:val="002104F2"/>
    <w:rsid w:val="002144E5"/>
    <w:rsid w:val="002169C8"/>
    <w:rsid w:val="00223D98"/>
    <w:rsid w:val="00226408"/>
    <w:rsid w:val="0023232A"/>
    <w:rsid w:val="002350A6"/>
    <w:rsid w:val="002437ED"/>
    <w:rsid w:val="00244667"/>
    <w:rsid w:val="002635F5"/>
    <w:rsid w:val="00263BAF"/>
    <w:rsid w:val="00272DAE"/>
    <w:rsid w:val="002767A0"/>
    <w:rsid w:val="0027718E"/>
    <w:rsid w:val="00281D9F"/>
    <w:rsid w:val="00285F79"/>
    <w:rsid w:val="00290A80"/>
    <w:rsid w:val="00291356"/>
    <w:rsid w:val="002930A9"/>
    <w:rsid w:val="00295843"/>
    <w:rsid w:val="00296D08"/>
    <w:rsid w:val="00297565"/>
    <w:rsid w:val="002B2B65"/>
    <w:rsid w:val="002B324A"/>
    <w:rsid w:val="002B5D33"/>
    <w:rsid w:val="002C0E30"/>
    <w:rsid w:val="002C0FD1"/>
    <w:rsid w:val="002C4191"/>
    <w:rsid w:val="002C4578"/>
    <w:rsid w:val="002D2482"/>
    <w:rsid w:val="002D3860"/>
    <w:rsid w:val="002D7BF9"/>
    <w:rsid w:val="002E7A53"/>
    <w:rsid w:val="002F1DB6"/>
    <w:rsid w:val="002F20EA"/>
    <w:rsid w:val="003015FB"/>
    <w:rsid w:val="00303E5E"/>
    <w:rsid w:val="0030598A"/>
    <w:rsid w:val="00310B18"/>
    <w:rsid w:val="00311402"/>
    <w:rsid w:val="0031585E"/>
    <w:rsid w:val="00315B52"/>
    <w:rsid w:val="00325D79"/>
    <w:rsid w:val="003263E8"/>
    <w:rsid w:val="003268DA"/>
    <w:rsid w:val="00330343"/>
    <w:rsid w:val="00330CCE"/>
    <w:rsid w:val="00333020"/>
    <w:rsid w:val="0033434C"/>
    <w:rsid w:val="00334A44"/>
    <w:rsid w:val="00336392"/>
    <w:rsid w:val="00337361"/>
    <w:rsid w:val="003378CC"/>
    <w:rsid w:val="00337AFB"/>
    <w:rsid w:val="00341EB2"/>
    <w:rsid w:val="00342041"/>
    <w:rsid w:val="00343477"/>
    <w:rsid w:val="003468DC"/>
    <w:rsid w:val="00350956"/>
    <w:rsid w:val="00352EE9"/>
    <w:rsid w:val="00355CB5"/>
    <w:rsid w:val="0035656E"/>
    <w:rsid w:val="00357322"/>
    <w:rsid w:val="00357C86"/>
    <w:rsid w:val="00357D67"/>
    <w:rsid w:val="003627CA"/>
    <w:rsid w:val="00366AAB"/>
    <w:rsid w:val="003671E6"/>
    <w:rsid w:val="00367D71"/>
    <w:rsid w:val="00373DE3"/>
    <w:rsid w:val="00384DBC"/>
    <w:rsid w:val="003866A3"/>
    <w:rsid w:val="00391E20"/>
    <w:rsid w:val="00394101"/>
    <w:rsid w:val="0039425D"/>
    <w:rsid w:val="00394A8F"/>
    <w:rsid w:val="0039728C"/>
    <w:rsid w:val="003A17D5"/>
    <w:rsid w:val="003A7522"/>
    <w:rsid w:val="003B1ED0"/>
    <w:rsid w:val="003B3AC6"/>
    <w:rsid w:val="003B3F76"/>
    <w:rsid w:val="003B62B2"/>
    <w:rsid w:val="003C0777"/>
    <w:rsid w:val="003C492F"/>
    <w:rsid w:val="003C6D03"/>
    <w:rsid w:val="003D5CFC"/>
    <w:rsid w:val="003E202E"/>
    <w:rsid w:val="003F263A"/>
    <w:rsid w:val="003F2B10"/>
    <w:rsid w:val="004025B2"/>
    <w:rsid w:val="00405EA2"/>
    <w:rsid w:val="0040663C"/>
    <w:rsid w:val="0041019C"/>
    <w:rsid w:val="00413B87"/>
    <w:rsid w:val="00414A6D"/>
    <w:rsid w:val="0042608D"/>
    <w:rsid w:val="0042653F"/>
    <w:rsid w:val="00427E4E"/>
    <w:rsid w:val="00430F31"/>
    <w:rsid w:val="0043781F"/>
    <w:rsid w:val="00437B43"/>
    <w:rsid w:val="00440796"/>
    <w:rsid w:val="00440BD9"/>
    <w:rsid w:val="00441F69"/>
    <w:rsid w:val="0044303D"/>
    <w:rsid w:val="00446CCD"/>
    <w:rsid w:val="00452711"/>
    <w:rsid w:val="004541F6"/>
    <w:rsid w:val="00461914"/>
    <w:rsid w:val="004628F2"/>
    <w:rsid w:val="00463B32"/>
    <w:rsid w:val="00464B45"/>
    <w:rsid w:val="00464FA7"/>
    <w:rsid w:val="00470009"/>
    <w:rsid w:val="00471EE5"/>
    <w:rsid w:val="0048149C"/>
    <w:rsid w:val="004861C8"/>
    <w:rsid w:val="00486AB5"/>
    <w:rsid w:val="00490B11"/>
    <w:rsid w:val="00492688"/>
    <w:rsid w:val="00496B90"/>
    <w:rsid w:val="004A2C00"/>
    <w:rsid w:val="004A4B3B"/>
    <w:rsid w:val="004A5586"/>
    <w:rsid w:val="004B6087"/>
    <w:rsid w:val="004B623D"/>
    <w:rsid w:val="004C1B8D"/>
    <w:rsid w:val="004D3105"/>
    <w:rsid w:val="004D6B8D"/>
    <w:rsid w:val="004E07B0"/>
    <w:rsid w:val="004E0E90"/>
    <w:rsid w:val="004E1756"/>
    <w:rsid w:val="004E1BD8"/>
    <w:rsid w:val="004E56CD"/>
    <w:rsid w:val="004F2E1B"/>
    <w:rsid w:val="004F410F"/>
    <w:rsid w:val="004F5246"/>
    <w:rsid w:val="004F7F6B"/>
    <w:rsid w:val="00500D5C"/>
    <w:rsid w:val="00510108"/>
    <w:rsid w:val="005127C0"/>
    <w:rsid w:val="005128A4"/>
    <w:rsid w:val="0052042C"/>
    <w:rsid w:val="00524E65"/>
    <w:rsid w:val="0053062B"/>
    <w:rsid w:val="005321F3"/>
    <w:rsid w:val="00534C55"/>
    <w:rsid w:val="005411DC"/>
    <w:rsid w:val="005426A0"/>
    <w:rsid w:val="00550659"/>
    <w:rsid w:val="005526EA"/>
    <w:rsid w:val="00552BAA"/>
    <w:rsid w:val="00563FEF"/>
    <w:rsid w:val="005655BF"/>
    <w:rsid w:val="00566AF8"/>
    <w:rsid w:val="00567C72"/>
    <w:rsid w:val="00570958"/>
    <w:rsid w:val="00572733"/>
    <w:rsid w:val="00574797"/>
    <w:rsid w:val="00576004"/>
    <w:rsid w:val="005774F7"/>
    <w:rsid w:val="0058292D"/>
    <w:rsid w:val="00582D4E"/>
    <w:rsid w:val="00590619"/>
    <w:rsid w:val="00591059"/>
    <w:rsid w:val="00597F92"/>
    <w:rsid w:val="005A5304"/>
    <w:rsid w:val="005A53BC"/>
    <w:rsid w:val="005A6C75"/>
    <w:rsid w:val="005A753B"/>
    <w:rsid w:val="005C093C"/>
    <w:rsid w:val="005C1A65"/>
    <w:rsid w:val="005C4DC7"/>
    <w:rsid w:val="005C5070"/>
    <w:rsid w:val="005C6BF3"/>
    <w:rsid w:val="005D186D"/>
    <w:rsid w:val="005D2701"/>
    <w:rsid w:val="005D320C"/>
    <w:rsid w:val="005D374C"/>
    <w:rsid w:val="005E7134"/>
    <w:rsid w:val="005F484B"/>
    <w:rsid w:val="006012B4"/>
    <w:rsid w:val="00603BBD"/>
    <w:rsid w:val="006046F1"/>
    <w:rsid w:val="00631A7F"/>
    <w:rsid w:val="00631D95"/>
    <w:rsid w:val="00633B20"/>
    <w:rsid w:val="00636546"/>
    <w:rsid w:val="00650133"/>
    <w:rsid w:val="00652A3A"/>
    <w:rsid w:val="00661A74"/>
    <w:rsid w:val="006664CE"/>
    <w:rsid w:val="00672F44"/>
    <w:rsid w:val="00682736"/>
    <w:rsid w:val="0068789E"/>
    <w:rsid w:val="006902F2"/>
    <w:rsid w:val="00694E17"/>
    <w:rsid w:val="006A3A84"/>
    <w:rsid w:val="006A474F"/>
    <w:rsid w:val="006A5399"/>
    <w:rsid w:val="006A7991"/>
    <w:rsid w:val="006B7DB7"/>
    <w:rsid w:val="006C3B2C"/>
    <w:rsid w:val="006C6F06"/>
    <w:rsid w:val="006D1017"/>
    <w:rsid w:val="006D12CB"/>
    <w:rsid w:val="006D16DB"/>
    <w:rsid w:val="006D1AAB"/>
    <w:rsid w:val="006D79A5"/>
    <w:rsid w:val="006E1CE2"/>
    <w:rsid w:val="006E304F"/>
    <w:rsid w:val="006E695C"/>
    <w:rsid w:val="006F0CEC"/>
    <w:rsid w:val="006F1DB7"/>
    <w:rsid w:val="006F1FB9"/>
    <w:rsid w:val="006F4379"/>
    <w:rsid w:val="00700985"/>
    <w:rsid w:val="00703675"/>
    <w:rsid w:val="00707F37"/>
    <w:rsid w:val="00711DDB"/>
    <w:rsid w:val="00717DB2"/>
    <w:rsid w:val="007207A7"/>
    <w:rsid w:val="00721270"/>
    <w:rsid w:val="007234B4"/>
    <w:rsid w:val="00724467"/>
    <w:rsid w:val="00725B60"/>
    <w:rsid w:val="0072621C"/>
    <w:rsid w:val="00727634"/>
    <w:rsid w:val="00731DB8"/>
    <w:rsid w:val="00732A44"/>
    <w:rsid w:val="00733D0E"/>
    <w:rsid w:val="0073439F"/>
    <w:rsid w:val="007379AD"/>
    <w:rsid w:val="00740640"/>
    <w:rsid w:val="00744660"/>
    <w:rsid w:val="00745594"/>
    <w:rsid w:val="007476AB"/>
    <w:rsid w:val="00751472"/>
    <w:rsid w:val="0075291D"/>
    <w:rsid w:val="00754BC1"/>
    <w:rsid w:val="007572A6"/>
    <w:rsid w:val="00763059"/>
    <w:rsid w:val="00763256"/>
    <w:rsid w:val="00767EAF"/>
    <w:rsid w:val="00770DFC"/>
    <w:rsid w:val="00775983"/>
    <w:rsid w:val="00775BEA"/>
    <w:rsid w:val="00780EB7"/>
    <w:rsid w:val="00781045"/>
    <w:rsid w:val="00784253"/>
    <w:rsid w:val="00784795"/>
    <w:rsid w:val="00785A4B"/>
    <w:rsid w:val="007924BB"/>
    <w:rsid w:val="00792A9D"/>
    <w:rsid w:val="007967A8"/>
    <w:rsid w:val="007A24EB"/>
    <w:rsid w:val="007A3B51"/>
    <w:rsid w:val="007A4202"/>
    <w:rsid w:val="007C06F1"/>
    <w:rsid w:val="007C10DB"/>
    <w:rsid w:val="007C3AFE"/>
    <w:rsid w:val="007C4A62"/>
    <w:rsid w:val="007D78F1"/>
    <w:rsid w:val="007E1DDC"/>
    <w:rsid w:val="007E2F5F"/>
    <w:rsid w:val="007F4369"/>
    <w:rsid w:val="007F7C84"/>
    <w:rsid w:val="0080081C"/>
    <w:rsid w:val="008072E8"/>
    <w:rsid w:val="00810094"/>
    <w:rsid w:val="0081032E"/>
    <w:rsid w:val="00814EFD"/>
    <w:rsid w:val="0081604E"/>
    <w:rsid w:val="008160A9"/>
    <w:rsid w:val="00822A95"/>
    <w:rsid w:val="00823F91"/>
    <w:rsid w:val="0082469D"/>
    <w:rsid w:val="0082620B"/>
    <w:rsid w:val="0083113C"/>
    <w:rsid w:val="008521D8"/>
    <w:rsid w:val="008559E3"/>
    <w:rsid w:val="00860581"/>
    <w:rsid w:val="0086315C"/>
    <w:rsid w:val="008631E8"/>
    <w:rsid w:val="008645EC"/>
    <w:rsid w:val="0087128A"/>
    <w:rsid w:val="00880889"/>
    <w:rsid w:val="00882A43"/>
    <w:rsid w:val="00893324"/>
    <w:rsid w:val="008A1100"/>
    <w:rsid w:val="008A11F7"/>
    <w:rsid w:val="008A30E0"/>
    <w:rsid w:val="008A4B8A"/>
    <w:rsid w:val="008A61E9"/>
    <w:rsid w:val="008B0EB0"/>
    <w:rsid w:val="008B200B"/>
    <w:rsid w:val="008B2125"/>
    <w:rsid w:val="008B60B2"/>
    <w:rsid w:val="008C0E4B"/>
    <w:rsid w:val="008C164C"/>
    <w:rsid w:val="008C426A"/>
    <w:rsid w:val="008C5D1A"/>
    <w:rsid w:val="008C7E71"/>
    <w:rsid w:val="008D05B1"/>
    <w:rsid w:val="008D2CE4"/>
    <w:rsid w:val="008D352D"/>
    <w:rsid w:val="008D51FC"/>
    <w:rsid w:val="008D534F"/>
    <w:rsid w:val="008D63BC"/>
    <w:rsid w:val="008E10D9"/>
    <w:rsid w:val="008E1315"/>
    <w:rsid w:val="008E1A55"/>
    <w:rsid w:val="008E61F7"/>
    <w:rsid w:val="008E6A3D"/>
    <w:rsid w:val="008F1D7A"/>
    <w:rsid w:val="008F3239"/>
    <w:rsid w:val="008F5658"/>
    <w:rsid w:val="00904EF4"/>
    <w:rsid w:val="00907842"/>
    <w:rsid w:val="009146C3"/>
    <w:rsid w:val="00915E40"/>
    <w:rsid w:val="00920C1B"/>
    <w:rsid w:val="009425F7"/>
    <w:rsid w:val="00953F4A"/>
    <w:rsid w:val="00955E15"/>
    <w:rsid w:val="009564E5"/>
    <w:rsid w:val="00957CA3"/>
    <w:rsid w:val="009620C5"/>
    <w:rsid w:val="00975B48"/>
    <w:rsid w:val="00975FF8"/>
    <w:rsid w:val="009817BF"/>
    <w:rsid w:val="00984437"/>
    <w:rsid w:val="00986998"/>
    <w:rsid w:val="00993FF2"/>
    <w:rsid w:val="009A0C5F"/>
    <w:rsid w:val="009A2E08"/>
    <w:rsid w:val="009A398C"/>
    <w:rsid w:val="009B1246"/>
    <w:rsid w:val="009B1D37"/>
    <w:rsid w:val="009B5F3B"/>
    <w:rsid w:val="009C450D"/>
    <w:rsid w:val="009C549F"/>
    <w:rsid w:val="009C632B"/>
    <w:rsid w:val="009D11EE"/>
    <w:rsid w:val="009D1544"/>
    <w:rsid w:val="009E6F01"/>
    <w:rsid w:val="009F2CD2"/>
    <w:rsid w:val="009F4CAF"/>
    <w:rsid w:val="009F5304"/>
    <w:rsid w:val="009F67E7"/>
    <w:rsid w:val="009F76A6"/>
    <w:rsid w:val="009F782D"/>
    <w:rsid w:val="00A03CB2"/>
    <w:rsid w:val="00A11E23"/>
    <w:rsid w:val="00A1259A"/>
    <w:rsid w:val="00A140F3"/>
    <w:rsid w:val="00A151EB"/>
    <w:rsid w:val="00A15627"/>
    <w:rsid w:val="00A158E8"/>
    <w:rsid w:val="00A17A20"/>
    <w:rsid w:val="00A266C9"/>
    <w:rsid w:val="00A30897"/>
    <w:rsid w:val="00A3183F"/>
    <w:rsid w:val="00A31E72"/>
    <w:rsid w:val="00A465AA"/>
    <w:rsid w:val="00A46954"/>
    <w:rsid w:val="00A52CA8"/>
    <w:rsid w:val="00A53434"/>
    <w:rsid w:val="00A55EA0"/>
    <w:rsid w:val="00A565EC"/>
    <w:rsid w:val="00A63984"/>
    <w:rsid w:val="00A65C30"/>
    <w:rsid w:val="00A7356C"/>
    <w:rsid w:val="00A75540"/>
    <w:rsid w:val="00A8335A"/>
    <w:rsid w:val="00A84152"/>
    <w:rsid w:val="00A900C0"/>
    <w:rsid w:val="00A91A45"/>
    <w:rsid w:val="00A942CB"/>
    <w:rsid w:val="00A94A2C"/>
    <w:rsid w:val="00AA0310"/>
    <w:rsid w:val="00AB4C4D"/>
    <w:rsid w:val="00AB6E54"/>
    <w:rsid w:val="00AC0142"/>
    <w:rsid w:val="00AC0B40"/>
    <w:rsid w:val="00AC154F"/>
    <w:rsid w:val="00AC4429"/>
    <w:rsid w:val="00AC48BD"/>
    <w:rsid w:val="00AC4F42"/>
    <w:rsid w:val="00AC688E"/>
    <w:rsid w:val="00AC6A8F"/>
    <w:rsid w:val="00AE03D0"/>
    <w:rsid w:val="00AE2CA3"/>
    <w:rsid w:val="00AE4556"/>
    <w:rsid w:val="00AE4D59"/>
    <w:rsid w:val="00AF2D70"/>
    <w:rsid w:val="00AF3069"/>
    <w:rsid w:val="00B002B0"/>
    <w:rsid w:val="00B025E3"/>
    <w:rsid w:val="00B10232"/>
    <w:rsid w:val="00B12F1C"/>
    <w:rsid w:val="00B17353"/>
    <w:rsid w:val="00B204B0"/>
    <w:rsid w:val="00B2184F"/>
    <w:rsid w:val="00B22953"/>
    <w:rsid w:val="00B23550"/>
    <w:rsid w:val="00B24263"/>
    <w:rsid w:val="00B25C67"/>
    <w:rsid w:val="00B31020"/>
    <w:rsid w:val="00B3167E"/>
    <w:rsid w:val="00B32F0D"/>
    <w:rsid w:val="00B34A11"/>
    <w:rsid w:val="00B40CB6"/>
    <w:rsid w:val="00B41409"/>
    <w:rsid w:val="00B41EF5"/>
    <w:rsid w:val="00B4657D"/>
    <w:rsid w:val="00B5153C"/>
    <w:rsid w:val="00B5380C"/>
    <w:rsid w:val="00B54574"/>
    <w:rsid w:val="00B546CD"/>
    <w:rsid w:val="00B55032"/>
    <w:rsid w:val="00B55730"/>
    <w:rsid w:val="00B66253"/>
    <w:rsid w:val="00B66B7E"/>
    <w:rsid w:val="00B70D88"/>
    <w:rsid w:val="00B736B3"/>
    <w:rsid w:val="00B77F08"/>
    <w:rsid w:val="00B8023D"/>
    <w:rsid w:val="00B83F21"/>
    <w:rsid w:val="00B84C4D"/>
    <w:rsid w:val="00B873E2"/>
    <w:rsid w:val="00B92ACE"/>
    <w:rsid w:val="00B93FEE"/>
    <w:rsid w:val="00B97560"/>
    <w:rsid w:val="00BA0CD5"/>
    <w:rsid w:val="00BA4DDF"/>
    <w:rsid w:val="00BA720C"/>
    <w:rsid w:val="00BB2F39"/>
    <w:rsid w:val="00BB391E"/>
    <w:rsid w:val="00BB6CC1"/>
    <w:rsid w:val="00BC00B4"/>
    <w:rsid w:val="00BC0F5D"/>
    <w:rsid w:val="00BC67A3"/>
    <w:rsid w:val="00BD58F6"/>
    <w:rsid w:val="00BE05D8"/>
    <w:rsid w:val="00BE19D1"/>
    <w:rsid w:val="00BE1F38"/>
    <w:rsid w:val="00BE33AD"/>
    <w:rsid w:val="00BE4044"/>
    <w:rsid w:val="00BE4C3B"/>
    <w:rsid w:val="00BF0916"/>
    <w:rsid w:val="00BF6332"/>
    <w:rsid w:val="00C10967"/>
    <w:rsid w:val="00C14173"/>
    <w:rsid w:val="00C15A1E"/>
    <w:rsid w:val="00C15C11"/>
    <w:rsid w:val="00C16F39"/>
    <w:rsid w:val="00C23B97"/>
    <w:rsid w:val="00C24AD4"/>
    <w:rsid w:val="00C251B9"/>
    <w:rsid w:val="00C35556"/>
    <w:rsid w:val="00C359FB"/>
    <w:rsid w:val="00C41F4C"/>
    <w:rsid w:val="00C44F8C"/>
    <w:rsid w:val="00C52023"/>
    <w:rsid w:val="00C52E14"/>
    <w:rsid w:val="00C551D0"/>
    <w:rsid w:val="00C56142"/>
    <w:rsid w:val="00C656B0"/>
    <w:rsid w:val="00C6625E"/>
    <w:rsid w:val="00C70F91"/>
    <w:rsid w:val="00C736F4"/>
    <w:rsid w:val="00C74918"/>
    <w:rsid w:val="00C75886"/>
    <w:rsid w:val="00C858D3"/>
    <w:rsid w:val="00C85A18"/>
    <w:rsid w:val="00C92DE4"/>
    <w:rsid w:val="00C93ADE"/>
    <w:rsid w:val="00CA0423"/>
    <w:rsid w:val="00CA471C"/>
    <w:rsid w:val="00CA7CD9"/>
    <w:rsid w:val="00CC2963"/>
    <w:rsid w:val="00CD4F0F"/>
    <w:rsid w:val="00CD6A71"/>
    <w:rsid w:val="00CD7493"/>
    <w:rsid w:val="00CD7E0C"/>
    <w:rsid w:val="00CF4A87"/>
    <w:rsid w:val="00CF5D8B"/>
    <w:rsid w:val="00CF5F49"/>
    <w:rsid w:val="00D0264B"/>
    <w:rsid w:val="00D0409C"/>
    <w:rsid w:val="00D0570C"/>
    <w:rsid w:val="00D05A62"/>
    <w:rsid w:val="00D1001C"/>
    <w:rsid w:val="00D22779"/>
    <w:rsid w:val="00D22DF4"/>
    <w:rsid w:val="00D43478"/>
    <w:rsid w:val="00D45CCE"/>
    <w:rsid w:val="00D5039A"/>
    <w:rsid w:val="00D51451"/>
    <w:rsid w:val="00D530EF"/>
    <w:rsid w:val="00D57687"/>
    <w:rsid w:val="00D63D8A"/>
    <w:rsid w:val="00D63DBF"/>
    <w:rsid w:val="00D70CD4"/>
    <w:rsid w:val="00D710E3"/>
    <w:rsid w:val="00D76AA1"/>
    <w:rsid w:val="00D830C3"/>
    <w:rsid w:val="00D84815"/>
    <w:rsid w:val="00D9273D"/>
    <w:rsid w:val="00D9544C"/>
    <w:rsid w:val="00DA3EAE"/>
    <w:rsid w:val="00DA725C"/>
    <w:rsid w:val="00DB6580"/>
    <w:rsid w:val="00DB66EE"/>
    <w:rsid w:val="00DC0AD8"/>
    <w:rsid w:val="00DC6F6F"/>
    <w:rsid w:val="00DD0B3F"/>
    <w:rsid w:val="00DD2858"/>
    <w:rsid w:val="00DD470C"/>
    <w:rsid w:val="00DD4859"/>
    <w:rsid w:val="00DD74F2"/>
    <w:rsid w:val="00DE2A55"/>
    <w:rsid w:val="00DE2DA7"/>
    <w:rsid w:val="00DE60C4"/>
    <w:rsid w:val="00DF3EB5"/>
    <w:rsid w:val="00DF5A4A"/>
    <w:rsid w:val="00DF619E"/>
    <w:rsid w:val="00E02379"/>
    <w:rsid w:val="00E10A6C"/>
    <w:rsid w:val="00E11A95"/>
    <w:rsid w:val="00E17ED9"/>
    <w:rsid w:val="00E24342"/>
    <w:rsid w:val="00E2600F"/>
    <w:rsid w:val="00E2614C"/>
    <w:rsid w:val="00E303B8"/>
    <w:rsid w:val="00E32C79"/>
    <w:rsid w:val="00E34E6F"/>
    <w:rsid w:val="00E35E58"/>
    <w:rsid w:val="00E3663F"/>
    <w:rsid w:val="00E40390"/>
    <w:rsid w:val="00E41EA3"/>
    <w:rsid w:val="00E4206D"/>
    <w:rsid w:val="00E43D6F"/>
    <w:rsid w:val="00E50EB7"/>
    <w:rsid w:val="00E52088"/>
    <w:rsid w:val="00E52EF5"/>
    <w:rsid w:val="00E61B6E"/>
    <w:rsid w:val="00E67B58"/>
    <w:rsid w:val="00E753D0"/>
    <w:rsid w:val="00E80538"/>
    <w:rsid w:val="00E82603"/>
    <w:rsid w:val="00E8318F"/>
    <w:rsid w:val="00E8613F"/>
    <w:rsid w:val="00E92705"/>
    <w:rsid w:val="00E93A8E"/>
    <w:rsid w:val="00E9526D"/>
    <w:rsid w:val="00E979BF"/>
    <w:rsid w:val="00EA507E"/>
    <w:rsid w:val="00EA6296"/>
    <w:rsid w:val="00EB1E0A"/>
    <w:rsid w:val="00EB2087"/>
    <w:rsid w:val="00EB4F09"/>
    <w:rsid w:val="00EB67AB"/>
    <w:rsid w:val="00EC4DAA"/>
    <w:rsid w:val="00ED11CC"/>
    <w:rsid w:val="00ED19D2"/>
    <w:rsid w:val="00ED42E5"/>
    <w:rsid w:val="00ED774B"/>
    <w:rsid w:val="00EE2395"/>
    <w:rsid w:val="00EE4FAD"/>
    <w:rsid w:val="00EF2E8E"/>
    <w:rsid w:val="00EF647F"/>
    <w:rsid w:val="00F0323D"/>
    <w:rsid w:val="00F038C5"/>
    <w:rsid w:val="00F03DF3"/>
    <w:rsid w:val="00F06CFD"/>
    <w:rsid w:val="00F146A7"/>
    <w:rsid w:val="00F15859"/>
    <w:rsid w:val="00F24BA3"/>
    <w:rsid w:val="00F268C1"/>
    <w:rsid w:val="00F51B60"/>
    <w:rsid w:val="00F52AE9"/>
    <w:rsid w:val="00F55ECD"/>
    <w:rsid w:val="00F63055"/>
    <w:rsid w:val="00F632C3"/>
    <w:rsid w:val="00F6345A"/>
    <w:rsid w:val="00F70787"/>
    <w:rsid w:val="00F71AA6"/>
    <w:rsid w:val="00F721B8"/>
    <w:rsid w:val="00F76C6C"/>
    <w:rsid w:val="00F77BA1"/>
    <w:rsid w:val="00F8184E"/>
    <w:rsid w:val="00F83B7E"/>
    <w:rsid w:val="00F86533"/>
    <w:rsid w:val="00F92361"/>
    <w:rsid w:val="00F93D0D"/>
    <w:rsid w:val="00F94616"/>
    <w:rsid w:val="00F94C15"/>
    <w:rsid w:val="00F95673"/>
    <w:rsid w:val="00FA54F5"/>
    <w:rsid w:val="00FB4D47"/>
    <w:rsid w:val="00FB606C"/>
    <w:rsid w:val="00FB61DC"/>
    <w:rsid w:val="00FB6308"/>
    <w:rsid w:val="00FC193A"/>
    <w:rsid w:val="00FC2D5A"/>
    <w:rsid w:val="00FC3500"/>
    <w:rsid w:val="00FC513D"/>
    <w:rsid w:val="00FC7A12"/>
    <w:rsid w:val="00FD1347"/>
    <w:rsid w:val="00FD2A07"/>
    <w:rsid w:val="00FD30D0"/>
    <w:rsid w:val="00FD4538"/>
    <w:rsid w:val="00FD7E15"/>
    <w:rsid w:val="00FE1F1F"/>
    <w:rsid w:val="00FF18E1"/>
    <w:rsid w:val="00FF539A"/>
    <w:rsid w:val="00FF7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775BEA"/>
    <w:pPr>
      <w:keepNext/>
      <w:spacing w:after="0" w:line="360" w:lineRule="auto"/>
      <w:jc w:val="center"/>
      <w:outlineLvl w:val="7"/>
    </w:pPr>
    <w:rPr>
      <w:rFonts w:ascii="Times New Roman" w:eastAsia="Times New Roman" w:hAnsi="Times New Roman" w:cs="Times New Roman"/>
      <w:b/>
      <w:sz w:val="28"/>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7A3"/>
    <w:rPr>
      <w:rFonts w:ascii="Tahoma" w:hAnsi="Tahoma" w:cs="Tahoma"/>
      <w:sz w:val="16"/>
      <w:szCs w:val="16"/>
    </w:rPr>
  </w:style>
  <w:style w:type="paragraph" w:styleId="FootnoteText">
    <w:name w:val="footnote text"/>
    <w:basedOn w:val="Normal"/>
    <w:link w:val="FootnoteTextChar"/>
    <w:uiPriority w:val="99"/>
    <w:unhideWhenUsed/>
    <w:rsid w:val="00101B6C"/>
    <w:pPr>
      <w:spacing w:after="0" w:line="240" w:lineRule="auto"/>
    </w:pPr>
    <w:rPr>
      <w:sz w:val="20"/>
      <w:szCs w:val="20"/>
    </w:rPr>
  </w:style>
  <w:style w:type="character" w:customStyle="1" w:styleId="FootnoteTextChar">
    <w:name w:val="Footnote Text Char"/>
    <w:basedOn w:val="DefaultParagraphFont"/>
    <w:link w:val="FootnoteText"/>
    <w:uiPriority w:val="99"/>
    <w:rsid w:val="00101B6C"/>
    <w:rPr>
      <w:sz w:val="20"/>
      <w:szCs w:val="20"/>
    </w:rPr>
  </w:style>
  <w:style w:type="character" w:styleId="FootnoteReference">
    <w:name w:val="footnote reference"/>
    <w:basedOn w:val="DefaultParagraphFont"/>
    <w:uiPriority w:val="99"/>
    <w:semiHidden/>
    <w:unhideWhenUsed/>
    <w:rsid w:val="00101B6C"/>
    <w:rPr>
      <w:vertAlign w:val="superscript"/>
    </w:rPr>
  </w:style>
  <w:style w:type="paragraph" w:customStyle="1" w:styleId="Default">
    <w:name w:val="Default"/>
    <w:rsid w:val="00B546CD"/>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44303D"/>
    <w:rPr>
      <w:sz w:val="16"/>
      <w:szCs w:val="16"/>
    </w:rPr>
  </w:style>
  <w:style w:type="paragraph" w:styleId="CommentText">
    <w:name w:val="annotation text"/>
    <w:basedOn w:val="Normal"/>
    <w:link w:val="CommentTextChar"/>
    <w:uiPriority w:val="99"/>
    <w:semiHidden/>
    <w:unhideWhenUsed/>
    <w:rsid w:val="0044303D"/>
    <w:pPr>
      <w:spacing w:line="240" w:lineRule="auto"/>
    </w:pPr>
    <w:rPr>
      <w:sz w:val="20"/>
      <w:szCs w:val="20"/>
    </w:rPr>
  </w:style>
  <w:style w:type="character" w:customStyle="1" w:styleId="CommentTextChar">
    <w:name w:val="Comment Text Char"/>
    <w:basedOn w:val="DefaultParagraphFont"/>
    <w:link w:val="CommentText"/>
    <w:uiPriority w:val="99"/>
    <w:semiHidden/>
    <w:rsid w:val="0044303D"/>
    <w:rPr>
      <w:sz w:val="20"/>
      <w:szCs w:val="20"/>
    </w:rPr>
  </w:style>
  <w:style w:type="paragraph" w:styleId="CommentSubject">
    <w:name w:val="annotation subject"/>
    <w:basedOn w:val="CommentText"/>
    <w:next w:val="CommentText"/>
    <w:link w:val="CommentSubjectChar"/>
    <w:uiPriority w:val="99"/>
    <w:semiHidden/>
    <w:unhideWhenUsed/>
    <w:rsid w:val="0044303D"/>
    <w:rPr>
      <w:b/>
      <w:bCs/>
    </w:rPr>
  </w:style>
  <w:style w:type="character" w:customStyle="1" w:styleId="CommentSubjectChar">
    <w:name w:val="Comment Subject Char"/>
    <w:basedOn w:val="CommentTextChar"/>
    <w:link w:val="CommentSubject"/>
    <w:uiPriority w:val="99"/>
    <w:semiHidden/>
    <w:rsid w:val="0044303D"/>
    <w:rPr>
      <w:b/>
      <w:bCs/>
      <w:sz w:val="20"/>
      <w:szCs w:val="20"/>
    </w:rPr>
  </w:style>
  <w:style w:type="paragraph" w:styleId="NormalWeb">
    <w:name w:val="Normal (Web)"/>
    <w:basedOn w:val="Normal"/>
    <w:uiPriority w:val="99"/>
    <w:semiHidden/>
    <w:unhideWhenUsed/>
    <w:rsid w:val="001E29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57CA3"/>
    <w:pPr>
      <w:ind w:left="720"/>
      <w:contextualSpacing/>
    </w:pPr>
  </w:style>
  <w:style w:type="character" w:customStyle="1" w:styleId="Heading8Char">
    <w:name w:val="Heading 8 Char"/>
    <w:basedOn w:val="DefaultParagraphFont"/>
    <w:link w:val="Heading8"/>
    <w:rsid w:val="00775BEA"/>
    <w:rPr>
      <w:rFonts w:ascii="Times New Roman" w:eastAsia="Times New Roman" w:hAnsi="Times New Roman" w:cs="Times New Roman"/>
      <w:b/>
      <w:sz w:val="28"/>
      <w:szCs w:val="20"/>
      <w:lang w:val="en-US" w:eastAsia="es-ES"/>
    </w:rPr>
  </w:style>
  <w:style w:type="character" w:styleId="Hyperlink">
    <w:name w:val="Hyperlink"/>
    <w:basedOn w:val="DefaultParagraphFont"/>
    <w:uiPriority w:val="99"/>
    <w:unhideWhenUsed/>
    <w:rsid w:val="003B3AC6"/>
    <w:rPr>
      <w:color w:val="0000FF"/>
      <w:u w:val="single"/>
    </w:rPr>
  </w:style>
  <w:style w:type="character" w:customStyle="1" w:styleId="apple-converted-space">
    <w:name w:val="apple-converted-space"/>
    <w:basedOn w:val="DefaultParagraphFont"/>
    <w:rsid w:val="00D0570C"/>
  </w:style>
  <w:style w:type="paragraph" w:styleId="Header">
    <w:name w:val="header"/>
    <w:basedOn w:val="Normal"/>
    <w:link w:val="HeaderChar"/>
    <w:uiPriority w:val="99"/>
    <w:semiHidden/>
    <w:unhideWhenUsed/>
    <w:rsid w:val="00EF2E8E"/>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EF2E8E"/>
  </w:style>
  <w:style w:type="paragraph" w:styleId="Footer">
    <w:name w:val="footer"/>
    <w:basedOn w:val="Normal"/>
    <w:link w:val="FooterChar"/>
    <w:uiPriority w:val="99"/>
    <w:unhideWhenUsed/>
    <w:rsid w:val="00EF2E8E"/>
    <w:pPr>
      <w:tabs>
        <w:tab w:val="center" w:pos="4252"/>
        <w:tab w:val="right" w:pos="8504"/>
      </w:tabs>
      <w:spacing w:after="0" w:line="240" w:lineRule="auto"/>
    </w:pPr>
  </w:style>
  <w:style w:type="character" w:customStyle="1" w:styleId="FooterChar">
    <w:name w:val="Footer Char"/>
    <w:basedOn w:val="DefaultParagraphFont"/>
    <w:link w:val="Footer"/>
    <w:uiPriority w:val="99"/>
    <w:rsid w:val="00EF2E8E"/>
  </w:style>
  <w:style w:type="table" w:customStyle="1" w:styleId="Listaclara1">
    <w:name w:val="Lista clara1"/>
    <w:basedOn w:val="TableNormal"/>
    <w:uiPriority w:val="61"/>
    <w:rsid w:val="006D16DB"/>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775BEA"/>
    <w:pPr>
      <w:keepNext/>
      <w:spacing w:after="0" w:line="360" w:lineRule="auto"/>
      <w:jc w:val="center"/>
      <w:outlineLvl w:val="7"/>
    </w:pPr>
    <w:rPr>
      <w:rFonts w:ascii="Times New Roman" w:eastAsia="Times New Roman" w:hAnsi="Times New Roman" w:cs="Times New Roman"/>
      <w:b/>
      <w:sz w:val="28"/>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7A3"/>
    <w:rPr>
      <w:rFonts w:ascii="Tahoma" w:hAnsi="Tahoma" w:cs="Tahoma"/>
      <w:sz w:val="16"/>
      <w:szCs w:val="16"/>
    </w:rPr>
  </w:style>
  <w:style w:type="paragraph" w:styleId="FootnoteText">
    <w:name w:val="footnote text"/>
    <w:basedOn w:val="Normal"/>
    <w:link w:val="FootnoteTextChar"/>
    <w:uiPriority w:val="99"/>
    <w:unhideWhenUsed/>
    <w:rsid w:val="00101B6C"/>
    <w:pPr>
      <w:spacing w:after="0" w:line="240" w:lineRule="auto"/>
    </w:pPr>
    <w:rPr>
      <w:sz w:val="20"/>
      <w:szCs w:val="20"/>
    </w:rPr>
  </w:style>
  <w:style w:type="character" w:customStyle="1" w:styleId="FootnoteTextChar">
    <w:name w:val="Footnote Text Char"/>
    <w:basedOn w:val="DefaultParagraphFont"/>
    <w:link w:val="FootnoteText"/>
    <w:uiPriority w:val="99"/>
    <w:rsid w:val="00101B6C"/>
    <w:rPr>
      <w:sz w:val="20"/>
      <w:szCs w:val="20"/>
    </w:rPr>
  </w:style>
  <w:style w:type="character" w:styleId="FootnoteReference">
    <w:name w:val="footnote reference"/>
    <w:basedOn w:val="DefaultParagraphFont"/>
    <w:uiPriority w:val="99"/>
    <w:semiHidden/>
    <w:unhideWhenUsed/>
    <w:rsid w:val="00101B6C"/>
    <w:rPr>
      <w:vertAlign w:val="superscript"/>
    </w:rPr>
  </w:style>
  <w:style w:type="paragraph" w:customStyle="1" w:styleId="Default">
    <w:name w:val="Default"/>
    <w:rsid w:val="00B546CD"/>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44303D"/>
    <w:rPr>
      <w:sz w:val="16"/>
      <w:szCs w:val="16"/>
    </w:rPr>
  </w:style>
  <w:style w:type="paragraph" w:styleId="CommentText">
    <w:name w:val="annotation text"/>
    <w:basedOn w:val="Normal"/>
    <w:link w:val="CommentTextChar"/>
    <w:uiPriority w:val="99"/>
    <w:semiHidden/>
    <w:unhideWhenUsed/>
    <w:rsid w:val="0044303D"/>
    <w:pPr>
      <w:spacing w:line="240" w:lineRule="auto"/>
    </w:pPr>
    <w:rPr>
      <w:sz w:val="20"/>
      <w:szCs w:val="20"/>
    </w:rPr>
  </w:style>
  <w:style w:type="character" w:customStyle="1" w:styleId="CommentTextChar">
    <w:name w:val="Comment Text Char"/>
    <w:basedOn w:val="DefaultParagraphFont"/>
    <w:link w:val="CommentText"/>
    <w:uiPriority w:val="99"/>
    <w:semiHidden/>
    <w:rsid w:val="0044303D"/>
    <w:rPr>
      <w:sz w:val="20"/>
      <w:szCs w:val="20"/>
    </w:rPr>
  </w:style>
  <w:style w:type="paragraph" w:styleId="CommentSubject">
    <w:name w:val="annotation subject"/>
    <w:basedOn w:val="CommentText"/>
    <w:next w:val="CommentText"/>
    <w:link w:val="CommentSubjectChar"/>
    <w:uiPriority w:val="99"/>
    <w:semiHidden/>
    <w:unhideWhenUsed/>
    <w:rsid w:val="0044303D"/>
    <w:rPr>
      <w:b/>
      <w:bCs/>
    </w:rPr>
  </w:style>
  <w:style w:type="character" w:customStyle="1" w:styleId="CommentSubjectChar">
    <w:name w:val="Comment Subject Char"/>
    <w:basedOn w:val="CommentTextChar"/>
    <w:link w:val="CommentSubject"/>
    <w:uiPriority w:val="99"/>
    <w:semiHidden/>
    <w:rsid w:val="0044303D"/>
    <w:rPr>
      <w:b/>
      <w:bCs/>
      <w:sz w:val="20"/>
      <w:szCs w:val="20"/>
    </w:rPr>
  </w:style>
  <w:style w:type="paragraph" w:styleId="NormalWeb">
    <w:name w:val="Normal (Web)"/>
    <w:basedOn w:val="Normal"/>
    <w:uiPriority w:val="99"/>
    <w:semiHidden/>
    <w:unhideWhenUsed/>
    <w:rsid w:val="001E29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57CA3"/>
    <w:pPr>
      <w:ind w:left="720"/>
      <w:contextualSpacing/>
    </w:pPr>
  </w:style>
  <w:style w:type="character" w:customStyle="1" w:styleId="Heading8Char">
    <w:name w:val="Heading 8 Char"/>
    <w:basedOn w:val="DefaultParagraphFont"/>
    <w:link w:val="Heading8"/>
    <w:rsid w:val="00775BEA"/>
    <w:rPr>
      <w:rFonts w:ascii="Times New Roman" w:eastAsia="Times New Roman" w:hAnsi="Times New Roman" w:cs="Times New Roman"/>
      <w:b/>
      <w:sz w:val="28"/>
      <w:szCs w:val="20"/>
      <w:lang w:val="en-US" w:eastAsia="es-ES"/>
    </w:rPr>
  </w:style>
  <w:style w:type="character" w:styleId="Hyperlink">
    <w:name w:val="Hyperlink"/>
    <w:basedOn w:val="DefaultParagraphFont"/>
    <w:uiPriority w:val="99"/>
    <w:unhideWhenUsed/>
    <w:rsid w:val="003B3AC6"/>
    <w:rPr>
      <w:color w:val="0000FF"/>
      <w:u w:val="single"/>
    </w:rPr>
  </w:style>
  <w:style w:type="character" w:customStyle="1" w:styleId="apple-converted-space">
    <w:name w:val="apple-converted-space"/>
    <w:basedOn w:val="DefaultParagraphFont"/>
    <w:rsid w:val="00D0570C"/>
  </w:style>
  <w:style w:type="paragraph" w:styleId="Header">
    <w:name w:val="header"/>
    <w:basedOn w:val="Normal"/>
    <w:link w:val="HeaderChar"/>
    <w:uiPriority w:val="99"/>
    <w:semiHidden/>
    <w:unhideWhenUsed/>
    <w:rsid w:val="00EF2E8E"/>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EF2E8E"/>
  </w:style>
  <w:style w:type="paragraph" w:styleId="Footer">
    <w:name w:val="footer"/>
    <w:basedOn w:val="Normal"/>
    <w:link w:val="FooterChar"/>
    <w:uiPriority w:val="99"/>
    <w:unhideWhenUsed/>
    <w:rsid w:val="00EF2E8E"/>
    <w:pPr>
      <w:tabs>
        <w:tab w:val="center" w:pos="4252"/>
        <w:tab w:val="right" w:pos="8504"/>
      </w:tabs>
      <w:spacing w:after="0" w:line="240" w:lineRule="auto"/>
    </w:pPr>
  </w:style>
  <w:style w:type="character" w:customStyle="1" w:styleId="FooterChar">
    <w:name w:val="Footer Char"/>
    <w:basedOn w:val="DefaultParagraphFont"/>
    <w:link w:val="Footer"/>
    <w:uiPriority w:val="99"/>
    <w:rsid w:val="00EF2E8E"/>
  </w:style>
  <w:style w:type="table" w:customStyle="1" w:styleId="Listaclara1">
    <w:name w:val="Lista clara1"/>
    <w:basedOn w:val="TableNormal"/>
    <w:uiPriority w:val="61"/>
    <w:rsid w:val="006D16DB"/>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3278">
      <w:bodyDiv w:val="1"/>
      <w:marLeft w:val="0"/>
      <w:marRight w:val="0"/>
      <w:marTop w:val="0"/>
      <w:marBottom w:val="0"/>
      <w:divBdr>
        <w:top w:val="none" w:sz="0" w:space="0" w:color="auto"/>
        <w:left w:val="none" w:sz="0" w:space="0" w:color="auto"/>
        <w:bottom w:val="none" w:sz="0" w:space="0" w:color="auto"/>
        <w:right w:val="none" w:sz="0" w:space="0" w:color="auto"/>
      </w:divBdr>
    </w:div>
    <w:div w:id="138811407">
      <w:bodyDiv w:val="1"/>
      <w:marLeft w:val="0"/>
      <w:marRight w:val="0"/>
      <w:marTop w:val="0"/>
      <w:marBottom w:val="0"/>
      <w:divBdr>
        <w:top w:val="none" w:sz="0" w:space="0" w:color="auto"/>
        <w:left w:val="none" w:sz="0" w:space="0" w:color="auto"/>
        <w:bottom w:val="none" w:sz="0" w:space="0" w:color="auto"/>
        <w:right w:val="none" w:sz="0" w:space="0" w:color="auto"/>
      </w:divBdr>
    </w:div>
    <w:div w:id="216552165">
      <w:bodyDiv w:val="1"/>
      <w:marLeft w:val="0"/>
      <w:marRight w:val="0"/>
      <w:marTop w:val="0"/>
      <w:marBottom w:val="0"/>
      <w:divBdr>
        <w:top w:val="none" w:sz="0" w:space="0" w:color="auto"/>
        <w:left w:val="none" w:sz="0" w:space="0" w:color="auto"/>
        <w:bottom w:val="none" w:sz="0" w:space="0" w:color="auto"/>
        <w:right w:val="none" w:sz="0" w:space="0" w:color="auto"/>
      </w:divBdr>
    </w:div>
    <w:div w:id="257249770">
      <w:bodyDiv w:val="1"/>
      <w:marLeft w:val="0"/>
      <w:marRight w:val="0"/>
      <w:marTop w:val="0"/>
      <w:marBottom w:val="0"/>
      <w:divBdr>
        <w:top w:val="none" w:sz="0" w:space="0" w:color="auto"/>
        <w:left w:val="none" w:sz="0" w:space="0" w:color="auto"/>
        <w:bottom w:val="none" w:sz="0" w:space="0" w:color="auto"/>
        <w:right w:val="none" w:sz="0" w:space="0" w:color="auto"/>
      </w:divBdr>
    </w:div>
    <w:div w:id="291982314">
      <w:bodyDiv w:val="1"/>
      <w:marLeft w:val="0"/>
      <w:marRight w:val="0"/>
      <w:marTop w:val="0"/>
      <w:marBottom w:val="0"/>
      <w:divBdr>
        <w:top w:val="none" w:sz="0" w:space="0" w:color="auto"/>
        <w:left w:val="none" w:sz="0" w:space="0" w:color="auto"/>
        <w:bottom w:val="none" w:sz="0" w:space="0" w:color="auto"/>
        <w:right w:val="none" w:sz="0" w:space="0" w:color="auto"/>
      </w:divBdr>
    </w:div>
    <w:div w:id="292444776">
      <w:bodyDiv w:val="1"/>
      <w:marLeft w:val="0"/>
      <w:marRight w:val="0"/>
      <w:marTop w:val="0"/>
      <w:marBottom w:val="0"/>
      <w:divBdr>
        <w:top w:val="none" w:sz="0" w:space="0" w:color="auto"/>
        <w:left w:val="none" w:sz="0" w:space="0" w:color="auto"/>
        <w:bottom w:val="none" w:sz="0" w:space="0" w:color="auto"/>
        <w:right w:val="none" w:sz="0" w:space="0" w:color="auto"/>
      </w:divBdr>
    </w:div>
    <w:div w:id="350378467">
      <w:bodyDiv w:val="1"/>
      <w:marLeft w:val="0"/>
      <w:marRight w:val="0"/>
      <w:marTop w:val="0"/>
      <w:marBottom w:val="0"/>
      <w:divBdr>
        <w:top w:val="none" w:sz="0" w:space="0" w:color="auto"/>
        <w:left w:val="none" w:sz="0" w:space="0" w:color="auto"/>
        <w:bottom w:val="none" w:sz="0" w:space="0" w:color="auto"/>
        <w:right w:val="none" w:sz="0" w:space="0" w:color="auto"/>
      </w:divBdr>
    </w:div>
    <w:div w:id="365519943">
      <w:bodyDiv w:val="1"/>
      <w:marLeft w:val="0"/>
      <w:marRight w:val="0"/>
      <w:marTop w:val="0"/>
      <w:marBottom w:val="0"/>
      <w:divBdr>
        <w:top w:val="none" w:sz="0" w:space="0" w:color="auto"/>
        <w:left w:val="none" w:sz="0" w:space="0" w:color="auto"/>
        <w:bottom w:val="none" w:sz="0" w:space="0" w:color="auto"/>
        <w:right w:val="none" w:sz="0" w:space="0" w:color="auto"/>
      </w:divBdr>
    </w:div>
    <w:div w:id="390202760">
      <w:bodyDiv w:val="1"/>
      <w:marLeft w:val="0"/>
      <w:marRight w:val="0"/>
      <w:marTop w:val="0"/>
      <w:marBottom w:val="0"/>
      <w:divBdr>
        <w:top w:val="none" w:sz="0" w:space="0" w:color="auto"/>
        <w:left w:val="none" w:sz="0" w:space="0" w:color="auto"/>
        <w:bottom w:val="none" w:sz="0" w:space="0" w:color="auto"/>
        <w:right w:val="none" w:sz="0" w:space="0" w:color="auto"/>
      </w:divBdr>
    </w:div>
    <w:div w:id="433088686">
      <w:bodyDiv w:val="1"/>
      <w:marLeft w:val="0"/>
      <w:marRight w:val="0"/>
      <w:marTop w:val="0"/>
      <w:marBottom w:val="0"/>
      <w:divBdr>
        <w:top w:val="none" w:sz="0" w:space="0" w:color="auto"/>
        <w:left w:val="none" w:sz="0" w:space="0" w:color="auto"/>
        <w:bottom w:val="none" w:sz="0" w:space="0" w:color="auto"/>
        <w:right w:val="none" w:sz="0" w:space="0" w:color="auto"/>
      </w:divBdr>
    </w:div>
    <w:div w:id="490758994">
      <w:bodyDiv w:val="1"/>
      <w:marLeft w:val="0"/>
      <w:marRight w:val="0"/>
      <w:marTop w:val="0"/>
      <w:marBottom w:val="0"/>
      <w:divBdr>
        <w:top w:val="none" w:sz="0" w:space="0" w:color="auto"/>
        <w:left w:val="none" w:sz="0" w:space="0" w:color="auto"/>
        <w:bottom w:val="none" w:sz="0" w:space="0" w:color="auto"/>
        <w:right w:val="none" w:sz="0" w:space="0" w:color="auto"/>
      </w:divBdr>
    </w:div>
    <w:div w:id="847018365">
      <w:bodyDiv w:val="1"/>
      <w:marLeft w:val="0"/>
      <w:marRight w:val="0"/>
      <w:marTop w:val="0"/>
      <w:marBottom w:val="0"/>
      <w:divBdr>
        <w:top w:val="none" w:sz="0" w:space="0" w:color="auto"/>
        <w:left w:val="none" w:sz="0" w:space="0" w:color="auto"/>
        <w:bottom w:val="none" w:sz="0" w:space="0" w:color="auto"/>
        <w:right w:val="none" w:sz="0" w:space="0" w:color="auto"/>
      </w:divBdr>
    </w:div>
    <w:div w:id="855457974">
      <w:bodyDiv w:val="1"/>
      <w:marLeft w:val="0"/>
      <w:marRight w:val="0"/>
      <w:marTop w:val="0"/>
      <w:marBottom w:val="0"/>
      <w:divBdr>
        <w:top w:val="none" w:sz="0" w:space="0" w:color="auto"/>
        <w:left w:val="none" w:sz="0" w:space="0" w:color="auto"/>
        <w:bottom w:val="none" w:sz="0" w:space="0" w:color="auto"/>
        <w:right w:val="none" w:sz="0" w:space="0" w:color="auto"/>
      </w:divBdr>
    </w:div>
    <w:div w:id="980960043">
      <w:bodyDiv w:val="1"/>
      <w:marLeft w:val="0"/>
      <w:marRight w:val="0"/>
      <w:marTop w:val="0"/>
      <w:marBottom w:val="0"/>
      <w:divBdr>
        <w:top w:val="none" w:sz="0" w:space="0" w:color="auto"/>
        <w:left w:val="none" w:sz="0" w:space="0" w:color="auto"/>
        <w:bottom w:val="none" w:sz="0" w:space="0" w:color="auto"/>
        <w:right w:val="none" w:sz="0" w:space="0" w:color="auto"/>
      </w:divBdr>
    </w:div>
    <w:div w:id="996223272">
      <w:bodyDiv w:val="1"/>
      <w:marLeft w:val="0"/>
      <w:marRight w:val="0"/>
      <w:marTop w:val="0"/>
      <w:marBottom w:val="0"/>
      <w:divBdr>
        <w:top w:val="none" w:sz="0" w:space="0" w:color="auto"/>
        <w:left w:val="none" w:sz="0" w:space="0" w:color="auto"/>
        <w:bottom w:val="none" w:sz="0" w:space="0" w:color="auto"/>
        <w:right w:val="none" w:sz="0" w:space="0" w:color="auto"/>
      </w:divBdr>
    </w:div>
    <w:div w:id="1117990463">
      <w:bodyDiv w:val="1"/>
      <w:marLeft w:val="0"/>
      <w:marRight w:val="0"/>
      <w:marTop w:val="0"/>
      <w:marBottom w:val="0"/>
      <w:divBdr>
        <w:top w:val="none" w:sz="0" w:space="0" w:color="auto"/>
        <w:left w:val="none" w:sz="0" w:space="0" w:color="auto"/>
        <w:bottom w:val="none" w:sz="0" w:space="0" w:color="auto"/>
        <w:right w:val="none" w:sz="0" w:space="0" w:color="auto"/>
      </w:divBdr>
    </w:div>
    <w:div w:id="1197500752">
      <w:bodyDiv w:val="1"/>
      <w:marLeft w:val="0"/>
      <w:marRight w:val="0"/>
      <w:marTop w:val="0"/>
      <w:marBottom w:val="0"/>
      <w:divBdr>
        <w:top w:val="none" w:sz="0" w:space="0" w:color="auto"/>
        <w:left w:val="none" w:sz="0" w:space="0" w:color="auto"/>
        <w:bottom w:val="none" w:sz="0" w:space="0" w:color="auto"/>
        <w:right w:val="none" w:sz="0" w:space="0" w:color="auto"/>
      </w:divBdr>
    </w:div>
    <w:div w:id="1198012055">
      <w:bodyDiv w:val="1"/>
      <w:marLeft w:val="0"/>
      <w:marRight w:val="0"/>
      <w:marTop w:val="0"/>
      <w:marBottom w:val="0"/>
      <w:divBdr>
        <w:top w:val="none" w:sz="0" w:space="0" w:color="auto"/>
        <w:left w:val="none" w:sz="0" w:space="0" w:color="auto"/>
        <w:bottom w:val="none" w:sz="0" w:space="0" w:color="auto"/>
        <w:right w:val="none" w:sz="0" w:space="0" w:color="auto"/>
      </w:divBdr>
    </w:div>
    <w:div w:id="1302340997">
      <w:bodyDiv w:val="1"/>
      <w:marLeft w:val="0"/>
      <w:marRight w:val="0"/>
      <w:marTop w:val="0"/>
      <w:marBottom w:val="0"/>
      <w:divBdr>
        <w:top w:val="none" w:sz="0" w:space="0" w:color="auto"/>
        <w:left w:val="none" w:sz="0" w:space="0" w:color="auto"/>
        <w:bottom w:val="none" w:sz="0" w:space="0" w:color="auto"/>
        <w:right w:val="none" w:sz="0" w:space="0" w:color="auto"/>
      </w:divBdr>
    </w:div>
    <w:div w:id="1375500234">
      <w:bodyDiv w:val="1"/>
      <w:marLeft w:val="0"/>
      <w:marRight w:val="0"/>
      <w:marTop w:val="0"/>
      <w:marBottom w:val="0"/>
      <w:divBdr>
        <w:top w:val="none" w:sz="0" w:space="0" w:color="auto"/>
        <w:left w:val="none" w:sz="0" w:space="0" w:color="auto"/>
        <w:bottom w:val="none" w:sz="0" w:space="0" w:color="auto"/>
        <w:right w:val="none" w:sz="0" w:space="0" w:color="auto"/>
      </w:divBdr>
    </w:div>
    <w:div w:id="1384060918">
      <w:bodyDiv w:val="1"/>
      <w:marLeft w:val="0"/>
      <w:marRight w:val="0"/>
      <w:marTop w:val="0"/>
      <w:marBottom w:val="0"/>
      <w:divBdr>
        <w:top w:val="none" w:sz="0" w:space="0" w:color="auto"/>
        <w:left w:val="none" w:sz="0" w:space="0" w:color="auto"/>
        <w:bottom w:val="none" w:sz="0" w:space="0" w:color="auto"/>
        <w:right w:val="none" w:sz="0" w:space="0" w:color="auto"/>
      </w:divBdr>
    </w:div>
    <w:div w:id="1430156199">
      <w:bodyDiv w:val="1"/>
      <w:marLeft w:val="0"/>
      <w:marRight w:val="0"/>
      <w:marTop w:val="0"/>
      <w:marBottom w:val="0"/>
      <w:divBdr>
        <w:top w:val="none" w:sz="0" w:space="0" w:color="auto"/>
        <w:left w:val="none" w:sz="0" w:space="0" w:color="auto"/>
        <w:bottom w:val="none" w:sz="0" w:space="0" w:color="auto"/>
        <w:right w:val="none" w:sz="0" w:space="0" w:color="auto"/>
      </w:divBdr>
    </w:div>
    <w:div w:id="1439789359">
      <w:bodyDiv w:val="1"/>
      <w:marLeft w:val="0"/>
      <w:marRight w:val="0"/>
      <w:marTop w:val="0"/>
      <w:marBottom w:val="0"/>
      <w:divBdr>
        <w:top w:val="none" w:sz="0" w:space="0" w:color="auto"/>
        <w:left w:val="none" w:sz="0" w:space="0" w:color="auto"/>
        <w:bottom w:val="none" w:sz="0" w:space="0" w:color="auto"/>
        <w:right w:val="none" w:sz="0" w:space="0" w:color="auto"/>
      </w:divBdr>
    </w:div>
    <w:div w:id="1533767446">
      <w:bodyDiv w:val="1"/>
      <w:marLeft w:val="0"/>
      <w:marRight w:val="0"/>
      <w:marTop w:val="0"/>
      <w:marBottom w:val="0"/>
      <w:divBdr>
        <w:top w:val="none" w:sz="0" w:space="0" w:color="auto"/>
        <w:left w:val="none" w:sz="0" w:space="0" w:color="auto"/>
        <w:bottom w:val="none" w:sz="0" w:space="0" w:color="auto"/>
        <w:right w:val="none" w:sz="0" w:space="0" w:color="auto"/>
      </w:divBdr>
    </w:div>
    <w:div w:id="1589998968">
      <w:bodyDiv w:val="1"/>
      <w:marLeft w:val="0"/>
      <w:marRight w:val="0"/>
      <w:marTop w:val="0"/>
      <w:marBottom w:val="0"/>
      <w:divBdr>
        <w:top w:val="none" w:sz="0" w:space="0" w:color="auto"/>
        <w:left w:val="none" w:sz="0" w:space="0" w:color="auto"/>
        <w:bottom w:val="none" w:sz="0" w:space="0" w:color="auto"/>
        <w:right w:val="none" w:sz="0" w:space="0" w:color="auto"/>
      </w:divBdr>
    </w:div>
    <w:div w:id="1644000559">
      <w:bodyDiv w:val="1"/>
      <w:marLeft w:val="0"/>
      <w:marRight w:val="0"/>
      <w:marTop w:val="0"/>
      <w:marBottom w:val="0"/>
      <w:divBdr>
        <w:top w:val="none" w:sz="0" w:space="0" w:color="auto"/>
        <w:left w:val="none" w:sz="0" w:space="0" w:color="auto"/>
        <w:bottom w:val="none" w:sz="0" w:space="0" w:color="auto"/>
        <w:right w:val="none" w:sz="0" w:space="0" w:color="auto"/>
      </w:divBdr>
    </w:div>
    <w:div w:id="1724795404">
      <w:bodyDiv w:val="1"/>
      <w:marLeft w:val="0"/>
      <w:marRight w:val="0"/>
      <w:marTop w:val="0"/>
      <w:marBottom w:val="0"/>
      <w:divBdr>
        <w:top w:val="none" w:sz="0" w:space="0" w:color="auto"/>
        <w:left w:val="none" w:sz="0" w:space="0" w:color="auto"/>
        <w:bottom w:val="none" w:sz="0" w:space="0" w:color="auto"/>
        <w:right w:val="none" w:sz="0" w:space="0" w:color="auto"/>
      </w:divBdr>
    </w:div>
    <w:div w:id="1823082694">
      <w:bodyDiv w:val="1"/>
      <w:marLeft w:val="0"/>
      <w:marRight w:val="0"/>
      <w:marTop w:val="0"/>
      <w:marBottom w:val="0"/>
      <w:divBdr>
        <w:top w:val="none" w:sz="0" w:space="0" w:color="auto"/>
        <w:left w:val="none" w:sz="0" w:space="0" w:color="auto"/>
        <w:bottom w:val="none" w:sz="0" w:space="0" w:color="auto"/>
        <w:right w:val="none" w:sz="0" w:space="0" w:color="auto"/>
      </w:divBdr>
    </w:div>
    <w:div w:id="1963151620">
      <w:bodyDiv w:val="1"/>
      <w:marLeft w:val="0"/>
      <w:marRight w:val="0"/>
      <w:marTop w:val="0"/>
      <w:marBottom w:val="0"/>
      <w:divBdr>
        <w:top w:val="none" w:sz="0" w:space="0" w:color="auto"/>
        <w:left w:val="none" w:sz="0" w:space="0" w:color="auto"/>
        <w:bottom w:val="none" w:sz="0" w:space="0" w:color="auto"/>
        <w:right w:val="none" w:sz="0" w:space="0" w:color="auto"/>
      </w:divBdr>
    </w:div>
    <w:div w:id="1989167613">
      <w:bodyDiv w:val="1"/>
      <w:marLeft w:val="0"/>
      <w:marRight w:val="0"/>
      <w:marTop w:val="0"/>
      <w:marBottom w:val="0"/>
      <w:divBdr>
        <w:top w:val="none" w:sz="0" w:space="0" w:color="auto"/>
        <w:left w:val="none" w:sz="0" w:space="0" w:color="auto"/>
        <w:bottom w:val="none" w:sz="0" w:space="0" w:color="auto"/>
        <w:right w:val="none" w:sz="0" w:space="0" w:color="auto"/>
      </w:divBdr>
    </w:div>
    <w:div w:id="2036886223">
      <w:bodyDiv w:val="1"/>
      <w:marLeft w:val="0"/>
      <w:marRight w:val="0"/>
      <w:marTop w:val="0"/>
      <w:marBottom w:val="0"/>
      <w:divBdr>
        <w:top w:val="none" w:sz="0" w:space="0" w:color="auto"/>
        <w:left w:val="none" w:sz="0" w:space="0" w:color="auto"/>
        <w:bottom w:val="none" w:sz="0" w:space="0" w:color="auto"/>
        <w:right w:val="none" w:sz="0" w:space="0" w:color="auto"/>
      </w:divBdr>
    </w:div>
    <w:div w:id="2114090627">
      <w:bodyDiv w:val="1"/>
      <w:marLeft w:val="0"/>
      <w:marRight w:val="0"/>
      <w:marTop w:val="0"/>
      <w:marBottom w:val="0"/>
      <w:divBdr>
        <w:top w:val="none" w:sz="0" w:space="0" w:color="auto"/>
        <w:left w:val="none" w:sz="0" w:space="0" w:color="auto"/>
        <w:bottom w:val="none" w:sz="0" w:space="0" w:color="auto"/>
        <w:right w:val="none" w:sz="0" w:space="0" w:color="auto"/>
      </w:divBdr>
    </w:div>
    <w:div w:id="2145544343">
      <w:bodyDiv w:val="1"/>
      <w:marLeft w:val="0"/>
      <w:marRight w:val="0"/>
      <w:marTop w:val="0"/>
      <w:marBottom w:val="0"/>
      <w:divBdr>
        <w:top w:val="none" w:sz="0" w:space="0" w:color="auto"/>
        <w:left w:val="none" w:sz="0" w:space="0" w:color="auto"/>
        <w:bottom w:val="none" w:sz="0" w:space="0" w:color="auto"/>
        <w:right w:val="none" w:sz="0" w:space="0" w:color="auto"/>
      </w:divBdr>
      <w:divsChild>
        <w:div w:id="370568206">
          <w:marLeft w:val="0"/>
          <w:marRight w:val="0"/>
          <w:marTop w:val="0"/>
          <w:marBottom w:val="0"/>
          <w:divBdr>
            <w:top w:val="none" w:sz="0" w:space="0" w:color="auto"/>
            <w:left w:val="none" w:sz="0" w:space="0" w:color="auto"/>
            <w:bottom w:val="none" w:sz="0" w:space="0" w:color="auto"/>
            <w:right w:val="none" w:sz="0" w:space="0" w:color="auto"/>
          </w:divBdr>
          <w:divsChild>
            <w:div w:id="200826650">
              <w:marLeft w:val="0"/>
              <w:marRight w:val="0"/>
              <w:marTop w:val="0"/>
              <w:marBottom w:val="0"/>
              <w:divBdr>
                <w:top w:val="none" w:sz="0" w:space="0" w:color="auto"/>
                <w:left w:val="none" w:sz="0" w:space="0" w:color="auto"/>
                <w:bottom w:val="none" w:sz="0" w:space="0" w:color="auto"/>
                <w:right w:val="none" w:sz="0" w:space="0" w:color="auto"/>
              </w:divBdr>
              <w:divsChild>
                <w:div w:id="688720894">
                  <w:marLeft w:val="0"/>
                  <w:marRight w:val="0"/>
                  <w:marTop w:val="0"/>
                  <w:marBottom w:val="0"/>
                  <w:divBdr>
                    <w:top w:val="none" w:sz="0" w:space="0" w:color="auto"/>
                    <w:left w:val="none" w:sz="0" w:space="0" w:color="auto"/>
                    <w:bottom w:val="none" w:sz="0" w:space="0" w:color="auto"/>
                    <w:right w:val="none" w:sz="0" w:space="0" w:color="auto"/>
                  </w:divBdr>
                  <w:divsChild>
                    <w:div w:id="685988091">
                      <w:marLeft w:val="0"/>
                      <w:marRight w:val="0"/>
                      <w:marTop w:val="0"/>
                      <w:marBottom w:val="0"/>
                      <w:divBdr>
                        <w:top w:val="none" w:sz="0" w:space="0" w:color="auto"/>
                        <w:left w:val="none" w:sz="0" w:space="0" w:color="auto"/>
                        <w:bottom w:val="none" w:sz="0" w:space="0" w:color="auto"/>
                        <w:right w:val="none" w:sz="0" w:space="0" w:color="auto"/>
                      </w:divBdr>
                      <w:divsChild>
                        <w:div w:id="1498224236">
                          <w:marLeft w:val="0"/>
                          <w:marRight w:val="0"/>
                          <w:marTop w:val="0"/>
                          <w:marBottom w:val="0"/>
                          <w:divBdr>
                            <w:top w:val="none" w:sz="0" w:space="0" w:color="auto"/>
                            <w:left w:val="none" w:sz="0" w:space="0" w:color="auto"/>
                            <w:bottom w:val="none" w:sz="0" w:space="0" w:color="auto"/>
                            <w:right w:val="none" w:sz="0" w:space="0" w:color="auto"/>
                          </w:divBdr>
                          <w:divsChild>
                            <w:div w:id="447160314">
                              <w:marLeft w:val="0"/>
                              <w:marRight w:val="0"/>
                              <w:marTop w:val="0"/>
                              <w:marBottom w:val="0"/>
                              <w:divBdr>
                                <w:top w:val="none" w:sz="0" w:space="0" w:color="auto"/>
                                <w:left w:val="none" w:sz="0" w:space="0" w:color="auto"/>
                                <w:bottom w:val="none" w:sz="0" w:space="0" w:color="auto"/>
                                <w:right w:val="none" w:sz="0" w:space="0" w:color="auto"/>
                              </w:divBdr>
                              <w:divsChild>
                                <w:div w:id="1927642492">
                                  <w:marLeft w:val="0"/>
                                  <w:marRight w:val="0"/>
                                  <w:marTop w:val="0"/>
                                  <w:marBottom w:val="0"/>
                                  <w:divBdr>
                                    <w:top w:val="none" w:sz="0" w:space="0" w:color="auto"/>
                                    <w:left w:val="none" w:sz="0" w:space="0" w:color="auto"/>
                                    <w:bottom w:val="none" w:sz="0" w:space="0" w:color="auto"/>
                                    <w:right w:val="none" w:sz="0" w:space="0" w:color="auto"/>
                                  </w:divBdr>
                                  <w:divsChild>
                                    <w:div w:id="209341869">
                                      <w:marLeft w:val="0"/>
                                      <w:marRight w:val="0"/>
                                      <w:marTop w:val="0"/>
                                      <w:marBottom w:val="0"/>
                                      <w:divBdr>
                                        <w:top w:val="single" w:sz="4" w:space="0" w:color="F5F5F5"/>
                                        <w:left w:val="single" w:sz="4" w:space="0" w:color="F5F5F5"/>
                                        <w:bottom w:val="single" w:sz="4" w:space="0" w:color="F5F5F5"/>
                                        <w:right w:val="single" w:sz="4" w:space="0" w:color="F5F5F5"/>
                                      </w:divBdr>
                                      <w:divsChild>
                                        <w:div w:id="1248614890">
                                          <w:marLeft w:val="0"/>
                                          <w:marRight w:val="0"/>
                                          <w:marTop w:val="0"/>
                                          <w:marBottom w:val="0"/>
                                          <w:divBdr>
                                            <w:top w:val="none" w:sz="0" w:space="0" w:color="auto"/>
                                            <w:left w:val="none" w:sz="0" w:space="0" w:color="auto"/>
                                            <w:bottom w:val="none" w:sz="0" w:space="0" w:color="auto"/>
                                            <w:right w:val="none" w:sz="0" w:space="0" w:color="auto"/>
                                          </w:divBdr>
                                          <w:divsChild>
                                            <w:div w:id="202100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customXml" Target="../customXml/item7.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customXml" Target="../customXml/item6.xml"/><Relationship Id="rId10" Type="http://schemas.openxmlformats.org/officeDocument/2006/relationships/image" Target="media/image2.emf"/><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customXml" Target="../customXml/item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4770300B6A6BA944A421B99BAE53CC5D" ma:contentTypeVersion="5" ma:contentTypeDescription="A content type to manage public (corporate) IDB documents" ma:contentTypeScope="" ma:versionID="7ecf2a3bad188f995be10cc1364cddb9">
  <xsd:schema xmlns:xsd="http://www.w3.org/2001/XMLSchema" xmlns:xs="http://www.w3.org/2001/XMLSchema" xmlns:p="http://schemas.microsoft.com/office/2006/metadata/properties" xmlns:ns2="cdc7663a-08f0-4737-9e8c-148ce897a09c" targetNamespace="http://schemas.microsoft.com/office/2006/metadata/properties" ma:root="true" ma:fieldsID="5c9be795631bfedbbf6c259904c30130"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3c588f23-1e2d-45ba-a9b1-ef249f9a459b}" ma:internalName="TaxCatchAll" ma:showField="CatchAllData" ma:web="4efbec97-fde3-4879-8f16-c9b0dfc2148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3c588f23-1e2d-45ba-a9b1-ef249f9a459b}" ma:internalName="TaxCatchAllLabel" ma:readOnly="true" ma:showField="CatchAllDataLabel" ma:web="4efbec97-fde3-4879-8f16-c9b0dfc2148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maxLength value="255"/>
        </xsd:restriction>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DBDocs_x0020_Number xmlns="cdc7663a-08f0-4737-9e8c-148ce897a09c">37413763</IDBDocs_x0020_Number>
    <TaxCatchAll xmlns="cdc7663a-08f0-4737-9e8c-148ce897a09c">
      <Value>20</Value>
      <Value>21</Value>
    </TaxCatchAll>
    <SISCOR_x0020_Number xmlns="cdc7663a-08f0-4737-9e8c-148ce897a09c" xsi:nil="true"/>
    <Division_x0020_or_x0020_Unit xmlns="cdc7663a-08f0-4737-9e8c-148ce897a09c">IFD/ICS</Division_x0020_or_x0020_Unit>
    <Document_x0020_Author xmlns="cdc7663a-08f0-4737-9e8c-148ce897a09c">Beliz, Gustavo Osvaldo</Document_x0020_Author>
    <Fiscal_x0020_Year_x0020_IDB xmlns="cdc7663a-08f0-4737-9e8c-148ce897a09c">2013</Fiscal_x0020_Year_x0020_IDB>
    <Other_x0020_Author xmlns="cdc7663a-08f0-4737-9e8c-148ce897a09c">Diego Alboal, Jorge Campanella y Bibiana Lanzilotta</Other_x0020_Author>
    <Migration_x0020_Info xmlns="cdc7663a-08f0-4737-9e8c-148ce897a09c">&lt;Data&gt;&lt;APPLICATION&gt;MS WORD&lt;/APPLICATION&gt;&lt;STAGE_CODE&gt;WRKPA-EVAL&lt;/STAGE_CODE&gt;&lt;USER_STAGE&gt;Working Papers on Evaluation Methodology&lt;/USER_STAGE&gt;&lt;PD_OBJ_TYPE&gt;0&lt;/PD_OBJ_TYPE&gt;&lt;MAKERECORD&gt;N&lt;/MAKERECORD&gt;&lt;/Data&gt;</Migration_x0020_Info>
    <Document_x0020_Language_x0020_IDB xmlns="cdc7663a-08f0-4737-9e8c-148ce897a09c">Spanish</Document_x0020_Language_x0020_IDB>
    <Identifier xmlns="cdc7663a-08f0-4737-9e8c-148ce897a09c"> MAIN DOC</Identifier>
    <Access_x0020_to_x0020_Information_x00a0_Policy xmlns="cdc7663a-08f0-4737-9e8c-148ce897a09c">Public</Access_x0020_to_x0020_Information_x00a0_Policy>
    <ic46d7e087fd4a108fb86518ca413cc6 xmlns="cdc7663a-08f0-4737-9e8c-148ce897a09c">
      <Terms xmlns="http://schemas.microsoft.com/office/infopath/2007/PartnerControls"/>
    </ic46d7e087fd4a108fb86518ca413cc6>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j65ec2e3a7e44c39a1acebfd2a19200a>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cf0f1ca6d90e4583ad80995bcde0e58a>
    <Issue_x0020_Date xmlns="cdc7663a-08f0-4737-9e8c-148ce897a09c" xsi:nil="true"/>
    <KP_x0020_Topics xmlns="cdc7663a-08f0-4737-9e8c-148ce897a09c" xsi:nil="true"/>
    <Publication_x0020_Type xmlns="cdc7663a-08f0-4737-9e8c-148ce897a09c" xsi:nil="true"/>
    <Publishing_x0020_House xmlns="cdc7663a-08f0-4737-9e8c-148ce897a09c" xsi:nil="true"/>
    <Abstract xmlns="cdc7663a-08f0-4737-9e8c-148ce897a09c" xsi:nil="true"/>
    <Editor1 xmlns="cdc7663a-08f0-4737-9e8c-148ce897a09c" xsi:nil="true"/>
    <Disclosure_x0020_Activity xmlns="cdc7663a-08f0-4737-9e8c-148ce897a09c">Working Papers on Evaluation Methodology</Disclosure_x0020_Activity>
    <Region xmlns="cdc7663a-08f0-4737-9e8c-148ce897a09c" xsi:nil="true"/>
    <Webtopic xmlns="cdc7663a-08f0-4737-9e8c-148ce897a09c">Citizen Security and Crime Prevention</Webtopic>
    <Disclosed xmlns="cdc7663a-08f0-4737-9e8c-148ce897a09c">false</Disclosed>
    <_dlc_DocId xmlns="cdc7663a-08f0-4737-9e8c-148ce897a09c">EZSHARE-2002831443-80</_dlc_DocId>
    <_dlc_DocIdUrl xmlns="cdc7663a-08f0-4737-9e8c-148ce897a09c">
      <Url>https://idbg.sharepoint.com/teams/ez-VPS/ICS/_layouts/15/DocIdRedir.aspx?ID=EZSHARE-2002831443-80</Url>
      <Description>EZSHARE-2002831443-80</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6.xml><?xml version="1.0" encoding="utf-8"?>
<?mso-contentType ?>
<SharedContentType xmlns="Microsoft.SharePoint.Taxonomy.ContentTypeSync" SourceId="ae61f9b1-e23d-4f49-b3d7-56b991556c4b" ContentTypeId="0x01010066B06E59AB175241BBFB297522263BEB"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FF5D3D-D7DE-4A10-BE29-8B215583D53F}"/>
</file>

<file path=customXml/itemProps2.xml><?xml version="1.0" encoding="utf-8"?>
<ds:datastoreItem xmlns:ds="http://schemas.openxmlformats.org/officeDocument/2006/customXml" ds:itemID="{84AD487F-15E0-4E12-AC4B-9AEC3490DC85}"/>
</file>

<file path=customXml/itemProps3.xml><?xml version="1.0" encoding="utf-8"?>
<ds:datastoreItem xmlns:ds="http://schemas.openxmlformats.org/officeDocument/2006/customXml" ds:itemID="{7B9E7E4F-57B9-435D-8E77-B415D52ECC0B}"/>
</file>

<file path=customXml/itemProps4.xml><?xml version="1.0" encoding="utf-8"?>
<ds:datastoreItem xmlns:ds="http://schemas.openxmlformats.org/officeDocument/2006/customXml" ds:itemID="{5F15375D-2155-46BB-8E54-D067EC22D992}"/>
</file>

<file path=customXml/itemProps5.xml><?xml version="1.0" encoding="utf-8"?>
<ds:datastoreItem xmlns:ds="http://schemas.openxmlformats.org/officeDocument/2006/customXml" ds:itemID="{D7A3DE3B-6C9F-4891-962A-44AB6B11847C}"/>
</file>

<file path=customXml/itemProps6.xml><?xml version="1.0" encoding="utf-8"?>
<ds:datastoreItem xmlns:ds="http://schemas.openxmlformats.org/officeDocument/2006/customXml" ds:itemID="{1C6F414B-46D6-4A63-98CD-F21B889DF297}"/>
</file>

<file path=customXml/itemProps7.xml><?xml version="1.0" encoding="utf-8"?>
<ds:datastoreItem xmlns:ds="http://schemas.openxmlformats.org/officeDocument/2006/customXml" ds:itemID="{F94282CC-C13B-42CB-8E47-D53E54DD2EA0}"/>
</file>

<file path=docProps/app.xml><?xml version="1.0" encoding="utf-8"?>
<Properties xmlns="http://schemas.openxmlformats.org/officeDocument/2006/extended-properties" xmlns:vt="http://schemas.openxmlformats.org/officeDocument/2006/docPropsVTypes">
  <Template>Normal.dotm</Template>
  <TotalTime>0</TotalTime>
  <Pages>40</Pages>
  <Words>13884</Words>
  <Characters>79144</Characters>
  <Application>Microsoft Office Word</Application>
  <DocSecurity>0</DocSecurity>
  <Lines>659</Lines>
  <Paragraphs>185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Paper - Costos del Crimen en Uruguay</dc:title>
  <dc:creator>usuario</dc:creator>
  <cp:lastModifiedBy>Inter-American Development Bank</cp:lastModifiedBy>
  <cp:revision>2</cp:revision>
  <cp:lastPrinted>2012-12-07T20:27:00Z</cp:lastPrinted>
  <dcterms:created xsi:type="dcterms:W3CDTF">2013-01-23T19:12:00Z</dcterms:created>
  <dcterms:modified xsi:type="dcterms:W3CDTF">2013-01-23T19:12:00Z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0x01010066B06E59AB175241BBFB297522263BEB004770300B6A6BA944A421B99BAE53CC5D</vt:lpwstr>
  </property>
  <property fmtid="{D5CDD505-2E9C-101B-9397-08002B2CF9AE}" pid="4" name="TaxKeyword">
    <vt:lpwstr/>
  </property>
  <property fmtid="{D5CDD505-2E9C-101B-9397-08002B2CF9AE}" pid="5" name="Series Corporate IDB">
    <vt:lpwstr>-1;#Unclassified|a6dff32e-d477-44cd-a56b-85efe9e0a56c</vt:lpwstr>
  </property>
  <property fmtid="{D5CDD505-2E9C-101B-9397-08002B2CF9AE}" pid="6" name="Function Corporate IDB">
    <vt:lpwstr>-1;#IDBDocs|cca77002-e150-4b2d-ab1f-1d7a7cdcae16</vt:lpwstr>
  </property>
  <property fmtid="{D5CDD505-2E9C-101B-9397-08002B2CF9AE}" pid="7" name="TaxKeywordTaxHTField">
    <vt:lpwstr/>
  </property>
  <property fmtid="{D5CDD505-2E9C-101B-9397-08002B2CF9AE}" pid="8" name="Series_x0020_Corporate_x0020_IDB">
    <vt:lpwstr>-1;#Unclassified|a6dff32e-d477-44cd-a56b-85efe9e0a56c</vt:lpwstr>
  </property>
  <property fmtid="{D5CDD505-2E9C-101B-9397-08002B2CF9AE}" pid="9" name="Country">
    <vt:lpwstr/>
  </property>
  <property fmtid="{D5CDD505-2E9C-101B-9397-08002B2CF9AE}" pid="11" name="From:">
    <vt:lpwstr>Diego Alboal, Jorge Campanella y Bibiana Lanzilotta</vt:lpwstr>
  </property>
  <property fmtid="{D5CDD505-2E9C-101B-9397-08002B2CF9AE}" pid="12" name="URL">
    <vt:lpwstr/>
  </property>
  <property fmtid="{D5CDD505-2E9C-101B-9397-08002B2CF9AE}" pid="13" name="To_x003A_">
    <vt:lpwstr/>
  </property>
  <property fmtid="{D5CDD505-2E9C-101B-9397-08002B2CF9AE}" pid="14" name="Function_x0020_Corporate_x0020_IDB">
    <vt:lpwstr>-1;#IDBDocs|cca77002-e150-4b2d-ab1f-1d7a7cdcae16</vt:lpwstr>
  </property>
  <property fmtid="{D5CDD505-2E9C-101B-9397-08002B2CF9AE}" pid="15" name="From_x003A_">
    <vt:lpwstr>Diego Alboal, Jorge Campanella y Bibiana Lanzilotta</vt:lpwstr>
  </property>
  <property fmtid="{D5CDD505-2E9C-101B-9397-08002B2CF9AE}" pid="16" name="To:">
    <vt:lpwstr/>
  </property>
  <property fmtid="{D5CDD505-2E9C-101B-9397-08002B2CF9AE}" pid="17" name="_dlc_DocIdItemGuid">
    <vt:lpwstr>e73150c4-6871-4e20-a87a-3d704e63c545</vt:lpwstr>
  </property>
</Properties>
</file>