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F9" w:rsidRDefault="003631F9">
      <w:pPr>
        <w:spacing w:after="0" w:line="240" w:lineRule="auto"/>
        <w:jc w:val="center"/>
        <w:rPr>
          <w:rFonts w:ascii="Cambria" w:hAnsi="Cambria"/>
          <w:b/>
          <w:sz w:val="28"/>
          <w:szCs w:val="28"/>
        </w:rPr>
      </w:pPr>
    </w:p>
    <w:p w:rsidR="003631F9" w:rsidRDefault="00D94C52">
      <w:pPr>
        <w:spacing w:after="0" w:line="240" w:lineRule="auto"/>
        <w:jc w:val="center"/>
        <w:rPr>
          <w:rFonts w:ascii="Cambria" w:hAnsi="Cambria"/>
          <w:b/>
          <w:sz w:val="28"/>
          <w:szCs w:val="28"/>
        </w:rPr>
      </w:pPr>
      <w:r>
        <w:rPr>
          <w:rFonts w:ascii="Cambria" w:hAnsi="Cambria"/>
          <w:b/>
          <w:sz w:val="28"/>
          <w:szCs w:val="28"/>
        </w:rPr>
        <w:t>MAP SECOND CALL FOR PROPOSALS</w:t>
      </w:r>
    </w:p>
    <w:p w:rsidR="003631F9" w:rsidRDefault="003631F9">
      <w:pPr>
        <w:spacing w:after="0" w:line="240" w:lineRule="auto"/>
        <w:jc w:val="center"/>
        <w:rPr>
          <w:rFonts w:ascii="Cambria" w:hAnsi="Cambria"/>
          <w:b/>
          <w:sz w:val="28"/>
          <w:szCs w:val="28"/>
        </w:rPr>
      </w:pPr>
    </w:p>
    <w:p w:rsidR="003631F9" w:rsidRDefault="00D94C52">
      <w:pPr>
        <w:spacing w:after="0" w:line="240" w:lineRule="auto"/>
        <w:jc w:val="center"/>
        <w:rPr>
          <w:rFonts w:ascii="Cambria" w:hAnsi="Cambria"/>
          <w:b/>
          <w:i/>
          <w:sz w:val="28"/>
          <w:szCs w:val="28"/>
        </w:rPr>
      </w:pPr>
      <w:r>
        <w:rPr>
          <w:rFonts w:ascii="Cambria" w:hAnsi="Cambria"/>
          <w:b/>
          <w:i/>
          <w:sz w:val="28"/>
          <w:szCs w:val="28"/>
        </w:rPr>
        <w:t>SMEs ACCESS TO FINANCE AND COMPETITIVENESS</w:t>
      </w:r>
    </w:p>
    <w:p w:rsidR="003631F9" w:rsidRDefault="003631F9">
      <w:pPr>
        <w:spacing w:after="0" w:line="240" w:lineRule="auto"/>
        <w:jc w:val="both"/>
        <w:rPr>
          <w:rFonts w:ascii="Cambria" w:hAnsi="Cambria"/>
          <w:i/>
          <w:sz w:val="20"/>
          <w:szCs w:val="20"/>
        </w:rPr>
      </w:pPr>
    </w:p>
    <w:p w:rsidR="003631F9" w:rsidRDefault="003631F9">
      <w:pPr>
        <w:spacing w:after="0" w:line="240" w:lineRule="auto"/>
        <w:jc w:val="both"/>
        <w:rPr>
          <w:rFonts w:ascii="Cambria" w:hAnsi="Cambria"/>
          <w:i/>
          <w:sz w:val="20"/>
          <w:szCs w:val="20"/>
        </w:rPr>
      </w:pPr>
    </w:p>
    <w:p w:rsidR="003631F9" w:rsidRDefault="003631F9">
      <w:pPr>
        <w:spacing w:after="0" w:line="240" w:lineRule="auto"/>
        <w:jc w:val="center"/>
      </w:pPr>
      <w:hyperlink r:id="rId7" w:history="1">
        <w:r w:rsidR="00D94C52">
          <w:rPr>
            <w:rStyle w:val="Hyperlink"/>
            <w:rFonts w:ascii="Cambria" w:hAnsi="Cambria"/>
            <w:b/>
            <w:sz w:val="26"/>
            <w:szCs w:val="26"/>
            <w:u w:val="none"/>
          </w:rPr>
          <w:t>www.iadb.org/map/en</w:t>
        </w:r>
      </w:hyperlink>
    </w:p>
    <w:p w:rsidR="003631F9" w:rsidRDefault="003631F9">
      <w:pPr>
        <w:spacing w:after="0" w:line="240" w:lineRule="auto"/>
        <w:jc w:val="both"/>
        <w:rPr>
          <w:rFonts w:ascii="Cambria" w:hAnsi="Cambria"/>
          <w:b/>
          <w:sz w:val="24"/>
          <w:szCs w:val="24"/>
        </w:rPr>
      </w:pPr>
    </w:p>
    <w:p w:rsidR="003631F9" w:rsidRDefault="00D94C52">
      <w:pPr>
        <w:spacing w:after="0" w:line="240" w:lineRule="auto"/>
        <w:jc w:val="both"/>
      </w:pPr>
      <w:r>
        <w:rPr>
          <w:rFonts w:ascii="Cambria" w:hAnsi="Cambria"/>
          <w:b/>
          <w:sz w:val="24"/>
          <w:szCs w:val="24"/>
        </w:rPr>
        <w:t>Small and Medium-Sized Enterprises (SMEs) have</w:t>
      </w:r>
      <w:r>
        <w:rPr>
          <w:rFonts w:ascii="Cambria" w:hAnsi="Cambria"/>
          <w:b/>
          <w:sz w:val="24"/>
          <w:szCs w:val="24"/>
        </w:rPr>
        <w:t xml:space="preserve"> been part of the IDB group’s </w:t>
      </w:r>
      <w:r>
        <w:rPr>
          <w:rFonts w:ascii="Cambria" w:hAnsi="Cambria"/>
          <w:sz w:val="24"/>
          <w:szCs w:val="24"/>
        </w:rPr>
        <w:t>approach to expanding growth, productivity, and employment opportunities in Latin America and the Caribbean.</w:t>
      </w:r>
      <w:r>
        <w:rPr>
          <w:rFonts w:ascii="Cambria" w:hAnsi="Cambria"/>
          <w:b/>
          <w:sz w:val="24"/>
          <w:szCs w:val="24"/>
        </w:rPr>
        <w:t xml:space="preserve"> A vital dimension to enhance SMEs’ contribution to growth and productivity is their access to the credit.</w:t>
      </w:r>
      <w:r>
        <w:rPr>
          <w:rFonts w:ascii="Cambria" w:hAnsi="Cambria"/>
          <w:sz w:val="24"/>
          <w:szCs w:val="24"/>
        </w:rPr>
        <w:t xml:space="preserve"> By narrowin</w:t>
      </w:r>
      <w:r>
        <w:rPr>
          <w:rFonts w:ascii="Cambria" w:hAnsi="Cambria"/>
          <w:sz w:val="24"/>
          <w:szCs w:val="24"/>
        </w:rPr>
        <w:t xml:space="preserve">g the financial gap faced by SMEs, Latin American economies can improve their growth potential in significant ways. In general, </w:t>
      </w:r>
      <w:r>
        <w:rPr>
          <w:rFonts w:ascii="Cambria" w:hAnsi="Cambria" w:cs="PalatinoLTStd-Roman"/>
          <w:b/>
          <w:sz w:val="24"/>
          <w:szCs w:val="24"/>
        </w:rPr>
        <w:t>SMEs are underrepresented in Latin America, where less formal micro and very small enterprises</w:t>
      </w:r>
      <w:r>
        <w:rPr>
          <w:rFonts w:ascii="Cambria" w:hAnsi="Cambria"/>
          <w:b/>
          <w:sz w:val="24"/>
          <w:szCs w:val="24"/>
          <w:lang w:val="en-GB"/>
        </w:rPr>
        <w:t xml:space="preserve"> with fewer growth options predomi</w:t>
      </w:r>
      <w:r>
        <w:rPr>
          <w:rFonts w:ascii="Cambria" w:hAnsi="Cambria"/>
          <w:b/>
          <w:sz w:val="24"/>
          <w:szCs w:val="24"/>
          <w:lang w:val="en-GB"/>
        </w:rPr>
        <w:t>nate</w:t>
      </w:r>
      <w:r>
        <w:rPr>
          <w:rFonts w:ascii="Cambria" w:hAnsi="Cambria"/>
          <w:sz w:val="24"/>
          <w:szCs w:val="24"/>
          <w:lang w:val="en-GB"/>
        </w:rPr>
        <w:t xml:space="preserve">. This further limits the growth potential of Latin American and Caribbean economies.  </w:t>
      </w:r>
      <w:r>
        <w:rPr>
          <w:rFonts w:ascii="Cambria" w:hAnsi="Cambria"/>
          <w:sz w:val="24"/>
          <w:szCs w:val="24"/>
        </w:rPr>
        <w:t xml:space="preserve"> </w:t>
      </w:r>
    </w:p>
    <w:p w:rsidR="003631F9" w:rsidRDefault="00D94C52">
      <w:pPr>
        <w:spacing w:after="0" w:line="240" w:lineRule="auto"/>
        <w:jc w:val="both"/>
        <w:rPr>
          <w:rFonts w:ascii="Cambria" w:hAnsi="Cambria"/>
          <w:sz w:val="24"/>
          <w:szCs w:val="24"/>
        </w:rPr>
      </w:pPr>
      <w:r>
        <w:rPr>
          <w:rFonts w:ascii="Cambria" w:hAnsi="Cambria"/>
          <w:sz w:val="24"/>
          <w:szCs w:val="24"/>
        </w:rPr>
        <w:t xml:space="preserve"> </w:t>
      </w:r>
    </w:p>
    <w:p w:rsidR="003631F9" w:rsidRDefault="00D94C52">
      <w:pPr>
        <w:spacing w:after="0" w:line="240" w:lineRule="auto"/>
        <w:jc w:val="both"/>
      </w:pPr>
      <w:r>
        <w:rPr>
          <w:rFonts w:ascii="Cambria" w:hAnsi="Cambria"/>
          <w:b/>
          <w:sz w:val="24"/>
          <w:szCs w:val="24"/>
        </w:rPr>
        <w:t xml:space="preserve">Evidence suggests that financial access offers opportunities for SMEs to make technological changes and increases their incentives to comply with labor and tax </w:t>
      </w:r>
      <w:r>
        <w:rPr>
          <w:rFonts w:ascii="Cambria" w:hAnsi="Cambria"/>
          <w:b/>
          <w:sz w:val="24"/>
          <w:szCs w:val="24"/>
        </w:rPr>
        <w:t xml:space="preserve">regulations. </w:t>
      </w:r>
      <w:r>
        <w:rPr>
          <w:rFonts w:ascii="Cambria" w:hAnsi="Cambria"/>
          <w:sz w:val="24"/>
          <w:szCs w:val="24"/>
        </w:rPr>
        <w:t xml:space="preserve">Hence, financial inclusion has a positive effect on formalization and, in so doing, expands the productive frontier and the capacity of the firm. The link between credit and informality is illustrated, for example, in a recent study by Catão, </w:t>
      </w:r>
      <w:r>
        <w:rPr>
          <w:rFonts w:ascii="Cambria" w:hAnsi="Cambria"/>
          <w:sz w:val="24"/>
          <w:szCs w:val="24"/>
        </w:rPr>
        <w:t>Pagès y Rosales (2009) that estimate that i</w:t>
      </w:r>
      <w:r>
        <w:rPr>
          <w:rFonts w:ascii="Cambria" w:hAnsi="Cambria"/>
          <w:i/>
          <w:iCs/>
          <w:sz w:val="24"/>
          <w:szCs w:val="24"/>
        </w:rPr>
        <w:t>n Brazil as credit for firms grew so did formal employment</w:t>
      </w:r>
      <w:r w:rsidRPr="003631F9">
        <w:rPr>
          <w:rStyle w:val="FootnoteReference"/>
          <w:rFonts w:ascii="Cambria" w:hAnsi="Cambria"/>
          <w:sz w:val="24"/>
          <w:szCs w:val="24"/>
        </w:rPr>
        <w:footnoteReference w:id="1"/>
      </w:r>
      <w:r>
        <w:rPr>
          <w:rFonts w:ascii="Cambria" w:hAnsi="Cambria"/>
          <w:sz w:val="24"/>
          <w:szCs w:val="24"/>
        </w:rPr>
        <w:t xml:space="preserve">.   </w:t>
      </w:r>
    </w:p>
    <w:p w:rsidR="003631F9" w:rsidRDefault="003631F9">
      <w:pPr>
        <w:spacing w:after="0" w:line="240" w:lineRule="auto"/>
        <w:jc w:val="both"/>
        <w:rPr>
          <w:rFonts w:ascii="Cambria" w:hAnsi="Cambria"/>
          <w:sz w:val="24"/>
          <w:szCs w:val="24"/>
        </w:rPr>
      </w:pPr>
    </w:p>
    <w:p w:rsidR="003631F9" w:rsidRDefault="00D94C52">
      <w:pPr>
        <w:spacing w:after="0" w:line="240" w:lineRule="auto"/>
        <w:jc w:val="both"/>
      </w:pPr>
      <w:r>
        <w:rPr>
          <w:rFonts w:ascii="Cambria" w:hAnsi="Cambria"/>
          <w:b/>
          <w:sz w:val="24"/>
          <w:szCs w:val="24"/>
        </w:rPr>
        <w:t>Policies that help firms upgrade can also support greater access to finance.  SMEs are characterized by the lack of required scale, guarantees, managerial capital, and information</w:t>
      </w:r>
      <w:r>
        <w:rPr>
          <w:rFonts w:ascii="Cambria" w:hAnsi="Cambria"/>
          <w:sz w:val="24"/>
          <w:szCs w:val="24"/>
        </w:rPr>
        <w:t xml:space="preserve"> that enable them to take advantage of </w:t>
      </w:r>
      <w:r>
        <w:rPr>
          <w:rFonts w:ascii="Cambria" w:hAnsi="Cambria" w:cs="PalatinoLTStd-Roman"/>
          <w:sz w:val="24"/>
          <w:szCs w:val="24"/>
        </w:rPr>
        <w:t>market opportunit</w:t>
      </w:r>
      <w:r>
        <w:rPr>
          <w:rFonts w:ascii="Cambria" w:hAnsi="Cambria" w:cs="PalatinoLTStd-Roman"/>
          <w:sz w:val="24"/>
          <w:szCs w:val="24"/>
        </w:rPr>
        <w:t xml:space="preserve">ies or new technologies.  Specific programs to overcome these barriers can support greater </w:t>
      </w:r>
      <w:r>
        <w:rPr>
          <w:rFonts w:ascii="Cambria" w:hAnsi="Cambria"/>
          <w:sz w:val="24"/>
          <w:szCs w:val="24"/>
        </w:rPr>
        <w:t xml:space="preserve">firm creation, investment and expansion.  </w:t>
      </w:r>
      <w:r>
        <w:rPr>
          <w:rFonts w:ascii="Cambria" w:hAnsi="Cambria" w:cs="PalatinoLTStd-Roman"/>
          <w:sz w:val="24"/>
          <w:szCs w:val="24"/>
        </w:rPr>
        <w:t xml:space="preserve"> </w:t>
      </w:r>
    </w:p>
    <w:p w:rsidR="003631F9" w:rsidRDefault="003631F9">
      <w:pPr>
        <w:spacing w:after="0" w:line="240" w:lineRule="auto"/>
        <w:jc w:val="both"/>
        <w:rPr>
          <w:rFonts w:ascii="Cambria" w:hAnsi="Cambria" w:cs="PalatinoLTStd-Roman"/>
          <w:sz w:val="24"/>
          <w:szCs w:val="24"/>
        </w:rPr>
      </w:pPr>
    </w:p>
    <w:p w:rsidR="003631F9" w:rsidRDefault="00D94C52">
      <w:pPr>
        <w:spacing w:after="0" w:line="240" w:lineRule="auto"/>
        <w:jc w:val="both"/>
      </w:pPr>
      <w:r>
        <w:rPr>
          <w:rFonts w:ascii="Cambria" w:hAnsi="Cambria"/>
          <w:b/>
          <w:sz w:val="24"/>
          <w:szCs w:val="24"/>
        </w:rPr>
        <w:t>This is why</w:t>
      </w:r>
      <w:r>
        <w:rPr>
          <w:rFonts w:ascii="Cambria" w:hAnsi="Cambria"/>
          <w:b/>
          <w:sz w:val="24"/>
          <w:szCs w:val="24"/>
          <w:lang w:val="en-GB"/>
        </w:rPr>
        <w:t xml:space="preserve"> SMEs financial inclusion policies require an integrated approach that addresses the relevant topics from the</w:t>
      </w:r>
      <w:r>
        <w:rPr>
          <w:rFonts w:ascii="Cambria" w:hAnsi="Cambria"/>
          <w:b/>
          <w:sz w:val="24"/>
          <w:szCs w:val="24"/>
          <w:lang w:val="en-GB"/>
        </w:rPr>
        <w:t xml:space="preserve"> supply </w:t>
      </w:r>
      <w:r>
        <w:rPr>
          <w:rFonts w:ascii="Cambria" w:hAnsi="Cambria"/>
          <w:b/>
          <w:sz w:val="24"/>
          <w:szCs w:val="24"/>
        </w:rPr>
        <w:t xml:space="preserve">and the demand side </w:t>
      </w:r>
      <w:r>
        <w:rPr>
          <w:rFonts w:ascii="Cambria" w:hAnsi="Cambria"/>
          <w:b/>
          <w:sz w:val="24"/>
          <w:szCs w:val="24"/>
          <w:lang w:val="en-GB"/>
        </w:rPr>
        <w:t>of financial access</w:t>
      </w:r>
      <w:r>
        <w:rPr>
          <w:rFonts w:ascii="Cambria" w:hAnsi="Cambria"/>
          <w:sz w:val="24"/>
          <w:szCs w:val="24"/>
          <w:lang w:val="en-GB"/>
        </w:rPr>
        <w:t xml:space="preserve">.  Following this approach, the MAP line will finance activities and </w:t>
      </w:r>
      <w:r>
        <w:rPr>
          <w:rFonts w:ascii="Cambria" w:hAnsi="Cambria"/>
          <w:sz w:val="24"/>
          <w:szCs w:val="24"/>
          <w:lang w:val="en-GB"/>
        </w:rPr>
        <w:lastRenderedPageBreak/>
        <w:t xml:space="preserve">research projects that address problems in these two key dimensions. A list of proposed topics is presented below. </w:t>
      </w:r>
    </w:p>
    <w:p w:rsidR="003631F9" w:rsidRDefault="003631F9">
      <w:pPr>
        <w:spacing w:after="0" w:line="240" w:lineRule="auto"/>
        <w:jc w:val="both"/>
        <w:rPr>
          <w:rFonts w:ascii="Cambria" w:hAnsi="Cambria" w:cs="Verdana"/>
          <w:b/>
          <w:sz w:val="24"/>
          <w:szCs w:val="24"/>
        </w:rPr>
      </w:pPr>
    </w:p>
    <w:p w:rsidR="003631F9" w:rsidRDefault="00D94C52">
      <w:pPr>
        <w:spacing w:after="0" w:line="240" w:lineRule="auto"/>
        <w:jc w:val="both"/>
      </w:pPr>
      <w:r>
        <w:rPr>
          <w:rFonts w:ascii="Cambria" w:hAnsi="Cambria" w:cs="Verdana"/>
          <w:b/>
          <w:sz w:val="24"/>
          <w:szCs w:val="24"/>
        </w:rPr>
        <w:t xml:space="preserve">In order to assess </w:t>
      </w:r>
      <w:r>
        <w:rPr>
          <w:rFonts w:ascii="Cambria" w:hAnsi="Cambria" w:cs="Verdana"/>
          <w:b/>
          <w:sz w:val="24"/>
          <w:szCs w:val="24"/>
        </w:rPr>
        <w:t>proposals the MAP Team will examine the following criteria</w:t>
      </w:r>
      <w:r>
        <w:rPr>
          <w:rFonts w:ascii="Cambria" w:hAnsi="Cambria" w:cs="Verdana"/>
          <w:sz w:val="24"/>
          <w:szCs w:val="24"/>
        </w:rPr>
        <w:t>:  a project´s innovativeness; use of empirical evidence to generate policy lessons; support of solid actors with the capacity to implement a project and document its results.  As well, those propos</w:t>
      </w:r>
      <w:r>
        <w:rPr>
          <w:rFonts w:ascii="Cambria" w:hAnsi="Cambria" w:cs="Verdana"/>
          <w:sz w:val="24"/>
          <w:szCs w:val="24"/>
        </w:rPr>
        <w:t xml:space="preserve">als that are selected will be required to have the no objection of government authorities. </w:t>
      </w:r>
    </w:p>
    <w:p w:rsidR="003631F9" w:rsidRDefault="003631F9">
      <w:pPr>
        <w:spacing w:after="0" w:line="240" w:lineRule="auto"/>
        <w:jc w:val="both"/>
        <w:rPr>
          <w:rFonts w:ascii="Cambria" w:hAnsi="Cambria" w:cs="Verdana"/>
          <w:sz w:val="24"/>
          <w:szCs w:val="24"/>
        </w:rPr>
      </w:pPr>
    </w:p>
    <w:p w:rsidR="003631F9" w:rsidRDefault="00D94C52">
      <w:pPr>
        <w:spacing w:after="0" w:line="240" w:lineRule="auto"/>
        <w:jc w:val="both"/>
      </w:pPr>
      <w:r>
        <w:rPr>
          <w:rFonts w:ascii="Cambria" w:hAnsi="Cambria"/>
          <w:b/>
          <w:sz w:val="24"/>
          <w:szCs w:val="24"/>
          <w:lang w:val="en-GB"/>
        </w:rPr>
        <w:t>The MAP strongly encourages projects that introduce an impact evaluation component</w:t>
      </w:r>
      <w:r>
        <w:rPr>
          <w:rFonts w:ascii="Cambria" w:hAnsi="Cambria"/>
          <w:sz w:val="24"/>
          <w:szCs w:val="24"/>
          <w:lang w:val="en-GB"/>
        </w:rPr>
        <w:t xml:space="preserve"> to raise new ideas on </w:t>
      </w:r>
      <w:r>
        <w:rPr>
          <w:rFonts w:ascii="Cambria" w:hAnsi="Cambria"/>
          <w:i/>
          <w:sz w:val="24"/>
          <w:szCs w:val="24"/>
          <w:lang w:val="en-GB"/>
        </w:rPr>
        <w:t>what</w:t>
      </w:r>
      <w:r>
        <w:rPr>
          <w:rFonts w:ascii="Cambria" w:hAnsi="Cambria"/>
          <w:sz w:val="24"/>
          <w:szCs w:val="24"/>
          <w:lang w:val="en-GB"/>
        </w:rPr>
        <w:t xml:space="preserve"> is working and </w:t>
      </w:r>
      <w:r>
        <w:rPr>
          <w:rFonts w:ascii="Cambria" w:hAnsi="Cambria"/>
          <w:i/>
          <w:sz w:val="24"/>
          <w:szCs w:val="24"/>
          <w:lang w:val="en-GB"/>
        </w:rPr>
        <w:t>how</w:t>
      </w:r>
      <w:r>
        <w:rPr>
          <w:rFonts w:ascii="Cambria" w:hAnsi="Cambria"/>
          <w:sz w:val="24"/>
          <w:szCs w:val="24"/>
          <w:lang w:val="en-GB"/>
        </w:rPr>
        <w:t xml:space="preserve"> and </w:t>
      </w:r>
      <w:r>
        <w:rPr>
          <w:rFonts w:ascii="Cambria" w:hAnsi="Cambria"/>
          <w:i/>
          <w:sz w:val="24"/>
          <w:szCs w:val="24"/>
          <w:lang w:val="en-GB"/>
        </w:rPr>
        <w:t>why</w:t>
      </w:r>
      <w:r>
        <w:rPr>
          <w:rFonts w:ascii="Cambria" w:hAnsi="Cambria"/>
          <w:sz w:val="24"/>
          <w:szCs w:val="24"/>
          <w:lang w:val="en-GB"/>
        </w:rPr>
        <w:t xml:space="preserve"> it worked. </w:t>
      </w:r>
      <w:r>
        <w:rPr>
          <w:rFonts w:ascii="Cambria" w:hAnsi="Cambria" w:cs="Verdana"/>
          <w:sz w:val="24"/>
          <w:szCs w:val="24"/>
        </w:rPr>
        <w:t>These require c</w:t>
      </w:r>
      <w:r>
        <w:rPr>
          <w:rFonts w:ascii="Cambria" w:hAnsi="Cambria" w:cs="Verdana"/>
          <w:sz w:val="24"/>
          <w:szCs w:val="24"/>
        </w:rPr>
        <w:t>areful design and implementation, often involving multiple actors, both public and private.</w:t>
      </w:r>
    </w:p>
    <w:p w:rsidR="003631F9" w:rsidRDefault="003631F9">
      <w:pPr>
        <w:spacing w:after="0" w:line="240" w:lineRule="auto"/>
        <w:jc w:val="both"/>
        <w:rPr>
          <w:rFonts w:ascii="Cambria" w:hAnsi="Cambria" w:cs="Verdana"/>
          <w:sz w:val="24"/>
          <w:szCs w:val="24"/>
        </w:rPr>
      </w:pPr>
    </w:p>
    <w:p w:rsidR="003631F9" w:rsidRDefault="00D94C52">
      <w:pPr>
        <w:spacing w:after="0" w:line="240" w:lineRule="auto"/>
        <w:jc w:val="both"/>
      </w:pPr>
      <w:r>
        <w:rPr>
          <w:rFonts w:ascii="Cambria" w:hAnsi="Cambria" w:cs="Verdana"/>
          <w:sz w:val="24"/>
          <w:szCs w:val="24"/>
        </w:rPr>
        <w:t>The MAP has two types of grants:  Activity grants and Research Grants.</w:t>
      </w:r>
    </w:p>
    <w:p w:rsidR="003631F9" w:rsidRDefault="003631F9">
      <w:pPr>
        <w:spacing w:after="0" w:line="240" w:lineRule="auto"/>
        <w:jc w:val="both"/>
        <w:rPr>
          <w:rFonts w:ascii="Cambria" w:hAnsi="Cambria"/>
          <w:sz w:val="24"/>
          <w:szCs w:val="24"/>
        </w:rPr>
      </w:pPr>
    </w:p>
    <w:p w:rsidR="003631F9" w:rsidRDefault="00D94C52">
      <w:pPr>
        <w:spacing w:after="0" w:line="240" w:lineRule="auto"/>
        <w:jc w:val="both"/>
        <w:rPr>
          <w:rFonts w:ascii="Cambria" w:hAnsi="Cambria"/>
          <w:b/>
          <w:sz w:val="26"/>
          <w:szCs w:val="26"/>
          <w:lang w:val="en-GB"/>
        </w:rPr>
      </w:pPr>
      <w:r>
        <w:rPr>
          <w:rFonts w:ascii="Cambria" w:hAnsi="Cambria"/>
          <w:b/>
          <w:sz w:val="26"/>
          <w:szCs w:val="26"/>
          <w:lang w:val="en-GB"/>
        </w:rPr>
        <w:t>Activity Grants (Euro125,000)</w:t>
      </w:r>
    </w:p>
    <w:p w:rsidR="003631F9" w:rsidRDefault="003631F9">
      <w:pPr>
        <w:autoSpaceDE w:val="0"/>
        <w:spacing w:after="0" w:line="240" w:lineRule="auto"/>
        <w:jc w:val="both"/>
        <w:rPr>
          <w:rFonts w:ascii="Cambria" w:hAnsi="Cambria" w:cs="Verdana,Bold"/>
          <w:b/>
          <w:bCs/>
          <w:sz w:val="24"/>
          <w:szCs w:val="24"/>
        </w:rPr>
      </w:pPr>
    </w:p>
    <w:p w:rsidR="003631F9" w:rsidRDefault="00D94C52">
      <w:pPr>
        <w:autoSpaceDE w:val="0"/>
        <w:spacing w:after="0" w:line="240" w:lineRule="auto"/>
        <w:jc w:val="both"/>
      </w:pPr>
      <w:r>
        <w:rPr>
          <w:rFonts w:ascii="Cambria" w:hAnsi="Cambria" w:cs="Verdana"/>
          <w:sz w:val="24"/>
          <w:szCs w:val="24"/>
        </w:rPr>
        <w:t>Proposals should be for activities that fund</w:t>
      </w:r>
      <w:r>
        <w:rPr>
          <w:rFonts w:ascii="Cambria" w:hAnsi="Cambria" w:cs="Verdana,Bold"/>
          <w:b/>
          <w:bCs/>
          <w:sz w:val="24"/>
          <w:szCs w:val="24"/>
        </w:rPr>
        <w:t xml:space="preserve"> </w:t>
      </w:r>
      <w:r>
        <w:rPr>
          <w:rFonts w:ascii="Cambria" w:hAnsi="Cambria" w:cs="Verdana"/>
          <w:sz w:val="24"/>
          <w:szCs w:val="24"/>
        </w:rPr>
        <w:t xml:space="preserve">specific </w:t>
      </w:r>
      <w:r>
        <w:rPr>
          <w:rFonts w:ascii="Cambria" w:hAnsi="Cambria" w:cs="Verdana"/>
          <w:sz w:val="24"/>
          <w:szCs w:val="24"/>
        </w:rPr>
        <w:t>interventions aimed to improve financial access. These may include activities related to:</w:t>
      </w:r>
    </w:p>
    <w:p w:rsidR="003631F9" w:rsidRDefault="003631F9">
      <w:pPr>
        <w:autoSpaceDE w:val="0"/>
        <w:spacing w:after="0" w:line="240" w:lineRule="auto"/>
        <w:jc w:val="both"/>
        <w:rPr>
          <w:rFonts w:ascii="Cambria" w:hAnsi="Cambria" w:cs="Verdana"/>
          <w:sz w:val="24"/>
          <w:szCs w:val="24"/>
        </w:rPr>
      </w:pPr>
    </w:p>
    <w:p w:rsidR="003631F9" w:rsidRDefault="00D94C52">
      <w:pPr>
        <w:autoSpaceDE w:val="0"/>
        <w:spacing w:after="0" w:line="240" w:lineRule="auto"/>
        <w:jc w:val="both"/>
      </w:pPr>
      <w:r>
        <w:rPr>
          <w:rFonts w:ascii="Cambria" w:hAnsi="Cambria" w:cs="Verdana"/>
          <w:i/>
          <w:sz w:val="24"/>
          <w:szCs w:val="24"/>
        </w:rPr>
        <w:t>Supply side perspective</w:t>
      </w:r>
      <w:r>
        <w:rPr>
          <w:rFonts w:ascii="Cambria" w:hAnsi="Cambria" w:cs="Verdana"/>
          <w:sz w:val="24"/>
          <w:szCs w:val="24"/>
        </w:rPr>
        <w:t xml:space="preserve">: </w:t>
      </w:r>
    </w:p>
    <w:p w:rsidR="003631F9" w:rsidRDefault="003631F9">
      <w:pPr>
        <w:autoSpaceDE w:val="0"/>
        <w:spacing w:after="0" w:line="240" w:lineRule="auto"/>
        <w:jc w:val="both"/>
        <w:rPr>
          <w:rFonts w:ascii="Cambria" w:hAnsi="Cambria" w:cs="Verdana"/>
          <w:sz w:val="24"/>
          <w:szCs w:val="24"/>
        </w:rPr>
      </w:pPr>
    </w:p>
    <w:p w:rsidR="003631F9" w:rsidRDefault="00D94C52">
      <w:pPr>
        <w:numPr>
          <w:ilvl w:val="0"/>
          <w:numId w:val="1"/>
        </w:numPr>
        <w:suppressAutoHyphens w:val="0"/>
        <w:autoSpaceDE w:val="0"/>
        <w:spacing w:after="0" w:line="240" w:lineRule="auto"/>
        <w:ind w:left="360"/>
        <w:jc w:val="both"/>
        <w:textAlignment w:val="auto"/>
      </w:pPr>
      <w:r>
        <w:rPr>
          <w:rFonts w:ascii="Cambria" w:hAnsi="Cambria" w:cs="Verdana"/>
          <w:b/>
          <w:i/>
          <w:sz w:val="24"/>
          <w:szCs w:val="24"/>
        </w:rPr>
        <w:t>Sound regulatory and supervisory systems and agencies</w:t>
      </w:r>
      <w:r>
        <w:rPr>
          <w:rFonts w:ascii="Cambria" w:hAnsi="Cambria" w:cs="Verdana"/>
          <w:sz w:val="24"/>
          <w:szCs w:val="24"/>
        </w:rPr>
        <w:t xml:space="preserve">: </w:t>
      </w:r>
      <w:r>
        <w:rPr>
          <w:rFonts w:ascii="Cambria" w:hAnsi="Cambria"/>
          <w:sz w:val="24"/>
          <w:szCs w:val="24"/>
        </w:rPr>
        <w:t xml:space="preserve">improving technical capacities for new prudential regulations and supporting </w:t>
      </w:r>
      <w:r>
        <w:rPr>
          <w:rFonts w:ascii="Cambria" w:hAnsi="Cambria"/>
          <w:sz w:val="24"/>
          <w:szCs w:val="24"/>
        </w:rPr>
        <w:t xml:space="preserve">regulations for clear banking resolutions rules, effective deposit insurance schemes or consumer, creditor and investor legal rights protections. </w:t>
      </w:r>
    </w:p>
    <w:p w:rsidR="003631F9" w:rsidRDefault="003631F9">
      <w:pPr>
        <w:autoSpaceDE w:val="0"/>
        <w:spacing w:after="0" w:line="240" w:lineRule="auto"/>
        <w:ind w:left="360"/>
        <w:jc w:val="both"/>
        <w:rPr>
          <w:rFonts w:ascii="Cambria" w:hAnsi="Cambria" w:cs="Verdana"/>
          <w:sz w:val="24"/>
          <w:szCs w:val="24"/>
        </w:rPr>
      </w:pPr>
    </w:p>
    <w:p w:rsidR="003631F9" w:rsidRDefault="00D94C52">
      <w:pPr>
        <w:numPr>
          <w:ilvl w:val="0"/>
          <w:numId w:val="1"/>
        </w:numPr>
        <w:suppressAutoHyphens w:val="0"/>
        <w:autoSpaceDE w:val="0"/>
        <w:spacing w:after="0" w:line="240" w:lineRule="auto"/>
        <w:ind w:left="360"/>
        <w:jc w:val="both"/>
        <w:textAlignment w:val="auto"/>
      </w:pPr>
      <w:r>
        <w:rPr>
          <w:rFonts w:ascii="Cambria" w:hAnsi="Cambria" w:cs="Verdana"/>
          <w:b/>
          <w:i/>
          <w:sz w:val="24"/>
          <w:szCs w:val="24"/>
        </w:rPr>
        <w:t>New technologies to improve financial inclusion</w:t>
      </w:r>
      <w:r>
        <w:rPr>
          <w:rFonts w:ascii="Cambria" w:hAnsi="Cambria" w:cs="Verdana"/>
          <w:sz w:val="24"/>
          <w:szCs w:val="24"/>
        </w:rPr>
        <w:t xml:space="preserve">: promoting regulations and projects to adapt lending to SME </w:t>
      </w:r>
      <w:r>
        <w:rPr>
          <w:rFonts w:ascii="Cambria" w:hAnsi="Cambria" w:cs="Verdana"/>
          <w:sz w:val="24"/>
          <w:szCs w:val="24"/>
        </w:rPr>
        <w:t xml:space="preserve">requirements, such as </w:t>
      </w:r>
      <w:r>
        <w:rPr>
          <w:rFonts w:ascii="Cambria" w:hAnsi="Cambria"/>
          <w:sz w:val="24"/>
          <w:szCs w:val="24"/>
        </w:rPr>
        <w:t>credit scoring technol</w:t>
      </w:r>
      <w:r>
        <w:rPr>
          <w:rFonts w:ascii="Cambria" w:hAnsi="Cambria"/>
          <w:sz w:val="24"/>
          <w:szCs w:val="24"/>
        </w:rPr>
        <w:t>o</w:t>
      </w:r>
      <w:r>
        <w:rPr>
          <w:rFonts w:ascii="Cambria" w:hAnsi="Cambria"/>
          <w:sz w:val="24"/>
          <w:szCs w:val="24"/>
        </w:rPr>
        <w:t xml:space="preserve">gies, asset-back lending, factoring, and trade or supplier credits. </w:t>
      </w:r>
    </w:p>
    <w:p w:rsidR="003631F9" w:rsidRDefault="003631F9">
      <w:pPr>
        <w:autoSpaceDE w:val="0"/>
        <w:spacing w:after="0" w:line="240" w:lineRule="auto"/>
        <w:jc w:val="both"/>
        <w:rPr>
          <w:rFonts w:ascii="Cambria" w:hAnsi="Cambria" w:cs="Verdana"/>
          <w:sz w:val="24"/>
          <w:szCs w:val="24"/>
        </w:rPr>
      </w:pPr>
    </w:p>
    <w:p w:rsidR="003631F9" w:rsidRDefault="00D94C52">
      <w:pPr>
        <w:numPr>
          <w:ilvl w:val="0"/>
          <w:numId w:val="1"/>
        </w:numPr>
        <w:suppressAutoHyphens w:val="0"/>
        <w:autoSpaceDE w:val="0"/>
        <w:spacing w:after="0" w:line="240" w:lineRule="auto"/>
        <w:ind w:left="360"/>
        <w:jc w:val="both"/>
        <w:textAlignment w:val="auto"/>
      </w:pPr>
      <w:r>
        <w:rPr>
          <w:rFonts w:ascii="Cambria" w:hAnsi="Cambria"/>
          <w:b/>
          <w:i/>
          <w:sz w:val="24"/>
          <w:szCs w:val="24"/>
        </w:rPr>
        <w:t>Better financial information of SME</w:t>
      </w:r>
      <w:r>
        <w:rPr>
          <w:rFonts w:ascii="Cambria" w:hAnsi="Cambria"/>
          <w:sz w:val="24"/>
          <w:szCs w:val="24"/>
        </w:rPr>
        <w:t>: credit bureaus and information systems that report on a client´s history of bill repayment and permit th</w:t>
      </w:r>
      <w:r>
        <w:rPr>
          <w:rFonts w:ascii="Cambria" w:hAnsi="Cambria"/>
          <w:sz w:val="24"/>
          <w:szCs w:val="24"/>
        </w:rPr>
        <w:t xml:space="preserve">e development and use of new techniques to overcome SMEs lax financial records.  </w:t>
      </w:r>
    </w:p>
    <w:p w:rsidR="003631F9" w:rsidRDefault="003631F9">
      <w:pPr>
        <w:suppressAutoHyphens w:val="0"/>
        <w:autoSpaceDE w:val="0"/>
        <w:spacing w:after="0" w:line="240" w:lineRule="auto"/>
        <w:jc w:val="both"/>
        <w:textAlignment w:val="auto"/>
      </w:pPr>
    </w:p>
    <w:p w:rsidR="003631F9" w:rsidRDefault="00D94C52">
      <w:pPr>
        <w:numPr>
          <w:ilvl w:val="0"/>
          <w:numId w:val="1"/>
        </w:numPr>
        <w:suppressAutoHyphens w:val="0"/>
        <w:autoSpaceDE w:val="0"/>
        <w:spacing w:after="0" w:line="240" w:lineRule="auto"/>
        <w:ind w:left="360"/>
        <w:jc w:val="both"/>
        <w:textAlignment w:val="auto"/>
      </w:pPr>
      <w:r>
        <w:rPr>
          <w:rFonts w:ascii="Cambria" w:hAnsi="Cambria" w:cs="Verdana"/>
          <w:b/>
          <w:i/>
          <w:sz w:val="24"/>
          <w:szCs w:val="24"/>
        </w:rPr>
        <w:t xml:space="preserve">Impact Evaluation of SME Finance Policies and Institutions: </w:t>
      </w:r>
      <w:r>
        <w:rPr>
          <w:rFonts w:ascii="Cambria" w:hAnsi="Cambria" w:cs="Verdana"/>
          <w:sz w:val="24"/>
          <w:szCs w:val="24"/>
        </w:rPr>
        <w:t>use of analytical tools to identify and measure the impact of SME finance policies and institutions on productivi</w:t>
      </w:r>
      <w:r>
        <w:rPr>
          <w:rFonts w:ascii="Cambria" w:hAnsi="Cambria" w:cs="Verdana"/>
          <w:sz w:val="24"/>
          <w:szCs w:val="24"/>
        </w:rPr>
        <w:t xml:space="preserve">ty of firms. Developing rigorous tools to assess impact and draw lessons learned.  </w:t>
      </w:r>
    </w:p>
    <w:p w:rsidR="003631F9" w:rsidRDefault="003631F9">
      <w:pPr>
        <w:autoSpaceDE w:val="0"/>
        <w:spacing w:after="0" w:line="240" w:lineRule="auto"/>
        <w:jc w:val="both"/>
        <w:rPr>
          <w:rFonts w:ascii="Cambria" w:hAnsi="Cambria" w:cs="Verdana"/>
          <w:i/>
          <w:sz w:val="24"/>
          <w:szCs w:val="24"/>
        </w:rPr>
      </w:pPr>
    </w:p>
    <w:p w:rsidR="003631F9" w:rsidRDefault="00D94C52">
      <w:pPr>
        <w:autoSpaceDE w:val="0"/>
        <w:spacing w:after="0" w:line="240" w:lineRule="auto"/>
        <w:jc w:val="both"/>
      </w:pPr>
      <w:r>
        <w:rPr>
          <w:rFonts w:ascii="Cambria" w:hAnsi="Cambria" w:cs="Verdana"/>
          <w:i/>
          <w:sz w:val="24"/>
          <w:szCs w:val="24"/>
        </w:rPr>
        <w:t>Demand side perspective</w:t>
      </w:r>
      <w:r>
        <w:rPr>
          <w:rFonts w:ascii="Cambria" w:hAnsi="Cambria" w:cs="Verdana"/>
          <w:sz w:val="24"/>
          <w:szCs w:val="24"/>
        </w:rPr>
        <w:t xml:space="preserve">: </w:t>
      </w:r>
    </w:p>
    <w:p w:rsidR="003631F9" w:rsidRDefault="003631F9">
      <w:pPr>
        <w:autoSpaceDE w:val="0"/>
        <w:spacing w:after="0" w:line="240" w:lineRule="auto"/>
        <w:rPr>
          <w:rFonts w:ascii="Cambria" w:hAnsi="Cambria" w:cs="Verdana"/>
          <w:sz w:val="24"/>
          <w:szCs w:val="24"/>
        </w:rPr>
      </w:pPr>
    </w:p>
    <w:p w:rsidR="003631F9" w:rsidRDefault="00D94C52">
      <w:pPr>
        <w:numPr>
          <w:ilvl w:val="0"/>
          <w:numId w:val="2"/>
        </w:numPr>
        <w:suppressAutoHyphens w:val="0"/>
        <w:autoSpaceDE w:val="0"/>
        <w:spacing w:after="0" w:line="240" w:lineRule="auto"/>
        <w:ind w:left="360"/>
        <w:jc w:val="both"/>
        <w:textAlignment w:val="auto"/>
      </w:pPr>
      <w:r>
        <w:rPr>
          <w:rFonts w:ascii="Cambria" w:hAnsi="Cambria" w:cs="Verdana"/>
          <w:b/>
          <w:i/>
          <w:sz w:val="24"/>
          <w:szCs w:val="24"/>
        </w:rPr>
        <w:t xml:space="preserve">Secure transactions frameworks and collateral facilities: </w:t>
      </w:r>
      <w:r>
        <w:rPr>
          <w:rFonts w:ascii="Cambria" w:hAnsi="Cambria" w:cs="Verdana"/>
          <w:sz w:val="24"/>
          <w:szCs w:val="24"/>
        </w:rPr>
        <w:t xml:space="preserve">regulations and projects directed at improving the </w:t>
      </w:r>
      <w:r>
        <w:rPr>
          <w:rFonts w:ascii="Cambria" w:hAnsi="Cambria" w:cs="Verdana"/>
          <w:i/>
          <w:sz w:val="24"/>
          <w:szCs w:val="24"/>
        </w:rPr>
        <w:t>bankability</w:t>
      </w:r>
      <w:r>
        <w:rPr>
          <w:rFonts w:ascii="Cambria" w:hAnsi="Cambria" w:cs="Verdana"/>
          <w:sz w:val="24"/>
          <w:szCs w:val="24"/>
        </w:rPr>
        <w:t xml:space="preserve"> of projects through the</w:t>
      </w:r>
      <w:r>
        <w:rPr>
          <w:rFonts w:ascii="Cambria" w:hAnsi="Cambria" w:cs="Verdana"/>
          <w:sz w:val="24"/>
          <w:szCs w:val="24"/>
        </w:rPr>
        <w:t xml:space="preserve"> </w:t>
      </w:r>
      <w:r>
        <w:rPr>
          <w:rFonts w:ascii="Cambria" w:hAnsi="Cambria"/>
          <w:sz w:val="24"/>
          <w:szCs w:val="24"/>
        </w:rPr>
        <w:t>creation, perfection, and enforcement of security interests in assets like inventories, a</w:t>
      </w:r>
      <w:r>
        <w:rPr>
          <w:rFonts w:ascii="Cambria" w:hAnsi="Cambria"/>
          <w:sz w:val="24"/>
          <w:szCs w:val="24"/>
        </w:rPr>
        <w:t>c</w:t>
      </w:r>
      <w:r>
        <w:rPr>
          <w:rFonts w:ascii="Cambria" w:hAnsi="Cambria"/>
          <w:sz w:val="24"/>
          <w:szCs w:val="24"/>
        </w:rPr>
        <w:t xml:space="preserve">counts receivables, equipment, and forward sales contracts. </w:t>
      </w:r>
    </w:p>
    <w:p w:rsidR="003631F9" w:rsidRDefault="003631F9">
      <w:pPr>
        <w:autoSpaceDE w:val="0"/>
        <w:spacing w:after="0" w:line="240" w:lineRule="auto"/>
        <w:ind w:left="-360"/>
        <w:jc w:val="both"/>
        <w:rPr>
          <w:rFonts w:ascii="Cambria" w:hAnsi="Cambria" w:cs="Verdana"/>
          <w:sz w:val="24"/>
          <w:szCs w:val="24"/>
        </w:rPr>
      </w:pPr>
    </w:p>
    <w:p w:rsidR="003631F9" w:rsidRDefault="00D94C52">
      <w:pPr>
        <w:numPr>
          <w:ilvl w:val="0"/>
          <w:numId w:val="2"/>
        </w:numPr>
        <w:suppressAutoHyphens w:val="0"/>
        <w:autoSpaceDE w:val="0"/>
        <w:spacing w:after="0" w:line="240" w:lineRule="auto"/>
        <w:ind w:left="360"/>
        <w:jc w:val="both"/>
        <w:textAlignment w:val="auto"/>
      </w:pPr>
      <w:r>
        <w:rPr>
          <w:rFonts w:ascii="Cambria" w:hAnsi="Cambria" w:cs="Verdana"/>
          <w:b/>
          <w:i/>
          <w:sz w:val="24"/>
          <w:szCs w:val="24"/>
        </w:rPr>
        <w:t>Better financial literacy of SMEs</w:t>
      </w:r>
      <w:r>
        <w:rPr>
          <w:rFonts w:ascii="Cambria" w:hAnsi="Cambria" w:cs="Verdana"/>
          <w:sz w:val="24"/>
          <w:szCs w:val="24"/>
        </w:rPr>
        <w:t xml:space="preserve">: financial management </w:t>
      </w:r>
      <w:r>
        <w:rPr>
          <w:rFonts w:ascii="Cambria" w:hAnsi="Cambria"/>
          <w:sz w:val="24"/>
          <w:szCs w:val="24"/>
        </w:rPr>
        <w:t>training programs for SMEs to increase their kn</w:t>
      </w:r>
      <w:r>
        <w:rPr>
          <w:rFonts w:ascii="Cambria" w:hAnsi="Cambria"/>
          <w:sz w:val="24"/>
          <w:szCs w:val="24"/>
        </w:rPr>
        <w:t>owledge and use of different financial products and f</w:t>
      </w:r>
      <w:r>
        <w:rPr>
          <w:rFonts w:ascii="Cambria" w:hAnsi="Cambria"/>
          <w:sz w:val="24"/>
          <w:szCs w:val="24"/>
        </w:rPr>
        <w:t>i</w:t>
      </w:r>
      <w:r>
        <w:rPr>
          <w:rFonts w:ascii="Cambria" w:hAnsi="Cambria"/>
          <w:sz w:val="24"/>
          <w:szCs w:val="24"/>
        </w:rPr>
        <w:t xml:space="preserve">nancing alternatives. </w:t>
      </w:r>
    </w:p>
    <w:p w:rsidR="003631F9" w:rsidRDefault="003631F9">
      <w:pPr>
        <w:autoSpaceDE w:val="0"/>
        <w:spacing w:after="0" w:line="240" w:lineRule="auto"/>
        <w:jc w:val="both"/>
        <w:rPr>
          <w:rFonts w:ascii="Cambria" w:hAnsi="Cambria" w:cs="Verdana"/>
          <w:sz w:val="24"/>
          <w:szCs w:val="24"/>
        </w:rPr>
      </w:pPr>
    </w:p>
    <w:p w:rsidR="003631F9" w:rsidRDefault="00D94C52">
      <w:pPr>
        <w:numPr>
          <w:ilvl w:val="0"/>
          <w:numId w:val="2"/>
        </w:numPr>
        <w:suppressAutoHyphens w:val="0"/>
        <w:autoSpaceDE w:val="0"/>
        <w:spacing w:after="0" w:line="240" w:lineRule="auto"/>
        <w:ind w:left="360"/>
        <w:jc w:val="both"/>
        <w:textAlignment w:val="auto"/>
      </w:pPr>
      <w:r>
        <w:rPr>
          <w:rFonts w:ascii="Cambria" w:hAnsi="Cambria"/>
          <w:b/>
          <w:i/>
          <w:sz w:val="24"/>
          <w:szCs w:val="24"/>
        </w:rPr>
        <w:t>Integrated financial and productive development policies</w:t>
      </w:r>
      <w:r>
        <w:rPr>
          <w:rFonts w:ascii="Cambria" w:hAnsi="Cambria"/>
          <w:b/>
          <w:sz w:val="24"/>
          <w:szCs w:val="24"/>
        </w:rPr>
        <w:t xml:space="preserve">: </w:t>
      </w:r>
      <w:r>
        <w:rPr>
          <w:rFonts w:ascii="Cambria" w:hAnsi="Cambria"/>
          <w:sz w:val="24"/>
          <w:szCs w:val="24"/>
        </w:rPr>
        <w:t>supporting activ</w:t>
      </w:r>
      <w:r>
        <w:rPr>
          <w:rFonts w:ascii="Cambria" w:hAnsi="Cambria"/>
          <w:sz w:val="24"/>
          <w:szCs w:val="24"/>
        </w:rPr>
        <w:t>i</w:t>
      </w:r>
      <w:r>
        <w:rPr>
          <w:rFonts w:ascii="Cambria" w:hAnsi="Cambria"/>
          <w:sz w:val="24"/>
          <w:szCs w:val="24"/>
        </w:rPr>
        <w:t>ties directed at establishing services to SMEs that combine a financial with a productive component, su</w:t>
      </w:r>
      <w:r>
        <w:rPr>
          <w:rFonts w:ascii="Cambria" w:hAnsi="Cambria"/>
          <w:sz w:val="24"/>
          <w:szCs w:val="24"/>
        </w:rPr>
        <w:t xml:space="preserve">ch as credit with training. </w:t>
      </w:r>
    </w:p>
    <w:p w:rsidR="003631F9" w:rsidRDefault="003631F9">
      <w:pPr>
        <w:autoSpaceDE w:val="0"/>
        <w:spacing w:after="0" w:line="240" w:lineRule="auto"/>
        <w:jc w:val="both"/>
        <w:rPr>
          <w:rFonts w:ascii="Cambria" w:hAnsi="Cambria" w:cs="Verdana"/>
          <w:sz w:val="24"/>
          <w:szCs w:val="24"/>
        </w:rPr>
      </w:pPr>
    </w:p>
    <w:p w:rsidR="003631F9" w:rsidRDefault="00D94C52">
      <w:pPr>
        <w:numPr>
          <w:ilvl w:val="0"/>
          <w:numId w:val="2"/>
        </w:numPr>
        <w:suppressAutoHyphens w:val="0"/>
        <w:autoSpaceDE w:val="0"/>
        <w:spacing w:after="0" w:line="240" w:lineRule="auto"/>
        <w:ind w:left="360"/>
        <w:jc w:val="both"/>
        <w:textAlignment w:val="auto"/>
      </w:pPr>
      <w:r>
        <w:rPr>
          <w:rFonts w:ascii="Cambria" w:hAnsi="Cambria" w:cs="Verdana"/>
          <w:b/>
          <w:i/>
          <w:sz w:val="24"/>
          <w:szCs w:val="24"/>
        </w:rPr>
        <w:t>Financing high growth potential sectors or clusters</w:t>
      </w:r>
      <w:r>
        <w:rPr>
          <w:rFonts w:ascii="Cambria" w:hAnsi="Cambria" w:cs="Verdana"/>
          <w:sz w:val="24"/>
          <w:szCs w:val="24"/>
        </w:rPr>
        <w:t xml:space="preserve">: supporting the definition and execution of strategies directed at financing SMEs in sectors or clusters with high growth potential, such as green projects and others. </w:t>
      </w:r>
    </w:p>
    <w:p w:rsidR="003631F9" w:rsidRDefault="003631F9">
      <w:pPr>
        <w:suppressAutoHyphens w:val="0"/>
        <w:autoSpaceDE w:val="0"/>
        <w:spacing w:after="0" w:line="240" w:lineRule="auto"/>
        <w:ind w:left="360"/>
        <w:jc w:val="both"/>
        <w:textAlignment w:val="auto"/>
        <w:rPr>
          <w:rFonts w:ascii="Cambria" w:hAnsi="Cambria" w:cs="Verdana"/>
          <w:sz w:val="24"/>
          <w:szCs w:val="24"/>
        </w:rPr>
      </w:pPr>
    </w:p>
    <w:p w:rsidR="003631F9" w:rsidRDefault="00D94C52">
      <w:pPr>
        <w:numPr>
          <w:ilvl w:val="0"/>
          <w:numId w:val="1"/>
        </w:numPr>
        <w:suppressAutoHyphens w:val="0"/>
        <w:autoSpaceDE w:val="0"/>
        <w:spacing w:after="0" w:line="240" w:lineRule="auto"/>
        <w:ind w:left="360"/>
        <w:jc w:val="both"/>
        <w:textAlignment w:val="auto"/>
      </w:pPr>
      <w:r>
        <w:rPr>
          <w:rFonts w:ascii="Cambria" w:hAnsi="Cambria" w:cs="Verdana"/>
          <w:b/>
          <w:i/>
          <w:sz w:val="24"/>
          <w:szCs w:val="24"/>
        </w:rPr>
        <w:t>Valu</w:t>
      </w:r>
      <w:r>
        <w:rPr>
          <w:rFonts w:ascii="Cambria" w:hAnsi="Cambria" w:cs="Verdana"/>
          <w:b/>
          <w:i/>
          <w:sz w:val="24"/>
          <w:szCs w:val="24"/>
        </w:rPr>
        <w:t>e Chain Financing models:</w:t>
      </w:r>
      <w:r>
        <w:t xml:space="preserve"> </w:t>
      </w:r>
      <w:r>
        <w:rPr>
          <w:rFonts w:ascii="Cambria" w:hAnsi="Cambria" w:cs="Verdana"/>
          <w:sz w:val="24"/>
          <w:szCs w:val="24"/>
        </w:rPr>
        <w:t>use of linkages between SMEs and larger firms in order to strengthen their creditworthiness with external financiers or the use of this modality to obtain direct financing from other firms in the chain or clu</w:t>
      </w:r>
      <w:r>
        <w:rPr>
          <w:rFonts w:ascii="Cambria" w:hAnsi="Cambria" w:cs="Verdana"/>
          <w:sz w:val="24"/>
          <w:szCs w:val="24"/>
        </w:rPr>
        <w:t>s</w:t>
      </w:r>
      <w:r>
        <w:rPr>
          <w:rFonts w:ascii="Cambria" w:hAnsi="Cambria" w:cs="Verdana"/>
          <w:sz w:val="24"/>
          <w:szCs w:val="24"/>
        </w:rPr>
        <w:t xml:space="preserve">ter.  </w:t>
      </w:r>
    </w:p>
    <w:p w:rsidR="003631F9" w:rsidRDefault="003631F9">
      <w:pPr>
        <w:autoSpaceDE w:val="0"/>
        <w:spacing w:after="0" w:line="240" w:lineRule="auto"/>
        <w:rPr>
          <w:rFonts w:ascii="Cambria" w:hAnsi="Cambria" w:cs="Verdana"/>
          <w:sz w:val="24"/>
          <w:szCs w:val="24"/>
        </w:rPr>
      </w:pPr>
    </w:p>
    <w:p w:rsidR="003631F9" w:rsidRDefault="00D94C52">
      <w:pPr>
        <w:autoSpaceDE w:val="0"/>
        <w:spacing w:after="0" w:line="240" w:lineRule="auto"/>
        <w:jc w:val="both"/>
        <w:rPr>
          <w:rFonts w:ascii="Cambria" w:hAnsi="Cambria" w:cs="Verdana,Bold"/>
          <w:b/>
          <w:bCs/>
          <w:sz w:val="26"/>
          <w:szCs w:val="26"/>
        </w:rPr>
      </w:pPr>
      <w:r>
        <w:rPr>
          <w:rFonts w:ascii="Cambria" w:hAnsi="Cambria" w:cs="Verdana,Bold"/>
          <w:b/>
          <w:bCs/>
          <w:sz w:val="26"/>
          <w:szCs w:val="26"/>
        </w:rPr>
        <w:t>Research Gran</w:t>
      </w:r>
      <w:r>
        <w:rPr>
          <w:rFonts w:ascii="Cambria" w:hAnsi="Cambria" w:cs="Verdana,Bold"/>
          <w:b/>
          <w:bCs/>
          <w:sz w:val="26"/>
          <w:szCs w:val="26"/>
        </w:rPr>
        <w:t>ts (Euro15,000)</w:t>
      </w:r>
    </w:p>
    <w:p w:rsidR="003631F9" w:rsidRDefault="003631F9">
      <w:pPr>
        <w:autoSpaceDE w:val="0"/>
        <w:spacing w:after="0" w:line="240" w:lineRule="auto"/>
        <w:jc w:val="both"/>
        <w:rPr>
          <w:rFonts w:ascii="Cambria" w:hAnsi="Cambria" w:cs="Verdana,Bold"/>
          <w:b/>
          <w:bCs/>
          <w:sz w:val="24"/>
          <w:szCs w:val="24"/>
        </w:rPr>
      </w:pPr>
    </w:p>
    <w:p w:rsidR="003631F9" w:rsidRDefault="00D94C52">
      <w:pPr>
        <w:autoSpaceDE w:val="0"/>
        <w:spacing w:after="0" w:line="240" w:lineRule="auto"/>
        <w:jc w:val="both"/>
        <w:rPr>
          <w:rFonts w:ascii="Cambria" w:hAnsi="Cambria" w:cs="Verdana"/>
          <w:sz w:val="24"/>
          <w:szCs w:val="24"/>
        </w:rPr>
      </w:pPr>
      <w:r>
        <w:rPr>
          <w:rFonts w:ascii="Cambria" w:hAnsi="Cambria" w:cs="Verdana"/>
          <w:sz w:val="24"/>
          <w:szCs w:val="24"/>
        </w:rPr>
        <w:t>Proposals will be considered for studies on the topics stated above. These studies should be empirically based cases or comparative studies that use relevant data sources to produce high quality research findings.</w:t>
      </w:r>
    </w:p>
    <w:p w:rsidR="003631F9" w:rsidRDefault="003631F9">
      <w:pPr>
        <w:autoSpaceDE w:val="0"/>
        <w:spacing w:after="0" w:line="240" w:lineRule="auto"/>
        <w:jc w:val="both"/>
        <w:rPr>
          <w:rFonts w:ascii="Cambria" w:hAnsi="Cambria" w:cs="Verdana"/>
          <w:sz w:val="24"/>
          <w:szCs w:val="24"/>
        </w:rPr>
      </w:pPr>
    </w:p>
    <w:p w:rsidR="003631F9" w:rsidRDefault="00D94C52">
      <w:pPr>
        <w:autoSpaceDE w:val="0"/>
        <w:spacing w:after="0" w:line="240" w:lineRule="auto"/>
        <w:jc w:val="both"/>
      </w:pPr>
      <w:r>
        <w:rPr>
          <w:rFonts w:ascii="Cambria" w:hAnsi="Cambria" w:cs="Verdana"/>
          <w:sz w:val="24"/>
          <w:szCs w:val="24"/>
        </w:rPr>
        <w:t xml:space="preserve">The research activities </w:t>
      </w:r>
      <w:r>
        <w:rPr>
          <w:rFonts w:ascii="Cambria" w:hAnsi="Cambria" w:cs="Verdana"/>
          <w:sz w:val="24"/>
          <w:szCs w:val="24"/>
        </w:rPr>
        <w:t>will favor studies based on firm-level data, surveys or similar data sources. The methodologies proposed may be comparative studies that examine different policy regimes and their effects; applied statistical techniques that estimate the factors that influ</w:t>
      </w:r>
      <w:r>
        <w:rPr>
          <w:rFonts w:ascii="Cambria" w:hAnsi="Cambria" w:cs="Verdana"/>
          <w:sz w:val="24"/>
          <w:szCs w:val="24"/>
        </w:rPr>
        <w:t>ence SMEs access to finance; or studies that highlight the impact of policy changes. For example, studies might examine the effect of improving financial regulations on SMEs access to credit or evaluate the impact of SMEs lending programs on firm’s product</w:t>
      </w:r>
      <w:r>
        <w:rPr>
          <w:rFonts w:ascii="Cambria" w:hAnsi="Cambria" w:cs="Verdana"/>
          <w:sz w:val="24"/>
          <w:szCs w:val="24"/>
        </w:rPr>
        <w:t xml:space="preserve">ivity and growth. </w:t>
      </w:r>
    </w:p>
    <w:p w:rsidR="003631F9" w:rsidRDefault="003631F9">
      <w:pPr>
        <w:jc w:val="both"/>
      </w:pPr>
    </w:p>
    <w:sectPr w:rsidR="003631F9" w:rsidSect="003631F9">
      <w:headerReference w:type="default" r:id="rId8"/>
      <w:footerReference w:type="default" r:id="rId9"/>
      <w:pgSz w:w="12240" w:h="15840"/>
      <w:pgMar w:top="1530" w:right="1800" w:bottom="180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F9" w:rsidRDefault="003631F9" w:rsidP="003631F9">
      <w:pPr>
        <w:spacing w:after="0" w:line="240" w:lineRule="auto"/>
      </w:pPr>
      <w:r>
        <w:separator/>
      </w:r>
    </w:p>
  </w:endnote>
  <w:endnote w:type="continuationSeparator" w:id="0">
    <w:p w:rsidR="003631F9" w:rsidRDefault="003631F9" w:rsidP="00363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alatinoLTStd-Roman">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Verdana,Bold">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F9" w:rsidRDefault="003631F9">
    <w:pPr>
      <w:pStyle w:val="Footer"/>
      <w:jc w:val="right"/>
    </w:pPr>
    <w:r>
      <w:t xml:space="preserve">Page | </w:t>
    </w:r>
    <w:fldSimple w:instr=" PAGE ">
      <w:r w:rsidR="00D94C52">
        <w:rPr>
          <w:noProof/>
        </w:rPr>
        <w:t>1</w:t>
      </w:r>
    </w:fldSimple>
  </w:p>
  <w:p w:rsidR="003631F9" w:rsidRDefault="00363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F9" w:rsidRDefault="00D94C52" w:rsidP="003631F9">
      <w:pPr>
        <w:spacing w:after="0" w:line="240" w:lineRule="auto"/>
      </w:pPr>
      <w:r w:rsidRPr="003631F9">
        <w:rPr>
          <w:color w:val="000000"/>
        </w:rPr>
        <w:separator/>
      </w:r>
    </w:p>
  </w:footnote>
  <w:footnote w:type="continuationSeparator" w:id="0">
    <w:p w:rsidR="003631F9" w:rsidRDefault="003631F9" w:rsidP="003631F9">
      <w:pPr>
        <w:spacing w:after="0" w:line="240" w:lineRule="auto"/>
      </w:pPr>
      <w:r>
        <w:continuationSeparator/>
      </w:r>
    </w:p>
  </w:footnote>
  <w:footnote w:id="1">
    <w:p w:rsidR="003631F9" w:rsidRDefault="00D94C52">
      <w:pPr>
        <w:jc w:val="both"/>
      </w:pPr>
      <w:r w:rsidRPr="003631F9">
        <w:rPr>
          <w:rStyle w:val="FootnoteReference"/>
        </w:rPr>
        <w:footnoteRef/>
      </w:r>
      <w:r>
        <w:rPr>
          <w:sz w:val="16"/>
          <w:szCs w:val="16"/>
          <w:lang w:val="pt-BR"/>
        </w:rPr>
        <w:t xml:space="preserve"> </w:t>
      </w:r>
      <w:r>
        <w:rPr>
          <w:color w:val="000000"/>
          <w:sz w:val="16"/>
          <w:szCs w:val="16"/>
          <w:lang w:val="pt-BR"/>
        </w:rPr>
        <w:t xml:space="preserve">Catão, Luis A. V, Carmen Pagés, and Maria Fernanda Rosales, 2009. </w:t>
      </w:r>
      <w:r>
        <w:rPr>
          <w:color w:val="000000"/>
          <w:sz w:val="16"/>
          <w:szCs w:val="16"/>
        </w:rPr>
        <w:t>“Financial Dependence, Formal Credit and Informal Jobs”.  IDB Working Paper Series, n</w:t>
      </w:r>
      <w:r>
        <w:rPr>
          <w:color w:val="000000"/>
          <w:sz w:val="16"/>
          <w:szCs w:val="16"/>
        </w:rPr>
        <w:t>o. IDB-WP-118.</w:t>
      </w:r>
    </w:p>
    <w:p w:rsidR="003631F9" w:rsidRDefault="003631F9">
      <w:pPr>
        <w:pStyle w:val="FootnoteText"/>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F9" w:rsidRDefault="003631F9">
    <w:pPr>
      <w:pStyle w:val="Header"/>
    </w:pPr>
    <w:r>
      <w:rPr>
        <w:noProof/>
      </w:rPr>
      <w:drawing>
        <wp:inline distT="0" distB="0" distL="0" distR="0">
          <wp:extent cx="1485269" cy="299722"/>
          <wp:effectExtent l="0" t="0" r="0" b="0"/>
          <wp:docPr id="1" name="Picture 1" descr="D:\DATA.IDB\ICF-CMF\ADM-PRO 1\TEMPLATES\ICF_e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85269" cy="299722"/>
                  </a:xfrm>
                  <a:prstGeom prst="rect">
                    <a:avLst/>
                  </a:prstGeom>
                  <a:noFill/>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648"/>
    <w:multiLevelType w:val="multilevel"/>
    <w:tmpl w:val="61CE8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E7F7A06"/>
    <w:multiLevelType w:val="multilevel"/>
    <w:tmpl w:val="F3E8B6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3631F9"/>
    <w:rsid w:val="003631F9"/>
    <w:rsid w:val="00D94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31F9"/>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631F9"/>
    <w:pPr>
      <w:ind w:left="720"/>
    </w:pPr>
  </w:style>
  <w:style w:type="paragraph" w:styleId="Header">
    <w:name w:val="header"/>
    <w:basedOn w:val="Normal"/>
    <w:rsid w:val="003631F9"/>
    <w:pPr>
      <w:tabs>
        <w:tab w:val="center" w:pos="4680"/>
        <w:tab w:val="right" w:pos="9360"/>
      </w:tabs>
      <w:spacing w:after="0" w:line="240" w:lineRule="auto"/>
    </w:pPr>
  </w:style>
  <w:style w:type="character" w:customStyle="1" w:styleId="HeaderChar">
    <w:name w:val="Header Char"/>
    <w:basedOn w:val="DefaultParagraphFont"/>
    <w:rsid w:val="003631F9"/>
  </w:style>
  <w:style w:type="paragraph" w:styleId="Footer">
    <w:name w:val="footer"/>
    <w:basedOn w:val="Normal"/>
    <w:rsid w:val="003631F9"/>
    <w:pPr>
      <w:tabs>
        <w:tab w:val="center" w:pos="4680"/>
        <w:tab w:val="right" w:pos="9360"/>
      </w:tabs>
      <w:spacing w:after="0" w:line="240" w:lineRule="auto"/>
    </w:pPr>
  </w:style>
  <w:style w:type="character" w:customStyle="1" w:styleId="FooterChar">
    <w:name w:val="Footer Char"/>
    <w:basedOn w:val="DefaultParagraphFont"/>
    <w:rsid w:val="003631F9"/>
  </w:style>
  <w:style w:type="paragraph" w:styleId="BalloonText">
    <w:name w:val="Balloon Text"/>
    <w:basedOn w:val="Normal"/>
    <w:rsid w:val="003631F9"/>
    <w:pPr>
      <w:spacing w:after="0" w:line="240" w:lineRule="auto"/>
    </w:pPr>
    <w:rPr>
      <w:rFonts w:ascii="Tahoma" w:hAnsi="Tahoma" w:cs="Tahoma"/>
      <w:sz w:val="16"/>
      <w:szCs w:val="16"/>
    </w:rPr>
  </w:style>
  <w:style w:type="character" w:customStyle="1" w:styleId="BalloonTextChar">
    <w:name w:val="Balloon Text Char"/>
    <w:basedOn w:val="DefaultParagraphFont"/>
    <w:rsid w:val="003631F9"/>
    <w:rPr>
      <w:rFonts w:ascii="Tahoma" w:hAnsi="Tahoma" w:cs="Tahoma"/>
      <w:sz w:val="16"/>
      <w:szCs w:val="16"/>
    </w:rPr>
  </w:style>
  <w:style w:type="paragraph" w:styleId="FootnoteText">
    <w:name w:val="footnote text"/>
    <w:basedOn w:val="Normal"/>
    <w:rsid w:val="003631F9"/>
    <w:pPr>
      <w:spacing w:after="0" w:line="240" w:lineRule="auto"/>
    </w:pPr>
    <w:rPr>
      <w:rFonts w:eastAsia="Times New Roman"/>
      <w:sz w:val="20"/>
      <w:szCs w:val="20"/>
    </w:rPr>
  </w:style>
  <w:style w:type="character" w:customStyle="1" w:styleId="FootnoteTextChar">
    <w:name w:val="Footnote Text Char"/>
    <w:basedOn w:val="DefaultParagraphFont"/>
    <w:rsid w:val="003631F9"/>
    <w:rPr>
      <w:rFonts w:eastAsia="Times New Roman"/>
    </w:rPr>
  </w:style>
  <w:style w:type="character" w:styleId="FootnoteReference">
    <w:name w:val="footnote reference"/>
    <w:basedOn w:val="DefaultParagraphFont"/>
    <w:rsid w:val="003631F9"/>
    <w:rPr>
      <w:position w:val="0"/>
      <w:vertAlign w:val="superscript"/>
    </w:rPr>
  </w:style>
  <w:style w:type="paragraph" w:styleId="NormalWeb">
    <w:name w:val="Normal (Web)"/>
    <w:basedOn w:val="Normal"/>
    <w:rsid w:val="003631F9"/>
    <w:pPr>
      <w:suppressAutoHyphens w:val="0"/>
      <w:spacing w:before="270" w:after="100" w:line="360" w:lineRule="atLeast"/>
      <w:textAlignment w:val="auto"/>
    </w:pPr>
    <w:rPr>
      <w:rFonts w:ascii="Times New Roman" w:eastAsia="Times New Roman" w:hAnsi="Times New Roman"/>
      <w:sz w:val="29"/>
      <w:szCs w:val="29"/>
    </w:rPr>
  </w:style>
  <w:style w:type="paragraph" w:styleId="EndnoteText">
    <w:name w:val="endnote text"/>
    <w:basedOn w:val="Normal"/>
    <w:rsid w:val="003631F9"/>
    <w:rPr>
      <w:sz w:val="20"/>
      <w:szCs w:val="20"/>
    </w:rPr>
  </w:style>
  <w:style w:type="character" w:customStyle="1" w:styleId="EndnoteTextChar">
    <w:name w:val="Endnote Text Char"/>
    <w:basedOn w:val="DefaultParagraphFont"/>
    <w:rsid w:val="003631F9"/>
  </w:style>
  <w:style w:type="character" w:styleId="EndnoteReference">
    <w:name w:val="endnote reference"/>
    <w:basedOn w:val="DefaultParagraphFont"/>
    <w:rsid w:val="003631F9"/>
    <w:rPr>
      <w:position w:val="0"/>
      <w:vertAlign w:val="superscript"/>
    </w:rPr>
  </w:style>
  <w:style w:type="character" w:styleId="Hyperlink">
    <w:name w:val="Hyperlink"/>
    <w:basedOn w:val="DefaultParagraphFont"/>
    <w:rsid w:val="003631F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db.org/ma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4978</Characters>
  <Application>Microsoft Office Word</Application>
  <DocSecurity>0</DocSecurity>
  <Lines>63</Lines>
  <Paragraphs>25</Paragraphs>
  <ScaleCrop>false</ScaleCrop>
  <Company>Inter-American Development Bank</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Oriol Prats Cabrera</dc:creator>
  <dc:description/>
  <cp:lastModifiedBy>MILDREDR</cp:lastModifiedBy>
  <cp:revision>2</cp:revision>
  <dcterms:created xsi:type="dcterms:W3CDTF">2010-07-16T03:38:00Z</dcterms:created>
  <dcterms:modified xsi:type="dcterms:W3CDTF">2010-07-16T03:38:00Z</dcterms:modified>
</cp:coreProperties>
</file>