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7.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6.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20.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14.xml" ContentType="application/vnd.openxmlformats-officedocument.wordprocessingml.footer+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commentsIds.xml" ContentType="application/vnd.openxmlformats-officedocument.wordprocessingml.commentsId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D270A" w14:textId="77777777" w:rsidR="00936E9D" w:rsidRPr="00117BF8" w:rsidRDefault="00936E9D" w:rsidP="00936E9D">
      <w:pPr>
        <w:pStyle w:val="Title"/>
        <w:jc w:val="left"/>
      </w:pPr>
    </w:p>
    <w:p w14:paraId="528F9375" w14:textId="77777777" w:rsidR="00936E9D" w:rsidRPr="00117BF8" w:rsidRDefault="00936E9D" w:rsidP="00936E9D">
      <w:pPr>
        <w:pStyle w:val="Title"/>
        <w:jc w:val="left"/>
      </w:pPr>
    </w:p>
    <w:p w14:paraId="6918CDD6" w14:textId="77777777" w:rsidR="00936E9D" w:rsidRPr="00117BF8" w:rsidRDefault="00936E9D" w:rsidP="00936E9D">
      <w:pPr>
        <w:pStyle w:val="Title"/>
        <w:jc w:val="left"/>
      </w:pPr>
    </w:p>
    <w:p w14:paraId="779D7EE1" w14:textId="3129777A" w:rsidR="00936E9D" w:rsidRPr="00117BF8" w:rsidRDefault="00936E9D" w:rsidP="00936E9D">
      <w:pPr>
        <w:pStyle w:val="Title"/>
        <w:jc w:val="left"/>
      </w:pPr>
    </w:p>
    <w:p w14:paraId="1ED9433D" w14:textId="77777777" w:rsidR="004F498E" w:rsidRPr="00117BF8" w:rsidRDefault="004F498E" w:rsidP="00936E9D">
      <w:pPr>
        <w:pStyle w:val="Title"/>
        <w:jc w:val="left"/>
      </w:pPr>
    </w:p>
    <w:p w14:paraId="0BCD616D" w14:textId="77777777" w:rsidR="004F498E" w:rsidRPr="00117BF8" w:rsidRDefault="004F498E" w:rsidP="00936E9D">
      <w:pPr>
        <w:pStyle w:val="Title"/>
        <w:jc w:val="left"/>
      </w:pPr>
    </w:p>
    <w:p w14:paraId="70196C68" w14:textId="77777777" w:rsidR="00936E9D" w:rsidRPr="00117BF8" w:rsidRDefault="00936E9D" w:rsidP="00936E9D">
      <w:pPr>
        <w:pStyle w:val="Title"/>
        <w:rPr>
          <w:sz w:val="28"/>
          <w:szCs w:val="28"/>
          <w:lang w:val="es-ES_tradnl"/>
        </w:rPr>
      </w:pPr>
      <w:r w:rsidRPr="00117BF8">
        <w:rPr>
          <w:sz w:val="28"/>
          <w:szCs w:val="28"/>
          <w:lang w:val="es-ES_tradnl"/>
        </w:rPr>
        <w:t>ANEXO FINANCIERO</w:t>
      </w:r>
    </w:p>
    <w:p w14:paraId="73EB55D5" w14:textId="77777777" w:rsidR="004F498E" w:rsidRPr="00117BF8" w:rsidRDefault="004F498E" w:rsidP="00936E9D">
      <w:pPr>
        <w:pStyle w:val="Title"/>
        <w:rPr>
          <w:sz w:val="28"/>
          <w:szCs w:val="28"/>
          <w:lang w:val="es-ES_tradnl"/>
        </w:rPr>
      </w:pPr>
    </w:p>
    <w:p w14:paraId="1A60B690" w14:textId="6AB319A2" w:rsidR="00936E9D" w:rsidRPr="00117BF8" w:rsidRDefault="00936E9D" w:rsidP="00936E9D">
      <w:pPr>
        <w:pStyle w:val="Title"/>
      </w:pPr>
      <w:r w:rsidRPr="00117BF8">
        <w:rPr>
          <w:sz w:val="28"/>
          <w:szCs w:val="28"/>
          <w:lang w:val="es-ES_tradnl"/>
        </w:rPr>
        <w:br/>
      </w:r>
    </w:p>
    <w:p w14:paraId="0B4871A1" w14:textId="77777777" w:rsidR="00936E9D" w:rsidRPr="00117BF8" w:rsidRDefault="00936E9D" w:rsidP="00936E9D">
      <w:pPr>
        <w:autoSpaceDE w:val="0"/>
        <w:autoSpaceDN w:val="0"/>
        <w:adjustRightInd w:val="0"/>
        <w:spacing w:line="300" w:lineRule="auto"/>
        <w:jc w:val="center"/>
        <w:rPr>
          <w:rFonts w:ascii="Arial" w:hAnsi="Arial" w:cs="Arial"/>
          <w:b/>
          <w:bCs/>
          <w:sz w:val="28"/>
          <w:szCs w:val="28"/>
          <w:lang w:val="es-ES_tradnl"/>
        </w:rPr>
      </w:pPr>
      <w:r w:rsidRPr="00117BF8">
        <w:rPr>
          <w:rFonts w:ascii="Arial" w:hAnsi="Arial" w:cs="Arial"/>
          <w:b/>
          <w:bCs/>
          <w:sz w:val="28"/>
          <w:szCs w:val="28"/>
          <w:lang w:val="es-ES_tradnl"/>
        </w:rPr>
        <w:t>EVALUACIÓN DE LAS FINANZAS PÚBLICAS</w:t>
      </w:r>
      <w:r w:rsidRPr="00117BF8">
        <w:rPr>
          <w:rFonts w:ascii="Arial" w:hAnsi="Arial" w:cs="Arial"/>
          <w:b/>
          <w:bCs/>
          <w:sz w:val="28"/>
          <w:szCs w:val="28"/>
          <w:lang w:val="es-ES_tradnl"/>
        </w:rPr>
        <w:br/>
        <w:t>DE LA PROVINCIA DE BUENOS AIRES PARA OPERACIONES:</w:t>
      </w:r>
    </w:p>
    <w:p w14:paraId="753BF39E" w14:textId="77777777" w:rsidR="00936E9D" w:rsidRPr="00117BF8" w:rsidRDefault="00936E9D" w:rsidP="00936E9D">
      <w:pPr>
        <w:autoSpaceDE w:val="0"/>
        <w:autoSpaceDN w:val="0"/>
        <w:adjustRightInd w:val="0"/>
        <w:spacing w:line="300" w:lineRule="auto"/>
        <w:jc w:val="center"/>
        <w:rPr>
          <w:rFonts w:ascii="Arial" w:hAnsi="Arial" w:cs="Arial"/>
          <w:b/>
          <w:bCs/>
          <w:sz w:val="28"/>
          <w:szCs w:val="28"/>
          <w:lang w:val="es-ES_tradnl"/>
        </w:rPr>
      </w:pPr>
      <w:r w:rsidRPr="00117BF8">
        <w:rPr>
          <w:rFonts w:ascii="Arial" w:hAnsi="Arial" w:cs="Arial"/>
          <w:b/>
          <w:bCs/>
          <w:sz w:val="28"/>
          <w:szCs w:val="28"/>
          <w:lang w:val="es-ES_tradnl"/>
        </w:rPr>
        <w:t xml:space="preserve">AR-L1272 Programa de Fortalecimiento de la Gestión de la Provincia de Buenos Aires; AR-L1273 Apoyo a las Cuencas de Areco, Rio Quinto y Pergamino y AR-L1274 Programa de Conectividad y Seguridad en Corredores Viales </w:t>
      </w:r>
    </w:p>
    <w:p w14:paraId="17FDF534" w14:textId="77777777" w:rsidR="00936E9D" w:rsidRPr="00117BF8" w:rsidRDefault="00936E9D" w:rsidP="00936E9D">
      <w:pPr>
        <w:autoSpaceDE w:val="0"/>
        <w:autoSpaceDN w:val="0"/>
        <w:adjustRightInd w:val="0"/>
        <w:rPr>
          <w:rFonts w:ascii="Arial" w:hAnsi="Arial" w:cs="Arial"/>
          <w:sz w:val="22"/>
          <w:szCs w:val="22"/>
          <w:lang w:val="es-BO" w:eastAsia="es-BO"/>
        </w:rPr>
      </w:pPr>
    </w:p>
    <w:p w14:paraId="04B488A9" w14:textId="77777777" w:rsidR="00936E9D" w:rsidRPr="00117BF8" w:rsidRDefault="00936E9D" w:rsidP="00936E9D">
      <w:pPr>
        <w:autoSpaceDE w:val="0"/>
        <w:autoSpaceDN w:val="0"/>
        <w:adjustRightInd w:val="0"/>
        <w:spacing w:line="300" w:lineRule="auto"/>
        <w:jc w:val="center"/>
        <w:rPr>
          <w:rFonts w:ascii="Arial" w:hAnsi="Arial" w:cs="Arial"/>
          <w:b/>
          <w:bCs/>
          <w:sz w:val="28"/>
          <w:szCs w:val="28"/>
          <w:lang w:val="es-ES_tradnl"/>
        </w:rPr>
      </w:pPr>
      <w:r w:rsidRPr="00117BF8">
        <w:rPr>
          <w:rFonts w:ascii="Arial" w:hAnsi="Arial" w:cs="Arial"/>
          <w:b/>
          <w:bCs/>
          <w:sz w:val="28"/>
          <w:szCs w:val="28"/>
          <w:lang w:val="es-ES_tradnl"/>
        </w:rPr>
        <w:t xml:space="preserve"> </w:t>
      </w:r>
    </w:p>
    <w:p w14:paraId="337DACB4" w14:textId="77777777" w:rsidR="00444838" w:rsidRPr="00117BF8" w:rsidRDefault="00444838" w:rsidP="00444838">
      <w:pPr>
        <w:autoSpaceDE w:val="0"/>
        <w:autoSpaceDN w:val="0"/>
        <w:adjustRightInd w:val="0"/>
        <w:jc w:val="left"/>
        <w:rPr>
          <w:rFonts w:ascii="Arial" w:hAnsi="Arial" w:cs="Arial"/>
          <w:b/>
          <w:bCs/>
          <w:shadow/>
          <w:sz w:val="28"/>
          <w:szCs w:val="28"/>
          <w:lang w:val="es-ES_tradnl"/>
        </w:rPr>
      </w:pPr>
    </w:p>
    <w:p w14:paraId="77575273" w14:textId="3819A78E" w:rsidR="00125BB8" w:rsidRPr="004E6455" w:rsidRDefault="00125BB8" w:rsidP="00444838">
      <w:pPr>
        <w:pStyle w:val="Title"/>
        <w:ind w:right="142"/>
        <w:jc w:val="right"/>
      </w:pPr>
    </w:p>
    <w:p w14:paraId="06DFF8F1" w14:textId="77777777" w:rsidR="00125BB8" w:rsidRPr="004E6455" w:rsidRDefault="00125BB8" w:rsidP="00BA796E">
      <w:pPr>
        <w:pStyle w:val="Title"/>
        <w:sectPr w:rsidR="00125BB8" w:rsidRPr="004E6455" w:rsidSect="00117BF8">
          <w:headerReference w:type="default" r:id="rId13"/>
          <w:pgSz w:w="11907" w:h="16840" w:code="9"/>
          <w:pgMar w:top="1418" w:right="1557" w:bottom="1418" w:left="1701" w:header="851" w:footer="851" w:gutter="0"/>
          <w:cols w:space="720"/>
          <w:docGrid w:linePitch="326"/>
        </w:sectPr>
      </w:pPr>
    </w:p>
    <w:p w14:paraId="595DD7DE" w14:textId="77777777" w:rsidR="00F952A4" w:rsidRPr="00117BF8" w:rsidRDefault="00F952A4" w:rsidP="00F952A4">
      <w:pPr>
        <w:autoSpaceDE w:val="0"/>
        <w:autoSpaceDN w:val="0"/>
        <w:adjustRightInd w:val="0"/>
        <w:jc w:val="center"/>
        <w:rPr>
          <w:rFonts w:ascii="Arial" w:hAnsi="Arial" w:cs="Arial"/>
          <w:b/>
          <w:bCs/>
          <w:sz w:val="28"/>
          <w:szCs w:val="28"/>
          <w:lang w:val="es-ES_tradnl"/>
        </w:rPr>
      </w:pPr>
      <w:r w:rsidRPr="00117BF8">
        <w:rPr>
          <w:rFonts w:ascii="Arial" w:hAnsi="Arial" w:cs="Arial"/>
          <w:b/>
          <w:bCs/>
          <w:sz w:val="28"/>
          <w:szCs w:val="28"/>
          <w:lang w:val="es-ES_tradnl"/>
        </w:rPr>
        <w:lastRenderedPageBreak/>
        <w:t>Informe</w:t>
      </w:r>
      <w:r w:rsidR="00434C3F" w:rsidRPr="00117BF8">
        <w:rPr>
          <w:rFonts w:ascii="Arial" w:hAnsi="Arial" w:cs="Arial"/>
          <w:b/>
          <w:bCs/>
          <w:sz w:val="28"/>
          <w:szCs w:val="28"/>
          <w:lang w:val="es-ES_tradnl"/>
        </w:rPr>
        <w:t xml:space="preserve"> 3</w:t>
      </w:r>
      <w:r w:rsidRPr="00117BF8">
        <w:rPr>
          <w:rFonts w:ascii="Arial" w:hAnsi="Arial" w:cs="Arial"/>
          <w:b/>
          <w:bCs/>
          <w:sz w:val="28"/>
          <w:szCs w:val="28"/>
          <w:lang w:val="es-ES_tradnl"/>
        </w:rPr>
        <w:t xml:space="preserve">- Financiero </w:t>
      </w:r>
      <w:r w:rsidR="00434C3F" w:rsidRPr="00117BF8">
        <w:rPr>
          <w:rFonts w:ascii="Arial" w:hAnsi="Arial" w:cs="Arial"/>
          <w:b/>
          <w:bCs/>
          <w:sz w:val="28"/>
          <w:szCs w:val="28"/>
          <w:lang w:val="es-ES_tradnl"/>
        </w:rPr>
        <w:t>Final</w:t>
      </w:r>
      <w:r w:rsidRPr="00117BF8">
        <w:rPr>
          <w:rFonts w:ascii="Arial" w:hAnsi="Arial" w:cs="Arial"/>
          <w:b/>
          <w:bCs/>
          <w:sz w:val="28"/>
          <w:szCs w:val="28"/>
          <w:lang w:val="es-ES_tradnl"/>
        </w:rPr>
        <w:t xml:space="preserve"> </w:t>
      </w:r>
      <w:r w:rsidR="00434C3F" w:rsidRPr="00117BF8">
        <w:rPr>
          <w:rFonts w:ascii="Arial" w:hAnsi="Arial" w:cs="Arial"/>
          <w:b/>
          <w:bCs/>
          <w:sz w:val="28"/>
          <w:szCs w:val="28"/>
          <w:lang w:val="es-ES_tradnl"/>
        </w:rPr>
        <w:t>de la PBA</w:t>
      </w:r>
    </w:p>
    <w:p w14:paraId="002F40D6" w14:textId="77777777" w:rsidR="009B4C1F" w:rsidRPr="00117BF8" w:rsidRDefault="009B4C1F">
      <w:pPr>
        <w:pStyle w:val="TOCHeading"/>
        <w:rPr>
          <w:rFonts w:ascii="Arial" w:hAnsi="Arial" w:cs="Arial"/>
        </w:rPr>
      </w:pPr>
      <w:r w:rsidRPr="00117BF8">
        <w:rPr>
          <w:rFonts w:ascii="Arial" w:hAnsi="Arial" w:cs="Arial"/>
          <w:lang w:val="es-ES"/>
        </w:rPr>
        <w:t>Contenido</w:t>
      </w:r>
    </w:p>
    <w:p w14:paraId="688DC02F" w14:textId="158C5A61" w:rsidR="004F498E" w:rsidRPr="00117BF8" w:rsidRDefault="009B4C1F">
      <w:pPr>
        <w:pStyle w:val="TOC1"/>
        <w:rPr>
          <w:rFonts w:ascii="Arial" w:eastAsia="MS Mincho" w:hAnsi="Arial" w:cs="Arial"/>
          <w:b w:val="0"/>
          <w:caps w:val="0"/>
          <w:szCs w:val="22"/>
          <w:u w:val="none"/>
          <w:lang w:val="en-US" w:eastAsia="ja-JP"/>
        </w:rPr>
      </w:pPr>
      <w:r w:rsidRPr="00117BF8">
        <w:rPr>
          <w:rFonts w:ascii="Arial" w:hAnsi="Arial" w:cs="Arial"/>
        </w:rPr>
        <w:fldChar w:fldCharType="begin"/>
      </w:r>
      <w:r w:rsidRPr="00117BF8">
        <w:rPr>
          <w:rFonts w:ascii="Arial" w:hAnsi="Arial" w:cs="Arial"/>
        </w:rPr>
        <w:instrText xml:space="preserve"> TOC \o "1-3" \h \z \u </w:instrText>
      </w:r>
      <w:r w:rsidRPr="00117BF8">
        <w:rPr>
          <w:rFonts w:ascii="Arial" w:hAnsi="Arial" w:cs="Arial"/>
        </w:rPr>
        <w:fldChar w:fldCharType="separate"/>
      </w:r>
      <w:hyperlink w:anchor="_Toc494040302" w:history="1">
        <w:r w:rsidR="004F498E" w:rsidRPr="00117BF8">
          <w:rPr>
            <w:rStyle w:val="Hyperlink"/>
            <w:rFonts w:ascii="Arial" w:hAnsi="Arial" w:cs="Arial"/>
          </w:rPr>
          <w:t>Glosario</w:t>
        </w:r>
        <w:r w:rsidR="004F498E" w:rsidRPr="00117BF8">
          <w:rPr>
            <w:rFonts w:ascii="Arial" w:hAnsi="Arial" w:cs="Arial"/>
            <w:webHidden/>
          </w:rPr>
          <w:tab/>
        </w:r>
        <w:r w:rsidR="004F498E" w:rsidRPr="00117BF8">
          <w:rPr>
            <w:rFonts w:ascii="Arial" w:hAnsi="Arial" w:cs="Arial"/>
            <w:webHidden/>
          </w:rPr>
          <w:fldChar w:fldCharType="begin"/>
        </w:r>
        <w:r w:rsidR="004F498E" w:rsidRPr="00117BF8">
          <w:rPr>
            <w:rFonts w:ascii="Arial" w:hAnsi="Arial" w:cs="Arial"/>
            <w:webHidden/>
          </w:rPr>
          <w:instrText xml:space="preserve"> PAGEREF _Toc494040302 \h </w:instrText>
        </w:r>
        <w:r w:rsidR="004F498E" w:rsidRPr="00117BF8">
          <w:rPr>
            <w:rFonts w:ascii="Arial" w:hAnsi="Arial" w:cs="Arial"/>
            <w:webHidden/>
          </w:rPr>
        </w:r>
        <w:r w:rsidR="004F498E" w:rsidRPr="00117BF8">
          <w:rPr>
            <w:rFonts w:ascii="Arial" w:hAnsi="Arial" w:cs="Arial"/>
            <w:webHidden/>
          </w:rPr>
          <w:fldChar w:fldCharType="separate"/>
        </w:r>
        <w:r w:rsidR="004F498E" w:rsidRPr="00117BF8">
          <w:rPr>
            <w:rFonts w:ascii="Arial" w:hAnsi="Arial" w:cs="Arial"/>
            <w:webHidden/>
          </w:rPr>
          <w:t>5</w:t>
        </w:r>
        <w:r w:rsidR="004F498E" w:rsidRPr="00117BF8">
          <w:rPr>
            <w:rFonts w:ascii="Arial" w:hAnsi="Arial" w:cs="Arial"/>
            <w:webHidden/>
          </w:rPr>
          <w:fldChar w:fldCharType="end"/>
        </w:r>
      </w:hyperlink>
    </w:p>
    <w:p w14:paraId="2112BB18" w14:textId="307EE074" w:rsidR="004F498E" w:rsidRPr="00117BF8" w:rsidRDefault="004F498E">
      <w:pPr>
        <w:pStyle w:val="TOC1"/>
        <w:rPr>
          <w:rFonts w:ascii="Arial" w:eastAsia="MS Mincho" w:hAnsi="Arial" w:cs="Arial"/>
          <w:b w:val="0"/>
          <w:caps w:val="0"/>
          <w:szCs w:val="22"/>
          <w:u w:val="none"/>
          <w:lang w:val="en-US" w:eastAsia="ja-JP"/>
        </w:rPr>
      </w:pPr>
      <w:hyperlink w:anchor="_Toc494040303" w:history="1">
        <w:r w:rsidRPr="00117BF8">
          <w:rPr>
            <w:rStyle w:val="Hyperlink"/>
            <w:rFonts w:ascii="Arial" w:hAnsi="Arial" w:cs="Arial"/>
          </w:rPr>
          <w:t>Resumen Ejecutivo y Conclusiones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_Toc494040303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7</w:t>
        </w:r>
        <w:r w:rsidRPr="00117BF8">
          <w:rPr>
            <w:rFonts w:ascii="Arial" w:hAnsi="Arial" w:cs="Arial"/>
            <w:webHidden/>
          </w:rPr>
          <w:fldChar w:fldCharType="end"/>
        </w:r>
      </w:hyperlink>
    </w:p>
    <w:p w14:paraId="66A05066" w14:textId="2EE42480" w:rsidR="004F498E" w:rsidRPr="00117BF8" w:rsidRDefault="004F498E">
      <w:pPr>
        <w:pStyle w:val="TOC2"/>
        <w:tabs>
          <w:tab w:val="right" w:leader="dot" w:pos="8495"/>
        </w:tabs>
        <w:rPr>
          <w:rFonts w:ascii="Arial" w:eastAsia="MS Mincho" w:hAnsi="Arial" w:cs="Arial"/>
          <w:b w:val="0"/>
          <w:smallCaps w:val="0"/>
          <w:szCs w:val="22"/>
          <w:lang w:val="en-US" w:eastAsia="ja-JP"/>
        </w:rPr>
      </w:pPr>
      <w:hyperlink w:anchor="_Toc494040304" w:history="1">
        <w:r w:rsidRPr="00117BF8">
          <w:rPr>
            <w:rStyle w:val="Hyperlink"/>
            <w:rFonts w:ascii="Arial" w:eastAsia="Calibri" w:hAnsi="Arial" w:cs="Arial"/>
          </w:rPr>
          <w:t>Conclusiones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_Toc494040304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17</w:t>
        </w:r>
        <w:r w:rsidRPr="00117BF8">
          <w:rPr>
            <w:rFonts w:ascii="Arial" w:hAnsi="Arial" w:cs="Arial"/>
            <w:webHidden/>
          </w:rPr>
          <w:fldChar w:fldCharType="end"/>
        </w:r>
      </w:hyperlink>
    </w:p>
    <w:p w14:paraId="2F393A3D" w14:textId="1C584B28" w:rsidR="004F498E" w:rsidRPr="00117BF8" w:rsidRDefault="004F498E">
      <w:pPr>
        <w:pStyle w:val="TOC1"/>
        <w:rPr>
          <w:rFonts w:ascii="Arial" w:eastAsia="MS Mincho" w:hAnsi="Arial" w:cs="Arial"/>
          <w:b w:val="0"/>
          <w:caps w:val="0"/>
          <w:szCs w:val="22"/>
          <w:u w:val="none"/>
          <w:lang w:val="en-US" w:eastAsia="ja-JP"/>
        </w:rPr>
      </w:pPr>
      <w:hyperlink w:anchor="_Toc494040305" w:history="1">
        <w:r w:rsidRPr="00117BF8">
          <w:rPr>
            <w:rStyle w:val="Hyperlink"/>
            <w:rFonts w:ascii="Arial" w:hAnsi="Arial" w:cs="Arial"/>
          </w:rPr>
          <w:t>1</w:t>
        </w:r>
        <w:r w:rsidRPr="00117BF8">
          <w:rPr>
            <w:rFonts w:ascii="Arial" w:eastAsia="MS Mincho" w:hAnsi="Arial" w:cs="Arial"/>
            <w:b w:val="0"/>
            <w:caps w:val="0"/>
            <w:szCs w:val="22"/>
            <w:u w:val="none"/>
            <w:lang w:val="en-US" w:eastAsia="ja-JP"/>
          </w:rPr>
          <w:tab/>
        </w:r>
        <w:r w:rsidRPr="00117BF8">
          <w:rPr>
            <w:rStyle w:val="Hyperlink"/>
            <w:rFonts w:ascii="Arial" w:hAnsi="Arial" w:cs="Arial"/>
          </w:rPr>
          <w:t>Introducción</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_Toc494040305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19</w:t>
        </w:r>
        <w:r w:rsidRPr="00117BF8">
          <w:rPr>
            <w:rFonts w:ascii="Arial" w:hAnsi="Arial" w:cs="Arial"/>
            <w:webHidden/>
          </w:rPr>
          <w:fldChar w:fldCharType="end"/>
        </w:r>
      </w:hyperlink>
    </w:p>
    <w:p w14:paraId="417C0031" w14:textId="0EB39CAE" w:rsidR="004F498E" w:rsidRPr="00117BF8" w:rsidRDefault="004F498E">
      <w:pPr>
        <w:pStyle w:val="TOC1"/>
        <w:rPr>
          <w:rFonts w:ascii="Arial" w:eastAsia="MS Mincho" w:hAnsi="Arial" w:cs="Arial"/>
          <w:b w:val="0"/>
          <w:caps w:val="0"/>
          <w:szCs w:val="22"/>
          <w:u w:val="none"/>
          <w:lang w:val="en-US" w:eastAsia="ja-JP"/>
        </w:rPr>
      </w:pPr>
      <w:hyperlink w:anchor="_Toc494040306" w:history="1">
        <w:r w:rsidRPr="00117BF8">
          <w:rPr>
            <w:rStyle w:val="Hyperlink"/>
            <w:rFonts w:ascii="Arial" w:hAnsi="Arial" w:cs="Arial"/>
          </w:rPr>
          <w:t>2</w:t>
        </w:r>
        <w:r w:rsidRPr="00117BF8">
          <w:rPr>
            <w:rFonts w:ascii="Arial" w:eastAsia="MS Mincho" w:hAnsi="Arial" w:cs="Arial"/>
            <w:b w:val="0"/>
            <w:caps w:val="0"/>
            <w:szCs w:val="22"/>
            <w:u w:val="none"/>
            <w:lang w:val="en-US" w:eastAsia="ja-JP"/>
          </w:rPr>
          <w:tab/>
        </w:r>
        <w:r w:rsidRPr="00117BF8">
          <w:rPr>
            <w:rStyle w:val="Hyperlink"/>
            <w:rFonts w:ascii="Arial" w:hAnsi="Arial" w:cs="Arial"/>
          </w:rPr>
          <w:t>Fuentes de Información y Entrevistas Realizadas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_Toc494040306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20</w:t>
        </w:r>
        <w:r w:rsidRPr="00117BF8">
          <w:rPr>
            <w:rFonts w:ascii="Arial" w:hAnsi="Arial" w:cs="Arial"/>
            <w:webHidden/>
          </w:rPr>
          <w:fldChar w:fldCharType="end"/>
        </w:r>
      </w:hyperlink>
    </w:p>
    <w:p w14:paraId="4D201CF6" w14:textId="0BF23E45" w:rsidR="004F498E" w:rsidRPr="00117BF8" w:rsidRDefault="004F498E">
      <w:pPr>
        <w:pStyle w:val="TOC1"/>
        <w:rPr>
          <w:rFonts w:ascii="Arial" w:eastAsia="MS Mincho" w:hAnsi="Arial" w:cs="Arial"/>
          <w:b w:val="0"/>
          <w:caps w:val="0"/>
          <w:szCs w:val="22"/>
          <w:u w:val="none"/>
          <w:lang w:val="en-US" w:eastAsia="ja-JP"/>
        </w:rPr>
      </w:pPr>
      <w:hyperlink w:anchor="_Toc494040307" w:history="1">
        <w:r w:rsidRPr="00117BF8">
          <w:rPr>
            <w:rStyle w:val="Hyperlink"/>
            <w:rFonts w:ascii="Arial" w:hAnsi="Arial" w:cs="Arial"/>
          </w:rPr>
          <w:t>3</w:t>
        </w:r>
        <w:r w:rsidRPr="00117BF8">
          <w:rPr>
            <w:rFonts w:ascii="Arial" w:eastAsia="MS Mincho" w:hAnsi="Arial" w:cs="Arial"/>
            <w:b w:val="0"/>
            <w:caps w:val="0"/>
            <w:szCs w:val="22"/>
            <w:u w:val="none"/>
            <w:lang w:val="en-US" w:eastAsia="ja-JP"/>
          </w:rPr>
          <w:tab/>
        </w:r>
        <w:r w:rsidRPr="00117BF8">
          <w:rPr>
            <w:rStyle w:val="Hyperlink"/>
            <w:rFonts w:ascii="Arial" w:hAnsi="Arial" w:cs="Arial"/>
          </w:rPr>
          <w:t>Aspectos Generales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_Toc494040307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20</w:t>
        </w:r>
        <w:r w:rsidRPr="00117BF8">
          <w:rPr>
            <w:rFonts w:ascii="Arial" w:hAnsi="Arial" w:cs="Arial"/>
            <w:webHidden/>
          </w:rPr>
          <w:fldChar w:fldCharType="end"/>
        </w:r>
      </w:hyperlink>
    </w:p>
    <w:p w14:paraId="6403D5F1" w14:textId="43714228"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08" w:history="1">
        <w:r w:rsidRPr="00BF5B8E">
          <w:rPr>
            <w:rStyle w:val="Hyperlink"/>
            <w:rFonts w:ascii="Arial" w:hAnsi="Arial" w:cs="Arial"/>
            <w:b w:val="0"/>
          </w:rPr>
          <w:t>3.1</w:t>
        </w:r>
        <w:r w:rsidRPr="00BF5B8E">
          <w:rPr>
            <w:rFonts w:ascii="Arial" w:eastAsia="MS Mincho" w:hAnsi="Arial" w:cs="Arial"/>
            <w:b w:val="0"/>
            <w:smallCaps w:val="0"/>
            <w:szCs w:val="22"/>
            <w:lang w:val="en-US" w:eastAsia="ja-JP"/>
          </w:rPr>
          <w:tab/>
        </w:r>
        <w:r w:rsidRPr="00BF5B8E">
          <w:rPr>
            <w:rStyle w:val="Hyperlink"/>
            <w:rFonts w:ascii="Arial" w:hAnsi="Arial" w:cs="Arial"/>
            <w:b w:val="0"/>
          </w:rPr>
          <w:t>Características de la Provincia</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_Toc494040308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20</w:t>
        </w:r>
        <w:r w:rsidRPr="00BF5B8E">
          <w:rPr>
            <w:rFonts w:ascii="Arial" w:hAnsi="Arial" w:cs="Arial"/>
            <w:b w:val="0"/>
            <w:webHidden/>
          </w:rPr>
          <w:fldChar w:fldCharType="end"/>
        </w:r>
      </w:hyperlink>
    </w:p>
    <w:p w14:paraId="023370D2" w14:textId="0CA95F41"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09" w:history="1">
        <w:r w:rsidRPr="00BF5B8E">
          <w:rPr>
            <w:rStyle w:val="Hyperlink"/>
            <w:rFonts w:ascii="Arial" w:hAnsi="Arial" w:cs="Arial"/>
            <w:b w:val="0"/>
          </w:rPr>
          <w:t>3.2</w:t>
        </w:r>
        <w:r w:rsidRPr="00BF5B8E">
          <w:rPr>
            <w:rFonts w:ascii="Arial" w:eastAsia="MS Mincho" w:hAnsi="Arial" w:cs="Arial"/>
            <w:b w:val="0"/>
            <w:smallCaps w:val="0"/>
            <w:szCs w:val="22"/>
            <w:lang w:val="en-US" w:eastAsia="ja-JP"/>
          </w:rPr>
          <w:tab/>
        </w:r>
        <w:r w:rsidRPr="00BF5B8E">
          <w:rPr>
            <w:rStyle w:val="Hyperlink"/>
            <w:rFonts w:ascii="Arial" w:hAnsi="Arial" w:cs="Arial"/>
            <w:b w:val="0"/>
          </w:rPr>
          <w:t>Contexto</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_Toc494040309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22</w:t>
        </w:r>
        <w:r w:rsidRPr="00BF5B8E">
          <w:rPr>
            <w:rFonts w:ascii="Arial" w:hAnsi="Arial" w:cs="Arial"/>
            <w:b w:val="0"/>
            <w:webHidden/>
          </w:rPr>
          <w:fldChar w:fldCharType="end"/>
        </w:r>
      </w:hyperlink>
    </w:p>
    <w:p w14:paraId="0A7BDBD8" w14:textId="67E9A91D"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10" w:history="1">
        <w:r w:rsidRPr="00BF5B8E">
          <w:rPr>
            <w:rStyle w:val="Hyperlink"/>
            <w:rFonts w:ascii="Arial" w:hAnsi="Arial" w:cs="Arial"/>
            <w:b w:val="0"/>
          </w:rPr>
          <w:t>3.3</w:t>
        </w:r>
        <w:r w:rsidRPr="00BF5B8E">
          <w:rPr>
            <w:rFonts w:ascii="Arial" w:eastAsia="MS Mincho" w:hAnsi="Arial" w:cs="Arial"/>
            <w:b w:val="0"/>
            <w:smallCaps w:val="0"/>
            <w:szCs w:val="22"/>
            <w:lang w:val="en-US" w:eastAsia="ja-JP"/>
          </w:rPr>
          <w:tab/>
        </w:r>
        <w:r w:rsidRPr="00BF5B8E">
          <w:rPr>
            <w:rStyle w:val="Hyperlink"/>
            <w:rFonts w:ascii="Arial" w:hAnsi="Arial" w:cs="Arial"/>
            <w:b w:val="0"/>
          </w:rPr>
          <w:t>Contabilidad Presupuestaria</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_Toc494040310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24</w:t>
        </w:r>
        <w:r w:rsidRPr="00BF5B8E">
          <w:rPr>
            <w:rFonts w:ascii="Arial" w:hAnsi="Arial" w:cs="Arial"/>
            <w:b w:val="0"/>
            <w:webHidden/>
          </w:rPr>
          <w:fldChar w:fldCharType="end"/>
        </w:r>
      </w:hyperlink>
    </w:p>
    <w:p w14:paraId="4CAD9FBF" w14:textId="3A012F90"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11" w:history="1">
        <w:r w:rsidRPr="00BF5B8E">
          <w:rPr>
            <w:rStyle w:val="Hyperlink"/>
            <w:rFonts w:ascii="Arial" w:hAnsi="Arial" w:cs="Arial"/>
            <w:b w:val="0"/>
          </w:rPr>
          <w:t>3.4</w:t>
        </w:r>
        <w:r w:rsidRPr="00BF5B8E">
          <w:rPr>
            <w:rFonts w:ascii="Arial" w:eastAsia="MS Mincho" w:hAnsi="Arial" w:cs="Arial"/>
            <w:b w:val="0"/>
            <w:smallCaps w:val="0"/>
            <w:szCs w:val="22"/>
            <w:lang w:val="en-US" w:eastAsia="ja-JP"/>
          </w:rPr>
          <w:tab/>
        </w:r>
        <w:r w:rsidRPr="00BF5B8E">
          <w:rPr>
            <w:rStyle w:val="Hyperlink"/>
            <w:rFonts w:ascii="Arial" w:hAnsi="Arial" w:cs="Arial"/>
            <w:b w:val="0"/>
          </w:rPr>
          <w:t>Responsabilidad Fiscal</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_Toc494040311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25</w:t>
        </w:r>
        <w:r w:rsidRPr="00BF5B8E">
          <w:rPr>
            <w:rFonts w:ascii="Arial" w:hAnsi="Arial" w:cs="Arial"/>
            <w:b w:val="0"/>
            <w:webHidden/>
          </w:rPr>
          <w:fldChar w:fldCharType="end"/>
        </w:r>
      </w:hyperlink>
    </w:p>
    <w:p w14:paraId="3BD64EA6" w14:textId="20BCD1C2" w:rsidR="004F498E" w:rsidRPr="00117BF8" w:rsidRDefault="004F498E">
      <w:pPr>
        <w:pStyle w:val="TOC1"/>
        <w:rPr>
          <w:rFonts w:ascii="Arial" w:eastAsia="MS Mincho" w:hAnsi="Arial" w:cs="Arial"/>
          <w:b w:val="0"/>
          <w:caps w:val="0"/>
          <w:szCs w:val="22"/>
          <w:u w:val="none"/>
          <w:lang w:val="en-US" w:eastAsia="ja-JP"/>
        </w:rPr>
      </w:pPr>
      <w:hyperlink w:anchor="_Toc494040312" w:history="1">
        <w:r w:rsidRPr="00117BF8">
          <w:rPr>
            <w:rStyle w:val="Hyperlink"/>
            <w:rFonts w:ascii="Arial" w:eastAsia="Calibri" w:hAnsi="Arial" w:cs="Arial"/>
          </w:rPr>
          <w:t>4</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Análisis histórico de las finanzas Públicas de la PBA</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_Toc494040312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28</w:t>
        </w:r>
        <w:r w:rsidRPr="00117BF8">
          <w:rPr>
            <w:rFonts w:ascii="Arial" w:hAnsi="Arial" w:cs="Arial"/>
            <w:webHidden/>
          </w:rPr>
          <w:fldChar w:fldCharType="end"/>
        </w:r>
      </w:hyperlink>
    </w:p>
    <w:p w14:paraId="279412EB" w14:textId="4C633FB6"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13" w:history="1">
        <w:r w:rsidRPr="00BF5B8E">
          <w:rPr>
            <w:rStyle w:val="Hyperlink"/>
            <w:rFonts w:ascii="Arial" w:eastAsia="Calibri" w:hAnsi="Arial" w:cs="Arial"/>
            <w:b w:val="0"/>
          </w:rPr>
          <w:t>4.1</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Análisis de los Resultados.</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_Toc494040313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28</w:t>
        </w:r>
        <w:r w:rsidRPr="00BF5B8E">
          <w:rPr>
            <w:rFonts w:ascii="Arial" w:hAnsi="Arial" w:cs="Arial"/>
            <w:b w:val="0"/>
            <w:webHidden/>
          </w:rPr>
          <w:fldChar w:fldCharType="end"/>
        </w:r>
      </w:hyperlink>
    </w:p>
    <w:p w14:paraId="76A68853" w14:textId="57C9BDE1"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14" w:history="1">
        <w:r w:rsidRPr="00BF5B8E">
          <w:rPr>
            <w:rStyle w:val="Hyperlink"/>
            <w:rFonts w:ascii="Arial" w:eastAsia="Calibri" w:hAnsi="Arial" w:cs="Arial"/>
            <w:b w:val="0"/>
          </w:rPr>
          <w:t>4.2</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Presupuesto y Ejecución</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_Toc494040314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34</w:t>
        </w:r>
        <w:r w:rsidRPr="00BF5B8E">
          <w:rPr>
            <w:rFonts w:ascii="Arial" w:hAnsi="Arial" w:cs="Arial"/>
            <w:b w:val="0"/>
            <w:webHidden/>
          </w:rPr>
          <w:fldChar w:fldCharType="end"/>
        </w:r>
      </w:hyperlink>
    </w:p>
    <w:p w14:paraId="6DC8D8E0" w14:textId="5A3D5C43"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15" w:history="1">
        <w:r w:rsidRPr="00BF5B8E">
          <w:rPr>
            <w:rStyle w:val="Hyperlink"/>
            <w:rFonts w:ascii="Arial" w:eastAsia="Calibri" w:hAnsi="Arial" w:cs="Arial"/>
            <w:b w:val="0"/>
          </w:rPr>
          <w:t>4.3</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Desglose y descripción de ingresos, tanto presupuestados como realizados.</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_Toc494040315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37</w:t>
        </w:r>
        <w:r w:rsidRPr="00BF5B8E">
          <w:rPr>
            <w:rFonts w:ascii="Arial" w:hAnsi="Arial" w:cs="Arial"/>
            <w:b w:val="0"/>
            <w:webHidden/>
          </w:rPr>
          <w:fldChar w:fldCharType="end"/>
        </w:r>
      </w:hyperlink>
    </w:p>
    <w:p w14:paraId="4D350BF9" w14:textId="6CCAD1C8"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16" w:history="1">
        <w:r w:rsidRPr="00BF5B8E">
          <w:rPr>
            <w:rStyle w:val="Hyperlink"/>
            <w:rFonts w:ascii="Arial" w:eastAsia="Calibri" w:hAnsi="Arial" w:cs="Arial"/>
            <w:b w:val="0"/>
          </w:rPr>
          <w:t>4.4</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Desglose y descripción de gastos corrientes y gastos de capital, tanto presupuestados como realizados.</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_Toc494040316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46</w:t>
        </w:r>
        <w:r w:rsidRPr="00BF5B8E">
          <w:rPr>
            <w:rFonts w:ascii="Arial" w:hAnsi="Arial" w:cs="Arial"/>
            <w:b w:val="0"/>
            <w:webHidden/>
          </w:rPr>
          <w:fldChar w:fldCharType="end"/>
        </w:r>
      </w:hyperlink>
    </w:p>
    <w:p w14:paraId="07194061" w14:textId="55F70D32" w:rsidR="004F498E" w:rsidRPr="00BF5B8E" w:rsidRDefault="004F498E">
      <w:pPr>
        <w:pStyle w:val="TOC3"/>
        <w:rPr>
          <w:rFonts w:ascii="Arial" w:eastAsia="MS Mincho" w:hAnsi="Arial" w:cs="Arial"/>
          <w:smallCaps w:val="0"/>
          <w:noProof/>
          <w:szCs w:val="22"/>
          <w:lang w:val="en-US" w:eastAsia="ja-JP"/>
        </w:rPr>
      </w:pPr>
      <w:hyperlink w:anchor="_Toc494040317" w:history="1">
        <w:r w:rsidRPr="00BF5B8E">
          <w:rPr>
            <w:rStyle w:val="Hyperlink"/>
            <w:rFonts w:ascii="Arial" w:eastAsia="Calibri" w:hAnsi="Arial" w:cs="Arial"/>
            <w:noProof/>
          </w:rPr>
          <w:t>4.4.1</w:t>
        </w:r>
        <w:r w:rsidRPr="00BF5B8E">
          <w:rPr>
            <w:rFonts w:ascii="Arial" w:eastAsia="MS Mincho" w:hAnsi="Arial" w:cs="Arial"/>
            <w:smallCaps w:val="0"/>
            <w:noProof/>
            <w:szCs w:val="22"/>
            <w:lang w:val="en-US" w:eastAsia="ja-JP"/>
          </w:rPr>
          <w:tab/>
        </w:r>
        <w:r w:rsidRPr="00BF5B8E">
          <w:rPr>
            <w:rStyle w:val="Hyperlink"/>
            <w:rFonts w:ascii="Arial" w:eastAsia="Calibri" w:hAnsi="Arial" w:cs="Arial"/>
            <w:noProof/>
          </w:rPr>
          <w:t>Clasificación por Objeto</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_Toc494040317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46</w:t>
        </w:r>
        <w:r w:rsidRPr="00BF5B8E">
          <w:rPr>
            <w:rFonts w:ascii="Arial" w:hAnsi="Arial" w:cs="Arial"/>
            <w:noProof/>
            <w:webHidden/>
          </w:rPr>
          <w:fldChar w:fldCharType="end"/>
        </w:r>
      </w:hyperlink>
    </w:p>
    <w:p w14:paraId="6EC77272" w14:textId="2B362D72" w:rsidR="004F498E" w:rsidRPr="00BF5B8E" w:rsidRDefault="004F498E">
      <w:pPr>
        <w:pStyle w:val="TOC3"/>
        <w:rPr>
          <w:rFonts w:ascii="Arial" w:eastAsia="MS Mincho" w:hAnsi="Arial" w:cs="Arial"/>
          <w:smallCaps w:val="0"/>
          <w:noProof/>
          <w:szCs w:val="22"/>
          <w:lang w:val="en-US" w:eastAsia="ja-JP"/>
        </w:rPr>
      </w:pPr>
      <w:hyperlink w:anchor="_Toc494040318" w:history="1">
        <w:r w:rsidRPr="00BF5B8E">
          <w:rPr>
            <w:rStyle w:val="Hyperlink"/>
            <w:rFonts w:ascii="Arial" w:eastAsia="Calibri" w:hAnsi="Arial" w:cs="Arial"/>
            <w:noProof/>
          </w:rPr>
          <w:t>4.4.2</w:t>
        </w:r>
        <w:r w:rsidRPr="00BF5B8E">
          <w:rPr>
            <w:rFonts w:ascii="Arial" w:eastAsia="MS Mincho" w:hAnsi="Arial" w:cs="Arial"/>
            <w:smallCaps w:val="0"/>
            <w:noProof/>
            <w:szCs w:val="22"/>
            <w:lang w:val="en-US" w:eastAsia="ja-JP"/>
          </w:rPr>
          <w:tab/>
        </w:r>
        <w:r w:rsidRPr="00BF5B8E">
          <w:rPr>
            <w:rStyle w:val="Hyperlink"/>
            <w:rFonts w:ascii="Arial" w:eastAsia="Calibri" w:hAnsi="Arial" w:cs="Arial"/>
            <w:noProof/>
          </w:rPr>
          <w:t>Clasificación por Finalidad y Función</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_Toc494040318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49</w:t>
        </w:r>
        <w:r w:rsidRPr="00BF5B8E">
          <w:rPr>
            <w:rFonts w:ascii="Arial" w:hAnsi="Arial" w:cs="Arial"/>
            <w:noProof/>
            <w:webHidden/>
          </w:rPr>
          <w:fldChar w:fldCharType="end"/>
        </w:r>
      </w:hyperlink>
    </w:p>
    <w:p w14:paraId="747E7BDE" w14:textId="0973011A" w:rsidR="004F498E" w:rsidRPr="00BF5B8E" w:rsidRDefault="004F498E">
      <w:pPr>
        <w:pStyle w:val="TOC3"/>
        <w:rPr>
          <w:rFonts w:ascii="Arial" w:eastAsia="MS Mincho" w:hAnsi="Arial" w:cs="Arial"/>
          <w:smallCaps w:val="0"/>
          <w:noProof/>
          <w:szCs w:val="22"/>
          <w:lang w:val="en-US" w:eastAsia="ja-JP"/>
        </w:rPr>
      </w:pPr>
      <w:hyperlink w:anchor="_Toc494040319" w:history="1">
        <w:r w:rsidRPr="00BF5B8E">
          <w:rPr>
            <w:rStyle w:val="Hyperlink"/>
            <w:rFonts w:ascii="Arial" w:eastAsia="Calibri" w:hAnsi="Arial" w:cs="Arial"/>
            <w:noProof/>
          </w:rPr>
          <w:t>4.4.3</w:t>
        </w:r>
        <w:r w:rsidRPr="00BF5B8E">
          <w:rPr>
            <w:rFonts w:ascii="Arial" w:eastAsia="MS Mincho" w:hAnsi="Arial" w:cs="Arial"/>
            <w:smallCaps w:val="0"/>
            <w:noProof/>
            <w:szCs w:val="22"/>
            <w:lang w:val="en-US" w:eastAsia="ja-JP"/>
          </w:rPr>
          <w:tab/>
        </w:r>
        <w:r w:rsidRPr="00BF5B8E">
          <w:rPr>
            <w:rStyle w:val="Hyperlink"/>
            <w:rFonts w:ascii="Arial" w:eastAsia="Calibri" w:hAnsi="Arial" w:cs="Arial"/>
            <w:noProof/>
          </w:rPr>
          <w:t>Clasificación por Finalidad/Función y Objeto del Gasto</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_Toc494040319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50</w:t>
        </w:r>
        <w:r w:rsidRPr="00BF5B8E">
          <w:rPr>
            <w:rFonts w:ascii="Arial" w:hAnsi="Arial" w:cs="Arial"/>
            <w:noProof/>
            <w:webHidden/>
          </w:rPr>
          <w:fldChar w:fldCharType="end"/>
        </w:r>
      </w:hyperlink>
    </w:p>
    <w:p w14:paraId="3362E89D" w14:textId="2D4F91BA"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20" w:history="1">
        <w:r w:rsidRPr="00BF5B8E">
          <w:rPr>
            <w:rStyle w:val="Hyperlink"/>
            <w:rFonts w:ascii="Arial" w:eastAsia="Calibri" w:hAnsi="Arial" w:cs="Arial"/>
            <w:b w:val="0"/>
          </w:rPr>
          <w:t>4.5</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Servicio de la Deuda presupuestada y ejecutada</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_Toc494040320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52</w:t>
        </w:r>
        <w:r w:rsidRPr="00BF5B8E">
          <w:rPr>
            <w:rFonts w:ascii="Arial" w:hAnsi="Arial" w:cs="Arial"/>
            <w:b w:val="0"/>
            <w:webHidden/>
          </w:rPr>
          <w:fldChar w:fldCharType="end"/>
        </w:r>
      </w:hyperlink>
    </w:p>
    <w:p w14:paraId="74829757" w14:textId="7A44CB73"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21" w:history="1">
        <w:r w:rsidRPr="00BF5B8E">
          <w:rPr>
            <w:rStyle w:val="Hyperlink"/>
            <w:rFonts w:ascii="Arial" w:eastAsia="Calibri" w:hAnsi="Arial" w:cs="Arial"/>
            <w:b w:val="0"/>
          </w:rPr>
          <w:t>4.6</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Análisis de Deudas actuales de la PBA</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_Toc494040321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54</w:t>
        </w:r>
        <w:r w:rsidRPr="00BF5B8E">
          <w:rPr>
            <w:rFonts w:ascii="Arial" w:hAnsi="Arial" w:cs="Arial"/>
            <w:b w:val="0"/>
            <w:webHidden/>
          </w:rPr>
          <w:fldChar w:fldCharType="end"/>
        </w:r>
      </w:hyperlink>
    </w:p>
    <w:p w14:paraId="50F4C94F" w14:textId="0501D825"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22" w:history="1">
        <w:r w:rsidRPr="00BF5B8E">
          <w:rPr>
            <w:rStyle w:val="Hyperlink"/>
            <w:rFonts w:ascii="Arial" w:eastAsia="Calibri" w:hAnsi="Arial" w:cs="Arial"/>
            <w:b w:val="0"/>
          </w:rPr>
          <w:t>4.7</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Evolución de la Deuda</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_Toc494040322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55</w:t>
        </w:r>
        <w:r w:rsidRPr="00BF5B8E">
          <w:rPr>
            <w:rFonts w:ascii="Arial" w:hAnsi="Arial" w:cs="Arial"/>
            <w:b w:val="0"/>
            <w:webHidden/>
          </w:rPr>
          <w:fldChar w:fldCharType="end"/>
        </w:r>
      </w:hyperlink>
    </w:p>
    <w:p w14:paraId="59DBBA55" w14:textId="4853427F"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23" w:history="1">
        <w:r w:rsidRPr="00BF5B8E">
          <w:rPr>
            <w:rStyle w:val="Hyperlink"/>
            <w:rFonts w:ascii="Arial" w:eastAsia="Calibri" w:hAnsi="Arial" w:cs="Arial"/>
            <w:b w:val="0"/>
          </w:rPr>
          <w:t>4.8</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Análisis de Balances de Situación</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_Toc494040323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58</w:t>
        </w:r>
        <w:r w:rsidRPr="00BF5B8E">
          <w:rPr>
            <w:rFonts w:ascii="Arial" w:hAnsi="Arial" w:cs="Arial"/>
            <w:b w:val="0"/>
            <w:webHidden/>
          </w:rPr>
          <w:fldChar w:fldCharType="end"/>
        </w:r>
      </w:hyperlink>
    </w:p>
    <w:p w14:paraId="5D883887" w14:textId="27A1C119" w:rsidR="004F498E" w:rsidRPr="00117BF8"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24" w:history="1">
        <w:r w:rsidRPr="00BF5B8E">
          <w:rPr>
            <w:rStyle w:val="Hyperlink"/>
            <w:rFonts w:ascii="Arial" w:eastAsia="Calibri" w:hAnsi="Arial" w:cs="Arial"/>
            <w:b w:val="0"/>
          </w:rPr>
          <w:t>4.9</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Servicios Económicos</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_Toc494040324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58</w:t>
        </w:r>
        <w:r w:rsidRPr="00BF5B8E">
          <w:rPr>
            <w:rFonts w:ascii="Arial" w:hAnsi="Arial" w:cs="Arial"/>
            <w:b w:val="0"/>
            <w:webHidden/>
          </w:rPr>
          <w:fldChar w:fldCharType="end"/>
        </w:r>
      </w:hyperlink>
    </w:p>
    <w:p w14:paraId="4DED713A" w14:textId="4C1F1BE5" w:rsidR="004F498E" w:rsidRPr="00117BF8" w:rsidRDefault="004F498E">
      <w:pPr>
        <w:pStyle w:val="TOC1"/>
        <w:rPr>
          <w:rFonts w:ascii="Arial" w:eastAsia="MS Mincho" w:hAnsi="Arial" w:cs="Arial"/>
          <w:b w:val="0"/>
          <w:caps w:val="0"/>
          <w:szCs w:val="22"/>
          <w:u w:val="none"/>
          <w:lang w:val="en-US" w:eastAsia="ja-JP"/>
        </w:rPr>
      </w:pPr>
      <w:hyperlink w:anchor="_Toc494040325" w:history="1">
        <w:r w:rsidRPr="00117BF8">
          <w:rPr>
            <w:rStyle w:val="Hyperlink"/>
            <w:rFonts w:ascii="Arial" w:eastAsia="Calibri" w:hAnsi="Arial" w:cs="Arial"/>
          </w:rPr>
          <w:t>5</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Las Operaciones de Préstamo BID</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_Toc494040325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59</w:t>
        </w:r>
        <w:r w:rsidRPr="00117BF8">
          <w:rPr>
            <w:rFonts w:ascii="Arial" w:hAnsi="Arial" w:cs="Arial"/>
            <w:webHidden/>
          </w:rPr>
          <w:fldChar w:fldCharType="end"/>
        </w:r>
      </w:hyperlink>
    </w:p>
    <w:p w14:paraId="291DA446" w14:textId="3C094559"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26" w:history="1">
        <w:r w:rsidRPr="00BF5B8E">
          <w:rPr>
            <w:rStyle w:val="Hyperlink"/>
            <w:rFonts w:ascii="Arial" w:eastAsia="Calibri" w:hAnsi="Arial" w:cs="Arial"/>
            <w:b w:val="0"/>
          </w:rPr>
          <w:t>5.1</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Características y Proyecciones</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_Toc494040326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59</w:t>
        </w:r>
        <w:r w:rsidRPr="00BF5B8E">
          <w:rPr>
            <w:rFonts w:ascii="Arial" w:hAnsi="Arial" w:cs="Arial"/>
            <w:b w:val="0"/>
            <w:webHidden/>
          </w:rPr>
          <w:fldChar w:fldCharType="end"/>
        </w:r>
      </w:hyperlink>
    </w:p>
    <w:p w14:paraId="7133E1FA" w14:textId="6086C4B7"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27" w:history="1">
        <w:r w:rsidRPr="00BF5B8E">
          <w:rPr>
            <w:rStyle w:val="Hyperlink"/>
            <w:rFonts w:ascii="Arial" w:eastAsia="Calibri" w:hAnsi="Arial" w:cs="Arial"/>
            <w:b w:val="0"/>
          </w:rPr>
          <w:t>5.2</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Mantenimiento – Consideraciones presupuestarias</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_Toc494040327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64</w:t>
        </w:r>
        <w:r w:rsidRPr="00BF5B8E">
          <w:rPr>
            <w:rFonts w:ascii="Arial" w:hAnsi="Arial" w:cs="Arial"/>
            <w:b w:val="0"/>
            <w:webHidden/>
          </w:rPr>
          <w:fldChar w:fldCharType="end"/>
        </w:r>
      </w:hyperlink>
    </w:p>
    <w:p w14:paraId="6E7117C6" w14:textId="264AEA97"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28" w:history="1">
        <w:r w:rsidRPr="00BF5B8E">
          <w:rPr>
            <w:rStyle w:val="Hyperlink"/>
            <w:rFonts w:ascii="Arial" w:hAnsi="Arial" w:cs="Arial"/>
            <w:b w:val="0"/>
          </w:rPr>
          <w:t>5.3</w:t>
        </w:r>
        <w:r w:rsidRPr="00BF5B8E">
          <w:rPr>
            <w:rFonts w:ascii="Arial" w:eastAsia="MS Mincho" w:hAnsi="Arial" w:cs="Arial"/>
            <w:b w:val="0"/>
            <w:smallCaps w:val="0"/>
            <w:szCs w:val="22"/>
            <w:lang w:val="en-US" w:eastAsia="ja-JP"/>
          </w:rPr>
          <w:tab/>
        </w:r>
        <w:r w:rsidRPr="00BF5B8E">
          <w:rPr>
            <w:rStyle w:val="Hyperlink"/>
            <w:rFonts w:ascii="Arial" w:hAnsi="Arial" w:cs="Arial"/>
            <w:b w:val="0"/>
          </w:rPr>
          <w:t>Impacto de los Gastos de Capital</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_Toc494040328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65</w:t>
        </w:r>
        <w:r w:rsidRPr="00BF5B8E">
          <w:rPr>
            <w:rFonts w:ascii="Arial" w:hAnsi="Arial" w:cs="Arial"/>
            <w:b w:val="0"/>
            <w:webHidden/>
          </w:rPr>
          <w:fldChar w:fldCharType="end"/>
        </w:r>
      </w:hyperlink>
    </w:p>
    <w:p w14:paraId="03A9ECC3" w14:textId="54D52EEF" w:rsidR="004F498E" w:rsidRPr="00117BF8" w:rsidRDefault="004F498E">
      <w:pPr>
        <w:pStyle w:val="TOC1"/>
        <w:rPr>
          <w:rFonts w:ascii="Arial" w:eastAsia="MS Mincho" w:hAnsi="Arial" w:cs="Arial"/>
          <w:b w:val="0"/>
          <w:caps w:val="0"/>
          <w:szCs w:val="22"/>
          <w:u w:val="none"/>
          <w:lang w:val="en-US" w:eastAsia="ja-JP"/>
        </w:rPr>
      </w:pPr>
      <w:hyperlink w:anchor="_Toc494040329" w:history="1">
        <w:r w:rsidRPr="00117BF8">
          <w:rPr>
            <w:rStyle w:val="Hyperlink"/>
            <w:rFonts w:ascii="Arial" w:hAnsi="Arial" w:cs="Arial"/>
          </w:rPr>
          <w:t>6</w:t>
        </w:r>
        <w:r w:rsidRPr="00117BF8">
          <w:rPr>
            <w:rFonts w:ascii="Arial" w:eastAsia="MS Mincho" w:hAnsi="Arial" w:cs="Arial"/>
            <w:b w:val="0"/>
            <w:caps w:val="0"/>
            <w:szCs w:val="22"/>
            <w:u w:val="none"/>
            <w:lang w:val="en-US" w:eastAsia="ja-JP"/>
          </w:rPr>
          <w:tab/>
        </w:r>
        <w:r w:rsidRPr="00117BF8">
          <w:rPr>
            <w:rStyle w:val="Hyperlink"/>
            <w:rFonts w:ascii="Arial" w:hAnsi="Arial" w:cs="Arial"/>
          </w:rPr>
          <w:t>Presupuesto 2017</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_Toc494040329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66</w:t>
        </w:r>
        <w:r w:rsidRPr="00117BF8">
          <w:rPr>
            <w:rFonts w:ascii="Arial" w:hAnsi="Arial" w:cs="Arial"/>
            <w:webHidden/>
          </w:rPr>
          <w:fldChar w:fldCharType="end"/>
        </w:r>
      </w:hyperlink>
    </w:p>
    <w:p w14:paraId="28ECA29F" w14:textId="1EA86765" w:rsidR="004F498E" w:rsidRPr="00117BF8" w:rsidRDefault="004F498E">
      <w:pPr>
        <w:pStyle w:val="TOC1"/>
        <w:rPr>
          <w:rFonts w:ascii="Arial" w:eastAsia="MS Mincho" w:hAnsi="Arial" w:cs="Arial"/>
          <w:b w:val="0"/>
          <w:caps w:val="0"/>
          <w:szCs w:val="22"/>
          <w:u w:val="none"/>
          <w:lang w:val="en-US" w:eastAsia="ja-JP"/>
        </w:rPr>
      </w:pPr>
      <w:hyperlink w:anchor="_Toc494040330" w:history="1">
        <w:r w:rsidRPr="00117BF8">
          <w:rPr>
            <w:rStyle w:val="Hyperlink"/>
            <w:rFonts w:ascii="Arial" w:hAnsi="Arial" w:cs="Arial"/>
          </w:rPr>
          <w:t>7</w:t>
        </w:r>
        <w:r w:rsidRPr="00117BF8">
          <w:rPr>
            <w:rFonts w:ascii="Arial" w:eastAsia="MS Mincho" w:hAnsi="Arial" w:cs="Arial"/>
            <w:b w:val="0"/>
            <w:caps w:val="0"/>
            <w:szCs w:val="22"/>
            <w:u w:val="none"/>
            <w:lang w:val="en-US" w:eastAsia="ja-JP"/>
          </w:rPr>
          <w:tab/>
        </w:r>
        <w:r w:rsidRPr="00117BF8">
          <w:rPr>
            <w:rStyle w:val="Hyperlink"/>
            <w:rFonts w:ascii="Arial" w:hAnsi="Arial" w:cs="Arial"/>
          </w:rPr>
          <w:t>Proyecciones Fiscales de la Provincia de Buenos Aires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_Toc494040330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68</w:t>
        </w:r>
        <w:r w:rsidRPr="00117BF8">
          <w:rPr>
            <w:rFonts w:ascii="Arial" w:hAnsi="Arial" w:cs="Arial"/>
            <w:webHidden/>
          </w:rPr>
          <w:fldChar w:fldCharType="end"/>
        </w:r>
      </w:hyperlink>
    </w:p>
    <w:p w14:paraId="192786EE" w14:textId="6E699C30"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31" w:history="1">
        <w:r w:rsidRPr="00BF5B8E">
          <w:rPr>
            <w:rStyle w:val="Hyperlink"/>
            <w:rFonts w:ascii="Arial" w:hAnsi="Arial" w:cs="Arial"/>
            <w:b w:val="0"/>
          </w:rPr>
          <w:t>7.1</w:t>
        </w:r>
        <w:r w:rsidRPr="00BF5B8E">
          <w:rPr>
            <w:rFonts w:ascii="Arial" w:eastAsia="MS Mincho" w:hAnsi="Arial" w:cs="Arial"/>
            <w:b w:val="0"/>
            <w:smallCaps w:val="0"/>
            <w:szCs w:val="22"/>
            <w:lang w:val="en-US" w:eastAsia="ja-JP"/>
          </w:rPr>
          <w:tab/>
        </w:r>
        <w:r w:rsidRPr="00BF5B8E">
          <w:rPr>
            <w:rStyle w:val="Hyperlink"/>
            <w:rFonts w:ascii="Arial" w:hAnsi="Arial" w:cs="Arial"/>
            <w:b w:val="0"/>
          </w:rPr>
          <w:t>Indicadores Relevantes – Antecedentes</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_Toc494040331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68</w:t>
        </w:r>
        <w:r w:rsidRPr="00BF5B8E">
          <w:rPr>
            <w:rFonts w:ascii="Arial" w:hAnsi="Arial" w:cs="Arial"/>
            <w:b w:val="0"/>
            <w:webHidden/>
          </w:rPr>
          <w:fldChar w:fldCharType="end"/>
        </w:r>
      </w:hyperlink>
    </w:p>
    <w:p w14:paraId="1C7011C9" w14:textId="59FF09CA" w:rsidR="004F498E" w:rsidRPr="00BF5B8E" w:rsidRDefault="004F498E">
      <w:pPr>
        <w:pStyle w:val="TOC3"/>
        <w:rPr>
          <w:rFonts w:ascii="Arial" w:eastAsia="MS Mincho" w:hAnsi="Arial" w:cs="Arial"/>
          <w:smallCaps w:val="0"/>
          <w:noProof/>
          <w:szCs w:val="22"/>
          <w:lang w:val="en-US" w:eastAsia="ja-JP"/>
        </w:rPr>
      </w:pPr>
      <w:hyperlink w:anchor="_Toc494040332" w:history="1">
        <w:r w:rsidRPr="00BF5B8E">
          <w:rPr>
            <w:rStyle w:val="Hyperlink"/>
            <w:rFonts w:ascii="Arial" w:hAnsi="Arial" w:cs="Arial"/>
            <w:noProof/>
          </w:rPr>
          <w:t>7.1.1</w:t>
        </w:r>
        <w:r w:rsidRPr="00BF5B8E">
          <w:rPr>
            <w:rFonts w:ascii="Arial" w:eastAsia="MS Mincho" w:hAnsi="Arial" w:cs="Arial"/>
            <w:smallCaps w:val="0"/>
            <w:noProof/>
            <w:szCs w:val="22"/>
            <w:lang w:val="en-US" w:eastAsia="ja-JP"/>
          </w:rPr>
          <w:tab/>
        </w:r>
        <w:r w:rsidRPr="00BF5B8E">
          <w:rPr>
            <w:rStyle w:val="Hyperlink"/>
            <w:rFonts w:ascii="Arial" w:hAnsi="Arial" w:cs="Arial"/>
            <w:noProof/>
          </w:rPr>
          <w:t>Rigidez del Gasto</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_Toc494040332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69</w:t>
        </w:r>
        <w:r w:rsidRPr="00BF5B8E">
          <w:rPr>
            <w:rFonts w:ascii="Arial" w:hAnsi="Arial" w:cs="Arial"/>
            <w:noProof/>
            <w:webHidden/>
          </w:rPr>
          <w:fldChar w:fldCharType="end"/>
        </w:r>
      </w:hyperlink>
    </w:p>
    <w:p w14:paraId="1266FDC6" w14:textId="0E4C8B05" w:rsidR="004F498E" w:rsidRPr="00BF5B8E" w:rsidRDefault="004F498E">
      <w:pPr>
        <w:pStyle w:val="TOC3"/>
        <w:rPr>
          <w:rFonts w:ascii="Arial" w:eastAsia="MS Mincho" w:hAnsi="Arial" w:cs="Arial"/>
          <w:smallCaps w:val="0"/>
          <w:noProof/>
          <w:szCs w:val="22"/>
          <w:lang w:val="en-US" w:eastAsia="ja-JP"/>
        </w:rPr>
      </w:pPr>
      <w:hyperlink w:anchor="_Toc494040333" w:history="1">
        <w:r w:rsidRPr="00BF5B8E">
          <w:rPr>
            <w:rStyle w:val="Hyperlink"/>
            <w:rFonts w:ascii="Arial" w:hAnsi="Arial" w:cs="Arial"/>
            <w:noProof/>
          </w:rPr>
          <w:t>7.1.2</w:t>
        </w:r>
        <w:r w:rsidRPr="00BF5B8E">
          <w:rPr>
            <w:rFonts w:ascii="Arial" w:eastAsia="MS Mincho" w:hAnsi="Arial" w:cs="Arial"/>
            <w:smallCaps w:val="0"/>
            <w:noProof/>
            <w:szCs w:val="22"/>
            <w:lang w:val="en-US" w:eastAsia="ja-JP"/>
          </w:rPr>
          <w:tab/>
        </w:r>
        <w:r w:rsidRPr="00BF5B8E">
          <w:rPr>
            <w:rStyle w:val="Hyperlink"/>
            <w:rFonts w:ascii="Arial" w:hAnsi="Arial" w:cs="Arial"/>
            <w:noProof/>
          </w:rPr>
          <w:t>Recursos Tributarios de Origen Nacional Descendentes.</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_Toc494040333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69</w:t>
        </w:r>
        <w:r w:rsidRPr="00BF5B8E">
          <w:rPr>
            <w:rFonts w:ascii="Arial" w:hAnsi="Arial" w:cs="Arial"/>
            <w:noProof/>
            <w:webHidden/>
          </w:rPr>
          <w:fldChar w:fldCharType="end"/>
        </w:r>
      </w:hyperlink>
    </w:p>
    <w:p w14:paraId="14225FC9" w14:textId="758E32BE" w:rsidR="004F498E" w:rsidRPr="00BF5B8E" w:rsidRDefault="004F498E">
      <w:pPr>
        <w:pStyle w:val="TOC3"/>
        <w:rPr>
          <w:rFonts w:ascii="Arial" w:eastAsia="MS Mincho" w:hAnsi="Arial" w:cs="Arial"/>
          <w:smallCaps w:val="0"/>
          <w:noProof/>
          <w:szCs w:val="22"/>
          <w:lang w:val="en-US" w:eastAsia="ja-JP"/>
        </w:rPr>
      </w:pPr>
      <w:hyperlink w:anchor="_Toc494040334" w:history="1">
        <w:r w:rsidRPr="00BF5B8E">
          <w:rPr>
            <w:rStyle w:val="Hyperlink"/>
            <w:rFonts w:ascii="Arial" w:hAnsi="Arial" w:cs="Arial"/>
            <w:noProof/>
          </w:rPr>
          <w:t>7.1.3</w:t>
        </w:r>
        <w:r w:rsidRPr="00BF5B8E">
          <w:rPr>
            <w:rFonts w:ascii="Arial" w:eastAsia="MS Mincho" w:hAnsi="Arial" w:cs="Arial"/>
            <w:smallCaps w:val="0"/>
            <w:noProof/>
            <w:szCs w:val="22"/>
            <w:lang w:val="en-US" w:eastAsia="ja-JP"/>
          </w:rPr>
          <w:tab/>
        </w:r>
        <w:r w:rsidRPr="00BF5B8E">
          <w:rPr>
            <w:rStyle w:val="Hyperlink"/>
            <w:rFonts w:ascii="Arial" w:hAnsi="Arial" w:cs="Arial"/>
            <w:noProof/>
          </w:rPr>
          <w:t>Presión fiscal provincial alta en términos relativos.</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_Toc494040334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70</w:t>
        </w:r>
        <w:r w:rsidRPr="00BF5B8E">
          <w:rPr>
            <w:rFonts w:ascii="Arial" w:hAnsi="Arial" w:cs="Arial"/>
            <w:noProof/>
            <w:webHidden/>
          </w:rPr>
          <w:fldChar w:fldCharType="end"/>
        </w:r>
      </w:hyperlink>
    </w:p>
    <w:p w14:paraId="05C1671B" w14:textId="30915060" w:rsidR="004F498E" w:rsidRPr="00BF5B8E" w:rsidRDefault="004F498E">
      <w:pPr>
        <w:pStyle w:val="TOC3"/>
        <w:rPr>
          <w:rFonts w:ascii="Arial" w:eastAsia="MS Mincho" w:hAnsi="Arial" w:cs="Arial"/>
          <w:smallCaps w:val="0"/>
          <w:noProof/>
          <w:szCs w:val="22"/>
          <w:lang w:val="en-US" w:eastAsia="ja-JP"/>
        </w:rPr>
      </w:pPr>
      <w:hyperlink w:anchor="_Toc494040335" w:history="1">
        <w:r w:rsidRPr="00BF5B8E">
          <w:rPr>
            <w:rStyle w:val="Hyperlink"/>
            <w:rFonts w:ascii="Arial" w:hAnsi="Arial" w:cs="Arial"/>
            <w:noProof/>
          </w:rPr>
          <w:t>7.1.4</w:t>
        </w:r>
        <w:r w:rsidRPr="00BF5B8E">
          <w:rPr>
            <w:rFonts w:ascii="Arial" w:eastAsia="MS Mincho" w:hAnsi="Arial" w:cs="Arial"/>
            <w:smallCaps w:val="0"/>
            <w:noProof/>
            <w:szCs w:val="22"/>
            <w:lang w:val="en-US" w:eastAsia="ja-JP"/>
          </w:rPr>
          <w:tab/>
        </w:r>
        <w:r w:rsidRPr="00BF5B8E">
          <w:rPr>
            <w:rStyle w:val="Hyperlink"/>
            <w:rFonts w:ascii="Arial" w:hAnsi="Arial" w:cs="Arial"/>
            <w:noProof/>
          </w:rPr>
          <w:t>Recursos totales con bajo nivel relativo respecto al resto de las Jurisdicciones.</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_Toc494040335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73</w:t>
        </w:r>
        <w:r w:rsidRPr="00BF5B8E">
          <w:rPr>
            <w:rFonts w:ascii="Arial" w:hAnsi="Arial" w:cs="Arial"/>
            <w:noProof/>
            <w:webHidden/>
          </w:rPr>
          <w:fldChar w:fldCharType="end"/>
        </w:r>
      </w:hyperlink>
    </w:p>
    <w:p w14:paraId="679D3C6A" w14:textId="55131EF0" w:rsidR="004F498E" w:rsidRPr="00BF5B8E" w:rsidRDefault="004F498E">
      <w:pPr>
        <w:pStyle w:val="TOC3"/>
        <w:rPr>
          <w:rFonts w:ascii="Arial" w:eastAsia="MS Mincho" w:hAnsi="Arial" w:cs="Arial"/>
          <w:smallCaps w:val="0"/>
          <w:noProof/>
          <w:szCs w:val="22"/>
          <w:lang w:val="en-US" w:eastAsia="ja-JP"/>
        </w:rPr>
      </w:pPr>
      <w:hyperlink w:anchor="_Toc494040336" w:history="1">
        <w:r w:rsidRPr="00BF5B8E">
          <w:rPr>
            <w:rStyle w:val="Hyperlink"/>
            <w:rFonts w:ascii="Arial" w:hAnsi="Arial" w:cs="Arial"/>
            <w:noProof/>
          </w:rPr>
          <w:t>7.1.5</w:t>
        </w:r>
        <w:r w:rsidRPr="00BF5B8E">
          <w:rPr>
            <w:rFonts w:ascii="Arial" w:eastAsia="MS Mincho" w:hAnsi="Arial" w:cs="Arial"/>
            <w:smallCaps w:val="0"/>
            <w:noProof/>
            <w:szCs w:val="22"/>
            <w:lang w:val="en-US" w:eastAsia="ja-JP"/>
          </w:rPr>
          <w:tab/>
        </w:r>
        <w:r w:rsidRPr="00BF5B8E">
          <w:rPr>
            <w:rStyle w:val="Hyperlink"/>
            <w:rFonts w:ascii="Arial" w:hAnsi="Arial" w:cs="Arial"/>
            <w:noProof/>
          </w:rPr>
          <w:t>Niveles recursos bajos respecto a otras provincias con similares indicadores de NBI.</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_Toc494040336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73</w:t>
        </w:r>
        <w:r w:rsidRPr="00BF5B8E">
          <w:rPr>
            <w:rFonts w:ascii="Arial" w:hAnsi="Arial" w:cs="Arial"/>
            <w:noProof/>
            <w:webHidden/>
          </w:rPr>
          <w:fldChar w:fldCharType="end"/>
        </w:r>
      </w:hyperlink>
    </w:p>
    <w:p w14:paraId="1623A4E6" w14:textId="1AFA2B72"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37" w:history="1">
        <w:r w:rsidRPr="00BF5B8E">
          <w:rPr>
            <w:rStyle w:val="Hyperlink"/>
            <w:rFonts w:ascii="Arial" w:hAnsi="Arial" w:cs="Arial"/>
            <w:b w:val="0"/>
          </w:rPr>
          <w:t>7.2</w:t>
        </w:r>
        <w:r w:rsidRPr="00BF5B8E">
          <w:rPr>
            <w:rFonts w:ascii="Arial" w:eastAsia="MS Mincho" w:hAnsi="Arial" w:cs="Arial"/>
            <w:b w:val="0"/>
            <w:smallCaps w:val="0"/>
            <w:szCs w:val="22"/>
            <w:lang w:val="en-US" w:eastAsia="ja-JP"/>
          </w:rPr>
          <w:tab/>
        </w:r>
        <w:r w:rsidRPr="00BF5B8E">
          <w:rPr>
            <w:rStyle w:val="Hyperlink"/>
            <w:rFonts w:ascii="Arial" w:hAnsi="Arial" w:cs="Arial"/>
            <w:b w:val="0"/>
          </w:rPr>
          <w:t>Proyecciones Presentadas por la Provincia</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_Toc494040337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74</w:t>
        </w:r>
        <w:r w:rsidRPr="00BF5B8E">
          <w:rPr>
            <w:rFonts w:ascii="Arial" w:hAnsi="Arial" w:cs="Arial"/>
            <w:b w:val="0"/>
            <w:webHidden/>
          </w:rPr>
          <w:fldChar w:fldCharType="end"/>
        </w:r>
      </w:hyperlink>
    </w:p>
    <w:p w14:paraId="7079BEBA" w14:textId="5AFE7A20" w:rsidR="004F498E" w:rsidRPr="00BF5B8E" w:rsidRDefault="004F498E">
      <w:pPr>
        <w:pStyle w:val="TOC2"/>
        <w:tabs>
          <w:tab w:val="left" w:pos="502"/>
          <w:tab w:val="right" w:leader="dot" w:pos="8495"/>
        </w:tabs>
        <w:rPr>
          <w:rFonts w:ascii="Arial" w:eastAsia="MS Mincho" w:hAnsi="Arial" w:cs="Arial"/>
          <w:b w:val="0"/>
          <w:smallCaps w:val="0"/>
          <w:szCs w:val="22"/>
          <w:lang w:val="en-US" w:eastAsia="ja-JP"/>
        </w:rPr>
      </w:pPr>
      <w:hyperlink w:anchor="_Toc494040338" w:history="1">
        <w:r w:rsidRPr="00BF5B8E">
          <w:rPr>
            <w:rStyle w:val="Hyperlink"/>
            <w:rFonts w:ascii="Arial" w:hAnsi="Arial" w:cs="Arial"/>
            <w:b w:val="0"/>
          </w:rPr>
          <w:t>7.3</w:t>
        </w:r>
        <w:r w:rsidRPr="00BF5B8E">
          <w:rPr>
            <w:rFonts w:ascii="Arial" w:eastAsia="MS Mincho" w:hAnsi="Arial" w:cs="Arial"/>
            <w:b w:val="0"/>
            <w:smallCaps w:val="0"/>
            <w:szCs w:val="22"/>
            <w:lang w:val="en-US" w:eastAsia="ja-JP"/>
          </w:rPr>
          <w:tab/>
        </w:r>
        <w:r w:rsidRPr="00BF5B8E">
          <w:rPr>
            <w:rStyle w:val="Hyperlink"/>
            <w:rFonts w:ascii="Arial" w:hAnsi="Arial" w:cs="Arial"/>
            <w:b w:val="0"/>
          </w:rPr>
          <w:t>Análisis de la Proyección de la Provincia y Proyección Alternativa.</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_Toc494040338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78</w:t>
        </w:r>
        <w:r w:rsidRPr="00BF5B8E">
          <w:rPr>
            <w:rFonts w:ascii="Arial" w:hAnsi="Arial" w:cs="Arial"/>
            <w:b w:val="0"/>
            <w:webHidden/>
          </w:rPr>
          <w:fldChar w:fldCharType="end"/>
        </w:r>
      </w:hyperlink>
    </w:p>
    <w:p w14:paraId="0996E819" w14:textId="70398213" w:rsidR="004F498E" w:rsidRPr="00BF5B8E" w:rsidRDefault="004F498E">
      <w:pPr>
        <w:pStyle w:val="TOC3"/>
        <w:rPr>
          <w:rFonts w:ascii="Arial" w:eastAsia="MS Mincho" w:hAnsi="Arial" w:cs="Arial"/>
          <w:smallCaps w:val="0"/>
          <w:noProof/>
          <w:szCs w:val="22"/>
          <w:lang w:val="en-US" w:eastAsia="ja-JP"/>
        </w:rPr>
      </w:pPr>
      <w:hyperlink w:anchor="_Toc494040339" w:history="1">
        <w:r w:rsidRPr="00BF5B8E">
          <w:rPr>
            <w:rStyle w:val="Hyperlink"/>
            <w:rFonts w:ascii="Arial" w:hAnsi="Arial" w:cs="Arial"/>
            <w:noProof/>
          </w:rPr>
          <w:t>7.3.1</w:t>
        </w:r>
        <w:r w:rsidRPr="00BF5B8E">
          <w:rPr>
            <w:rFonts w:ascii="Arial" w:eastAsia="MS Mincho" w:hAnsi="Arial" w:cs="Arial"/>
            <w:smallCaps w:val="0"/>
            <w:noProof/>
            <w:szCs w:val="22"/>
            <w:lang w:val="en-US" w:eastAsia="ja-JP"/>
          </w:rPr>
          <w:tab/>
        </w:r>
        <w:r w:rsidRPr="00BF5B8E">
          <w:rPr>
            <w:rStyle w:val="Hyperlink"/>
            <w:rFonts w:ascii="Arial" w:hAnsi="Arial" w:cs="Arial"/>
            <w:noProof/>
          </w:rPr>
          <w:t>Supuestos</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_Toc494040339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78</w:t>
        </w:r>
        <w:r w:rsidRPr="00BF5B8E">
          <w:rPr>
            <w:rFonts w:ascii="Arial" w:hAnsi="Arial" w:cs="Arial"/>
            <w:noProof/>
            <w:webHidden/>
          </w:rPr>
          <w:fldChar w:fldCharType="end"/>
        </w:r>
      </w:hyperlink>
    </w:p>
    <w:p w14:paraId="7D52CABD" w14:textId="53C6D966" w:rsidR="004F498E" w:rsidRPr="00BF5B8E" w:rsidRDefault="004F498E">
      <w:pPr>
        <w:pStyle w:val="TOC3"/>
        <w:rPr>
          <w:rFonts w:ascii="Arial" w:eastAsia="MS Mincho" w:hAnsi="Arial" w:cs="Arial"/>
          <w:smallCaps w:val="0"/>
          <w:noProof/>
          <w:szCs w:val="22"/>
          <w:lang w:val="en-US" w:eastAsia="ja-JP"/>
        </w:rPr>
      </w:pPr>
      <w:hyperlink w:anchor="_Toc494040340" w:history="1">
        <w:r w:rsidRPr="00BF5B8E">
          <w:rPr>
            <w:rStyle w:val="Hyperlink"/>
            <w:rFonts w:ascii="Arial" w:hAnsi="Arial" w:cs="Arial"/>
            <w:noProof/>
          </w:rPr>
          <w:t>7.3.2</w:t>
        </w:r>
        <w:r w:rsidRPr="00BF5B8E">
          <w:rPr>
            <w:rFonts w:ascii="Arial" w:eastAsia="MS Mincho" w:hAnsi="Arial" w:cs="Arial"/>
            <w:smallCaps w:val="0"/>
            <w:noProof/>
            <w:szCs w:val="22"/>
            <w:lang w:val="en-US" w:eastAsia="ja-JP"/>
          </w:rPr>
          <w:tab/>
        </w:r>
        <w:r w:rsidRPr="00BF5B8E">
          <w:rPr>
            <w:rStyle w:val="Hyperlink"/>
            <w:rFonts w:ascii="Arial" w:hAnsi="Arial" w:cs="Arial"/>
            <w:noProof/>
          </w:rPr>
          <w:t>Consistencia de los Gastos</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_Toc494040340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83</w:t>
        </w:r>
        <w:r w:rsidRPr="00BF5B8E">
          <w:rPr>
            <w:rFonts w:ascii="Arial" w:hAnsi="Arial" w:cs="Arial"/>
            <w:noProof/>
            <w:webHidden/>
          </w:rPr>
          <w:fldChar w:fldCharType="end"/>
        </w:r>
      </w:hyperlink>
    </w:p>
    <w:p w14:paraId="6C38B5AF" w14:textId="38624963" w:rsidR="004F498E" w:rsidRPr="00BF5B8E" w:rsidRDefault="004F498E">
      <w:pPr>
        <w:pStyle w:val="TOC3"/>
        <w:rPr>
          <w:rFonts w:ascii="Arial" w:eastAsia="MS Mincho" w:hAnsi="Arial" w:cs="Arial"/>
          <w:smallCaps w:val="0"/>
          <w:noProof/>
          <w:szCs w:val="22"/>
          <w:lang w:val="en-US" w:eastAsia="ja-JP"/>
        </w:rPr>
      </w:pPr>
      <w:hyperlink w:anchor="_Toc494040341" w:history="1">
        <w:r w:rsidRPr="00BF5B8E">
          <w:rPr>
            <w:rStyle w:val="Hyperlink"/>
            <w:rFonts w:ascii="Arial" w:hAnsi="Arial" w:cs="Arial"/>
            <w:noProof/>
          </w:rPr>
          <w:t>7.3.3</w:t>
        </w:r>
        <w:r w:rsidRPr="00BF5B8E">
          <w:rPr>
            <w:rFonts w:ascii="Arial" w:eastAsia="MS Mincho" w:hAnsi="Arial" w:cs="Arial"/>
            <w:smallCaps w:val="0"/>
            <w:noProof/>
            <w:szCs w:val="22"/>
            <w:lang w:val="en-US" w:eastAsia="ja-JP"/>
          </w:rPr>
          <w:tab/>
        </w:r>
        <w:r w:rsidRPr="00BF5B8E">
          <w:rPr>
            <w:rStyle w:val="Hyperlink"/>
            <w:rFonts w:ascii="Arial" w:hAnsi="Arial" w:cs="Arial"/>
            <w:noProof/>
          </w:rPr>
          <w:t>Servicio de Deuda</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_Toc494040341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83</w:t>
        </w:r>
        <w:r w:rsidRPr="00BF5B8E">
          <w:rPr>
            <w:rFonts w:ascii="Arial" w:hAnsi="Arial" w:cs="Arial"/>
            <w:noProof/>
            <w:webHidden/>
          </w:rPr>
          <w:fldChar w:fldCharType="end"/>
        </w:r>
      </w:hyperlink>
    </w:p>
    <w:p w14:paraId="569EF2AF" w14:textId="6FC0100D" w:rsidR="004F498E" w:rsidRPr="00BF5B8E" w:rsidRDefault="004F498E">
      <w:pPr>
        <w:pStyle w:val="TOC3"/>
        <w:rPr>
          <w:rFonts w:ascii="Arial" w:eastAsia="MS Mincho" w:hAnsi="Arial" w:cs="Arial"/>
          <w:smallCaps w:val="0"/>
          <w:noProof/>
          <w:szCs w:val="22"/>
          <w:lang w:val="en-US" w:eastAsia="ja-JP"/>
        </w:rPr>
      </w:pPr>
      <w:hyperlink w:anchor="_Toc494040342" w:history="1">
        <w:r w:rsidRPr="00BF5B8E">
          <w:rPr>
            <w:rStyle w:val="Hyperlink"/>
            <w:rFonts w:ascii="Arial" w:hAnsi="Arial" w:cs="Arial"/>
            <w:noProof/>
          </w:rPr>
          <w:t>7.3.4</w:t>
        </w:r>
        <w:r w:rsidRPr="00BF5B8E">
          <w:rPr>
            <w:rFonts w:ascii="Arial" w:eastAsia="MS Mincho" w:hAnsi="Arial" w:cs="Arial"/>
            <w:smallCaps w:val="0"/>
            <w:noProof/>
            <w:szCs w:val="22"/>
            <w:lang w:val="en-US" w:eastAsia="ja-JP"/>
          </w:rPr>
          <w:tab/>
        </w:r>
        <w:r w:rsidRPr="00BF5B8E">
          <w:rPr>
            <w:rStyle w:val="Hyperlink"/>
            <w:rFonts w:ascii="Arial" w:hAnsi="Arial" w:cs="Arial"/>
            <w:noProof/>
          </w:rPr>
          <w:t>Resultados Económico y Primario</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_Toc494040342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84</w:t>
        </w:r>
        <w:r w:rsidRPr="00BF5B8E">
          <w:rPr>
            <w:rFonts w:ascii="Arial" w:hAnsi="Arial" w:cs="Arial"/>
            <w:noProof/>
            <w:webHidden/>
          </w:rPr>
          <w:fldChar w:fldCharType="end"/>
        </w:r>
      </w:hyperlink>
    </w:p>
    <w:p w14:paraId="2AD10402" w14:textId="079C193B" w:rsidR="004F498E" w:rsidRPr="00117BF8" w:rsidRDefault="004F498E">
      <w:pPr>
        <w:pStyle w:val="TOC3"/>
        <w:rPr>
          <w:rFonts w:ascii="Arial" w:eastAsia="MS Mincho" w:hAnsi="Arial" w:cs="Arial"/>
          <w:smallCaps w:val="0"/>
          <w:noProof/>
          <w:szCs w:val="22"/>
          <w:lang w:val="en-US" w:eastAsia="ja-JP"/>
        </w:rPr>
      </w:pPr>
      <w:hyperlink w:anchor="_Toc494040343" w:history="1">
        <w:r w:rsidRPr="00BF5B8E">
          <w:rPr>
            <w:rStyle w:val="Hyperlink"/>
            <w:rFonts w:ascii="Arial" w:hAnsi="Arial" w:cs="Arial"/>
            <w:noProof/>
          </w:rPr>
          <w:t>7.3.5</w:t>
        </w:r>
        <w:r w:rsidRPr="00BF5B8E">
          <w:rPr>
            <w:rFonts w:ascii="Arial" w:eastAsia="MS Mincho" w:hAnsi="Arial" w:cs="Arial"/>
            <w:smallCaps w:val="0"/>
            <w:noProof/>
            <w:szCs w:val="22"/>
            <w:lang w:val="en-US" w:eastAsia="ja-JP"/>
          </w:rPr>
          <w:tab/>
        </w:r>
        <w:r w:rsidRPr="00BF5B8E">
          <w:rPr>
            <w:rStyle w:val="Hyperlink"/>
            <w:rFonts w:ascii="Arial" w:hAnsi="Arial" w:cs="Arial"/>
            <w:noProof/>
          </w:rPr>
          <w:t>Análisis de Sensibilidad y Resultado Financiero</w:t>
        </w:r>
        <w:r w:rsidRPr="00BF5B8E">
          <w:rPr>
            <w:rFonts w:ascii="Arial" w:hAnsi="Arial" w:cs="Arial"/>
            <w:noProof/>
            <w:webHidden/>
          </w:rPr>
          <w:tab/>
        </w:r>
        <w:r w:rsidRPr="00BF5B8E">
          <w:rPr>
            <w:rFonts w:ascii="Arial" w:hAnsi="Arial" w:cs="Arial"/>
            <w:noProof/>
            <w:webHidden/>
          </w:rPr>
          <w:fldChar w:fldCharType="begin"/>
        </w:r>
        <w:r w:rsidRPr="00BF5B8E">
          <w:rPr>
            <w:rFonts w:ascii="Arial" w:hAnsi="Arial" w:cs="Arial"/>
            <w:noProof/>
            <w:webHidden/>
          </w:rPr>
          <w:instrText xml:space="preserve"> PAGEREF _Toc494040343 \h </w:instrText>
        </w:r>
        <w:r w:rsidRPr="00BF5B8E">
          <w:rPr>
            <w:rFonts w:ascii="Arial" w:hAnsi="Arial" w:cs="Arial"/>
            <w:noProof/>
            <w:webHidden/>
          </w:rPr>
        </w:r>
        <w:r w:rsidRPr="00BF5B8E">
          <w:rPr>
            <w:rFonts w:ascii="Arial" w:hAnsi="Arial" w:cs="Arial"/>
            <w:noProof/>
            <w:webHidden/>
          </w:rPr>
          <w:fldChar w:fldCharType="separate"/>
        </w:r>
        <w:r w:rsidRPr="00BF5B8E">
          <w:rPr>
            <w:rFonts w:ascii="Arial" w:hAnsi="Arial" w:cs="Arial"/>
            <w:noProof/>
            <w:webHidden/>
          </w:rPr>
          <w:t>86</w:t>
        </w:r>
        <w:r w:rsidRPr="00BF5B8E">
          <w:rPr>
            <w:rFonts w:ascii="Arial" w:hAnsi="Arial" w:cs="Arial"/>
            <w:noProof/>
            <w:webHidden/>
          </w:rPr>
          <w:fldChar w:fldCharType="end"/>
        </w:r>
      </w:hyperlink>
    </w:p>
    <w:p w14:paraId="2F9391CD" w14:textId="07893E30" w:rsidR="004F498E" w:rsidRPr="00117BF8" w:rsidRDefault="004F498E">
      <w:pPr>
        <w:pStyle w:val="TOC1"/>
        <w:rPr>
          <w:rFonts w:ascii="Arial" w:eastAsia="MS Mincho" w:hAnsi="Arial" w:cs="Arial"/>
          <w:b w:val="0"/>
          <w:caps w:val="0"/>
          <w:szCs w:val="22"/>
          <w:u w:val="none"/>
          <w:lang w:val="en-US" w:eastAsia="ja-JP"/>
        </w:rPr>
      </w:pPr>
      <w:hyperlink w:anchor="_Toc494040344" w:history="1">
        <w:r w:rsidRPr="00117BF8">
          <w:rPr>
            <w:rStyle w:val="Hyperlink"/>
            <w:rFonts w:ascii="Arial" w:hAnsi="Arial" w:cs="Arial"/>
          </w:rPr>
          <w:t>8</w:t>
        </w:r>
        <w:r w:rsidRPr="00117BF8">
          <w:rPr>
            <w:rFonts w:ascii="Arial" w:eastAsia="MS Mincho" w:hAnsi="Arial" w:cs="Arial"/>
            <w:b w:val="0"/>
            <w:caps w:val="0"/>
            <w:szCs w:val="22"/>
            <w:u w:val="none"/>
            <w:lang w:val="en-US" w:eastAsia="ja-JP"/>
          </w:rPr>
          <w:tab/>
        </w:r>
        <w:r w:rsidRPr="00117BF8">
          <w:rPr>
            <w:rStyle w:val="Hyperlink"/>
            <w:rFonts w:ascii="Arial" w:hAnsi="Arial" w:cs="Arial"/>
          </w:rPr>
          <w:t>Indicadores: Responsabilidad Fiscal y Endeudamiento</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_Toc494040344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87</w:t>
        </w:r>
        <w:r w:rsidRPr="00117BF8">
          <w:rPr>
            <w:rFonts w:ascii="Arial" w:hAnsi="Arial" w:cs="Arial"/>
            <w:webHidden/>
          </w:rPr>
          <w:fldChar w:fldCharType="end"/>
        </w:r>
      </w:hyperlink>
    </w:p>
    <w:p w14:paraId="4B4D2D7A" w14:textId="46788565" w:rsidR="004F498E" w:rsidRPr="00117BF8" w:rsidRDefault="004F498E">
      <w:pPr>
        <w:pStyle w:val="TOC1"/>
        <w:rPr>
          <w:rFonts w:ascii="Arial" w:eastAsia="MS Mincho" w:hAnsi="Arial" w:cs="Arial"/>
          <w:b w:val="0"/>
          <w:caps w:val="0"/>
          <w:szCs w:val="22"/>
          <w:u w:val="none"/>
          <w:lang w:val="en-US" w:eastAsia="ja-JP"/>
        </w:rPr>
      </w:pPr>
      <w:hyperlink w:anchor="_Toc494040345" w:history="1">
        <w:r w:rsidRPr="00117BF8">
          <w:rPr>
            <w:rStyle w:val="Hyperlink"/>
            <w:rFonts w:ascii="Arial" w:eastAsia="Calibri" w:hAnsi="Arial" w:cs="Arial"/>
          </w:rPr>
          <w:t>9</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Aprobación de las Operaciones de préstamo BID</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_Toc494040345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91</w:t>
        </w:r>
        <w:r w:rsidRPr="00117BF8">
          <w:rPr>
            <w:rFonts w:ascii="Arial" w:hAnsi="Arial" w:cs="Arial"/>
            <w:webHidden/>
          </w:rPr>
          <w:fldChar w:fldCharType="end"/>
        </w:r>
      </w:hyperlink>
    </w:p>
    <w:p w14:paraId="6AD69083" w14:textId="264722DD" w:rsidR="004F498E" w:rsidRPr="00117BF8" w:rsidRDefault="004F498E">
      <w:pPr>
        <w:pStyle w:val="TOC1"/>
        <w:rPr>
          <w:rFonts w:ascii="Arial" w:eastAsia="MS Mincho" w:hAnsi="Arial" w:cs="Arial"/>
          <w:b w:val="0"/>
          <w:caps w:val="0"/>
          <w:szCs w:val="22"/>
          <w:u w:val="none"/>
          <w:lang w:val="en-US" w:eastAsia="ja-JP"/>
        </w:rPr>
      </w:pPr>
      <w:hyperlink w:anchor="_Toc494040350" w:history="1">
        <w:r w:rsidRPr="00117BF8">
          <w:rPr>
            <w:rStyle w:val="Hyperlink"/>
            <w:rFonts w:ascii="Arial" w:eastAsia="Calibri" w:hAnsi="Arial" w:cs="Arial"/>
          </w:rPr>
          <w:t>10</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Anexo I – Información Sobre las operaciones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_Toc494040350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93</w:t>
        </w:r>
        <w:r w:rsidRPr="00117BF8">
          <w:rPr>
            <w:rFonts w:ascii="Arial" w:hAnsi="Arial" w:cs="Arial"/>
            <w:webHidden/>
          </w:rPr>
          <w:fldChar w:fldCharType="end"/>
        </w:r>
      </w:hyperlink>
    </w:p>
    <w:p w14:paraId="4472E0B5" w14:textId="46010C7A" w:rsidR="004F498E" w:rsidRPr="00BF5B8E" w:rsidRDefault="004F498E">
      <w:pPr>
        <w:pStyle w:val="TOC2"/>
        <w:tabs>
          <w:tab w:val="left" w:pos="613"/>
          <w:tab w:val="right" w:leader="dot" w:pos="8495"/>
        </w:tabs>
        <w:rPr>
          <w:rFonts w:ascii="Arial" w:eastAsia="MS Mincho" w:hAnsi="Arial" w:cs="Arial"/>
          <w:b w:val="0"/>
          <w:smallCaps w:val="0"/>
          <w:szCs w:val="22"/>
          <w:lang w:val="en-US" w:eastAsia="ja-JP"/>
        </w:rPr>
      </w:pPr>
      <w:hyperlink w:anchor="_Toc494040351" w:history="1">
        <w:r w:rsidRPr="00BF5B8E">
          <w:rPr>
            <w:rStyle w:val="Hyperlink"/>
            <w:rFonts w:ascii="Arial" w:eastAsia="Calibri" w:hAnsi="Arial" w:cs="Arial"/>
            <w:b w:val="0"/>
          </w:rPr>
          <w:t>10.1</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Préstamo Ar-L1272</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_Toc494040351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93</w:t>
        </w:r>
        <w:r w:rsidRPr="00BF5B8E">
          <w:rPr>
            <w:rFonts w:ascii="Arial" w:hAnsi="Arial" w:cs="Arial"/>
            <w:b w:val="0"/>
            <w:webHidden/>
          </w:rPr>
          <w:fldChar w:fldCharType="end"/>
        </w:r>
      </w:hyperlink>
    </w:p>
    <w:p w14:paraId="062367FC" w14:textId="1D80D8E5" w:rsidR="004F498E" w:rsidRPr="00BF5B8E" w:rsidRDefault="004F498E">
      <w:pPr>
        <w:pStyle w:val="TOC2"/>
        <w:tabs>
          <w:tab w:val="left" w:pos="613"/>
          <w:tab w:val="right" w:leader="dot" w:pos="8495"/>
        </w:tabs>
        <w:rPr>
          <w:rFonts w:ascii="Arial" w:eastAsia="MS Mincho" w:hAnsi="Arial" w:cs="Arial"/>
          <w:b w:val="0"/>
          <w:smallCaps w:val="0"/>
          <w:szCs w:val="22"/>
          <w:lang w:val="en-US" w:eastAsia="ja-JP"/>
        </w:rPr>
      </w:pPr>
      <w:hyperlink w:anchor="_Toc494040352" w:history="1">
        <w:r w:rsidRPr="00BF5B8E">
          <w:rPr>
            <w:rStyle w:val="Hyperlink"/>
            <w:rFonts w:ascii="Arial" w:eastAsia="Calibri" w:hAnsi="Arial" w:cs="Arial"/>
            <w:b w:val="0"/>
          </w:rPr>
          <w:t>10.2</w:t>
        </w:r>
        <w:r w:rsidRPr="00BF5B8E">
          <w:rPr>
            <w:rFonts w:ascii="Arial" w:eastAsia="MS Mincho" w:hAnsi="Arial" w:cs="Arial"/>
            <w:b w:val="0"/>
            <w:smallCaps w:val="0"/>
            <w:szCs w:val="22"/>
            <w:lang w:val="en-US" w:eastAsia="ja-JP"/>
          </w:rPr>
          <w:tab/>
        </w:r>
        <w:r w:rsidRPr="00BF5B8E">
          <w:rPr>
            <w:rStyle w:val="Hyperlink"/>
            <w:rFonts w:ascii="Arial" w:eastAsia="Calibri" w:hAnsi="Arial" w:cs="Arial"/>
            <w:b w:val="0"/>
          </w:rPr>
          <w:t>Préstamo Ar-L1273</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_Toc494040352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93</w:t>
        </w:r>
        <w:r w:rsidRPr="00BF5B8E">
          <w:rPr>
            <w:rFonts w:ascii="Arial" w:hAnsi="Arial" w:cs="Arial"/>
            <w:b w:val="0"/>
            <w:webHidden/>
          </w:rPr>
          <w:fldChar w:fldCharType="end"/>
        </w:r>
      </w:hyperlink>
    </w:p>
    <w:p w14:paraId="1758D510" w14:textId="142DD78A" w:rsidR="004F498E" w:rsidRPr="00BF5B8E" w:rsidRDefault="004F498E">
      <w:pPr>
        <w:pStyle w:val="TOC2"/>
        <w:tabs>
          <w:tab w:val="left" w:pos="613"/>
          <w:tab w:val="right" w:leader="dot" w:pos="8495"/>
        </w:tabs>
        <w:rPr>
          <w:rFonts w:ascii="Arial" w:eastAsia="MS Mincho" w:hAnsi="Arial" w:cs="Arial"/>
          <w:b w:val="0"/>
          <w:smallCaps w:val="0"/>
          <w:szCs w:val="22"/>
          <w:lang w:val="en-US" w:eastAsia="ja-JP"/>
        </w:rPr>
      </w:pPr>
      <w:hyperlink w:anchor="_Toc494040353" w:history="1">
        <w:r w:rsidRPr="00BF5B8E">
          <w:rPr>
            <w:rStyle w:val="Hyperlink"/>
            <w:rFonts w:ascii="Arial" w:hAnsi="Arial" w:cs="Arial"/>
            <w:b w:val="0"/>
            <w:lang w:val="es-ES_tradnl"/>
          </w:rPr>
          <w:t>10.3</w:t>
        </w:r>
        <w:r w:rsidRPr="00BF5B8E">
          <w:rPr>
            <w:rFonts w:ascii="Arial" w:eastAsia="MS Mincho" w:hAnsi="Arial" w:cs="Arial"/>
            <w:b w:val="0"/>
            <w:smallCaps w:val="0"/>
            <w:szCs w:val="22"/>
            <w:lang w:val="en-US" w:eastAsia="ja-JP"/>
          </w:rPr>
          <w:tab/>
        </w:r>
        <w:r w:rsidRPr="00BF5B8E">
          <w:rPr>
            <w:rStyle w:val="Hyperlink"/>
            <w:rFonts w:ascii="Arial" w:hAnsi="Arial" w:cs="Arial"/>
            <w:b w:val="0"/>
          </w:rPr>
          <w:t xml:space="preserve">Préstamo </w:t>
        </w:r>
        <w:r w:rsidRPr="00BF5B8E">
          <w:rPr>
            <w:rStyle w:val="Hyperlink"/>
            <w:rFonts w:ascii="Arial" w:hAnsi="Arial" w:cs="Arial"/>
            <w:b w:val="0"/>
            <w:lang w:val="es-ES_tradnl"/>
          </w:rPr>
          <w:t>AR-L1274</w:t>
        </w:r>
        <w:r w:rsidRPr="00BF5B8E">
          <w:rPr>
            <w:rFonts w:ascii="Arial" w:hAnsi="Arial" w:cs="Arial"/>
            <w:b w:val="0"/>
            <w:webHidden/>
          </w:rPr>
          <w:tab/>
        </w:r>
        <w:r w:rsidRPr="00BF5B8E">
          <w:rPr>
            <w:rFonts w:ascii="Arial" w:hAnsi="Arial" w:cs="Arial"/>
            <w:b w:val="0"/>
            <w:webHidden/>
          </w:rPr>
          <w:fldChar w:fldCharType="begin"/>
        </w:r>
        <w:r w:rsidRPr="00BF5B8E">
          <w:rPr>
            <w:rFonts w:ascii="Arial" w:hAnsi="Arial" w:cs="Arial"/>
            <w:b w:val="0"/>
            <w:webHidden/>
          </w:rPr>
          <w:instrText xml:space="preserve"> PAGEREF _Toc494040353 \h </w:instrText>
        </w:r>
        <w:r w:rsidRPr="00BF5B8E">
          <w:rPr>
            <w:rFonts w:ascii="Arial" w:hAnsi="Arial" w:cs="Arial"/>
            <w:b w:val="0"/>
            <w:webHidden/>
          </w:rPr>
        </w:r>
        <w:r w:rsidRPr="00BF5B8E">
          <w:rPr>
            <w:rFonts w:ascii="Arial" w:hAnsi="Arial" w:cs="Arial"/>
            <w:b w:val="0"/>
            <w:webHidden/>
          </w:rPr>
          <w:fldChar w:fldCharType="separate"/>
        </w:r>
        <w:r w:rsidRPr="00BF5B8E">
          <w:rPr>
            <w:rFonts w:ascii="Arial" w:hAnsi="Arial" w:cs="Arial"/>
            <w:b w:val="0"/>
            <w:webHidden/>
          </w:rPr>
          <w:t>93</w:t>
        </w:r>
        <w:r w:rsidRPr="00BF5B8E">
          <w:rPr>
            <w:rFonts w:ascii="Arial" w:hAnsi="Arial" w:cs="Arial"/>
            <w:b w:val="0"/>
            <w:webHidden/>
          </w:rPr>
          <w:fldChar w:fldCharType="end"/>
        </w:r>
      </w:hyperlink>
    </w:p>
    <w:p w14:paraId="45F2883A" w14:textId="335DCACF" w:rsidR="004F498E" w:rsidRPr="00117BF8" w:rsidRDefault="004F498E">
      <w:pPr>
        <w:pStyle w:val="TOC1"/>
        <w:rPr>
          <w:rFonts w:ascii="Arial" w:eastAsia="MS Mincho" w:hAnsi="Arial" w:cs="Arial"/>
          <w:b w:val="0"/>
          <w:caps w:val="0"/>
          <w:szCs w:val="22"/>
          <w:u w:val="none"/>
          <w:lang w:val="en-US" w:eastAsia="ja-JP"/>
        </w:rPr>
      </w:pPr>
      <w:hyperlink w:anchor="_Toc494040354" w:history="1">
        <w:r w:rsidRPr="00117BF8">
          <w:rPr>
            <w:rStyle w:val="Hyperlink"/>
            <w:rFonts w:ascii="Arial" w:eastAsia="Calibri" w:hAnsi="Arial" w:cs="Arial"/>
          </w:rPr>
          <w:t>11</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Anexo II – Fuentes de Información y Documentación Recibida</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_Toc494040354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96</w:t>
        </w:r>
        <w:r w:rsidRPr="00117BF8">
          <w:rPr>
            <w:rFonts w:ascii="Arial" w:hAnsi="Arial" w:cs="Arial"/>
            <w:webHidden/>
          </w:rPr>
          <w:fldChar w:fldCharType="end"/>
        </w:r>
      </w:hyperlink>
    </w:p>
    <w:p w14:paraId="0460E281" w14:textId="768BEFBB" w:rsidR="004F498E" w:rsidRPr="00117BF8" w:rsidRDefault="004F498E">
      <w:pPr>
        <w:pStyle w:val="TOC1"/>
        <w:rPr>
          <w:rFonts w:ascii="Arial" w:eastAsia="MS Mincho" w:hAnsi="Arial" w:cs="Arial"/>
          <w:b w:val="0"/>
          <w:caps w:val="0"/>
          <w:szCs w:val="22"/>
          <w:u w:val="none"/>
          <w:lang w:val="en-US" w:eastAsia="ja-JP"/>
        </w:rPr>
      </w:pPr>
      <w:hyperlink w:anchor="_Toc494040355" w:history="1">
        <w:r w:rsidRPr="00117BF8">
          <w:rPr>
            <w:rStyle w:val="Hyperlink"/>
            <w:rFonts w:ascii="Arial" w:eastAsia="Calibri" w:hAnsi="Arial" w:cs="Arial"/>
          </w:rPr>
          <w:t>12</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Anexo III – Tablas de Apoyo al Capítulo 4</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_Toc494040355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98</w:t>
        </w:r>
        <w:r w:rsidRPr="00117BF8">
          <w:rPr>
            <w:rFonts w:ascii="Arial" w:hAnsi="Arial" w:cs="Arial"/>
            <w:webHidden/>
          </w:rPr>
          <w:fldChar w:fldCharType="end"/>
        </w:r>
      </w:hyperlink>
    </w:p>
    <w:p w14:paraId="13DE22A4" w14:textId="517B0129" w:rsidR="004F498E" w:rsidRPr="00117BF8" w:rsidRDefault="004F498E">
      <w:pPr>
        <w:pStyle w:val="TOC1"/>
        <w:rPr>
          <w:rFonts w:ascii="Arial" w:eastAsia="MS Mincho" w:hAnsi="Arial" w:cs="Arial"/>
          <w:b w:val="0"/>
          <w:caps w:val="0"/>
          <w:szCs w:val="22"/>
          <w:u w:val="none"/>
          <w:lang w:val="en-US" w:eastAsia="ja-JP"/>
        </w:rPr>
      </w:pPr>
      <w:hyperlink w:anchor="_Toc494040356" w:history="1">
        <w:r w:rsidRPr="00117BF8">
          <w:rPr>
            <w:rStyle w:val="Hyperlink"/>
            <w:rFonts w:ascii="Arial" w:eastAsia="Calibri" w:hAnsi="Arial" w:cs="Arial"/>
          </w:rPr>
          <w:t>13</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 xml:space="preserve">Anexo IV – </w:t>
        </w:r>
        <w:r w:rsidRPr="00117BF8">
          <w:rPr>
            <w:rStyle w:val="Hyperlink"/>
            <w:rFonts w:ascii="Arial" w:hAnsi="Arial" w:cs="Arial"/>
          </w:rPr>
          <w:t xml:space="preserve"> Ministerio de Infraestructura y Servicios Públicos -Política Presupuestaria - 2016</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_Toc494040356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111</w:t>
        </w:r>
        <w:r w:rsidRPr="00117BF8">
          <w:rPr>
            <w:rFonts w:ascii="Arial" w:hAnsi="Arial" w:cs="Arial"/>
            <w:webHidden/>
          </w:rPr>
          <w:fldChar w:fldCharType="end"/>
        </w:r>
      </w:hyperlink>
    </w:p>
    <w:p w14:paraId="4BE3B4C2" w14:textId="431C24A8" w:rsidR="004F498E" w:rsidRPr="00117BF8" w:rsidRDefault="004F498E">
      <w:pPr>
        <w:pStyle w:val="TOC1"/>
        <w:rPr>
          <w:rFonts w:ascii="Arial" w:eastAsia="MS Mincho" w:hAnsi="Arial" w:cs="Arial"/>
          <w:b w:val="0"/>
          <w:caps w:val="0"/>
          <w:szCs w:val="22"/>
          <w:u w:val="none"/>
          <w:lang w:val="en-US" w:eastAsia="ja-JP"/>
        </w:rPr>
      </w:pPr>
      <w:hyperlink w:anchor="_Toc494040357" w:history="1">
        <w:r w:rsidRPr="00117BF8">
          <w:rPr>
            <w:rStyle w:val="Hyperlink"/>
            <w:rFonts w:ascii="Arial" w:eastAsia="Calibri" w:hAnsi="Arial" w:cs="Arial"/>
          </w:rPr>
          <w:t>14</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 xml:space="preserve">Anexo V – </w:t>
        </w:r>
        <w:r w:rsidRPr="00117BF8">
          <w:rPr>
            <w:rStyle w:val="Hyperlink"/>
            <w:rFonts w:ascii="Arial" w:hAnsi="Arial" w:cs="Arial"/>
          </w:rPr>
          <w:t xml:space="preserve"> Proyecciones Fiscales Elaboradas por la Provincia de Buenos Aires- Tablas Complementarias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_Toc494040357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113</w:t>
        </w:r>
        <w:r w:rsidRPr="00117BF8">
          <w:rPr>
            <w:rFonts w:ascii="Arial" w:hAnsi="Arial" w:cs="Arial"/>
            <w:webHidden/>
          </w:rPr>
          <w:fldChar w:fldCharType="end"/>
        </w:r>
      </w:hyperlink>
    </w:p>
    <w:p w14:paraId="799A65BE" w14:textId="143103BA" w:rsidR="004F498E" w:rsidRPr="00117BF8" w:rsidRDefault="004F498E">
      <w:pPr>
        <w:pStyle w:val="TOC1"/>
        <w:rPr>
          <w:rFonts w:ascii="Arial" w:eastAsia="MS Mincho" w:hAnsi="Arial" w:cs="Arial"/>
          <w:b w:val="0"/>
          <w:caps w:val="0"/>
          <w:szCs w:val="22"/>
          <w:u w:val="none"/>
          <w:lang w:val="en-US" w:eastAsia="ja-JP"/>
        </w:rPr>
      </w:pPr>
      <w:hyperlink w:anchor="_Toc494040358" w:history="1">
        <w:r w:rsidRPr="00117BF8">
          <w:rPr>
            <w:rStyle w:val="Hyperlink"/>
            <w:rFonts w:ascii="Arial" w:eastAsia="Calibri" w:hAnsi="Arial" w:cs="Arial"/>
          </w:rPr>
          <w:t>15</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 xml:space="preserve">Anexo VI – </w:t>
        </w:r>
        <w:r w:rsidRPr="00117BF8">
          <w:rPr>
            <w:rStyle w:val="Hyperlink"/>
            <w:rFonts w:ascii="Arial" w:hAnsi="Arial" w:cs="Arial"/>
          </w:rPr>
          <w:t xml:space="preserve"> Proyecciones Fiscales Elaboradas por la Provincia de Buenos Aires - Supuestos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_Toc494040358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116</w:t>
        </w:r>
        <w:r w:rsidRPr="00117BF8">
          <w:rPr>
            <w:rFonts w:ascii="Arial" w:hAnsi="Arial" w:cs="Arial"/>
            <w:webHidden/>
          </w:rPr>
          <w:fldChar w:fldCharType="end"/>
        </w:r>
      </w:hyperlink>
    </w:p>
    <w:p w14:paraId="333E201D" w14:textId="3E5F5477" w:rsidR="004F498E" w:rsidRPr="00117BF8" w:rsidRDefault="004F498E">
      <w:pPr>
        <w:pStyle w:val="TOC1"/>
        <w:rPr>
          <w:rFonts w:ascii="Arial" w:eastAsia="MS Mincho" w:hAnsi="Arial" w:cs="Arial"/>
          <w:b w:val="0"/>
          <w:caps w:val="0"/>
          <w:szCs w:val="22"/>
          <w:u w:val="none"/>
          <w:lang w:val="en-US" w:eastAsia="ja-JP"/>
        </w:rPr>
      </w:pPr>
      <w:hyperlink w:anchor="_Toc494040359" w:history="1">
        <w:r w:rsidRPr="00117BF8">
          <w:rPr>
            <w:rStyle w:val="Hyperlink"/>
            <w:rFonts w:ascii="Arial" w:eastAsia="Calibri" w:hAnsi="Arial" w:cs="Arial"/>
          </w:rPr>
          <w:t>16</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Anexo VII – Proyecciones Alternativas</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_Toc494040359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119</w:t>
        </w:r>
        <w:r w:rsidRPr="00117BF8">
          <w:rPr>
            <w:rFonts w:ascii="Arial" w:hAnsi="Arial" w:cs="Arial"/>
            <w:webHidden/>
          </w:rPr>
          <w:fldChar w:fldCharType="end"/>
        </w:r>
      </w:hyperlink>
    </w:p>
    <w:p w14:paraId="7162B633" w14:textId="1A525257" w:rsidR="004F498E" w:rsidRPr="00117BF8" w:rsidRDefault="004F498E">
      <w:pPr>
        <w:pStyle w:val="TOC1"/>
        <w:rPr>
          <w:rFonts w:ascii="Arial" w:eastAsia="MS Mincho" w:hAnsi="Arial" w:cs="Arial"/>
          <w:b w:val="0"/>
          <w:caps w:val="0"/>
          <w:szCs w:val="22"/>
          <w:u w:val="none"/>
          <w:lang w:val="en-US" w:eastAsia="ja-JP"/>
        </w:rPr>
      </w:pPr>
      <w:hyperlink w:anchor="_Toc494040360" w:history="1">
        <w:r w:rsidRPr="00117BF8">
          <w:rPr>
            <w:rStyle w:val="Hyperlink"/>
            <w:rFonts w:ascii="Arial" w:eastAsia="Calibri" w:hAnsi="Arial" w:cs="Arial"/>
          </w:rPr>
          <w:t>17</w:t>
        </w:r>
        <w:r w:rsidRPr="00117BF8">
          <w:rPr>
            <w:rFonts w:ascii="Arial" w:eastAsia="MS Mincho" w:hAnsi="Arial" w:cs="Arial"/>
            <w:b w:val="0"/>
            <w:caps w:val="0"/>
            <w:szCs w:val="22"/>
            <w:u w:val="none"/>
            <w:lang w:val="en-US" w:eastAsia="ja-JP"/>
          </w:rPr>
          <w:tab/>
        </w:r>
        <w:r w:rsidRPr="00117BF8">
          <w:rPr>
            <w:rStyle w:val="Hyperlink"/>
            <w:rFonts w:ascii="Arial" w:eastAsia="Calibri" w:hAnsi="Arial" w:cs="Arial"/>
          </w:rPr>
          <w:t>Anexo VIII –  Ciclo de Proyectos de Inversión con Financiamiento Internacional - PBA</w:t>
        </w:r>
        <w:r w:rsidRPr="00117BF8">
          <w:rPr>
            <w:rFonts w:ascii="Arial" w:hAnsi="Arial" w:cs="Arial"/>
            <w:webHidden/>
          </w:rPr>
          <w:tab/>
        </w:r>
        <w:r w:rsidRPr="00117BF8">
          <w:rPr>
            <w:rFonts w:ascii="Arial" w:hAnsi="Arial" w:cs="Arial"/>
            <w:webHidden/>
          </w:rPr>
          <w:fldChar w:fldCharType="begin"/>
        </w:r>
        <w:r w:rsidRPr="00117BF8">
          <w:rPr>
            <w:rFonts w:ascii="Arial" w:hAnsi="Arial" w:cs="Arial"/>
            <w:webHidden/>
          </w:rPr>
          <w:instrText xml:space="preserve"> PAGEREF _Toc494040360 \h </w:instrText>
        </w:r>
        <w:r w:rsidRPr="00117BF8">
          <w:rPr>
            <w:rFonts w:ascii="Arial" w:hAnsi="Arial" w:cs="Arial"/>
            <w:webHidden/>
          </w:rPr>
        </w:r>
        <w:r w:rsidRPr="00117BF8">
          <w:rPr>
            <w:rFonts w:ascii="Arial" w:hAnsi="Arial" w:cs="Arial"/>
            <w:webHidden/>
          </w:rPr>
          <w:fldChar w:fldCharType="separate"/>
        </w:r>
        <w:r w:rsidRPr="00117BF8">
          <w:rPr>
            <w:rFonts w:ascii="Arial" w:hAnsi="Arial" w:cs="Arial"/>
            <w:webHidden/>
          </w:rPr>
          <w:t>125</w:t>
        </w:r>
        <w:r w:rsidRPr="00117BF8">
          <w:rPr>
            <w:rFonts w:ascii="Arial" w:hAnsi="Arial" w:cs="Arial"/>
            <w:webHidden/>
          </w:rPr>
          <w:fldChar w:fldCharType="end"/>
        </w:r>
      </w:hyperlink>
    </w:p>
    <w:p w14:paraId="604D6C00" w14:textId="77777777" w:rsidR="004E6455" w:rsidRDefault="009B4C1F">
      <w:pPr>
        <w:rPr>
          <w:rFonts w:ascii="Arial" w:hAnsi="Arial" w:cs="Arial"/>
          <w:b/>
          <w:bCs/>
        </w:rPr>
        <w:sectPr w:rsidR="004E6455" w:rsidSect="00125BB8">
          <w:headerReference w:type="even" r:id="rId14"/>
          <w:headerReference w:type="default" r:id="rId15"/>
          <w:footerReference w:type="default" r:id="rId16"/>
          <w:headerReference w:type="first" r:id="rId17"/>
          <w:pgSz w:w="11907" w:h="16840"/>
          <w:pgMar w:top="1418" w:right="1701" w:bottom="1418" w:left="1701" w:header="851" w:footer="851" w:gutter="0"/>
          <w:pgNumType w:start="1"/>
          <w:cols w:space="720"/>
          <w:docGrid w:linePitch="326"/>
        </w:sectPr>
      </w:pPr>
      <w:r w:rsidRPr="00117BF8">
        <w:rPr>
          <w:rFonts w:ascii="Arial" w:hAnsi="Arial" w:cs="Arial"/>
          <w:b/>
          <w:bCs/>
        </w:rPr>
        <w:fldChar w:fldCharType="end"/>
      </w:r>
    </w:p>
    <w:p w14:paraId="5EEFE58A" w14:textId="77777777" w:rsidR="009B4C1F" w:rsidRPr="004E6455" w:rsidRDefault="00635A32" w:rsidP="00EC141E">
      <w:pPr>
        <w:pStyle w:val="Title"/>
      </w:pPr>
      <w:r w:rsidRPr="004E6455">
        <w:t>Indice de Tablas</w:t>
      </w:r>
    </w:p>
    <w:p w14:paraId="3445BD65" w14:textId="77777777" w:rsidR="00883677" w:rsidRPr="00117BF8" w:rsidRDefault="0034693D">
      <w:pPr>
        <w:pStyle w:val="TableofFigures"/>
        <w:tabs>
          <w:tab w:val="right" w:leader="underscore" w:pos="8495"/>
        </w:tabs>
        <w:rPr>
          <w:rFonts w:ascii="Arial" w:eastAsia="MS Mincho" w:hAnsi="Arial" w:cs="Arial"/>
          <w:i w:val="0"/>
          <w:iCs w:val="0"/>
          <w:noProof/>
          <w:sz w:val="22"/>
          <w:szCs w:val="22"/>
          <w:lang w:val="es-AR" w:eastAsia="es-AR"/>
        </w:rPr>
      </w:pPr>
      <w:r w:rsidRPr="00117BF8">
        <w:rPr>
          <w:rFonts w:ascii="Arial" w:hAnsi="Arial" w:cs="Arial"/>
          <w:bCs/>
        </w:rPr>
        <w:fldChar w:fldCharType="begin"/>
      </w:r>
      <w:r w:rsidRPr="00117BF8">
        <w:rPr>
          <w:rFonts w:ascii="Arial" w:hAnsi="Arial" w:cs="Arial"/>
          <w:bCs/>
        </w:rPr>
        <w:instrText xml:space="preserve"> TOC \h \z \t "TablaT" \c </w:instrText>
      </w:r>
      <w:r w:rsidRPr="00117BF8">
        <w:rPr>
          <w:rFonts w:ascii="Arial" w:hAnsi="Arial" w:cs="Arial"/>
          <w:bCs/>
        </w:rPr>
        <w:fldChar w:fldCharType="separate"/>
      </w:r>
      <w:hyperlink w:anchor="_Toc493861108" w:history="1">
        <w:r w:rsidR="00883677" w:rsidRPr="00117BF8">
          <w:rPr>
            <w:rStyle w:val="Hyperlink"/>
            <w:rFonts w:ascii="Arial" w:hAnsi="Arial" w:cs="Arial"/>
            <w:bCs/>
            <w:noProof/>
            <w:lang w:val="es-ES_tradnl"/>
          </w:rPr>
          <w:t>Tabla RE 1 - Principales Cuentas Fiscales - Ejecutado</w:t>
        </w:r>
        <w:r w:rsidR="00883677" w:rsidRPr="00117BF8">
          <w:rPr>
            <w:rFonts w:ascii="Arial" w:hAnsi="Arial" w:cs="Arial"/>
            <w:noProof/>
            <w:webHidden/>
          </w:rPr>
          <w:tab/>
        </w:r>
        <w:r w:rsidR="00883677" w:rsidRPr="00117BF8">
          <w:rPr>
            <w:rFonts w:ascii="Arial" w:hAnsi="Arial" w:cs="Arial"/>
            <w:noProof/>
            <w:webHidden/>
          </w:rPr>
          <w:fldChar w:fldCharType="begin"/>
        </w:r>
        <w:r w:rsidR="00883677" w:rsidRPr="00117BF8">
          <w:rPr>
            <w:rFonts w:ascii="Arial" w:hAnsi="Arial" w:cs="Arial"/>
            <w:noProof/>
            <w:webHidden/>
          </w:rPr>
          <w:instrText xml:space="preserve"> PAGEREF _Toc493861108 \h </w:instrText>
        </w:r>
        <w:r w:rsidR="00883677" w:rsidRPr="00117BF8">
          <w:rPr>
            <w:rFonts w:ascii="Arial" w:hAnsi="Arial" w:cs="Arial"/>
            <w:noProof/>
            <w:webHidden/>
          </w:rPr>
        </w:r>
        <w:r w:rsidR="00883677" w:rsidRPr="00117BF8">
          <w:rPr>
            <w:rFonts w:ascii="Arial" w:hAnsi="Arial" w:cs="Arial"/>
            <w:noProof/>
            <w:webHidden/>
          </w:rPr>
          <w:fldChar w:fldCharType="separate"/>
        </w:r>
        <w:r w:rsidR="00883677" w:rsidRPr="00117BF8">
          <w:rPr>
            <w:rFonts w:ascii="Arial" w:hAnsi="Arial" w:cs="Arial"/>
            <w:noProof/>
            <w:webHidden/>
          </w:rPr>
          <w:t>9</w:t>
        </w:r>
        <w:r w:rsidR="00883677" w:rsidRPr="00117BF8">
          <w:rPr>
            <w:rFonts w:ascii="Arial" w:hAnsi="Arial" w:cs="Arial"/>
            <w:noProof/>
            <w:webHidden/>
          </w:rPr>
          <w:fldChar w:fldCharType="end"/>
        </w:r>
      </w:hyperlink>
    </w:p>
    <w:p w14:paraId="727F927F"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09" w:history="1">
        <w:r w:rsidRPr="00117BF8">
          <w:rPr>
            <w:rStyle w:val="Hyperlink"/>
            <w:rFonts w:ascii="Arial" w:hAnsi="Arial" w:cs="Arial"/>
            <w:bCs/>
            <w:noProof/>
            <w:lang w:val="es-ES_tradnl"/>
          </w:rPr>
          <w:t>Tabla RE 2 - Principales Cuentas Fiscales – Ejecutado vs PBG</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_Toc493861109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w:t>
        </w:r>
        <w:r w:rsidRPr="00117BF8">
          <w:rPr>
            <w:rFonts w:ascii="Arial" w:hAnsi="Arial" w:cs="Arial"/>
            <w:noProof/>
            <w:webHidden/>
          </w:rPr>
          <w:fldChar w:fldCharType="end"/>
        </w:r>
      </w:hyperlink>
    </w:p>
    <w:p w14:paraId="232404EE"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0" w:history="1">
        <w:r w:rsidRPr="00117BF8">
          <w:rPr>
            <w:rStyle w:val="Hyperlink"/>
            <w:rFonts w:ascii="Arial" w:hAnsi="Arial" w:cs="Arial"/>
            <w:noProof/>
            <w:lang w:val="es-ES_tradnl"/>
          </w:rPr>
          <w:t>Tabla RE 3 – Deuda con OMC al 31/12/16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12</w:t>
        </w:r>
        <w:r w:rsidRPr="00117BF8">
          <w:rPr>
            <w:rFonts w:ascii="Arial" w:hAnsi="Arial" w:cs="Arial"/>
            <w:noProof/>
            <w:webHidden/>
          </w:rPr>
          <w:fldChar w:fldCharType="end"/>
        </w:r>
      </w:hyperlink>
    </w:p>
    <w:p w14:paraId="37DDDC6D"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1" w:history="1">
        <w:r w:rsidRPr="00117BF8">
          <w:rPr>
            <w:rStyle w:val="Hyperlink"/>
            <w:rFonts w:ascii="Arial" w:hAnsi="Arial" w:cs="Arial"/>
            <w:bCs/>
            <w:noProof/>
          </w:rPr>
          <w:t>Tabla 1 - PBG a precios de mercado – Precios constantes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21</w:t>
        </w:r>
        <w:r w:rsidRPr="00117BF8">
          <w:rPr>
            <w:rFonts w:ascii="Arial" w:hAnsi="Arial" w:cs="Arial"/>
            <w:noProof/>
            <w:webHidden/>
          </w:rPr>
          <w:fldChar w:fldCharType="end"/>
        </w:r>
      </w:hyperlink>
    </w:p>
    <w:p w14:paraId="555E23C1"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2" w:history="1">
        <w:r w:rsidRPr="00117BF8">
          <w:rPr>
            <w:rStyle w:val="Hyperlink"/>
            <w:rFonts w:ascii="Arial" w:hAnsi="Arial" w:cs="Arial"/>
            <w:bCs/>
            <w:noProof/>
            <w:lang w:val="es-ES_tradnl"/>
          </w:rPr>
          <w:t>Tabla 2 - Principales Cuentas Fiscales – Ejecutado y Presupuesto 2017</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30</w:t>
        </w:r>
        <w:r w:rsidRPr="00117BF8">
          <w:rPr>
            <w:rFonts w:ascii="Arial" w:hAnsi="Arial" w:cs="Arial"/>
            <w:noProof/>
            <w:webHidden/>
          </w:rPr>
          <w:fldChar w:fldCharType="end"/>
        </w:r>
      </w:hyperlink>
    </w:p>
    <w:p w14:paraId="178E7B02"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3" w:history="1">
        <w:r w:rsidRPr="00117BF8">
          <w:rPr>
            <w:rStyle w:val="Hyperlink"/>
            <w:rFonts w:ascii="Arial" w:hAnsi="Arial" w:cs="Arial"/>
            <w:bCs/>
            <w:noProof/>
            <w:lang w:val="es-ES_tradnl"/>
          </w:rPr>
          <w:t>Tabla 3 - Principales Cuentas Fiscales – Ejecutado Deflactado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31</w:t>
        </w:r>
        <w:r w:rsidRPr="00117BF8">
          <w:rPr>
            <w:rFonts w:ascii="Arial" w:hAnsi="Arial" w:cs="Arial"/>
            <w:noProof/>
            <w:webHidden/>
          </w:rPr>
          <w:fldChar w:fldCharType="end"/>
        </w:r>
      </w:hyperlink>
    </w:p>
    <w:p w14:paraId="5011B1AD"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4" w:history="1">
        <w:r w:rsidRPr="00117BF8">
          <w:rPr>
            <w:rStyle w:val="Hyperlink"/>
            <w:rFonts w:ascii="Arial" w:hAnsi="Arial" w:cs="Arial"/>
            <w:bCs/>
            <w:noProof/>
            <w:lang w:val="es-ES_tradnl"/>
          </w:rPr>
          <w:t>Tabla 4 - Principales Cuentas Fiscales – Ejecutado % Sobre Recursos Totales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33</w:t>
        </w:r>
        <w:r w:rsidRPr="00117BF8">
          <w:rPr>
            <w:rFonts w:ascii="Arial" w:hAnsi="Arial" w:cs="Arial"/>
            <w:noProof/>
            <w:webHidden/>
          </w:rPr>
          <w:fldChar w:fldCharType="end"/>
        </w:r>
      </w:hyperlink>
    </w:p>
    <w:p w14:paraId="51DA0B4B"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5" w:history="1">
        <w:r w:rsidRPr="00117BF8">
          <w:rPr>
            <w:rStyle w:val="Hyperlink"/>
            <w:rFonts w:ascii="Arial" w:hAnsi="Arial" w:cs="Arial"/>
            <w:bCs/>
            <w:noProof/>
            <w:lang w:val="es-ES_tradnl"/>
          </w:rPr>
          <w:t>Tabla 5 - Principales Cuentas Fiscales – Desvío Ejecutado Sobre Crédito Original</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_Toc493861115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35</w:t>
        </w:r>
        <w:r w:rsidRPr="00117BF8">
          <w:rPr>
            <w:rFonts w:ascii="Arial" w:hAnsi="Arial" w:cs="Arial"/>
            <w:noProof/>
            <w:webHidden/>
          </w:rPr>
          <w:fldChar w:fldCharType="end"/>
        </w:r>
      </w:hyperlink>
    </w:p>
    <w:p w14:paraId="34F02718"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6" w:history="1">
        <w:r w:rsidRPr="00117BF8">
          <w:rPr>
            <w:rStyle w:val="Hyperlink"/>
            <w:rFonts w:ascii="Arial" w:hAnsi="Arial" w:cs="Arial"/>
            <w:bCs/>
            <w:noProof/>
            <w:lang w:val="es-ES_tradnl"/>
          </w:rPr>
          <w:t>Tabla 6– Presupuesto Nacional – Indicadores Macro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_Toc493861116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36</w:t>
        </w:r>
        <w:r w:rsidRPr="00117BF8">
          <w:rPr>
            <w:rFonts w:ascii="Arial" w:hAnsi="Arial" w:cs="Arial"/>
            <w:noProof/>
            <w:webHidden/>
          </w:rPr>
          <w:fldChar w:fldCharType="end"/>
        </w:r>
      </w:hyperlink>
    </w:p>
    <w:p w14:paraId="7C189E4E"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7" w:history="1">
        <w:r w:rsidRPr="00117BF8">
          <w:rPr>
            <w:rStyle w:val="Hyperlink"/>
            <w:rFonts w:ascii="Arial" w:hAnsi="Arial" w:cs="Arial"/>
            <w:bCs/>
            <w:noProof/>
            <w:lang w:val="es-ES_tradnl"/>
          </w:rPr>
          <w:t>Tabla 7 - Cuenta de Ahorro - Inversion - Financiamiento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_Toc493861117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37</w:t>
        </w:r>
        <w:r w:rsidRPr="00117BF8">
          <w:rPr>
            <w:rFonts w:ascii="Arial" w:hAnsi="Arial" w:cs="Arial"/>
            <w:noProof/>
            <w:webHidden/>
          </w:rPr>
          <w:fldChar w:fldCharType="end"/>
        </w:r>
      </w:hyperlink>
    </w:p>
    <w:p w14:paraId="577E0754"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8" w:history="1">
        <w:r w:rsidRPr="00117BF8">
          <w:rPr>
            <w:rStyle w:val="Hyperlink"/>
            <w:rFonts w:ascii="Arial" w:hAnsi="Arial" w:cs="Arial"/>
            <w:noProof/>
            <w:lang w:val="es-ES_tradnl"/>
          </w:rPr>
          <w:t>Tabla 8 – Evolución y Estructura de los Recursos – Presupuesto Ejecutado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_Toc493861118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38</w:t>
        </w:r>
        <w:r w:rsidRPr="00117BF8">
          <w:rPr>
            <w:rFonts w:ascii="Arial" w:hAnsi="Arial" w:cs="Arial"/>
            <w:noProof/>
            <w:webHidden/>
          </w:rPr>
          <w:fldChar w:fldCharType="end"/>
        </w:r>
      </w:hyperlink>
    </w:p>
    <w:p w14:paraId="18EBF80F"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19" w:history="1">
        <w:r w:rsidRPr="00117BF8">
          <w:rPr>
            <w:rStyle w:val="Hyperlink"/>
            <w:rFonts w:ascii="Arial" w:hAnsi="Arial" w:cs="Arial"/>
            <w:bCs/>
            <w:noProof/>
            <w:lang w:val="es-ES_tradnl"/>
          </w:rPr>
          <w:t>Tabla 9 – Significatividad de los Rubros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_Toc493861119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41</w:t>
        </w:r>
        <w:r w:rsidRPr="00117BF8">
          <w:rPr>
            <w:rFonts w:ascii="Arial" w:hAnsi="Arial" w:cs="Arial"/>
            <w:noProof/>
            <w:webHidden/>
          </w:rPr>
          <w:fldChar w:fldCharType="end"/>
        </w:r>
      </w:hyperlink>
    </w:p>
    <w:p w14:paraId="2F98296C"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0" w:history="1">
        <w:r w:rsidRPr="00117BF8">
          <w:rPr>
            <w:rStyle w:val="Hyperlink"/>
            <w:rFonts w:ascii="Arial" w:hAnsi="Arial" w:cs="Arial"/>
            <w:bCs/>
            <w:noProof/>
          </w:rPr>
          <w:t>Tabla 10 – Principales Recursos - Participación</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42</w:t>
        </w:r>
        <w:r w:rsidRPr="00117BF8">
          <w:rPr>
            <w:rFonts w:ascii="Arial" w:hAnsi="Arial" w:cs="Arial"/>
            <w:noProof/>
            <w:webHidden/>
          </w:rPr>
          <w:fldChar w:fldCharType="end"/>
        </w:r>
      </w:hyperlink>
    </w:p>
    <w:p w14:paraId="7B79E321"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1" w:history="1">
        <w:r w:rsidRPr="00117BF8">
          <w:rPr>
            <w:rStyle w:val="Hyperlink"/>
            <w:rFonts w:ascii="Arial" w:hAnsi="Arial" w:cs="Arial"/>
            <w:noProof/>
          </w:rPr>
          <w:t>Tabla 11 – Recursos Ejecución</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43</w:t>
        </w:r>
        <w:r w:rsidRPr="00117BF8">
          <w:rPr>
            <w:rFonts w:ascii="Arial" w:hAnsi="Arial" w:cs="Arial"/>
            <w:noProof/>
            <w:webHidden/>
          </w:rPr>
          <w:fldChar w:fldCharType="end"/>
        </w:r>
      </w:hyperlink>
    </w:p>
    <w:p w14:paraId="0E0B7376"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2" w:history="1">
        <w:r w:rsidRPr="00117BF8">
          <w:rPr>
            <w:rStyle w:val="Hyperlink"/>
            <w:rFonts w:ascii="Arial" w:hAnsi="Arial" w:cs="Arial"/>
            <w:noProof/>
            <w:lang w:val="es-ES_tradnl"/>
          </w:rPr>
          <w:t>Tabla 12 – Principales Recursos – Desvíos Presupuestarios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45</w:t>
        </w:r>
        <w:r w:rsidRPr="00117BF8">
          <w:rPr>
            <w:rFonts w:ascii="Arial" w:hAnsi="Arial" w:cs="Arial"/>
            <w:noProof/>
            <w:webHidden/>
          </w:rPr>
          <w:fldChar w:fldCharType="end"/>
        </w:r>
      </w:hyperlink>
    </w:p>
    <w:p w14:paraId="68591CC1"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3" w:history="1">
        <w:r w:rsidRPr="00117BF8">
          <w:rPr>
            <w:rStyle w:val="Hyperlink"/>
            <w:rFonts w:ascii="Arial" w:hAnsi="Arial" w:cs="Arial"/>
            <w:bCs/>
            <w:noProof/>
            <w:lang w:val="es-ES_tradnl"/>
          </w:rPr>
          <w:t>Tabla 13 – Aportes, Contribuciones y Remuneración</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46</w:t>
        </w:r>
        <w:r w:rsidRPr="00117BF8">
          <w:rPr>
            <w:rFonts w:ascii="Arial" w:hAnsi="Arial" w:cs="Arial"/>
            <w:noProof/>
            <w:webHidden/>
          </w:rPr>
          <w:fldChar w:fldCharType="end"/>
        </w:r>
      </w:hyperlink>
    </w:p>
    <w:p w14:paraId="3DB0FC5E"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4" w:history="1">
        <w:r w:rsidRPr="00117BF8">
          <w:rPr>
            <w:rStyle w:val="Hyperlink"/>
            <w:rFonts w:ascii="Arial" w:hAnsi="Arial" w:cs="Arial"/>
            <w:bCs/>
            <w:noProof/>
            <w:lang w:val="es-ES_tradnl"/>
          </w:rPr>
          <w:t>Tabla 14 - Clasificación por Objeto del Gasto – Ejecución Presupuestaria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47</w:t>
        </w:r>
        <w:r w:rsidRPr="00117BF8">
          <w:rPr>
            <w:rFonts w:ascii="Arial" w:hAnsi="Arial" w:cs="Arial"/>
            <w:noProof/>
            <w:webHidden/>
          </w:rPr>
          <w:fldChar w:fldCharType="end"/>
        </w:r>
      </w:hyperlink>
    </w:p>
    <w:p w14:paraId="49CE7D56"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5" w:history="1">
        <w:r w:rsidRPr="00117BF8">
          <w:rPr>
            <w:rStyle w:val="Hyperlink"/>
            <w:rFonts w:ascii="Arial" w:hAnsi="Arial" w:cs="Arial"/>
            <w:noProof/>
            <w:lang w:val="es-ES_tradnl"/>
          </w:rPr>
          <w:t>Tabla 15 - Clasificación por Objeto del Gasto - Desvío Presupuestario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_Toc493861125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48</w:t>
        </w:r>
        <w:r w:rsidRPr="00117BF8">
          <w:rPr>
            <w:rFonts w:ascii="Arial" w:hAnsi="Arial" w:cs="Arial"/>
            <w:noProof/>
            <w:webHidden/>
          </w:rPr>
          <w:fldChar w:fldCharType="end"/>
        </w:r>
      </w:hyperlink>
    </w:p>
    <w:p w14:paraId="11AB2842"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6" w:history="1">
        <w:r w:rsidRPr="00117BF8">
          <w:rPr>
            <w:rStyle w:val="Hyperlink"/>
            <w:rFonts w:ascii="Arial" w:hAnsi="Arial" w:cs="Arial"/>
            <w:noProof/>
            <w:lang w:val="es-ES_tradnl"/>
          </w:rPr>
          <w:t>Tabla 16 - Clasificación por Objeto del Gasto - Ejecución Presupuestaria – Evolución de la Participación</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_Toc493861126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48</w:t>
        </w:r>
        <w:r w:rsidRPr="00117BF8">
          <w:rPr>
            <w:rFonts w:ascii="Arial" w:hAnsi="Arial" w:cs="Arial"/>
            <w:noProof/>
            <w:webHidden/>
          </w:rPr>
          <w:fldChar w:fldCharType="end"/>
        </w:r>
      </w:hyperlink>
    </w:p>
    <w:p w14:paraId="6E34218C"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7" w:history="1">
        <w:r w:rsidRPr="00117BF8">
          <w:rPr>
            <w:rStyle w:val="Hyperlink"/>
            <w:rFonts w:ascii="Arial" w:hAnsi="Arial" w:cs="Arial"/>
            <w:bCs/>
            <w:noProof/>
            <w:lang w:val="es-ES_tradnl"/>
          </w:rPr>
          <w:t>Tabla 17 – Participación en el Gasto por Finalidad</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_Toc493861127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50</w:t>
        </w:r>
        <w:r w:rsidRPr="00117BF8">
          <w:rPr>
            <w:rFonts w:ascii="Arial" w:hAnsi="Arial" w:cs="Arial"/>
            <w:noProof/>
            <w:webHidden/>
          </w:rPr>
          <w:fldChar w:fldCharType="end"/>
        </w:r>
      </w:hyperlink>
    </w:p>
    <w:p w14:paraId="60F7F331"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8" w:history="1">
        <w:r w:rsidRPr="00117BF8">
          <w:rPr>
            <w:rStyle w:val="Hyperlink"/>
            <w:rFonts w:ascii="Arial" w:hAnsi="Arial" w:cs="Arial"/>
            <w:bCs/>
            <w:noProof/>
            <w:lang w:val="es-ES_tradnl"/>
          </w:rPr>
          <w:t>Tabla 18 - Gastos en Personal por Finalidad y Función</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_Toc493861128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50</w:t>
        </w:r>
        <w:r w:rsidRPr="00117BF8">
          <w:rPr>
            <w:rFonts w:ascii="Arial" w:hAnsi="Arial" w:cs="Arial"/>
            <w:noProof/>
            <w:webHidden/>
          </w:rPr>
          <w:fldChar w:fldCharType="end"/>
        </w:r>
      </w:hyperlink>
    </w:p>
    <w:p w14:paraId="2339780B"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29" w:history="1">
        <w:r w:rsidRPr="00117BF8">
          <w:rPr>
            <w:rStyle w:val="Hyperlink"/>
            <w:rFonts w:ascii="Arial" w:hAnsi="Arial" w:cs="Arial"/>
            <w:bCs/>
            <w:noProof/>
            <w:lang w:val="es-ES_tradnl"/>
          </w:rPr>
          <w:t>Tabla 19 – Planta de Personal según Presupuesto*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_Toc493861129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51</w:t>
        </w:r>
        <w:r w:rsidRPr="00117BF8">
          <w:rPr>
            <w:rFonts w:ascii="Arial" w:hAnsi="Arial" w:cs="Arial"/>
            <w:noProof/>
            <w:webHidden/>
          </w:rPr>
          <w:fldChar w:fldCharType="end"/>
        </w:r>
      </w:hyperlink>
    </w:p>
    <w:p w14:paraId="6EBEFE48"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0" w:history="1">
        <w:r w:rsidRPr="00117BF8">
          <w:rPr>
            <w:rStyle w:val="Hyperlink"/>
            <w:rFonts w:ascii="Arial" w:hAnsi="Arial" w:cs="Arial"/>
            <w:bCs/>
            <w:noProof/>
            <w:lang w:val="es-ES_tradnl"/>
          </w:rPr>
          <w:t>Tabla 20 - Transferencias por Finalidad y Función</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51</w:t>
        </w:r>
        <w:r w:rsidRPr="00117BF8">
          <w:rPr>
            <w:rFonts w:ascii="Arial" w:hAnsi="Arial" w:cs="Arial"/>
            <w:noProof/>
            <w:webHidden/>
          </w:rPr>
          <w:fldChar w:fldCharType="end"/>
        </w:r>
      </w:hyperlink>
    </w:p>
    <w:p w14:paraId="302E0A84"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1" w:history="1">
        <w:r w:rsidRPr="00117BF8">
          <w:rPr>
            <w:rStyle w:val="Hyperlink"/>
            <w:rFonts w:ascii="Arial" w:hAnsi="Arial" w:cs="Arial"/>
            <w:bCs/>
            <w:noProof/>
          </w:rPr>
          <w:t>Tabla 21 – Servicio de Deuda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52</w:t>
        </w:r>
        <w:r w:rsidRPr="00117BF8">
          <w:rPr>
            <w:rFonts w:ascii="Arial" w:hAnsi="Arial" w:cs="Arial"/>
            <w:noProof/>
            <w:webHidden/>
          </w:rPr>
          <w:fldChar w:fldCharType="end"/>
        </w:r>
      </w:hyperlink>
    </w:p>
    <w:p w14:paraId="71563541"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2" w:history="1">
        <w:r w:rsidRPr="00117BF8">
          <w:rPr>
            <w:rStyle w:val="Hyperlink"/>
            <w:rFonts w:ascii="Arial" w:hAnsi="Arial" w:cs="Arial"/>
            <w:bCs/>
            <w:noProof/>
            <w:lang w:val="es-ES_tradnl"/>
          </w:rPr>
          <w:t>Tabla 22– Composición del Servicio de la Deuda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53</w:t>
        </w:r>
        <w:r w:rsidRPr="00117BF8">
          <w:rPr>
            <w:rFonts w:ascii="Arial" w:hAnsi="Arial" w:cs="Arial"/>
            <w:noProof/>
            <w:webHidden/>
          </w:rPr>
          <w:fldChar w:fldCharType="end"/>
        </w:r>
      </w:hyperlink>
    </w:p>
    <w:p w14:paraId="1345ED83"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3" w:history="1">
        <w:r w:rsidRPr="00117BF8">
          <w:rPr>
            <w:rStyle w:val="Hyperlink"/>
            <w:rFonts w:ascii="Arial" w:hAnsi="Arial" w:cs="Arial"/>
            <w:bCs/>
            <w:noProof/>
            <w:lang w:val="es-ES_tradnl"/>
          </w:rPr>
          <w:t>Tabla 23- Indicadores de Servicio de Deuda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54</w:t>
        </w:r>
        <w:r w:rsidRPr="00117BF8">
          <w:rPr>
            <w:rFonts w:ascii="Arial" w:hAnsi="Arial" w:cs="Arial"/>
            <w:noProof/>
            <w:webHidden/>
          </w:rPr>
          <w:fldChar w:fldCharType="end"/>
        </w:r>
      </w:hyperlink>
    </w:p>
    <w:p w14:paraId="7CB56778"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4" w:history="1">
        <w:r w:rsidRPr="00117BF8">
          <w:rPr>
            <w:rStyle w:val="Hyperlink"/>
            <w:rFonts w:ascii="Arial" w:hAnsi="Arial" w:cs="Arial"/>
            <w:bCs/>
            <w:noProof/>
            <w:lang w:val="es-ES_tradnl"/>
          </w:rPr>
          <w:t>Tabla 24 – Deuda por Tipo de Moneda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55</w:t>
        </w:r>
        <w:r w:rsidRPr="00117BF8">
          <w:rPr>
            <w:rFonts w:ascii="Arial" w:hAnsi="Arial" w:cs="Arial"/>
            <w:noProof/>
            <w:webHidden/>
          </w:rPr>
          <w:fldChar w:fldCharType="end"/>
        </w:r>
      </w:hyperlink>
    </w:p>
    <w:p w14:paraId="564F5F3A"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5" w:history="1">
        <w:r w:rsidRPr="00117BF8">
          <w:rPr>
            <w:rStyle w:val="Hyperlink"/>
            <w:rFonts w:ascii="Arial" w:hAnsi="Arial" w:cs="Arial"/>
            <w:bCs/>
            <w:noProof/>
            <w:lang w:val="es-ES_tradnl"/>
          </w:rPr>
          <w:t>Tabla 25 – Indicadores de la Deuda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_Toc493861135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56</w:t>
        </w:r>
        <w:r w:rsidRPr="00117BF8">
          <w:rPr>
            <w:rFonts w:ascii="Arial" w:hAnsi="Arial" w:cs="Arial"/>
            <w:noProof/>
            <w:webHidden/>
          </w:rPr>
          <w:fldChar w:fldCharType="end"/>
        </w:r>
      </w:hyperlink>
    </w:p>
    <w:p w14:paraId="3E051EFE"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6" w:history="1">
        <w:r w:rsidRPr="00117BF8">
          <w:rPr>
            <w:rStyle w:val="Hyperlink"/>
            <w:rFonts w:ascii="Arial" w:hAnsi="Arial" w:cs="Arial"/>
            <w:bCs/>
            <w:noProof/>
            <w:lang w:val="es-ES_tradnl"/>
          </w:rPr>
          <w:t>Tabla 26 – Composición de la Deuda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_Toc493861136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57</w:t>
        </w:r>
        <w:r w:rsidRPr="00117BF8">
          <w:rPr>
            <w:rFonts w:ascii="Arial" w:hAnsi="Arial" w:cs="Arial"/>
            <w:noProof/>
            <w:webHidden/>
          </w:rPr>
          <w:fldChar w:fldCharType="end"/>
        </w:r>
      </w:hyperlink>
    </w:p>
    <w:p w14:paraId="6582D7D4"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7" w:history="1">
        <w:r w:rsidRPr="00117BF8">
          <w:rPr>
            <w:rStyle w:val="Hyperlink"/>
            <w:rFonts w:ascii="Arial" w:hAnsi="Arial" w:cs="Arial"/>
            <w:bCs/>
            <w:noProof/>
            <w:lang w:val="es-ES_tradnl"/>
          </w:rPr>
          <w:t>Tabla 27 - Tasa de interés de la deuda promedio ponderada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_Toc493861137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57</w:t>
        </w:r>
        <w:r w:rsidRPr="00117BF8">
          <w:rPr>
            <w:rFonts w:ascii="Arial" w:hAnsi="Arial" w:cs="Arial"/>
            <w:noProof/>
            <w:webHidden/>
          </w:rPr>
          <w:fldChar w:fldCharType="end"/>
        </w:r>
      </w:hyperlink>
    </w:p>
    <w:p w14:paraId="679ECCE2"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8" w:history="1">
        <w:r w:rsidRPr="00117BF8">
          <w:rPr>
            <w:rStyle w:val="Hyperlink"/>
            <w:rFonts w:ascii="Arial" w:hAnsi="Arial" w:cs="Arial"/>
            <w:noProof/>
            <w:lang w:val="es-ES_tradnl"/>
          </w:rPr>
          <w:t>Tabla 28 – Deuda con OMC al 31/12/16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_Toc493861138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58</w:t>
        </w:r>
        <w:r w:rsidRPr="00117BF8">
          <w:rPr>
            <w:rFonts w:ascii="Arial" w:hAnsi="Arial" w:cs="Arial"/>
            <w:noProof/>
            <w:webHidden/>
          </w:rPr>
          <w:fldChar w:fldCharType="end"/>
        </w:r>
      </w:hyperlink>
    </w:p>
    <w:p w14:paraId="5226F762"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39" w:history="1">
        <w:r w:rsidRPr="00117BF8">
          <w:rPr>
            <w:rStyle w:val="Hyperlink"/>
            <w:rFonts w:ascii="Arial" w:hAnsi="Arial" w:cs="Arial"/>
            <w:bCs/>
            <w:noProof/>
            <w:lang w:val="es-ES_tradnl"/>
          </w:rPr>
          <w:t>Tabla 29 - Función 3 – Transporte</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_Toc493861139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58</w:t>
        </w:r>
        <w:r w:rsidRPr="00117BF8">
          <w:rPr>
            <w:rFonts w:ascii="Arial" w:hAnsi="Arial" w:cs="Arial"/>
            <w:noProof/>
            <w:webHidden/>
          </w:rPr>
          <w:fldChar w:fldCharType="end"/>
        </w:r>
      </w:hyperlink>
    </w:p>
    <w:p w14:paraId="3BED390D"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0" w:history="1">
        <w:r w:rsidRPr="00117BF8">
          <w:rPr>
            <w:rStyle w:val="Hyperlink"/>
            <w:rFonts w:ascii="Arial" w:hAnsi="Arial" w:cs="Arial"/>
            <w:bCs/>
            <w:noProof/>
            <w:lang w:val="es-ES_tradnl"/>
          </w:rPr>
          <w:t>Tabla 30 - Función 4- Suelo, Riego, Desagües y Drenajes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59</w:t>
        </w:r>
        <w:r w:rsidRPr="00117BF8">
          <w:rPr>
            <w:rFonts w:ascii="Arial" w:hAnsi="Arial" w:cs="Arial"/>
            <w:noProof/>
            <w:webHidden/>
          </w:rPr>
          <w:fldChar w:fldCharType="end"/>
        </w:r>
      </w:hyperlink>
    </w:p>
    <w:p w14:paraId="16B28862"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1" w:history="1">
        <w:r w:rsidRPr="00117BF8">
          <w:rPr>
            <w:rStyle w:val="Hyperlink"/>
            <w:rFonts w:ascii="Arial" w:hAnsi="Arial" w:cs="Arial"/>
            <w:bCs/>
            <w:noProof/>
          </w:rPr>
          <w:t>Tabla 31 – Características de los Programas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59</w:t>
        </w:r>
        <w:r w:rsidRPr="00117BF8">
          <w:rPr>
            <w:rFonts w:ascii="Arial" w:hAnsi="Arial" w:cs="Arial"/>
            <w:noProof/>
            <w:webHidden/>
          </w:rPr>
          <w:fldChar w:fldCharType="end"/>
        </w:r>
      </w:hyperlink>
    </w:p>
    <w:p w14:paraId="5A26D737"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2" w:history="1">
        <w:r w:rsidRPr="00117BF8">
          <w:rPr>
            <w:rStyle w:val="Hyperlink"/>
            <w:rFonts w:ascii="Arial" w:hAnsi="Arial" w:cs="Arial"/>
            <w:noProof/>
            <w:lang w:val="es-ES_tradnl"/>
          </w:rPr>
          <w:t>Tabla 32 – Proyecciones por Operación</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61</w:t>
        </w:r>
        <w:r w:rsidRPr="00117BF8">
          <w:rPr>
            <w:rFonts w:ascii="Arial" w:hAnsi="Arial" w:cs="Arial"/>
            <w:noProof/>
            <w:webHidden/>
          </w:rPr>
          <w:fldChar w:fldCharType="end"/>
        </w:r>
      </w:hyperlink>
    </w:p>
    <w:p w14:paraId="1F1B3AFD"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3" w:history="1">
        <w:r w:rsidRPr="00117BF8">
          <w:rPr>
            <w:rStyle w:val="Hyperlink"/>
            <w:rFonts w:ascii="Arial" w:hAnsi="Arial" w:cs="Arial"/>
            <w:noProof/>
            <w:lang w:val="es-ES_tradnl"/>
          </w:rPr>
          <w:t>Tabla 33 – Proyecciones Totales de las Operaciones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63</w:t>
        </w:r>
        <w:r w:rsidRPr="00117BF8">
          <w:rPr>
            <w:rFonts w:ascii="Arial" w:hAnsi="Arial" w:cs="Arial"/>
            <w:noProof/>
            <w:webHidden/>
          </w:rPr>
          <w:fldChar w:fldCharType="end"/>
        </w:r>
      </w:hyperlink>
    </w:p>
    <w:p w14:paraId="72B2C5DD"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4" w:history="1">
        <w:r w:rsidRPr="00117BF8">
          <w:rPr>
            <w:rStyle w:val="Hyperlink"/>
            <w:rFonts w:ascii="Arial" w:hAnsi="Arial" w:cs="Arial"/>
            <w:bCs/>
            <w:noProof/>
            <w:lang w:val="es-ES_tradnl"/>
          </w:rPr>
          <w:t>Tabla 34 - Ministerio de Infraestructura y Ss. Públicos – Función 4- Suelo, Riego, desagües y Drenaje - 2016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64</w:t>
        </w:r>
        <w:r w:rsidRPr="00117BF8">
          <w:rPr>
            <w:rFonts w:ascii="Arial" w:hAnsi="Arial" w:cs="Arial"/>
            <w:noProof/>
            <w:webHidden/>
          </w:rPr>
          <w:fldChar w:fldCharType="end"/>
        </w:r>
      </w:hyperlink>
    </w:p>
    <w:p w14:paraId="4F5D93D7"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5" w:history="1">
        <w:r w:rsidRPr="00117BF8">
          <w:rPr>
            <w:rStyle w:val="Hyperlink"/>
            <w:rFonts w:ascii="Arial" w:hAnsi="Arial" w:cs="Arial"/>
            <w:noProof/>
          </w:rPr>
          <w:t>Tabla 35 - AUBASA Presupuesto 2017</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_Toc493861145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65</w:t>
        </w:r>
        <w:r w:rsidRPr="00117BF8">
          <w:rPr>
            <w:rFonts w:ascii="Arial" w:hAnsi="Arial" w:cs="Arial"/>
            <w:noProof/>
            <w:webHidden/>
          </w:rPr>
          <w:fldChar w:fldCharType="end"/>
        </w:r>
      </w:hyperlink>
    </w:p>
    <w:p w14:paraId="53FD6FF4"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6" w:history="1">
        <w:r w:rsidRPr="00117BF8">
          <w:rPr>
            <w:rStyle w:val="Hyperlink"/>
            <w:rFonts w:ascii="Arial" w:hAnsi="Arial" w:cs="Arial"/>
            <w:bCs/>
            <w:noProof/>
            <w:lang w:val="es-ES_tradnl"/>
          </w:rPr>
          <w:t>Tabla 36 – Gasto de Capital: Impacto de las Operaciones BID</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_Toc493861146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66</w:t>
        </w:r>
        <w:r w:rsidRPr="00117BF8">
          <w:rPr>
            <w:rFonts w:ascii="Arial" w:hAnsi="Arial" w:cs="Arial"/>
            <w:noProof/>
            <w:webHidden/>
          </w:rPr>
          <w:fldChar w:fldCharType="end"/>
        </w:r>
      </w:hyperlink>
    </w:p>
    <w:p w14:paraId="3CBCBD1B"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7" w:history="1">
        <w:r w:rsidRPr="00117BF8">
          <w:rPr>
            <w:rStyle w:val="Hyperlink"/>
            <w:rFonts w:ascii="Arial" w:hAnsi="Arial" w:cs="Arial"/>
            <w:bCs/>
            <w:noProof/>
            <w:lang w:val="es-ES_tradnl"/>
          </w:rPr>
          <w:t>Tabla 37 – Supuestos vs Real Presupuesto 2017</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_Toc493861147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66</w:t>
        </w:r>
        <w:r w:rsidRPr="00117BF8">
          <w:rPr>
            <w:rFonts w:ascii="Arial" w:hAnsi="Arial" w:cs="Arial"/>
            <w:noProof/>
            <w:webHidden/>
          </w:rPr>
          <w:fldChar w:fldCharType="end"/>
        </w:r>
      </w:hyperlink>
    </w:p>
    <w:p w14:paraId="2FAF8A01"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8" w:history="1">
        <w:r w:rsidRPr="00117BF8">
          <w:rPr>
            <w:rStyle w:val="Hyperlink"/>
            <w:rFonts w:ascii="Arial" w:hAnsi="Arial" w:cs="Arial"/>
            <w:noProof/>
            <w:lang w:val="es-ES_tradnl"/>
          </w:rPr>
          <w:t>Tabla 38- Ejecución Presupuestaria al 31/3/17</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_Toc493861148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67</w:t>
        </w:r>
        <w:r w:rsidRPr="00117BF8">
          <w:rPr>
            <w:rFonts w:ascii="Arial" w:hAnsi="Arial" w:cs="Arial"/>
            <w:noProof/>
            <w:webHidden/>
          </w:rPr>
          <w:fldChar w:fldCharType="end"/>
        </w:r>
      </w:hyperlink>
    </w:p>
    <w:p w14:paraId="7C4E0FFE"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49" w:history="1">
        <w:r w:rsidRPr="00117BF8">
          <w:rPr>
            <w:rStyle w:val="Hyperlink"/>
            <w:rFonts w:ascii="Arial" w:hAnsi="Arial" w:cs="Arial"/>
            <w:bCs/>
            <w:noProof/>
            <w:lang w:val="es-ES_tradnl"/>
          </w:rPr>
          <w:t>Tabla 39 - Presión Fiscal – Principales Jurisdicciones (Año 2013)</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_Toc493861149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72</w:t>
        </w:r>
        <w:r w:rsidRPr="00117BF8">
          <w:rPr>
            <w:rFonts w:ascii="Arial" w:hAnsi="Arial" w:cs="Arial"/>
            <w:noProof/>
            <w:webHidden/>
          </w:rPr>
          <w:fldChar w:fldCharType="end"/>
        </w:r>
      </w:hyperlink>
    </w:p>
    <w:p w14:paraId="59C875FD"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0" w:history="1">
        <w:r w:rsidRPr="00117BF8">
          <w:rPr>
            <w:rStyle w:val="Hyperlink"/>
            <w:rFonts w:ascii="Arial" w:hAnsi="Arial" w:cs="Arial"/>
            <w:noProof/>
            <w:lang w:val="es-ES_tradnl"/>
          </w:rPr>
          <w:t>Tabla 40 - Provincia de Buenos Aires - Administración Pública no Financiera - Proyección 2017-2028 (2016 valores Estimados)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75</w:t>
        </w:r>
        <w:r w:rsidRPr="00117BF8">
          <w:rPr>
            <w:rFonts w:ascii="Arial" w:hAnsi="Arial" w:cs="Arial"/>
            <w:noProof/>
            <w:webHidden/>
          </w:rPr>
          <w:fldChar w:fldCharType="end"/>
        </w:r>
      </w:hyperlink>
    </w:p>
    <w:p w14:paraId="7A634858"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1" w:history="1">
        <w:r w:rsidRPr="00117BF8">
          <w:rPr>
            <w:rStyle w:val="Hyperlink"/>
            <w:rFonts w:ascii="Arial" w:hAnsi="Arial" w:cs="Arial"/>
            <w:noProof/>
            <w:lang w:val="es-ES_tradnl"/>
          </w:rPr>
          <w:t>Tabla 41 – Indicadores e Hipótesis Relevantes de las Proyecciones - Informados por La Provincial</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76</w:t>
        </w:r>
        <w:r w:rsidRPr="00117BF8">
          <w:rPr>
            <w:rFonts w:ascii="Arial" w:hAnsi="Arial" w:cs="Arial"/>
            <w:noProof/>
            <w:webHidden/>
          </w:rPr>
          <w:fldChar w:fldCharType="end"/>
        </w:r>
      </w:hyperlink>
    </w:p>
    <w:p w14:paraId="4DDB4537"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2" w:history="1">
        <w:r w:rsidRPr="00117BF8">
          <w:rPr>
            <w:rStyle w:val="Hyperlink"/>
            <w:rFonts w:ascii="Arial" w:hAnsi="Arial" w:cs="Arial"/>
            <w:noProof/>
            <w:lang w:val="es-ES_tradnl"/>
          </w:rPr>
          <w:t>Tabla 42 - Provincia de Buenos Aires - Administración Pública no Financiera - Proyección 2017-2028 (2016 valores Estimados) – Precios Constantes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77</w:t>
        </w:r>
        <w:r w:rsidRPr="00117BF8">
          <w:rPr>
            <w:rFonts w:ascii="Arial" w:hAnsi="Arial" w:cs="Arial"/>
            <w:noProof/>
            <w:webHidden/>
          </w:rPr>
          <w:fldChar w:fldCharType="end"/>
        </w:r>
      </w:hyperlink>
    </w:p>
    <w:p w14:paraId="6FFB2286"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3" w:history="1">
        <w:r w:rsidRPr="00117BF8">
          <w:rPr>
            <w:rStyle w:val="Hyperlink"/>
            <w:rFonts w:ascii="Arial" w:hAnsi="Arial" w:cs="Arial"/>
            <w:noProof/>
          </w:rPr>
          <w:t>Tabla 43 – Supuestos Macro en las Proyecciones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78</w:t>
        </w:r>
        <w:r w:rsidRPr="00117BF8">
          <w:rPr>
            <w:rFonts w:ascii="Arial" w:hAnsi="Arial" w:cs="Arial"/>
            <w:noProof/>
            <w:webHidden/>
          </w:rPr>
          <w:fldChar w:fldCharType="end"/>
        </w:r>
      </w:hyperlink>
    </w:p>
    <w:p w14:paraId="10685CD4"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4" w:history="1">
        <w:r w:rsidRPr="00117BF8">
          <w:rPr>
            <w:rStyle w:val="Hyperlink"/>
            <w:rFonts w:ascii="Arial" w:hAnsi="Arial" w:cs="Arial"/>
            <w:noProof/>
          </w:rPr>
          <w:t>Tabla 44 – Inflación Proyectada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80</w:t>
        </w:r>
        <w:r w:rsidRPr="00117BF8">
          <w:rPr>
            <w:rFonts w:ascii="Arial" w:hAnsi="Arial" w:cs="Arial"/>
            <w:noProof/>
            <w:webHidden/>
          </w:rPr>
          <w:fldChar w:fldCharType="end"/>
        </w:r>
      </w:hyperlink>
    </w:p>
    <w:p w14:paraId="0EBDE518"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5" w:history="1">
        <w:r w:rsidRPr="00117BF8">
          <w:rPr>
            <w:rStyle w:val="Hyperlink"/>
            <w:rFonts w:ascii="Arial" w:hAnsi="Arial" w:cs="Arial"/>
            <w:noProof/>
            <w:lang w:val="es-ES_tradnl"/>
          </w:rPr>
          <w:t>Tabla 45 – Comparación Año 2016: Proyección vs Real</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_Toc493861155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80</w:t>
        </w:r>
        <w:r w:rsidRPr="00117BF8">
          <w:rPr>
            <w:rFonts w:ascii="Arial" w:hAnsi="Arial" w:cs="Arial"/>
            <w:noProof/>
            <w:webHidden/>
          </w:rPr>
          <w:fldChar w:fldCharType="end"/>
        </w:r>
      </w:hyperlink>
    </w:p>
    <w:p w14:paraId="260A866A"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6" w:history="1">
        <w:r w:rsidRPr="00117BF8">
          <w:rPr>
            <w:rStyle w:val="Hyperlink"/>
            <w:rFonts w:ascii="Arial" w:hAnsi="Arial" w:cs="Arial"/>
            <w:noProof/>
            <w:lang w:val="es-ES_tradnl"/>
          </w:rPr>
          <w:t>Tabla 46 – Ciclo del Proyecto – Etapas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_Toc493861156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92</w:t>
        </w:r>
        <w:r w:rsidRPr="00117BF8">
          <w:rPr>
            <w:rFonts w:ascii="Arial" w:hAnsi="Arial" w:cs="Arial"/>
            <w:noProof/>
            <w:webHidden/>
          </w:rPr>
          <w:fldChar w:fldCharType="end"/>
        </w:r>
      </w:hyperlink>
    </w:p>
    <w:p w14:paraId="7CD348ED"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7" w:history="1">
        <w:r w:rsidRPr="00117BF8">
          <w:rPr>
            <w:rStyle w:val="Hyperlink"/>
            <w:rFonts w:ascii="Arial" w:hAnsi="Arial" w:cs="Arial"/>
            <w:bCs/>
            <w:noProof/>
            <w:lang w:val="es-ES_tradnl"/>
          </w:rPr>
          <w:t>Tabla A III - 1 - Resultado Financiero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_Toc493861157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98</w:t>
        </w:r>
        <w:r w:rsidRPr="00117BF8">
          <w:rPr>
            <w:rFonts w:ascii="Arial" w:hAnsi="Arial" w:cs="Arial"/>
            <w:noProof/>
            <w:webHidden/>
          </w:rPr>
          <w:fldChar w:fldCharType="end"/>
        </w:r>
      </w:hyperlink>
    </w:p>
    <w:p w14:paraId="50A1A3AF"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8" w:history="1">
        <w:r w:rsidRPr="00117BF8">
          <w:rPr>
            <w:rStyle w:val="Hyperlink"/>
            <w:rFonts w:ascii="Arial" w:hAnsi="Arial" w:cs="Arial"/>
            <w:bCs/>
            <w:noProof/>
            <w:lang w:val="es-ES_tradnl"/>
          </w:rPr>
          <w:t>Tabla A III - 2 - Cuenta de Ahorro - Inversion – Financiamiento 2013</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_Toc493861158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99</w:t>
        </w:r>
        <w:r w:rsidRPr="00117BF8">
          <w:rPr>
            <w:rFonts w:ascii="Arial" w:hAnsi="Arial" w:cs="Arial"/>
            <w:noProof/>
            <w:webHidden/>
          </w:rPr>
          <w:fldChar w:fldCharType="end"/>
        </w:r>
      </w:hyperlink>
    </w:p>
    <w:p w14:paraId="64114684"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59" w:history="1">
        <w:r w:rsidRPr="00117BF8">
          <w:rPr>
            <w:rStyle w:val="Hyperlink"/>
            <w:rFonts w:ascii="Arial" w:hAnsi="Arial" w:cs="Arial"/>
            <w:bCs/>
            <w:noProof/>
            <w:lang w:val="es-ES_tradnl"/>
          </w:rPr>
          <w:t>Tabla A III - 3 - Cuenta de Ahorro - Inversion – Financiamiento 2014</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_Toc493861159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100</w:t>
        </w:r>
        <w:r w:rsidRPr="00117BF8">
          <w:rPr>
            <w:rFonts w:ascii="Arial" w:hAnsi="Arial" w:cs="Arial"/>
            <w:noProof/>
            <w:webHidden/>
          </w:rPr>
          <w:fldChar w:fldCharType="end"/>
        </w:r>
      </w:hyperlink>
    </w:p>
    <w:p w14:paraId="05CB1CE9"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0" w:history="1">
        <w:r w:rsidRPr="00117BF8">
          <w:rPr>
            <w:rStyle w:val="Hyperlink"/>
            <w:rFonts w:ascii="Arial" w:hAnsi="Arial" w:cs="Arial"/>
            <w:bCs/>
            <w:noProof/>
            <w:lang w:val="es-ES_tradnl"/>
          </w:rPr>
          <w:t>Tabla A III - 4 - Cuenta de Ahorro - Inversion – Financiamiento 2015</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101</w:t>
        </w:r>
        <w:r w:rsidRPr="00117BF8">
          <w:rPr>
            <w:rFonts w:ascii="Arial" w:hAnsi="Arial" w:cs="Arial"/>
            <w:noProof/>
            <w:webHidden/>
          </w:rPr>
          <w:fldChar w:fldCharType="end"/>
        </w:r>
      </w:hyperlink>
    </w:p>
    <w:p w14:paraId="5C20B9C9"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1" w:history="1">
        <w:r w:rsidRPr="00117BF8">
          <w:rPr>
            <w:rStyle w:val="Hyperlink"/>
            <w:rFonts w:ascii="Arial" w:hAnsi="Arial" w:cs="Arial"/>
            <w:bCs/>
            <w:noProof/>
            <w:lang w:val="es-ES_tradnl"/>
          </w:rPr>
          <w:t>Tabla A III - 5 - Cuenta de Ahorro - Inversion – Financiamiento 2016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102</w:t>
        </w:r>
        <w:r w:rsidRPr="00117BF8">
          <w:rPr>
            <w:rFonts w:ascii="Arial" w:hAnsi="Arial" w:cs="Arial"/>
            <w:noProof/>
            <w:webHidden/>
          </w:rPr>
          <w:fldChar w:fldCharType="end"/>
        </w:r>
      </w:hyperlink>
    </w:p>
    <w:p w14:paraId="6E843520"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2" w:history="1">
        <w:r w:rsidRPr="00117BF8">
          <w:rPr>
            <w:rStyle w:val="Hyperlink"/>
            <w:rFonts w:ascii="Arial" w:hAnsi="Arial" w:cs="Arial"/>
            <w:bCs/>
            <w:noProof/>
            <w:lang w:val="es-ES_tradnl"/>
          </w:rPr>
          <w:t>Tabla A III - 6 - Presupuesto y Ejecución  - Clasificación por Objeto del Gasto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103</w:t>
        </w:r>
        <w:r w:rsidRPr="00117BF8">
          <w:rPr>
            <w:rFonts w:ascii="Arial" w:hAnsi="Arial" w:cs="Arial"/>
            <w:noProof/>
            <w:webHidden/>
          </w:rPr>
          <w:fldChar w:fldCharType="end"/>
        </w:r>
      </w:hyperlink>
    </w:p>
    <w:p w14:paraId="60F6F60C"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3" w:history="1">
        <w:r w:rsidRPr="00117BF8">
          <w:rPr>
            <w:rStyle w:val="Hyperlink"/>
            <w:rFonts w:ascii="Arial" w:hAnsi="Arial" w:cs="Arial"/>
            <w:noProof/>
            <w:lang w:val="es-ES_tradnl"/>
          </w:rPr>
          <w:t>Tabla A III - 7 - Desvío Presupuestario  - Clasificación por Objeto del Gasto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103</w:t>
        </w:r>
        <w:r w:rsidRPr="00117BF8">
          <w:rPr>
            <w:rFonts w:ascii="Arial" w:hAnsi="Arial" w:cs="Arial"/>
            <w:noProof/>
            <w:webHidden/>
          </w:rPr>
          <w:fldChar w:fldCharType="end"/>
        </w:r>
      </w:hyperlink>
    </w:p>
    <w:p w14:paraId="7D4A1A13"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4" w:history="1">
        <w:r w:rsidRPr="00117BF8">
          <w:rPr>
            <w:rStyle w:val="Hyperlink"/>
            <w:rFonts w:ascii="Arial" w:hAnsi="Arial" w:cs="Arial"/>
            <w:bCs/>
            <w:noProof/>
            <w:lang w:val="es-ES_tradnl"/>
          </w:rPr>
          <w:t>Tabla A III - 8 – Clasificación del Gasto por Finalidad / Función – Devengado y Participación en el Total</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104</w:t>
        </w:r>
        <w:r w:rsidRPr="00117BF8">
          <w:rPr>
            <w:rFonts w:ascii="Arial" w:hAnsi="Arial" w:cs="Arial"/>
            <w:noProof/>
            <w:webHidden/>
          </w:rPr>
          <w:fldChar w:fldCharType="end"/>
        </w:r>
      </w:hyperlink>
    </w:p>
    <w:p w14:paraId="1ED74470"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5" w:history="1">
        <w:r w:rsidRPr="00117BF8">
          <w:rPr>
            <w:rStyle w:val="Hyperlink"/>
            <w:rFonts w:ascii="Arial" w:hAnsi="Arial" w:cs="Arial"/>
            <w:bCs/>
            <w:noProof/>
            <w:lang w:val="es-ES_tradnl"/>
          </w:rPr>
          <w:t>Tabla A III - 9 - Ejecución Presupuestaria, Principales Objetos del Gasto - Clasificación por Finalidad / Función</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_Toc493861165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105</w:t>
        </w:r>
        <w:r w:rsidRPr="00117BF8">
          <w:rPr>
            <w:rFonts w:ascii="Arial" w:hAnsi="Arial" w:cs="Arial"/>
            <w:noProof/>
            <w:webHidden/>
          </w:rPr>
          <w:fldChar w:fldCharType="end"/>
        </w:r>
      </w:hyperlink>
    </w:p>
    <w:p w14:paraId="43694824"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6" w:history="1">
        <w:r w:rsidRPr="00117BF8">
          <w:rPr>
            <w:rStyle w:val="Hyperlink"/>
            <w:rFonts w:ascii="Arial" w:hAnsi="Arial" w:cs="Arial"/>
            <w:bCs/>
            <w:noProof/>
            <w:lang w:val="es-ES_tradnl"/>
          </w:rPr>
          <w:t>Tabla A III – 10 - Servicio de la Deuda y Disminución De Otros Pasivos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_Toc493861166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106</w:t>
        </w:r>
        <w:r w:rsidRPr="00117BF8">
          <w:rPr>
            <w:rFonts w:ascii="Arial" w:hAnsi="Arial" w:cs="Arial"/>
            <w:noProof/>
            <w:webHidden/>
          </w:rPr>
          <w:fldChar w:fldCharType="end"/>
        </w:r>
      </w:hyperlink>
    </w:p>
    <w:p w14:paraId="3901638C"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7" w:history="1">
        <w:r w:rsidRPr="00117BF8">
          <w:rPr>
            <w:rStyle w:val="Hyperlink"/>
            <w:rFonts w:ascii="Arial" w:hAnsi="Arial" w:cs="Arial"/>
            <w:bCs/>
            <w:noProof/>
            <w:lang w:val="es-ES_tradnl"/>
          </w:rPr>
          <w:t>Tabla A III – 11 - Estado de Deuda a Largo Plazo al 31 de diciembre de 2016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_Toc493861167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107</w:t>
        </w:r>
        <w:r w:rsidRPr="00117BF8">
          <w:rPr>
            <w:rFonts w:ascii="Arial" w:hAnsi="Arial" w:cs="Arial"/>
            <w:noProof/>
            <w:webHidden/>
          </w:rPr>
          <w:fldChar w:fldCharType="end"/>
        </w:r>
      </w:hyperlink>
    </w:p>
    <w:p w14:paraId="0554BCDE"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8" w:history="1">
        <w:r w:rsidRPr="00117BF8">
          <w:rPr>
            <w:rStyle w:val="Hyperlink"/>
            <w:rFonts w:ascii="Arial" w:hAnsi="Arial" w:cs="Arial"/>
            <w:noProof/>
            <w:lang w:val="es-ES_tradnl"/>
          </w:rPr>
          <w:t>Tabla A V - 1 - Provincia de Buenos Aires - Administración Pública no Financiera - Proyección 2017-2028 (2016 valores Estimados) – Porcentaje del PGB</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_Toc493861168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114</w:t>
        </w:r>
        <w:r w:rsidRPr="00117BF8">
          <w:rPr>
            <w:rFonts w:ascii="Arial" w:hAnsi="Arial" w:cs="Arial"/>
            <w:noProof/>
            <w:webHidden/>
          </w:rPr>
          <w:fldChar w:fldCharType="end"/>
        </w:r>
      </w:hyperlink>
    </w:p>
    <w:p w14:paraId="1EDE3D4F"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69" w:history="1">
        <w:r w:rsidRPr="00117BF8">
          <w:rPr>
            <w:rStyle w:val="Hyperlink"/>
            <w:rFonts w:ascii="Arial" w:hAnsi="Arial" w:cs="Arial"/>
            <w:noProof/>
            <w:lang w:val="es-ES_tradnl"/>
          </w:rPr>
          <w:t>Tabla A V - 2 - Provincia de Buenos Aires - Administración Pública no Financiera - Proyección 2017-2028 (2016 valores Estimados) – Variación Anual a Precios Constantes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_Toc493861169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115</w:t>
        </w:r>
        <w:r w:rsidRPr="00117BF8">
          <w:rPr>
            <w:rFonts w:ascii="Arial" w:hAnsi="Arial" w:cs="Arial"/>
            <w:noProof/>
            <w:webHidden/>
          </w:rPr>
          <w:fldChar w:fldCharType="end"/>
        </w:r>
      </w:hyperlink>
    </w:p>
    <w:p w14:paraId="4EE2BD11"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70" w:history="1">
        <w:r w:rsidRPr="00117BF8">
          <w:rPr>
            <w:rStyle w:val="Hyperlink"/>
            <w:rFonts w:ascii="Arial" w:hAnsi="Arial" w:cs="Arial"/>
            <w:noProof/>
            <w:lang w:val="es-ES_tradnl"/>
          </w:rPr>
          <w:t>Tabla A VII - 1 - Provincia de Buenos Aires - Administración Pública no Financiera - Proyección Alternativa 2017-2028 (2016 valores Ejecutados)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_Toc493861170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120</w:t>
        </w:r>
        <w:r w:rsidRPr="00117BF8">
          <w:rPr>
            <w:rFonts w:ascii="Arial" w:hAnsi="Arial" w:cs="Arial"/>
            <w:noProof/>
            <w:webHidden/>
          </w:rPr>
          <w:fldChar w:fldCharType="end"/>
        </w:r>
      </w:hyperlink>
    </w:p>
    <w:p w14:paraId="6B7C05F2"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71" w:history="1">
        <w:r w:rsidRPr="00117BF8">
          <w:rPr>
            <w:rStyle w:val="Hyperlink"/>
            <w:rFonts w:ascii="Arial" w:hAnsi="Arial" w:cs="Arial"/>
            <w:noProof/>
            <w:lang w:val="es-ES_tradnl"/>
          </w:rPr>
          <w:t>Tabla A VII - 2 – Indicadores e Hipótesis Relevantes de las Proyecciones Alternativas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_Toc493861171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121</w:t>
        </w:r>
        <w:r w:rsidRPr="00117BF8">
          <w:rPr>
            <w:rFonts w:ascii="Arial" w:hAnsi="Arial" w:cs="Arial"/>
            <w:noProof/>
            <w:webHidden/>
          </w:rPr>
          <w:fldChar w:fldCharType="end"/>
        </w:r>
      </w:hyperlink>
    </w:p>
    <w:p w14:paraId="0FFD0DC7"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72" w:history="1">
        <w:r w:rsidRPr="00117BF8">
          <w:rPr>
            <w:rStyle w:val="Hyperlink"/>
            <w:rFonts w:ascii="Arial" w:hAnsi="Arial" w:cs="Arial"/>
            <w:noProof/>
            <w:lang w:val="es-ES_tradnl"/>
          </w:rPr>
          <w:t>Tabla A VII - 3 - Provincia de Buenos Aires - Administración Pública no Financiera – Comparación Proyección Alternativa  / Proyección Provincia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_Toc493861172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122</w:t>
        </w:r>
        <w:r w:rsidRPr="00117BF8">
          <w:rPr>
            <w:rFonts w:ascii="Arial" w:hAnsi="Arial" w:cs="Arial"/>
            <w:noProof/>
            <w:webHidden/>
          </w:rPr>
          <w:fldChar w:fldCharType="end"/>
        </w:r>
      </w:hyperlink>
    </w:p>
    <w:p w14:paraId="7A063E51"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73" w:history="1">
        <w:r w:rsidRPr="00117BF8">
          <w:rPr>
            <w:rStyle w:val="Hyperlink"/>
            <w:rFonts w:ascii="Arial" w:hAnsi="Arial" w:cs="Arial"/>
            <w:noProof/>
            <w:lang w:val="es-ES_tradnl"/>
          </w:rPr>
          <w:t>Tabla A VII - 4 - Provincia de Buenos Aires - Administración Pública no Financiera - Proyección Alternativa 2017-2028 (2016 valores Ejecutados) – Precios Constantes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_Toc493861173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123</w:t>
        </w:r>
        <w:r w:rsidRPr="00117BF8">
          <w:rPr>
            <w:rFonts w:ascii="Arial" w:hAnsi="Arial" w:cs="Arial"/>
            <w:noProof/>
            <w:webHidden/>
          </w:rPr>
          <w:fldChar w:fldCharType="end"/>
        </w:r>
      </w:hyperlink>
    </w:p>
    <w:p w14:paraId="5C919E03" w14:textId="77777777" w:rsidR="00883677" w:rsidRPr="00117BF8" w:rsidRDefault="00883677">
      <w:pPr>
        <w:pStyle w:val="TableofFigures"/>
        <w:tabs>
          <w:tab w:val="right" w:leader="underscore" w:pos="8495"/>
        </w:tabs>
        <w:rPr>
          <w:rFonts w:ascii="Arial" w:eastAsia="MS Mincho" w:hAnsi="Arial" w:cs="Arial"/>
          <w:i w:val="0"/>
          <w:iCs w:val="0"/>
          <w:noProof/>
          <w:sz w:val="22"/>
          <w:szCs w:val="22"/>
          <w:lang w:val="es-AR" w:eastAsia="es-AR"/>
        </w:rPr>
      </w:pPr>
      <w:hyperlink w:anchor="_Toc493861174" w:history="1">
        <w:r w:rsidRPr="00117BF8">
          <w:rPr>
            <w:rStyle w:val="Hyperlink"/>
            <w:rFonts w:ascii="Arial" w:hAnsi="Arial" w:cs="Arial"/>
            <w:noProof/>
            <w:lang w:val="es-ES_tradnl"/>
          </w:rPr>
          <w:t>Tabla A VII - 5 - Provincia de Buenos Aires - Administración Pública no Financiera - Proyección Alternativa 2017-2028 (2016 valores Ejecutados) – Variaciones anuales a Precios Constantes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_Toc493861174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124</w:t>
        </w:r>
        <w:r w:rsidRPr="00117BF8">
          <w:rPr>
            <w:rFonts w:ascii="Arial" w:hAnsi="Arial" w:cs="Arial"/>
            <w:noProof/>
            <w:webHidden/>
          </w:rPr>
          <w:fldChar w:fldCharType="end"/>
        </w:r>
      </w:hyperlink>
    </w:p>
    <w:p w14:paraId="0F88166A" w14:textId="77777777" w:rsidR="0034693D" w:rsidRPr="00117BF8" w:rsidRDefault="0034693D">
      <w:pPr>
        <w:rPr>
          <w:rFonts w:ascii="Arial" w:hAnsi="Arial" w:cs="Arial"/>
          <w:bCs/>
        </w:rPr>
      </w:pPr>
      <w:r w:rsidRPr="00117BF8">
        <w:rPr>
          <w:rFonts w:ascii="Arial" w:hAnsi="Arial" w:cs="Arial"/>
          <w:bCs/>
        </w:rPr>
        <w:fldChar w:fldCharType="end"/>
      </w:r>
    </w:p>
    <w:p w14:paraId="72D0A810" w14:textId="77777777" w:rsidR="00B829E2" w:rsidRPr="004E6455" w:rsidRDefault="00635A32" w:rsidP="00EC141E">
      <w:pPr>
        <w:pStyle w:val="Title"/>
      </w:pPr>
      <w:r w:rsidRPr="004E6455">
        <w:t>Indice Gráficos</w:t>
      </w:r>
    </w:p>
    <w:p w14:paraId="49CC598F" w14:textId="77777777" w:rsidR="00820A26" w:rsidRPr="00117BF8" w:rsidRDefault="00B829E2">
      <w:pPr>
        <w:pStyle w:val="TableofFigures"/>
        <w:tabs>
          <w:tab w:val="right" w:leader="underscore" w:pos="8495"/>
        </w:tabs>
        <w:rPr>
          <w:rFonts w:ascii="Arial" w:hAnsi="Arial" w:cs="Arial"/>
          <w:i w:val="0"/>
          <w:iCs w:val="0"/>
          <w:noProof/>
          <w:sz w:val="22"/>
          <w:szCs w:val="22"/>
          <w:lang w:val="es-AR" w:eastAsia="es-AR"/>
        </w:rPr>
      </w:pPr>
      <w:r w:rsidRPr="00117BF8">
        <w:rPr>
          <w:rFonts w:ascii="Arial" w:hAnsi="Arial" w:cs="Arial"/>
        </w:rPr>
        <w:fldChar w:fldCharType="begin"/>
      </w:r>
      <w:r w:rsidRPr="00117BF8">
        <w:rPr>
          <w:rFonts w:ascii="Arial" w:hAnsi="Arial" w:cs="Arial"/>
        </w:rPr>
        <w:instrText xml:space="preserve"> TOC \h \z \t "hsa3" \c </w:instrText>
      </w:r>
      <w:r w:rsidRPr="00117BF8">
        <w:rPr>
          <w:rFonts w:ascii="Arial" w:hAnsi="Arial" w:cs="Arial"/>
        </w:rPr>
        <w:fldChar w:fldCharType="separate"/>
      </w:r>
      <w:hyperlink w:anchor="_Toc493781689" w:history="1">
        <w:r w:rsidR="00820A26" w:rsidRPr="00117BF8">
          <w:rPr>
            <w:rStyle w:val="Hyperlink"/>
            <w:rFonts w:ascii="Arial" w:hAnsi="Arial" w:cs="Arial"/>
            <w:noProof/>
          </w:rPr>
          <w:t>Gráfico RE 1 – Comparación de los Resultados Primarios a precios de 2016</w:t>
        </w:r>
        <w:r w:rsidR="00820A26" w:rsidRPr="00117BF8">
          <w:rPr>
            <w:rFonts w:ascii="Arial" w:hAnsi="Arial" w:cs="Arial"/>
            <w:noProof/>
            <w:webHidden/>
          </w:rPr>
          <w:tab/>
        </w:r>
        <w:r w:rsidR="00820A26" w:rsidRPr="00117BF8">
          <w:rPr>
            <w:rFonts w:ascii="Arial" w:hAnsi="Arial" w:cs="Arial"/>
            <w:noProof/>
            <w:webHidden/>
          </w:rPr>
          <w:fldChar w:fldCharType="begin"/>
        </w:r>
        <w:r w:rsidR="00820A26" w:rsidRPr="00117BF8">
          <w:rPr>
            <w:rFonts w:ascii="Arial" w:hAnsi="Arial" w:cs="Arial"/>
            <w:noProof/>
            <w:webHidden/>
          </w:rPr>
          <w:instrText xml:space="preserve"> PAGEREF _Toc493781689 \h </w:instrText>
        </w:r>
        <w:r w:rsidR="00820A26" w:rsidRPr="00117BF8">
          <w:rPr>
            <w:rFonts w:ascii="Arial" w:hAnsi="Arial" w:cs="Arial"/>
            <w:noProof/>
            <w:webHidden/>
          </w:rPr>
        </w:r>
        <w:r w:rsidR="00820A26" w:rsidRPr="00117BF8">
          <w:rPr>
            <w:rFonts w:ascii="Arial" w:hAnsi="Arial" w:cs="Arial"/>
            <w:noProof/>
            <w:webHidden/>
          </w:rPr>
          <w:fldChar w:fldCharType="separate"/>
        </w:r>
        <w:r w:rsidR="00820A26" w:rsidRPr="00117BF8">
          <w:rPr>
            <w:rFonts w:ascii="Arial" w:hAnsi="Arial" w:cs="Arial"/>
            <w:noProof/>
            <w:webHidden/>
          </w:rPr>
          <w:t>14</w:t>
        </w:r>
        <w:r w:rsidR="00820A26" w:rsidRPr="00117BF8">
          <w:rPr>
            <w:rFonts w:ascii="Arial" w:hAnsi="Arial" w:cs="Arial"/>
            <w:noProof/>
            <w:webHidden/>
          </w:rPr>
          <w:fldChar w:fldCharType="end"/>
        </w:r>
      </w:hyperlink>
    </w:p>
    <w:p w14:paraId="3F94A495"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0" w:history="1">
        <w:r w:rsidRPr="00117BF8">
          <w:rPr>
            <w:rStyle w:val="Hyperlink"/>
            <w:rFonts w:ascii="Arial" w:hAnsi="Arial" w:cs="Arial"/>
            <w:noProof/>
          </w:rPr>
          <w:t>Gráfico RE 2 – Comparación de los Resultados Económicos a precios de 2016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15</w:t>
        </w:r>
        <w:r w:rsidRPr="00117BF8">
          <w:rPr>
            <w:rFonts w:ascii="Arial" w:hAnsi="Arial" w:cs="Arial"/>
            <w:noProof/>
            <w:webHidden/>
          </w:rPr>
          <w:fldChar w:fldCharType="end"/>
        </w:r>
      </w:hyperlink>
    </w:p>
    <w:p w14:paraId="447AB59B"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1" w:history="1">
        <w:r w:rsidRPr="00117BF8">
          <w:rPr>
            <w:rStyle w:val="Hyperlink"/>
            <w:rFonts w:ascii="Arial" w:hAnsi="Arial" w:cs="Arial"/>
            <w:noProof/>
          </w:rPr>
          <w:t>Gráfico RE 3 – Comparación de los Resultados Financieros a precios de 2016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16</w:t>
        </w:r>
        <w:r w:rsidRPr="00117BF8">
          <w:rPr>
            <w:rFonts w:ascii="Arial" w:hAnsi="Arial" w:cs="Arial"/>
            <w:noProof/>
            <w:webHidden/>
          </w:rPr>
          <w:fldChar w:fldCharType="end"/>
        </w:r>
      </w:hyperlink>
    </w:p>
    <w:p w14:paraId="3295CE1B"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2" w:history="1">
        <w:r w:rsidRPr="00117BF8">
          <w:rPr>
            <w:rStyle w:val="Hyperlink"/>
            <w:rFonts w:ascii="Arial" w:hAnsi="Arial" w:cs="Arial"/>
            <w:noProof/>
          </w:rPr>
          <w:t>Gráfico 1 – Variación Anual del PBG (A precios Constantes)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22</w:t>
        </w:r>
        <w:r w:rsidRPr="00117BF8">
          <w:rPr>
            <w:rFonts w:ascii="Arial" w:hAnsi="Arial" w:cs="Arial"/>
            <w:noProof/>
            <w:webHidden/>
          </w:rPr>
          <w:fldChar w:fldCharType="end"/>
        </w:r>
      </w:hyperlink>
    </w:p>
    <w:p w14:paraId="3810B0A2"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3" w:history="1">
        <w:r w:rsidRPr="00117BF8">
          <w:rPr>
            <w:rStyle w:val="Hyperlink"/>
            <w:rFonts w:ascii="Arial" w:hAnsi="Arial" w:cs="Arial"/>
            <w:noProof/>
            <w:lang w:val="es-AR" w:eastAsia="es-AR"/>
          </w:rPr>
          <w:t>Gráfico 2 -Evolución de la Participación de la Provincia de Buenos Aires en la distribución de Impuestos Coparticipados y de Asignación Específica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24</w:t>
        </w:r>
        <w:r w:rsidRPr="00117BF8">
          <w:rPr>
            <w:rFonts w:ascii="Arial" w:hAnsi="Arial" w:cs="Arial"/>
            <w:noProof/>
            <w:webHidden/>
          </w:rPr>
          <w:fldChar w:fldCharType="end"/>
        </w:r>
      </w:hyperlink>
    </w:p>
    <w:p w14:paraId="735513FC"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4" w:history="1">
        <w:r w:rsidRPr="00117BF8">
          <w:rPr>
            <w:rStyle w:val="Hyperlink"/>
            <w:rFonts w:ascii="Arial" w:eastAsia="Calibri" w:hAnsi="Arial" w:cs="Arial"/>
            <w:noProof/>
          </w:rPr>
          <w:t>Gráfico 3 – Resultados Deflactados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32</w:t>
        </w:r>
        <w:r w:rsidRPr="00117BF8">
          <w:rPr>
            <w:rFonts w:ascii="Arial" w:hAnsi="Arial" w:cs="Arial"/>
            <w:noProof/>
            <w:webHidden/>
          </w:rPr>
          <w:fldChar w:fldCharType="end"/>
        </w:r>
      </w:hyperlink>
    </w:p>
    <w:p w14:paraId="21ECA249"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5" w:history="1">
        <w:r w:rsidRPr="00117BF8">
          <w:rPr>
            <w:rStyle w:val="Hyperlink"/>
            <w:rFonts w:ascii="Arial" w:eastAsia="Calibri" w:hAnsi="Arial" w:cs="Arial"/>
            <w:noProof/>
          </w:rPr>
          <w:t>Gráfico 4 – Resultados como Porcentaje sobre Recursos Totales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_Toc493781695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33</w:t>
        </w:r>
        <w:r w:rsidRPr="00117BF8">
          <w:rPr>
            <w:rFonts w:ascii="Arial" w:hAnsi="Arial" w:cs="Arial"/>
            <w:noProof/>
            <w:webHidden/>
          </w:rPr>
          <w:fldChar w:fldCharType="end"/>
        </w:r>
      </w:hyperlink>
    </w:p>
    <w:p w14:paraId="0E1A8830"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6" w:history="1">
        <w:r w:rsidRPr="00117BF8">
          <w:rPr>
            <w:rStyle w:val="Hyperlink"/>
            <w:rFonts w:ascii="Arial" w:eastAsia="Calibri" w:hAnsi="Arial" w:cs="Arial"/>
            <w:noProof/>
          </w:rPr>
          <w:t>Gráfico 5 – Evolución de los Recursos Totales y PBG</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_Toc493781696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34</w:t>
        </w:r>
        <w:r w:rsidRPr="00117BF8">
          <w:rPr>
            <w:rFonts w:ascii="Arial" w:hAnsi="Arial" w:cs="Arial"/>
            <w:noProof/>
            <w:webHidden/>
          </w:rPr>
          <w:fldChar w:fldCharType="end"/>
        </w:r>
      </w:hyperlink>
    </w:p>
    <w:p w14:paraId="2AE75FB9"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7" w:history="1">
        <w:r w:rsidRPr="00117BF8">
          <w:rPr>
            <w:rStyle w:val="Hyperlink"/>
            <w:rFonts w:ascii="Arial" w:eastAsia="Calibri" w:hAnsi="Arial" w:cs="Arial"/>
            <w:noProof/>
          </w:rPr>
          <w:t>Gráfico 6 – Evolución de la Estructura de Ingresos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_Toc493781697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40</w:t>
        </w:r>
        <w:r w:rsidRPr="00117BF8">
          <w:rPr>
            <w:rFonts w:ascii="Arial" w:hAnsi="Arial" w:cs="Arial"/>
            <w:noProof/>
            <w:webHidden/>
          </w:rPr>
          <w:fldChar w:fldCharType="end"/>
        </w:r>
      </w:hyperlink>
    </w:p>
    <w:p w14:paraId="094FFE39"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8" w:history="1">
        <w:r w:rsidRPr="00117BF8">
          <w:rPr>
            <w:rStyle w:val="Hyperlink"/>
            <w:rFonts w:ascii="Arial" w:eastAsia="Calibri" w:hAnsi="Arial" w:cs="Arial"/>
            <w:noProof/>
          </w:rPr>
          <w:t>Gráfico 7 – Evolución de los Componentes del Gasto – 2013 = 100</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_Toc493781698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49</w:t>
        </w:r>
        <w:r w:rsidRPr="00117BF8">
          <w:rPr>
            <w:rFonts w:ascii="Arial" w:hAnsi="Arial" w:cs="Arial"/>
            <w:noProof/>
            <w:webHidden/>
          </w:rPr>
          <w:fldChar w:fldCharType="end"/>
        </w:r>
      </w:hyperlink>
    </w:p>
    <w:p w14:paraId="5CD88528"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699" w:history="1">
        <w:r w:rsidRPr="00117BF8">
          <w:rPr>
            <w:rStyle w:val="Hyperlink"/>
            <w:rFonts w:ascii="Arial" w:eastAsia="Calibri" w:hAnsi="Arial" w:cs="Arial"/>
            <w:noProof/>
          </w:rPr>
          <w:t>Gráfico 8 – Estructura y Evolución del Servicio de Deuda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_Toc493781699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53</w:t>
        </w:r>
        <w:r w:rsidRPr="00117BF8">
          <w:rPr>
            <w:rFonts w:ascii="Arial" w:hAnsi="Arial" w:cs="Arial"/>
            <w:noProof/>
            <w:webHidden/>
          </w:rPr>
          <w:fldChar w:fldCharType="end"/>
        </w:r>
      </w:hyperlink>
    </w:p>
    <w:p w14:paraId="79792F10"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0" w:history="1">
        <w:r w:rsidRPr="00117BF8">
          <w:rPr>
            <w:rStyle w:val="Hyperlink"/>
            <w:rFonts w:ascii="Arial" w:eastAsia="Calibri" w:hAnsi="Arial" w:cs="Arial"/>
            <w:noProof/>
          </w:rPr>
          <w:t>Gráfico 9 - Estructura de la Deuda por Moneda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55</w:t>
        </w:r>
        <w:r w:rsidRPr="00117BF8">
          <w:rPr>
            <w:rFonts w:ascii="Arial" w:hAnsi="Arial" w:cs="Arial"/>
            <w:noProof/>
            <w:webHidden/>
          </w:rPr>
          <w:fldChar w:fldCharType="end"/>
        </w:r>
      </w:hyperlink>
    </w:p>
    <w:p w14:paraId="390F695B"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1" w:history="1">
        <w:r w:rsidRPr="00117BF8">
          <w:rPr>
            <w:rStyle w:val="Hyperlink"/>
            <w:rFonts w:ascii="Arial" w:hAnsi="Arial" w:cs="Arial"/>
            <w:noProof/>
          </w:rPr>
          <w:t>Gráfico 10 – Rigidez del Gasto</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69</w:t>
        </w:r>
        <w:r w:rsidRPr="00117BF8">
          <w:rPr>
            <w:rFonts w:ascii="Arial" w:hAnsi="Arial" w:cs="Arial"/>
            <w:noProof/>
            <w:webHidden/>
          </w:rPr>
          <w:fldChar w:fldCharType="end"/>
        </w:r>
      </w:hyperlink>
    </w:p>
    <w:p w14:paraId="1F499B4E"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2" w:history="1">
        <w:r w:rsidRPr="00117BF8">
          <w:rPr>
            <w:rStyle w:val="Hyperlink"/>
            <w:rFonts w:ascii="Arial" w:hAnsi="Arial" w:cs="Arial"/>
            <w:noProof/>
          </w:rPr>
          <w:t>Gráfico 11 - Participación de la PBA en el total de Recursos Tributarios Nacionales.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70</w:t>
        </w:r>
        <w:r w:rsidRPr="00117BF8">
          <w:rPr>
            <w:rFonts w:ascii="Arial" w:hAnsi="Arial" w:cs="Arial"/>
            <w:noProof/>
            <w:webHidden/>
          </w:rPr>
          <w:fldChar w:fldCharType="end"/>
        </w:r>
      </w:hyperlink>
    </w:p>
    <w:p w14:paraId="65D7D19B"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3" w:history="1">
        <w:r w:rsidRPr="00117BF8">
          <w:rPr>
            <w:rStyle w:val="Hyperlink"/>
            <w:rFonts w:ascii="Arial" w:hAnsi="Arial" w:cs="Arial"/>
            <w:noProof/>
          </w:rPr>
          <w:t>Gráfico 12 – Evolución del PBG a Precios de Productor e Impuestos Provinciales – Precios Constantes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_Toc493781703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71</w:t>
        </w:r>
        <w:r w:rsidRPr="00117BF8">
          <w:rPr>
            <w:rFonts w:ascii="Arial" w:hAnsi="Arial" w:cs="Arial"/>
            <w:noProof/>
            <w:webHidden/>
          </w:rPr>
          <w:fldChar w:fldCharType="end"/>
        </w:r>
      </w:hyperlink>
    </w:p>
    <w:p w14:paraId="23911215"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4" w:history="1">
        <w:r w:rsidRPr="00117BF8">
          <w:rPr>
            <w:rStyle w:val="Hyperlink"/>
            <w:rFonts w:ascii="Arial" w:hAnsi="Arial" w:cs="Arial"/>
            <w:noProof/>
          </w:rPr>
          <w:t>Gráfico 13 – Evolución del PBG e Impuestos como porcentaje del PBG</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_Toc493781704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72</w:t>
        </w:r>
        <w:r w:rsidRPr="00117BF8">
          <w:rPr>
            <w:rFonts w:ascii="Arial" w:hAnsi="Arial" w:cs="Arial"/>
            <w:noProof/>
            <w:webHidden/>
          </w:rPr>
          <w:fldChar w:fldCharType="end"/>
        </w:r>
      </w:hyperlink>
    </w:p>
    <w:p w14:paraId="0F6F8341"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5" w:history="1">
        <w:r w:rsidRPr="00117BF8">
          <w:rPr>
            <w:rStyle w:val="Hyperlink"/>
            <w:rFonts w:ascii="Arial" w:hAnsi="Arial" w:cs="Arial"/>
            <w:noProof/>
          </w:rPr>
          <w:t>Gráfico 14 – Recursos Fiscales por Provincia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_Toc493781705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73</w:t>
        </w:r>
        <w:r w:rsidRPr="00117BF8">
          <w:rPr>
            <w:rFonts w:ascii="Arial" w:hAnsi="Arial" w:cs="Arial"/>
            <w:noProof/>
            <w:webHidden/>
          </w:rPr>
          <w:fldChar w:fldCharType="end"/>
        </w:r>
      </w:hyperlink>
    </w:p>
    <w:p w14:paraId="440AFD00"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6" w:history="1">
        <w:r w:rsidRPr="00117BF8">
          <w:rPr>
            <w:rStyle w:val="Hyperlink"/>
            <w:rFonts w:ascii="Arial" w:hAnsi="Arial" w:cs="Arial"/>
            <w:noProof/>
          </w:rPr>
          <w:t>Gráfico 15 – Recursos por Provincia y NBI</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_Toc493781706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74</w:t>
        </w:r>
        <w:r w:rsidRPr="00117BF8">
          <w:rPr>
            <w:rFonts w:ascii="Arial" w:hAnsi="Arial" w:cs="Arial"/>
            <w:noProof/>
            <w:webHidden/>
          </w:rPr>
          <w:fldChar w:fldCharType="end"/>
        </w:r>
      </w:hyperlink>
    </w:p>
    <w:p w14:paraId="7498BF2A"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7" w:history="1">
        <w:r w:rsidRPr="00117BF8">
          <w:rPr>
            <w:rStyle w:val="Hyperlink"/>
            <w:rFonts w:ascii="Arial" w:hAnsi="Arial" w:cs="Arial"/>
            <w:noProof/>
          </w:rPr>
          <w:t>Gráfico 16 – Proyecciones PBI – Alternativas</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_Toc493781707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79</w:t>
        </w:r>
        <w:r w:rsidRPr="00117BF8">
          <w:rPr>
            <w:rFonts w:ascii="Arial" w:hAnsi="Arial" w:cs="Arial"/>
            <w:noProof/>
            <w:webHidden/>
          </w:rPr>
          <w:fldChar w:fldCharType="end"/>
        </w:r>
      </w:hyperlink>
    </w:p>
    <w:p w14:paraId="22EAAA1E"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8" w:history="1">
        <w:r w:rsidRPr="00117BF8">
          <w:rPr>
            <w:rStyle w:val="Hyperlink"/>
            <w:rFonts w:ascii="Arial" w:hAnsi="Arial" w:cs="Arial"/>
            <w:noProof/>
          </w:rPr>
          <w:t>Gráfico 17 – Comparación de los Resultados Primarios a precios de 2016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_Toc493781708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85</w:t>
        </w:r>
        <w:r w:rsidRPr="00117BF8">
          <w:rPr>
            <w:rFonts w:ascii="Arial" w:hAnsi="Arial" w:cs="Arial"/>
            <w:noProof/>
            <w:webHidden/>
          </w:rPr>
          <w:fldChar w:fldCharType="end"/>
        </w:r>
      </w:hyperlink>
    </w:p>
    <w:p w14:paraId="1F8CFE1E"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09" w:history="1">
        <w:r w:rsidRPr="00117BF8">
          <w:rPr>
            <w:rStyle w:val="Hyperlink"/>
            <w:rFonts w:ascii="Arial" w:hAnsi="Arial" w:cs="Arial"/>
            <w:noProof/>
          </w:rPr>
          <w:t>Gráfico 18 – Comparación de los Resultados Económicos a precios de 2016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_Toc493781709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86</w:t>
        </w:r>
        <w:r w:rsidRPr="00117BF8">
          <w:rPr>
            <w:rFonts w:ascii="Arial" w:hAnsi="Arial" w:cs="Arial"/>
            <w:noProof/>
            <w:webHidden/>
          </w:rPr>
          <w:fldChar w:fldCharType="end"/>
        </w:r>
      </w:hyperlink>
    </w:p>
    <w:p w14:paraId="7EFD87BB"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10" w:history="1">
        <w:r w:rsidRPr="00117BF8">
          <w:rPr>
            <w:rStyle w:val="Hyperlink"/>
            <w:rFonts w:ascii="Arial" w:hAnsi="Arial" w:cs="Arial"/>
            <w:noProof/>
          </w:rPr>
          <w:t>Gráfico 19 – Comparación de los Resultados Financieros a precios de 2016</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_Toc493781710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87</w:t>
        </w:r>
        <w:r w:rsidRPr="00117BF8">
          <w:rPr>
            <w:rFonts w:ascii="Arial" w:hAnsi="Arial" w:cs="Arial"/>
            <w:noProof/>
            <w:webHidden/>
          </w:rPr>
          <w:fldChar w:fldCharType="end"/>
        </w:r>
      </w:hyperlink>
    </w:p>
    <w:p w14:paraId="5F4D1209"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11" w:history="1">
        <w:r w:rsidRPr="00117BF8">
          <w:rPr>
            <w:rStyle w:val="Hyperlink"/>
            <w:rFonts w:ascii="Arial" w:hAnsi="Arial" w:cs="Arial"/>
            <w:noProof/>
          </w:rPr>
          <w:t>Gráfico 20 – Servició de Deuda según Cálculo Proyecto de Ley Responsabilidad Fiscal</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_Toc493781711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89</w:t>
        </w:r>
        <w:r w:rsidRPr="00117BF8">
          <w:rPr>
            <w:rFonts w:ascii="Arial" w:hAnsi="Arial" w:cs="Arial"/>
            <w:noProof/>
            <w:webHidden/>
          </w:rPr>
          <w:fldChar w:fldCharType="end"/>
        </w:r>
      </w:hyperlink>
    </w:p>
    <w:p w14:paraId="2AB9BBE9" w14:textId="77777777" w:rsidR="00820A26" w:rsidRPr="00117BF8" w:rsidRDefault="00820A26">
      <w:pPr>
        <w:pStyle w:val="TableofFigures"/>
        <w:tabs>
          <w:tab w:val="right" w:leader="underscore" w:pos="8495"/>
        </w:tabs>
        <w:rPr>
          <w:rFonts w:ascii="Arial" w:hAnsi="Arial" w:cs="Arial"/>
          <w:i w:val="0"/>
          <w:iCs w:val="0"/>
          <w:noProof/>
          <w:sz w:val="22"/>
          <w:szCs w:val="22"/>
          <w:lang w:val="es-AR" w:eastAsia="es-AR"/>
        </w:rPr>
      </w:pPr>
      <w:hyperlink w:anchor="_Toc493781712" w:history="1">
        <w:r w:rsidRPr="00117BF8">
          <w:rPr>
            <w:rStyle w:val="Hyperlink"/>
            <w:rFonts w:ascii="Arial" w:hAnsi="Arial" w:cs="Arial"/>
            <w:noProof/>
          </w:rPr>
          <w:t>Gráfico 21 – Indicadores de Deuda</w:t>
        </w:r>
        <w:r w:rsidRPr="00117BF8">
          <w:rPr>
            <w:rFonts w:ascii="Arial" w:hAnsi="Arial" w:cs="Arial"/>
            <w:noProof/>
            <w:webHidden/>
          </w:rPr>
          <w:tab/>
        </w:r>
        <w:r w:rsidRPr="00117BF8">
          <w:rPr>
            <w:rFonts w:ascii="Arial" w:hAnsi="Arial" w:cs="Arial"/>
            <w:noProof/>
            <w:webHidden/>
          </w:rPr>
          <w:fldChar w:fldCharType="begin"/>
        </w:r>
        <w:r w:rsidRPr="00117BF8">
          <w:rPr>
            <w:rFonts w:ascii="Arial" w:hAnsi="Arial" w:cs="Arial"/>
            <w:noProof/>
            <w:webHidden/>
          </w:rPr>
          <w:instrText xml:space="preserve"> PAGEREF _Toc493781712 \h </w:instrText>
        </w:r>
        <w:r w:rsidRPr="00117BF8">
          <w:rPr>
            <w:rFonts w:ascii="Arial" w:hAnsi="Arial" w:cs="Arial"/>
            <w:noProof/>
            <w:webHidden/>
          </w:rPr>
        </w:r>
        <w:r w:rsidRPr="00117BF8">
          <w:rPr>
            <w:rFonts w:ascii="Arial" w:hAnsi="Arial" w:cs="Arial"/>
            <w:noProof/>
            <w:webHidden/>
          </w:rPr>
          <w:fldChar w:fldCharType="separate"/>
        </w:r>
        <w:r w:rsidRPr="00117BF8">
          <w:rPr>
            <w:rFonts w:ascii="Arial" w:hAnsi="Arial" w:cs="Arial"/>
            <w:noProof/>
            <w:webHidden/>
          </w:rPr>
          <w:t>89</w:t>
        </w:r>
        <w:r w:rsidRPr="00117BF8">
          <w:rPr>
            <w:rFonts w:ascii="Arial" w:hAnsi="Arial" w:cs="Arial"/>
            <w:noProof/>
            <w:webHidden/>
          </w:rPr>
          <w:fldChar w:fldCharType="end"/>
        </w:r>
      </w:hyperlink>
    </w:p>
    <w:p w14:paraId="7F1C2FDF" w14:textId="77777777" w:rsidR="0034693D" w:rsidRPr="00117BF8" w:rsidRDefault="00B829E2">
      <w:pPr>
        <w:rPr>
          <w:rFonts w:ascii="Arial" w:hAnsi="Arial" w:cs="Arial"/>
        </w:rPr>
      </w:pPr>
      <w:r w:rsidRPr="00117BF8">
        <w:rPr>
          <w:rFonts w:ascii="Arial" w:hAnsi="Arial" w:cs="Arial"/>
        </w:rPr>
        <w:fldChar w:fldCharType="end"/>
      </w:r>
    </w:p>
    <w:p w14:paraId="77657CA3" w14:textId="77777777" w:rsidR="00BA17FF" w:rsidRPr="004E6455" w:rsidRDefault="00BA17FF" w:rsidP="00BA796E">
      <w:pPr>
        <w:pStyle w:val="Title"/>
      </w:pPr>
    </w:p>
    <w:p w14:paraId="0B6B7886" w14:textId="77777777" w:rsidR="00457909" w:rsidRPr="00117BF8" w:rsidRDefault="00457909" w:rsidP="00117BF8">
      <w:pPr>
        <w:pStyle w:val="Heading1"/>
        <w:numPr>
          <w:ilvl w:val="0"/>
          <w:numId w:val="0"/>
        </w:numPr>
        <w:spacing w:before="120" w:after="180"/>
        <w:rPr>
          <w:rFonts w:ascii="Arial" w:hAnsi="Arial" w:cs="Arial"/>
          <w:sz w:val="22"/>
          <w:szCs w:val="22"/>
        </w:rPr>
      </w:pPr>
      <w:bookmarkStart w:id="0" w:name="_Toc494040302"/>
      <w:r w:rsidRPr="00117BF8">
        <w:rPr>
          <w:rFonts w:ascii="Arial" w:hAnsi="Arial" w:cs="Arial"/>
          <w:sz w:val="22"/>
          <w:szCs w:val="22"/>
        </w:rPr>
        <w:t>Glosario</w:t>
      </w:r>
      <w:bookmarkEnd w:id="0"/>
    </w:p>
    <w:p w14:paraId="34FB512C"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APNF: Administración Pública No Financiera.</w:t>
      </w:r>
    </w:p>
    <w:p w14:paraId="2865CA12"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ARS, $ o pesos: Pesos argentinos</w:t>
      </w:r>
    </w:p>
    <w:p w14:paraId="6405DA25" w14:textId="77777777" w:rsidR="00F42FE4" w:rsidRPr="00117BF8" w:rsidRDefault="00F42FE4" w:rsidP="006363F9">
      <w:pPr>
        <w:pStyle w:val="hsa"/>
        <w:jc w:val="left"/>
        <w:rPr>
          <w:rFonts w:ascii="Arial" w:hAnsi="Arial" w:cs="Arial"/>
          <w:sz w:val="22"/>
          <w:szCs w:val="22"/>
        </w:rPr>
      </w:pPr>
      <w:r w:rsidRPr="00117BF8">
        <w:rPr>
          <w:rFonts w:ascii="Arial" w:hAnsi="Arial" w:cs="Arial"/>
          <w:sz w:val="22"/>
          <w:szCs w:val="22"/>
        </w:rPr>
        <w:t xml:space="preserve">BCRA: </w:t>
      </w:r>
      <w:r w:rsidRPr="00117BF8">
        <w:rPr>
          <w:rFonts w:ascii="Arial" w:hAnsi="Arial" w:cs="Arial"/>
          <w:iCs/>
          <w:sz w:val="22"/>
          <w:szCs w:val="22"/>
        </w:rPr>
        <w:t>Banco Central de la República Argentina</w:t>
      </w:r>
    </w:p>
    <w:p w14:paraId="4F8EB3D4" w14:textId="77777777" w:rsidR="00F42FE4" w:rsidRPr="00117BF8" w:rsidRDefault="00F42FE4" w:rsidP="006363F9">
      <w:pPr>
        <w:pStyle w:val="hsa"/>
        <w:jc w:val="left"/>
        <w:rPr>
          <w:rFonts w:ascii="Arial" w:hAnsi="Arial" w:cs="Arial"/>
          <w:sz w:val="22"/>
          <w:szCs w:val="22"/>
        </w:rPr>
      </w:pPr>
      <w:r w:rsidRPr="00117BF8">
        <w:rPr>
          <w:rFonts w:ascii="Arial" w:hAnsi="Arial" w:cs="Arial"/>
          <w:sz w:val="22"/>
          <w:szCs w:val="22"/>
        </w:rPr>
        <w:t xml:space="preserve">BID: </w:t>
      </w:r>
      <w:r w:rsidRPr="00117BF8">
        <w:rPr>
          <w:rFonts w:ascii="Arial" w:hAnsi="Arial" w:cs="Arial"/>
          <w:iCs/>
          <w:sz w:val="22"/>
          <w:szCs w:val="22"/>
        </w:rPr>
        <w:t>Banco Interamericano de Desarrollo</w:t>
      </w:r>
    </w:p>
    <w:p w14:paraId="3095A58E" w14:textId="77777777" w:rsidR="00F42FE4" w:rsidRPr="00117BF8" w:rsidRDefault="00F42FE4" w:rsidP="006363F9">
      <w:pPr>
        <w:pStyle w:val="hsa"/>
        <w:jc w:val="left"/>
        <w:rPr>
          <w:rFonts w:ascii="Arial" w:hAnsi="Arial" w:cs="Arial"/>
          <w:sz w:val="22"/>
          <w:szCs w:val="22"/>
        </w:rPr>
      </w:pPr>
      <w:r w:rsidRPr="00117BF8">
        <w:rPr>
          <w:rFonts w:ascii="Arial" w:hAnsi="Arial" w:cs="Arial"/>
          <w:sz w:val="22"/>
          <w:szCs w:val="22"/>
        </w:rPr>
        <w:t xml:space="preserve">BM (BIRF): </w:t>
      </w:r>
      <w:r w:rsidRPr="00117BF8">
        <w:rPr>
          <w:rFonts w:ascii="Arial" w:hAnsi="Arial" w:cs="Arial"/>
          <w:iCs/>
          <w:sz w:val="22"/>
          <w:szCs w:val="22"/>
        </w:rPr>
        <w:t>Banco Mundial (Banco Internacional de Reconstrucción y Fomento)</w:t>
      </w:r>
    </w:p>
    <w:p w14:paraId="77FD14BF" w14:textId="77777777" w:rsidR="00F42FE4" w:rsidRPr="00117BF8" w:rsidRDefault="00F42FE4" w:rsidP="006363F9">
      <w:pPr>
        <w:pStyle w:val="hsa"/>
        <w:jc w:val="left"/>
        <w:rPr>
          <w:rFonts w:ascii="Arial" w:hAnsi="Arial" w:cs="Arial"/>
          <w:sz w:val="22"/>
          <w:szCs w:val="22"/>
        </w:rPr>
      </w:pPr>
      <w:r w:rsidRPr="00117BF8">
        <w:rPr>
          <w:rFonts w:ascii="Arial" w:hAnsi="Arial" w:cs="Arial"/>
          <w:sz w:val="22"/>
          <w:szCs w:val="22"/>
        </w:rPr>
        <w:t xml:space="preserve">BP15: </w:t>
      </w:r>
      <w:r w:rsidRPr="00117BF8">
        <w:rPr>
          <w:rFonts w:ascii="Arial" w:hAnsi="Arial" w:cs="Arial"/>
          <w:iCs/>
          <w:sz w:val="22"/>
          <w:szCs w:val="22"/>
        </w:rPr>
        <w:t>Bono USD1050m con cupón de 11,75% -Vto.2015</w:t>
      </w:r>
    </w:p>
    <w:p w14:paraId="4311CD43" w14:textId="77777777" w:rsidR="00351A48" w:rsidRPr="00117BF8" w:rsidRDefault="00351A48" w:rsidP="006363F9">
      <w:pPr>
        <w:pStyle w:val="hsa"/>
        <w:jc w:val="left"/>
        <w:rPr>
          <w:rFonts w:ascii="Arial" w:hAnsi="Arial" w:cs="Arial"/>
          <w:sz w:val="22"/>
          <w:szCs w:val="22"/>
        </w:rPr>
      </w:pPr>
      <w:r w:rsidRPr="00117BF8">
        <w:rPr>
          <w:rFonts w:ascii="Arial" w:hAnsi="Arial" w:cs="Arial"/>
          <w:sz w:val="22"/>
          <w:szCs w:val="22"/>
        </w:rPr>
        <w:t xml:space="preserve">CABA: Ciudad Autónoma </w:t>
      </w:r>
      <w:bookmarkStart w:id="1" w:name="_GoBack"/>
      <w:bookmarkEnd w:id="1"/>
      <w:r w:rsidRPr="00117BF8">
        <w:rPr>
          <w:rFonts w:ascii="Arial" w:hAnsi="Arial" w:cs="Arial"/>
          <w:sz w:val="22"/>
          <w:szCs w:val="22"/>
        </w:rPr>
        <w:t>de Buenos Aires</w:t>
      </w:r>
    </w:p>
    <w:p w14:paraId="1CFC5025" w14:textId="77777777" w:rsidR="00F42FE4" w:rsidRPr="00117BF8" w:rsidRDefault="00F42FE4" w:rsidP="006363F9">
      <w:pPr>
        <w:pStyle w:val="hsa"/>
        <w:jc w:val="left"/>
        <w:rPr>
          <w:rFonts w:ascii="Arial" w:hAnsi="Arial" w:cs="Arial"/>
          <w:sz w:val="22"/>
          <w:szCs w:val="22"/>
        </w:rPr>
      </w:pPr>
      <w:r w:rsidRPr="00117BF8">
        <w:rPr>
          <w:rFonts w:ascii="Arial" w:hAnsi="Arial" w:cs="Arial"/>
          <w:sz w:val="22"/>
          <w:szCs w:val="22"/>
        </w:rPr>
        <w:t xml:space="preserve">CER: </w:t>
      </w:r>
      <w:r w:rsidRPr="00117BF8">
        <w:rPr>
          <w:rFonts w:ascii="Arial" w:hAnsi="Arial" w:cs="Arial"/>
          <w:iCs/>
          <w:sz w:val="22"/>
          <w:szCs w:val="22"/>
        </w:rPr>
        <w:t>Coeficiente de Estabilización de Referencia</w:t>
      </w:r>
    </w:p>
    <w:p w14:paraId="169B55E3"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CGPBA: Contaduría General de la Provincia de Buenos Aires.</w:t>
      </w:r>
    </w:p>
    <w:p w14:paraId="603AB304" w14:textId="77777777" w:rsidR="002943FF" w:rsidRPr="00117BF8" w:rsidRDefault="002943FF" w:rsidP="00635A32">
      <w:pPr>
        <w:pStyle w:val="hsa"/>
        <w:rPr>
          <w:rFonts w:ascii="Arial" w:hAnsi="Arial" w:cs="Arial"/>
          <w:sz w:val="22"/>
          <w:szCs w:val="22"/>
        </w:rPr>
      </w:pPr>
      <w:r w:rsidRPr="00117BF8">
        <w:rPr>
          <w:rFonts w:ascii="Arial" w:hAnsi="Arial" w:cs="Arial"/>
          <w:sz w:val="22"/>
          <w:szCs w:val="22"/>
        </w:rPr>
        <w:t>DPPT: Dirección Provincial de Política Tributaria</w:t>
      </w:r>
      <w:r w:rsidR="00284AE4" w:rsidRPr="00117BF8">
        <w:rPr>
          <w:rFonts w:ascii="Arial" w:hAnsi="Arial" w:cs="Arial"/>
          <w:sz w:val="22"/>
          <w:szCs w:val="22"/>
        </w:rPr>
        <w:t>.</w:t>
      </w:r>
    </w:p>
    <w:p w14:paraId="46F27A38" w14:textId="77777777" w:rsidR="00F42FE4" w:rsidRPr="00117BF8" w:rsidRDefault="00F42FE4" w:rsidP="006363F9">
      <w:pPr>
        <w:pStyle w:val="hsa"/>
        <w:jc w:val="left"/>
        <w:rPr>
          <w:rFonts w:ascii="Arial" w:hAnsi="Arial" w:cs="Arial"/>
          <w:sz w:val="22"/>
          <w:szCs w:val="22"/>
        </w:rPr>
      </w:pPr>
      <w:r w:rsidRPr="00117BF8">
        <w:rPr>
          <w:rFonts w:ascii="Arial" w:hAnsi="Arial" w:cs="Arial"/>
          <w:sz w:val="22"/>
          <w:szCs w:val="22"/>
        </w:rPr>
        <w:t>EUR: Euros</w:t>
      </w:r>
    </w:p>
    <w:p w14:paraId="5F47810C"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GPBA: Gobierno de la Provincia de Buenos Aires, se usa indistintamente para indicar las cuestas del Estado Provincial.</w:t>
      </w:r>
    </w:p>
    <w:p w14:paraId="552E86DE"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INDEC: Instituto Nacional de Estadística y Censos.</w:t>
      </w:r>
    </w:p>
    <w:p w14:paraId="74F8E6DC"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ITAE: Indicador Trimestral de Actividad Económica.</w:t>
      </w:r>
    </w:p>
    <w:p w14:paraId="0BBD7B90" w14:textId="77777777" w:rsidR="00632D53" w:rsidRPr="00117BF8" w:rsidRDefault="00632D53" w:rsidP="00635A32">
      <w:pPr>
        <w:pStyle w:val="hsa"/>
        <w:rPr>
          <w:rFonts w:ascii="Arial" w:hAnsi="Arial" w:cs="Arial"/>
          <w:sz w:val="22"/>
          <w:szCs w:val="22"/>
        </w:rPr>
      </w:pPr>
      <w:r w:rsidRPr="00117BF8">
        <w:rPr>
          <w:rFonts w:ascii="Arial" w:hAnsi="Arial" w:cs="Arial"/>
          <w:sz w:val="22"/>
          <w:szCs w:val="22"/>
        </w:rPr>
        <w:t>Las Operaciones: Son en conjunto los programas AR-L1273: Apoyo a las Cuencas de Areco, Rio Quinto y Pergamino, AR-L1274: Programa de Conectividad y Seguridad en Corredores Viales de la Provincia de Buenos Aires y AR-L1272: Programa de Fortalecimiento de la Gestión de la Provincia de Buenos Aires.</w:t>
      </w:r>
    </w:p>
    <w:p w14:paraId="7F39FDAE"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LFE: Ley de Financiamiento Educativo.</w:t>
      </w:r>
    </w:p>
    <w:p w14:paraId="6EC5E927" w14:textId="77777777" w:rsidR="0096267D" w:rsidRPr="00117BF8" w:rsidRDefault="0096267D" w:rsidP="00635A32">
      <w:pPr>
        <w:pStyle w:val="hsa"/>
        <w:rPr>
          <w:rFonts w:ascii="Arial" w:hAnsi="Arial" w:cs="Arial"/>
          <w:sz w:val="22"/>
          <w:szCs w:val="22"/>
        </w:rPr>
      </w:pPr>
      <w:r w:rsidRPr="00117BF8">
        <w:rPr>
          <w:rFonts w:ascii="Arial" w:hAnsi="Arial" w:cs="Arial"/>
          <w:sz w:val="22"/>
          <w:szCs w:val="22"/>
        </w:rPr>
        <w:t>NBI: Necesidades Básicas Insatisfechas.</w:t>
      </w:r>
    </w:p>
    <w:p w14:paraId="398E8191" w14:textId="77777777" w:rsidR="00F42FE4" w:rsidRPr="00117BF8" w:rsidRDefault="00F42FE4" w:rsidP="006363F9">
      <w:pPr>
        <w:pStyle w:val="hsa"/>
        <w:jc w:val="left"/>
        <w:rPr>
          <w:rFonts w:ascii="Arial" w:hAnsi="Arial" w:cs="Arial"/>
          <w:sz w:val="22"/>
          <w:szCs w:val="22"/>
        </w:rPr>
      </w:pPr>
      <w:r w:rsidRPr="00117BF8">
        <w:rPr>
          <w:rFonts w:ascii="Arial" w:hAnsi="Arial" w:cs="Arial"/>
          <w:sz w:val="22"/>
          <w:szCs w:val="22"/>
        </w:rPr>
        <w:t xml:space="preserve">OCDE: </w:t>
      </w:r>
      <w:r w:rsidRPr="00117BF8">
        <w:rPr>
          <w:rFonts w:ascii="Arial" w:hAnsi="Arial" w:cs="Arial"/>
          <w:iCs/>
          <w:sz w:val="22"/>
          <w:szCs w:val="22"/>
        </w:rPr>
        <w:t>Organización para la Cooperación y el Desarrollo Económico</w:t>
      </w:r>
    </w:p>
    <w:p w14:paraId="2B0D7005"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OMC: Organismos Multilaterales de Crédito.</w:t>
      </w:r>
    </w:p>
    <w:p w14:paraId="3D8F2936"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PBA</w:t>
      </w:r>
      <w:r w:rsidR="00364B53" w:rsidRPr="00117BF8">
        <w:rPr>
          <w:rFonts w:ascii="Arial" w:hAnsi="Arial" w:cs="Arial"/>
          <w:sz w:val="22"/>
          <w:szCs w:val="22"/>
        </w:rPr>
        <w:t xml:space="preserve"> o la Provincia</w:t>
      </w:r>
      <w:r w:rsidRPr="00117BF8">
        <w:rPr>
          <w:rFonts w:ascii="Arial" w:hAnsi="Arial" w:cs="Arial"/>
          <w:sz w:val="22"/>
          <w:szCs w:val="22"/>
        </w:rPr>
        <w:t>: Provincia de Buenos Aires</w:t>
      </w:r>
    </w:p>
    <w:p w14:paraId="382CDBB4"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PBG: Producto Bruto Geográfico de la Provincia de Buenos Aires</w:t>
      </w:r>
    </w:p>
    <w:p w14:paraId="2BF54F20"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PIB: Producto Interno Bruto de Argentina.</w:t>
      </w:r>
    </w:p>
    <w:p w14:paraId="7CE94415"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REM: Relevamiento de Expectativas de Mercado realizado por el Banco Central de la República Argentina.</w:t>
      </w:r>
    </w:p>
    <w:p w14:paraId="41756844" w14:textId="77777777" w:rsidR="00F42FE4" w:rsidRPr="00117BF8" w:rsidRDefault="00F42FE4" w:rsidP="00635A32">
      <w:pPr>
        <w:pStyle w:val="hsa"/>
        <w:rPr>
          <w:rFonts w:ascii="Arial" w:hAnsi="Arial" w:cs="Arial"/>
          <w:sz w:val="22"/>
          <w:szCs w:val="22"/>
        </w:rPr>
      </w:pPr>
      <w:r w:rsidRPr="00117BF8">
        <w:rPr>
          <w:rFonts w:ascii="Arial" w:hAnsi="Arial" w:cs="Arial"/>
          <w:sz w:val="22"/>
          <w:szCs w:val="22"/>
        </w:rPr>
        <w:t>USD: Dólares estadounidenses.</w:t>
      </w:r>
    </w:p>
    <w:p w14:paraId="502DC907" w14:textId="77777777" w:rsidR="006363F9" w:rsidRPr="00117BF8" w:rsidRDefault="006363F9" w:rsidP="00635A32">
      <w:pPr>
        <w:pStyle w:val="hsa"/>
        <w:rPr>
          <w:rFonts w:ascii="Arial" w:hAnsi="Arial" w:cs="Arial"/>
        </w:rPr>
      </w:pPr>
    </w:p>
    <w:p w14:paraId="0785E099" w14:textId="77777777" w:rsidR="000A7659" w:rsidRPr="00117BF8" w:rsidRDefault="00EC141E" w:rsidP="00117BF8">
      <w:pPr>
        <w:pStyle w:val="Heading1"/>
        <w:numPr>
          <w:ilvl w:val="0"/>
          <w:numId w:val="0"/>
        </w:numPr>
        <w:spacing w:before="0" w:after="180"/>
        <w:rPr>
          <w:rFonts w:ascii="Arial" w:hAnsi="Arial" w:cs="Arial"/>
          <w:sz w:val="22"/>
          <w:szCs w:val="22"/>
        </w:rPr>
      </w:pPr>
      <w:r w:rsidRPr="00117BF8">
        <w:rPr>
          <w:rFonts w:ascii="Arial" w:hAnsi="Arial" w:cs="Arial"/>
        </w:rPr>
        <w:br w:type="page"/>
      </w:r>
      <w:bookmarkStart w:id="2" w:name="_Toc494040303"/>
      <w:bookmarkStart w:id="3" w:name="_Toc486234492"/>
      <w:r w:rsidR="000A7659" w:rsidRPr="00117BF8">
        <w:rPr>
          <w:rFonts w:ascii="Arial" w:hAnsi="Arial" w:cs="Arial"/>
          <w:sz w:val="22"/>
          <w:szCs w:val="22"/>
        </w:rPr>
        <w:t>Resumen Ejecutivo</w:t>
      </w:r>
      <w:r w:rsidR="00FC59B2" w:rsidRPr="00117BF8">
        <w:rPr>
          <w:rFonts w:ascii="Arial" w:hAnsi="Arial" w:cs="Arial"/>
          <w:sz w:val="22"/>
          <w:szCs w:val="22"/>
        </w:rPr>
        <w:t xml:space="preserve"> y Conclusiones</w:t>
      </w:r>
      <w:bookmarkEnd w:id="2"/>
    </w:p>
    <w:p w14:paraId="3605F2E6" w14:textId="7CA5A120" w:rsidR="001B67BE" w:rsidRPr="00117BF8" w:rsidRDefault="00936E9D" w:rsidP="00CD3C07">
      <w:pPr>
        <w:pStyle w:val="hsa"/>
        <w:rPr>
          <w:rFonts w:ascii="Arial" w:hAnsi="Arial" w:cs="Arial"/>
          <w:sz w:val="22"/>
          <w:szCs w:val="22"/>
        </w:rPr>
      </w:pPr>
      <w:r w:rsidRPr="00117BF8">
        <w:rPr>
          <w:rFonts w:ascii="Arial" w:hAnsi="Arial" w:cs="Arial"/>
          <w:sz w:val="22"/>
          <w:szCs w:val="22"/>
        </w:rPr>
        <w:t xml:space="preserve">Se encuentran en </w:t>
      </w:r>
      <w:r w:rsidRPr="00117BF8">
        <w:rPr>
          <w:rFonts w:ascii="Arial" w:hAnsi="Arial" w:cs="Arial"/>
          <w:sz w:val="22"/>
          <w:szCs w:val="22"/>
          <w:lang w:val="es-ES_tradnl"/>
        </w:rPr>
        <w:t>preparación</w:t>
      </w:r>
      <w:r w:rsidR="001B67BE" w:rsidRPr="00117BF8">
        <w:rPr>
          <w:rFonts w:ascii="Arial" w:hAnsi="Arial" w:cs="Arial"/>
          <w:sz w:val="22"/>
          <w:szCs w:val="22"/>
        </w:rPr>
        <w:t xml:space="preserve"> tres operaciones para la Provincia de Buenos Aires (Prestatario o PBA). Son AR-L1273: Apoyo a las Cuencas de Areco, Rio Quinto y Pergamino, AR-L1274: Programa de Conectividad y Seguridad en Corredores Viales de la Provincia de Buenos Aires y AR-L1272: Programa de Fortalecimiento de la Gestión de la Provincia de Buenos Aires (En adelante “Las Operaciones</w:t>
      </w:r>
      <w:r w:rsidR="00632D53" w:rsidRPr="00117BF8">
        <w:rPr>
          <w:rFonts w:ascii="Arial" w:hAnsi="Arial" w:cs="Arial"/>
          <w:sz w:val="22"/>
          <w:szCs w:val="22"/>
        </w:rPr>
        <w:t>”</w:t>
      </w:r>
      <w:r w:rsidR="001B67BE" w:rsidRPr="00117BF8">
        <w:rPr>
          <w:rFonts w:ascii="Arial" w:hAnsi="Arial" w:cs="Arial"/>
          <w:sz w:val="22"/>
          <w:szCs w:val="22"/>
        </w:rPr>
        <w:t>)</w:t>
      </w:r>
      <w:r w:rsidR="00632D53" w:rsidRPr="00117BF8">
        <w:rPr>
          <w:rFonts w:ascii="Arial" w:hAnsi="Arial" w:cs="Arial"/>
          <w:sz w:val="22"/>
          <w:szCs w:val="22"/>
        </w:rPr>
        <w:t>.</w:t>
      </w:r>
    </w:p>
    <w:p w14:paraId="1D442691" w14:textId="5C41851E" w:rsidR="00632D53" w:rsidRPr="00117BF8" w:rsidRDefault="00936E9D" w:rsidP="00632D53">
      <w:pPr>
        <w:pStyle w:val="hsa"/>
        <w:rPr>
          <w:rFonts w:ascii="Arial" w:hAnsi="Arial" w:cs="Arial"/>
          <w:sz w:val="22"/>
          <w:szCs w:val="22"/>
        </w:rPr>
      </w:pPr>
      <w:r w:rsidRPr="00117BF8">
        <w:rPr>
          <w:rFonts w:ascii="Arial" w:hAnsi="Arial" w:cs="Arial"/>
          <w:sz w:val="22"/>
          <w:szCs w:val="22"/>
        </w:rPr>
        <w:t>E</w:t>
      </w:r>
      <w:r w:rsidR="00632D53" w:rsidRPr="00117BF8">
        <w:rPr>
          <w:rFonts w:ascii="Arial" w:hAnsi="Arial" w:cs="Arial"/>
          <w:sz w:val="22"/>
          <w:szCs w:val="22"/>
        </w:rPr>
        <w:t>l objeto principal</w:t>
      </w:r>
      <w:r w:rsidRPr="00117BF8">
        <w:rPr>
          <w:rFonts w:ascii="Arial" w:hAnsi="Arial" w:cs="Arial"/>
          <w:sz w:val="22"/>
          <w:szCs w:val="22"/>
        </w:rPr>
        <w:t xml:space="preserve"> del presente documento</w:t>
      </w:r>
      <w:r w:rsidRPr="00117BF8">
        <w:rPr>
          <w:rStyle w:val="FootnoteReference"/>
          <w:rFonts w:ascii="Arial" w:hAnsi="Arial" w:cs="Arial"/>
          <w:sz w:val="22"/>
          <w:szCs w:val="22"/>
        </w:rPr>
        <w:footnoteReference w:id="1"/>
      </w:r>
      <w:r w:rsidR="00632D53" w:rsidRPr="00117BF8">
        <w:rPr>
          <w:rFonts w:ascii="Arial" w:hAnsi="Arial" w:cs="Arial"/>
          <w:sz w:val="22"/>
          <w:szCs w:val="22"/>
        </w:rPr>
        <w:t xml:space="preserve"> </w:t>
      </w:r>
      <w:r w:rsidRPr="00117BF8">
        <w:rPr>
          <w:rFonts w:ascii="Arial" w:hAnsi="Arial" w:cs="Arial"/>
          <w:sz w:val="22"/>
          <w:szCs w:val="22"/>
        </w:rPr>
        <w:t xml:space="preserve">es </w:t>
      </w:r>
      <w:r w:rsidR="00632D53" w:rsidRPr="00117BF8">
        <w:rPr>
          <w:rFonts w:ascii="Arial" w:hAnsi="Arial" w:cs="Arial"/>
          <w:sz w:val="22"/>
          <w:szCs w:val="22"/>
        </w:rPr>
        <w:t>evaluar la capacidad de repago del servicio de la deuda originado en Las Operaciones</w:t>
      </w:r>
      <w:r w:rsidR="002A2EA0" w:rsidRPr="00117BF8">
        <w:rPr>
          <w:rFonts w:ascii="Arial" w:hAnsi="Arial" w:cs="Arial"/>
          <w:sz w:val="22"/>
          <w:szCs w:val="22"/>
        </w:rPr>
        <w:t>,</w:t>
      </w:r>
      <w:r w:rsidR="00632D53" w:rsidRPr="00117BF8">
        <w:rPr>
          <w:rFonts w:ascii="Arial" w:hAnsi="Arial" w:cs="Arial"/>
          <w:sz w:val="22"/>
          <w:szCs w:val="22"/>
        </w:rPr>
        <w:t xml:space="preserve"> cómo estas afectarán la situación de las finanzas de la PBA y si la Provincia cuenta con recursos suficientes para aportar oportunamente la contribución del aporte local y garantizar la operación y mantenimiento de las obras a ser construidas con el presente programa de préstamo. </w:t>
      </w:r>
    </w:p>
    <w:p w14:paraId="3924C292" w14:textId="77777777" w:rsidR="00586EF6" w:rsidRPr="00117BF8" w:rsidRDefault="00586EF6" w:rsidP="00586EF6">
      <w:pPr>
        <w:pStyle w:val="hsa"/>
        <w:rPr>
          <w:rFonts w:ascii="Arial" w:hAnsi="Arial" w:cs="Arial"/>
          <w:sz w:val="22"/>
          <w:szCs w:val="22"/>
        </w:rPr>
      </w:pPr>
      <w:r w:rsidRPr="00117BF8">
        <w:rPr>
          <w:rFonts w:ascii="Arial" w:hAnsi="Arial" w:cs="Arial"/>
          <w:sz w:val="22"/>
          <w:szCs w:val="22"/>
        </w:rPr>
        <w:t>La Provincia de Buenos Aires</w:t>
      </w:r>
      <w:r w:rsidR="001F49CD" w:rsidRPr="00117BF8">
        <w:rPr>
          <w:rFonts w:ascii="Arial" w:hAnsi="Arial" w:cs="Arial"/>
          <w:sz w:val="22"/>
          <w:szCs w:val="22"/>
        </w:rPr>
        <w:t xml:space="preserve"> es la de más extensa y poblada</w:t>
      </w:r>
      <w:r w:rsidRPr="00117BF8">
        <w:rPr>
          <w:rFonts w:ascii="Arial" w:hAnsi="Arial" w:cs="Arial"/>
          <w:sz w:val="22"/>
          <w:szCs w:val="22"/>
        </w:rPr>
        <w:t xml:space="preserve"> (39% del total) de la República Argentina. Si bien la producción se encuentra diversificada, los sectores económicos más importantes son: Industria manufacturera y Transporte, almacenamiento y comunicaciones.</w:t>
      </w:r>
      <w:r w:rsidR="00364B53" w:rsidRPr="00117BF8">
        <w:rPr>
          <w:rFonts w:ascii="Arial" w:hAnsi="Arial" w:cs="Arial"/>
          <w:sz w:val="22"/>
          <w:szCs w:val="22"/>
        </w:rPr>
        <w:t xml:space="preserve"> Su diversificación e importancia le brinda</w:t>
      </w:r>
      <w:r w:rsidR="00601F5D" w:rsidRPr="00117BF8">
        <w:rPr>
          <w:rFonts w:ascii="Arial" w:hAnsi="Arial" w:cs="Arial"/>
          <w:sz w:val="22"/>
          <w:szCs w:val="22"/>
        </w:rPr>
        <w:t>n</w:t>
      </w:r>
      <w:r w:rsidR="00364B53" w:rsidRPr="00117BF8">
        <w:rPr>
          <w:rFonts w:ascii="Arial" w:hAnsi="Arial" w:cs="Arial"/>
          <w:sz w:val="22"/>
          <w:szCs w:val="22"/>
        </w:rPr>
        <w:t xml:space="preserve"> una base importante de recursos fiscales. Dada su escala</w:t>
      </w:r>
      <w:r w:rsidR="00601F5D" w:rsidRPr="00117BF8">
        <w:rPr>
          <w:rFonts w:ascii="Arial" w:hAnsi="Arial" w:cs="Arial"/>
          <w:sz w:val="22"/>
          <w:szCs w:val="22"/>
        </w:rPr>
        <w:t>,</w:t>
      </w:r>
      <w:r w:rsidR="00364B53" w:rsidRPr="00117BF8">
        <w:rPr>
          <w:rFonts w:ascii="Arial" w:hAnsi="Arial" w:cs="Arial"/>
          <w:sz w:val="22"/>
          <w:szCs w:val="22"/>
        </w:rPr>
        <w:t xml:space="preserve"> es la provincia argentina que menor gasto público per cápita posee.</w:t>
      </w:r>
    </w:p>
    <w:p w14:paraId="52493434" w14:textId="77777777" w:rsidR="00586EF6" w:rsidRPr="00117BF8" w:rsidRDefault="00586EF6" w:rsidP="00586EF6">
      <w:pPr>
        <w:pStyle w:val="hsa"/>
        <w:rPr>
          <w:rFonts w:ascii="Arial" w:hAnsi="Arial" w:cs="Arial"/>
          <w:sz w:val="22"/>
          <w:szCs w:val="22"/>
        </w:rPr>
      </w:pPr>
      <w:r w:rsidRPr="00117BF8">
        <w:rPr>
          <w:rFonts w:ascii="Arial" w:hAnsi="Arial" w:cs="Arial"/>
          <w:sz w:val="22"/>
          <w:szCs w:val="22"/>
        </w:rPr>
        <w:t xml:space="preserve">El PBG </w:t>
      </w:r>
      <w:r w:rsidR="00364B53" w:rsidRPr="00117BF8">
        <w:rPr>
          <w:rFonts w:ascii="Arial" w:hAnsi="Arial" w:cs="Arial"/>
          <w:sz w:val="22"/>
          <w:szCs w:val="22"/>
        </w:rPr>
        <w:t xml:space="preserve">provincial </w:t>
      </w:r>
      <w:r w:rsidRPr="00117BF8">
        <w:rPr>
          <w:rFonts w:ascii="Arial" w:hAnsi="Arial" w:cs="Arial"/>
          <w:sz w:val="22"/>
          <w:szCs w:val="22"/>
        </w:rPr>
        <w:t>creció en 2010 y 2011 a tasas superi</w:t>
      </w:r>
      <w:r w:rsidR="00DD2F7D" w:rsidRPr="00117BF8">
        <w:rPr>
          <w:rFonts w:ascii="Arial" w:hAnsi="Arial" w:cs="Arial"/>
          <w:sz w:val="22"/>
          <w:szCs w:val="22"/>
        </w:rPr>
        <w:t>o</w:t>
      </w:r>
      <w:r w:rsidRPr="00117BF8">
        <w:rPr>
          <w:rFonts w:ascii="Arial" w:hAnsi="Arial" w:cs="Arial"/>
          <w:sz w:val="22"/>
          <w:szCs w:val="22"/>
        </w:rPr>
        <w:t xml:space="preserve">res al 10%, en los dos años siguientes creció algo más del 3%, en el 2014 0,4% y 1,1% en 2015. Para el </w:t>
      </w:r>
      <w:r w:rsidR="001F49CD" w:rsidRPr="00117BF8">
        <w:rPr>
          <w:rFonts w:ascii="Arial" w:hAnsi="Arial" w:cs="Arial"/>
          <w:sz w:val="22"/>
          <w:szCs w:val="22"/>
        </w:rPr>
        <w:t>2016</w:t>
      </w:r>
      <w:r w:rsidRPr="00117BF8">
        <w:rPr>
          <w:rFonts w:ascii="Arial" w:hAnsi="Arial" w:cs="Arial"/>
          <w:sz w:val="22"/>
          <w:szCs w:val="22"/>
        </w:rPr>
        <w:t xml:space="preserve"> no se dispone de información</w:t>
      </w:r>
      <w:r w:rsidR="00A7000F" w:rsidRPr="00117BF8">
        <w:rPr>
          <w:rFonts w:ascii="Arial" w:hAnsi="Arial" w:cs="Arial"/>
          <w:sz w:val="22"/>
          <w:szCs w:val="22"/>
        </w:rPr>
        <w:t>,</w:t>
      </w:r>
      <w:r w:rsidRPr="00117BF8">
        <w:rPr>
          <w:rFonts w:ascii="Arial" w:hAnsi="Arial" w:cs="Arial"/>
          <w:sz w:val="22"/>
          <w:szCs w:val="22"/>
        </w:rPr>
        <w:t xml:space="preserve"> índices relacionados </w:t>
      </w:r>
      <w:r w:rsidR="00DD2F7D" w:rsidRPr="00117BF8">
        <w:rPr>
          <w:rFonts w:ascii="Arial" w:hAnsi="Arial" w:cs="Arial"/>
          <w:sz w:val="22"/>
          <w:szCs w:val="22"/>
        </w:rPr>
        <w:t xml:space="preserve">con el nivel de actividad </w:t>
      </w:r>
      <w:r w:rsidRPr="00117BF8">
        <w:rPr>
          <w:rFonts w:ascii="Arial" w:hAnsi="Arial" w:cs="Arial"/>
          <w:sz w:val="22"/>
          <w:szCs w:val="22"/>
        </w:rPr>
        <w:t>muestran una caída del 2,3%</w:t>
      </w:r>
      <w:r w:rsidR="00364B53" w:rsidRPr="00117BF8">
        <w:rPr>
          <w:rFonts w:ascii="Arial" w:hAnsi="Arial" w:cs="Arial"/>
          <w:sz w:val="22"/>
          <w:szCs w:val="22"/>
        </w:rPr>
        <w:t>. Por otra parte,</w:t>
      </w:r>
      <w:r w:rsidR="00497C60" w:rsidRPr="00117BF8">
        <w:rPr>
          <w:rFonts w:ascii="Arial" w:hAnsi="Arial" w:cs="Arial"/>
          <w:sz w:val="22"/>
          <w:szCs w:val="22"/>
        </w:rPr>
        <w:t xml:space="preserve"> </w:t>
      </w:r>
      <w:r w:rsidR="00364B53" w:rsidRPr="00117BF8">
        <w:rPr>
          <w:rFonts w:ascii="Arial" w:hAnsi="Arial" w:cs="Arial"/>
          <w:sz w:val="22"/>
          <w:szCs w:val="22"/>
        </w:rPr>
        <w:t xml:space="preserve">La evolución del producto provincial, por su significación, está asociada </w:t>
      </w:r>
      <w:r w:rsidR="00497C60" w:rsidRPr="00117BF8">
        <w:rPr>
          <w:rFonts w:ascii="Arial" w:hAnsi="Arial" w:cs="Arial"/>
          <w:sz w:val="22"/>
          <w:szCs w:val="22"/>
        </w:rPr>
        <w:t>el PIB nacional</w:t>
      </w:r>
      <w:r w:rsidR="00364B53" w:rsidRPr="00117BF8">
        <w:rPr>
          <w:rFonts w:ascii="Arial" w:hAnsi="Arial" w:cs="Arial"/>
          <w:sz w:val="22"/>
          <w:szCs w:val="22"/>
        </w:rPr>
        <w:t>, este en 2016</w:t>
      </w:r>
      <w:r w:rsidR="00497C60" w:rsidRPr="00117BF8">
        <w:rPr>
          <w:rFonts w:ascii="Arial" w:hAnsi="Arial" w:cs="Arial"/>
          <w:sz w:val="22"/>
          <w:szCs w:val="22"/>
        </w:rPr>
        <w:t xml:space="preserve"> se redujo en 2,2%</w:t>
      </w:r>
      <w:r w:rsidR="00364B53" w:rsidRPr="00117BF8">
        <w:rPr>
          <w:rFonts w:ascii="Arial" w:hAnsi="Arial" w:cs="Arial"/>
          <w:sz w:val="22"/>
          <w:szCs w:val="22"/>
        </w:rPr>
        <w:t xml:space="preserve"> pero se espera que crezca 2,7% durante el corriente año. El BM proyecta para los próximos dos </w:t>
      </w:r>
      <w:r w:rsidR="00601F5D" w:rsidRPr="00117BF8">
        <w:rPr>
          <w:rFonts w:ascii="Arial" w:hAnsi="Arial" w:cs="Arial"/>
          <w:sz w:val="22"/>
          <w:szCs w:val="22"/>
        </w:rPr>
        <w:t>un crecimiento</w:t>
      </w:r>
      <w:r w:rsidR="00364B53" w:rsidRPr="00117BF8">
        <w:rPr>
          <w:rFonts w:ascii="Arial" w:hAnsi="Arial" w:cs="Arial"/>
          <w:sz w:val="22"/>
          <w:szCs w:val="22"/>
        </w:rPr>
        <w:t xml:space="preserve"> anual de 3,2%.</w:t>
      </w:r>
    </w:p>
    <w:p w14:paraId="5D648E93" w14:textId="30ED0229" w:rsidR="00732309" w:rsidRPr="00117BF8" w:rsidRDefault="00586EF6" w:rsidP="00586EF6">
      <w:pPr>
        <w:pStyle w:val="hsa"/>
        <w:rPr>
          <w:rFonts w:ascii="Arial" w:hAnsi="Arial" w:cs="Arial"/>
          <w:sz w:val="22"/>
          <w:szCs w:val="22"/>
        </w:rPr>
      </w:pPr>
      <w:r w:rsidRPr="00117BF8">
        <w:rPr>
          <w:rFonts w:ascii="Arial" w:hAnsi="Arial" w:cs="Arial"/>
          <w:sz w:val="22"/>
          <w:szCs w:val="22"/>
        </w:rPr>
        <w:t>La PBA tiene jurisdicción sobre los servicios de salud, educación, seguridad, judicial, entre otras actividades. Debe regular diversos servicios económicos y mantener la infraestru</w:t>
      </w:r>
      <w:r w:rsidR="004020C5" w:rsidRPr="00117BF8">
        <w:rPr>
          <w:rFonts w:ascii="Arial" w:hAnsi="Arial" w:cs="Arial"/>
          <w:sz w:val="22"/>
          <w:szCs w:val="22"/>
        </w:rPr>
        <w:t>c</w:t>
      </w:r>
      <w:r w:rsidRPr="00117BF8">
        <w:rPr>
          <w:rFonts w:ascii="Arial" w:hAnsi="Arial" w:cs="Arial"/>
          <w:sz w:val="22"/>
          <w:szCs w:val="22"/>
        </w:rPr>
        <w:t>tura de alguno</w:t>
      </w:r>
      <w:r w:rsidR="00601F5D" w:rsidRPr="00117BF8">
        <w:rPr>
          <w:rFonts w:ascii="Arial" w:hAnsi="Arial" w:cs="Arial"/>
          <w:sz w:val="22"/>
          <w:szCs w:val="22"/>
        </w:rPr>
        <w:t>s</w:t>
      </w:r>
      <w:r w:rsidRPr="00117BF8">
        <w:rPr>
          <w:rFonts w:ascii="Arial" w:hAnsi="Arial" w:cs="Arial"/>
          <w:sz w:val="22"/>
          <w:szCs w:val="22"/>
        </w:rPr>
        <w:t xml:space="preserve"> de ellos. </w:t>
      </w:r>
      <w:r w:rsidR="00364B53" w:rsidRPr="00117BF8">
        <w:rPr>
          <w:rFonts w:ascii="Arial" w:hAnsi="Arial" w:cs="Arial"/>
          <w:sz w:val="22"/>
          <w:szCs w:val="22"/>
        </w:rPr>
        <w:t>La Operaciones aquí analizadas se corresponden con servicios económicos a cargo de la PBA</w:t>
      </w:r>
      <w:r w:rsidR="00732309" w:rsidRPr="00117BF8">
        <w:rPr>
          <w:rFonts w:ascii="Arial" w:hAnsi="Arial" w:cs="Arial"/>
          <w:sz w:val="22"/>
          <w:szCs w:val="22"/>
        </w:rPr>
        <w:t>, en su ejecución, operación y regulación. Alguno de los servicios previstos en La Operación como los de vialidad la PBA los puede conceder para su operación</w:t>
      </w:r>
      <w:r w:rsidR="00364B53" w:rsidRPr="00117BF8">
        <w:rPr>
          <w:rFonts w:ascii="Arial" w:hAnsi="Arial" w:cs="Arial"/>
          <w:sz w:val="22"/>
          <w:szCs w:val="22"/>
        </w:rPr>
        <w:t>.</w:t>
      </w:r>
      <w:r w:rsidR="00732309" w:rsidRPr="00117BF8">
        <w:rPr>
          <w:rFonts w:ascii="Arial" w:hAnsi="Arial" w:cs="Arial"/>
          <w:sz w:val="22"/>
          <w:szCs w:val="22"/>
        </w:rPr>
        <w:t xml:space="preserve"> Este sería el caso de la infraestructura a realizar con el AR-L1274 que posiblemente</w:t>
      </w:r>
      <w:r w:rsidR="00601F5D" w:rsidRPr="00117BF8">
        <w:rPr>
          <w:rFonts w:ascii="Arial" w:hAnsi="Arial" w:cs="Arial"/>
          <w:sz w:val="22"/>
          <w:szCs w:val="22"/>
        </w:rPr>
        <w:t>, una vez construida,</w:t>
      </w:r>
      <w:r w:rsidR="00732309" w:rsidRPr="00117BF8">
        <w:rPr>
          <w:rFonts w:ascii="Arial" w:hAnsi="Arial" w:cs="Arial"/>
          <w:sz w:val="22"/>
          <w:szCs w:val="22"/>
        </w:rPr>
        <w:t xml:space="preserve"> se transf</w:t>
      </w:r>
      <w:r w:rsidR="00601F5D" w:rsidRPr="00117BF8">
        <w:rPr>
          <w:rFonts w:ascii="Arial" w:hAnsi="Arial" w:cs="Arial"/>
          <w:sz w:val="22"/>
          <w:szCs w:val="22"/>
        </w:rPr>
        <w:t xml:space="preserve">iera </w:t>
      </w:r>
      <w:r w:rsidR="00732309" w:rsidRPr="00117BF8">
        <w:rPr>
          <w:rFonts w:ascii="Arial" w:hAnsi="Arial" w:cs="Arial"/>
          <w:sz w:val="22"/>
          <w:szCs w:val="22"/>
        </w:rPr>
        <w:t>a AUBASA para su operación.</w:t>
      </w:r>
      <w:r w:rsidR="00732309" w:rsidRPr="00117BF8">
        <w:rPr>
          <w:rStyle w:val="FootnoteReference"/>
          <w:rFonts w:ascii="Arial" w:hAnsi="Arial" w:cs="Arial"/>
          <w:sz w:val="22"/>
          <w:szCs w:val="22"/>
        </w:rPr>
        <w:footnoteReference w:id="2"/>
      </w:r>
    </w:p>
    <w:p w14:paraId="2B576F25" w14:textId="77777777" w:rsidR="00586EF6" w:rsidRPr="00117BF8" w:rsidRDefault="00732309" w:rsidP="00586EF6">
      <w:pPr>
        <w:pStyle w:val="hsa"/>
        <w:rPr>
          <w:rFonts w:ascii="Arial" w:hAnsi="Arial" w:cs="Arial"/>
          <w:sz w:val="22"/>
          <w:szCs w:val="22"/>
        </w:rPr>
      </w:pPr>
      <w:r w:rsidRPr="00117BF8">
        <w:rPr>
          <w:rFonts w:ascii="Arial" w:hAnsi="Arial" w:cs="Arial"/>
          <w:sz w:val="22"/>
          <w:szCs w:val="22"/>
        </w:rPr>
        <w:t>La PBA p</w:t>
      </w:r>
      <w:r w:rsidR="00586EF6" w:rsidRPr="00117BF8">
        <w:rPr>
          <w:rFonts w:ascii="Arial" w:hAnsi="Arial" w:cs="Arial"/>
          <w:sz w:val="22"/>
          <w:szCs w:val="22"/>
        </w:rPr>
        <w:t xml:space="preserve">uede obtener créditos, sujeto a aprobación y control nacional, </w:t>
      </w:r>
      <w:r w:rsidRPr="00117BF8">
        <w:rPr>
          <w:rFonts w:ascii="Arial" w:hAnsi="Arial" w:cs="Arial"/>
          <w:sz w:val="22"/>
          <w:szCs w:val="22"/>
        </w:rPr>
        <w:t>en el caso de los otorgados por el sector privado el</w:t>
      </w:r>
      <w:r w:rsidR="00586EF6" w:rsidRPr="00117BF8">
        <w:rPr>
          <w:rFonts w:ascii="Arial" w:hAnsi="Arial" w:cs="Arial"/>
          <w:sz w:val="22"/>
          <w:szCs w:val="22"/>
        </w:rPr>
        <w:t xml:space="preserve"> gobierno federal no garantiza, ni es responsable de las obligaciones financieras </w:t>
      </w:r>
      <w:r w:rsidR="004020C5" w:rsidRPr="00117BF8">
        <w:rPr>
          <w:rFonts w:ascii="Arial" w:hAnsi="Arial" w:cs="Arial"/>
          <w:sz w:val="22"/>
          <w:szCs w:val="22"/>
        </w:rPr>
        <w:t>que asuma.</w:t>
      </w:r>
      <w:r w:rsidR="00202482" w:rsidRPr="00117BF8">
        <w:rPr>
          <w:rFonts w:ascii="Arial" w:hAnsi="Arial" w:cs="Arial"/>
          <w:sz w:val="22"/>
          <w:szCs w:val="22"/>
        </w:rPr>
        <w:t xml:space="preserve"> </w:t>
      </w:r>
      <w:r w:rsidR="00601F5D" w:rsidRPr="00117BF8">
        <w:rPr>
          <w:rFonts w:ascii="Arial" w:hAnsi="Arial" w:cs="Arial"/>
          <w:sz w:val="22"/>
          <w:szCs w:val="22"/>
        </w:rPr>
        <w:t xml:space="preserve">En el caso de los préstamos otorgados por los </w:t>
      </w:r>
      <w:r w:rsidRPr="00117BF8">
        <w:rPr>
          <w:rFonts w:ascii="Arial" w:hAnsi="Arial" w:cs="Arial"/>
          <w:sz w:val="22"/>
          <w:szCs w:val="22"/>
        </w:rPr>
        <w:t>OMC</w:t>
      </w:r>
      <w:r w:rsidR="00601F5D" w:rsidRPr="00117BF8">
        <w:rPr>
          <w:rFonts w:ascii="Arial" w:hAnsi="Arial" w:cs="Arial"/>
          <w:sz w:val="22"/>
          <w:szCs w:val="22"/>
        </w:rPr>
        <w:t xml:space="preserve"> el Estado Nacional otorga garantías</w:t>
      </w:r>
      <w:r w:rsidRPr="00117BF8">
        <w:rPr>
          <w:rFonts w:ascii="Arial" w:hAnsi="Arial" w:cs="Arial"/>
          <w:sz w:val="22"/>
          <w:szCs w:val="22"/>
        </w:rPr>
        <w:t>.</w:t>
      </w:r>
    </w:p>
    <w:p w14:paraId="544FAB04" w14:textId="77777777" w:rsidR="004020C5" w:rsidRPr="00117BF8" w:rsidRDefault="004020C5" w:rsidP="00586EF6">
      <w:pPr>
        <w:pStyle w:val="hsa"/>
        <w:rPr>
          <w:rFonts w:ascii="Arial" w:hAnsi="Arial" w:cs="Arial"/>
          <w:sz w:val="22"/>
          <w:szCs w:val="22"/>
        </w:rPr>
      </w:pPr>
      <w:r w:rsidRPr="00117BF8">
        <w:rPr>
          <w:rFonts w:ascii="Arial" w:hAnsi="Arial" w:cs="Arial"/>
          <w:sz w:val="22"/>
          <w:szCs w:val="22"/>
        </w:rPr>
        <w:t>El análisis presupuestario que aquí se realiza corresponde al sector Público Provincial denominado Administración Pública No Financiera,</w:t>
      </w:r>
      <w:r w:rsidR="00D00FF8" w:rsidRPr="00117BF8">
        <w:rPr>
          <w:rStyle w:val="FootnoteReference"/>
          <w:rFonts w:ascii="Arial" w:hAnsi="Arial" w:cs="Arial"/>
          <w:sz w:val="22"/>
          <w:szCs w:val="22"/>
        </w:rPr>
        <w:footnoteReference w:id="3"/>
      </w:r>
      <w:r w:rsidR="00D00FF8" w:rsidRPr="00117BF8">
        <w:rPr>
          <w:rFonts w:ascii="Arial" w:hAnsi="Arial" w:cs="Arial"/>
          <w:sz w:val="22"/>
          <w:szCs w:val="22"/>
        </w:rPr>
        <w:t xml:space="preserve"> se analizan los resultados y principales cuentas de los períodos 2013 a 2016, el presupuesto 2017 y su proyección hasta 2028.</w:t>
      </w:r>
    </w:p>
    <w:p w14:paraId="0A822EC3" w14:textId="77777777" w:rsidR="009752BE" w:rsidRPr="00117BF8" w:rsidRDefault="009F0FF1" w:rsidP="00CD3C07">
      <w:pPr>
        <w:pStyle w:val="hsa"/>
        <w:rPr>
          <w:rFonts w:ascii="Arial" w:eastAsia="Calibri" w:hAnsi="Arial" w:cs="Arial"/>
          <w:sz w:val="22"/>
          <w:szCs w:val="22"/>
        </w:rPr>
      </w:pPr>
      <w:r w:rsidRPr="00117BF8">
        <w:rPr>
          <w:rFonts w:ascii="Arial" w:eastAsia="Calibri" w:hAnsi="Arial" w:cs="Arial"/>
          <w:sz w:val="22"/>
          <w:szCs w:val="22"/>
        </w:rPr>
        <w:t>Los resultados económico, financiero y primario para los años 2013 y 2014 fueron, en general positivos. Esto se revierte en 2015 y 2016</w:t>
      </w:r>
      <w:r w:rsidR="00C45B70" w:rsidRPr="00117BF8">
        <w:rPr>
          <w:rFonts w:ascii="Arial" w:eastAsia="Calibri" w:hAnsi="Arial" w:cs="Arial"/>
          <w:sz w:val="22"/>
          <w:szCs w:val="22"/>
        </w:rPr>
        <w:t xml:space="preserve"> con</w:t>
      </w:r>
      <w:r w:rsidRPr="00117BF8">
        <w:rPr>
          <w:rFonts w:ascii="Arial" w:eastAsia="Calibri" w:hAnsi="Arial" w:cs="Arial"/>
          <w:sz w:val="22"/>
          <w:szCs w:val="22"/>
        </w:rPr>
        <w:t xml:space="preserve"> resultados fuertemente negativos.</w:t>
      </w:r>
      <w:r w:rsidR="00F87E48" w:rsidRPr="00117BF8">
        <w:rPr>
          <w:rFonts w:ascii="Arial" w:eastAsia="Calibri" w:hAnsi="Arial" w:cs="Arial"/>
          <w:sz w:val="22"/>
          <w:szCs w:val="22"/>
        </w:rPr>
        <w:t xml:space="preserve"> </w:t>
      </w:r>
      <w:r w:rsidR="009752BE" w:rsidRPr="00117BF8">
        <w:rPr>
          <w:rFonts w:ascii="Arial" w:eastAsia="Calibri" w:hAnsi="Arial" w:cs="Arial"/>
          <w:sz w:val="22"/>
          <w:szCs w:val="22"/>
        </w:rPr>
        <w:t>Sin embargo, mientras en el 2015 el resultado económico representó el 74% del financiero, en el 2016 ese porcentaje se redujo a 40% como consecuencia de un importante incremento relativo de los gastos de capital.</w:t>
      </w:r>
    </w:p>
    <w:p w14:paraId="3F48A11E" w14:textId="77777777" w:rsidR="009F0FF1" w:rsidRPr="00117BF8" w:rsidRDefault="009752BE" w:rsidP="00CD3C07">
      <w:pPr>
        <w:pStyle w:val="hsa"/>
        <w:rPr>
          <w:rFonts w:ascii="Arial" w:eastAsia="Calibri" w:hAnsi="Arial" w:cs="Arial"/>
          <w:sz w:val="22"/>
          <w:szCs w:val="22"/>
        </w:rPr>
      </w:pPr>
      <w:r w:rsidRPr="00117BF8">
        <w:rPr>
          <w:rFonts w:ascii="Arial" w:eastAsia="Calibri" w:hAnsi="Arial" w:cs="Arial"/>
          <w:sz w:val="22"/>
          <w:szCs w:val="22"/>
        </w:rPr>
        <w:t>El presupuesto 2017 presupone continuar con la tendencia de reducir el déficit económico e incrementar los gastos de Capital, también estima la eliminación del déficit primario. La ejecución presupuestaria al 31/3 está en línea con las previsiones presupuestarias.</w:t>
      </w:r>
    </w:p>
    <w:tbl>
      <w:tblPr>
        <w:tblW w:w="8908" w:type="dxa"/>
        <w:jc w:val="center"/>
        <w:tblBorders>
          <w:top w:val="single" w:sz="8" w:space="0" w:color="78C0D4"/>
          <w:left w:val="single" w:sz="8" w:space="0" w:color="78C0D4"/>
          <w:bottom w:val="single" w:sz="8" w:space="0" w:color="78C0D4"/>
          <w:right w:val="single" w:sz="8" w:space="0" w:color="78C0D4"/>
        </w:tblBorders>
        <w:tblLook w:val="04A0" w:firstRow="1" w:lastRow="0" w:firstColumn="1" w:lastColumn="0" w:noHBand="0" w:noVBand="1"/>
      </w:tblPr>
      <w:tblGrid>
        <w:gridCol w:w="1178"/>
        <w:gridCol w:w="662"/>
        <w:gridCol w:w="1178"/>
        <w:gridCol w:w="1178"/>
        <w:gridCol w:w="1178"/>
        <w:gridCol w:w="1178"/>
        <w:gridCol w:w="1178"/>
        <w:gridCol w:w="1178"/>
      </w:tblGrid>
      <w:tr w:rsidR="00F87E48" w:rsidRPr="004E6455" w14:paraId="3165ABF0" w14:textId="77777777" w:rsidTr="004B5BA0">
        <w:trPr>
          <w:trHeight w:val="300"/>
          <w:jc w:val="center"/>
        </w:trPr>
        <w:tc>
          <w:tcPr>
            <w:tcW w:w="8908" w:type="dxa"/>
            <w:gridSpan w:val="8"/>
            <w:shd w:val="clear" w:color="auto" w:fill="0070C0"/>
            <w:noWrap/>
          </w:tcPr>
          <w:p w14:paraId="6059D12A" w14:textId="77777777" w:rsidR="00F87E48" w:rsidRPr="00117BF8" w:rsidRDefault="00F87E48" w:rsidP="00EF5604">
            <w:pPr>
              <w:pStyle w:val="TablaT"/>
              <w:rPr>
                <w:rFonts w:ascii="Arial" w:hAnsi="Arial" w:cs="Arial"/>
                <w:bCs/>
                <w:sz w:val="22"/>
                <w:szCs w:val="22"/>
                <w:lang w:val="es-ES_tradnl"/>
              </w:rPr>
            </w:pPr>
            <w:bookmarkStart w:id="4" w:name="_Toc493861108"/>
            <w:r w:rsidRPr="00117BF8">
              <w:rPr>
                <w:rFonts w:ascii="Arial" w:hAnsi="Arial" w:cs="Arial"/>
                <w:bCs/>
                <w:sz w:val="22"/>
                <w:szCs w:val="22"/>
                <w:lang w:val="es-ES_tradnl"/>
              </w:rPr>
              <w:t>Tabla RE 1 - Principales Cuentas Fiscales - Ejecutado</w:t>
            </w:r>
            <w:bookmarkEnd w:id="4"/>
          </w:p>
          <w:p w14:paraId="70BA2D38" w14:textId="77777777" w:rsidR="00F87E48" w:rsidRPr="00117BF8" w:rsidRDefault="00F87E48" w:rsidP="00F87E48">
            <w:pPr>
              <w:pStyle w:val="TablaC"/>
              <w:rPr>
                <w:rFonts w:ascii="Arial" w:hAnsi="Arial" w:cs="Arial"/>
                <w:color w:val="FFFFFF"/>
                <w:szCs w:val="22"/>
                <w:lang w:val="es-ES_tradnl"/>
              </w:rPr>
            </w:pPr>
            <w:r w:rsidRPr="00117BF8">
              <w:rPr>
                <w:rFonts w:ascii="Arial" w:hAnsi="Arial" w:cs="Arial"/>
                <w:color w:val="FFFFFF"/>
                <w:szCs w:val="22"/>
                <w:lang w:val="es-ES_tradnl"/>
              </w:rPr>
              <w:t>En millones de pesos corrientes</w:t>
            </w:r>
          </w:p>
        </w:tc>
      </w:tr>
      <w:tr w:rsidR="00F87E48" w:rsidRPr="004E6455" w14:paraId="176330F7" w14:textId="77777777" w:rsidTr="00F87E48">
        <w:trPr>
          <w:trHeight w:val="300"/>
          <w:jc w:val="center"/>
        </w:trPr>
        <w:tc>
          <w:tcPr>
            <w:tcW w:w="1840" w:type="dxa"/>
            <w:gridSpan w:val="2"/>
            <w:shd w:val="clear" w:color="auto" w:fill="0070C0"/>
            <w:noWrap/>
          </w:tcPr>
          <w:p w14:paraId="2481F3ED" w14:textId="77777777" w:rsidR="00F87E48" w:rsidRPr="00117BF8" w:rsidRDefault="00F87E48" w:rsidP="00E671EE">
            <w:pPr>
              <w:pStyle w:val="TablaE"/>
              <w:rPr>
                <w:rFonts w:ascii="Arial" w:hAnsi="Arial" w:cs="Arial"/>
                <w:b w:val="0"/>
                <w:bCs/>
                <w:sz w:val="22"/>
                <w:szCs w:val="22"/>
              </w:rPr>
            </w:pPr>
          </w:p>
        </w:tc>
        <w:tc>
          <w:tcPr>
            <w:tcW w:w="1178" w:type="dxa"/>
            <w:shd w:val="clear" w:color="auto" w:fill="0070C0"/>
            <w:noWrap/>
          </w:tcPr>
          <w:p w14:paraId="2877877E" w14:textId="77777777" w:rsidR="00F87E48" w:rsidRPr="00117BF8" w:rsidRDefault="00F87E48" w:rsidP="00E671EE">
            <w:pPr>
              <w:pStyle w:val="TablaE"/>
              <w:rPr>
                <w:rFonts w:ascii="Arial" w:hAnsi="Arial" w:cs="Arial"/>
                <w:sz w:val="22"/>
                <w:szCs w:val="22"/>
              </w:rPr>
            </w:pPr>
            <w:r w:rsidRPr="00117BF8">
              <w:rPr>
                <w:rFonts w:ascii="Arial" w:hAnsi="Arial" w:cs="Arial"/>
                <w:sz w:val="22"/>
                <w:szCs w:val="22"/>
              </w:rPr>
              <w:t>2013</w:t>
            </w:r>
          </w:p>
        </w:tc>
        <w:tc>
          <w:tcPr>
            <w:tcW w:w="1178" w:type="dxa"/>
            <w:vMerge w:val="restart"/>
            <w:shd w:val="clear" w:color="auto" w:fill="0070C0"/>
            <w:noWrap/>
          </w:tcPr>
          <w:p w14:paraId="0C95AFB0" w14:textId="77777777" w:rsidR="00F87E48" w:rsidRPr="00117BF8" w:rsidRDefault="00F87E48" w:rsidP="00E671EE">
            <w:pPr>
              <w:pStyle w:val="TablaE"/>
              <w:rPr>
                <w:rFonts w:ascii="Arial" w:hAnsi="Arial" w:cs="Arial"/>
                <w:sz w:val="22"/>
                <w:szCs w:val="22"/>
              </w:rPr>
            </w:pPr>
            <w:r w:rsidRPr="00117BF8">
              <w:rPr>
                <w:rFonts w:ascii="Arial" w:hAnsi="Arial" w:cs="Arial"/>
                <w:sz w:val="22"/>
                <w:szCs w:val="22"/>
              </w:rPr>
              <w:t>2014</w:t>
            </w:r>
          </w:p>
        </w:tc>
        <w:tc>
          <w:tcPr>
            <w:tcW w:w="1178" w:type="dxa"/>
            <w:vMerge w:val="restart"/>
            <w:shd w:val="clear" w:color="auto" w:fill="0070C0"/>
            <w:noWrap/>
          </w:tcPr>
          <w:p w14:paraId="6581AE47" w14:textId="77777777" w:rsidR="00F87E48" w:rsidRPr="00117BF8" w:rsidRDefault="00F87E48" w:rsidP="00E671EE">
            <w:pPr>
              <w:pStyle w:val="TablaE"/>
              <w:rPr>
                <w:rFonts w:ascii="Arial" w:hAnsi="Arial" w:cs="Arial"/>
                <w:sz w:val="22"/>
                <w:szCs w:val="22"/>
              </w:rPr>
            </w:pPr>
            <w:r w:rsidRPr="00117BF8">
              <w:rPr>
                <w:rFonts w:ascii="Arial" w:hAnsi="Arial" w:cs="Arial"/>
                <w:sz w:val="22"/>
                <w:szCs w:val="22"/>
              </w:rPr>
              <w:t>2015</w:t>
            </w:r>
          </w:p>
        </w:tc>
        <w:tc>
          <w:tcPr>
            <w:tcW w:w="1178" w:type="dxa"/>
            <w:vMerge w:val="restart"/>
            <w:shd w:val="clear" w:color="auto" w:fill="0070C0"/>
            <w:noWrap/>
          </w:tcPr>
          <w:p w14:paraId="3B07D49A" w14:textId="77777777" w:rsidR="00F87E48" w:rsidRPr="00117BF8" w:rsidRDefault="00F87E48" w:rsidP="00E671EE">
            <w:pPr>
              <w:pStyle w:val="TablaE"/>
              <w:rPr>
                <w:rFonts w:ascii="Arial" w:hAnsi="Arial" w:cs="Arial"/>
                <w:sz w:val="22"/>
                <w:szCs w:val="22"/>
              </w:rPr>
            </w:pPr>
            <w:r w:rsidRPr="00117BF8">
              <w:rPr>
                <w:rFonts w:ascii="Arial" w:hAnsi="Arial" w:cs="Arial"/>
                <w:sz w:val="22"/>
                <w:szCs w:val="22"/>
              </w:rPr>
              <w:t>2016</w:t>
            </w:r>
          </w:p>
        </w:tc>
        <w:tc>
          <w:tcPr>
            <w:tcW w:w="2356" w:type="dxa"/>
            <w:gridSpan w:val="2"/>
            <w:shd w:val="clear" w:color="auto" w:fill="0070C0"/>
          </w:tcPr>
          <w:p w14:paraId="3673E69F" w14:textId="77777777" w:rsidR="00F87E48" w:rsidRPr="00117BF8" w:rsidRDefault="00F87E48" w:rsidP="00E671EE">
            <w:pPr>
              <w:pStyle w:val="TablaE"/>
              <w:rPr>
                <w:rFonts w:ascii="Arial" w:hAnsi="Arial" w:cs="Arial"/>
                <w:sz w:val="22"/>
                <w:szCs w:val="22"/>
              </w:rPr>
            </w:pPr>
            <w:r w:rsidRPr="00117BF8">
              <w:rPr>
                <w:rFonts w:ascii="Arial" w:hAnsi="Arial" w:cs="Arial"/>
                <w:sz w:val="22"/>
                <w:szCs w:val="22"/>
              </w:rPr>
              <w:t>2017</w:t>
            </w:r>
          </w:p>
        </w:tc>
      </w:tr>
      <w:tr w:rsidR="00F87E48" w:rsidRPr="004E6455" w14:paraId="38BFB923" w14:textId="77777777" w:rsidTr="00F87E48">
        <w:trPr>
          <w:trHeight w:val="300"/>
          <w:jc w:val="center"/>
        </w:trPr>
        <w:tc>
          <w:tcPr>
            <w:tcW w:w="1178" w:type="dxa"/>
            <w:shd w:val="clear" w:color="auto" w:fill="0070C0"/>
            <w:noWrap/>
            <w:hideMark/>
          </w:tcPr>
          <w:p w14:paraId="535A26FB" w14:textId="77777777" w:rsidR="00F87E48" w:rsidRPr="00117BF8" w:rsidRDefault="00F87E48" w:rsidP="00E671EE">
            <w:pPr>
              <w:pStyle w:val="TablaE"/>
              <w:rPr>
                <w:rFonts w:ascii="Arial" w:hAnsi="Arial" w:cs="Arial"/>
                <w:b w:val="0"/>
                <w:bCs/>
                <w:sz w:val="22"/>
                <w:szCs w:val="22"/>
              </w:rPr>
            </w:pPr>
          </w:p>
        </w:tc>
        <w:tc>
          <w:tcPr>
            <w:tcW w:w="1840" w:type="dxa"/>
            <w:gridSpan w:val="2"/>
            <w:shd w:val="clear" w:color="auto" w:fill="0070C0"/>
            <w:noWrap/>
            <w:hideMark/>
          </w:tcPr>
          <w:p w14:paraId="44964E50" w14:textId="77777777" w:rsidR="00F87E48" w:rsidRPr="00117BF8" w:rsidRDefault="00F87E48" w:rsidP="00E671EE">
            <w:pPr>
              <w:pStyle w:val="TablaE"/>
              <w:rPr>
                <w:rFonts w:ascii="Arial" w:hAnsi="Arial" w:cs="Arial"/>
                <w:sz w:val="22"/>
                <w:szCs w:val="22"/>
              </w:rPr>
            </w:pPr>
          </w:p>
        </w:tc>
        <w:tc>
          <w:tcPr>
            <w:tcW w:w="1178" w:type="dxa"/>
            <w:vMerge/>
            <w:shd w:val="clear" w:color="auto" w:fill="0070C0"/>
            <w:noWrap/>
            <w:hideMark/>
          </w:tcPr>
          <w:p w14:paraId="554738D0" w14:textId="77777777" w:rsidR="00F87E48" w:rsidRPr="00117BF8" w:rsidRDefault="00F87E48" w:rsidP="00E671EE">
            <w:pPr>
              <w:pStyle w:val="TablaE"/>
              <w:rPr>
                <w:rFonts w:ascii="Arial" w:hAnsi="Arial" w:cs="Arial"/>
                <w:sz w:val="22"/>
                <w:szCs w:val="22"/>
              </w:rPr>
            </w:pPr>
          </w:p>
        </w:tc>
        <w:tc>
          <w:tcPr>
            <w:tcW w:w="1178" w:type="dxa"/>
            <w:vMerge/>
            <w:shd w:val="clear" w:color="auto" w:fill="0070C0"/>
            <w:noWrap/>
            <w:hideMark/>
          </w:tcPr>
          <w:p w14:paraId="285B7707" w14:textId="77777777" w:rsidR="00F87E48" w:rsidRPr="00117BF8" w:rsidRDefault="00F87E48" w:rsidP="00E671EE">
            <w:pPr>
              <w:pStyle w:val="TablaE"/>
              <w:rPr>
                <w:rFonts w:ascii="Arial" w:hAnsi="Arial" w:cs="Arial"/>
                <w:sz w:val="22"/>
                <w:szCs w:val="22"/>
              </w:rPr>
            </w:pPr>
          </w:p>
        </w:tc>
        <w:tc>
          <w:tcPr>
            <w:tcW w:w="1178" w:type="dxa"/>
            <w:vMerge/>
            <w:shd w:val="clear" w:color="auto" w:fill="0070C0"/>
            <w:noWrap/>
            <w:hideMark/>
          </w:tcPr>
          <w:p w14:paraId="57F21DDC" w14:textId="77777777" w:rsidR="00F87E48" w:rsidRPr="00117BF8" w:rsidRDefault="00F87E48" w:rsidP="00E671EE">
            <w:pPr>
              <w:pStyle w:val="TablaE"/>
              <w:rPr>
                <w:rFonts w:ascii="Arial" w:hAnsi="Arial" w:cs="Arial"/>
                <w:sz w:val="22"/>
                <w:szCs w:val="22"/>
              </w:rPr>
            </w:pPr>
          </w:p>
        </w:tc>
        <w:tc>
          <w:tcPr>
            <w:tcW w:w="1178" w:type="dxa"/>
            <w:shd w:val="clear" w:color="auto" w:fill="0070C0"/>
          </w:tcPr>
          <w:p w14:paraId="7E706459" w14:textId="77777777" w:rsidR="00F87E48" w:rsidRPr="00117BF8" w:rsidRDefault="00F87E48" w:rsidP="00F87E48">
            <w:pPr>
              <w:pStyle w:val="TablaE"/>
              <w:rPr>
                <w:rFonts w:ascii="Arial" w:hAnsi="Arial" w:cs="Arial"/>
                <w:sz w:val="22"/>
                <w:szCs w:val="22"/>
              </w:rPr>
            </w:pPr>
            <w:r w:rsidRPr="00117BF8">
              <w:rPr>
                <w:rFonts w:ascii="Arial" w:hAnsi="Arial" w:cs="Arial"/>
                <w:sz w:val="22"/>
                <w:szCs w:val="22"/>
              </w:rPr>
              <w:t>Pres.</w:t>
            </w:r>
          </w:p>
        </w:tc>
        <w:tc>
          <w:tcPr>
            <w:tcW w:w="1178" w:type="dxa"/>
            <w:shd w:val="clear" w:color="auto" w:fill="0070C0"/>
          </w:tcPr>
          <w:p w14:paraId="38C6ABF5" w14:textId="77777777" w:rsidR="00F87E48" w:rsidRPr="00117BF8" w:rsidRDefault="00F87E48" w:rsidP="00E671EE">
            <w:pPr>
              <w:pStyle w:val="TablaE"/>
              <w:rPr>
                <w:rFonts w:ascii="Arial" w:hAnsi="Arial" w:cs="Arial"/>
                <w:sz w:val="22"/>
                <w:szCs w:val="22"/>
              </w:rPr>
            </w:pPr>
            <w:r w:rsidRPr="00117BF8">
              <w:rPr>
                <w:rFonts w:ascii="Arial" w:hAnsi="Arial" w:cs="Arial"/>
                <w:sz w:val="22"/>
                <w:szCs w:val="22"/>
              </w:rPr>
              <w:t>Ejec. Al 31/3</w:t>
            </w:r>
          </w:p>
        </w:tc>
      </w:tr>
      <w:tr w:rsidR="00096DC8" w:rsidRPr="004E6455" w14:paraId="4E9ABDFB" w14:textId="77777777" w:rsidTr="00F87E48">
        <w:trPr>
          <w:trHeight w:val="300"/>
          <w:jc w:val="center"/>
        </w:trPr>
        <w:tc>
          <w:tcPr>
            <w:tcW w:w="1840" w:type="dxa"/>
            <w:gridSpan w:val="2"/>
            <w:shd w:val="clear" w:color="auto" w:fill="D2EAF1"/>
            <w:noWrap/>
            <w:hideMark/>
          </w:tcPr>
          <w:p w14:paraId="2E2E331B"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Recursos Corrientes</w:t>
            </w:r>
          </w:p>
        </w:tc>
        <w:tc>
          <w:tcPr>
            <w:tcW w:w="1178" w:type="dxa"/>
            <w:shd w:val="clear" w:color="auto" w:fill="D2EAF1"/>
            <w:noWrap/>
            <w:hideMark/>
          </w:tcPr>
          <w:p w14:paraId="3D6B5FE9"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146.619</w:t>
            </w:r>
          </w:p>
        </w:tc>
        <w:tc>
          <w:tcPr>
            <w:tcW w:w="1178" w:type="dxa"/>
            <w:shd w:val="clear" w:color="auto" w:fill="D2EAF1"/>
            <w:noWrap/>
            <w:hideMark/>
          </w:tcPr>
          <w:p w14:paraId="5B4B43F6"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198.002</w:t>
            </w:r>
          </w:p>
        </w:tc>
        <w:tc>
          <w:tcPr>
            <w:tcW w:w="1178" w:type="dxa"/>
            <w:shd w:val="clear" w:color="auto" w:fill="D2EAF1"/>
            <w:noWrap/>
            <w:hideMark/>
          </w:tcPr>
          <w:p w14:paraId="717B17CB"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268.936</w:t>
            </w:r>
          </w:p>
        </w:tc>
        <w:tc>
          <w:tcPr>
            <w:tcW w:w="1178" w:type="dxa"/>
            <w:shd w:val="clear" w:color="auto" w:fill="D2EAF1"/>
            <w:noWrap/>
            <w:hideMark/>
          </w:tcPr>
          <w:p w14:paraId="1A4CC860"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386.062</w:t>
            </w:r>
          </w:p>
        </w:tc>
        <w:tc>
          <w:tcPr>
            <w:tcW w:w="1178" w:type="dxa"/>
            <w:shd w:val="clear" w:color="auto" w:fill="D2EAF1"/>
          </w:tcPr>
          <w:p w14:paraId="0EAFC7A5"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479.464</w:t>
            </w:r>
          </w:p>
        </w:tc>
        <w:tc>
          <w:tcPr>
            <w:tcW w:w="1178" w:type="dxa"/>
            <w:shd w:val="clear" w:color="auto" w:fill="D2EAF1"/>
          </w:tcPr>
          <w:p w14:paraId="088AC456"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103.435</w:t>
            </w:r>
          </w:p>
        </w:tc>
      </w:tr>
      <w:tr w:rsidR="00096DC8" w:rsidRPr="004E6455" w14:paraId="19F89741" w14:textId="77777777" w:rsidTr="00F87E48">
        <w:trPr>
          <w:trHeight w:val="300"/>
          <w:jc w:val="center"/>
        </w:trPr>
        <w:tc>
          <w:tcPr>
            <w:tcW w:w="1840" w:type="dxa"/>
            <w:gridSpan w:val="2"/>
            <w:shd w:val="clear" w:color="auto" w:fill="auto"/>
            <w:noWrap/>
            <w:hideMark/>
          </w:tcPr>
          <w:p w14:paraId="21771C81"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Gastos Corrientes</w:t>
            </w:r>
          </w:p>
        </w:tc>
        <w:tc>
          <w:tcPr>
            <w:tcW w:w="1178" w:type="dxa"/>
            <w:shd w:val="clear" w:color="auto" w:fill="auto"/>
            <w:noWrap/>
            <w:hideMark/>
          </w:tcPr>
          <w:p w14:paraId="718D3DED"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146.387</w:t>
            </w:r>
          </w:p>
        </w:tc>
        <w:tc>
          <w:tcPr>
            <w:tcW w:w="1178" w:type="dxa"/>
            <w:shd w:val="clear" w:color="auto" w:fill="auto"/>
            <w:noWrap/>
            <w:hideMark/>
          </w:tcPr>
          <w:p w14:paraId="528DAEB9"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194.649</w:t>
            </w:r>
          </w:p>
        </w:tc>
        <w:tc>
          <w:tcPr>
            <w:tcW w:w="1178" w:type="dxa"/>
            <w:shd w:val="clear" w:color="auto" w:fill="auto"/>
            <w:noWrap/>
            <w:hideMark/>
          </w:tcPr>
          <w:p w14:paraId="2074D257"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284.756</w:t>
            </w:r>
          </w:p>
        </w:tc>
        <w:tc>
          <w:tcPr>
            <w:tcW w:w="1178" w:type="dxa"/>
            <w:shd w:val="clear" w:color="auto" w:fill="auto"/>
            <w:noWrap/>
            <w:hideMark/>
          </w:tcPr>
          <w:p w14:paraId="3CB612FF"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398.421</w:t>
            </w:r>
          </w:p>
        </w:tc>
        <w:tc>
          <w:tcPr>
            <w:tcW w:w="1178" w:type="dxa"/>
          </w:tcPr>
          <w:p w14:paraId="30038DBD"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485.845</w:t>
            </w:r>
          </w:p>
        </w:tc>
        <w:tc>
          <w:tcPr>
            <w:tcW w:w="1178" w:type="dxa"/>
          </w:tcPr>
          <w:p w14:paraId="136161FB"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102.864</w:t>
            </w:r>
          </w:p>
        </w:tc>
      </w:tr>
      <w:tr w:rsidR="00096DC8" w:rsidRPr="004E6455" w14:paraId="287C9CD1" w14:textId="77777777" w:rsidTr="00F87E48">
        <w:trPr>
          <w:trHeight w:val="300"/>
          <w:jc w:val="center"/>
        </w:trPr>
        <w:tc>
          <w:tcPr>
            <w:tcW w:w="1840" w:type="dxa"/>
            <w:gridSpan w:val="2"/>
            <w:shd w:val="clear" w:color="auto" w:fill="D2EAF1"/>
            <w:noWrap/>
            <w:hideMark/>
          </w:tcPr>
          <w:p w14:paraId="70CF4D83"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Resultado Económico</w:t>
            </w:r>
          </w:p>
        </w:tc>
        <w:tc>
          <w:tcPr>
            <w:tcW w:w="1178" w:type="dxa"/>
            <w:shd w:val="clear" w:color="auto" w:fill="D2EAF1"/>
            <w:noWrap/>
            <w:hideMark/>
          </w:tcPr>
          <w:p w14:paraId="5BDD7D92"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232</w:t>
            </w:r>
          </w:p>
        </w:tc>
        <w:tc>
          <w:tcPr>
            <w:tcW w:w="1178" w:type="dxa"/>
            <w:shd w:val="clear" w:color="auto" w:fill="D2EAF1"/>
            <w:noWrap/>
            <w:hideMark/>
          </w:tcPr>
          <w:p w14:paraId="5B2721EE"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3.353</w:t>
            </w:r>
          </w:p>
        </w:tc>
        <w:tc>
          <w:tcPr>
            <w:tcW w:w="1178" w:type="dxa"/>
            <w:shd w:val="clear" w:color="auto" w:fill="D2EAF1"/>
            <w:noWrap/>
            <w:hideMark/>
          </w:tcPr>
          <w:p w14:paraId="074D83C7"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-15.820</w:t>
            </w:r>
          </w:p>
        </w:tc>
        <w:tc>
          <w:tcPr>
            <w:tcW w:w="1178" w:type="dxa"/>
            <w:shd w:val="clear" w:color="auto" w:fill="D2EAF1"/>
            <w:noWrap/>
            <w:hideMark/>
          </w:tcPr>
          <w:p w14:paraId="43C51460"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-12.359</w:t>
            </w:r>
          </w:p>
        </w:tc>
        <w:tc>
          <w:tcPr>
            <w:tcW w:w="1178" w:type="dxa"/>
            <w:shd w:val="clear" w:color="auto" w:fill="D2EAF1"/>
          </w:tcPr>
          <w:p w14:paraId="7AAB91B8"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-6.381</w:t>
            </w:r>
          </w:p>
        </w:tc>
        <w:tc>
          <w:tcPr>
            <w:tcW w:w="1178" w:type="dxa"/>
            <w:shd w:val="clear" w:color="auto" w:fill="D2EAF1"/>
          </w:tcPr>
          <w:p w14:paraId="230240CC"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571</w:t>
            </w:r>
          </w:p>
        </w:tc>
      </w:tr>
      <w:tr w:rsidR="00096DC8" w:rsidRPr="004E6455" w14:paraId="10B59D17" w14:textId="77777777" w:rsidTr="00F87E48">
        <w:trPr>
          <w:trHeight w:hRule="exact" w:val="113"/>
          <w:jc w:val="center"/>
        </w:trPr>
        <w:tc>
          <w:tcPr>
            <w:tcW w:w="1840" w:type="dxa"/>
            <w:gridSpan w:val="2"/>
            <w:shd w:val="clear" w:color="auto" w:fill="auto"/>
            <w:noWrap/>
            <w:hideMark/>
          </w:tcPr>
          <w:p w14:paraId="4F98B513" w14:textId="77777777" w:rsidR="00096DC8" w:rsidRPr="00117BF8" w:rsidRDefault="00096DC8" w:rsidP="00E671EE">
            <w:pPr>
              <w:pStyle w:val="TablaC"/>
              <w:jc w:val="left"/>
              <w:rPr>
                <w:rFonts w:ascii="Arial" w:hAnsi="Arial" w:cs="Arial"/>
                <w:bCs/>
                <w:sz w:val="18"/>
                <w:szCs w:val="18"/>
              </w:rPr>
            </w:pPr>
          </w:p>
        </w:tc>
        <w:tc>
          <w:tcPr>
            <w:tcW w:w="1178" w:type="dxa"/>
            <w:shd w:val="clear" w:color="auto" w:fill="auto"/>
            <w:noWrap/>
            <w:hideMark/>
          </w:tcPr>
          <w:p w14:paraId="306767C1" w14:textId="77777777" w:rsidR="00096DC8" w:rsidRPr="00117BF8" w:rsidRDefault="00096DC8" w:rsidP="00E671EE">
            <w:pPr>
              <w:pStyle w:val="TablaC"/>
              <w:rPr>
                <w:rFonts w:ascii="Arial" w:hAnsi="Arial" w:cs="Arial"/>
                <w:sz w:val="18"/>
                <w:szCs w:val="18"/>
              </w:rPr>
            </w:pPr>
          </w:p>
        </w:tc>
        <w:tc>
          <w:tcPr>
            <w:tcW w:w="1178" w:type="dxa"/>
            <w:shd w:val="clear" w:color="auto" w:fill="auto"/>
            <w:noWrap/>
            <w:hideMark/>
          </w:tcPr>
          <w:p w14:paraId="0A042664" w14:textId="77777777" w:rsidR="00096DC8" w:rsidRPr="00117BF8" w:rsidRDefault="00096DC8" w:rsidP="00E671EE">
            <w:pPr>
              <w:pStyle w:val="TablaC"/>
              <w:rPr>
                <w:rFonts w:ascii="Arial" w:hAnsi="Arial" w:cs="Arial"/>
                <w:sz w:val="18"/>
                <w:szCs w:val="18"/>
              </w:rPr>
            </w:pPr>
          </w:p>
        </w:tc>
        <w:tc>
          <w:tcPr>
            <w:tcW w:w="1178" w:type="dxa"/>
            <w:shd w:val="clear" w:color="auto" w:fill="auto"/>
            <w:noWrap/>
            <w:hideMark/>
          </w:tcPr>
          <w:p w14:paraId="5C41848C" w14:textId="77777777" w:rsidR="00096DC8" w:rsidRPr="00117BF8" w:rsidRDefault="00096DC8" w:rsidP="00E671EE">
            <w:pPr>
              <w:pStyle w:val="TablaC"/>
              <w:rPr>
                <w:rFonts w:ascii="Arial" w:hAnsi="Arial" w:cs="Arial"/>
                <w:sz w:val="18"/>
                <w:szCs w:val="18"/>
              </w:rPr>
            </w:pPr>
          </w:p>
        </w:tc>
        <w:tc>
          <w:tcPr>
            <w:tcW w:w="1178" w:type="dxa"/>
            <w:shd w:val="clear" w:color="auto" w:fill="auto"/>
            <w:noWrap/>
            <w:hideMark/>
          </w:tcPr>
          <w:p w14:paraId="5886CDDE" w14:textId="77777777" w:rsidR="00096DC8" w:rsidRPr="00117BF8" w:rsidRDefault="00096DC8" w:rsidP="00E671EE">
            <w:pPr>
              <w:pStyle w:val="TablaC"/>
              <w:rPr>
                <w:rFonts w:ascii="Arial" w:hAnsi="Arial" w:cs="Arial"/>
                <w:sz w:val="18"/>
                <w:szCs w:val="18"/>
              </w:rPr>
            </w:pPr>
          </w:p>
        </w:tc>
        <w:tc>
          <w:tcPr>
            <w:tcW w:w="1178" w:type="dxa"/>
          </w:tcPr>
          <w:p w14:paraId="4694A3C7" w14:textId="77777777" w:rsidR="00096DC8" w:rsidRPr="00117BF8" w:rsidRDefault="00096DC8" w:rsidP="00E671EE">
            <w:pPr>
              <w:pStyle w:val="TablaC"/>
              <w:rPr>
                <w:rFonts w:ascii="Arial" w:hAnsi="Arial" w:cs="Arial"/>
                <w:sz w:val="18"/>
                <w:szCs w:val="18"/>
              </w:rPr>
            </w:pPr>
          </w:p>
        </w:tc>
        <w:tc>
          <w:tcPr>
            <w:tcW w:w="1178" w:type="dxa"/>
          </w:tcPr>
          <w:p w14:paraId="4F5BD2DF" w14:textId="77777777" w:rsidR="00096DC8" w:rsidRPr="00117BF8" w:rsidRDefault="00096DC8" w:rsidP="00E671EE">
            <w:pPr>
              <w:pStyle w:val="TablaC"/>
              <w:rPr>
                <w:rFonts w:ascii="Arial" w:hAnsi="Arial" w:cs="Arial"/>
                <w:sz w:val="18"/>
                <w:szCs w:val="18"/>
              </w:rPr>
            </w:pPr>
          </w:p>
        </w:tc>
      </w:tr>
      <w:tr w:rsidR="00096DC8" w:rsidRPr="004E6455" w14:paraId="457E191D" w14:textId="77777777" w:rsidTr="00F87E48">
        <w:trPr>
          <w:trHeight w:val="300"/>
          <w:jc w:val="center"/>
        </w:trPr>
        <w:tc>
          <w:tcPr>
            <w:tcW w:w="1840" w:type="dxa"/>
            <w:gridSpan w:val="2"/>
            <w:shd w:val="clear" w:color="auto" w:fill="D2EAF1"/>
            <w:noWrap/>
            <w:hideMark/>
          </w:tcPr>
          <w:p w14:paraId="22583A4C"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Recursos de Capital</w:t>
            </w:r>
          </w:p>
        </w:tc>
        <w:tc>
          <w:tcPr>
            <w:tcW w:w="1178" w:type="dxa"/>
            <w:shd w:val="clear" w:color="auto" w:fill="D2EAF1"/>
            <w:noWrap/>
            <w:hideMark/>
          </w:tcPr>
          <w:p w14:paraId="2DC13F44"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3.434</w:t>
            </w:r>
          </w:p>
        </w:tc>
        <w:tc>
          <w:tcPr>
            <w:tcW w:w="1178" w:type="dxa"/>
            <w:shd w:val="clear" w:color="auto" w:fill="D2EAF1"/>
            <w:noWrap/>
            <w:hideMark/>
          </w:tcPr>
          <w:p w14:paraId="69A4DC62"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4.981</w:t>
            </w:r>
          </w:p>
        </w:tc>
        <w:tc>
          <w:tcPr>
            <w:tcW w:w="1178" w:type="dxa"/>
            <w:shd w:val="clear" w:color="auto" w:fill="D2EAF1"/>
            <w:noWrap/>
            <w:hideMark/>
          </w:tcPr>
          <w:p w14:paraId="74A77CC8"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5.369</w:t>
            </w:r>
          </w:p>
        </w:tc>
        <w:tc>
          <w:tcPr>
            <w:tcW w:w="1178" w:type="dxa"/>
            <w:shd w:val="clear" w:color="auto" w:fill="D2EAF1"/>
            <w:noWrap/>
            <w:hideMark/>
          </w:tcPr>
          <w:p w14:paraId="586AF50C"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8.035</w:t>
            </w:r>
          </w:p>
        </w:tc>
        <w:tc>
          <w:tcPr>
            <w:tcW w:w="1178" w:type="dxa"/>
            <w:shd w:val="clear" w:color="auto" w:fill="D2EAF1"/>
          </w:tcPr>
          <w:p w14:paraId="1A47B8E2"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9.159</w:t>
            </w:r>
          </w:p>
        </w:tc>
        <w:tc>
          <w:tcPr>
            <w:tcW w:w="1178" w:type="dxa"/>
            <w:shd w:val="clear" w:color="auto" w:fill="D2EAF1"/>
          </w:tcPr>
          <w:p w14:paraId="4C8C82AE"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4.219</w:t>
            </w:r>
          </w:p>
        </w:tc>
      </w:tr>
      <w:tr w:rsidR="00096DC8" w:rsidRPr="004E6455" w14:paraId="065A5535" w14:textId="77777777" w:rsidTr="00F87E48">
        <w:trPr>
          <w:trHeight w:val="300"/>
          <w:jc w:val="center"/>
        </w:trPr>
        <w:tc>
          <w:tcPr>
            <w:tcW w:w="1840" w:type="dxa"/>
            <w:gridSpan w:val="2"/>
            <w:shd w:val="clear" w:color="auto" w:fill="auto"/>
            <w:noWrap/>
            <w:hideMark/>
          </w:tcPr>
          <w:p w14:paraId="11964774"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Gastos de Capital</w:t>
            </w:r>
          </w:p>
        </w:tc>
        <w:tc>
          <w:tcPr>
            <w:tcW w:w="1178" w:type="dxa"/>
            <w:shd w:val="clear" w:color="auto" w:fill="auto"/>
            <w:noWrap/>
            <w:hideMark/>
          </w:tcPr>
          <w:p w14:paraId="4D3FDF6B"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4.694</w:t>
            </w:r>
          </w:p>
        </w:tc>
        <w:tc>
          <w:tcPr>
            <w:tcW w:w="1178" w:type="dxa"/>
            <w:shd w:val="clear" w:color="auto" w:fill="auto"/>
            <w:noWrap/>
            <w:hideMark/>
          </w:tcPr>
          <w:p w14:paraId="266AE124"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7.534</w:t>
            </w:r>
          </w:p>
        </w:tc>
        <w:tc>
          <w:tcPr>
            <w:tcW w:w="1178" w:type="dxa"/>
            <w:shd w:val="clear" w:color="auto" w:fill="auto"/>
            <w:noWrap/>
            <w:hideMark/>
          </w:tcPr>
          <w:p w14:paraId="6D4BF0AD"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11.019</w:t>
            </w:r>
          </w:p>
        </w:tc>
        <w:tc>
          <w:tcPr>
            <w:tcW w:w="1178" w:type="dxa"/>
            <w:shd w:val="clear" w:color="auto" w:fill="auto"/>
            <w:noWrap/>
            <w:hideMark/>
          </w:tcPr>
          <w:p w14:paraId="155D0B72"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26.494</w:t>
            </w:r>
          </w:p>
        </w:tc>
        <w:tc>
          <w:tcPr>
            <w:tcW w:w="1178" w:type="dxa"/>
          </w:tcPr>
          <w:p w14:paraId="2D8CCBCA"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44.471</w:t>
            </w:r>
          </w:p>
        </w:tc>
        <w:tc>
          <w:tcPr>
            <w:tcW w:w="1178" w:type="dxa"/>
          </w:tcPr>
          <w:p w14:paraId="0D72C0C7" w14:textId="77777777" w:rsidR="00096DC8" w:rsidRPr="00117BF8" w:rsidRDefault="00096DC8" w:rsidP="00096DC8">
            <w:pPr>
              <w:pStyle w:val="TablaC"/>
              <w:rPr>
                <w:rFonts w:ascii="Arial" w:hAnsi="Arial" w:cs="Arial"/>
                <w:bCs/>
                <w:sz w:val="18"/>
                <w:szCs w:val="18"/>
              </w:rPr>
            </w:pPr>
            <w:r w:rsidRPr="00117BF8">
              <w:rPr>
                <w:rFonts w:ascii="Arial" w:hAnsi="Arial" w:cs="Arial"/>
                <w:bCs/>
                <w:sz w:val="18"/>
                <w:szCs w:val="18"/>
              </w:rPr>
              <w:t>4.427</w:t>
            </w:r>
          </w:p>
        </w:tc>
      </w:tr>
      <w:tr w:rsidR="00096DC8" w:rsidRPr="004E6455" w14:paraId="4EECC7AC" w14:textId="77777777" w:rsidTr="00F87E48">
        <w:trPr>
          <w:trHeight w:hRule="exact" w:val="113"/>
          <w:jc w:val="center"/>
        </w:trPr>
        <w:tc>
          <w:tcPr>
            <w:tcW w:w="1840" w:type="dxa"/>
            <w:gridSpan w:val="2"/>
            <w:shd w:val="clear" w:color="auto" w:fill="D2EAF1"/>
            <w:noWrap/>
            <w:hideMark/>
          </w:tcPr>
          <w:p w14:paraId="52838D99" w14:textId="77777777" w:rsidR="00096DC8" w:rsidRPr="00117BF8" w:rsidRDefault="00096DC8" w:rsidP="00E671EE">
            <w:pPr>
              <w:pStyle w:val="TablaC"/>
              <w:jc w:val="left"/>
              <w:rPr>
                <w:rFonts w:ascii="Arial" w:hAnsi="Arial" w:cs="Arial"/>
                <w:bCs/>
                <w:sz w:val="18"/>
                <w:szCs w:val="18"/>
              </w:rPr>
            </w:pPr>
          </w:p>
        </w:tc>
        <w:tc>
          <w:tcPr>
            <w:tcW w:w="1178" w:type="dxa"/>
            <w:shd w:val="clear" w:color="auto" w:fill="D2EAF1"/>
            <w:noWrap/>
            <w:hideMark/>
          </w:tcPr>
          <w:p w14:paraId="1BDBFB07" w14:textId="77777777" w:rsidR="00096DC8" w:rsidRPr="00117BF8" w:rsidRDefault="00096DC8" w:rsidP="00E671EE">
            <w:pPr>
              <w:pStyle w:val="TablaC"/>
              <w:rPr>
                <w:rFonts w:ascii="Arial" w:hAnsi="Arial" w:cs="Arial"/>
                <w:sz w:val="18"/>
                <w:szCs w:val="18"/>
              </w:rPr>
            </w:pPr>
          </w:p>
        </w:tc>
        <w:tc>
          <w:tcPr>
            <w:tcW w:w="1178" w:type="dxa"/>
            <w:shd w:val="clear" w:color="auto" w:fill="D2EAF1"/>
            <w:noWrap/>
            <w:hideMark/>
          </w:tcPr>
          <w:p w14:paraId="613A0A37" w14:textId="77777777" w:rsidR="00096DC8" w:rsidRPr="00117BF8" w:rsidRDefault="00096DC8" w:rsidP="00E671EE">
            <w:pPr>
              <w:pStyle w:val="TablaC"/>
              <w:rPr>
                <w:rFonts w:ascii="Arial" w:hAnsi="Arial" w:cs="Arial"/>
                <w:sz w:val="18"/>
                <w:szCs w:val="18"/>
              </w:rPr>
            </w:pPr>
          </w:p>
        </w:tc>
        <w:tc>
          <w:tcPr>
            <w:tcW w:w="1178" w:type="dxa"/>
            <w:shd w:val="clear" w:color="auto" w:fill="D2EAF1"/>
            <w:noWrap/>
            <w:hideMark/>
          </w:tcPr>
          <w:p w14:paraId="0AA6D58C" w14:textId="77777777" w:rsidR="00096DC8" w:rsidRPr="00117BF8" w:rsidRDefault="00096DC8" w:rsidP="00E671EE">
            <w:pPr>
              <w:pStyle w:val="TablaC"/>
              <w:rPr>
                <w:rFonts w:ascii="Arial" w:hAnsi="Arial" w:cs="Arial"/>
                <w:sz w:val="18"/>
                <w:szCs w:val="18"/>
              </w:rPr>
            </w:pPr>
          </w:p>
        </w:tc>
        <w:tc>
          <w:tcPr>
            <w:tcW w:w="1178" w:type="dxa"/>
            <w:shd w:val="clear" w:color="auto" w:fill="D2EAF1"/>
            <w:noWrap/>
            <w:hideMark/>
          </w:tcPr>
          <w:p w14:paraId="3D5B0F1C" w14:textId="77777777" w:rsidR="00096DC8" w:rsidRPr="00117BF8" w:rsidRDefault="00096DC8" w:rsidP="00E671EE">
            <w:pPr>
              <w:pStyle w:val="TablaC"/>
              <w:rPr>
                <w:rFonts w:ascii="Arial" w:hAnsi="Arial" w:cs="Arial"/>
                <w:sz w:val="18"/>
                <w:szCs w:val="18"/>
              </w:rPr>
            </w:pPr>
          </w:p>
        </w:tc>
        <w:tc>
          <w:tcPr>
            <w:tcW w:w="1178" w:type="dxa"/>
            <w:shd w:val="clear" w:color="auto" w:fill="D2EAF1"/>
          </w:tcPr>
          <w:p w14:paraId="695F884D" w14:textId="77777777" w:rsidR="00096DC8" w:rsidRPr="00117BF8" w:rsidRDefault="00096DC8" w:rsidP="00E671EE">
            <w:pPr>
              <w:pStyle w:val="TablaC"/>
              <w:rPr>
                <w:rFonts w:ascii="Arial" w:hAnsi="Arial" w:cs="Arial"/>
                <w:sz w:val="18"/>
                <w:szCs w:val="18"/>
              </w:rPr>
            </w:pPr>
          </w:p>
        </w:tc>
        <w:tc>
          <w:tcPr>
            <w:tcW w:w="1178" w:type="dxa"/>
            <w:shd w:val="clear" w:color="auto" w:fill="D2EAF1"/>
          </w:tcPr>
          <w:p w14:paraId="10FCD7BA" w14:textId="77777777" w:rsidR="00096DC8" w:rsidRPr="00117BF8" w:rsidRDefault="00096DC8" w:rsidP="00E671EE">
            <w:pPr>
              <w:pStyle w:val="TablaC"/>
              <w:rPr>
                <w:rFonts w:ascii="Arial" w:hAnsi="Arial" w:cs="Arial"/>
                <w:sz w:val="18"/>
                <w:szCs w:val="18"/>
              </w:rPr>
            </w:pPr>
          </w:p>
        </w:tc>
      </w:tr>
      <w:tr w:rsidR="00096DC8" w:rsidRPr="004E6455" w14:paraId="150C731B" w14:textId="77777777" w:rsidTr="00F87E48">
        <w:trPr>
          <w:trHeight w:val="300"/>
          <w:jc w:val="center"/>
        </w:trPr>
        <w:tc>
          <w:tcPr>
            <w:tcW w:w="1840" w:type="dxa"/>
            <w:gridSpan w:val="2"/>
            <w:shd w:val="clear" w:color="auto" w:fill="auto"/>
            <w:noWrap/>
            <w:hideMark/>
          </w:tcPr>
          <w:p w14:paraId="6CB4E7CD"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Recursos Totales</w:t>
            </w:r>
          </w:p>
        </w:tc>
        <w:tc>
          <w:tcPr>
            <w:tcW w:w="1178" w:type="dxa"/>
            <w:shd w:val="clear" w:color="auto" w:fill="auto"/>
            <w:noWrap/>
            <w:hideMark/>
          </w:tcPr>
          <w:p w14:paraId="732D86E6"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150.052</w:t>
            </w:r>
          </w:p>
        </w:tc>
        <w:tc>
          <w:tcPr>
            <w:tcW w:w="1178" w:type="dxa"/>
            <w:shd w:val="clear" w:color="auto" w:fill="auto"/>
            <w:noWrap/>
            <w:hideMark/>
          </w:tcPr>
          <w:p w14:paraId="349D2742"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202.983</w:t>
            </w:r>
          </w:p>
        </w:tc>
        <w:tc>
          <w:tcPr>
            <w:tcW w:w="1178" w:type="dxa"/>
            <w:shd w:val="clear" w:color="auto" w:fill="auto"/>
            <w:noWrap/>
            <w:hideMark/>
          </w:tcPr>
          <w:p w14:paraId="0BF7D2A4"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274.305</w:t>
            </w:r>
          </w:p>
        </w:tc>
        <w:tc>
          <w:tcPr>
            <w:tcW w:w="1178" w:type="dxa"/>
            <w:shd w:val="clear" w:color="auto" w:fill="auto"/>
            <w:noWrap/>
            <w:hideMark/>
          </w:tcPr>
          <w:p w14:paraId="3D5891E1"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394.097</w:t>
            </w:r>
          </w:p>
        </w:tc>
        <w:tc>
          <w:tcPr>
            <w:tcW w:w="1178" w:type="dxa"/>
          </w:tcPr>
          <w:p w14:paraId="09E13657" w14:textId="77777777" w:rsidR="00096DC8" w:rsidRPr="00117BF8" w:rsidRDefault="00096DC8" w:rsidP="00F87E48">
            <w:pPr>
              <w:pStyle w:val="TablaC"/>
              <w:rPr>
                <w:rFonts w:ascii="Arial" w:hAnsi="Arial" w:cs="Arial"/>
                <w:bCs/>
                <w:sz w:val="18"/>
                <w:szCs w:val="18"/>
              </w:rPr>
            </w:pPr>
            <w:r w:rsidRPr="00117BF8">
              <w:rPr>
                <w:rFonts w:ascii="Arial" w:hAnsi="Arial" w:cs="Arial"/>
                <w:bCs/>
                <w:sz w:val="18"/>
                <w:szCs w:val="18"/>
              </w:rPr>
              <w:t>488.62</w:t>
            </w:r>
            <w:r w:rsidR="00F87E48" w:rsidRPr="00117BF8">
              <w:rPr>
                <w:rFonts w:ascii="Arial" w:hAnsi="Arial" w:cs="Arial"/>
                <w:bCs/>
                <w:sz w:val="18"/>
                <w:szCs w:val="18"/>
              </w:rPr>
              <w:t>3</w:t>
            </w:r>
          </w:p>
        </w:tc>
        <w:tc>
          <w:tcPr>
            <w:tcW w:w="1178" w:type="dxa"/>
          </w:tcPr>
          <w:p w14:paraId="1FEE53AA" w14:textId="77777777" w:rsidR="00096DC8" w:rsidRPr="00117BF8" w:rsidRDefault="00096DC8" w:rsidP="00F87E48">
            <w:pPr>
              <w:pStyle w:val="TablaC"/>
              <w:rPr>
                <w:rFonts w:ascii="Arial" w:hAnsi="Arial" w:cs="Arial"/>
                <w:bCs/>
                <w:sz w:val="18"/>
                <w:szCs w:val="18"/>
              </w:rPr>
            </w:pPr>
            <w:r w:rsidRPr="00117BF8">
              <w:rPr>
                <w:rFonts w:ascii="Arial" w:hAnsi="Arial" w:cs="Arial"/>
                <w:bCs/>
                <w:sz w:val="18"/>
                <w:szCs w:val="18"/>
              </w:rPr>
              <w:t>107.654</w:t>
            </w:r>
          </w:p>
        </w:tc>
      </w:tr>
      <w:tr w:rsidR="00096DC8" w:rsidRPr="004E6455" w14:paraId="57888311" w14:textId="77777777" w:rsidTr="00F87E48">
        <w:trPr>
          <w:trHeight w:val="300"/>
          <w:jc w:val="center"/>
        </w:trPr>
        <w:tc>
          <w:tcPr>
            <w:tcW w:w="1840" w:type="dxa"/>
            <w:gridSpan w:val="2"/>
            <w:shd w:val="clear" w:color="auto" w:fill="D2EAF1"/>
            <w:noWrap/>
            <w:hideMark/>
          </w:tcPr>
          <w:p w14:paraId="19A89E30"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Gatos Totales</w:t>
            </w:r>
          </w:p>
        </w:tc>
        <w:tc>
          <w:tcPr>
            <w:tcW w:w="1178" w:type="dxa"/>
            <w:shd w:val="clear" w:color="auto" w:fill="D2EAF1"/>
            <w:noWrap/>
            <w:hideMark/>
          </w:tcPr>
          <w:p w14:paraId="74C966EF"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151.081</w:t>
            </w:r>
          </w:p>
        </w:tc>
        <w:tc>
          <w:tcPr>
            <w:tcW w:w="1178" w:type="dxa"/>
            <w:shd w:val="clear" w:color="auto" w:fill="D2EAF1"/>
            <w:noWrap/>
            <w:hideMark/>
          </w:tcPr>
          <w:p w14:paraId="6D7ED44F"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202.183</w:t>
            </w:r>
          </w:p>
        </w:tc>
        <w:tc>
          <w:tcPr>
            <w:tcW w:w="1178" w:type="dxa"/>
            <w:shd w:val="clear" w:color="auto" w:fill="D2EAF1"/>
            <w:noWrap/>
            <w:hideMark/>
          </w:tcPr>
          <w:p w14:paraId="35A3D3B6"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295.775</w:t>
            </w:r>
          </w:p>
        </w:tc>
        <w:tc>
          <w:tcPr>
            <w:tcW w:w="1178" w:type="dxa"/>
            <w:shd w:val="clear" w:color="auto" w:fill="D2EAF1"/>
            <w:noWrap/>
            <w:hideMark/>
          </w:tcPr>
          <w:p w14:paraId="68FDAE14"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424.915</w:t>
            </w:r>
          </w:p>
        </w:tc>
        <w:tc>
          <w:tcPr>
            <w:tcW w:w="1178" w:type="dxa"/>
            <w:shd w:val="clear" w:color="auto" w:fill="D2EAF1"/>
          </w:tcPr>
          <w:p w14:paraId="670C219C" w14:textId="77777777" w:rsidR="00096DC8" w:rsidRPr="00117BF8" w:rsidRDefault="00096DC8" w:rsidP="00F87E48">
            <w:pPr>
              <w:pStyle w:val="TablaC"/>
              <w:rPr>
                <w:rFonts w:ascii="Arial" w:hAnsi="Arial" w:cs="Arial"/>
                <w:bCs/>
                <w:sz w:val="18"/>
                <w:szCs w:val="18"/>
              </w:rPr>
            </w:pPr>
            <w:r w:rsidRPr="00117BF8">
              <w:rPr>
                <w:rFonts w:ascii="Arial" w:hAnsi="Arial" w:cs="Arial"/>
                <w:bCs/>
                <w:sz w:val="18"/>
                <w:szCs w:val="18"/>
              </w:rPr>
              <w:t>530.316</w:t>
            </w:r>
          </w:p>
        </w:tc>
        <w:tc>
          <w:tcPr>
            <w:tcW w:w="1178" w:type="dxa"/>
            <w:shd w:val="clear" w:color="auto" w:fill="D2EAF1"/>
          </w:tcPr>
          <w:p w14:paraId="57725089" w14:textId="77777777" w:rsidR="00096DC8" w:rsidRPr="00117BF8" w:rsidRDefault="00096DC8" w:rsidP="00F87E48">
            <w:pPr>
              <w:pStyle w:val="TablaC"/>
              <w:rPr>
                <w:rFonts w:ascii="Arial" w:hAnsi="Arial" w:cs="Arial"/>
                <w:bCs/>
                <w:sz w:val="18"/>
                <w:szCs w:val="18"/>
              </w:rPr>
            </w:pPr>
            <w:r w:rsidRPr="00117BF8">
              <w:rPr>
                <w:rFonts w:ascii="Arial" w:hAnsi="Arial" w:cs="Arial"/>
                <w:bCs/>
                <w:sz w:val="18"/>
                <w:szCs w:val="18"/>
              </w:rPr>
              <w:t>107.290</w:t>
            </w:r>
          </w:p>
        </w:tc>
      </w:tr>
      <w:tr w:rsidR="00096DC8" w:rsidRPr="004E6455" w14:paraId="311FD5CC" w14:textId="77777777" w:rsidTr="00F87E48">
        <w:trPr>
          <w:trHeight w:val="300"/>
          <w:jc w:val="center"/>
        </w:trPr>
        <w:tc>
          <w:tcPr>
            <w:tcW w:w="1840" w:type="dxa"/>
            <w:gridSpan w:val="2"/>
            <w:shd w:val="clear" w:color="auto" w:fill="auto"/>
            <w:noWrap/>
            <w:hideMark/>
          </w:tcPr>
          <w:p w14:paraId="2B190136"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Resultado Financiero</w:t>
            </w:r>
          </w:p>
        </w:tc>
        <w:tc>
          <w:tcPr>
            <w:tcW w:w="1178" w:type="dxa"/>
            <w:shd w:val="clear" w:color="auto" w:fill="auto"/>
            <w:noWrap/>
            <w:hideMark/>
          </w:tcPr>
          <w:p w14:paraId="79504CE1"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-1.029</w:t>
            </w:r>
          </w:p>
        </w:tc>
        <w:tc>
          <w:tcPr>
            <w:tcW w:w="1178" w:type="dxa"/>
            <w:shd w:val="clear" w:color="auto" w:fill="auto"/>
            <w:noWrap/>
            <w:hideMark/>
          </w:tcPr>
          <w:p w14:paraId="18A252E5"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800</w:t>
            </w:r>
          </w:p>
        </w:tc>
        <w:tc>
          <w:tcPr>
            <w:tcW w:w="1178" w:type="dxa"/>
            <w:shd w:val="clear" w:color="auto" w:fill="auto"/>
            <w:noWrap/>
            <w:hideMark/>
          </w:tcPr>
          <w:p w14:paraId="2652D81C"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-21.470</w:t>
            </w:r>
          </w:p>
        </w:tc>
        <w:tc>
          <w:tcPr>
            <w:tcW w:w="1178" w:type="dxa"/>
            <w:shd w:val="clear" w:color="auto" w:fill="auto"/>
            <w:noWrap/>
            <w:hideMark/>
          </w:tcPr>
          <w:p w14:paraId="5339777F"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-30.817</w:t>
            </w:r>
          </w:p>
        </w:tc>
        <w:tc>
          <w:tcPr>
            <w:tcW w:w="1178" w:type="dxa"/>
          </w:tcPr>
          <w:p w14:paraId="5EAA2E5C" w14:textId="77777777" w:rsidR="00096DC8" w:rsidRPr="00117BF8" w:rsidRDefault="00096DC8" w:rsidP="00F87E48">
            <w:pPr>
              <w:pStyle w:val="TablaC"/>
              <w:rPr>
                <w:rFonts w:ascii="Arial" w:hAnsi="Arial" w:cs="Arial"/>
                <w:bCs/>
                <w:sz w:val="18"/>
                <w:szCs w:val="18"/>
              </w:rPr>
            </w:pPr>
            <w:r w:rsidRPr="00117BF8">
              <w:rPr>
                <w:rFonts w:ascii="Arial" w:hAnsi="Arial" w:cs="Arial"/>
                <w:bCs/>
                <w:sz w:val="18"/>
                <w:szCs w:val="18"/>
              </w:rPr>
              <w:t>-41.69</w:t>
            </w:r>
            <w:r w:rsidR="00F87E48" w:rsidRPr="00117BF8">
              <w:rPr>
                <w:rFonts w:ascii="Arial" w:hAnsi="Arial" w:cs="Arial"/>
                <w:bCs/>
                <w:sz w:val="18"/>
                <w:szCs w:val="18"/>
              </w:rPr>
              <w:t>4</w:t>
            </w:r>
          </w:p>
        </w:tc>
        <w:tc>
          <w:tcPr>
            <w:tcW w:w="1178" w:type="dxa"/>
          </w:tcPr>
          <w:p w14:paraId="41C1567D" w14:textId="77777777" w:rsidR="00096DC8" w:rsidRPr="00117BF8" w:rsidRDefault="00096DC8" w:rsidP="00F87E48">
            <w:pPr>
              <w:pStyle w:val="TablaC"/>
              <w:rPr>
                <w:rFonts w:ascii="Arial" w:hAnsi="Arial" w:cs="Arial"/>
                <w:bCs/>
                <w:sz w:val="18"/>
                <w:szCs w:val="18"/>
              </w:rPr>
            </w:pPr>
            <w:r w:rsidRPr="00117BF8">
              <w:rPr>
                <w:rFonts w:ascii="Arial" w:hAnsi="Arial" w:cs="Arial"/>
                <w:bCs/>
                <w:sz w:val="18"/>
                <w:szCs w:val="18"/>
              </w:rPr>
              <w:t>36</w:t>
            </w:r>
            <w:r w:rsidR="00F87E48" w:rsidRPr="00117BF8">
              <w:rPr>
                <w:rFonts w:ascii="Arial" w:hAnsi="Arial" w:cs="Arial"/>
                <w:bCs/>
                <w:sz w:val="18"/>
                <w:szCs w:val="18"/>
              </w:rPr>
              <w:t>4</w:t>
            </w:r>
          </w:p>
        </w:tc>
      </w:tr>
      <w:tr w:rsidR="00096DC8" w:rsidRPr="004E6455" w14:paraId="1AE324F4" w14:textId="77777777" w:rsidTr="00F87E48">
        <w:trPr>
          <w:trHeight w:hRule="exact" w:val="113"/>
          <w:jc w:val="center"/>
        </w:trPr>
        <w:tc>
          <w:tcPr>
            <w:tcW w:w="1840" w:type="dxa"/>
            <w:gridSpan w:val="2"/>
            <w:shd w:val="clear" w:color="auto" w:fill="D2EAF1"/>
            <w:noWrap/>
            <w:hideMark/>
          </w:tcPr>
          <w:p w14:paraId="2D59CB87" w14:textId="77777777" w:rsidR="00096DC8" w:rsidRPr="00117BF8" w:rsidRDefault="00096DC8" w:rsidP="00E671EE">
            <w:pPr>
              <w:pStyle w:val="TablaC"/>
              <w:jc w:val="left"/>
              <w:rPr>
                <w:rFonts w:ascii="Arial" w:hAnsi="Arial" w:cs="Arial"/>
                <w:bCs/>
                <w:sz w:val="18"/>
                <w:szCs w:val="18"/>
              </w:rPr>
            </w:pPr>
          </w:p>
        </w:tc>
        <w:tc>
          <w:tcPr>
            <w:tcW w:w="1178" w:type="dxa"/>
            <w:shd w:val="clear" w:color="auto" w:fill="D2EAF1"/>
            <w:noWrap/>
            <w:hideMark/>
          </w:tcPr>
          <w:p w14:paraId="68E1BA67" w14:textId="77777777" w:rsidR="00096DC8" w:rsidRPr="00117BF8" w:rsidRDefault="00096DC8" w:rsidP="00E671EE">
            <w:pPr>
              <w:pStyle w:val="TablaC"/>
              <w:rPr>
                <w:rFonts w:ascii="Arial" w:hAnsi="Arial" w:cs="Arial"/>
                <w:sz w:val="18"/>
                <w:szCs w:val="18"/>
              </w:rPr>
            </w:pPr>
          </w:p>
        </w:tc>
        <w:tc>
          <w:tcPr>
            <w:tcW w:w="1178" w:type="dxa"/>
            <w:shd w:val="clear" w:color="auto" w:fill="D2EAF1"/>
            <w:noWrap/>
            <w:hideMark/>
          </w:tcPr>
          <w:p w14:paraId="36B902BF" w14:textId="77777777" w:rsidR="00096DC8" w:rsidRPr="00117BF8" w:rsidRDefault="00096DC8" w:rsidP="00E671EE">
            <w:pPr>
              <w:pStyle w:val="TablaC"/>
              <w:rPr>
                <w:rFonts w:ascii="Arial" w:hAnsi="Arial" w:cs="Arial"/>
                <w:sz w:val="18"/>
                <w:szCs w:val="18"/>
              </w:rPr>
            </w:pPr>
          </w:p>
        </w:tc>
        <w:tc>
          <w:tcPr>
            <w:tcW w:w="1178" w:type="dxa"/>
            <w:shd w:val="clear" w:color="auto" w:fill="D2EAF1"/>
            <w:noWrap/>
            <w:hideMark/>
          </w:tcPr>
          <w:p w14:paraId="72AB207E" w14:textId="77777777" w:rsidR="00096DC8" w:rsidRPr="00117BF8" w:rsidRDefault="00096DC8" w:rsidP="00E671EE">
            <w:pPr>
              <w:pStyle w:val="TablaC"/>
              <w:rPr>
                <w:rFonts w:ascii="Arial" w:hAnsi="Arial" w:cs="Arial"/>
                <w:sz w:val="18"/>
                <w:szCs w:val="18"/>
              </w:rPr>
            </w:pPr>
          </w:p>
        </w:tc>
        <w:tc>
          <w:tcPr>
            <w:tcW w:w="1178" w:type="dxa"/>
            <w:shd w:val="clear" w:color="auto" w:fill="D2EAF1"/>
            <w:noWrap/>
            <w:hideMark/>
          </w:tcPr>
          <w:p w14:paraId="2A0A6A13" w14:textId="77777777" w:rsidR="00096DC8" w:rsidRPr="00117BF8" w:rsidRDefault="00096DC8" w:rsidP="00E671EE">
            <w:pPr>
              <w:pStyle w:val="TablaC"/>
              <w:rPr>
                <w:rFonts w:ascii="Arial" w:hAnsi="Arial" w:cs="Arial"/>
                <w:sz w:val="18"/>
                <w:szCs w:val="18"/>
              </w:rPr>
            </w:pPr>
          </w:p>
        </w:tc>
        <w:tc>
          <w:tcPr>
            <w:tcW w:w="1178" w:type="dxa"/>
            <w:shd w:val="clear" w:color="auto" w:fill="D2EAF1"/>
          </w:tcPr>
          <w:p w14:paraId="6C942EBF" w14:textId="77777777" w:rsidR="00096DC8" w:rsidRPr="00117BF8" w:rsidRDefault="00096DC8" w:rsidP="00E671EE">
            <w:pPr>
              <w:pStyle w:val="TablaC"/>
              <w:rPr>
                <w:rFonts w:ascii="Arial" w:hAnsi="Arial" w:cs="Arial"/>
                <w:sz w:val="18"/>
                <w:szCs w:val="18"/>
              </w:rPr>
            </w:pPr>
          </w:p>
        </w:tc>
        <w:tc>
          <w:tcPr>
            <w:tcW w:w="1178" w:type="dxa"/>
            <w:shd w:val="clear" w:color="auto" w:fill="D2EAF1"/>
          </w:tcPr>
          <w:p w14:paraId="0BD2390B" w14:textId="77777777" w:rsidR="00096DC8" w:rsidRPr="00117BF8" w:rsidRDefault="00096DC8" w:rsidP="00E671EE">
            <w:pPr>
              <w:pStyle w:val="TablaC"/>
              <w:rPr>
                <w:rFonts w:ascii="Arial" w:hAnsi="Arial" w:cs="Arial"/>
                <w:sz w:val="18"/>
                <w:szCs w:val="18"/>
              </w:rPr>
            </w:pPr>
          </w:p>
        </w:tc>
      </w:tr>
      <w:tr w:rsidR="00096DC8" w:rsidRPr="004E6455" w14:paraId="26FB41DF" w14:textId="77777777" w:rsidTr="00F87E48">
        <w:trPr>
          <w:trHeight w:val="300"/>
          <w:jc w:val="center"/>
        </w:trPr>
        <w:tc>
          <w:tcPr>
            <w:tcW w:w="1840" w:type="dxa"/>
            <w:gridSpan w:val="2"/>
            <w:shd w:val="clear" w:color="auto" w:fill="auto"/>
            <w:noWrap/>
            <w:hideMark/>
          </w:tcPr>
          <w:p w14:paraId="170D62D5"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Resultado Primario</w:t>
            </w:r>
          </w:p>
        </w:tc>
        <w:tc>
          <w:tcPr>
            <w:tcW w:w="1178" w:type="dxa"/>
            <w:shd w:val="clear" w:color="auto" w:fill="auto"/>
            <w:noWrap/>
            <w:hideMark/>
          </w:tcPr>
          <w:p w14:paraId="77955613"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3.361</w:t>
            </w:r>
          </w:p>
        </w:tc>
        <w:tc>
          <w:tcPr>
            <w:tcW w:w="1178" w:type="dxa"/>
            <w:shd w:val="clear" w:color="auto" w:fill="auto"/>
            <w:noWrap/>
            <w:hideMark/>
          </w:tcPr>
          <w:p w14:paraId="371408CB"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7.524</w:t>
            </w:r>
          </w:p>
        </w:tc>
        <w:tc>
          <w:tcPr>
            <w:tcW w:w="1178" w:type="dxa"/>
            <w:shd w:val="clear" w:color="auto" w:fill="auto"/>
            <w:noWrap/>
            <w:hideMark/>
          </w:tcPr>
          <w:p w14:paraId="16A2312F"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-11.590</w:t>
            </w:r>
          </w:p>
        </w:tc>
        <w:tc>
          <w:tcPr>
            <w:tcW w:w="1178" w:type="dxa"/>
            <w:shd w:val="clear" w:color="auto" w:fill="auto"/>
            <w:noWrap/>
            <w:hideMark/>
          </w:tcPr>
          <w:p w14:paraId="67459EF4"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-14.839</w:t>
            </w:r>
          </w:p>
        </w:tc>
        <w:tc>
          <w:tcPr>
            <w:tcW w:w="1178" w:type="dxa"/>
          </w:tcPr>
          <w:p w14:paraId="74EFF065" w14:textId="77777777" w:rsidR="00096DC8" w:rsidRPr="00117BF8" w:rsidRDefault="00096DC8" w:rsidP="004B5BA0">
            <w:pPr>
              <w:pStyle w:val="TablaC"/>
              <w:rPr>
                <w:rFonts w:ascii="Arial" w:hAnsi="Arial" w:cs="Arial"/>
                <w:bCs/>
                <w:sz w:val="18"/>
                <w:szCs w:val="18"/>
              </w:rPr>
            </w:pPr>
            <w:r w:rsidRPr="00117BF8">
              <w:rPr>
                <w:rFonts w:ascii="Arial" w:hAnsi="Arial" w:cs="Arial"/>
                <w:bCs/>
                <w:sz w:val="18"/>
                <w:szCs w:val="18"/>
              </w:rPr>
              <w:t>0,00</w:t>
            </w:r>
          </w:p>
        </w:tc>
        <w:tc>
          <w:tcPr>
            <w:tcW w:w="1178" w:type="dxa"/>
          </w:tcPr>
          <w:p w14:paraId="33E65944" w14:textId="77777777" w:rsidR="00096DC8" w:rsidRPr="00117BF8" w:rsidRDefault="00096DC8" w:rsidP="00F87E48">
            <w:pPr>
              <w:pStyle w:val="TablaC"/>
              <w:rPr>
                <w:rFonts w:ascii="Arial" w:hAnsi="Arial" w:cs="Arial"/>
                <w:bCs/>
                <w:sz w:val="18"/>
                <w:szCs w:val="18"/>
              </w:rPr>
            </w:pPr>
            <w:r w:rsidRPr="00117BF8">
              <w:rPr>
                <w:rFonts w:ascii="Arial" w:hAnsi="Arial" w:cs="Arial"/>
                <w:bCs/>
                <w:sz w:val="18"/>
                <w:szCs w:val="18"/>
              </w:rPr>
              <w:t>4.85</w:t>
            </w:r>
            <w:r w:rsidR="00F87E48" w:rsidRPr="00117BF8">
              <w:rPr>
                <w:rFonts w:ascii="Arial" w:hAnsi="Arial" w:cs="Arial"/>
                <w:bCs/>
                <w:sz w:val="18"/>
                <w:szCs w:val="18"/>
              </w:rPr>
              <w:t>1</w:t>
            </w:r>
          </w:p>
        </w:tc>
      </w:tr>
      <w:tr w:rsidR="00096DC8" w:rsidRPr="004E6455" w14:paraId="675EAAE6" w14:textId="77777777" w:rsidTr="00F87E48">
        <w:trPr>
          <w:trHeight w:hRule="exact" w:val="113"/>
          <w:jc w:val="center"/>
        </w:trPr>
        <w:tc>
          <w:tcPr>
            <w:tcW w:w="1840" w:type="dxa"/>
            <w:gridSpan w:val="2"/>
            <w:shd w:val="clear" w:color="auto" w:fill="D2EAF1"/>
            <w:noWrap/>
          </w:tcPr>
          <w:p w14:paraId="101ADC62" w14:textId="77777777" w:rsidR="00096DC8" w:rsidRPr="00117BF8" w:rsidRDefault="00096DC8" w:rsidP="00E671EE">
            <w:pPr>
              <w:pStyle w:val="TablaC"/>
              <w:jc w:val="left"/>
              <w:rPr>
                <w:rFonts w:ascii="Arial" w:hAnsi="Arial" w:cs="Arial"/>
                <w:bCs/>
                <w:sz w:val="18"/>
                <w:szCs w:val="18"/>
              </w:rPr>
            </w:pPr>
          </w:p>
        </w:tc>
        <w:tc>
          <w:tcPr>
            <w:tcW w:w="1178" w:type="dxa"/>
            <w:shd w:val="clear" w:color="auto" w:fill="D2EAF1"/>
            <w:noWrap/>
          </w:tcPr>
          <w:p w14:paraId="7185634E" w14:textId="77777777" w:rsidR="00096DC8" w:rsidRPr="00117BF8" w:rsidRDefault="00096DC8" w:rsidP="00104210">
            <w:pPr>
              <w:pStyle w:val="TablaC"/>
              <w:jc w:val="left"/>
              <w:rPr>
                <w:rFonts w:ascii="Arial" w:hAnsi="Arial" w:cs="Arial"/>
                <w:bCs/>
                <w:sz w:val="18"/>
                <w:szCs w:val="18"/>
              </w:rPr>
            </w:pPr>
          </w:p>
        </w:tc>
        <w:tc>
          <w:tcPr>
            <w:tcW w:w="1178" w:type="dxa"/>
            <w:shd w:val="clear" w:color="auto" w:fill="D2EAF1"/>
            <w:noWrap/>
          </w:tcPr>
          <w:p w14:paraId="253FA105" w14:textId="77777777" w:rsidR="00096DC8" w:rsidRPr="00117BF8" w:rsidRDefault="00096DC8" w:rsidP="00104210">
            <w:pPr>
              <w:pStyle w:val="TablaC"/>
              <w:jc w:val="left"/>
              <w:rPr>
                <w:rFonts w:ascii="Arial" w:hAnsi="Arial" w:cs="Arial"/>
                <w:bCs/>
                <w:sz w:val="18"/>
                <w:szCs w:val="18"/>
              </w:rPr>
            </w:pPr>
          </w:p>
        </w:tc>
        <w:tc>
          <w:tcPr>
            <w:tcW w:w="1178" w:type="dxa"/>
            <w:shd w:val="clear" w:color="auto" w:fill="D2EAF1"/>
            <w:noWrap/>
          </w:tcPr>
          <w:p w14:paraId="1511160F" w14:textId="77777777" w:rsidR="00096DC8" w:rsidRPr="00117BF8" w:rsidRDefault="00096DC8" w:rsidP="00104210">
            <w:pPr>
              <w:pStyle w:val="TablaC"/>
              <w:jc w:val="left"/>
              <w:rPr>
                <w:rFonts w:ascii="Arial" w:hAnsi="Arial" w:cs="Arial"/>
                <w:bCs/>
                <w:sz w:val="18"/>
                <w:szCs w:val="18"/>
              </w:rPr>
            </w:pPr>
          </w:p>
        </w:tc>
        <w:tc>
          <w:tcPr>
            <w:tcW w:w="1178" w:type="dxa"/>
            <w:shd w:val="clear" w:color="auto" w:fill="D2EAF1"/>
            <w:noWrap/>
          </w:tcPr>
          <w:p w14:paraId="4B87FDBD" w14:textId="77777777" w:rsidR="00096DC8" w:rsidRPr="00117BF8" w:rsidRDefault="00096DC8" w:rsidP="00104210">
            <w:pPr>
              <w:pStyle w:val="TablaC"/>
              <w:jc w:val="left"/>
              <w:rPr>
                <w:rFonts w:ascii="Arial" w:hAnsi="Arial" w:cs="Arial"/>
                <w:bCs/>
                <w:sz w:val="18"/>
                <w:szCs w:val="18"/>
              </w:rPr>
            </w:pPr>
          </w:p>
        </w:tc>
        <w:tc>
          <w:tcPr>
            <w:tcW w:w="1178" w:type="dxa"/>
            <w:shd w:val="clear" w:color="auto" w:fill="D2EAF1"/>
          </w:tcPr>
          <w:p w14:paraId="3B1E0FA8" w14:textId="77777777" w:rsidR="00096DC8" w:rsidRPr="00117BF8" w:rsidRDefault="00096DC8" w:rsidP="00104210">
            <w:pPr>
              <w:pStyle w:val="TablaC"/>
              <w:jc w:val="left"/>
              <w:rPr>
                <w:rFonts w:ascii="Arial" w:hAnsi="Arial" w:cs="Arial"/>
                <w:bCs/>
                <w:sz w:val="18"/>
                <w:szCs w:val="18"/>
              </w:rPr>
            </w:pPr>
          </w:p>
        </w:tc>
        <w:tc>
          <w:tcPr>
            <w:tcW w:w="1178" w:type="dxa"/>
            <w:shd w:val="clear" w:color="auto" w:fill="D2EAF1"/>
          </w:tcPr>
          <w:p w14:paraId="0B4B6B43" w14:textId="77777777" w:rsidR="00096DC8" w:rsidRPr="00117BF8" w:rsidRDefault="00096DC8" w:rsidP="00104210">
            <w:pPr>
              <w:pStyle w:val="TablaC"/>
              <w:jc w:val="left"/>
              <w:rPr>
                <w:rFonts w:ascii="Arial" w:hAnsi="Arial" w:cs="Arial"/>
                <w:bCs/>
                <w:sz w:val="18"/>
                <w:szCs w:val="18"/>
              </w:rPr>
            </w:pPr>
          </w:p>
        </w:tc>
      </w:tr>
      <w:tr w:rsidR="00096DC8" w:rsidRPr="004E6455" w14:paraId="7CBD7DDB" w14:textId="77777777" w:rsidTr="00F87E48">
        <w:trPr>
          <w:trHeight w:val="300"/>
          <w:jc w:val="center"/>
        </w:trPr>
        <w:tc>
          <w:tcPr>
            <w:tcW w:w="1840" w:type="dxa"/>
            <w:gridSpan w:val="2"/>
            <w:shd w:val="clear" w:color="auto" w:fill="auto"/>
            <w:noWrap/>
          </w:tcPr>
          <w:p w14:paraId="35CF3749"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Ajuste Técnico (*)</w:t>
            </w:r>
          </w:p>
        </w:tc>
        <w:tc>
          <w:tcPr>
            <w:tcW w:w="1178" w:type="dxa"/>
            <w:shd w:val="clear" w:color="auto" w:fill="auto"/>
            <w:noWrap/>
          </w:tcPr>
          <w:p w14:paraId="6988BD6A" w14:textId="77777777" w:rsidR="00096DC8" w:rsidRPr="00117BF8" w:rsidRDefault="00096DC8" w:rsidP="00104210">
            <w:pPr>
              <w:pStyle w:val="TablaC"/>
              <w:rPr>
                <w:rFonts w:ascii="Arial" w:hAnsi="Arial" w:cs="Arial"/>
                <w:sz w:val="18"/>
                <w:szCs w:val="18"/>
              </w:rPr>
            </w:pPr>
            <w:r w:rsidRPr="00117BF8">
              <w:rPr>
                <w:rFonts w:ascii="Arial" w:hAnsi="Arial" w:cs="Arial"/>
                <w:sz w:val="18"/>
                <w:szCs w:val="18"/>
              </w:rPr>
              <w:t>7.876</w:t>
            </w:r>
          </w:p>
        </w:tc>
        <w:tc>
          <w:tcPr>
            <w:tcW w:w="1178" w:type="dxa"/>
            <w:shd w:val="clear" w:color="auto" w:fill="auto"/>
            <w:noWrap/>
          </w:tcPr>
          <w:p w14:paraId="3DD779CD" w14:textId="77777777" w:rsidR="00096DC8" w:rsidRPr="00117BF8" w:rsidRDefault="00096DC8" w:rsidP="00104210">
            <w:pPr>
              <w:pStyle w:val="TablaC"/>
              <w:rPr>
                <w:rFonts w:ascii="Arial" w:hAnsi="Arial" w:cs="Arial"/>
                <w:sz w:val="18"/>
                <w:szCs w:val="18"/>
              </w:rPr>
            </w:pPr>
            <w:r w:rsidRPr="00117BF8">
              <w:rPr>
                <w:rFonts w:ascii="Arial" w:hAnsi="Arial" w:cs="Arial"/>
                <w:sz w:val="18"/>
                <w:szCs w:val="18"/>
              </w:rPr>
              <w:t>9.748</w:t>
            </w:r>
          </w:p>
        </w:tc>
        <w:tc>
          <w:tcPr>
            <w:tcW w:w="1178" w:type="dxa"/>
            <w:shd w:val="clear" w:color="auto" w:fill="auto"/>
            <w:noWrap/>
          </w:tcPr>
          <w:p w14:paraId="0E6895B4" w14:textId="77777777" w:rsidR="00096DC8" w:rsidRPr="00117BF8" w:rsidRDefault="00096DC8" w:rsidP="00104210">
            <w:pPr>
              <w:pStyle w:val="TablaC"/>
              <w:rPr>
                <w:rFonts w:ascii="Arial" w:hAnsi="Arial" w:cs="Arial"/>
                <w:sz w:val="18"/>
                <w:szCs w:val="18"/>
              </w:rPr>
            </w:pPr>
            <w:r w:rsidRPr="00117BF8">
              <w:rPr>
                <w:rFonts w:ascii="Arial" w:hAnsi="Arial" w:cs="Arial"/>
                <w:sz w:val="18"/>
                <w:szCs w:val="18"/>
              </w:rPr>
              <w:t>19.264</w:t>
            </w:r>
          </w:p>
        </w:tc>
        <w:tc>
          <w:tcPr>
            <w:tcW w:w="1178" w:type="dxa"/>
            <w:shd w:val="clear" w:color="auto" w:fill="auto"/>
            <w:noWrap/>
          </w:tcPr>
          <w:p w14:paraId="5D43C0E7" w14:textId="77777777" w:rsidR="00096DC8" w:rsidRPr="00117BF8" w:rsidRDefault="00096DC8" w:rsidP="00104210">
            <w:pPr>
              <w:pStyle w:val="TablaC"/>
              <w:rPr>
                <w:rFonts w:ascii="Arial" w:hAnsi="Arial" w:cs="Arial"/>
                <w:sz w:val="18"/>
                <w:szCs w:val="18"/>
              </w:rPr>
            </w:pPr>
          </w:p>
        </w:tc>
        <w:tc>
          <w:tcPr>
            <w:tcW w:w="1178" w:type="dxa"/>
          </w:tcPr>
          <w:p w14:paraId="0B4C45B2" w14:textId="77777777" w:rsidR="00096DC8" w:rsidRPr="00117BF8" w:rsidRDefault="00096DC8" w:rsidP="00104210">
            <w:pPr>
              <w:pStyle w:val="TablaC"/>
              <w:rPr>
                <w:rFonts w:ascii="Arial" w:hAnsi="Arial" w:cs="Arial"/>
                <w:sz w:val="18"/>
                <w:szCs w:val="18"/>
              </w:rPr>
            </w:pPr>
          </w:p>
        </w:tc>
        <w:tc>
          <w:tcPr>
            <w:tcW w:w="1178" w:type="dxa"/>
          </w:tcPr>
          <w:p w14:paraId="081A8719" w14:textId="77777777" w:rsidR="00096DC8" w:rsidRPr="00117BF8" w:rsidRDefault="00096DC8" w:rsidP="00104210">
            <w:pPr>
              <w:pStyle w:val="TablaC"/>
              <w:rPr>
                <w:rFonts w:ascii="Arial" w:hAnsi="Arial" w:cs="Arial"/>
                <w:sz w:val="18"/>
                <w:szCs w:val="18"/>
              </w:rPr>
            </w:pPr>
          </w:p>
        </w:tc>
      </w:tr>
      <w:tr w:rsidR="00096DC8" w:rsidRPr="004E6455" w14:paraId="127B7B03" w14:textId="77777777" w:rsidTr="00F87E48">
        <w:trPr>
          <w:trHeight w:val="300"/>
          <w:jc w:val="center"/>
        </w:trPr>
        <w:tc>
          <w:tcPr>
            <w:tcW w:w="1840" w:type="dxa"/>
            <w:gridSpan w:val="2"/>
            <w:shd w:val="clear" w:color="auto" w:fill="D2EAF1"/>
            <w:noWrap/>
            <w:hideMark/>
          </w:tcPr>
          <w:p w14:paraId="0C92281B" w14:textId="77777777" w:rsidR="00096DC8" w:rsidRPr="00117BF8" w:rsidRDefault="00096DC8" w:rsidP="00E671EE">
            <w:pPr>
              <w:pStyle w:val="TablaC"/>
              <w:jc w:val="left"/>
              <w:rPr>
                <w:rFonts w:ascii="Arial" w:hAnsi="Arial" w:cs="Arial"/>
                <w:bCs/>
                <w:sz w:val="18"/>
                <w:szCs w:val="18"/>
              </w:rPr>
            </w:pPr>
            <w:r w:rsidRPr="00117BF8">
              <w:rPr>
                <w:rFonts w:ascii="Arial" w:hAnsi="Arial" w:cs="Arial"/>
                <w:bCs/>
                <w:sz w:val="18"/>
                <w:szCs w:val="18"/>
              </w:rPr>
              <w:t>Resultado Total</w:t>
            </w:r>
          </w:p>
        </w:tc>
        <w:tc>
          <w:tcPr>
            <w:tcW w:w="1178" w:type="dxa"/>
            <w:shd w:val="clear" w:color="auto" w:fill="D2EAF1"/>
            <w:noWrap/>
            <w:hideMark/>
          </w:tcPr>
          <w:p w14:paraId="5E195CDD"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w:t>
            </w:r>
          </w:p>
        </w:tc>
        <w:tc>
          <w:tcPr>
            <w:tcW w:w="1178" w:type="dxa"/>
            <w:shd w:val="clear" w:color="auto" w:fill="D2EAF1"/>
            <w:noWrap/>
            <w:hideMark/>
          </w:tcPr>
          <w:p w14:paraId="0E0C67F3"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w:t>
            </w:r>
          </w:p>
        </w:tc>
        <w:tc>
          <w:tcPr>
            <w:tcW w:w="1178" w:type="dxa"/>
            <w:shd w:val="clear" w:color="auto" w:fill="D2EAF1"/>
            <w:noWrap/>
            <w:hideMark/>
          </w:tcPr>
          <w:p w14:paraId="0CFC8AB4" w14:textId="0F78A674" w:rsidR="00096DC8" w:rsidRPr="00117BF8" w:rsidRDefault="00096DC8" w:rsidP="00104210">
            <w:pPr>
              <w:pStyle w:val="TablaC"/>
              <w:rPr>
                <w:rFonts w:ascii="Arial" w:hAnsi="Arial" w:cs="Arial"/>
                <w:sz w:val="18"/>
                <w:szCs w:val="18"/>
              </w:rPr>
            </w:pPr>
            <w:r w:rsidRPr="00117BF8">
              <w:rPr>
                <w:rFonts w:ascii="Arial" w:hAnsi="Arial" w:cs="Arial"/>
                <w:sz w:val="18"/>
                <w:szCs w:val="18"/>
              </w:rPr>
              <w:t>-</w:t>
            </w:r>
          </w:p>
        </w:tc>
        <w:tc>
          <w:tcPr>
            <w:tcW w:w="1178" w:type="dxa"/>
            <w:shd w:val="clear" w:color="auto" w:fill="D2EAF1"/>
            <w:noWrap/>
            <w:hideMark/>
          </w:tcPr>
          <w:p w14:paraId="4F61E26C" w14:textId="77777777" w:rsidR="00096DC8" w:rsidRPr="00117BF8" w:rsidRDefault="00096DC8" w:rsidP="00E671EE">
            <w:pPr>
              <w:pStyle w:val="TablaC"/>
              <w:rPr>
                <w:rFonts w:ascii="Arial" w:hAnsi="Arial" w:cs="Arial"/>
                <w:sz w:val="18"/>
                <w:szCs w:val="18"/>
              </w:rPr>
            </w:pPr>
            <w:r w:rsidRPr="00117BF8">
              <w:rPr>
                <w:rFonts w:ascii="Arial" w:hAnsi="Arial" w:cs="Arial"/>
                <w:sz w:val="18"/>
                <w:szCs w:val="18"/>
              </w:rPr>
              <w:t>-</w:t>
            </w:r>
          </w:p>
        </w:tc>
        <w:tc>
          <w:tcPr>
            <w:tcW w:w="1178" w:type="dxa"/>
            <w:shd w:val="clear" w:color="auto" w:fill="D2EAF1"/>
          </w:tcPr>
          <w:p w14:paraId="79382A90" w14:textId="77777777" w:rsidR="00096DC8" w:rsidRPr="00117BF8" w:rsidRDefault="00096DC8" w:rsidP="00E671EE">
            <w:pPr>
              <w:pStyle w:val="TablaC"/>
              <w:rPr>
                <w:rFonts w:ascii="Arial" w:hAnsi="Arial" w:cs="Arial"/>
                <w:sz w:val="18"/>
                <w:szCs w:val="18"/>
              </w:rPr>
            </w:pPr>
          </w:p>
        </w:tc>
        <w:tc>
          <w:tcPr>
            <w:tcW w:w="1178" w:type="dxa"/>
            <w:shd w:val="clear" w:color="auto" w:fill="D2EAF1"/>
          </w:tcPr>
          <w:p w14:paraId="7AC5D4A3" w14:textId="77777777" w:rsidR="00096DC8" w:rsidRPr="00117BF8" w:rsidRDefault="00096DC8" w:rsidP="00E671EE">
            <w:pPr>
              <w:pStyle w:val="TablaC"/>
              <w:rPr>
                <w:rFonts w:ascii="Arial" w:hAnsi="Arial" w:cs="Arial"/>
                <w:sz w:val="18"/>
                <w:szCs w:val="18"/>
              </w:rPr>
            </w:pPr>
          </w:p>
        </w:tc>
      </w:tr>
    </w:tbl>
    <w:p w14:paraId="262AD711" w14:textId="77777777" w:rsidR="00F87E48" w:rsidRPr="00117BF8" w:rsidRDefault="00EF5604" w:rsidP="00EF5604">
      <w:pPr>
        <w:pStyle w:val="Hfuente"/>
        <w:rPr>
          <w:rFonts w:ascii="Arial" w:hAnsi="Arial" w:cs="Arial"/>
          <w:sz w:val="18"/>
          <w:szCs w:val="18"/>
        </w:rPr>
      </w:pPr>
      <w:r w:rsidRPr="00117BF8">
        <w:rPr>
          <w:rFonts w:ascii="Arial" w:hAnsi="Arial" w:cs="Arial"/>
          <w:sz w:val="18"/>
          <w:szCs w:val="18"/>
        </w:rPr>
        <w:t>Fuente: 2013 a 2016 CGPBA.</w:t>
      </w:r>
      <w:r w:rsidR="00104210" w:rsidRPr="00117BF8">
        <w:rPr>
          <w:rFonts w:ascii="Arial" w:hAnsi="Arial" w:cs="Arial"/>
          <w:sz w:val="18"/>
          <w:szCs w:val="18"/>
        </w:rPr>
        <w:t xml:space="preserve"> </w:t>
      </w:r>
      <w:r w:rsidR="00D403AB" w:rsidRPr="00117BF8">
        <w:rPr>
          <w:rFonts w:ascii="Arial" w:hAnsi="Arial" w:cs="Arial"/>
          <w:sz w:val="18"/>
          <w:szCs w:val="18"/>
        </w:rPr>
        <w:t xml:space="preserve">(*) </w:t>
      </w:r>
      <w:r w:rsidR="00104210" w:rsidRPr="00117BF8">
        <w:rPr>
          <w:rFonts w:ascii="Arial" w:hAnsi="Arial" w:cs="Arial"/>
          <w:sz w:val="18"/>
          <w:szCs w:val="18"/>
        </w:rPr>
        <w:t>La CGPBA no realiza este este ajuste e informa Resultado Total Negativo, con el propósito de informar todas las fuentes de financiamiento se incluye este ajuste.</w:t>
      </w:r>
      <w:r w:rsidR="00F87E48" w:rsidRPr="00117BF8">
        <w:rPr>
          <w:rFonts w:ascii="Arial" w:hAnsi="Arial" w:cs="Arial"/>
          <w:sz w:val="18"/>
          <w:szCs w:val="18"/>
        </w:rPr>
        <w:t xml:space="preserve"> Los datos correspondientes al Presupuesto 2017 son algo diferentes a los aprobados originalmente porque se corresponden a</w:t>
      </w:r>
      <w:r w:rsidR="00601F5D" w:rsidRPr="00117BF8">
        <w:rPr>
          <w:rFonts w:ascii="Arial" w:hAnsi="Arial" w:cs="Arial"/>
          <w:sz w:val="18"/>
          <w:szCs w:val="18"/>
        </w:rPr>
        <w:t xml:space="preserve">l informe de </w:t>
      </w:r>
      <w:r w:rsidR="00F87E48" w:rsidRPr="00117BF8">
        <w:rPr>
          <w:rFonts w:ascii="Arial" w:hAnsi="Arial" w:cs="Arial"/>
          <w:sz w:val="18"/>
          <w:szCs w:val="18"/>
        </w:rPr>
        <w:t xml:space="preserve">ejecución al 31/3/17 y seguramente </w:t>
      </w:r>
      <w:r w:rsidR="00601F5D" w:rsidRPr="00117BF8">
        <w:rPr>
          <w:rFonts w:ascii="Arial" w:hAnsi="Arial" w:cs="Arial"/>
          <w:sz w:val="18"/>
          <w:szCs w:val="18"/>
        </w:rPr>
        <w:t>fueron</w:t>
      </w:r>
      <w:r w:rsidR="00F87E48" w:rsidRPr="00117BF8">
        <w:rPr>
          <w:rFonts w:ascii="Arial" w:hAnsi="Arial" w:cs="Arial"/>
          <w:sz w:val="18"/>
          <w:szCs w:val="18"/>
        </w:rPr>
        <w:t xml:space="preserve"> modifica</w:t>
      </w:r>
      <w:r w:rsidR="00601F5D" w:rsidRPr="00117BF8">
        <w:rPr>
          <w:rFonts w:ascii="Arial" w:hAnsi="Arial" w:cs="Arial"/>
          <w:sz w:val="18"/>
          <w:szCs w:val="18"/>
        </w:rPr>
        <w:t>das</w:t>
      </w:r>
      <w:r w:rsidR="00F87E48" w:rsidRPr="00117BF8">
        <w:rPr>
          <w:rFonts w:ascii="Arial" w:hAnsi="Arial" w:cs="Arial"/>
          <w:sz w:val="18"/>
          <w:szCs w:val="18"/>
        </w:rPr>
        <w:t xml:space="preserve"> respecto al crédito original.</w:t>
      </w:r>
    </w:p>
    <w:p w14:paraId="54896AC3" w14:textId="77777777" w:rsidR="006A6E99" w:rsidRPr="00117BF8" w:rsidRDefault="006A6E99" w:rsidP="006A6E99">
      <w:pPr>
        <w:pStyle w:val="hsa"/>
        <w:rPr>
          <w:rFonts w:ascii="Arial" w:eastAsia="Calibri" w:hAnsi="Arial" w:cs="Arial"/>
        </w:rPr>
      </w:pPr>
      <w:r w:rsidRPr="00117BF8">
        <w:rPr>
          <w:rFonts w:ascii="Arial" w:eastAsia="Calibri" w:hAnsi="Arial" w:cs="Arial"/>
          <w:sz w:val="22"/>
          <w:szCs w:val="22"/>
        </w:rPr>
        <w:t xml:space="preserve">Los resultados económico y financiero muestran una gran disparidad entre el crédito original y lo ejecutado, tanto en términos relativos como absolutos. La </w:t>
      </w:r>
      <w:r w:rsidRPr="00117BF8">
        <w:rPr>
          <w:rFonts w:ascii="Arial" w:hAnsi="Arial" w:cs="Arial"/>
          <w:sz w:val="22"/>
          <w:szCs w:val="22"/>
        </w:rPr>
        <w:t>CGPBA informa Resultado Total negativo para los años 2013 a 2015, con el</w:t>
      </w:r>
      <w:r w:rsidRPr="00117BF8">
        <w:rPr>
          <w:rFonts w:ascii="Arial" w:hAnsi="Arial" w:cs="Arial"/>
        </w:rPr>
        <w:t xml:space="preserve"> propósito de presentar adecuadamente los resultados, en la Tabla RE1, se incluyó una línea de ajuste técnico, para reflejar todas la</w:t>
      </w:r>
      <w:r w:rsidR="00601F5D" w:rsidRPr="00117BF8">
        <w:rPr>
          <w:rFonts w:ascii="Arial" w:hAnsi="Arial" w:cs="Arial"/>
        </w:rPr>
        <w:t>s</w:t>
      </w:r>
      <w:r w:rsidRPr="00117BF8">
        <w:rPr>
          <w:rFonts w:ascii="Arial" w:hAnsi="Arial" w:cs="Arial"/>
        </w:rPr>
        <w:t xml:space="preserve"> f</w:t>
      </w:r>
      <w:r w:rsidR="00601F5D" w:rsidRPr="00117BF8">
        <w:rPr>
          <w:rFonts w:ascii="Arial" w:hAnsi="Arial" w:cs="Arial"/>
        </w:rPr>
        <w:t>uent</w:t>
      </w:r>
      <w:r w:rsidRPr="00117BF8">
        <w:rPr>
          <w:rFonts w:ascii="Arial" w:hAnsi="Arial" w:cs="Arial"/>
        </w:rPr>
        <w:t>es de financiamiento.</w:t>
      </w:r>
    </w:p>
    <w:p w14:paraId="36D18E89" w14:textId="77777777" w:rsidR="00CD3C07" w:rsidRPr="00117BF8" w:rsidRDefault="009F0FF1" w:rsidP="009F0FF1">
      <w:pPr>
        <w:pStyle w:val="hsa"/>
        <w:rPr>
          <w:rFonts w:ascii="Arial" w:eastAsia="Calibri" w:hAnsi="Arial" w:cs="Arial"/>
        </w:rPr>
      </w:pPr>
      <w:r w:rsidRPr="00117BF8">
        <w:rPr>
          <w:rFonts w:ascii="Arial" w:eastAsia="Calibri" w:hAnsi="Arial" w:cs="Arial"/>
        </w:rPr>
        <w:t>Los altos niveles de inflación ocurridos en el período</w:t>
      </w:r>
      <w:r w:rsidR="00601F5D" w:rsidRPr="00117BF8">
        <w:rPr>
          <w:rFonts w:ascii="Arial" w:eastAsia="Calibri" w:hAnsi="Arial" w:cs="Arial"/>
        </w:rPr>
        <w:t xml:space="preserve"> analizado</w:t>
      </w:r>
      <w:r w:rsidRPr="00117BF8">
        <w:rPr>
          <w:rFonts w:ascii="Arial" w:eastAsia="Calibri" w:hAnsi="Arial" w:cs="Arial"/>
        </w:rPr>
        <w:t xml:space="preserve"> impiden una apreciación clara de las causa</w:t>
      </w:r>
      <w:r w:rsidR="00312CB3" w:rsidRPr="00117BF8">
        <w:rPr>
          <w:rFonts w:ascii="Arial" w:eastAsia="Calibri" w:hAnsi="Arial" w:cs="Arial"/>
        </w:rPr>
        <w:t xml:space="preserve">les en el </w:t>
      </w:r>
      <w:r w:rsidRPr="00117BF8">
        <w:rPr>
          <w:rFonts w:ascii="Arial" w:eastAsia="Calibri" w:hAnsi="Arial" w:cs="Arial"/>
        </w:rPr>
        <w:t>cambio</w:t>
      </w:r>
      <w:r w:rsidR="00312CB3" w:rsidRPr="00117BF8">
        <w:rPr>
          <w:rFonts w:ascii="Arial" w:eastAsia="Calibri" w:hAnsi="Arial" w:cs="Arial"/>
        </w:rPr>
        <w:t xml:space="preserve"> de</w:t>
      </w:r>
      <w:r w:rsidRPr="00117BF8">
        <w:rPr>
          <w:rFonts w:ascii="Arial" w:eastAsia="Calibri" w:hAnsi="Arial" w:cs="Arial"/>
        </w:rPr>
        <w:t xml:space="preserve"> los resultados. Expresado</w:t>
      </w:r>
      <w:r w:rsidR="00A7000F" w:rsidRPr="00117BF8">
        <w:rPr>
          <w:rFonts w:ascii="Arial" w:eastAsia="Calibri" w:hAnsi="Arial" w:cs="Arial"/>
        </w:rPr>
        <w:t>s</w:t>
      </w:r>
      <w:r w:rsidRPr="00117BF8">
        <w:rPr>
          <w:rFonts w:ascii="Arial" w:eastAsia="Calibri" w:hAnsi="Arial" w:cs="Arial"/>
        </w:rPr>
        <w:t xml:space="preserve"> los componentes principales en precios constantes </w:t>
      </w:r>
      <w:r w:rsidR="00CD3C07" w:rsidRPr="00117BF8">
        <w:rPr>
          <w:rFonts w:ascii="Arial" w:eastAsia="Calibri" w:hAnsi="Arial" w:cs="Arial"/>
        </w:rPr>
        <w:t>se tiene que el deterioro</w:t>
      </w:r>
      <w:r w:rsidR="00A7000F" w:rsidRPr="00117BF8">
        <w:rPr>
          <w:rFonts w:ascii="Arial" w:eastAsia="Calibri" w:hAnsi="Arial" w:cs="Arial"/>
        </w:rPr>
        <w:t>,</w:t>
      </w:r>
      <w:r w:rsidR="00CD3C07" w:rsidRPr="00117BF8">
        <w:rPr>
          <w:rFonts w:ascii="Arial" w:eastAsia="Calibri" w:hAnsi="Arial" w:cs="Arial"/>
        </w:rPr>
        <w:t xml:space="preserve"> durante los últimos dos años</w:t>
      </w:r>
      <w:r w:rsidR="00A7000F" w:rsidRPr="00117BF8">
        <w:rPr>
          <w:rFonts w:ascii="Arial" w:eastAsia="Calibri" w:hAnsi="Arial" w:cs="Arial"/>
        </w:rPr>
        <w:t>,</w:t>
      </w:r>
      <w:r w:rsidR="00CD3C07" w:rsidRPr="00117BF8">
        <w:rPr>
          <w:rFonts w:ascii="Arial" w:eastAsia="Calibri" w:hAnsi="Arial" w:cs="Arial"/>
        </w:rPr>
        <w:t xml:space="preserve"> se origina en un incremento del gasto total de entre 17% y 20%, en comparación con 2014, mientras que los recursos totales crecieron sólo en la mitad de esos porcentajes.</w:t>
      </w:r>
    </w:p>
    <w:p w14:paraId="2055F37D" w14:textId="77777777" w:rsidR="00CD3C07" w:rsidRPr="00117BF8" w:rsidRDefault="00CD3C07" w:rsidP="00CD3C07">
      <w:pPr>
        <w:pStyle w:val="hsa"/>
        <w:rPr>
          <w:rFonts w:ascii="Arial" w:eastAsia="Calibri" w:hAnsi="Arial" w:cs="Arial"/>
        </w:rPr>
      </w:pPr>
      <w:r w:rsidRPr="00117BF8">
        <w:rPr>
          <w:rFonts w:ascii="Arial" w:eastAsia="Calibri" w:hAnsi="Arial" w:cs="Arial"/>
        </w:rPr>
        <w:t>Siempre a precios constantes, los resultados primario y financiero se mantuvieron en niveles similares durante los dos últimos años, el resultado financiero fue en promedio 12.400 millones negativo y el primario 6300 millones</w:t>
      </w:r>
      <w:r w:rsidR="009F0FF1" w:rsidRPr="00117BF8">
        <w:rPr>
          <w:rFonts w:ascii="Arial" w:eastAsia="Calibri" w:hAnsi="Arial" w:cs="Arial"/>
        </w:rPr>
        <w:t>, también negativo</w:t>
      </w:r>
      <w:r w:rsidRPr="00117BF8">
        <w:rPr>
          <w:rFonts w:ascii="Arial" w:eastAsia="Calibri" w:hAnsi="Arial" w:cs="Arial"/>
        </w:rPr>
        <w:t xml:space="preserve">. </w:t>
      </w:r>
    </w:p>
    <w:p w14:paraId="1C6AD476" w14:textId="77777777" w:rsidR="00CD3C07" w:rsidRPr="00117BF8" w:rsidRDefault="009F0FF1" w:rsidP="00CD3C07">
      <w:pPr>
        <w:pStyle w:val="hsa"/>
        <w:rPr>
          <w:rFonts w:ascii="Arial" w:eastAsia="Calibri" w:hAnsi="Arial" w:cs="Arial"/>
        </w:rPr>
      </w:pPr>
      <w:r w:rsidRPr="00117BF8">
        <w:rPr>
          <w:rFonts w:ascii="Arial" w:eastAsia="Calibri" w:hAnsi="Arial" w:cs="Arial"/>
        </w:rPr>
        <w:t>Entre el</w:t>
      </w:r>
      <w:r w:rsidR="00CD3C07" w:rsidRPr="00117BF8">
        <w:rPr>
          <w:rFonts w:ascii="Arial" w:eastAsia="Calibri" w:hAnsi="Arial" w:cs="Arial"/>
        </w:rPr>
        <w:t xml:space="preserve"> 2010 y el 201</w:t>
      </w:r>
      <w:r w:rsidR="009D315A" w:rsidRPr="00117BF8">
        <w:rPr>
          <w:rFonts w:ascii="Arial" w:eastAsia="Calibri" w:hAnsi="Arial" w:cs="Arial"/>
        </w:rPr>
        <w:t>6</w:t>
      </w:r>
      <w:r w:rsidR="00CD3C07" w:rsidRPr="00117BF8">
        <w:rPr>
          <w:rFonts w:ascii="Arial" w:eastAsia="Calibri" w:hAnsi="Arial" w:cs="Arial"/>
        </w:rPr>
        <w:t xml:space="preserve"> los Recursos Totales pasaron de representar el 13,4% del PBG al </w:t>
      </w:r>
      <w:r w:rsidR="009D315A" w:rsidRPr="00117BF8">
        <w:rPr>
          <w:rFonts w:ascii="Arial" w:eastAsia="Calibri" w:hAnsi="Arial" w:cs="Arial"/>
        </w:rPr>
        <w:t>17,5</w:t>
      </w:r>
      <w:r w:rsidR="00CD3C07" w:rsidRPr="00117BF8">
        <w:rPr>
          <w:rFonts w:ascii="Arial" w:eastAsia="Calibri" w:hAnsi="Arial" w:cs="Arial"/>
        </w:rPr>
        <w:t>%. Por otra parte, en valores constantes</w:t>
      </w:r>
      <w:r w:rsidR="00601F5D" w:rsidRPr="00117BF8">
        <w:rPr>
          <w:rFonts w:ascii="Arial" w:eastAsia="Calibri" w:hAnsi="Arial" w:cs="Arial"/>
        </w:rPr>
        <w:t>,</w:t>
      </w:r>
      <w:r w:rsidR="00CD3C07" w:rsidRPr="00117BF8">
        <w:rPr>
          <w:rFonts w:ascii="Arial" w:eastAsia="Calibri" w:hAnsi="Arial" w:cs="Arial"/>
        </w:rPr>
        <w:t xml:space="preserve"> el PBG creció un </w:t>
      </w:r>
      <w:r w:rsidR="006A6E99" w:rsidRPr="00117BF8">
        <w:rPr>
          <w:rFonts w:ascii="Arial" w:eastAsia="Calibri" w:hAnsi="Arial" w:cs="Arial"/>
        </w:rPr>
        <w:t>17</w:t>
      </w:r>
      <w:r w:rsidR="00CD3C07" w:rsidRPr="00117BF8">
        <w:rPr>
          <w:rFonts w:ascii="Arial" w:eastAsia="Calibri" w:hAnsi="Arial" w:cs="Arial"/>
        </w:rPr>
        <w:t xml:space="preserve">%. Es decir que los recursos fiscales en precios constantes </w:t>
      </w:r>
      <w:r w:rsidR="00601F5D" w:rsidRPr="00117BF8">
        <w:rPr>
          <w:rFonts w:ascii="Arial" w:eastAsia="Calibri" w:hAnsi="Arial" w:cs="Arial"/>
        </w:rPr>
        <w:t xml:space="preserve">crecieron </w:t>
      </w:r>
      <w:r w:rsidR="00CD3C07" w:rsidRPr="00117BF8">
        <w:rPr>
          <w:rFonts w:ascii="Arial" w:eastAsia="Calibri" w:hAnsi="Arial" w:cs="Arial"/>
        </w:rPr>
        <w:t>50% entre el 2010 y 201</w:t>
      </w:r>
      <w:r w:rsidR="006A6E99" w:rsidRPr="00117BF8">
        <w:rPr>
          <w:rFonts w:ascii="Arial" w:eastAsia="Calibri" w:hAnsi="Arial" w:cs="Arial"/>
        </w:rPr>
        <w:t>6</w:t>
      </w:r>
      <w:r w:rsidR="00CD3C07" w:rsidRPr="00117BF8">
        <w:rPr>
          <w:rFonts w:ascii="Arial" w:eastAsia="Calibri" w:hAnsi="Arial" w:cs="Arial"/>
        </w:rPr>
        <w:t>.</w:t>
      </w:r>
    </w:p>
    <w:p w14:paraId="4965625F" w14:textId="77777777" w:rsidR="005368EC" w:rsidRPr="00117BF8" w:rsidRDefault="00601F5D" w:rsidP="00CD3C07">
      <w:pPr>
        <w:pStyle w:val="hsa"/>
        <w:rPr>
          <w:rFonts w:ascii="Arial" w:eastAsia="Calibri" w:hAnsi="Arial" w:cs="Arial"/>
        </w:rPr>
      </w:pPr>
      <w:r w:rsidRPr="00117BF8">
        <w:rPr>
          <w:rFonts w:ascii="Arial" w:eastAsia="Calibri" w:hAnsi="Arial" w:cs="Arial"/>
        </w:rPr>
        <w:t>Los resultados históricos de</w:t>
      </w:r>
      <w:r w:rsidR="006A6E99" w:rsidRPr="00117BF8">
        <w:rPr>
          <w:rFonts w:ascii="Arial" w:eastAsia="Calibri" w:hAnsi="Arial" w:cs="Arial"/>
        </w:rPr>
        <w:t xml:space="preserve"> </w:t>
      </w:r>
      <w:r w:rsidR="005368EC" w:rsidRPr="00117BF8">
        <w:rPr>
          <w:rFonts w:ascii="Arial" w:eastAsia="Calibri" w:hAnsi="Arial" w:cs="Arial"/>
        </w:rPr>
        <w:t xml:space="preserve">las principales cuentas </w:t>
      </w:r>
      <w:r w:rsidRPr="00117BF8">
        <w:rPr>
          <w:rFonts w:ascii="Arial" w:eastAsia="Calibri" w:hAnsi="Arial" w:cs="Arial"/>
        </w:rPr>
        <w:t>en términos</w:t>
      </w:r>
      <w:r w:rsidR="005368EC" w:rsidRPr="00117BF8">
        <w:rPr>
          <w:rFonts w:ascii="Arial" w:eastAsia="Calibri" w:hAnsi="Arial" w:cs="Arial"/>
        </w:rPr>
        <w:t xml:space="preserve"> de PBG se indican en la tabla Re- </w:t>
      </w:r>
      <w:r w:rsidR="006A6E99" w:rsidRPr="00117BF8">
        <w:rPr>
          <w:rFonts w:ascii="Arial" w:eastAsia="Calibri" w:hAnsi="Arial" w:cs="Arial"/>
        </w:rPr>
        <w:t>2</w:t>
      </w:r>
      <w:r w:rsidR="005368EC" w:rsidRPr="00117BF8">
        <w:rPr>
          <w:rFonts w:ascii="Arial" w:eastAsia="Calibri" w:hAnsi="Arial" w:cs="Arial"/>
        </w:rPr>
        <w:t>.</w:t>
      </w:r>
      <w:r w:rsidR="005368EC" w:rsidRPr="00117BF8">
        <w:rPr>
          <w:rStyle w:val="FootnoteReference"/>
          <w:rFonts w:ascii="Arial" w:eastAsia="Calibri" w:hAnsi="Arial" w:cs="Arial"/>
        </w:rPr>
        <w:footnoteReference w:id="4"/>
      </w:r>
    </w:p>
    <w:tbl>
      <w:tblPr>
        <w:tblW w:w="7386" w:type="dxa"/>
        <w:jc w:val="center"/>
        <w:tblBorders>
          <w:top w:val="single" w:sz="8" w:space="0" w:color="78C0D4"/>
          <w:left w:val="single" w:sz="8" w:space="0" w:color="78C0D4"/>
          <w:bottom w:val="single" w:sz="8" w:space="0" w:color="78C0D4"/>
          <w:right w:val="single" w:sz="8" w:space="0" w:color="78C0D4"/>
        </w:tblBorders>
        <w:tblLook w:val="04A0" w:firstRow="1" w:lastRow="0" w:firstColumn="1" w:lastColumn="0" w:noHBand="0" w:noVBand="1"/>
      </w:tblPr>
      <w:tblGrid>
        <w:gridCol w:w="2850"/>
        <w:gridCol w:w="1134"/>
        <w:gridCol w:w="1134"/>
        <w:gridCol w:w="1134"/>
        <w:gridCol w:w="1134"/>
      </w:tblGrid>
      <w:tr w:rsidR="005368EC" w:rsidRPr="004E6455" w14:paraId="2FFDADFC" w14:textId="77777777" w:rsidTr="00716F81">
        <w:trPr>
          <w:trHeight w:val="300"/>
          <w:jc w:val="center"/>
        </w:trPr>
        <w:tc>
          <w:tcPr>
            <w:tcW w:w="7386" w:type="dxa"/>
            <w:gridSpan w:val="5"/>
            <w:shd w:val="clear" w:color="auto" w:fill="0070C0"/>
            <w:noWrap/>
          </w:tcPr>
          <w:p w14:paraId="1214F3C4" w14:textId="77777777" w:rsidR="005368EC" w:rsidRPr="00117BF8" w:rsidRDefault="005368EC" w:rsidP="00716F81">
            <w:pPr>
              <w:pStyle w:val="TablaT"/>
              <w:rPr>
                <w:rFonts w:ascii="Arial" w:hAnsi="Arial" w:cs="Arial"/>
                <w:bCs/>
                <w:sz w:val="22"/>
                <w:szCs w:val="22"/>
                <w:lang w:val="es-ES_tradnl"/>
              </w:rPr>
            </w:pPr>
            <w:bookmarkStart w:id="5" w:name="_Toc493861109"/>
            <w:r w:rsidRPr="00117BF8">
              <w:rPr>
                <w:rFonts w:ascii="Arial" w:hAnsi="Arial" w:cs="Arial"/>
                <w:bCs/>
                <w:sz w:val="22"/>
                <w:szCs w:val="22"/>
                <w:lang w:val="es-ES_tradnl"/>
              </w:rPr>
              <w:t xml:space="preserve">Tabla RE </w:t>
            </w:r>
            <w:r w:rsidR="006A6E99" w:rsidRPr="00117BF8">
              <w:rPr>
                <w:rFonts w:ascii="Arial" w:hAnsi="Arial" w:cs="Arial"/>
                <w:bCs/>
                <w:sz w:val="22"/>
                <w:szCs w:val="22"/>
                <w:lang w:val="es-ES_tradnl"/>
              </w:rPr>
              <w:t>2</w:t>
            </w:r>
            <w:r w:rsidRPr="00117BF8">
              <w:rPr>
                <w:rFonts w:ascii="Arial" w:hAnsi="Arial" w:cs="Arial"/>
                <w:bCs/>
                <w:sz w:val="22"/>
                <w:szCs w:val="22"/>
                <w:lang w:val="es-ES_tradnl"/>
              </w:rPr>
              <w:t xml:space="preserve"> - Principales Cuentas Fiscales </w:t>
            </w:r>
            <w:r w:rsidR="00444838" w:rsidRPr="00117BF8">
              <w:rPr>
                <w:rFonts w:ascii="Arial" w:hAnsi="Arial" w:cs="Arial"/>
                <w:bCs/>
                <w:sz w:val="22"/>
                <w:szCs w:val="22"/>
                <w:lang w:val="es-ES_tradnl"/>
              </w:rPr>
              <w:t>–</w:t>
            </w:r>
            <w:r w:rsidRPr="00117BF8">
              <w:rPr>
                <w:rFonts w:ascii="Arial" w:hAnsi="Arial" w:cs="Arial"/>
                <w:bCs/>
                <w:sz w:val="22"/>
                <w:szCs w:val="22"/>
                <w:lang w:val="es-ES_tradnl"/>
              </w:rPr>
              <w:t xml:space="preserve"> Ejecutado</w:t>
            </w:r>
            <w:r w:rsidR="00444838" w:rsidRPr="00117BF8">
              <w:rPr>
                <w:rFonts w:ascii="Arial" w:hAnsi="Arial" w:cs="Arial"/>
                <w:bCs/>
                <w:sz w:val="22"/>
                <w:szCs w:val="22"/>
                <w:lang w:val="es-ES_tradnl"/>
              </w:rPr>
              <w:t xml:space="preserve"> vs PBG</w:t>
            </w:r>
            <w:bookmarkEnd w:id="5"/>
          </w:p>
          <w:p w14:paraId="48D86092" w14:textId="77777777" w:rsidR="005368EC" w:rsidRPr="00117BF8" w:rsidRDefault="005368EC" w:rsidP="00716F81">
            <w:pPr>
              <w:pStyle w:val="TablaC"/>
              <w:rPr>
                <w:rFonts w:ascii="Arial" w:hAnsi="Arial" w:cs="Arial"/>
                <w:color w:val="FFFFFF"/>
                <w:szCs w:val="22"/>
              </w:rPr>
            </w:pPr>
            <w:r w:rsidRPr="00117BF8">
              <w:rPr>
                <w:rFonts w:ascii="Arial" w:hAnsi="Arial" w:cs="Arial"/>
                <w:color w:val="FFFFFF"/>
                <w:szCs w:val="22"/>
              </w:rPr>
              <w:t>En</w:t>
            </w:r>
            <w:r w:rsidR="006A6E99" w:rsidRPr="00117BF8">
              <w:rPr>
                <w:rFonts w:ascii="Arial" w:hAnsi="Arial" w:cs="Arial"/>
                <w:color w:val="FFFFFF"/>
                <w:szCs w:val="22"/>
              </w:rPr>
              <w:t xml:space="preserve"> porcentaje de PBG</w:t>
            </w:r>
          </w:p>
        </w:tc>
      </w:tr>
      <w:tr w:rsidR="005368EC" w:rsidRPr="004E6455" w14:paraId="45FE5F9B" w14:textId="77777777" w:rsidTr="00716F81">
        <w:trPr>
          <w:trHeight w:val="300"/>
          <w:jc w:val="center"/>
        </w:trPr>
        <w:tc>
          <w:tcPr>
            <w:tcW w:w="2850" w:type="dxa"/>
            <w:shd w:val="clear" w:color="auto" w:fill="0070C0"/>
            <w:noWrap/>
            <w:hideMark/>
          </w:tcPr>
          <w:p w14:paraId="32087A6F" w14:textId="77777777" w:rsidR="005368EC" w:rsidRPr="00117BF8" w:rsidRDefault="005368EC" w:rsidP="00716F81">
            <w:pPr>
              <w:pStyle w:val="TablaE"/>
              <w:rPr>
                <w:rFonts w:ascii="Arial" w:hAnsi="Arial" w:cs="Arial"/>
                <w:b w:val="0"/>
                <w:bCs/>
                <w:sz w:val="22"/>
                <w:szCs w:val="22"/>
              </w:rPr>
            </w:pPr>
          </w:p>
        </w:tc>
        <w:tc>
          <w:tcPr>
            <w:tcW w:w="1134" w:type="dxa"/>
            <w:shd w:val="clear" w:color="auto" w:fill="0070C0"/>
            <w:noWrap/>
            <w:hideMark/>
          </w:tcPr>
          <w:p w14:paraId="0A4DBEA8" w14:textId="77777777" w:rsidR="005368EC" w:rsidRPr="00117BF8" w:rsidRDefault="005368EC" w:rsidP="00716F81">
            <w:pPr>
              <w:pStyle w:val="TablaE"/>
              <w:rPr>
                <w:rFonts w:ascii="Arial" w:hAnsi="Arial" w:cs="Arial"/>
                <w:sz w:val="22"/>
                <w:szCs w:val="22"/>
              </w:rPr>
            </w:pPr>
            <w:r w:rsidRPr="00117BF8">
              <w:rPr>
                <w:rFonts w:ascii="Arial" w:hAnsi="Arial" w:cs="Arial"/>
                <w:sz w:val="22"/>
                <w:szCs w:val="22"/>
              </w:rPr>
              <w:t>2013</w:t>
            </w:r>
          </w:p>
        </w:tc>
        <w:tc>
          <w:tcPr>
            <w:tcW w:w="1134" w:type="dxa"/>
            <w:shd w:val="clear" w:color="auto" w:fill="0070C0"/>
            <w:noWrap/>
            <w:hideMark/>
          </w:tcPr>
          <w:p w14:paraId="6397EDB3" w14:textId="77777777" w:rsidR="005368EC" w:rsidRPr="00117BF8" w:rsidRDefault="005368EC" w:rsidP="00716F81">
            <w:pPr>
              <w:pStyle w:val="TablaE"/>
              <w:rPr>
                <w:rFonts w:ascii="Arial" w:hAnsi="Arial" w:cs="Arial"/>
                <w:sz w:val="22"/>
                <w:szCs w:val="22"/>
              </w:rPr>
            </w:pPr>
            <w:r w:rsidRPr="00117BF8">
              <w:rPr>
                <w:rFonts w:ascii="Arial" w:hAnsi="Arial" w:cs="Arial"/>
                <w:sz w:val="22"/>
                <w:szCs w:val="22"/>
              </w:rPr>
              <w:t>2014</w:t>
            </w:r>
          </w:p>
        </w:tc>
        <w:tc>
          <w:tcPr>
            <w:tcW w:w="1134" w:type="dxa"/>
            <w:shd w:val="clear" w:color="auto" w:fill="0070C0"/>
            <w:noWrap/>
            <w:hideMark/>
          </w:tcPr>
          <w:p w14:paraId="5686CE7B" w14:textId="77777777" w:rsidR="005368EC" w:rsidRPr="00117BF8" w:rsidRDefault="005368EC" w:rsidP="00716F81">
            <w:pPr>
              <w:pStyle w:val="TablaE"/>
              <w:rPr>
                <w:rFonts w:ascii="Arial" w:hAnsi="Arial" w:cs="Arial"/>
                <w:sz w:val="22"/>
                <w:szCs w:val="22"/>
              </w:rPr>
            </w:pPr>
            <w:r w:rsidRPr="00117BF8">
              <w:rPr>
                <w:rFonts w:ascii="Arial" w:hAnsi="Arial" w:cs="Arial"/>
                <w:sz w:val="22"/>
                <w:szCs w:val="22"/>
              </w:rPr>
              <w:t>2015</w:t>
            </w:r>
          </w:p>
        </w:tc>
        <w:tc>
          <w:tcPr>
            <w:tcW w:w="1134" w:type="dxa"/>
            <w:shd w:val="clear" w:color="auto" w:fill="0070C0"/>
            <w:noWrap/>
            <w:hideMark/>
          </w:tcPr>
          <w:p w14:paraId="0CAC3874" w14:textId="77777777" w:rsidR="005368EC" w:rsidRPr="00117BF8" w:rsidRDefault="005368EC" w:rsidP="00716F81">
            <w:pPr>
              <w:pStyle w:val="TablaE"/>
              <w:rPr>
                <w:rFonts w:ascii="Arial" w:hAnsi="Arial" w:cs="Arial"/>
                <w:sz w:val="22"/>
                <w:szCs w:val="22"/>
              </w:rPr>
            </w:pPr>
            <w:r w:rsidRPr="00117BF8">
              <w:rPr>
                <w:rFonts w:ascii="Arial" w:hAnsi="Arial" w:cs="Arial"/>
                <w:sz w:val="22"/>
                <w:szCs w:val="22"/>
              </w:rPr>
              <w:t>2016</w:t>
            </w:r>
          </w:p>
        </w:tc>
      </w:tr>
      <w:tr w:rsidR="005368EC" w:rsidRPr="004E6455" w14:paraId="1BF029AF" w14:textId="77777777" w:rsidTr="00716F81">
        <w:trPr>
          <w:trHeight w:val="300"/>
          <w:jc w:val="center"/>
        </w:trPr>
        <w:tc>
          <w:tcPr>
            <w:tcW w:w="2850" w:type="dxa"/>
            <w:shd w:val="clear" w:color="auto" w:fill="D2EAF1"/>
            <w:noWrap/>
            <w:hideMark/>
          </w:tcPr>
          <w:p w14:paraId="4AA69041"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Recursos Corrientes</w:t>
            </w:r>
          </w:p>
        </w:tc>
        <w:tc>
          <w:tcPr>
            <w:tcW w:w="1134" w:type="dxa"/>
            <w:shd w:val="clear" w:color="auto" w:fill="D2EAF1"/>
            <w:noWrap/>
            <w:vAlign w:val="bottom"/>
            <w:hideMark/>
          </w:tcPr>
          <w:p w14:paraId="72F8EA5F"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15,0%</w:t>
            </w:r>
          </w:p>
        </w:tc>
        <w:tc>
          <w:tcPr>
            <w:tcW w:w="1134" w:type="dxa"/>
            <w:shd w:val="clear" w:color="auto" w:fill="D2EAF1"/>
            <w:noWrap/>
            <w:vAlign w:val="bottom"/>
            <w:hideMark/>
          </w:tcPr>
          <w:p w14:paraId="524439C5"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15,5%</w:t>
            </w:r>
          </w:p>
        </w:tc>
        <w:tc>
          <w:tcPr>
            <w:tcW w:w="1134" w:type="dxa"/>
            <w:shd w:val="clear" w:color="auto" w:fill="D2EAF1"/>
            <w:noWrap/>
            <w:vAlign w:val="bottom"/>
            <w:hideMark/>
          </w:tcPr>
          <w:p w14:paraId="1E690CC4"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16,4%</w:t>
            </w:r>
          </w:p>
        </w:tc>
        <w:tc>
          <w:tcPr>
            <w:tcW w:w="1134" w:type="dxa"/>
            <w:shd w:val="clear" w:color="auto" w:fill="D2EAF1"/>
            <w:noWrap/>
            <w:vAlign w:val="bottom"/>
            <w:hideMark/>
          </w:tcPr>
          <w:p w14:paraId="3F1B78A5"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17,2%</w:t>
            </w:r>
          </w:p>
        </w:tc>
      </w:tr>
      <w:tr w:rsidR="005368EC" w:rsidRPr="004E6455" w14:paraId="327CCA9A" w14:textId="77777777" w:rsidTr="00716F81">
        <w:trPr>
          <w:trHeight w:val="300"/>
          <w:jc w:val="center"/>
        </w:trPr>
        <w:tc>
          <w:tcPr>
            <w:tcW w:w="2850" w:type="dxa"/>
            <w:shd w:val="clear" w:color="auto" w:fill="auto"/>
            <w:noWrap/>
            <w:hideMark/>
          </w:tcPr>
          <w:p w14:paraId="677BECF2"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Gastos Corrientes</w:t>
            </w:r>
          </w:p>
        </w:tc>
        <w:tc>
          <w:tcPr>
            <w:tcW w:w="1134" w:type="dxa"/>
            <w:shd w:val="clear" w:color="auto" w:fill="auto"/>
            <w:noWrap/>
            <w:vAlign w:val="bottom"/>
            <w:hideMark/>
          </w:tcPr>
          <w:p w14:paraId="183DFFF8"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15,0%</w:t>
            </w:r>
          </w:p>
        </w:tc>
        <w:tc>
          <w:tcPr>
            <w:tcW w:w="1134" w:type="dxa"/>
            <w:shd w:val="clear" w:color="auto" w:fill="auto"/>
            <w:noWrap/>
            <w:vAlign w:val="bottom"/>
            <w:hideMark/>
          </w:tcPr>
          <w:p w14:paraId="1D9190D5"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15,2%</w:t>
            </w:r>
          </w:p>
        </w:tc>
        <w:tc>
          <w:tcPr>
            <w:tcW w:w="1134" w:type="dxa"/>
            <w:shd w:val="clear" w:color="auto" w:fill="auto"/>
            <w:noWrap/>
            <w:vAlign w:val="bottom"/>
            <w:hideMark/>
          </w:tcPr>
          <w:p w14:paraId="746DF6A5"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17,4%</w:t>
            </w:r>
          </w:p>
        </w:tc>
        <w:tc>
          <w:tcPr>
            <w:tcW w:w="1134" w:type="dxa"/>
            <w:shd w:val="clear" w:color="auto" w:fill="auto"/>
            <w:noWrap/>
            <w:vAlign w:val="bottom"/>
            <w:hideMark/>
          </w:tcPr>
          <w:p w14:paraId="399C0BC8"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17,7%</w:t>
            </w:r>
          </w:p>
        </w:tc>
      </w:tr>
      <w:tr w:rsidR="005368EC" w:rsidRPr="004E6455" w14:paraId="570CEFA4" w14:textId="77777777" w:rsidTr="00716F81">
        <w:trPr>
          <w:trHeight w:val="300"/>
          <w:jc w:val="center"/>
        </w:trPr>
        <w:tc>
          <w:tcPr>
            <w:tcW w:w="2850" w:type="dxa"/>
            <w:shd w:val="clear" w:color="auto" w:fill="D2EAF1"/>
            <w:noWrap/>
            <w:hideMark/>
          </w:tcPr>
          <w:p w14:paraId="787552B4"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Resultado Económico</w:t>
            </w:r>
          </w:p>
        </w:tc>
        <w:tc>
          <w:tcPr>
            <w:tcW w:w="1134" w:type="dxa"/>
            <w:shd w:val="clear" w:color="auto" w:fill="D2EAF1"/>
            <w:noWrap/>
            <w:vAlign w:val="bottom"/>
            <w:hideMark/>
          </w:tcPr>
          <w:p w14:paraId="47F2BEA6"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0,0%</w:t>
            </w:r>
          </w:p>
        </w:tc>
        <w:tc>
          <w:tcPr>
            <w:tcW w:w="1134" w:type="dxa"/>
            <w:shd w:val="clear" w:color="auto" w:fill="D2EAF1"/>
            <w:noWrap/>
            <w:vAlign w:val="bottom"/>
            <w:hideMark/>
          </w:tcPr>
          <w:p w14:paraId="4688B880"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0,3%</w:t>
            </w:r>
          </w:p>
        </w:tc>
        <w:tc>
          <w:tcPr>
            <w:tcW w:w="1134" w:type="dxa"/>
            <w:shd w:val="clear" w:color="auto" w:fill="D2EAF1"/>
            <w:noWrap/>
            <w:vAlign w:val="bottom"/>
            <w:hideMark/>
          </w:tcPr>
          <w:p w14:paraId="061AEA4F"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-1,0%</w:t>
            </w:r>
          </w:p>
        </w:tc>
        <w:tc>
          <w:tcPr>
            <w:tcW w:w="1134" w:type="dxa"/>
            <w:shd w:val="clear" w:color="auto" w:fill="D2EAF1"/>
            <w:noWrap/>
            <w:vAlign w:val="bottom"/>
            <w:hideMark/>
          </w:tcPr>
          <w:p w14:paraId="519B8A14"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-0,5%</w:t>
            </w:r>
          </w:p>
        </w:tc>
      </w:tr>
      <w:tr w:rsidR="005368EC" w:rsidRPr="004E6455" w14:paraId="21C36612" w14:textId="77777777" w:rsidTr="00716F81">
        <w:trPr>
          <w:trHeight w:hRule="exact" w:val="113"/>
          <w:jc w:val="center"/>
        </w:trPr>
        <w:tc>
          <w:tcPr>
            <w:tcW w:w="2850" w:type="dxa"/>
            <w:shd w:val="clear" w:color="auto" w:fill="auto"/>
            <w:noWrap/>
            <w:hideMark/>
          </w:tcPr>
          <w:p w14:paraId="26524045" w14:textId="77777777" w:rsidR="005368EC" w:rsidRPr="00117BF8" w:rsidRDefault="005368EC" w:rsidP="00716F81">
            <w:pPr>
              <w:pStyle w:val="TablaC"/>
              <w:jc w:val="left"/>
              <w:rPr>
                <w:rFonts w:ascii="Arial" w:hAnsi="Arial" w:cs="Arial"/>
                <w:bCs/>
                <w:sz w:val="18"/>
                <w:szCs w:val="18"/>
              </w:rPr>
            </w:pPr>
          </w:p>
        </w:tc>
        <w:tc>
          <w:tcPr>
            <w:tcW w:w="1134" w:type="dxa"/>
            <w:shd w:val="clear" w:color="auto" w:fill="auto"/>
            <w:noWrap/>
            <w:vAlign w:val="bottom"/>
            <w:hideMark/>
          </w:tcPr>
          <w:p w14:paraId="3C785ACD"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auto"/>
            <w:noWrap/>
            <w:vAlign w:val="bottom"/>
            <w:hideMark/>
          </w:tcPr>
          <w:p w14:paraId="70404C1A"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auto"/>
            <w:noWrap/>
            <w:vAlign w:val="bottom"/>
            <w:hideMark/>
          </w:tcPr>
          <w:p w14:paraId="6DB47548"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auto"/>
            <w:noWrap/>
            <w:vAlign w:val="bottom"/>
            <w:hideMark/>
          </w:tcPr>
          <w:p w14:paraId="3F044477"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r>
      <w:tr w:rsidR="005368EC" w:rsidRPr="004E6455" w14:paraId="43FE5B55" w14:textId="77777777" w:rsidTr="00716F81">
        <w:trPr>
          <w:trHeight w:val="300"/>
          <w:jc w:val="center"/>
        </w:trPr>
        <w:tc>
          <w:tcPr>
            <w:tcW w:w="2850" w:type="dxa"/>
            <w:shd w:val="clear" w:color="auto" w:fill="D2EAF1"/>
            <w:noWrap/>
            <w:hideMark/>
          </w:tcPr>
          <w:p w14:paraId="602F7609"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Recursos de Capital</w:t>
            </w:r>
          </w:p>
        </w:tc>
        <w:tc>
          <w:tcPr>
            <w:tcW w:w="1134" w:type="dxa"/>
            <w:shd w:val="clear" w:color="auto" w:fill="D2EAF1"/>
            <w:noWrap/>
            <w:vAlign w:val="bottom"/>
            <w:hideMark/>
          </w:tcPr>
          <w:p w14:paraId="17D02BA3"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0,4%</w:t>
            </w:r>
          </w:p>
        </w:tc>
        <w:tc>
          <w:tcPr>
            <w:tcW w:w="1134" w:type="dxa"/>
            <w:shd w:val="clear" w:color="auto" w:fill="D2EAF1"/>
            <w:noWrap/>
            <w:vAlign w:val="bottom"/>
            <w:hideMark/>
          </w:tcPr>
          <w:p w14:paraId="2826C310"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0,4%</w:t>
            </w:r>
          </w:p>
        </w:tc>
        <w:tc>
          <w:tcPr>
            <w:tcW w:w="1134" w:type="dxa"/>
            <w:shd w:val="clear" w:color="auto" w:fill="D2EAF1"/>
            <w:noWrap/>
            <w:vAlign w:val="bottom"/>
            <w:hideMark/>
          </w:tcPr>
          <w:p w14:paraId="72161526"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0,3%</w:t>
            </w:r>
          </w:p>
        </w:tc>
        <w:tc>
          <w:tcPr>
            <w:tcW w:w="1134" w:type="dxa"/>
            <w:shd w:val="clear" w:color="auto" w:fill="D2EAF1"/>
            <w:noWrap/>
            <w:vAlign w:val="bottom"/>
            <w:hideMark/>
          </w:tcPr>
          <w:p w14:paraId="543658ED"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0,4%</w:t>
            </w:r>
          </w:p>
        </w:tc>
      </w:tr>
      <w:tr w:rsidR="005368EC" w:rsidRPr="004E6455" w14:paraId="790277CD" w14:textId="77777777" w:rsidTr="00716F81">
        <w:trPr>
          <w:trHeight w:val="300"/>
          <w:jc w:val="center"/>
        </w:trPr>
        <w:tc>
          <w:tcPr>
            <w:tcW w:w="2850" w:type="dxa"/>
            <w:shd w:val="clear" w:color="auto" w:fill="auto"/>
            <w:noWrap/>
            <w:hideMark/>
          </w:tcPr>
          <w:p w14:paraId="1002A08D"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Gastos de Capital</w:t>
            </w:r>
          </w:p>
        </w:tc>
        <w:tc>
          <w:tcPr>
            <w:tcW w:w="1134" w:type="dxa"/>
            <w:shd w:val="clear" w:color="auto" w:fill="auto"/>
            <w:noWrap/>
            <w:vAlign w:val="bottom"/>
            <w:hideMark/>
          </w:tcPr>
          <w:p w14:paraId="4FD5FE70"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0,5%</w:t>
            </w:r>
          </w:p>
        </w:tc>
        <w:tc>
          <w:tcPr>
            <w:tcW w:w="1134" w:type="dxa"/>
            <w:shd w:val="clear" w:color="auto" w:fill="auto"/>
            <w:noWrap/>
            <w:vAlign w:val="bottom"/>
            <w:hideMark/>
          </w:tcPr>
          <w:p w14:paraId="5F8EF7E3"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0,6%</w:t>
            </w:r>
          </w:p>
        </w:tc>
        <w:tc>
          <w:tcPr>
            <w:tcW w:w="1134" w:type="dxa"/>
            <w:shd w:val="clear" w:color="auto" w:fill="auto"/>
            <w:noWrap/>
            <w:vAlign w:val="bottom"/>
            <w:hideMark/>
          </w:tcPr>
          <w:p w14:paraId="0AC89A35"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0,7%</w:t>
            </w:r>
          </w:p>
        </w:tc>
        <w:tc>
          <w:tcPr>
            <w:tcW w:w="1134" w:type="dxa"/>
            <w:shd w:val="clear" w:color="auto" w:fill="auto"/>
            <w:noWrap/>
            <w:vAlign w:val="bottom"/>
            <w:hideMark/>
          </w:tcPr>
          <w:p w14:paraId="4CD09575"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1,2%</w:t>
            </w:r>
          </w:p>
        </w:tc>
      </w:tr>
      <w:tr w:rsidR="005368EC" w:rsidRPr="004E6455" w14:paraId="5D521441" w14:textId="77777777" w:rsidTr="00716F81">
        <w:trPr>
          <w:trHeight w:hRule="exact" w:val="113"/>
          <w:jc w:val="center"/>
        </w:trPr>
        <w:tc>
          <w:tcPr>
            <w:tcW w:w="2850" w:type="dxa"/>
            <w:shd w:val="clear" w:color="auto" w:fill="D2EAF1"/>
            <w:noWrap/>
            <w:hideMark/>
          </w:tcPr>
          <w:p w14:paraId="6EBAEC8E" w14:textId="77777777" w:rsidR="005368EC" w:rsidRPr="00117BF8" w:rsidRDefault="005368EC" w:rsidP="00716F81">
            <w:pPr>
              <w:pStyle w:val="TablaC"/>
              <w:jc w:val="left"/>
              <w:rPr>
                <w:rFonts w:ascii="Arial" w:hAnsi="Arial" w:cs="Arial"/>
                <w:bCs/>
                <w:sz w:val="18"/>
                <w:szCs w:val="18"/>
              </w:rPr>
            </w:pPr>
          </w:p>
        </w:tc>
        <w:tc>
          <w:tcPr>
            <w:tcW w:w="1134" w:type="dxa"/>
            <w:shd w:val="clear" w:color="auto" w:fill="D2EAF1"/>
            <w:noWrap/>
            <w:vAlign w:val="bottom"/>
            <w:hideMark/>
          </w:tcPr>
          <w:p w14:paraId="1411F1CF"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D2EAF1"/>
            <w:noWrap/>
            <w:vAlign w:val="bottom"/>
            <w:hideMark/>
          </w:tcPr>
          <w:p w14:paraId="0F764D2C"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D2EAF1"/>
            <w:noWrap/>
            <w:vAlign w:val="bottom"/>
            <w:hideMark/>
          </w:tcPr>
          <w:p w14:paraId="487B4296"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D2EAF1"/>
            <w:noWrap/>
            <w:vAlign w:val="bottom"/>
            <w:hideMark/>
          </w:tcPr>
          <w:p w14:paraId="3BB657C6"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r>
      <w:tr w:rsidR="005368EC" w:rsidRPr="004E6455" w14:paraId="3B47F1C4" w14:textId="77777777" w:rsidTr="00716F81">
        <w:trPr>
          <w:trHeight w:val="300"/>
          <w:jc w:val="center"/>
        </w:trPr>
        <w:tc>
          <w:tcPr>
            <w:tcW w:w="2850" w:type="dxa"/>
            <w:shd w:val="clear" w:color="auto" w:fill="auto"/>
            <w:noWrap/>
            <w:hideMark/>
          </w:tcPr>
          <w:p w14:paraId="30DFECD6"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Recursos Totales</w:t>
            </w:r>
          </w:p>
        </w:tc>
        <w:tc>
          <w:tcPr>
            <w:tcW w:w="1134" w:type="dxa"/>
            <w:shd w:val="clear" w:color="auto" w:fill="auto"/>
            <w:noWrap/>
            <w:vAlign w:val="bottom"/>
            <w:hideMark/>
          </w:tcPr>
          <w:p w14:paraId="198DA4D0"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15,4%</w:t>
            </w:r>
          </w:p>
        </w:tc>
        <w:tc>
          <w:tcPr>
            <w:tcW w:w="1134" w:type="dxa"/>
            <w:shd w:val="clear" w:color="auto" w:fill="auto"/>
            <w:noWrap/>
            <w:vAlign w:val="bottom"/>
            <w:hideMark/>
          </w:tcPr>
          <w:p w14:paraId="69F87595"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15,9%</w:t>
            </w:r>
          </w:p>
        </w:tc>
        <w:tc>
          <w:tcPr>
            <w:tcW w:w="1134" w:type="dxa"/>
            <w:shd w:val="clear" w:color="auto" w:fill="auto"/>
            <w:noWrap/>
            <w:vAlign w:val="bottom"/>
            <w:hideMark/>
          </w:tcPr>
          <w:p w14:paraId="7BC3D3E7"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16,8%</w:t>
            </w:r>
          </w:p>
        </w:tc>
        <w:tc>
          <w:tcPr>
            <w:tcW w:w="1134" w:type="dxa"/>
            <w:shd w:val="clear" w:color="auto" w:fill="auto"/>
            <w:noWrap/>
            <w:vAlign w:val="bottom"/>
            <w:hideMark/>
          </w:tcPr>
          <w:p w14:paraId="22A55203"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17,5%</w:t>
            </w:r>
          </w:p>
        </w:tc>
      </w:tr>
      <w:tr w:rsidR="005368EC" w:rsidRPr="004E6455" w14:paraId="21F338C0" w14:textId="77777777" w:rsidTr="00716F81">
        <w:trPr>
          <w:trHeight w:val="300"/>
          <w:jc w:val="center"/>
        </w:trPr>
        <w:tc>
          <w:tcPr>
            <w:tcW w:w="2850" w:type="dxa"/>
            <w:shd w:val="clear" w:color="auto" w:fill="D2EAF1"/>
            <w:noWrap/>
            <w:hideMark/>
          </w:tcPr>
          <w:p w14:paraId="5212BA47"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Gatos Totales</w:t>
            </w:r>
          </w:p>
        </w:tc>
        <w:tc>
          <w:tcPr>
            <w:tcW w:w="1134" w:type="dxa"/>
            <w:shd w:val="clear" w:color="auto" w:fill="D2EAF1"/>
            <w:noWrap/>
            <w:vAlign w:val="bottom"/>
            <w:hideMark/>
          </w:tcPr>
          <w:p w14:paraId="338119F9"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15,5%</w:t>
            </w:r>
          </w:p>
        </w:tc>
        <w:tc>
          <w:tcPr>
            <w:tcW w:w="1134" w:type="dxa"/>
            <w:shd w:val="clear" w:color="auto" w:fill="D2EAF1"/>
            <w:noWrap/>
            <w:vAlign w:val="bottom"/>
            <w:hideMark/>
          </w:tcPr>
          <w:p w14:paraId="7ACE39AC"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15,8%</w:t>
            </w:r>
          </w:p>
        </w:tc>
        <w:tc>
          <w:tcPr>
            <w:tcW w:w="1134" w:type="dxa"/>
            <w:shd w:val="clear" w:color="auto" w:fill="D2EAF1"/>
            <w:noWrap/>
            <w:vAlign w:val="bottom"/>
            <w:hideMark/>
          </w:tcPr>
          <w:p w14:paraId="548781FB"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18,1%</w:t>
            </w:r>
          </w:p>
        </w:tc>
        <w:tc>
          <w:tcPr>
            <w:tcW w:w="1134" w:type="dxa"/>
            <w:shd w:val="clear" w:color="auto" w:fill="D2EAF1"/>
            <w:noWrap/>
            <w:vAlign w:val="bottom"/>
            <w:hideMark/>
          </w:tcPr>
          <w:p w14:paraId="6D9255D2"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18,9%</w:t>
            </w:r>
          </w:p>
        </w:tc>
      </w:tr>
      <w:tr w:rsidR="005368EC" w:rsidRPr="004E6455" w14:paraId="1223A7DE" w14:textId="77777777" w:rsidTr="00716F81">
        <w:trPr>
          <w:trHeight w:val="300"/>
          <w:jc w:val="center"/>
        </w:trPr>
        <w:tc>
          <w:tcPr>
            <w:tcW w:w="2850" w:type="dxa"/>
            <w:shd w:val="clear" w:color="auto" w:fill="auto"/>
            <w:noWrap/>
            <w:hideMark/>
          </w:tcPr>
          <w:p w14:paraId="0AD4E11D"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Resultado Financiero</w:t>
            </w:r>
          </w:p>
        </w:tc>
        <w:tc>
          <w:tcPr>
            <w:tcW w:w="1134" w:type="dxa"/>
            <w:shd w:val="clear" w:color="auto" w:fill="auto"/>
            <w:noWrap/>
            <w:vAlign w:val="bottom"/>
            <w:hideMark/>
          </w:tcPr>
          <w:p w14:paraId="23CCD454"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-0,1%</w:t>
            </w:r>
          </w:p>
        </w:tc>
        <w:tc>
          <w:tcPr>
            <w:tcW w:w="1134" w:type="dxa"/>
            <w:shd w:val="clear" w:color="auto" w:fill="auto"/>
            <w:noWrap/>
            <w:vAlign w:val="bottom"/>
            <w:hideMark/>
          </w:tcPr>
          <w:p w14:paraId="03FA563D"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0,1%</w:t>
            </w:r>
          </w:p>
        </w:tc>
        <w:tc>
          <w:tcPr>
            <w:tcW w:w="1134" w:type="dxa"/>
            <w:shd w:val="clear" w:color="auto" w:fill="auto"/>
            <w:noWrap/>
            <w:vAlign w:val="bottom"/>
            <w:hideMark/>
          </w:tcPr>
          <w:p w14:paraId="35CB0CB8"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-1,3%</w:t>
            </w:r>
          </w:p>
        </w:tc>
        <w:tc>
          <w:tcPr>
            <w:tcW w:w="1134" w:type="dxa"/>
            <w:shd w:val="clear" w:color="auto" w:fill="auto"/>
            <w:noWrap/>
            <w:vAlign w:val="bottom"/>
            <w:hideMark/>
          </w:tcPr>
          <w:p w14:paraId="49B3CF47"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-1,4%</w:t>
            </w:r>
          </w:p>
        </w:tc>
      </w:tr>
      <w:tr w:rsidR="005368EC" w:rsidRPr="004E6455" w14:paraId="7AC77FE2" w14:textId="77777777" w:rsidTr="00716F81">
        <w:trPr>
          <w:trHeight w:hRule="exact" w:val="113"/>
          <w:jc w:val="center"/>
        </w:trPr>
        <w:tc>
          <w:tcPr>
            <w:tcW w:w="2850" w:type="dxa"/>
            <w:shd w:val="clear" w:color="auto" w:fill="D2EAF1"/>
            <w:noWrap/>
            <w:hideMark/>
          </w:tcPr>
          <w:p w14:paraId="7CEBB7A7" w14:textId="77777777" w:rsidR="005368EC" w:rsidRPr="00117BF8" w:rsidRDefault="005368EC" w:rsidP="00716F81">
            <w:pPr>
              <w:pStyle w:val="TablaC"/>
              <w:jc w:val="left"/>
              <w:rPr>
                <w:rFonts w:ascii="Arial" w:hAnsi="Arial" w:cs="Arial"/>
                <w:bCs/>
                <w:sz w:val="18"/>
                <w:szCs w:val="18"/>
              </w:rPr>
            </w:pPr>
          </w:p>
        </w:tc>
        <w:tc>
          <w:tcPr>
            <w:tcW w:w="1134" w:type="dxa"/>
            <w:shd w:val="clear" w:color="auto" w:fill="D2EAF1"/>
            <w:noWrap/>
            <w:vAlign w:val="bottom"/>
            <w:hideMark/>
          </w:tcPr>
          <w:p w14:paraId="79F170DC"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D2EAF1"/>
            <w:noWrap/>
            <w:vAlign w:val="bottom"/>
            <w:hideMark/>
          </w:tcPr>
          <w:p w14:paraId="3E83970A"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D2EAF1"/>
            <w:noWrap/>
            <w:vAlign w:val="bottom"/>
            <w:hideMark/>
          </w:tcPr>
          <w:p w14:paraId="594642DB"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c>
          <w:tcPr>
            <w:tcW w:w="1134" w:type="dxa"/>
            <w:shd w:val="clear" w:color="auto" w:fill="D2EAF1"/>
            <w:noWrap/>
            <w:vAlign w:val="bottom"/>
            <w:hideMark/>
          </w:tcPr>
          <w:p w14:paraId="777FBECC"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 </w:t>
            </w:r>
          </w:p>
        </w:tc>
      </w:tr>
      <w:tr w:rsidR="005368EC" w:rsidRPr="004E6455" w14:paraId="493C4FFB" w14:textId="77777777" w:rsidTr="00716F81">
        <w:trPr>
          <w:trHeight w:val="300"/>
          <w:jc w:val="center"/>
        </w:trPr>
        <w:tc>
          <w:tcPr>
            <w:tcW w:w="2850" w:type="dxa"/>
            <w:shd w:val="clear" w:color="auto" w:fill="auto"/>
            <w:noWrap/>
            <w:hideMark/>
          </w:tcPr>
          <w:p w14:paraId="5281F0F8"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Resultado Primario</w:t>
            </w:r>
          </w:p>
        </w:tc>
        <w:tc>
          <w:tcPr>
            <w:tcW w:w="1134" w:type="dxa"/>
            <w:shd w:val="clear" w:color="auto" w:fill="auto"/>
            <w:noWrap/>
            <w:vAlign w:val="bottom"/>
            <w:hideMark/>
          </w:tcPr>
          <w:p w14:paraId="5E063B46"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0,3%</w:t>
            </w:r>
          </w:p>
        </w:tc>
        <w:tc>
          <w:tcPr>
            <w:tcW w:w="1134" w:type="dxa"/>
            <w:shd w:val="clear" w:color="auto" w:fill="auto"/>
            <w:noWrap/>
            <w:vAlign w:val="bottom"/>
            <w:hideMark/>
          </w:tcPr>
          <w:p w14:paraId="301CDCD3"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0,6%</w:t>
            </w:r>
          </w:p>
        </w:tc>
        <w:tc>
          <w:tcPr>
            <w:tcW w:w="1134" w:type="dxa"/>
            <w:shd w:val="clear" w:color="auto" w:fill="auto"/>
            <w:noWrap/>
            <w:vAlign w:val="bottom"/>
            <w:hideMark/>
          </w:tcPr>
          <w:p w14:paraId="5E504FCF"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-0,7%</w:t>
            </w:r>
          </w:p>
        </w:tc>
        <w:tc>
          <w:tcPr>
            <w:tcW w:w="1134" w:type="dxa"/>
            <w:shd w:val="clear" w:color="auto" w:fill="auto"/>
            <w:noWrap/>
            <w:vAlign w:val="bottom"/>
            <w:hideMark/>
          </w:tcPr>
          <w:p w14:paraId="4A12AB24"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-0,7%</w:t>
            </w:r>
          </w:p>
        </w:tc>
      </w:tr>
      <w:tr w:rsidR="005368EC" w:rsidRPr="004E6455" w14:paraId="5D9A3B1E" w14:textId="77777777" w:rsidTr="00716F81">
        <w:trPr>
          <w:trHeight w:hRule="exact" w:val="113"/>
          <w:jc w:val="center"/>
        </w:trPr>
        <w:tc>
          <w:tcPr>
            <w:tcW w:w="2850" w:type="dxa"/>
            <w:shd w:val="clear" w:color="auto" w:fill="D2EAF1"/>
            <w:noWrap/>
          </w:tcPr>
          <w:p w14:paraId="29D52A19" w14:textId="77777777" w:rsidR="005368EC" w:rsidRPr="00117BF8" w:rsidRDefault="005368EC" w:rsidP="00716F81">
            <w:pPr>
              <w:pStyle w:val="TablaC"/>
              <w:jc w:val="left"/>
              <w:rPr>
                <w:rFonts w:ascii="Arial" w:hAnsi="Arial" w:cs="Arial"/>
                <w:bCs/>
                <w:sz w:val="18"/>
                <w:szCs w:val="18"/>
              </w:rPr>
            </w:pPr>
          </w:p>
        </w:tc>
        <w:tc>
          <w:tcPr>
            <w:tcW w:w="1134" w:type="dxa"/>
            <w:shd w:val="clear" w:color="auto" w:fill="D2EAF1"/>
            <w:noWrap/>
            <w:vAlign w:val="bottom"/>
          </w:tcPr>
          <w:p w14:paraId="71BCD9B8" w14:textId="77777777" w:rsidR="005368EC" w:rsidRPr="00117BF8" w:rsidRDefault="005368EC" w:rsidP="00716F81">
            <w:pPr>
              <w:pStyle w:val="TablaC"/>
              <w:rPr>
                <w:rFonts w:ascii="Arial" w:hAnsi="Arial" w:cs="Arial"/>
                <w:sz w:val="18"/>
                <w:szCs w:val="18"/>
              </w:rPr>
            </w:pPr>
          </w:p>
        </w:tc>
        <w:tc>
          <w:tcPr>
            <w:tcW w:w="1134" w:type="dxa"/>
            <w:shd w:val="clear" w:color="auto" w:fill="D2EAF1"/>
            <w:noWrap/>
            <w:vAlign w:val="bottom"/>
          </w:tcPr>
          <w:p w14:paraId="74F96379" w14:textId="77777777" w:rsidR="005368EC" w:rsidRPr="00117BF8" w:rsidRDefault="005368EC" w:rsidP="00716F81">
            <w:pPr>
              <w:pStyle w:val="TablaC"/>
              <w:rPr>
                <w:rFonts w:ascii="Arial" w:hAnsi="Arial" w:cs="Arial"/>
                <w:sz w:val="18"/>
                <w:szCs w:val="18"/>
              </w:rPr>
            </w:pPr>
          </w:p>
        </w:tc>
        <w:tc>
          <w:tcPr>
            <w:tcW w:w="1134" w:type="dxa"/>
            <w:shd w:val="clear" w:color="auto" w:fill="D2EAF1"/>
            <w:noWrap/>
            <w:vAlign w:val="bottom"/>
          </w:tcPr>
          <w:p w14:paraId="1E6A0E13" w14:textId="77777777" w:rsidR="005368EC" w:rsidRPr="00117BF8" w:rsidRDefault="005368EC" w:rsidP="00716F81">
            <w:pPr>
              <w:pStyle w:val="TablaC"/>
              <w:rPr>
                <w:rFonts w:ascii="Arial" w:hAnsi="Arial" w:cs="Arial"/>
                <w:sz w:val="18"/>
                <w:szCs w:val="18"/>
              </w:rPr>
            </w:pPr>
          </w:p>
        </w:tc>
        <w:tc>
          <w:tcPr>
            <w:tcW w:w="1134" w:type="dxa"/>
            <w:shd w:val="clear" w:color="auto" w:fill="D2EAF1"/>
            <w:noWrap/>
            <w:vAlign w:val="bottom"/>
          </w:tcPr>
          <w:p w14:paraId="65AA9EC8" w14:textId="77777777" w:rsidR="005368EC" w:rsidRPr="00117BF8" w:rsidRDefault="005368EC" w:rsidP="00716F81">
            <w:pPr>
              <w:pStyle w:val="TablaC"/>
              <w:rPr>
                <w:rFonts w:ascii="Arial" w:hAnsi="Arial" w:cs="Arial"/>
                <w:sz w:val="18"/>
                <w:szCs w:val="18"/>
              </w:rPr>
            </w:pPr>
          </w:p>
        </w:tc>
      </w:tr>
      <w:tr w:rsidR="005368EC" w:rsidRPr="004E6455" w14:paraId="67B04B53" w14:textId="77777777" w:rsidTr="00716F81">
        <w:trPr>
          <w:trHeight w:val="300"/>
          <w:jc w:val="center"/>
        </w:trPr>
        <w:tc>
          <w:tcPr>
            <w:tcW w:w="2850" w:type="dxa"/>
            <w:shd w:val="clear" w:color="auto" w:fill="auto"/>
            <w:noWrap/>
          </w:tcPr>
          <w:p w14:paraId="00DACD49"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Ajuste Técnico (*)</w:t>
            </w:r>
          </w:p>
        </w:tc>
        <w:tc>
          <w:tcPr>
            <w:tcW w:w="1134" w:type="dxa"/>
            <w:shd w:val="clear" w:color="auto" w:fill="auto"/>
            <w:noWrap/>
            <w:vAlign w:val="bottom"/>
          </w:tcPr>
          <w:p w14:paraId="650225C3"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0,8%</w:t>
            </w:r>
          </w:p>
        </w:tc>
        <w:tc>
          <w:tcPr>
            <w:tcW w:w="1134" w:type="dxa"/>
            <w:shd w:val="clear" w:color="auto" w:fill="auto"/>
            <w:noWrap/>
            <w:vAlign w:val="bottom"/>
          </w:tcPr>
          <w:p w14:paraId="1E6F852E"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0,8%</w:t>
            </w:r>
          </w:p>
        </w:tc>
        <w:tc>
          <w:tcPr>
            <w:tcW w:w="1134" w:type="dxa"/>
            <w:shd w:val="clear" w:color="auto" w:fill="auto"/>
            <w:noWrap/>
            <w:vAlign w:val="bottom"/>
          </w:tcPr>
          <w:p w14:paraId="375504C3"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1,2%</w:t>
            </w:r>
          </w:p>
        </w:tc>
        <w:tc>
          <w:tcPr>
            <w:tcW w:w="1134" w:type="dxa"/>
            <w:shd w:val="clear" w:color="auto" w:fill="auto"/>
            <w:noWrap/>
            <w:vAlign w:val="bottom"/>
          </w:tcPr>
          <w:p w14:paraId="53A47884"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0,0%</w:t>
            </w:r>
          </w:p>
        </w:tc>
      </w:tr>
      <w:tr w:rsidR="005368EC" w:rsidRPr="004E6455" w14:paraId="49B8916A" w14:textId="77777777" w:rsidTr="00716F81">
        <w:trPr>
          <w:trHeight w:val="300"/>
          <w:jc w:val="center"/>
        </w:trPr>
        <w:tc>
          <w:tcPr>
            <w:tcW w:w="2850" w:type="dxa"/>
            <w:shd w:val="clear" w:color="auto" w:fill="D2EAF1"/>
            <w:noWrap/>
            <w:hideMark/>
          </w:tcPr>
          <w:p w14:paraId="71469427" w14:textId="77777777" w:rsidR="005368EC" w:rsidRPr="00117BF8" w:rsidRDefault="005368EC" w:rsidP="00716F81">
            <w:pPr>
              <w:pStyle w:val="TablaC"/>
              <w:jc w:val="left"/>
              <w:rPr>
                <w:rFonts w:ascii="Arial" w:hAnsi="Arial" w:cs="Arial"/>
                <w:bCs/>
                <w:sz w:val="18"/>
                <w:szCs w:val="18"/>
              </w:rPr>
            </w:pPr>
            <w:r w:rsidRPr="00117BF8">
              <w:rPr>
                <w:rFonts w:ascii="Arial" w:hAnsi="Arial" w:cs="Arial"/>
                <w:bCs/>
                <w:sz w:val="18"/>
                <w:szCs w:val="18"/>
              </w:rPr>
              <w:t>Resultado Total</w:t>
            </w:r>
          </w:p>
        </w:tc>
        <w:tc>
          <w:tcPr>
            <w:tcW w:w="1134" w:type="dxa"/>
            <w:shd w:val="clear" w:color="auto" w:fill="D2EAF1"/>
            <w:noWrap/>
            <w:vAlign w:val="bottom"/>
            <w:hideMark/>
          </w:tcPr>
          <w:p w14:paraId="3BAE96AD"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0,0%</w:t>
            </w:r>
          </w:p>
        </w:tc>
        <w:tc>
          <w:tcPr>
            <w:tcW w:w="1134" w:type="dxa"/>
            <w:shd w:val="clear" w:color="auto" w:fill="D2EAF1"/>
            <w:noWrap/>
            <w:vAlign w:val="bottom"/>
            <w:hideMark/>
          </w:tcPr>
          <w:p w14:paraId="33D74417"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0,0%</w:t>
            </w:r>
          </w:p>
        </w:tc>
        <w:tc>
          <w:tcPr>
            <w:tcW w:w="1134" w:type="dxa"/>
            <w:shd w:val="clear" w:color="auto" w:fill="D2EAF1"/>
            <w:noWrap/>
            <w:vAlign w:val="bottom"/>
            <w:hideMark/>
          </w:tcPr>
          <w:p w14:paraId="645BE6A4"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0,0%</w:t>
            </w:r>
          </w:p>
        </w:tc>
        <w:tc>
          <w:tcPr>
            <w:tcW w:w="1134" w:type="dxa"/>
            <w:shd w:val="clear" w:color="auto" w:fill="D2EAF1"/>
            <w:noWrap/>
            <w:vAlign w:val="bottom"/>
            <w:hideMark/>
          </w:tcPr>
          <w:p w14:paraId="34AC1BF0" w14:textId="77777777" w:rsidR="005368EC" w:rsidRPr="00117BF8" w:rsidRDefault="005368EC" w:rsidP="00716F81">
            <w:pPr>
              <w:pStyle w:val="TablaC"/>
              <w:rPr>
                <w:rFonts w:ascii="Arial" w:hAnsi="Arial" w:cs="Arial"/>
                <w:sz w:val="18"/>
                <w:szCs w:val="18"/>
              </w:rPr>
            </w:pPr>
            <w:r w:rsidRPr="00117BF8">
              <w:rPr>
                <w:rFonts w:ascii="Arial" w:hAnsi="Arial" w:cs="Arial"/>
                <w:sz w:val="18"/>
                <w:szCs w:val="18"/>
              </w:rPr>
              <w:t>0,0%</w:t>
            </w:r>
          </w:p>
        </w:tc>
      </w:tr>
    </w:tbl>
    <w:p w14:paraId="48AF776F" w14:textId="77777777" w:rsidR="005368EC" w:rsidRPr="00117BF8" w:rsidRDefault="005368EC" w:rsidP="005368EC">
      <w:pPr>
        <w:pStyle w:val="Hfuente"/>
        <w:rPr>
          <w:rFonts w:ascii="Arial" w:hAnsi="Arial" w:cs="Arial"/>
          <w:sz w:val="18"/>
          <w:szCs w:val="18"/>
        </w:rPr>
      </w:pPr>
      <w:r w:rsidRPr="00117BF8">
        <w:rPr>
          <w:rFonts w:ascii="Arial" w:hAnsi="Arial" w:cs="Arial"/>
          <w:sz w:val="18"/>
          <w:szCs w:val="18"/>
        </w:rPr>
        <w:t>Fuente: Elaboración propia sobre datos de la CGPBA, la Dirección Provincia de Estadística y el INDEC. (*) La CGPBA no realiza este este ajuste e informa Resultado Total Negativo, con el propósito de informar todas las fuentes de financiamiento se incluye este ajuste.</w:t>
      </w:r>
    </w:p>
    <w:p w14:paraId="0E85B4B2" w14:textId="77777777" w:rsidR="006A6E99" w:rsidRPr="00117BF8" w:rsidRDefault="006A6E99" w:rsidP="006A6E99">
      <w:pPr>
        <w:pStyle w:val="hsa"/>
        <w:rPr>
          <w:rFonts w:ascii="Arial" w:eastAsia="Calibri" w:hAnsi="Arial" w:cs="Arial"/>
          <w:sz w:val="22"/>
          <w:szCs w:val="22"/>
        </w:rPr>
      </w:pPr>
      <w:r w:rsidRPr="00117BF8">
        <w:rPr>
          <w:rFonts w:ascii="Arial" w:eastAsia="Calibri" w:hAnsi="Arial" w:cs="Arial"/>
          <w:sz w:val="22"/>
          <w:szCs w:val="22"/>
        </w:rPr>
        <w:t xml:space="preserve">Centrados en los diferentes resultados se observa que entre las tres dimensiones: Presupuesto Original, Modificado y Ejecutado las divergencias fueron de importancia, en general esto se debió a disparidades </w:t>
      </w:r>
      <w:r w:rsidR="00601F5D" w:rsidRPr="00117BF8">
        <w:rPr>
          <w:rFonts w:ascii="Arial" w:eastAsia="Calibri" w:hAnsi="Arial" w:cs="Arial"/>
          <w:sz w:val="22"/>
          <w:szCs w:val="22"/>
        </w:rPr>
        <w:t>entre</w:t>
      </w:r>
      <w:r w:rsidRPr="00117BF8">
        <w:rPr>
          <w:rFonts w:ascii="Arial" w:eastAsia="Calibri" w:hAnsi="Arial" w:cs="Arial"/>
          <w:sz w:val="22"/>
          <w:szCs w:val="22"/>
        </w:rPr>
        <w:t xml:space="preserve"> los supuestos macroeconómicos y lo ocurrido.</w:t>
      </w:r>
    </w:p>
    <w:p w14:paraId="3A71BC33" w14:textId="77777777" w:rsidR="00371757" w:rsidRPr="00117BF8" w:rsidRDefault="00371757" w:rsidP="00371757">
      <w:pPr>
        <w:pStyle w:val="hsa"/>
        <w:rPr>
          <w:rFonts w:ascii="Arial" w:eastAsia="Calibri" w:hAnsi="Arial" w:cs="Arial"/>
          <w:sz w:val="22"/>
          <w:szCs w:val="22"/>
        </w:rPr>
      </w:pPr>
      <w:r w:rsidRPr="00117BF8">
        <w:rPr>
          <w:rFonts w:ascii="Arial" w:eastAsia="Calibri" w:hAnsi="Arial" w:cs="Arial"/>
          <w:sz w:val="22"/>
          <w:szCs w:val="22"/>
        </w:rPr>
        <w:t>Los ingresos corrientes representaron el 98% de los recursos y el resto corresponde a los recursos de capital. Entre los ingresos corrientes se destacan los tributarios que representan el 72% (compuestos por 43% de origen provincial y 29% de origen nacional), 17% corresponden a los aportes y contribuciones y 6% a las transferencias corrientes.</w:t>
      </w:r>
    </w:p>
    <w:p w14:paraId="384DB876" w14:textId="77777777" w:rsidR="00CD3C07" w:rsidRPr="00117BF8" w:rsidRDefault="00371757" w:rsidP="00CD3C07">
      <w:pPr>
        <w:pStyle w:val="hsa"/>
        <w:rPr>
          <w:rFonts w:ascii="Arial" w:eastAsia="Calibri" w:hAnsi="Arial" w:cs="Arial"/>
          <w:sz w:val="22"/>
          <w:szCs w:val="22"/>
        </w:rPr>
      </w:pPr>
      <w:r w:rsidRPr="00117BF8">
        <w:rPr>
          <w:rFonts w:ascii="Arial" w:eastAsia="Calibri" w:hAnsi="Arial" w:cs="Arial"/>
          <w:sz w:val="22"/>
          <w:szCs w:val="22"/>
        </w:rPr>
        <w:t>Lo</w:t>
      </w:r>
      <w:r w:rsidR="00CD3C07" w:rsidRPr="00117BF8">
        <w:rPr>
          <w:rFonts w:ascii="Arial" w:eastAsia="Calibri" w:hAnsi="Arial" w:cs="Arial"/>
          <w:sz w:val="22"/>
          <w:szCs w:val="22"/>
        </w:rPr>
        <w:t xml:space="preserve">s </w:t>
      </w:r>
      <w:r w:rsidRPr="00117BF8">
        <w:rPr>
          <w:rFonts w:ascii="Arial" w:eastAsia="Calibri" w:hAnsi="Arial" w:cs="Arial"/>
          <w:sz w:val="22"/>
          <w:szCs w:val="22"/>
        </w:rPr>
        <w:t xml:space="preserve">recursos </w:t>
      </w:r>
      <w:r w:rsidR="00CD3C07" w:rsidRPr="00117BF8">
        <w:rPr>
          <w:rFonts w:ascii="Arial" w:eastAsia="Calibri" w:hAnsi="Arial" w:cs="Arial"/>
          <w:sz w:val="22"/>
          <w:szCs w:val="22"/>
        </w:rPr>
        <w:t>t</w:t>
      </w:r>
      <w:r w:rsidR="00A7000F" w:rsidRPr="00117BF8">
        <w:rPr>
          <w:rFonts w:ascii="Arial" w:eastAsia="Calibri" w:hAnsi="Arial" w:cs="Arial"/>
          <w:sz w:val="22"/>
          <w:szCs w:val="22"/>
        </w:rPr>
        <w:t xml:space="preserve">ributarios </w:t>
      </w:r>
      <w:r w:rsidR="00CD3C07" w:rsidRPr="00117BF8">
        <w:rPr>
          <w:rFonts w:ascii="Arial" w:eastAsia="Calibri" w:hAnsi="Arial" w:cs="Arial"/>
          <w:sz w:val="22"/>
          <w:szCs w:val="22"/>
        </w:rPr>
        <w:t xml:space="preserve">son altamente dependientes de la evolución </w:t>
      </w:r>
      <w:r w:rsidR="00EF5604" w:rsidRPr="00117BF8">
        <w:rPr>
          <w:rFonts w:ascii="Arial" w:eastAsia="Calibri" w:hAnsi="Arial" w:cs="Arial"/>
          <w:sz w:val="22"/>
          <w:szCs w:val="22"/>
        </w:rPr>
        <w:t xml:space="preserve">del </w:t>
      </w:r>
      <w:r w:rsidR="00CD3C07" w:rsidRPr="00117BF8">
        <w:rPr>
          <w:rFonts w:ascii="Arial" w:eastAsia="Calibri" w:hAnsi="Arial" w:cs="Arial"/>
          <w:sz w:val="22"/>
          <w:szCs w:val="22"/>
        </w:rPr>
        <w:t>nivel de actividad</w:t>
      </w:r>
      <w:r w:rsidRPr="00117BF8">
        <w:rPr>
          <w:rFonts w:ascii="Arial" w:eastAsia="Calibri" w:hAnsi="Arial" w:cs="Arial"/>
          <w:sz w:val="22"/>
          <w:szCs w:val="22"/>
        </w:rPr>
        <w:t>.</w:t>
      </w:r>
      <w:r w:rsidR="00EF5604" w:rsidRPr="00117BF8">
        <w:rPr>
          <w:rFonts w:ascii="Arial" w:eastAsia="Calibri" w:hAnsi="Arial" w:cs="Arial"/>
          <w:sz w:val="22"/>
          <w:szCs w:val="22"/>
        </w:rPr>
        <w:t xml:space="preserve"> La Provincia</w:t>
      </w:r>
      <w:r w:rsidRPr="00117BF8">
        <w:rPr>
          <w:rFonts w:ascii="Arial" w:eastAsia="Calibri" w:hAnsi="Arial" w:cs="Arial"/>
          <w:sz w:val="22"/>
          <w:szCs w:val="22"/>
        </w:rPr>
        <w:t>,</w:t>
      </w:r>
      <w:r w:rsidR="00EF5604" w:rsidRPr="00117BF8">
        <w:rPr>
          <w:rFonts w:ascii="Arial" w:eastAsia="Calibri" w:hAnsi="Arial" w:cs="Arial"/>
          <w:sz w:val="22"/>
          <w:szCs w:val="22"/>
        </w:rPr>
        <w:t xml:space="preserve"> por lo general</w:t>
      </w:r>
      <w:r w:rsidRPr="00117BF8">
        <w:rPr>
          <w:rFonts w:ascii="Arial" w:eastAsia="Calibri" w:hAnsi="Arial" w:cs="Arial"/>
          <w:sz w:val="22"/>
          <w:szCs w:val="22"/>
        </w:rPr>
        <w:t>,</w:t>
      </w:r>
      <w:r w:rsidR="00EF5604" w:rsidRPr="00117BF8">
        <w:rPr>
          <w:rFonts w:ascii="Arial" w:eastAsia="Calibri" w:hAnsi="Arial" w:cs="Arial"/>
          <w:sz w:val="22"/>
          <w:szCs w:val="22"/>
        </w:rPr>
        <w:t xml:space="preserve"> adopta los supuestos macro</w:t>
      </w:r>
      <w:r w:rsidR="0075266A" w:rsidRPr="00117BF8">
        <w:rPr>
          <w:rFonts w:ascii="Arial" w:eastAsia="Calibri" w:hAnsi="Arial" w:cs="Arial"/>
          <w:sz w:val="22"/>
          <w:szCs w:val="22"/>
        </w:rPr>
        <w:t>económicos de l</w:t>
      </w:r>
      <w:r w:rsidR="00EF5604" w:rsidRPr="00117BF8">
        <w:rPr>
          <w:rFonts w:ascii="Arial" w:eastAsia="Calibri" w:hAnsi="Arial" w:cs="Arial"/>
          <w:sz w:val="22"/>
          <w:szCs w:val="22"/>
        </w:rPr>
        <w:t>a Nación</w:t>
      </w:r>
      <w:r w:rsidRPr="00117BF8">
        <w:rPr>
          <w:rFonts w:ascii="Arial" w:eastAsia="Calibri" w:hAnsi="Arial" w:cs="Arial"/>
          <w:sz w:val="22"/>
          <w:szCs w:val="22"/>
        </w:rPr>
        <w:t>. En los años previos</w:t>
      </w:r>
      <w:r w:rsidR="00EF5604" w:rsidRPr="00117BF8">
        <w:rPr>
          <w:rFonts w:ascii="Arial" w:eastAsia="Calibri" w:hAnsi="Arial" w:cs="Arial"/>
          <w:sz w:val="22"/>
          <w:szCs w:val="22"/>
        </w:rPr>
        <w:t xml:space="preserve">, </w:t>
      </w:r>
      <w:r w:rsidR="00CD3C07" w:rsidRPr="00117BF8">
        <w:rPr>
          <w:rFonts w:ascii="Arial" w:eastAsia="Calibri" w:hAnsi="Arial" w:cs="Arial"/>
          <w:sz w:val="22"/>
          <w:szCs w:val="22"/>
        </w:rPr>
        <w:t>el PIB nacional (a precios corrientes) ha sido superior entre el 18% y 41</w:t>
      </w:r>
      <w:r w:rsidR="00EF5604" w:rsidRPr="00117BF8">
        <w:rPr>
          <w:rFonts w:ascii="Arial" w:eastAsia="Calibri" w:hAnsi="Arial" w:cs="Arial"/>
          <w:sz w:val="22"/>
          <w:szCs w:val="22"/>
        </w:rPr>
        <w:t>% al previsto en el presupuesto (Fundamentalmente por la diferencia entre los niveles de inflación previstos y ocurridos), estos desvíos repercuten en los recursos y gastos y explican en buena medida las sustanciales diferencias entre lo ejecutado y presupuestado.</w:t>
      </w:r>
    </w:p>
    <w:p w14:paraId="18AA48BB" w14:textId="77777777" w:rsidR="00202482" w:rsidRPr="00117BF8" w:rsidRDefault="00202482" w:rsidP="00202482">
      <w:pPr>
        <w:pStyle w:val="hsa"/>
        <w:rPr>
          <w:rFonts w:ascii="Arial" w:hAnsi="Arial" w:cs="Arial"/>
          <w:sz w:val="22"/>
          <w:szCs w:val="22"/>
        </w:rPr>
      </w:pPr>
      <w:r w:rsidRPr="00117BF8">
        <w:rPr>
          <w:rFonts w:ascii="Arial" w:hAnsi="Arial" w:cs="Arial"/>
          <w:sz w:val="22"/>
          <w:szCs w:val="22"/>
        </w:rPr>
        <w:t xml:space="preserve">Los </w:t>
      </w:r>
      <w:r w:rsidR="006A6E99" w:rsidRPr="00117BF8">
        <w:rPr>
          <w:rFonts w:ascii="Arial" w:hAnsi="Arial" w:cs="Arial"/>
          <w:sz w:val="22"/>
          <w:szCs w:val="22"/>
        </w:rPr>
        <w:t>recursos tributarios de origen nacional se distribuyen por medio del R</w:t>
      </w:r>
      <w:r w:rsidRPr="00117BF8">
        <w:rPr>
          <w:rFonts w:ascii="Arial" w:hAnsi="Arial" w:cs="Arial"/>
          <w:sz w:val="22"/>
          <w:szCs w:val="22"/>
        </w:rPr>
        <w:t>égimen de Coparticipación Federal de Impuestos</w:t>
      </w:r>
      <w:r w:rsidR="006A6E99" w:rsidRPr="00117BF8">
        <w:rPr>
          <w:rFonts w:ascii="Arial" w:hAnsi="Arial" w:cs="Arial"/>
          <w:sz w:val="22"/>
          <w:szCs w:val="22"/>
        </w:rPr>
        <w:t>.</w:t>
      </w:r>
      <w:r w:rsidRPr="00117BF8">
        <w:rPr>
          <w:rFonts w:ascii="Arial" w:hAnsi="Arial" w:cs="Arial"/>
          <w:sz w:val="22"/>
          <w:szCs w:val="22"/>
        </w:rPr>
        <w:t xml:space="preserve"> La Provincia mantiene reclamos con el Gobierno Federal al considerar insuficiente su participación en este Régimen. De hecho, </w:t>
      </w:r>
      <w:r w:rsidR="00CB466B" w:rsidRPr="00117BF8">
        <w:rPr>
          <w:rFonts w:ascii="Arial" w:hAnsi="Arial" w:cs="Arial"/>
          <w:sz w:val="22"/>
          <w:szCs w:val="22"/>
        </w:rPr>
        <w:t xml:space="preserve">esta se </w:t>
      </w:r>
      <w:r w:rsidRPr="00117BF8">
        <w:rPr>
          <w:rFonts w:ascii="Arial" w:hAnsi="Arial" w:cs="Arial"/>
          <w:sz w:val="22"/>
          <w:szCs w:val="22"/>
        </w:rPr>
        <w:t>redujo desde el 25% hasta el 19% en el transcurso de los últimos 20 años. Esta caída ha sido parcialmente compensada por asistencias financieras otorgadas por el Tesoro Nacional, aunque estas no presentan ni las características, ni la previsibilidad de los recursos genuinos.</w:t>
      </w:r>
      <w:r w:rsidR="006A6E99" w:rsidRPr="00117BF8">
        <w:rPr>
          <w:rFonts w:ascii="Arial" w:hAnsi="Arial" w:cs="Arial"/>
          <w:sz w:val="22"/>
          <w:szCs w:val="22"/>
        </w:rPr>
        <w:t xml:space="preserve"> </w:t>
      </w:r>
      <w:r w:rsidR="00CB466B" w:rsidRPr="00117BF8">
        <w:rPr>
          <w:rFonts w:ascii="Arial" w:hAnsi="Arial" w:cs="Arial"/>
          <w:sz w:val="22"/>
          <w:szCs w:val="22"/>
        </w:rPr>
        <w:t>Realicé</w:t>
      </w:r>
      <w:r w:rsidR="006A6E99" w:rsidRPr="00117BF8">
        <w:rPr>
          <w:rFonts w:ascii="Arial" w:hAnsi="Arial" w:cs="Arial"/>
          <w:sz w:val="22"/>
          <w:szCs w:val="22"/>
        </w:rPr>
        <w:t xml:space="preserve"> análisis de sensibilidad de los presupuestos proyectados </w:t>
      </w:r>
      <w:r w:rsidR="00CB466B" w:rsidRPr="00117BF8">
        <w:rPr>
          <w:rFonts w:ascii="Arial" w:hAnsi="Arial" w:cs="Arial"/>
          <w:sz w:val="22"/>
          <w:szCs w:val="22"/>
        </w:rPr>
        <w:t xml:space="preserve">que </w:t>
      </w:r>
      <w:r w:rsidR="006A6E99" w:rsidRPr="00117BF8">
        <w:rPr>
          <w:rFonts w:ascii="Arial" w:hAnsi="Arial" w:cs="Arial"/>
          <w:sz w:val="22"/>
          <w:szCs w:val="22"/>
        </w:rPr>
        <w:t>demuestra el</w:t>
      </w:r>
      <w:r w:rsidR="003F16A1" w:rsidRPr="00117BF8">
        <w:rPr>
          <w:rFonts w:ascii="Arial" w:hAnsi="Arial" w:cs="Arial"/>
          <w:sz w:val="22"/>
          <w:szCs w:val="22"/>
        </w:rPr>
        <w:t xml:space="preserve"> alto impacto que </w:t>
      </w:r>
      <w:r w:rsidR="00CB466B" w:rsidRPr="00117BF8">
        <w:rPr>
          <w:rFonts w:ascii="Arial" w:hAnsi="Arial" w:cs="Arial"/>
          <w:sz w:val="22"/>
          <w:szCs w:val="22"/>
        </w:rPr>
        <w:t>ocurriría</w:t>
      </w:r>
      <w:r w:rsidR="003F16A1" w:rsidRPr="00117BF8">
        <w:rPr>
          <w:rFonts w:ascii="Arial" w:hAnsi="Arial" w:cs="Arial"/>
          <w:sz w:val="22"/>
          <w:szCs w:val="22"/>
        </w:rPr>
        <w:t xml:space="preserve"> si la Provincia recuperase </w:t>
      </w:r>
      <w:r w:rsidR="00CB466B" w:rsidRPr="00117BF8">
        <w:rPr>
          <w:rFonts w:ascii="Arial" w:hAnsi="Arial" w:cs="Arial"/>
          <w:sz w:val="22"/>
          <w:szCs w:val="22"/>
        </w:rPr>
        <w:t>parte</w:t>
      </w:r>
      <w:r w:rsidR="003F16A1" w:rsidRPr="00117BF8">
        <w:rPr>
          <w:rFonts w:ascii="Arial" w:hAnsi="Arial" w:cs="Arial"/>
          <w:sz w:val="22"/>
          <w:szCs w:val="22"/>
        </w:rPr>
        <w:t xml:space="preserve"> de lo perdido.</w:t>
      </w:r>
    </w:p>
    <w:p w14:paraId="57B4FACF" w14:textId="77777777" w:rsidR="00EF5604" w:rsidRPr="00117BF8" w:rsidRDefault="00CD3C07" w:rsidP="00CD3C07">
      <w:pPr>
        <w:pStyle w:val="hsa"/>
        <w:rPr>
          <w:rFonts w:ascii="Arial" w:eastAsia="Calibri" w:hAnsi="Arial" w:cs="Arial"/>
          <w:sz w:val="22"/>
          <w:szCs w:val="22"/>
        </w:rPr>
      </w:pPr>
      <w:r w:rsidRPr="00117BF8">
        <w:rPr>
          <w:rFonts w:ascii="Arial" w:eastAsia="Calibri" w:hAnsi="Arial" w:cs="Arial"/>
          <w:sz w:val="22"/>
          <w:szCs w:val="22"/>
        </w:rPr>
        <w:t xml:space="preserve">A lo largo de los últimos 4 años hubo una leve declinación en la participación de los ingresos tributarios de origen provincial que se acentuó en el último año. También en 2016 se redujo la participación de los ingresos tributarios de origen nacional. Estas caídas fueron compensadas por las transferencias corrientes que, en términos relativos se duplicaron durante </w:t>
      </w:r>
      <w:r w:rsidR="00EF5604" w:rsidRPr="00117BF8">
        <w:rPr>
          <w:rFonts w:ascii="Arial" w:eastAsia="Calibri" w:hAnsi="Arial" w:cs="Arial"/>
          <w:sz w:val="22"/>
          <w:szCs w:val="22"/>
        </w:rPr>
        <w:t xml:space="preserve">el </w:t>
      </w:r>
      <w:r w:rsidRPr="00117BF8">
        <w:rPr>
          <w:rFonts w:ascii="Arial" w:eastAsia="Calibri" w:hAnsi="Arial" w:cs="Arial"/>
          <w:sz w:val="22"/>
          <w:szCs w:val="22"/>
        </w:rPr>
        <w:t>último año</w:t>
      </w:r>
      <w:r w:rsidR="00EF5604" w:rsidRPr="00117BF8">
        <w:rPr>
          <w:rFonts w:ascii="Arial" w:eastAsia="Calibri" w:hAnsi="Arial" w:cs="Arial"/>
          <w:sz w:val="22"/>
          <w:szCs w:val="22"/>
        </w:rPr>
        <w:t>.</w:t>
      </w:r>
      <w:r w:rsidR="003F16A1" w:rsidRPr="00117BF8">
        <w:rPr>
          <w:rFonts w:ascii="Arial" w:eastAsia="Calibri" w:hAnsi="Arial" w:cs="Arial"/>
          <w:sz w:val="22"/>
          <w:szCs w:val="22"/>
        </w:rPr>
        <w:t xml:space="preserve"> Las razones de la declinación de los recursos tributarios seguramente se debe a la caída en el nivel de actividad durante 2016, los cómputos parciales de 2017 indicarían que esta tendencia se está revirtiendo. </w:t>
      </w:r>
      <w:r w:rsidR="00CB466B" w:rsidRPr="00117BF8">
        <w:rPr>
          <w:rFonts w:ascii="Arial" w:eastAsia="Calibri" w:hAnsi="Arial" w:cs="Arial"/>
          <w:sz w:val="22"/>
          <w:szCs w:val="22"/>
        </w:rPr>
        <w:t>La Provincia la estima en 1,10 l</w:t>
      </w:r>
      <w:r w:rsidR="003F16A1" w:rsidRPr="00117BF8">
        <w:rPr>
          <w:rFonts w:ascii="Arial" w:eastAsia="Calibri" w:hAnsi="Arial" w:cs="Arial"/>
          <w:sz w:val="22"/>
          <w:szCs w:val="22"/>
        </w:rPr>
        <w:t>a elasticidad de los tributos respecto del nivel de actividad.</w:t>
      </w:r>
    </w:p>
    <w:p w14:paraId="5506BEF9" w14:textId="77777777" w:rsidR="00CD3C07" w:rsidRPr="00117BF8" w:rsidRDefault="00CD3C07" w:rsidP="00CD3C07">
      <w:pPr>
        <w:pStyle w:val="hsa"/>
        <w:rPr>
          <w:rFonts w:ascii="Arial" w:eastAsia="Calibri" w:hAnsi="Arial" w:cs="Arial"/>
          <w:sz w:val="22"/>
          <w:szCs w:val="22"/>
        </w:rPr>
      </w:pPr>
      <w:r w:rsidRPr="00117BF8">
        <w:rPr>
          <w:rFonts w:ascii="Arial" w:eastAsia="Calibri" w:hAnsi="Arial" w:cs="Arial"/>
          <w:sz w:val="22"/>
          <w:szCs w:val="22"/>
        </w:rPr>
        <w:t>Los aportes del Tesoro Nacional poseen desvíos muy elevados</w:t>
      </w:r>
      <w:r w:rsidR="003F16A1" w:rsidRPr="00117BF8">
        <w:rPr>
          <w:rFonts w:ascii="Arial" w:eastAsia="Calibri" w:hAnsi="Arial" w:cs="Arial"/>
          <w:sz w:val="22"/>
          <w:szCs w:val="22"/>
        </w:rPr>
        <w:t xml:space="preserve"> respecto de los presupuestados.</w:t>
      </w:r>
      <w:r w:rsidR="00636BEB" w:rsidRPr="00117BF8">
        <w:rPr>
          <w:rFonts w:ascii="Arial" w:eastAsia="Calibri" w:hAnsi="Arial" w:cs="Arial"/>
          <w:sz w:val="22"/>
          <w:szCs w:val="22"/>
        </w:rPr>
        <w:t xml:space="preserve"> L</w:t>
      </w:r>
      <w:r w:rsidR="00E671EE" w:rsidRPr="00117BF8">
        <w:rPr>
          <w:rFonts w:ascii="Arial" w:eastAsia="Calibri" w:hAnsi="Arial" w:cs="Arial"/>
          <w:sz w:val="22"/>
          <w:szCs w:val="22"/>
        </w:rPr>
        <w:t>os desvíos indican que e</w:t>
      </w:r>
      <w:r w:rsidRPr="00117BF8">
        <w:rPr>
          <w:rFonts w:ascii="Arial" w:eastAsia="Calibri" w:hAnsi="Arial" w:cs="Arial"/>
          <w:sz w:val="22"/>
          <w:szCs w:val="22"/>
        </w:rPr>
        <w:t xml:space="preserve">stos recursos han operado como un auxilio para </w:t>
      </w:r>
      <w:r w:rsidR="00E671EE" w:rsidRPr="00117BF8">
        <w:rPr>
          <w:rFonts w:ascii="Arial" w:eastAsia="Calibri" w:hAnsi="Arial" w:cs="Arial"/>
          <w:sz w:val="22"/>
          <w:szCs w:val="22"/>
        </w:rPr>
        <w:t>cubrir</w:t>
      </w:r>
      <w:r w:rsidRPr="00117BF8">
        <w:rPr>
          <w:rFonts w:ascii="Arial" w:eastAsia="Calibri" w:hAnsi="Arial" w:cs="Arial"/>
          <w:sz w:val="22"/>
          <w:szCs w:val="22"/>
        </w:rPr>
        <w:t xml:space="preserve"> desfasajes presupuestarios.</w:t>
      </w:r>
    </w:p>
    <w:p w14:paraId="7ED9463F" w14:textId="77777777" w:rsidR="00C80357" w:rsidRPr="00117BF8" w:rsidRDefault="00235C78" w:rsidP="00CD3C07">
      <w:pPr>
        <w:pStyle w:val="hsa"/>
        <w:rPr>
          <w:rFonts w:ascii="Arial" w:eastAsia="Calibri" w:hAnsi="Arial" w:cs="Arial"/>
          <w:sz w:val="22"/>
          <w:szCs w:val="22"/>
        </w:rPr>
      </w:pPr>
      <w:r w:rsidRPr="00117BF8">
        <w:rPr>
          <w:rFonts w:ascii="Arial" w:eastAsia="Calibri" w:hAnsi="Arial" w:cs="Arial"/>
          <w:sz w:val="22"/>
          <w:szCs w:val="22"/>
        </w:rPr>
        <w:t>El 91% de los gastos se explica en tres rubros:</w:t>
      </w:r>
    </w:p>
    <w:p w14:paraId="7068DF63" w14:textId="77777777" w:rsidR="00235C78" w:rsidRPr="00117BF8" w:rsidRDefault="00117BF8" w:rsidP="00235C78">
      <w:pPr>
        <w:pStyle w:val="hsa"/>
        <w:rPr>
          <w:rFonts w:ascii="Arial" w:hAnsi="Arial" w:cs="Arial"/>
        </w:rPr>
      </w:pPr>
      <w:r w:rsidRPr="00117BF8">
        <w:rPr>
          <w:rFonts w:ascii="Arial" w:hAnsi="Arial" w:cs="Arial"/>
        </w:rPr>
        <w:pict w14:anchorId="2BBC64CC">
          <v:shape id="_x0000_i1027" type="#_x0000_t75" style="width:425.1pt;height:167.8pt">
            <v:imagedata r:id="rId18" o:title=""/>
          </v:shape>
        </w:pict>
      </w:r>
    </w:p>
    <w:p w14:paraId="3A2AE00C" w14:textId="77777777" w:rsidR="00235C78" w:rsidRPr="00117BF8" w:rsidRDefault="00235C78" w:rsidP="00235C78">
      <w:pPr>
        <w:pStyle w:val="hsa"/>
        <w:rPr>
          <w:rFonts w:ascii="Arial" w:hAnsi="Arial" w:cs="Arial"/>
          <w:sz w:val="22"/>
          <w:szCs w:val="22"/>
        </w:rPr>
      </w:pPr>
      <w:r w:rsidRPr="00117BF8">
        <w:rPr>
          <w:rFonts w:ascii="Arial" w:hAnsi="Arial" w:cs="Arial"/>
          <w:sz w:val="22"/>
          <w:szCs w:val="22"/>
        </w:rPr>
        <w:t xml:space="preserve">Los gastos identificados como transferencias están determinados, en gran medida, por las transferencias automáticas a los municipios originadas en la Coparticipación Municipal y en transferencias a la educación privada </w:t>
      </w:r>
      <w:r w:rsidR="00686B7C" w:rsidRPr="00117BF8">
        <w:rPr>
          <w:rFonts w:ascii="Arial" w:hAnsi="Arial" w:cs="Arial"/>
          <w:sz w:val="22"/>
          <w:szCs w:val="22"/>
        </w:rPr>
        <w:t>determinadas,</w:t>
      </w:r>
      <w:r w:rsidRPr="00117BF8">
        <w:rPr>
          <w:rFonts w:ascii="Arial" w:hAnsi="Arial" w:cs="Arial"/>
          <w:sz w:val="22"/>
          <w:szCs w:val="22"/>
        </w:rPr>
        <w:t xml:space="preserve"> principalmente</w:t>
      </w:r>
      <w:r w:rsidR="00686B7C" w:rsidRPr="00117BF8">
        <w:rPr>
          <w:rFonts w:ascii="Arial" w:hAnsi="Arial" w:cs="Arial"/>
          <w:sz w:val="22"/>
          <w:szCs w:val="22"/>
        </w:rPr>
        <w:t>,</w:t>
      </w:r>
      <w:r w:rsidRPr="00117BF8">
        <w:rPr>
          <w:rFonts w:ascii="Arial" w:hAnsi="Arial" w:cs="Arial"/>
          <w:sz w:val="22"/>
          <w:szCs w:val="22"/>
        </w:rPr>
        <w:t xml:space="preserve"> por </w:t>
      </w:r>
      <w:r w:rsidR="00686B7C" w:rsidRPr="00117BF8">
        <w:rPr>
          <w:rFonts w:ascii="Arial" w:hAnsi="Arial" w:cs="Arial"/>
          <w:sz w:val="22"/>
          <w:szCs w:val="22"/>
        </w:rPr>
        <w:t>la evolución del</w:t>
      </w:r>
      <w:r w:rsidRPr="00117BF8">
        <w:rPr>
          <w:rFonts w:ascii="Arial" w:hAnsi="Arial" w:cs="Arial"/>
          <w:sz w:val="22"/>
          <w:szCs w:val="22"/>
        </w:rPr>
        <w:t xml:space="preserve"> salario docente.</w:t>
      </w:r>
    </w:p>
    <w:p w14:paraId="19E20CCB" w14:textId="77777777" w:rsidR="00CD3C07" w:rsidRPr="00117BF8" w:rsidRDefault="00CD3C07" w:rsidP="00CD3C07">
      <w:pPr>
        <w:pStyle w:val="hsa"/>
        <w:rPr>
          <w:rFonts w:ascii="Arial" w:eastAsia="Calibri" w:hAnsi="Arial" w:cs="Arial"/>
          <w:sz w:val="22"/>
          <w:szCs w:val="22"/>
        </w:rPr>
      </w:pPr>
      <w:r w:rsidRPr="00117BF8">
        <w:rPr>
          <w:rFonts w:ascii="Arial" w:eastAsia="Calibri" w:hAnsi="Arial" w:cs="Arial"/>
          <w:sz w:val="22"/>
          <w:szCs w:val="22"/>
        </w:rPr>
        <w:t xml:space="preserve">Los gastos en personal crecieron en </w:t>
      </w:r>
      <w:r w:rsidR="00312CB3" w:rsidRPr="00117BF8">
        <w:rPr>
          <w:rFonts w:ascii="Arial" w:eastAsia="Calibri" w:hAnsi="Arial" w:cs="Arial"/>
          <w:sz w:val="22"/>
          <w:szCs w:val="22"/>
        </w:rPr>
        <w:t xml:space="preserve">su </w:t>
      </w:r>
      <w:r w:rsidRPr="00117BF8">
        <w:rPr>
          <w:rFonts w:ascii="Arial" w:eastAsia="Calibri" w:hAnsi="Arial" w:cs="Arial"/>
          <w:sz w:val="22"/>
          <w:szCs w:val="22"/>
        </w:rPr>
        <w:t>participación</w:t>
      </w:r>
      <w:r w:rsidR="00237844" w:rsidRPr="00117BF8">
        <w:rPr>
          <w:rFonts w:ascii="Arial" w:eastAsia="Calibri" w:hAnsi="Arial" w:cs="Arial"/>
          <w:sz w:val="22"/>
          <w:szCs w:val="22"/>
        </w:rPr>
        <w:t xml:space="preserve"> sobre el total</w:t>
      </w:r>
      <w:r w:rsidRPr="00117BF8">
        <w:rPr>
          <w:rFonts w:ascii="Arial" w:eastAsia="Calibri" w:hAnsi="Arial" w:cs="Arial"/>
          <w:sz w:val="22"/>
          <w:szCs w:val="22"/>
        </w:rPr>
        <w:t xml:space="preserve">, a razón del 1% anual, entre 2013 y 2015, aunque en el 2016 se produjo una reducción </w:t>
      </w:r>
      <w:r w:rsidR="00237844" w:rsidRPr="00117BF8">
        <w:rPr>
          <w:rFonts w:ascii="Arial" w:eastAsia="Calibri" w:hAnsi="Arial" w:cs="Arial"/>
          <w:sz w:val="22"/>
          <w:szCs w:val="22"/>
        </w:rPr>
        <w:t xml:space="preserve">de 3%. En el último año significaron </w:t>
      </w:r>
      <w:r w:rsidRPr="00117BF8">
        <w:rPr>
          <w:rFonts w:ascii="Arial" w:eastAsia="Calibri" w:hAnsi="Arial" w:cs="Arial"/>
          <w:sz w:val="22"/>
          <w:szCs w:val="22"/>
        </w:rPr>
        <w:t>al 44% del total.</w:t>
      </w:r>
      <w:r w:rsidR="00235C78" w:rsidRPr="00117BF8">
        <w:rPr>
          <w:rFonts w:ascii="Arial" w:eastAsia="Calibri" w:hAnsi="Arial" w:cs="Arial"/>
          <w:sz w:val="22"/>
          <w:szCs w:val="22"/>
        </w:rPr>
        <w:t xml:space="preserve"> Los altos niveles de inflación implican una reducción en términos reales de estos gastos, las estimaciones para 2017 confirman esta tendencia.</w:t>
      </w:r>
    </w:p>
    <w:p w14:paraId="101198D2" w14:textId="77777777" w:rsidR="00627C66" w:rsidRPr="00117BF8" w:rsidRDefault="00E671EE" w:rsidP="00CD3C07">
      <w:pPr>
        <w:pStyle w:val="hsa"/>
        <w:rPr>
          <w:rFonts w:ascii="Arial" w:eastAsia="Calibri" w:hAnsi="Arial" w:cs="Arial"/>
          <w:sz w:val="22"/>
          <w:szCs w:val="22"/>
        </w:rPr>
      </w:pPr>
      <w:r w:rsidRPr="00117BF8">
        <w:rPr>
          <w:rFonts w:ascii="Arial" w:eastAsia="Calibri" w:hAnsi="Arial" w:cs="Arial"/>
          <w:sz w:val="22"/>
          <w:szCs w:val="22"/>
        </w:rPr>
        <w:t>Por finalidad, e</w:t>
      </w:r>
      <w:r w:rsidR="00CD3C07" w:rsidRPr="00117BF8">
        <w:rPr>
          <w:rFonts w:ascii="Arial" w:eastAsia="Calibri" w:hAnsi="Arial" w:cs="Arial"/>
          <w:sz w:val="22"/>
          <w:szCs w:val="22"/>
        </w:rPr>
        <w:t xml:space="preserve">l principal componente del gasto es Servicio Sociales que ha tenido una leve declinación (2013: 59%, 2016: 56%), la Administración Gubernamental ha oscilado en valores similares al 21%, </w:t>
      </w:r>
      <w:r w:rsidRPr="00117BF8">
        <w:rPr>
          <w:rFonts w:ascii="Arial" w:eastAsia="Calibri" w:hAnsi="Arial" w:cs="Arial"/>
          <w:sz w:val="22"/>
          <w:szCs w:val="22"/>
        </w:rPr>
        <w:t xml:space="preserve">Servicios de Seguridad </w:t>
      </w:r>
      <w:r w:rsidR="00CD3C07" w:rsidRPr="00117BF8">
        <w:rPr>
          <w:rFonts w:ascii="Arial" w:eastAsia="Calibri" w:hAnsi="Arial" w:cs="Arial"/>
          <w:sz w:val="22"/>
          <w:szCs w:val="22"/>
        </w:rPr>
        <w:t>con tendencia creciente del 9 a</w:t>
      </w:r>
      <w:r w:rsidR="00627C66" w:rsidRPr="00117BF8">
        <w:rPr>
          <w:rFonts w:ascii="Arial" w:eastAsia="Calibri" w:hAnsi="Arial" w:cs="Arial"/>
          <w:sz w:val="22"/>
          <w:szCs w:val="22"/>
        </w:rPr>
        <w:t>l 12%.</w:t>
      </w:r>
    </w:p>
    <w:p w14:paraId="0E20784C" w14:textId="77777777" w:rsidR="00235C78" w:rsidRPr="00117BF8" w:rsidRDefault="00235C78" w:rsidP="00CD3C07">
      <w:pPr>
        <w:pStyle w:val="hsa"/>
        <w:rPr>
          <w:rFonts w:ascii="Arial" w:eastAsia="Calibri" w:hAnsi="Arial" w:cs="Arial"/>
          <w:sz w:val="22"/>
          <w:szCs w:val="22"/>
        </w:rPr>
      </w:pPr>
      <w:r w:rsidRPr="00117BF8">
        <w:rPr>
          <w:rFonts w:ascii="Arial" w:eastAsia="Calibri" w:hAnsi="Arial" w:cs="Arial"/>
          <w:sz w:val="22"/>
          <w:szCs w:val="22"/>
        </w:rPr>
        <w:t xml:space="preserve">Cuatro funciones explican el 86% del gasto en </w:t>
      </w:r>
      <w:r w:rsidR="00CD3C07" w:rsidRPr="00117BF8">
        <w:rPr>
          <w:rFonts w:ascii="Arial" w:eastAsia="Calibri" w:hAnsi="Arial" w:cs="Arial"/>
          <w:sz w:val="22"/>
          <w:szCs w:val="22"/>
        </w:rPr>
        <w:t xml:space="preserve">personal </w:t>
      </w:r>
      <w:r w:rsidRPr="00117BF8">
        <w:rPr>
          <w:rFonts w:ascii="Arial" w:eastAsia="Calibri" w:hAnsi="Arial" w:cs="Arial"/>
          <w:sz w:val="22"/>
          <w:szCs w:val="22"/>
        </w:rPr>
        <w:t>por</w:t>
      </w:r>
      <w:r w:rsidR="00CD3C07" w:rsidRPr="00117BF8">
        <w:rPr>
          <w:rFonts w:ascii="Arial" w:eastAsia="Calibri" w:hAnsi="Arial" w:cs="Arial"/>
          <w:sz w:val="22"/>
          <w:szCs w:val="22"/>
        </w:rPr>
        <w:t xml:space="preserve"> orden de importancia </w:t>
      </w:r>
      <w:r w:rsidRPr="00117BF8">
        <w:rPr>
          <w:rFonts w:ascii="Arial" w:eastAsia="Calibri" w:hAnsi="Arial" w:cs="Arial"/>
          <w:sz w:val="22"/>
          <w:szCs w:val="22"/>
        </w:rPr>
        <w:t>s</w:t>
      </w:r>
      <w:r w:rsidR="00CD3C07" w:rsidRPr="00117BF8">
        <w:rPr>
          <w:rFonts w:ascii="Arial" w:eastAsia="Calibri" w:hAnsi="Arial" w:cs="Arial"/>
          <w:sz w:val="22"/>
          <w:szCs w:val="22"/>
        </w:rPr>
        <w:t>on: Educación y Cultura, Seguridad, Judicial y Salud.</w:t>
      </w:r>
    </w:p>
    <w:p w14:paraId="0EB3C471" w14:textId="0127772A" w:rsidR="00CD3C07" w:rsidRPr="00117BF8" w:rsidRDefault="00CD3C07" w:rsidP="00627C66">
      <w:pPr>
        <w:pStyle w:val="hsa"/>
        <w:rPr>
          <w:rFonts w:ascii="Arial" w:eastAsia="Calibri" w:hAnsi="Arial" w:cs="Arial"/>
          <w:sz w:val="22"/>
          <w:szCs w:val="22"/>
        </w:rPr>
      </w:pPr>
      <w:r w:rsidRPr="00117BF8">
        <w:rPr>
          <w:rFonts w:ascii="Arial" w:eastAsia="Calibri" w:hAnsi="Arial" w:cs="Arial"/>
          <w:sz w:val="22"/>
          <w:szCs w:val="22"/>
        </w:rPr>
        <w:t>A pesar de la importante devaluación del peso ocurrida a fin</w:t>
      </w:r>
      <w:r w:rsidR="00496AA6" w:rsidRPr="00117BF8">
        <w:rPr>
          <w:rFonts w:ascii="Arial" w:eastAsia="Calibri" w:hAnsi="Arial" w:cs="Arial"/>
          <w:sz w:val="22"/>
          <w:szCs w:val="22"/>
        </w:rPr>
        <w:t>es</w:t>
      </w:r>
      <w:r w:rsidRPr="00117BF8">
        <w:rPr>
          <w:rFonts w:ascii="Arial" w:eastAsia="Calibri" w:hAnsi="Arial" w:cs="Arial"/>
          <w:sz w:val="22"/>
          <w:szCs w:val="22"/>
        </w:rPr>
        <w:t xml:space="preserve"> de 2015, el servicio de la deuda sólo se incrementó 8%. Sin </w:t>
      </w:r>
      <w:r w:rsidR="00F85C8E" w:rsidRPr="00F85C8E">
        <w:rPr>
          <w:rFonts w:ascii="Arial" w:eastAsia="Calibri" w:hAnsi="Arial" w:cs="Arial"/>
          <w:sz w:val="22"/>
          <w:szCs w:val="22"/>
        </w:rPr>
        <w:t>embargo,</w:t>
      </w:r>
      <w:r w:rsidRPr="00117BF8">
        <w:rPr>
          <w:rFonts w:ascii="Arial" w:eastAsia="Calibri" w:hAnsi="Arial" w:cs="Arial"/>
          <w:sz w:val="22"/>
          <w:szCs w:val="22"/>
        </w:rPr>
        <w:t xml:space="preserve"> su composición fue muy diferente, mientras en 2015 dos tercios del servicio correspondió a amortizaciones, en 2016 los montos destinados a amortizaciones e intereses fueron similares.</w:t>
      </w:r>
      <w:r w:rsidR="00627C66" w:rsidRPr="00117BF8">
        <w:rPr>
          <w:rFonts w:ascii="Arial" w:eastAsia="Calibri" w:hAnsi="Arial" w:cs="Arial"/>
          <w:sz w:val="22"/>
          <w:szCs w:val="22"/>
        </w:rPr>
        <w:t xml:space="preserve"> El s</w:t>
      </w:r>
      <w:r w:rsidRPr="00117BF8">
        <w:rPr>
          <w:rFonts w:ascii="Arial" w:eastAsia="Calibri" w:hAnsi="Arial" w:cs="Arial"/>
          <w:sz w:val="22"/>
          <w:szCs w:val="22"/>
        </w:rPr>
        <w:t>e</w:t>
      </w:r>
      <w:r w:rsidR="00627C66" w:rsidRPr="00117BF8">
        <w:rPr>
          <w:rFonts w:ascii="Arial" w:eastAsia="Calibri" w:hAnsi="Arial" w:cs="Arial"/>
          <w:sz w:val="22"/>
          <w:szCs w:val="22"/>
        </w:rPr>
        <w:t>rvicio</w:t>
      </w:r>
      <w:r w:rsidRPr="00117BF8">
        <w:rPr>
          <w:rFonts w:ascii="Arial" w:eastAsia="Calibri" w:hAnsi="Arial" w:cs="Arial"/>
          <w:sz w:val="22"/>
          <w:szCs w:val="22"/>
        </w:rPr>
        <w:t xml:space="preserve"> de deuda</w:t>
      </w:r>
      <w:r w:rsidR="00627C66" w:rsidRPr="00117BF8">
        <w:rPr>
          <w:rFonts w:ascii="Arial" w:eastAsia="Calibri" w:hAnsi="Arial" w:cs="Arial"/>
          <w:sz w:val="22"/>
          <w:szCs w:val="22"/>
        </w:rPr>
        <w:t xml:space="preserve"> </w:t>
      </w:r>
      <w:r w:rsidRPr="00117BF8">
        <w:rPr>
          <w:rFonts w:ascii="Arial" w:eastAsia="Calibri" w:hAnsi="Arial" w:cs="Arial"/>
          <w:sz w:val="22"/>
          <w:szCs w:val="22"/>
        </w:rPr>
        <w:t>creci</w:t>
      </w:r>
      <w:r w:rsidR="00627C66" w:rsidRPr="00117BF8">
        <w:rPr>
          <w:rFonts w:ascii="Arial" w:eastAsia="Calibri" w:hAnsi="Arial" w:cs="Arial"/>
          <w:sz w:val="22"/>
          <w:szCs w:val="22"/>
        </w:rPr>
        <w:t>ó</w:t>
      </w:r>
      <w:r w:rsidRPr="00117BF8">
        <w:rPr>
          <w:rFonts w:ascii="Arial" w:eastAsia="Calibri" w:hAnsi="Arial" w:cs="Arial"/>
          <w:sz w:val="22"/>
          <w:szCs w:val="22"/>
        </w:rPr>
        <w:t>, entre 2013 y 2014</w:t>
      </w:r>
      <w:r w:rsidR="002E286B" w:rsidRPr="00117BF8">
        <w:rPr>
          <w:rFonts w:ascii="Arial" w:eastAsia="Calibri" w:hAnsi="Arial" w:cs="Arial"/>
          <w:sz w:val="22"/>
          <w:szCs w:val="22"/>
        </w:rPr>
        <w:t>,</w:t>
      </w:r>
      <w:r w:rsidRPr="00117BF8">
        <w:rPr>
          <w:rFonts w:ascii="Arial" w:eastAsia="Calibri" w:hAnsi="Arial" w:cs="Arial"/>
          <w:sz w:val="22"/>
          <w:szCs w:val="22"/>
        </w:rPr>
        <w:t xml:space="preserve"> </w:t>
      </w:r>
      <w:r w:rsidR="00627C66" w:rsidRPr="00117BF8">
        <w:rPr>
          <w:rFonts w:ascii="Arial" w:eastAsia="Calibri" w:hAnsi="Arial" w:cs="Arial"/>
          <w:sz w:val="22"/>
          <w:szCs w:val="22"/>
        </w:rPr>
        <w:t xml:space="preserve">43% y en el siguiente año 71%. En </w:t>
      </w:r>
      <w:r w:rsidR="00496AA6" w:rsidRPr="00117BF8">
        <w:rPr>
          <w:rFonts w:ascii="Arial" w:eastAsia="Calibri" w:hAnsi="Arial" w:cs="Arial"/>
          <w:sz w:val="22"/>
          <w:szCs w:val="22"/>
        </w:rPr>
        <w:t>2015 el incremento fue</w:t>
      </w:r>
      <w:r w:rsidR="00627C66" w:rsidRPr="00117BF8">
        <w:rPr>
          <w:rFonts w:ascii="Arial" w:eastAsia="Calibri" w:hAnsi="Arial" w:cs="Arial"/>
          <w:sz w:val="22"/>
          <w:szCs w:val="22"/>
        </w:rPr>
        <w:t xml:space="preserve"> consecuencia de una </w:t>
      </w:r>
      <w:r w:rsidR="002E286B" w:rsidRPr="00117BF8">
        <w:rPr>
          <w:rFonts w:ascii="Arial" w:eastAsia="Calibri" w:hAnsi="Arial" w:cs="Arial"/>
          <w:sz w:val="22"/>
          <w:szCs w:val="22"/>
        </w:rPr>
        <w:t>importante amortización de</w:t>
      </w:r>
      <w:r w:rsidRPr="00117BF8">
        <w:rPr>
          <w:rFonts w:ascii="Arial" w:eastAsia="Calibri" w:hAnsi="Arial" w:cs="Arial"/>
          <w:sz w:val="22"/>
          <w:szCs w:val="22"/>
        </w:rPr>
        <w:t xml:space="preserve"> deuda </w:t>
      </w:r>
      <w:r w:rsidR="00627C66" w:rsidRPr="00117BF8">
        <w:rPr>
          <w:rFonts w:ascii="Arial" w:eastAsia="Calibri" w:hAnsi="Arial" w:cs="Arial"/>
          <w:sz w:val="22"/>
          <w:szCs w:val="22"/>
        </w:rPr>
        <w:t>(</w:t>
      </w:r>
      <w:r w:rsidR="00EF5D45">
        <w:rPr>
          <w:rFonts w:ascii="Arial" w:eastAsia="Calibri" w:hAnsi="Arial" w:cs="Arial"/>
          <w:sz w:val="22"/>
          <w:szCs w:val="22"/>
        </w:rPr>
        <w:t>US</w:t>
      </w:r>
      <w:r w:rsidRPr="00117BF8">
        <w:rPr>
          <w:rFonts w:ascii="Arial" w:eastAsia="Calibri" w:hAnsi="Arial" w:cs="Arial"/>
          <w:sz w:val="22"/>
          <w:szCs w:val="22"/>
        </w:rPr>
        <w:t>$7.337 millones</w:t>
      </w:r>
      <w:r w:rsidR="00627C66" w:rsidRPr="00117BF8">
        <w:rPr>
          <w:rFonts w:ascii="Arial" w:eastAsia="Calibri" w:hAnsi="Arial" w:cs="Arial"/>
          <w:sz w:val="22"/>
          <w:szCs w:val="22"/>
        </w:rPr>
        <w:t>)</w:t>
      </w:r>
      <w:r w:rsidR="00496AA6" w:rsidRPr="00117BF8">
        <w:rPr>
          <w:rFonts w:ascii="Arial" w:eastAsia="Calibri" w:hAnsi="Arial" w:cs="Arial"/>
          <w:sz w:val="22"/>
          <w:szCs w:val="22"/>
        </w:rPr>
        <w:t>.</w:t>
      </w:r>
    </w:p>
    <w:p w14:paraId="2183EBCF" w14:textId="77777777" w:rsidR="00CD3C07" w:rsidRPr="00117BF8" w:rsidRDefault="00CD3C07" w:rsidP="00CD3C07">
      <w:pPr>
        <w:pStyle w:val="hsa"/>
        <w:rPr>
          <w:rFonts w:ascii="Arial" w:eastAsia="Calibri" w:hAnsi="Arial" w:cs="Arial"/>
          <w:sz w:val="22"/>
          <w:szCs w:val="22"/>
        </w:rPr>
      </w:pPr>
      <w:r w:rsidRPr="00117BF8">
        <w:rPr>
          <w:rFonts w:ascii="Arial" w:eastAsia="Calibri" w:hAnsi="Arial" w:cs="Arial"/>
          <w:sz w:val="22"/>
          <w:szCs w:val="22"/>
        </w:rPr>
        <w:t xml:space="preserve">La evolución </w:t>
      </w:r>
      <w:r w:rsidR="002E286B" w:rsidRPr="00117BF8">
        <w:rPr>
          <w:rFonts w:ascii="Arial" w:eastAsia="Calibri" w:hAnsi="Arial" w:cs="Arial"/>
          <w:sz w:val="22"/>
          <w:szCs w:val="22"/>
        </w:rPr>
        <w:t xml:space="preserve">de los </w:t>
      </w:r>
      <w:r w:rsidRPr="00117BF8">
        <w:rPr>
          <w:rFonts w:ascii="Arial" w:eastAsia="Calibri" w:hAnsi="Arial" w:cs="Arial"/>
          <w:sz w:val="22"/>
          <w:szCs w:val="22"/>
        </w:rPr>
        <w:t xml:space="preserve">indicadores del servicio de deuda refleja los aspectos antes señalados, los servicios se han ubicado algo por encima del 8% </w:t>
      </w:r>
      <w:r w:rsidR="002E286B" w:rsidRPr="00117BF8">
        <w:rPr>
          <w:rFonts w:ascii="Arial" w:eastAsia="Calibri" w:hAnsi="Arial" w:cs="Arial"/>
          <w:sz w:val="22"/>
          <w:szCs w:val="22"/>
        </w:rPr>
        <w:t>de</w:t>
      </w:r>
      <w:r w:rsidRPr="00117BF8">
        <w:rPr>
          <w:rFonts w:ascii="Arial" w:eastAsia="Calibri" w:hAnsi="Arial" w:cs="Arial"/>
          <w:sz w:val="22"/>
          <w:szCs w:val="22"/>
        </w:rPr>
        <w:t xml:space="preserve"> los ingresos totales, salvo en el año 2015 como consecuencia de la amortización antes comentada.</w:t>
      </w:r>
      <w:r w:rsidR="00627C66" w:rsidRPr="00117BF8">
        <w:rPr>
          <w:rFonts w:ascii="Arial" w:eastAsia="Calibri" w:hAnsi="Arial" w:cs="Arial"/>
          <w:sz w:val="22"/>
          <w:szCs w:val="22"/>
        </w:rPr>
        <w:t xml:space="preserve"> </w:t>
      </w:r>
      <w:r w:rsidRPr="00117BF8">
        <w:rPr>
          <w:rFonts w:ascii="Arial" w:eastAsia="Calibri" w:hAnsi="Arial" w:cs="Arial"/>
          <w:sz w:val="22"/>
          <w:szCs w:val="22"/>
        </w:rPr>
        <w:t>Cuando la relación se limita sólo a los intereses se observa un crecimiento constante que alcanza el 4,1% sobre los ingresos totales.</w:t>
      </w:r>
      <w:r w:rsidR="00D26FA0" w:rsidRPr="00117BF8">
        <w:rPr>
          <w:rFonts w:ascii="Arial" w:eastAsia="Calibri" w:hAnsi="Arial" w:cs="Arial"/>
          <w:sz w:val="22"/>
          <w:szCs w:val="22"/>
        </w:rPr>
        <w:t xml:space="preserve"> </w:t>
      </w:r>
      <w:r w:rsidRPr="00117BF8">
        <w:rPr>
          <w:rFonts w:ascii="Arial" w:eastAsia="Calibri" w:hAnsi="Arial" w:cs="Arial"/>
          <w:sz w:val="22"/>
          <w:szCs w:val="22"/>
        </w:rPr>
        <w:t>La composición del servicio por la moneda de la tasa de interés, aislando el año 2015, muestra una tendencia descendente para los servicios relacionados con tasas expresa</w:t>
      </w:r>
      <w:r w:rsidR="00627C66" w:rsidRPr="00117BF8">
        <w:rPr>
          <w:rFonts w:ascii="Arial" w:eastAsia="Calibri" w:hAnsi="Arial" w:cs="Arial"/>
          <w:sz w:val="22"/>
          <w:szCs w:val="22"/>
        </w:rPr>
        <w:t>da</w:t>
      </w:r>
      <w:r w:rsidRPr="00117BF8">
        <w:rPr>
          <w:rFonts w:ascii="Arial" w:eastAsia="Calibri" w:hAnsi="Arial" w:cs="Arial"/>
          <w:sz w:val="22"/>
          <w:szCs w:val="22"/>
        </w:rPr>
        <w:t>s en ARS.</w:t>
      </w:r>
    </w:p>
    <w:p w14:paraId="5CFA25FC" w14:textId="621345CC" w:rsidR="006C3533" w:rsidRPr="00117BF8" w:rsidRDefault="00CD3C07" w:rsidP="00CD3C07">
      <w:pPr>
        <w:pStyle w:val="hsa"/>
        <w:rPr>
          <w:rFonts w:ascii="Arial" w:hAnsi="Arial" w:cs="Arial"/>
          <w:sz w:val="22"/>
          <w:szCs w:val="22"/>
        </w:rPr>
      </w:pPr>
      <w:r w:rsidRPr="00117BF8">
        <w:rPr>
          <w:rFonts w:ascii="Arial" w:eastAsia="Calibri" w:hAnsi="Arial" w:cs="Arial"/>
          <w:sz w:val="22"/>
          <w:szCs w:val="22"/>
        </w:rPr>
        <w:t xml:space="preserve">La </w:t>
      </w:r>
      <w:r w:rsidR="00D26FA0" w:rsidRPr="00117BF8">
        <w:rPr>
          <w:rFonts w:ascii="Arial" w:eastAsia="Calibri" w:hAnsi="Arial" w:cs="Arial"/>
          <w:sz w:val="22"/>
          <w:szCs w:val="22"/>
        </w:rPr>
        <w:t>estructura</w:t>
      </w:r>
      <w:r w:rsidRPr="00117BF8">
        <w:rPr>
          <w:rFonts w:ascii="Arial" w:eastAsia="Calibri" w:hAnsi="Arial" w:cs="Arial"/>
          <w:sz w:val="22"/>
          <w:szCs w:val="22"/>
        </w:rPr>
        <w:t xml:space="preserve"> de la deuda registra cambios sustanciales en algunos indicadores a lo largo de los últimos 4 años, particularmente en 2016. </w:t>
      </w:r>
      <w:r w:rsidR="00ED0B44" w:rsidRPr="00117BF8">
        <w:rPr>
          <w:rFonts w:ascii="Arial" w:eastAsia="Calibri" w:hAnsi="Arial" w:cs="Arial"/>
          <w:sz w:val="22"/>
          <w:szCs w:val="22"/>
        </w:rPr>
        <w:t>Aumentó</w:t>
      </w:r>
      <w:r w:rsidR="00235C78" w:rsidRPr="00117BF8">
        <w:rPr>
          <w:rFonts w:ascii="Arial" w:eastAsia="Calibri" w:hAnsi="Arial" w:cs="Arial"/>
          <w:sz w:val="22"/>
          <w:szCs w:val="22"/>
        </w:rPr>
        <w:t xml:space="preserve"> la participación de</w:t>
      </w:r>
      <w:r w:rsidR="009817B1" w:rsidRPr="00117BF8">
        <w:rPr>
          <w:rFonts w:ascii="Arial" w:eastAsia="Calibri" w:hAnsi="Arial" w:cs="Arial"/>
          <w:sz w:val="22"/>
          <w:szCs w:val="22"/>
        </w:rPr>
        <w:t>:</w:t>
      </w:r>
      <w:r w:rsidR="00235C78" w:rsidRPr="00117BF8">
        <w:rPr>
          <w:rFonts w:ascii="Arial" w:eastAsia="Calibri" w:hAnsi="Arial" w:cs="Arial"/>
          <w:sz w:val="22"/>
          <w:szCs w:val="22"/>
        </w:rPr>
        <w:t xml:space="preserve"> </w:t>
      </w:r>
      <w:r w:rsidR="00D26FA0" w:rsidRPr="00117BF8">
        <w:rPr>
          <w:rFonts w:ascii="Arial" w:eastAsia="Calibri" w:hAnsi="Arial" w:cs="Arial"/>
          <w:sz w:val="22"/>
          <w:szCs w:val="22"/>
        </w:rPr>
        <w:t>la</w:t>
      </w:r>
      <w:r w:rsidRPr="00117BF8">
        <w:rPr>
          <w:rFonts w:ascii="Arial" w:eastAsia="Calibri" w:hAnsi="Arial" w:cs="Arial"/>
          <w:sz w:val="22"/>
          <w:szCs w:val="22"/>
        </w:rPr>
        <w:t xml:space="preserve"> </w:t>
      </w:r>
      <w:r w:rsidR="00D26FA0" w:rsidRPr="00117BF8">
        <w:rPr>
          <w:rFonts w:ascii="Arial" w:eastAsia="Calibri" w:hAnsi="Arial" w:cs="Arial"/>
          <w:sz w:val="22"/>
          <w:szCs w:val="22"/>
        </w:rPr>
        <w:t xml:space="preserve">deuda </w:t>
      </w:r>
      <w:r w:rsidRPr="00117BF8">
        <w:rPr>
          <w:rFonts w:ascii="Arial" w:eastAsia="Calibri" w:hAnsi="Arial" w:cs="Arial"/>
          <w:sz w:val="22"/>
          <w:szCs w:val="22"/>
        </w:rPr>
        <w:t>en moneda extranjera</w:t>
      </w:r>
      <w:r w:rsidR="009817B1" w:rsidRPr="00117BF8">
        <w:rPr>
          <w:rFonts w:ascii="Arial" w:eastAsia="Calibri" w:hAnsi="Arial" w:cs="Arial"/>
          <w:sz w:val="22"/>
          <w:szCs w:val="22"/>
        </w:rPr>
        <w:t>;</w:t>
      </w:r>
      <w:r w:rsidR="00235C78" w:rsidRPr="00117BF8">
        <w:rPr>
          <w:rFonts w:ascii="Arial" w:eastAsia="Calibri" w:hAnsi="Arial" w:cs="Arial"/>
          <w:sz w:val="22"/>
          <w:szCs w:val="22"/>
        </w:rPr>
        <w:t xml:space="preserve"> la instrumentada por medio de </w:t>
      </w:r>
      <w:r w:rsidRPr="00117BF8">
        <w:rPr>
          <w:rFonts w:ascii="Arial" w:eastAsia="Calibri" w:hAnsi="Arial" w:cs="Arial"/>
          <w:sz w:val="22"/>
          <w:szCs w:val="22"/>
        </w:rPr>
        <w:t>bonos, en particular los internacionales</w:t>
      </w:r>
      <w:r w:rsidR="009817B1" w:rsidRPr="00117BF8">
        <w:rPr>
          <w:rFonts w:ascii="Arial" w:eastAsia="Calibri" w:hAnsi="Arial" w:cs="Arial"/>
          <w:sz w:val="22"/>
          <w:szCs w:val="22"/>
        </w:rPr>
        <w:t>; la</w:t>
      </w:r>
      <w:r w:rsidRPr="00117BF8">
        <w:rPr>
          <w:rFonts w:ascii="Arial" w:eastAsia="Calibri" w:hAnsi="Arial" w:cs="Arial"/>
          <w:sz w:val="22"/>
          <w:szCs w:val="22"/>
        </w:rPr>
        <w:t xml:space="preserve"> sometida a ley extranjera</w:t>
      </w:r>
      <w:r w:rsidR="009817B1" w:rsidRPr="00117BF8">
        <w:rPr>
          <w:rFonts w:ascii="Arial" w:eastAsia="Calibri" w:hAnsi="Arial" w:cs="Arial"/>
          <w:sz w:val="22"/>
          <w:szCs w:val="22"/>
        </w:rPr>
        <w:t xml:space="preserve"> y la pactada a </w:t>
      </w:r>
      <w:r w:rsidRPr="00117BF8">
        <w:rPr>
          <w:rFonts w:ascii="Arial" w:eastAsia="Calibri" w:hAnsi="Arial" w:cs="Arial"/>
          <w:sz w:val="22"/>
          <w:szCs w:val="22"/>
        </w:rPr>
        <w:t>tasa variable</w:t>
      </w:r>
      <w:r w:rsidR="00627C66" w:rsidRPr="00117BF8">
        <w:rPr>
          <w:rFonts w:ascii="Arial" w:eastAsia="Calibri" w:hAnsi="Arial" w:cs="Arial"/>
          <w:sz w:val="22"/>
          <w:szCs w:val="22"/>
        </w:rPr>
        <w:t xml:space="preserve">. </w:t>
      </w:r>
      <w:r w:rsidRPr="00117BF8">
        <w:rPr>
          <w:rFonts w:ascii="Arial" w:hAnsi="Arial" w:cs="Arial"/>
          <w:sz w:val="22"/>
          <w:szCs w:val="22"/>
        </w:rPr>
        <w:t>La tasa promedio de la deuda ha crecido</w:t>
      </w:r>
      <w:r w:rsidR="00D26FA0" w:rsidRPr="00117BF8">
        <w:rPr>
          <w:rFonts w:ascii="Arial" w:hAnsi="Arial" w:cs="Arial"/>
          <w:sz w:val="22"/>
          <w:szCs w:val="22"/>
        </w:rPr>
        <w:t xml:space="preserve">, tanto en USD </w:t>
      </w:r>
      <w:r w:rsidRPr="00117BF8">
        <w:rPr>
          <w:rFonts w:ascii="Arial" w:hAnsi="Arial" w:cs="Arial"/>
          <w:sz w:val="22"/>
          <w:szCs w:val="22"/>
        </w:rPr>
        <w:t>como en ARS</w:t>
      </w:r>
      <w:r w:rsidR="00627C66" w:rsidRPr="00117BF8">
        <w:rPr>
          <w:rFonts w:ascii="Arial" w:hAnsi="Arial" w:cs="Arial"/>
          <w:sz w:val="22"/>
          <w:szCs w:val="22"/>
        </w:rPr>
        <w:t>.</w:t>
      </w:r>
    </w:p>
    <w:p w14:paraId="039020D3" w14:textId="77777777" w:rsidR="009808C0" w:rsidRPr="00117BF8" w:rsidRDefault="009817B1" w:rsidP="00CD3C07">
      <w:pPr>
        <w:pStyle w:val="hsa"/>
        <w:rPr>
          <w:rFonts w:ascii="Arial" w:hAnsi="Arial" w:cs="Arial"/>
          <w:sz w:val="22"/>
          <w:szCs w:val="22"/>
        </w:rPr>
      </w:pPr>
      <w:r w:rsidRPr="00117BF8">
        <w:rPr>
          <w:rFonts w:ascii="Arial" w:hAnsi="Arial" w:cs="Arial"/>
          <w:sz w:val="22"/>
          <w:szCs w:val="22"/>
        </w:rPr>
        <w:t>Las operaciones de crédito con OMC no son extrañas a la Provincia, al 31/12/16 la deuda con estos organismos era de 10.301 millones de pesos.</w:t>
      </w:r>
    </w:p>
    <w:tbl>
      <w:tblPr>
        <w:tblW w:w="5685"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83"/>
        <w:gridCol w:w="1701"/>
        <w:gridCol w:w="1701"/>
      </w:tblGrid>
      <w:tr w:rsidR="009808C0" w:rsidRPr="004E6455" w14:paraId="1F15B0B6" w14:textId="77777777" w:rsidTr="006D22B0">
        <w:trPr>
          <w:trHeight w:val="300"/>
          <w:jc w:val="center"/>
        </w:trPr>
        <w:tc>
          <w:tcPr>
            <w:tcW w:w="5685" w:type="dxa"/>
            <w:gridSpan w:val="3"/>
            <w:tcBorders>
              <w:top w:val="single" w:sz="8" w:space="0" w:color="7BA0CD"/>
              <w:left w:val="single" w:sz="8" w:space="0" w:color="7BA0CD"/>
              <w:bottom w:val="single" w:sz="8" w:space="0" w:color="7BA0CD"/>
              <w:right w:val="single" w:sz="8" w:space="0" w:color="7BA0CD"/>
            </w:tcBorders>
            <w:shd w:val="clear" w:color="auto" w:fill="0070C0"/>
            <w:noWrap/>
          </w:tcPr>
          <w:p w14:paraId="4B47DDD2" w14:textId="77777777" w:rsidR="009808C0" w:rsidRPr="00117BF8" w:rsidRDefault="009808C0" w:rsidP="009817B1">
            <w:pPr>
              <w:pStyle w:val="TablaT"/>
              <w:rPr>
                <w:rFonts w:ascii="Arial" w:hAnsi="Arial" w:cs="Arial"/>
                <w:sz w:val="22"/>
                <w:szCs w:val="22"/>
                <w:lang w:val="es-ES_tradnl"/>
              </w:rPr>
            </w:pPr>
            <w:bookmarkStart w:id="6" w:name="_Toc493861110"/>
            <w:r w:rsidRPr="00117BF8">
              <w:rPr>
                <w:rFonts w:ascii="Arial" w:hAnsi="Arial" w:cs="Arial"/>
                <w:sz w:val="22"/>
                <w:szCs w:val="22"/>
                <w:lang w:val="es-ES_tradnl"/>
              </w:rPr>
              <w:t xml:space="preserve">Tabla </w:t>
            </w:r>
            <w:r w:rsidR="009817B1" w:rsidRPr="00117BF8">
              <w:rPr>
                <w:rFonts w:ascii="Arial" w:hAnsi="Arial" w:cs="Arial"/>
                <w:sz w:val="22"/>
                <w:szCs w:val="22"/>
                <w:lang w:val="es-ES_tradnl"/>
              </w:rPr>
              <w:t>RE 3</w:t>
            </w:r>
            <w:r w:rsidRPr="00117BF8">
              <w:rPr>
                <w:rFonts w:ascii="Arial" w:hAnsi="Arial" w:cs="Arial"/>
                <w:sz w:val="22"/>
                <w:szCs w:val="22"/>
                <w:lang w:val="es-ES_tradnl"/>
              </w:rPr>
              <w:t xml:space="preserve"> – Deuda con OMC al 31/12/16</w:t>
            </w:r>
            <w:bookmarkEnd w:id="6"/>
          </w:p>
        </w:tc>
      </w:tr>
      <w:tr w:rsidR="006D22B0" w:rsidRPr="004E6455" w14:paraId="33F485E9" w14:textId="77777777" w:rsidTr="006D22B0">
        <w:trPr>
          <w:trHeight w:val="300"/>
          <w:jc w:val="center"/>
        </w:trPr>
        <w:tc>
          <w:tcPr>
            <w:tcW w:w="2283" w:type="dxa"/>
            <w:tcBorders>
              <w:right w:val="nil"/>
            </w:tcBorders>
            <w:shd w:val="clear" w:color="auto" w:fill="0070C0"/>
            <w:noWrap/>
          </w:tcPr>
          <w:p w14:paraId="1E28ED6B" w14:textId="77777777" w:rsidR="009808C0" w:rsidRPr="00117BF8" w:rsidRDefault="009808C0" w:rsidP="00084AD2">
            <w:pPr>
              <w:pStyle w:val="TablaE"/>
              <w:rPr>
                <w:rFonts w:ascii="Arial" w:hAnsi="Arial" w:cs="Arial"/>
                <w:bCs/>
                <w:sz w:val="22"/>
                <w:szCs w:val="22"/>
              </w:rPr>
            </w:pPr>
            <w:r w:rsidRPr="00117BF8">
              <w:rPr>
                <w:rFonts w:ascii="Arial" w:hAnsi="Arial" w:cs="Arial"/>
                <w:bCs/>
                <w:sz w:val="22"/>
                <w:szCs w:val="22"/>
              </w:rPr>
              <w:t>OMC</w:t>
            </w:r>
          </w:p>
        </w:tc>
        <w:tc>
          <w:tcPr>
            <w:tcW w:w="1701" w:type="dxa"/>
            <w:tcBorders>
              <w:left w:val="nil"/>
              <w:right w:val="nil"/>
            </w:tcBorders>
            <w:shd w:val="clear" w:color="auto" w:fill="0070C0"/>
            <w:noWrap/>
          </w:tcPr>
          <w:p w14:paraId="2328D74C" w14:textId="77777777" w:rsidR="009808C0" w:rsidRPr="00117BF8" w:rsidRDefault="009808C0" w:rsidP="00084AD2">
            <w:pPr>
              <w:pStyle w:val="TablaE"/>
              <w:rPr>
                <w:rFonts w:ascii="Arial" w:hAnsi="Arial" w:cs="Arial"/>
                <w:sz w:val="22"/>
                <w:szCs w:val="22"/>
              </w:rPr>
            </w:pPr>
            <w:r w:rsidRPr="00117BF8">
              <w:rPr>
                <w:rFonts w:ascii="Arial" w:hAnsi="Arial" w:cs="Arial"/>
                <w:sz w:val="22"/>
                <w:szCs w:val="22"/>
              </w:rPr>
              <w:t>Millones</w:t>
            </w:r>
          </w:p>
        </w:tc>
        <w:tc>
          <w:tcPr>
            <w:tcW w:w="1701" w:type="dxa"/>
            <w:tcBorders>
              <w:left w:val="nil"/>
            </w:tcBorders>
            <w:shd w:val="clear" w:color="auto" w:fill="0070C0"/>
            <w:noWrap/>
          </w:tcPr>
          <w:p w14:paraId="70D845A4" w14:textId="77777777" w:rsidR="009808C0" w:rsidRPr="00117BF8" w:rsidRDefault="009808C0" w:rsidP="00084AD2">
            <w:pPr>
              <w:pStyle w:val="TablaE"/>
              <w:rPr>
                <w:rFonts w:ascii="Arial" w:hAnsi="Arial" w:cs="Arial"/>
                <w:sz w:val="22"/>
                <w:szCs w:val="22"/>
              </w:rPr>
            </w:pPr>
            <w:r w:rsidRPr="00117BF8">
              <w:rPr>
                <w:rFonts w:ascii="Arial" w:hAnsi="Arial" w:cs="Arial"/>
                <w:sz w:val="22"/>
                <w:szCs w:val="22"/>
              </w:rPr>
              <w:t>Participación</w:t>
            </w:r>
          </w:p>
        </w:tc>
      </w:tr>
      <w:tr w:rsidR="006D22B0" w:rsidRPr="004E6455" w14:paraId="0ECD0229" w14:textId="77777777" w:rsidTr="006D22B0">
        <w:trPr>
          <w:trHeight w:val="300"/>
          <w:jc w:val="center"/>
        </w:trPr>
        <w:tc>
          <w:tcPr>
            <w:tcW w:w="2283" w:type="dxa"/>
            <w:tcBorders>
              <w:right w:val="nil"/>
            </w:tcBorders>
            <w:shd w:val="clear" w:color="auto" w:fill="auto"/>
            <w:noWrap/>
            <w:hideMark/>
          </w:tcPr>
          <w:p w14:paraId="46C213AF" w14:textId="77777777" w:rsidR="009808C0" w:rsidRPr="00117BF8" w:rsidRDefault="009808C0" w:rsidP="006D22B0">
            <w:pPr>
              <w:pStyle w:val="TablaC"/>
              <w:jc w:val="left"/>
              <w:rPr>
                <w:rFonts w:ascii="Arial" w:hAnsi="Arial" w:cs="Arial"/>
                <w:b/>
                <w:bCs/>
                <w:sz w:val="18"/>
                <w:szCs w:val="18"/>
              </w:rPr>
            </w:pPr>
            <w:r w:rsidRPr="00117BF8">
              <w:rPr>
                <w:rFonts w:ascii="Arial" w:hAnsi="Arial" w:cs="Arial"/>
                <w:b/>
                <w:bCs/>
                <w:sz w:val="18"/>
                <w:szCs w:val="18"/>
              </w:rPr>
              <w:t>BID</w:t>
            </w:r>
          </w:p>
        </w:tc>
        <w:tc>
          <w:tcPr>
            <w:tcW w:w="1701" w:type="dxa"/>
            <w:tcBorders>
              <w:left w:val="nil"/>
              <w:right w:val="nil"/>
            </w:tcBorders>
            <w:shd w:val="clear" w:color="auto" w:fill="auto"/>
            <w:noWrap/>
            <w:hideMark/>
          </w:tcPr>
          <w:p w14:paraId="1E7A0AD3" w14:textId="77777777" w:rsidR="009808C0" w:rsidRPr="00117BF8" w:rsidRDefault="009808C0" w:rsidP="00084AD2">
            <w:pPr>
              <w:pStyle w:val="TablaC"/>
              <w:rPr>
                <w:rFonts w:ascii="Arial" w:hAnsi="Arial" w:cs="Arial"/>
                <w:sz w:val="18"/>
                <w:szCs w:val="18"/>
              </w:rPr>
            </w:pPr>
            <w:r w:rsidRPr="00117BF8">
              <w:rPr>
                <w:rFonts w:ascii="Arial" w:hAnsi="Arial" w:cs="Arial"/>
                <w:sz w:val="18"/>
                <w:szCs w:val="18"/>
              </w:rPr>
              <w:t>5.148</w:t>
            </w:r>
          </w:p>
        </w:tc>
        <w:tc>
          <w:tcPr>
            <w:tcW w:w="1701" w:type="dxa"/>
            <w:tcBorders>
              <w:left w:val="nil"/>
            </w:tcBorders>
            <w:shd w:val="clear" w:color="auto" w:fill="auto"/>
            <w:noWrap/>
            <w:hideMark/>
          </w:tcPr>
          <w:p w14:paraId="4AFE09DB" w14:textId="77777777" w:rsidR="009808C0" w:rsidRPr="00117BF8" w:rsidRDefault="009808C0" w:rsidP="00084AD2">
            <w:pPr>
              <w:pStyle w:val="TablaC"/>
              <w:rPr>
                <w:rFonts w:ascii="Arial" w:hAnsi="Arial" w:cs="Arial"/>
                <w:sz w:val="18"/>
                <w:szCs w:val="18"/>
              </w:rPr>
            </w:pPr>
            <w:r w:rsidRPr="00117BF8">
              <w:rPr>
                <w:rFonts w:ascii="Arial" w:hAnsi="Arial" w:cs="Arial"/>
                <w:sz w:val="18"/>
                <w:szCs w:val="18"/>
              </w:rPr>
              <w:t>50,0%</w:t>
            </w:r>
          </w:p>
        </w:tc>
      </w:tr>
      <w:tr w:rsidR="006D22B0" w:rsidRPr="004E6455" w14:paraId="1D04FE6D" w14:textId="77777777" w:rsidTr="006D22B0">
        <w:trPr>
          <w:trHeight w:val="300"/>
          <w:jc w:val="center"/>
        </w:trPr>
        <w:tc>
          <w:tcPr>
            <w:tcW w:w="2283" w:type="dxa"/>
            <w:tcBorders>
              <w:right w:val="nil"/>
            </w:tcBorders>
            <w:shd w:val="clear" w:color="auto" w:fill="D3DFEE"/>
            <w:noWrap/>
            <w:hideMark/>
          </w:tcPr>
          <w:p w14:paraId="69D88C13" w14:textId="77777777" w:rsidR="009808C0" w:rsidRPr="00117BF8" w:rsidRDefault="009808C0" w:rsidP="006D22B0">
            <w:pPr>
              <w:pStyle w:val="TablaC"/>
              <w:jc w:val="left"/>
              <w:rPr>
                <w:rFonts w:ascii="Arial" w:hAnsi="Arial" w:cs="Arial"/>
                <w:b/>
                <w:bCs/>
                <w:sz w:val="18"/>
                <w:szCs w:val="18"/>
              </w:rPr>
            </w:pPr>
            <w:r w:rsidRPr="00117BF8">
              <w:rPr>
                <w:rFonts w:ascii="Arial" w:hAnsi="Arial" w:cs="Arial"/>
                <w:b/>
                <w:bCs/>
                <w:sz w:val="18"/>
                <w:szCs w:val="18"/>
              </w:rPr>
              <w:t>BIRF</w:t>
            </w:r>
          </w:p>
        </w:tc>
        <w:tc>
          <w:tcPr>
            <w:tcW w:w="1701" w:type="dxa"/>
            <w:tcBorders>
              <w:left w:val="nil"/>
              <w:right w:val="nil"/>
            </w:tcBorders>
            <w:shd w:val="clear" w:color="auto" w:fill="D3DFEE"/>
            <w:noWrap/>
            <w:hideMark/>
          </w:tcPr>
          <w:p w14:paraId="3382A30C" w14:textId="77777777" w:rsidR="009808C0" w:rsidRPr="00117BF8" w:rsidRDefault="009808C0" w:rsidP="00084AD2">
            <w:pPr>
              <w:pStyle w:val="TablaC"/>
              <w:rPr>
                <w:rFonts w:ascii="Arial" w:hAnsi="Arial" w:cs="Arial"/>
                <w:sz w:val="18"/>
                <w:szCs w:val="18"/>
              </w:rPr>
            </w:pPr>
            <w:r w:rsidRPr="00117BF8">
              <w:rPr>
                <w:rFonts w:ascii="Arial" w:hAnsi="Arial" w:cs="Arial"/>
                <w:sz w:val="18"/>
                <w:szCs w:val="18"/>
              </w:rPr>
              <w:t>4.786</w:t>
            </w:r>
          </w:p>
        </w:tc>
        <w:tc>
          <w:tcPr>
            <w:tcW w:w="1701" w:type="dxa"/>
            <w:tcBorders>
              <w:left w:val="nil"/>
            </w:tcBorders>
            <w:shd w:val="clear" w:color="auto" w:fill="D3DFEE"/>
            <w:noWrap/>
            <w:hideMark/>
          </w:tcPr>
          <w:p w14:paraId="35B5DDA6" w14:textId="77777777" w:rsidR="009808C0" w:rsidRPr="00117BF8" w:rsidRDefault="009808C0" w:rsidP="00084AD2">
            <w:pPr>
              <w:pStyle w:val="TablaC"/>
              <w:rPr>
                <w:rFonts w:ascii="Arial" w:hAnsi="Arial" w:cs="Arial"/>
                <w:sz w:val="18"/>
                <w:szCs w:val="18"/>
              </w:rPr>
            </w:pPr>
            <w:r w:rsidRPr="00117BF8">
              <w:rPr>
                <w:rFonts w:ascii="Arial" w:hAnsi="Arial" w:cs="Arial"/>
                <w:sz w:val="18"/>
                <w:szCs w:val="18"/>
              </w:rPr>
              <w:t>46,5%</w:t>
            </w:r>
          </w:p>
        </w:tc>
      </w:tr>
      <w:tr w:rsidR="006D22B0" w:rsidRPr="004E6455" w14:paraId="233AC2A9" w14:textId="77777777" w:rsidTr="006D22B0">
        <w:trPr>
          <w:trHeight w:val="300"/>
          <w:jc w:val="center"/>
        </w:trPr>
        <w:tc>
          <w:tcPr>
            <w:tcW w:w="2283" w:type="dxa"/>
            <w:tcBorders>
              <w:right w:val="nil"/>
            </w:tcBorders>
            <w:shd w:val="clear" w:color="auto" w:fill="auto"/>
            <w:noWrap/>
            <w:hideMark/>
          </w:tcPr>
          <w:p w14:paraId="63A15C42" w14:textId="77777777" w:rsidR="009808C0" w:rsidRPr="00117BF8" w:rsidRDefault="009808C0" w:rsidP="006D22B0">
            <w:pPr>
              <w:pStyle w:val="TablaC"/>
              <w:jc w:val="left"/>
              <w:rPr>
                <w:rFonts w:ascii="Arial" w:hAnsi="Arial" w:cs="Arial"/>
                <w:b/>
                <w:bCs/>
                <w:sz w:val="18"/>
                <w:szCs w:val="18"/>
              </w:rPr>
            </w:pPr>
            <w:r w:rsidRPr="00117BF8">
              <w:rPr>
                <w:rFonts w:ascii="Arial" w:hAnsi="Arial" w:cs="Arial"/>
                <w:b/>
                <w:bCs/>
                <w:sz w:val="18"/>
                <w:szCs w:val="18"/>
              </w:rPr>
              <w:t>FONPLATA</w:t>
            </w:r>
          </w:p>
        </w:tc>
        <w:tc>
          <w:tcPr>
            <w:tcW w:w="1701" w:type="dxa"/>
            <w:tcBorders>
              <w:left w:val="nil"/>
              <w:right w:val="nil"/>
            </w:tcBorders>
            <w:shd w:val="clear" w:color="auto" w:fill="auto"/>
            <w:noWrap/>
            <w:hideMark/>
          </w:tcPr>
          <w:p w14:paraId="405D46D0" w14:textId="77777777" w:rsidR="009808C0" w:rsidRPr="00117BF8" w:rsidRDefault="009808C0" w:rsidP="00084AD2">
            <w:pPr>
              <w:pStyle w:val="TablaC"/>
              <w:rPr>
                <w:rFonts w:ascii="Arial" w:hAnsi="Arial" w:cs="Arial"/>
                <w:sz w:val="18"/>
                <w:szCs w:val="18"/>
              </w:rPr>
            </w:pPr>
            <w:r w:rsidRPr="00117BF8">
              <w:rPr>
                <w:rFonts w:ascii="Arial" w:hAnsi="Arial" w:cs="Arial"/>
                <w:sz w:val="18"/>
                <w:szCs w:val="18"/>
              </w:rPr>
              <w:t>367</w:t>
            </w:r>
          </w:p>
        </w:tc>
        <w:tc>
          <w:tcPr>
            <w:tcW w:w="1701" w:type="dxa"/>
            <w:tcBorders>
              <w:left w:val="nil"/>
            </w:tcBorders>
            <w:shd w:val="clear" w:color="auto" w:fill="auto"/>
            <w:noWrap/>
            <w:hideMark/>
          </w:tcPr>
          <w:p w14:paraId="5572768C" w14:textId="77777777" w:rsidR="009808C0" w:rsidRPr="00117BF8" w:rsidRDefault="009808C0" w:rsidP="00084AD2">
            <w:pPr>
              <w:pStyle w:val="TablaC"/>
              <w:rPr>
                <w:rFonts w:ascii="Arial" w:hAnsi="Arial" w:cs="Arial"/>
                <w:sz w:val="18"/>
                <w:szCs w:val="18"/>
              </w:rPr>
            </w:pPr>
            <w:r w:rsidRPr="00117BF8">
              <w:rPr>
                <w:rFonts w:ascii="Arial" w:hAnsi="Arial" w:cs="Arial"/>
                <w:sz w:val="18"/>
                <w:szCs w:val="18"/>
              </w:rPr>
              <w:t>3,6%</w:t>
            </w:r>
          </w:p>
        </w:tc>
      </w:tr>
      <w:tr w:rsidR="006D22B0" w:rsidRPr="004E6455" w14:paraId="7CD9696D" w14:textId="77777777" w:rsidTr="006D22B0">
        <w:trPr>
          <w:trHeight w:val="300"/>
          <w:jc w:val="center"/>
        </w:trPr>
        <w:tc>
          <w:tcPr>
            <w:tcW w:w="2283" w:type="dxa"/>
            <w:tcBorders>
              <w:right w:val="nil"/>
            </w:tcBorders>
            <w:shd w:val="clear" w:color="auto" w:fill="D3DFEE"/>
            <w:noWrap/>
            <w:hideMark/>
          </w:tcPr>
          <w:p w14:paraId="204A9328" w14:textId="77777777" w:rsidR="009808C0" w:rsidRPr="00117BF8" w:rsidRDefault="009808C0" w:rsidP="006D22B0">
            <w:pPr>
              <w:pStyle w:val="TablaC"/>
              <w:jc w:val="left"/>
              <w:rPr>
                <w:rFonts w:ascii="Arial" w:hAnsi="Arial" w:cs="Arial"/>
                <w:b/>
                <w:bCs/>
                <w:sz w:val="18"/>
                <w:szCs w:val="18"/>
              </w:rPr>
            </w:pPr>
            <w:r w:rsidRPr="00117BF8">
              <w:rPr>
                <w:rFonts w:ascii="Arial" w:hAnsi="Arial" w:cs="Arial"/>
                <w:b/>
                <w:bCs/>
                <w:sz w:val="18"/>
                <w:szCs w:val="18"/>
              </w:rPr>
              <w:t>Total</w:t>
            </w:r>
          </w:p>
        </w:tc>
        <w:tc>
          <w:tcPr>
            <w:tcW w:w="1701" w:type="dxa"/>
            <w:tcBorders>
              <w:left w:val="nil"/>
              <w:right w:val="nil"/>
            </w:tcBorders>
            <w:shd w:val="clear" w:color="auto" w:fill="D3DFEE"/>
            <w:noWrap/>
            <w:hideMark/>
          </w:tcPr>
          <w:p w14:paraId="67FC1D20" w14:textId="77777777" w:rsidR="009808C0" w:rsidRPr="00117BF8" w:rsidRDefault="009808C0" w:rsidP="00084AD2">
            <w:pPr>
              <w:pStyle w:val="TablaC"/>
              <w:rPr>
                <w:rFonts w:ascii="Arial" w:hAnsi="Arial" w:cs="Arial"/>
                <w:sz w:val="18"/>
                <w:szCs w:val="18"/>
              </w:rPr>
            </w:pPr>
            <w:r w:rsidRPr="00117BF8">
              <w:rPr>
                <w:rFonts w:ascii="Arial" w:hAnsi="Arial" w:cs="Arial"/>
                <w:sz w:val="18"/>
                <w:szCs w:val="18"/>
              </w:rPr>
              <w:t>10.301</w:t>
            </w:r>
          </w:p>
        </w:tc>
        <w:tc>
          <w:tcPr>
            <w:tcW w:w="1701" w:type="dxa"/>
            <w:tcBorders>
              <w:left w:val="nil"/>
            </w:tcBorders>
            <w:shd w:val="clear" w:color="auto" w:fill="D3DFEE"/>
            <w:noWrap/>
            <w:hideMark/>
          </w:tcPr>
          <w:p w14:paraId="4DF64C49" w14:textId="77777777" w:rsidR="009808C0" w:rsidRPr="00117BF8" w:rsidRDefault="009808C0" w:rsidP="00084AD2">
            <w:pPr>
              <w:pStyle w:val="TablaC"/>
              <w:rPr>
                <w:rFonts w:ascii="Arial" w:hAnsi="Arial" w:cs="Arial"/>
                <w:sz w:val="18"/>
                <w:szCs w:val="18"/>
              </w:rPr>
            </w:pPr>
            <w:r w:rsidRPr="00117BF8">
              <w:rPr>
                <w:rFonts w:ascii="Arial" w:hAnsi="Arial" w:cs="Arial"/>
                <w:sz w:val="18"/>
                <w:szCs w:val="18"/>
              </w:rPr>
              <w:t>100,0%</w:t>
            </w:r>
          </w:p>
        </w:tc>
      </w:tr>
    </w:tbl>
    <w:p w14:paraId="3BAE83CB" w14:textId="77777777" w:rsidR="009808C0" w:rsidRPr="00117BF8" w:rsidRDefault="009808C0" w:rsidP="00117BF8">
      <w:pPr>
        <w:pStyle w:val="Hfuente"/>
        <w:ind w:left="708" w:firstLine="708"/>
        <w:rPr>
          <w:rFonts w:ascii="Arial" w:eastAsia="Calibri" w:hAnsi="Arial" w:cs="Arial"/>
          <w:sz w:val="18"/>
          <w:szCs w:val="18"/>
        </w:rPr>
      </w:pPr>
      <w:r w:rsidRPr="00117BF8">
        <w:rPr>
          <w:rFonts w:ascii="Arial" w:eastAsia="Calibri" w:hAnsi="Arial" w:cs="Arial"/>
          <w:sz w:val="18"/>
          <w:szCs w:val="18"/>
        </w:rPr>
        <w:t>Fuente: Elaboración propia en base a datos de la CGPBA</w:t>
      </w:r>
    </w:p>
    <w:p w14:paraId="3102CCB4" w14:textId="22195159" w:rsidR="00031DF5" w:rsidRPr="00117BF8" w:rsidRDefault="00E00EE3" w:rsidP="00D00FF8">
      <w:pPr>
        <w:pStyle w:val="hsa"/>
        <w:rPr>
          <w:rFonts w:ascii="Arial" w:hAnsi="Arial" w:cs="Arial"/>
          <w:sz w:val="22"/>
          <w:szCs w:val="22"/>
        </w:rPr>
      </w:pPr>
      <w:r w:rsidRPr="00117BF8">
        <w:rPr>
          <w:rFonts w:ascii="Arial" w:hAnsi="Arial" w:cs="Arial"/>
          <w:sz w:val="22"/>
          <w:szCs w:val="22"/>
        </w:rPr>
        <w:t>Las Operaciones una vez ejecutadas las obras requerirán mantenimiento</w:t>
      </w:r>
      <w:r w:rsidR="00031DF5" w:rsidRPr="00117BF8">
        <w:rPr>
          <w:rFonts w:ascii="Arial" w:hAnsi="Arial" w:cs="Arial"/>
          <w:sz w:val="22"/>
          <w:szCs w:val="22"/>
        </w:rPr>
        <w:t xml:space="preserve"> (Salvo la </w:t>
      </w:r>
      <w:r w:rsidR="008A09DB">
        <w:rPr>
          <w:rFonts w:ascii="Arial" w:hAnsi="Arial" w:cs="Arial"/>
          <w:sz w:val="22"/>
          <w:szCs w:val="22"/>
        </w:rPr>
        <w:br/>
      </w:r>
      <w:r w:rsidR="00031DF5" w:rsidRPr="00117BF8">
        <w:rPr>
          <w:rFonts w:ascii="Arial" w:hAnsi="Arial" w:cs="Arial"/>
          <w:sz w:val="22"/>
          <w:szCs w:val="22"/>
        </w:rPr>
        <w:t>AR-L1272)</w:t>
      </w:r>
      <w:r w:rsidRPr="00117BF8">
        <w:rPr>
          <w:rFonts w:ascii="Arial" w:hAnsi="Arial" w:cs="Arial"/>
          <w:sz w:val="22"/>
          <w:szCs w:val="22"/>
        </w:rPr>
        <w:t>. Estimado el mantenimiento en el 1% de la inversión</w:t>
      </w:r>
      <w:r w:rsidR="00ED0B44" w:rsidRPr="00117BF8">
        <w:rPr>
          <w:rFonts w:ascii="Arial" w:hAnsi="Arial" w:cs="Arial"/>
          <w:sz w:val="22"/>
          <w:szCs w:val="22"/>
        </w:rPr>
        <w:t>, el correspondiente a AR-L1273</w:t>
      </w:r>
      <w:r w:rsidRPr="00117BF8">
        <w:rPr>
          <w:rFonts w:ascii="Arial" w:hAnsi="Arial" w:cs="Arial"/>
          <w:sz w:val="22"/>
          <w:szCs w:val="22"/>
        </w:rPr>
        <w:t xml:space="preserve"> se compar</w:t>
      </w:r>
      <w:r w:rsidR="00031DF5" w:rsidRPr="00117BF8">
        <w:rPr>
          <w:rFonts w:ascii="Arial" w:hAnsi="Arial" w:cs="Arial"/>
          <w:sz w:val="22"/>
          <w:szCs w:val="22"/>
        </w:rPr>
        <w:t>ó</w:t>
      </w:r>
      <w:r w:rsidRPr="00117BF8">
        <w:rPr>
          <w:rFonts w:ascii="Arial" w:hAnsi="Arial" w:cs="Arial"/>
          <w:sz w:val="22"/>
          <w:szCs w:val="22"/>
        </w:rPr>
        <w:t xml:space="preserve"> con los montos destinado</w:t>
      </w:r>
      <w:r w:rsidR="00031DF5" w:rsidRPr="00117BF8">
        <w:rPr>
          <w:rFonts w:ascii="Arial" w:hAnsi="Arial" w:cs="Arial"/>
          <w:sz w:val="22"/>
          <w:szCs w:val="22"/>
        </w:rPr>
        <w:t>s</w:t>
      </w:r>
      <w:r w:rsidRPr="00117BF8">
        <w:rPr>
          <w:rFonts w:ascii="Arial" w:hAnsi="Arial" w:cs="Arial"/>
          <w:sz w:val="22"/>
          <w:szCs w:val="22"/>
        </w:rPr>
        <w:t xml:space="preserve"> al </w:t>
      </w:r>
      <w:r w:rsidR="00ED0B44" w:rsidRPr="00117BF8">
        <w:rPr>
          <w:rFonts w:ascii="Arial" w:hAnsi="Arial" w:cs="Arial"/>
          <w:sz w:val="22"/>
          <w:szCs w:val="22"/>
        </w:rPr>
        <w:t>P</w:t>
      </w:r>
      <w:r w:rsidRPr="00117BF8">
        <w:rPr>
          <w:rFonts w:ascii="Arial" w:hAnsi="Arial" w:cs="Arial"/>
          <w:sz w:val="22"/>
          <w:szCs w:val="22"/>
        </w:rPr>
        <w:t xml:space="preserve">rograma </w:t>
      </w:r>
      <w:r w:rsidR="00ED0B44" w:rsidRPr="00117BF8">
        <w:rPr>
          <w:rFonts w:ascii="Arial" w:hAnsi="Arial" w:cs="Arial"/>
          <w:sz w:val="22"/>
          <w:szCs w:val="22"/>
        </w:rPr>
        <w:t xml:space="preserve">10 del Ministerio de Infraestructura, </w:t>
      </w:r>
      <w:r w:rsidRPr="00117BF8">
        <w:rPr>
          <w:rFonts w:ascii="Arial" w:hAnsi="Arial" w:cs="Arial"/>
          <w:sz w:val="22"/>
          <w:szCs w:val="22"/>
        </w:rPr>
        <w:t>al que se podría asimilar</w:t>
      </w:r>
      <w:r w:rsidR="00ED0B44" w:rsidRPr="00117BF8">
        <w:rPr>
          <w:rFonts w:ascii="Arial" w:hAnsi="Arial" w:cs="Arial"/>
          <w:sz w:val="22"/>
          <w:szCs w:val="22"/>
        </w:rPr>
        <w:t>se</w:t>
      </w:r>
      <w:r w:rsidRPr="00117BF8">
        <w:rPr>
          <w:rFonts w:ascii="Arial" w:hAnsi="Arial" w:cs="Arial"/>
          <w:sz w:val="22"/>
          <w:szCs w:val="22"/>
        </w:rPr>
        <w:t xml:space="preserve"> el mantenimiento de </w:t>
      </w:r>
      <w:r w:rsidR="00ED0B44" w:rsidRPr="00117BF8">
        <w:rPr>
          <w:rFonts w:ascii="Arial" w:hAnsi="Arial" w:cs="Arial"/>
          <w:sz w:val="22"/>
          <w:szCs w:val="22"/>
        </w:rPr>
        <w:t>estas</w:t>
      </w:r>
      <w:r w:rsidRPr="00117BF8">
        <w:rPr>
          <w:rFonts w:ascii="Arial" w:hAnsi="Arial" w:cs="Arial"/>
          <w:sz w:val="22"/>
          <w:szCs w:val="22"/>
        </w:rPr>
        <w:t xml:space="preserve"> obras</w:t>
      </w:r>
      <w:r w:rsidR="00ED0B44" w:rsidRPr="00117BF8">
        <w:rPr>
          <w:rFonts w:ascii="Arial" w:hAnsi="Arial" w:cs="Arial"/>
          <w:sz w:val="22"/>
          <w:szCs w:val="22"/>
        </w:rPr>
        <w:t>,</w:t>
      </w:r>
      <w:r w:rsidRPr="00117BF8">
        <w:rPr>
          <w:rFonts w:ascii="Arial" w:hAnsi="Arial" w:cs="Arial"/>
          <w:sz w:val="22"/>
          <w:szCs w:val="22"/>
        </w:rPr>
        <w:t xml:space="preserve"> </w:t>
      </w:r>
      <w:r w:rsidR="00031DF5" w:rsidRPr="00117BF8">
        <w:rPr>
          <w:rFonts w:ascii="Arial" w:hAnsi="Arial" w:cs="Arial"/>
          <w:sz w:val="22"/>
          <w:szCs w:val="22"/>
        </w:rPr>
        <w:t>y</w:t>
      </w:r>
      <w:r w:rsidR="00ED0B44" w:rsidRPr="00117BF8">
        <w:rPr>
          <w:rFonts w:ascii="Arial" w:hAnsi="Arial" w:cs="Arial"/>
          <w:sz w:val="22"/>
          <w:szCs w:val="22"/>
        </w:rPr>
        <w:t xml:space="preserve"> el mantenimiento de las obras previstas en la operación AR-L 1274 se comparó con </w:t>
      </w:r>
      <w:r w:rsidR="00031DF5" w:rsidRPr="00117BF8">
        <w:rPr>
          <w:rFonts w:ascii="Arial" w:hAnsi="Arial" w:cs="Arial"/>
          <w:sz w:val="22"/>
          <w:szCs w:val="22"/>
        </w:rPr>
        <w:t>los gastos corrientes, excluidos impuestos, de AU</w:t>
      </w:r>
      <w:r w:rsidR="00ED0B44" w:rsidRPr="00117BF8">
        <w:rPr>
          <w:rFonts w:ascii="Arial" w:hAnsi="Arial" w:cs="Arial"/>
          <w:sz w:val="22"/>
          <w:szCs w:val="22"/>
        </w:rPr>
        <w:t>BA</w:t>
      </w:r>
      <w:r w:rsidR="00031DF5" w:rsidRPr="00117BF8">
        <w:rPr>
          <w:rFonts w:ascii="Arial" w:hAnsi="Arial" w:cs="Arial"/>
          <w:sz w:val="22"/>
          <w:szCs w:val="22"/>
        </w:rPr>
        <w:t>SA</w:t>
      </w:r>
      <w:r w:rsidR="00ED0B44" w:rsidRPr="00117BF8">
        <w:rPr>
          <w:rFonts w:ascii="Arial" w:hAnsi="Arial" w:cs="Arial"/>
          <w:sz w:val="22"/>
          <w:szCs w:val="22"/>
        </w:rPr>
        <w:t xml:space="preserve">. En ambos casos representa </w:t>
      </w:r>
      <w:r w:rsidR="00031DF5" w:rsidRPr="00117BF8">
        <w:rPr>
          <w:rFonts w:ascii="Arial" w:hAnsi="Arial" w:cs="Arial"/>
          <w:sz w:val="22"/>
          <w:szCs w:val="22"/>
        </w:rPr>
        <w:t xml:space="preserve">aproximadamente el 4% de los presupuestos de las respectivas áreas, de donde se deduce que el mismo no </w:t>
      </w:r>
      <w:r w:rsidR="00ED0B44" w:rsidRPr="00117BF8">
        <w:rPr>
          <w:rFonts w:ascii="Arial" w:hAnsi="Arial" w:cs="Arial"/>
          <w:sz w:val="22"/>
          <w:szCs w:val="22"/>
        </w:rPr>
        <w:t xml:space="preserve">implica </w:t>
      </w:r>
      <w:r w:rsidR="00031DF5" w:rsidRPr="00117BF8">
        <w:rPr>
          <w:rFonts w:ascii="Arial" w:hAnsi="Arial" w:cs="Arial"/>
          <w:sz w:val="22"/>
          <w:szCs w:val="22"/>
        </w:rPr>
        <w:t>un desafío de magnitud para los respectivos entes y que los gastos no son representativos.</w:t>
      </w:r>
    </w:p>
    <w:p w14:paraId="5373D395" w14:textId="77777777" w:rsidR="00031DF5" w:rsidRPr="00117BF8" w:rsidRDefault="00031DF5" w:rsidP="00D00FF8">
      <w:pPr>
        <w:pStyle w:val="hsa"/>
        <w:rPr>
          <w:rFonts w:ascii="Arial" w:hAnsi="Arial" w:cs="Arial"/>
          <w:sz w:val="22"/>
          <w:szCs w:val="22"/>
        </w:rPr>
      </w:pPr>
      <w:r w:rsidRPr="00117BF8">
        <w:rPr>
          <w:rFonts w:ascii="Arial" w:hAnsi="Arial" w:cs="Arial"/>
          <w:sz w:val="22"/>
          <w:szCs w:val="22"/>
        </w:rPr>
        <w:t>En el caso de AUBASA, si bien el mantenimiento no es significativo respecto a los gastos, representa un 20% de su excedente financiero. Se desconoce si están previstos peajes o alguna contrapartida para este ente por la incorporación de estas actividades.</w:t>
      </w:r>
    </w:p>
    <w:p w14:paraId="1D88CBD4" w14:textId="77777777" w:rsidR="00E00EE3" w:rsidRPr="00117BF8" w:rsidRDefault="00031DF5" w:rsidP="00D00FF8">
      <w:pPr>
        <w:pStyle w:val="hsa"/>
        <w:rPr>
          <w:rFonts w:ascii="Arial" w:hAnsi="Arial" w:cs="Arial"/>
          <w:sz w:val="22"/>
          <w:szCs w:val="22"/>
        </w:rPr>
      </w:pPr>
      <w:r w:rsidRPr="00117BF8">
        <w:rPr>
          <w:rFonts w:ascii="Arial" w:hAnsi="Arial" w:cs="Arial"/>
          <w:sz w:val="22"/>
          <w:szCs w:val="22"/>
        </w:rPr>
        <w:t>La Provincia me proveyó sus proyecciones hasta el 2028, r</w:t>
      </w:r>
      <w:r w:rsidR="00ED0B44" w:rsidRPr="00117BF8">
        <w:rPr>
          <w:rFonts w:ascii="Arial" w:hAnsi="Arial" w:cs="Arial"/>
          <w:sz w:val="22"/>
          <w:szCs w:val="22"/>
        </w:rPr>
        <w:t>ealicé un análisis crítico de l</w:t>
      </w:r>
      <w:r w:rsidRPr="00117BF8">
        <w:rPr>
          <w:rFonts w:ascii="Arial" w:hAnsi="Arial" w:cs="Arial"/>
          <w:sz w:val="22"/>
          <w:szCs w:val="22"/>
        </w:rPr>
        <w:t>o</w:t>
      </w:r>
      <w:r w:rsidR="00ED0B44" w:rsidRPr="00117BF8">
        <w:rPr>
          <w:rFonts w:ascii="Arial" w:hAnsi="Arial" w:cs="Arial"/>
          <w:sz w:val="22"/>
          <w:szCs w:val="22"/>
        </w:rPr>
        <w:t>s</w:t>
      </w:r>
      <w:r w:rsidRPr="00117BF8">
        <w:rPr>
          <w:rFonts w:ascii="Arial" w:hAnsi="Arial" w:cs="Arial"/>
          <w:sz w:val="22"/>
          <w:szCs w:val="22"/>
        </w:rPr>
        <w:t xml:space="preserve"> supuestos involucrados y consideré otros alternativos, además incorporé los gastos de capital y corrientes originados en Las Operaciones. Las proyecciones resultante</w:t>
      </w:r>
      <w:r w:rsidR="000D106C" w:rsidRPr="00117BF8">
        <w:rPr>
          <w:rFonts w:ascii="Arial" w:hAnsi="Arial" w:cs="Arial"/>
          <w:sz w:val="22"/>
          <w:szCs w:val="22"/>
        </w:rPr>
        <w:t>s</w:t>
      </w:r>
      <w:r w:rsidRPr="00117BF8">
        <w:rPr>
          <w:rFonts w:ascii="Arial" w:hAnsi="Arial" w:cs="Arial"/>
          <w:sz w:val="22"/>
          <w:szCs w:val="22"/>
        </w:rPr>
        <w:t xml:space="preserve"> las denominé Altern</w:t>
      </w:r>
      <w:r w:rsidR="00423957" w:rsidRPr="00117BF8">
        <w:rPr>
          <w:rFonts w:ascii="Arial" w:hAnsi="Arial" w:cs="Arial"/>
          <w:sz w:val="22"/>
          <w:szCs w:val="22"/>
        </w:rPr>
        <w:t>a</w:t>
      </w:r>
      <w:r w:rsidRPr="00117BF8">
        <w:rPr>
          <w:rFonts w:ascii="Arial" w:hAnsi="Arial" w:cs="Arial"/>
          <w:sz w:val="22"/>
          <w:szCs w:val="22"/>
        </w:rPr>
        <w:t>tivas.</w:t>
      </w:r>
    </w:p>
    <w:p w14:paraId="24004F8C" w14:textId="77777777" w:rsidR="00031DF5" w:rsidRPr="00117BF8" w:rsidRDefault="00031DF5" w:rsidP="00D00FF8">
      <w:pPr>
        <w:pStyle w:val="hsa"/>
        <w:rPr>
          <w:rFonts w:ascii="Arial" w:hAnsi="Arial" w:cs="Arial"/>
          <w:sz w:val="22"/>
          <w:szCs w:val="22"/>
        </w:rPr>
      </w:pPr>
      <w:r w:rsidRPr="00117BF8">
        <w:rPr>
          <w:rFonts w:ascii="Arial" w:hAnsi="Arial" w:cs="Arial"/>
          <w:sz w:val="22"/>
          <w:szCs w:val="22"/>
        </w:rPr>
        <w:t xml:space="preserve">El análisis de las proyecciones debe considerar algunos condicionantes de importancia: Rigidez del gasto corriente, Recursos tributarios de origen nacional descendentes, </w:t>
      </w:r>
      <w:r w:rsidR="00423957" w:rsidRPr="00117BF8">
        <w:rPr>
          <w:rFonts w:ascii="Arial" w:hAnsi="Arial" w:cs="Arial"/>
          <w:sz w:val="22"/>
          <w:szCs w:val="22"/>
        </w:rPr>
        <w:t>Presión fiscal</w:t>
      </w:r>
      <w:r w:rsidR="00ED0B44" w:rsidRPr="00117BF8">
        <w:rPr>
          <w:rFonts w:ascii="Arial" w:hAnsi="Arial" w:cs="Arial"/>
          <w:sz w:val="22"/>
          <w:szCs w:val="22"/>
        </w:rPr>
        <w:t>,</w:t>
      </w:r>
      <w:r w:rsidR="00423957" w:rsidRPr="00117BF8">
        <w:rPr>
          <w:rFonts w:ascii="Arial" w:hAnsi="Arial" w:cs="Arial"/>
          <w:sz w:val="22"/>
          <w:szCs w:val="22"/>
        </w:rPr>
        <w:t xml:space="preserve"> </w:t>
      </w:r>
      <w:r w:rsidR="00ED0B44" w:rsidRPr="00117BF8">
        <w:rPr>
          <w:rFonts w:ascii="Arial" w:hAnsi="Arial" w:cs="Arial"/>
          <w:sz w:val="22"/>
          <w:szCs w:val="22"/>
        </w:rPr>
        <w:t xml:space="preserve">correspondiente a impuesto provinciales, </w:t>
      </w:r>
      <w:r w:rsidR="00423957" w:rsidRPr="00117BF8">
        <w:rPr>
          <w:rFonts w:ascii="Arial" w:hAnsi="Arial" w:cs="Arial"/>
          <w:sz w:val="22"/>
          <w:szCs w:val="22"/>
        </w:rPr>
        <w:t>relativa</w:t>
      </w:r>
      <w:r w:rsidR="00ED0B44" w:rsidRPr="00117BF8">
        <w:rPr>
          <w:rFonts w:ascii="Arial" w:hAnsi="Arial" w:cs="Arial"/>
          <w:sz w:val="22"/>
          <w:szCs w:val="22"/>
        </w:rPr>
        <w:t>mente</w:t>
      </w:r>
      <w:r w:rsidR="00423957" w:rsidRPr="00117BF8">
        <w:rPr>
          <w:rFonts w:ascii="Arial" w:hAnsi="Arial" w:cs="Arial"/>
          <w:sz w:val="22"/>
          <w:szCs w:val="22"/>
        </w:rPr>
        <w:t xml:space="preserve"> alta, Recursos totales de bajo nivel relativo y recursos bajo</w:t>
      </w:r>
      <w:r w:rsidR="00ED0B44" w:rsidRPr="00117BF8">
        <w:rPr>
          <w:rFonts w:ascii="Arial" w:hAnsi="Arial" w:cs="Arial"/>
          <w:sz w:val="22"/>
          <w:szCs w:val="22"/>
        </w:rPr>
        <w:t>s</w:t>
      </w:r>
      <w:r w:rsidR="00423957" w:rsidRPr="00117BF8">
        <w:rPr>
          <w:rFonts w:ascii="Arial" w:hAnsi="Arial" w:cs="Arial"/>
          <w:sz w:val="22"/>
          <w:szCs w:val="22"/>
        </w:rPr>
        <w:t xml:space="preserve"> en términos de NBI.</w:t>
      </w:r>
    </w:p>
    <w:p w14:paraId="3AF864EF" w14:textId="77777777" w:rsidR="00423957" w:rsidRPr="00117BF8" w:rsidRDefault="00423957" w:rsidP="00D00FF8">
      <w:pPr>
        <w:pStyle w:val="hsa"/>
        <w:rPr>
          <w:rFonts w:ascii="Arial" w:hAnsi="Arial" w:cs="Arial"/>
          <w:sz w:val="22"/>
          <w:szCs w:val="22"/>
        </w:rPr>
      </w:pPr>
      <w:r w:rsidRPr="00117BF8">
        <w:rPr>
          <w:rFonts w:ascii="Arial" w:hAnsi="Arial" w:cs="Arial"/>
          <w:sz w:val="22"/>
          <w:szCs w:val="22"/>
        </w:rPr>
        <w:t xml:space="preserve">Por el lado positivo, la mayor parte de los aspectos precedentes otorgan sólidas bases a los reclamos de la Provincia por una mejora de su participación en los recursos tributarios nacionales, una actividad económica diversificada que le </w:t>
      </w:r>
      <w:r w:rsidR="00ED0B44" w:rsidRPr="00117BF8">
        <w:rPr>
          <w:rFonts w:ascii="Arial" w:hAnsi="Arial" w:cs="Arial"/>
          <w:sz w:val="22"/>
          <w:szCs w:val="22"/>
        </w:rPr>
        <w:t>brinda</w:t>
      </w:r>
      <w:r w:rsidRPr="00117BF8">
        <w:rPr>
          <w:rFonts w:ascii="Arial" w:hAnsi="Arial" w:cs="Arial"/>
          <w:sz w:val="22"/>
          <w:szCs w:val="22"/>
        </w:rPr>
        <w:t xml:space="preserve"> una base impositiva sólida y el Acuerdo Federal de 2016 que mejora la distribución de los recursos nacionales en favor de las provincias.</w:t>
      </w:r>
    </w:p>
    <w:p w14:paraId="6644EBB4" w14:textId="77777777" w:rsidR="004B5BA0" w:rsidRPr="00117BF8" w:rsidRDefault="000D106C" w:rsidP="00D00FF8">
      <w:pPr>
        <w:pStyle w:val="hsa"/>
        <w:rPr>
          <w:rFonts w:ascii="Arial" w:hAnsi="Arial" w:cs="Arial"/>
          <w:sz w:val="22"/>
          <w:szCs w:val="22"/>
        </w:rPr>
      </w:pPr>
      <w:r w:rsidRPr="00117BF8">
        <w:rPr>
          <w:rFonts w:ascii="Arial" w:hAnsi="Arial" w:cs="Arial"/>
          <w:sz w:val="22"/>
          <w:szCs w:val="22"/>
        </w:rPr>
        <w:t>Las principales modificaciones en los supuestos realizadas en las proyecciones alternativas son</w:t>
      </w:r>
      <w:r w:rsidR="004B5BA0" w:rsidRPr="00117BF8">
        <w:rPr>
          <w:rFonts w:ascii="Arial" w:hAnsi="Arial" w:cs="Arial"/>
          <w:sz w:val="22"/>
          <w:szCs w:val="22"/>
        </w:rPr>
        <w:t>:</w:t>
      </w:r>
    </w:p>
    <w:p w14:paraId="7D135225" w14:textId="77777777" w:rsidR="004B5BA0" w:rsidRPr="00117BF8" w:rsidRDefault="000D106C" w:rsidP="006826AC">
      <w:pPr>
        <w:pStyle w:val="HPUN0"/>
        <w:rPr>
          <w:rFonts w:ascii="Arial" w:hAnsi="Arial" w:cs="Arial"/>
          <w:sz w:val="22"/>
          <w:szCs w:val="22"/>
        </w:rPr>
      </w:pPr>
      <w:r w:rsidRPr="00117BF8">
        <w:rPr>
          <w:rFonts w:ascii="Arial" w:hAnsi="Arial" w:cs="Arial"/>
          <w:sz w:val="22"/>
          <w:szCs w:val="22"/>
        </w:rPr>
        <w:t xml:space="preserve">Mayor crecimiento del PBG nominal durante los primeros cuatro años (Combinación de mayor inflación y menor crecimiento real, basado en </w:t>
      </w:r>
      <w:r w:rsidR="004B5BA0" w:rsidRPr="00117BF8">
        <w:rPr>
          <w:rFonts w:ascii="Arial" w:hAnsi="Arial" w:cs="Arial"/>
          <w:sz w:val="22"/>
          <w:szCs w:val="22"/>
        </w:rPr>
        <w:t>estimaciones del BM y REM),</w:t>
      </w:r>
    </w:p>
    <w:p w14:paraId="69435C03" w14:textId="77777777" w:rsidR="000D106C" w:rsidRPr="00117BF8" w:rsidRDefault="004B5BA0" w:rsidP="006826AC">
      <w:pPr>
        <w:pStyle w:val="HPUN0"/>
        <w:rPr>
          <w:rFonts w:ascii="Arial" w:hAnsi="Arial" w:cs="Arial"/>
          <w:sz w:val="22"/>
          <w:szCs w:val="22"/>
        </w:rPr>
      </w:pPr>
      <w:r w:rsidRPr="00117BF8">
        <w:rPr>
          <w:rFonts w:ascii="Arial" w:hAnsi="Arial" w:cs="Arial"/>
          <w:sz w:val="22"/>
          <w:szCs w:val="22"/>
        </w:rPr>
        <w:t>La Provincia estimó la ejecución presupuestaria del año 2016 (Año base), mi proyección se basa en los valores definitivos de ese año,</w:t>
      </w:r>
    </w:p>
    <w:p w14:paraId="582DC19F" w14:textId="77777777" w:rsidR="004B5BA0" w:rsidRPr="00117BF8" w:rsidRDefault="004B5BA0" w:rsidP="006826AC">
      <w:pPr>
        <w:pStyle w:val="HPUN0"/>
        <w:rPr>
          <w:rFonts w:ascii="Arial" w:hAnsi="Arial" w:cs="Arial"/>
          <w:sz w:val="22"/>
          <w:szCs w:val="22"/>
        </w:rPr>
      </w:pPr>
      <w:r w:rsidRPr="00117BF8">
        <w:rPr>
          <w:rFonts w:ascii="Arial" w:hAnsi="Arial" w:cs="Arial"/>
          <w:sz w:val="22"/>
          <w:szCs w:val="22"/>
        </w:rPr>
        <w:t>Los recursos tributarios naci</w:t>
      </w:r>
      <w:r w:rsidR="00ED0B44" w:rsidRPr="00117BF8">
        <w:rPr>
          <w:rFonts w:ascii="Arial" w:hAnsi="Arial" w:cs="Arial"/>
          <w:sz w:val="22"/>
          <w:szCs w:val="22"/>
        </w:rPr>
        <w:t>onales se estiman</w:t>
      </w:r>
      <w:r w:rsidRPr="00117BF8">
        <w:rPr>
          <w:rFonts w:ascii="Arial" w:hAnsi="Arial" w:cs="Arial"/>
          <w:sz w:val="22"/>
          <w:szCs w:val="22"/>
        </w:rPr>
        <w:t xml:space="preserve"> decrecientes siguiendo la tendencia histórica y se considera el impacto del Acuerdo Federal de mayo de 2016 (Incremento paulatino de recursos para las provincias). También se </w:t>
      </w:r>
      <w:r w:rsidR="00ED0B44" w:rsidRPr="00117BF8">
        <w:rPr>
          <w:rFonts w:ascii="Arial" w:hAnsi="Arial" w:cs="Arial"/>
          <w:sz w:val="22"/>
          <w:szCs w:val="22"/>
        </w:rPr>
        <w:t>calculó sobre los recursos proyectados</w:t>
      </w:r>
      <w:r w:rsidRPr="00117BF8">
        <w:rPr>
          <w:rFonts w:ascii="Arial" w:hAnsi="Arial" w:cs="Arial"/>
          <w:sz w:val="22"/>
          <w:szCs w:val="22"/>
        </w:rPr>
        <w:t xml:space="preserve"> el impacto del blanqueo impositivo ocurrido entre fines de 2016 y principios 2017.</w:t>
      </w:r>
    </w:p>
    <w:p w14:paraId="6E69C521" w14:textId="77777777" w:rsidR="004B5BA0" w:rsidRPr="00117BF8" w:rsidRDefault="004B5BA0" w:rsidP="006826AC">
      <w:pPr>
        <w:pStyle w:val="HPUN0"/>
        <w:rPr>
          <w:rFonts w:ascii="Arial" w:hAnsi="Arial" w:cs="Arial"/>
          <w:sz w:val="22"/>
          <w:szCs w:val="22"/>
        </w:rPr>
      </w:pPr>
      <w:r w:rsidRPr="00117BF8">
        <w:rPr>
          <w:rFonts w:ascii="Arial" w:hAnsi="Arial" w:cs="Arial"/>
          <w:sz w:val="22"/>
          <w:szCs w:val="22"/>
        </w:rPr>
        <w:t>El diferente PBG nominal implica cambios en la recaudación, la consistencia de mis supuesto</w:t>
      </w:r>
      <w:r w:rsidR="00ED0B44" w:rsidRPr="00117BF8">
        <w:rPr>
          <w:rFonts w:ascii="Arial" w:hAnsi="Arial" w:cs="Arial"/>
          <w:sz w:val="22"/>
          <w:szCs w:val="22"/>
        </w:rPr>
        <w:t>s,</w:t>
      </w:r>
      <w:r w:rsidRPr="00117BF8">
        <w:rPr>
          <w:rFonts w:ascii="Arial" w:hAnsi="Arial" w:cs="Arial"/>
          <w:sz w:val="22"/>
          <w:szCs w:val="22"/>
        </w:rPr>
        <w:t xml:space="preserve"> para el </w:t>
      </w:r>
      <w:r w:rsidR="00ED0B44" w:rsidRPr="00117BF8">
        <w:rPr>
          <w:rFonts w:ascii="Arial" w:hAnsi="Arial" w:cs="Arial"/>
          <w:sz w:val="22"/>
          <w:szCs w:val="22"/>
        </w:rPr>
        <w:t xml:space="preserve">año </w:t>
      </w:r>
      <w:r w:rsidRPr="00117BF8">
        <w:rPr>
          <w:rFonts w:ascii="Arial" w:hAnsi="Arial" w:cs="Arial"/>
          <w:sz w:val="22"/>
          <w:szCs w:val="22"/>
        </w:rPr>
        <w:t>2017</w:t>
      </w:r>
      <w:r w:rsidR="00ED0B44" w:rsidRPr="00117BF8">
        <w:rPr>
          <w:rFonts w:ascii="Arial" w:hAnsi="Arial" w:cs="Arial"/>
          <w:sz w:val="22"/>
          <w:szCs w:val="22"/>
        </w:rPr>
        <w:t>,</w:t>
      </w:r>
      <w:r w:rsidRPr="00117BF8">
        <w:rPr>
          <w:rFonts w:ascii="Arial" w:hAnsi="Arial" w:cs="Arial"/>
          <w:sz w:val="22"/>
          <w:szCs w:val="22"/>
        </w:rPr>
        <w:t xml:space="preserve"> se verificó con la recaudación tributaria observada hasta agosto del corriente año.</w:t>
      </w:r>
    </w:p>
    <w:p w14:paraId="6ABC710E" w14:textId="77777777" w:rsidR="004B5BA0" w:rsidRPr="00117BF8" w:rsidRDefault="004B5BA0" w:rsidP="006826AC">
      <w:pPr>
        <w:pStyle w:val="HPUN0"/>
        <w:rPr>
          <w:rFonts w:ascii="Arial" w:hAnsi="Arial" w:cs="Arial"/>
          <w:sz w:val="22"/>
          <w:szCs w:val="22"/>
        </w:rPr>
      </w:pPr>
      <w:r w:rsidRPr="00117BF8">
        <w:rPr>
          <w:rFonts w:ascii="Arial" w:hAnsi="Arial" w:cs="Arial"/>
          <w:sz w:val="22"/>
          <w:szCs w:val="22"/>
        </w:rPr>
        <w:t xml:space="preserve">Los gastos también se consideraron función del PBG pero las diferentes tasas de evolución </w:t>
      </w:r>
      <w:r w:rsidR="006826AC" w:rsidRPr="00117BF8">
        <w:rPr>
          <w:rFonts w:ascii="Arial" w:hAnsi="Arial" w:cs="Arial"/>
          <w:sz w:val="22"/>
          <w:szCs w:val="22"/>
        </w:rPr>
        <w:t xml:space="preserve">del PBG e inflación </w:t>
      </w:r>
      <w:r w:rsidRPr="00117BF8">
        <w:rPr>
          <w:rFonts w:ascii="Arial" w:hAnsi="Arial" w:cs="Arial"/>
          <w:sz w:val="22"/>
          <w:szCs w:val="22"/>
        </w:rPr>
        <w:t>implican menores gastos reales en las proyecciones alternativas pero valores nominales superiores.</w:t>
      </w:r>
    </w:p>
    <w:p w14:paraId="5A4A1FD8" w14:textId="77777777" w:rsidR="006826AC" w:rsidRPr="00117BF8" w:rsidRDefault="006826AC" w:rsidP="006826AC">
      <w:pPr>
        <w:pStyle w:val="HPUN0"/>
        <w:rPr>
          <w:rFonts w:ascii="Arial" w:hAnsi="Arial" w:cs="Arial"/>
          <w:sz w:val="22"/>
          <w:szCs w:val="22"/>
        </w:rPr>
      </w:pPr>
      <w:r w:rsidRPr="00117BF8">
        <w:rPr>
          <w:rFonts w:ascii="Arial" w:hAnsi="Arial" w:cs="Arial"/>
          <w:sz w:val="22"/>
          <w:szCs w:val="22"/>
        </w:rPr>
        <w:t>Se consideró el impacto de las Operaciones.</w:t>
      </w:r>
    </w:p>
    <w:p w14:paraId="68B481AD" w14:textId="40527921" w:rsidR="005077F8" w:rsidRPr="00117BF8" w:rsidRDefault="00ED0B44" w:rsidP="00D00FF8">
      <w:pPr>
        <w:pStyle w:val="hsa"/>
        <w:rPr>
          <w:rFonts w:ascii="Arial" w:hAnsi="Arial" w:cs="Arial"/>
          <w:sz w:val="22"/>
          <w:szCs w:val="22"/>
        </w:rPr>
      </w:pPr>
      <w:r w:rsidRPr="00117BF8">
        <w:rPr>
          <w:rFonts w:ascii="Arial" w:hAnsi="Arial" w:cs="Arial"/>
          <w:sz w:val="22"/>
          <w:szCs w:val="22"/>
        </w:rPr>
        <w:t>Para e</w:t>
      </w:r>
      <w:r w:rsidR="005077F8" w:rsidRPr="00117BF8">
        <w:rPr>
          <w:rFonts w:ascii="Arial" w:hAnsi="Arial" w:cs="Arial"/>
          <w:sz w:val="22"/>
          <w:szCs w:val="22"/>
        </w:rPr>
        <w:t>l servicio de deuda</w:t>
      </w:r>
      <w:r w:rsidRPr="00117BF8">
        <w:rPr>
          <w:rFonts w:ascii="Arial" w:hAnsi="Arial" w:cs="Arial"/>
          <w:sz w:val="22"/>
          <w:szCs w:val="22"/>
        </w:rPr>
        <w:t xml:space="preserve"> en ambas proyecciones se </w:t>
      </w:r>
      <w:r w:rsidR="005077F8" w:rsidRPr="00117BF8">
        <w:rPr>
          <w:rFonts w:ascii="Arial" w:hAnsi="Arial" w:cs="Arial"/>
          <w:sz w:val="22"/>
          <w:szCs w:val="22"/>
        </w:rPr>
        <w:t>considera</w:t>
      </w:r>
      <w:r w:rsidRPr="00117BF8">
        <w:rPr>
          <w:rFonts w:ascii="Arial" w:hAnsi="Arial" w:cs="Arial"/>
          <w:sz w:val="22"/>
          <w:szCs w:val="22"/>
        </w:rPr>
        <w:t>n</w:t>
      </w:r>
      <w:r w:rsidR="005077F8" w:rsidRPr="00117BF8">
        <w:rPr>
          <w:rFonts w:ascii="Arial" w:hAnsi="Arial" w:cs="Arial"/>
          <w:sz w:val="22"/>
          <w:szCs w:val="22"/>
        </w:rPr>
        <w:t xml:space="preserve"> similares </w:t>
      </w:r>
      <w:r w:rsidR="00AB3866" w:rsidRPr="00EF5D45">
        <w:rPr>
          <w:rFonts w:ascii="Arial" w:hAnsi="Arial" w:cs="Arial"/>
          <w:sz w:val="22"/>
          <w:szCs w:val="22"/>
        </w:rPr>
        <w:t>hipótesis,</w:t>
      </w:r>
      <w:r w:rsidR="005077F8" w:rsidRPr="00117BF8">
        <w:rPr>
          <w:rFonts w:ascii="Arial" w:hAnsi="Arial" w:cs="Arial"/>
          <w:sz w:val="22"/>
          <w:szCs w:val="22"/>
        </w:rPr>
        <w:t xml:space="preserve"> pero </w:t>
      </w:r>
      <w:r w:rsidR="00D57113" w:rsidRPr="00117BF8">
        <w:rPr>
          <w:rFonts w:ascii="Arial" w:hAnsi="Arial" w:cs="Arial"/>
          <w:sz w:val="22"/>
          <w:szCs w:val="22"/>
        </w:rPr>
        <w:t>se diferencian los montos</w:t>
      </w:r>
      <w:r w:rsidR="005077F8" w:rsidRPr="00117BF8">
        <w:rPr>
          <w:rFonts w:ascii="Arial" w:hAnsi="Arial" w:cs="Arial"/>
          <w:sz w:val="22"/>
          <w:szCs w:val="22"/>
        </w:rPr>
        <w:t xml:space="preserve"> como consecuencia de mayores necesidades de financiamiento, diferente proyección del tipo de cambio y el impacto de las Operaciones.</w:t>
      </w:r>
    </w:p>
    <w:p w14:paraId="6FDFAC60" w14:textId="77777777" w:rsidR="005077F8" w:rsidRPr="00117BF8" w:rsidRDefault="005077F8" w:rsidP="00D00FF8">
      <w:pPr>
        <w:pStyle w:val="hsa"/>
        <w:rPr>
          <w:rFonts w:ascii="Arial" w:hAnsi="Arial" w:cs="Arial"/>
          <w:sz w:val="22"/>
          <w:szCs w:val="22"/>
        </w:rPr>
      </w:pPr>
      <w:r w:rsidRPr="00117BF8">
        <w:rPr>
          <w:rFonts w:ascii="Arial" w:hAnsi="Arial" w:cs="Arial"/>
          <w:sz w:val="22"/>
          <w:szCs w:val="22"/>
        </w:rPr>
        <w:t xml:space="preserve">Los supuestos de las proyecciones alternativas tienen impactos de </w:t>
      </w:r>
      <w:r w:rsidR="00D57113" w:rsidRPr="00117BF8">
        <w:rPr>
          <w:rFonts w:ascii="Arial" w:hAnsi="Arial" w:cs="Arial"/>
          <w:sz w:val="22"/>
          <w:szCs w:val="22"/>
        </w:rPr>
        <w:t>variado</w:t>
      </w:r>
      <w:r w:rsidRPr="00117BF8">
        <w:rPr>
          <w:rFonts w:ascii="Arial" w:hAnsi="Arial" w:cs="Arial"/>
          <w:sz w:val="22"/>
          <w:szCs w:val="22"/>
        </w:rPr>
        <w:t xml:space="preserve"> signo respecto de las realizadas por la Provincia</w:t>
      </w:r>
      <w:r w:rsidR="00D57113" w:rsidRPr="00117BF8">
        <w:rPr>
          <w:rFonts w:ascii="Arial" w:hAnsi="Arial" w:cs="Arial"/>
          <w:sz w:val="22"/>
          <w:szCs w:val="22"/>
        </w:rPr>
        <w:t>,</w:t>
      </w:r>
      <w:r w:rsidRPr="00117BF8">
        <w:rPr>
          <w:rFonts w:ascii="Arial" w:hAnsi="Arial" w:cs="Arial"/>
          <w:sz w:val="22"/>
          <w:szCs w:val="22"/>
        </w:rPr>
        <w:t xml:space="preserve"> pero en el largo plazo resultan ser más pesimistas, esto </w:t>
      </w:r>
      <w:r w:rsidR="00D57113" w:rsidRPr="00117BF8">
        <w:rPr>
          <w:rFonts w:ascii="Arial" w:hAnsi="Arial" w:cs="Arial"/>
          <w:sz w:val="22"/>
          <w:szCs w:val="22"/>
        </w:rPr>
        <w:t>surge</w:t>
      </w:r>
      <w:r w:rsidRPr="00117BF8">
        <w:rPr>
          <w:rFonts w:ascii="Arial" w:hAnsi="Arial" w:cs="Arial"/>
          <w:sz w:val="22"/>
          <w:szCs w:val="22"/>
        </w:rPr>
        <w:t xml:space="preserve"> de la comparación de los resultados.</w:t>
      </w:r>
    </w:p>
    <w:p w14:paraId="72E4D99B" w14:textId="77777777" w:rsidR="005077F8" w:rsidRPr="00117BF8" w:rsidRDefault="005077F8" w:rsidP="00D00FF8">
      <w:pPr>
        <w:pStyle w:val="hsa"/>
        <w:rPr>
          <w:rFonts w:ascii="Arial" w:hAnsi="Arial" w:cs="Arial"/>
          <w:sz w:val="22"/>
          <w:szCs w:val="22"/>
        </w:rPr>
      </w:pPr>
      <w:r w:rsidRPr="00117BF8">
        <w:rPr>
          <w:rFonts w:ascii="Arial" w:hAnsi="Arial" w:cs="Arial"/>
          <w:sz w:val="22"/>
          <w:szCs w:val="22"/>
        </w:rPr>
        <w:t>A precios constantes</w:t>
      </w:r>
      <w:r w:rsidR="00D57113" w:rsidRPr="00117BF8">
        <w:rPr>
          <w:rFonts w:ascii="Arial" w:hAnsi="Arial" w:cs="Arial"/>
          <w:sz w:val="22"/>
          <w:szCs w:val="22"/>
        </w:rPr>
        <w:t>,</w:t>
      </w:r>
      <w:r w:rsidRPr="00117BF8">
        <w:rPr>
          <w:rFonts w:ascii="Arial" w:hAnsi="Arial" w:cs="Arial"/>
          <w:sz w:val="22"/>
          <w:szCs w:val="22"/>
        </w:rPr>
        <w:t xml:space="preserve"> </w:t>
      </w:r>
      <w:r w:rsidR="001043B7" w:rsidRPr="00117BF8">
        <w:rPr>
          <w:rFonts w:ascii="Arial" w:hAnsi="Arial" w:cs="Arial"/>
          <w:sz w:val="22"/>
          <w:szCs w:val="22"/>
        </w:rPr>
        <w:t>a partir del año 2018</w:t>
      </w:r>
      <w:r w:rsidR="00D57113" w:rsidRPr="00117BF8">
        <w:rPr>
          <w:rFonts w:ascii="Arial" w:hAnsi="Arial" w:cs="Arial"/>
          <w:sz w:val="22"/>
          <w:szCs w:val="22"/>
        </w:rPr>
        <w:t>,</w:t>
      </w:r>
      <w:r w:rsidR="001043B7" w:rsidRPr="00117BF8">
        <w:rPr>
          <w:rFonts w:ascii="Arial" w:hAnsi="Arial" w:cs="Arial"/>
          <w:sz w:val="22"/>
          <w:szCs w:val="22"/>
        </w:rPr>
        <w:t xml:space="preserve"> las proyecciones de la Provincia tienen mejores resultados primarios que las alternativas. Pero en ambos casos los resultados mejoran y se transforman en positivos en el corto plazo.</w:t>
      </w:r>
    </w:p>
    <w:p w14:paraId="507CFD87" w14:textId="77777777" w:rsidR="005077F8" w:rsidRPr="00117BF8" w:rsidRDefault="005077F8" w:rsidP="00117BF8">
      <w:pPr>
        <w:pStyle w:val="hsa3"/>
        <w:spacing w:after="120"/>
        <w:jc w:val="center"/>
        <w:rPr>
          <w:rFonts w:ascii="Arial" w:hAnsi="Arial" w:cs="Arial"/>
          <w:sz w:val="20"/>
        </w:rPr>
      </w:pPr>
      <w:bookmarkStart w:id="7" w:name="_Toc493781689"/>
      <w:r w:rsidRPr="00117BF8">
        <w:rPr>
          <w:rFonts w:ascii="Arial" w:hAnsi="Arial" w:cs="Arial"/>
          <w:sz w:val="20"/>
        </w:rPr>
        <w:t>Gráfico RE 1 – Comparación de los Resultados Primarios a precios de 2016</w:t>
      </w:r>
      <w:bookmarkEnd w:id="7"/>
    </w:p>
    <w:p w14:paraId="6617055F" w14:textId="77777777" w:rsidR="005077F8" w:rsidRPr="00117BF8" w:rsidRDefault="00117BF8" w:rsidP="005077F8">
      <w:pPr>
        <w:pStyle w:val="Hfuente"/>
        <w:rPr>
          <w:rFonts w:ascii="Arial" w:hAnsi="Arial" w:cs="Arial"/>
        </w:rPr>
      </w:pPr>
      <w:r w:rsidRPr="00117BF8">
        <w:rPr>
          <w:rFonts w:ascii="Arial" w:hAnsi="Arial" w:cs="Arial"/>
        </w:rPr>
        <w:pict w14:anchorId="2BBC64CD">
          <v:shape id="_x0000_i1028" type="#_x0000_t75" style="width:423.85pt;height:276.75pt">
            <v:imagedata r:id="rId19" o:title=""/>
          </v:shape>
        </w:pict>
      </w:r>
      <w:r w:rsidR="005077F8" w:rsidRPr="00117BF8">
        <w:rPr>
          <w:rFonts w:ascii="Arial" w:hAnsi="Arial" w:cs="Arial"/>
        </w:rPr>
        <w:t xml:space="preserve"> </w:t>
      </w:r>
      <w:r w:rsidR="005077F8" w:rsidRPr="00117BF8">
        <w:rPr>
          <w:rFonts w:ascii="Arial" w:hAnsi="Arial" w:cs="Arial"/>
          <w:sz w:val="18"/>
          <w:szCs w:val="18"/>
        </w:rPr>
        <w:t>Fuente: Elaboración propia sobre proyecciones de la Provincia y Alternativa</w:t>
      </w:r>
    </w:p>
    <w:p w14:paraId="2D53A31B" w14:textId="77777777" w:rsidR="005077F8" w:rsidRPr="00117BF8" w:rsidRDefault="001043B7" w:rsidP="00D00FF8">
      <w:pPr>
        <w:pStyle w:val="hsa"/>
        <w:rPr>
          <w:rFonts w:ascii="Arial" w:hAnsi="Arial" w:cs="Arial"/>
          <w:sz w:val="22"/>
          <w:szCs w:val="22"/>
        </w:rPr>
      </w:pPr>
      <w:r w:rsidRPr="00117BF8">
        <w:rPr>
          <w:rFonts w:ascii="Arial" w:hAnsi="Arial" w:cs="Arial"/>
          <w:sz w:val="22"/>
          <w:szCs w:val="22"/>
        </w:rPr>
        <w:t>Los resultados económicos proyectados también confirman el carácter conservador de las proyecciones Alternativas, pero en ambas son crecientes y positivos a partir de 2017.</w:t>
      </w:r>
    </w:p>
    <w:p w14:paraId="7CA519F2" w14:textId="77777777" w:rsidR="001043B7" w:rsidRPr="00117BF8" w:rsidRDefault="001043B7" w:rsidP="00D00FF8">
      <w:pPr>
        <w:pStyle w:val="hsa"/>
        <w:rPr>
          <w:rFonts w:ascii="Arial" w:hAnsi="Arial" w:cs="Arial"/>
          <w:sz w:val="22"/>
          <w:szCs w:val="22"/>
        </w:rPr>
      </w:pPr>
      <w:r w:rsidRPr="00117BF8">
        <w:rPr>
          <w:rFonts w:ascii="Arial" w:hAnsi="Arial" w:cs="Arial"/>
          <w:sz w:val="22"/>
          <w:szCs w:val="22"/>
        </w:rPr>
        <w:t>Los resultados económicos son sustancialmente superiores a los primarios como consecuencia de la importancia de los gastos de capital</w:t>
      </w:r>
      <w:r w:rsidR="00AC0F0D" w:rsidRPr="00117BF8">
        <w:rPr>
          <w:rFonts w:ascii="Arial" w:hAnsi="Arial" w:cs="Arial"/>
          <w:sz w:val="22"/>
          <w:szCs w:val="22"/>
        </w:rPr>
        <w:t>. Esta es una de las fortalezas de las proyecciones, mientras en el 2015 los gatos de capital representaron el 4% de los recursos totales, para el año 2028 las proyecciones de la Provincia prevé que representen el 11% y las alternativas el 10%.</w:t>
      </w:r>
    </w:p>
    <w:p w14:paraId="64E162A1" w14:textId="77777777" w:rsidR="001043B7" w:rsidRPr="00117BF8" w:rsidRDefault="001043B7" w:rsidP="00117BF8">
      <w:pPr>
        <w:pStyle w:val="hsa3"/>
        <w:spacing w:after="120"/>
        <w:jc w:val="center"/>
        <w:rPr>
          <w:rFonts w:ascii="Arial" w:hAnsi="Arial" w:cs="Arial"/>
          <w:sz w:val="20"/>
        </w:rPr>
      </w:pPr>
      <w:bookmarkStart w:id="8" w:name="_Toc493781690"/>
      <w:r w:rsidRPr="00117BF8">
        <w:rPr>
          <w:rFonts w:ascii="Arial" w:hAnsi="Arial" w:cs="Arial"/>
          <w:sz w:val="20"/>
        </w:rPr>
        <w:t>Gráfico RE 2 – Comparación de los Resultados Económicos a precios de 2016</w:t>
      </w:r>
      <w:bookmarkEnd w:id="8"/>
    </w:p>
    <w:p w14:paraId="3591B54C" w14:textId="77777777" w:rsidR="001043B7" w:rsidRPr="00117BF8" w:rsidRDefault="00117BF8" w:rsidP="001043B7">
      <w:pPr>
        <w:pStyle w:val="Hfuente"/>
        <w:rPr>
          <w:rFonts w:ascii="Arial" w:hAnsi="Arial" w:cs="Arial"/>
          <w:sz w:val="18"/>
          <w:szCs w:val="18"/>
        </w:rPr>
      </w:pPr>
      <w:r w:rsidRPr="00117BF8">
        <w:rPr>
          <w:rFonts w:ascii="Arial" w:hAnsi="Arial" w:cs="Arial"/>
        </w:rPr>
        <w:pict w14:anchorId="2BBC64CE">
          <v:shape id="_x0000_i1029" type="#_x0000_t75" style="width:423.85pt;height:276.75pt">
            <v:imagedata r:id="rId20" o:title=""/>
          </v:shape>
        </w:pict>
      </w:r>
      <w:r w:rsidR="001043B7" w:rsidRPr="00117BF8">
        <w:rPr>
          <w:rFonts w:ascii="Arial" w:hAnsi="Arial" w:cs="Arial"/>
        </w:rPr>
        <w:t xml:space="preserve"> </w:t>
      </w:r>
      <w:r w:rsidR="001043B7" w:rsidRPr="00117BF8">
        <w:rPr>
          <w:rFonts w:ascii="Arial" w:hAnsi="Arial" w:cs="Arial"/>
          <w:sz w:val="18"/>
          <w:szCs w:val="18"/>
        </w:rPr>
        <w:t>Fuente: Elaboración propia sobre proyecciones de la Provincia y Alternativa</w:t>
      </w:r>
    </w:p>
    <w:p w14:paraId="67CE5DA2" w14:textId="77777777" w:rsidR="00AC0F0D" w:rsidRPr="00117BF8" w:rsidRDefault="00AC0F0D" w:rsidP="00AC0F0D">
      <w:pPr>
        <w:pStyle w:val="hsa"/>
        <w:rPr>
          <w:rFonts w:ascii="Arial" w:hAnsi="Arial" w:cs="Arial"/>
          <w:sz w:val="22"/>
          <w:szCs w:val="22"/>
        </w:rPr>
      </w:pPr>
      <w:r w:rsidRPr="00117BF8">
        <w:rPr>
          <w:rFonts w:ascii="Arial" w:hAnsi="Arial" w:cs="Arial"/>
          <w:sz w:val="22"/>
          <w:szCs w:val="22"/>
        </w:rPr>
        <w:t xml:space="preserve">Las proyecciones alternativas fueron presentadas y analizadas con los representantes de la Provincia en una reunión en la sede local del BID. Los funcionarios provinciales no cuestionaron los supuestos considerados, salvo que </w:t>
      </w:r>
      <w:r w:rsidR="00FC59B2" w:rsidRPr="00117BF8">
        <w:rPr>
          <w:rFonts w:ascii="Arial" w:hAnsi="Arial" w:cs="Arial"/>
          <w:sz w:val="22"/>
          <w:szCs w:val="22"/>
        </w:rPr>
        <w:t xml:space="preserve">estiman que los recursos nacionales no deberían suponerse decrecientes dado que es esperable una respuesta </w:t>
      </w:r>
      <w:r w:rsidR="00D57113" w:rsidRPr="00117BF8">
        <w:rPr>
          <w:rFonts w:ascii="Arial" w:hAnsi="Arial" w:cs="Arial"/>
          <w:sz w:val="22"/>
          <w:szCs w:val="22"/>
        </w:rPr>
        <w:t xml:space="preserve">positiva </w:t>
      </w:r>
      <w:r w:rsidR="00FC59B2" w:rsidRPr="00117BF8">
        <w:rPr>
          <w:rFonts w:ascii="Arial" w:hAnsi="Arial" w:cs="Arial"/>
          <w:sz w:val="22"/>
          <w:szCs w:val="22"/>
        </w:rPr>
        <w:t xml:space="preserve">de la Nación a los reclamos de la Provincia. </w:t>
      </w:r>
      <w:r w:rsidRPr="00117BF8">
        <w:rPr>
          <w:rFonts w:ascii="Arial" w:hAnsi="Arial" w:cs="Arial"/>
          <w:sz w:val="22"/>
          <w:szCs w:val="22"/>
        </w:rPr>
        <w:t>Si bien es posible que la Provincia, en algún momento, logre una mejora en la coparticipación, a la fecha no existe norma que cambie en el futuro la actual situación y su evolución previsible.</w:t>
      </w:r>
    </w:p>
    <w:p w14:paraId="72EAF5AD" w14:textId="77777777" w:rsidR="00FC59B2" w:rsidRPr="00117BF8" w:rsidRDefault="00AC0F0D" w:rsidP="00AC0F0D">
      <w:pPr>
        <w:pStyle w:val="hsa"/>
        <w:rPr>
          <w:rFonts w:ascii="Arial" w:hAnsi="Arial" w:cs="Arial"/>
          <w:sz w:val="22"/>
          <w:szCs w:val="22"/>
        </w:rPr>
      </w:pPr>
      <w:r w:rsidRPr="00117BF8">
        <w:rPr>
          <w:rFonts w:ascii="Arial" w:hAnsi="Arial" w:cs="Arial"/>
          <w:sz w:val="22"/>
          <w:szCs w:val="22"/>
        </w:rPr>
        <w:t xml:space="preserve">De todas maneras, </w:t>
      </w:r>
      <w:r w:rsidR="00FC59B2" w:rsidRPr="00117BF8">
        <w:rPr>
          <w:rFonts w:ascii="Arial" w:hAnsi="Arial" w:cs="Arial"/>
          <w:sz w:val="22"/>
          <w:szCs w:val="22"/>
        </w:rPr>
        <w:t>realicé</w:t>
      </w:r>
      <w:r w:rsidRPr="00117BF8">
        <w:rPr>
          <w:rFonts w:ascii="Arial" w:hAnsi="Arial" w:cs="Arial"/>
          <w:sz w:val="22"/>
          <w:szCs w:val="22"/>
        </w:rPr>
        <w:t xml:space="preserve"> un análisis de sensibilidad que permite apreciar el impacto de cambios en la Coparticipación Federal</w:t>
      </w:r>
      <w:r w:rsidR="00FC59B2" w:rsidRPr="00117BF8">
        <w:rPr>
          <w:rFonts w:ascii="Arial" w:hAnsi="Arial" w:cs="Arial"/>
          <w:sz w:val="22"/>
          <w:szCs w:val="22"/>
        </w:rPr>
        <w:t xml:space="preserve"> en favor de la Provincia. Suponiendo que esta recupera un tercio de lo perdido entre </w:t>
      </w:r>
      <w:r w:rsidRPr="00117BF8">
        <w:rPr>
          <w:rFonts w:ascii="Arial" w:hAnsi="Arial" w:cs="Arial"/>
          <w:sz w:val="22"/>
          <w:szCs w:val="22"/>
        </w:rPr>
        <w:t xml:space="preserve">1995 </w:t>
      </w:r>
      <w:r w:rsidR="00FC59B2" w:rsidRPr="00117BF8">
        <w:rPr>
          <w:rFonts w:ascii="Arial" w:hAnsi="Arial" w:cs="Arial"/>
          <w:sz w:val="22"/>
          <w:szCs w:val="22"/>
        </w:rPr>
        <w:t>y</w:t>
      </w:r>
      <w:r w:rsidRPr="00117BF8">
        <w:rPr>
          <w:rFonts w:ascii="Arial" w:hAnsi="Arial" w:cs="Arial"/>
          <w:sz w:val="22"/>
          <w:szCs w:val="22"/>
        </w:rPr>
        <w:t xml:space="preserve"> 2015</w:t>
      </w:r>
      <w:r w:rsidR="00FC59B2" w:rsidRPr="00117BF8">
        <w:rPr>
          <w:rFonts w:ascii="Arial" w:hAnsi="Arial" w:cs="Arial"/>
          <w:sz w:val="22"/>
          <w:szCs w:val="22"/>
        </w:rPr>
        <w:t xml:space="preserve"> (Sin que se alteren l</w:t>
      </w:r>
      <w:r w:rsidR="00D57113" w:rsidRPr="00117BF8">
        <w:rPr>
          <w:rFonts w:ascii="Arial" w:hAnsi="Arial" w:cs="Arial"/>
          <w:sz w:val="22"/>
          <w:szCs w:val="22"/>
        </w:rPr>
        <w:t>as proyecciones de l</w:t>
      </w:r>
      <w:r w:rsidR="00FC59B2" w:rsidRPr="00117BF8">
        <w:rPr>
          <w:rFonts w:ascii="Arial" w:hAnsi="Arial" w:cs="Arial"/>
          <w:sz w:val="22"/>
          <w:szCs w:val="22"/>
        </w:rPr>
        <w:t>os recursos enviados a los municipios</w:t>
      </w:r>
      <w:r w:rsidR="00D57113" w:rsidRPr="00117BF8">
        <w:rPr>
          <w:rFonts w:ascii="Arial" w:hAnsi="Arial" w:cs="Arial"/>
          <w:sz w:val="22"/>
          <w:szCs w:val="22"/>
        </w:rPr>
        <w:t>,</w:t>
      </w:r>
      <w:r w:rsidR="00FC59B2" w:rsidRPr="00117BF8">
        <w:rPr>
          <w:rFonts w:ascii="Arial" w:hAnsi="Arial" w:cs="Arial"/>
          <w:sz w:val="22"/>
          <w:szCs w:val="22"/>
        </w:rPr>
        <w:t xml:space="preserve"> ni las </w:t>
      </w:r>
      <w:r w:rsidR="00D57113" w:rsidRPr="00117BF8">
        <w:rPr>
          <w:rFonts w:ascii="Arial" w:hAnsi="Arial" w:cs="Arial"/>
          <w:sz w:val="22"/>
          <w:szCs w:val="22"/>
        </w:rPr>
        <w:t xml:space="preserve">correspondientes a las </w:t>
      </w:r>
      <w:r w:rsidR="00FC59B2" w:rsidRPr="00117BF8">
        <w:rPr>
          <w:rFonts w:ascii="Arial" w:hAnsi="Arial" w:cs="Arial"/>
          <w:sz w:val="22"/>
          <w:szCs w:val="22"/>
        </w:rPr>
        <w:t xml:space="preserve">transferencias </w:t>
      </w:r>
      <w:r w:rsidR="00D57113" w:rsidRPr="00117BF8">
        <w:rPr>
          <w:rFonts w:ascii="Arial" w:hAnsi="Arial" w:cs="Arial"/>
          <w:sz w:val="22"/>
          <w:szCs w:val="22"/>
        </w:rPr>
        <w:t>discrecionales</w:t>
      </w:r>
      <w:r w:rsidR="00FC59B2" w:rsidRPr="00117BF8">
        <w:rPr>
          <w:rFonts w:ascii="Arial" w:hAnsi="Arial" w:cs="Arial"/>
          <w:sz w:val="22"/>
          <w:szCs w:val="22"/>
        </w:rPr>
        <w:t xml:space="preserve"> de la Nación) los resultados fiscales tendrían una mejora sustancial. Las necesidades de financiamiento comparativas entres las proyecciones y el análisis de sensibilidad sobre las proyecciones alternativas lo demuestran.</w:t>
      </w:r>
    </w:p>
    <w:p w14:paraId="3ADFE848" w14:textId="77777777" w:rsidR="00AC0F0D" w:rsidRPr="00117BF8" w:rsidRDefault="00AC0F0D" w:rsidP="00117BF8">
      <w:pPr>
        <w:pStyle w:val="hsa3"/>
        <w:spacing w:after="120"/>
        <w:jc w:val="center"/>
        <w:rPr>
          <w:rFonts w:ascii="Arial" w:hAnsi="Arial" w:cs="Arial"/>
          <w:sz w:val="20"/>
        </w:rPr>
      </w:pPr>
      <w:bookmarkStart w:id="9" w:name="_Toc493781691"/>
      <w:r w:rsidRPr="00117BF8">
        <w:rPr>
          <w:rFonts w:ascii="Arial" w:hAnsi="Arial" w:cs="Arial"/>
          <w:sz w:val="20"/>
        </w:rPr>
        <w:t xml:space="preserve">Gráfico </w:t>
      </w:r>
      <w:r w:rsidR="00FC59B2" w:rsidRPr="00117BF8">
        <w:rPr>
          <w:rFonts w:ascii="Arial" w:hAnsi="Arial" w:cs="Arial"/>
          <w:sz w:val="20"/>
        </w:rPr>
        <w:t>RE 3</w:t>
      </w:r>
      <w:r w:rsidRPr="00117BF8">
        <w:rPr>
          <w:rFonts w:ascii="Arial" w:hAnsi="Arial" w:cs="Arial"/>
          <w:sz w:val="20"/>
        </w:rPr>
        <w:t xml:space="preserve"> – Comparación de los Resultados Financieros a precios de 2016</w:t>
      </w:r>
      <w:bookmarkEnd w:id="9"/>
    </w:p>
    <w:p w14:paraId="3ADEE481" w14:textId="77777777" w:rsidR="00AC0F0D" w:rsidRPr="00117BF8" w:rsidRDefault="00117BF8" w:rsidP="00AC0F0D">
      <w:pPr>
        <w:pStyle w:val="Hfuente"/>
        <w:rPr>
          <w:rFonts w:ascii="Arial" w:hAnsi="Arial" w:cs="Arial"/>
          <w:sz w:val="18"/>
          <w:szCs w:val="18"/>
        </w:rPr>
      </w:pPr>
      <w:r w:rsidRPr="00117BF8">
        <w:rPr>
          <w:rFonts w:ascii="Arial" w:hAnsi="Arial" w:cs="Arial"/>
        </w:rPr>
        <w:pict w14:anchorId="2BBC64CF">
          <v:shape id="_x0000_i1030" type="#_x0000_t75" style="width:423.85pt;height:276.75pt">
            <v:imagedata r:id="rId21" o:title=""/>
          </v:shape>
        </w:pict>
      </w:r>
      <w:r w:rsidR="00AC0F0D" w:rsidRPr="00117BF8">
        <w:rPr>
          <w:rFonts w:ascii="Arial" w:hAnsi="Arial" w:cs="Arial"/>
        </w:rPr>
        <w:t xml:space="preserve"> </w:t>
      </w:r>
      <w:r w:rsidR="00AC0F0D" w:rsidRPr="00117BF8">
        <w:rPr>
          <w:rFonts w:ascii="Arial" w:hAnsi="Arial" w:cs="Arial"/>
          <w:sz w:val="18"/>
          <w:szCs w:val="18"/>
        </w:rPr>
        <w:t>Fuente: Elaboración propia sobre proyecciones de la Provincia y Alternativa</w:t>
      </w:r>
    </w:p>
    <w:p w14:paraId="31D271FC" w14:textId="77777777" w:rsidR="001043B7" w:rsidRPr="00117BF8" w:rsidRDefault="00FC59B2" w:rsidP="00D00FF8">
      <w:pPr>
        <w:pStyle w:val="hsa"/>
        <w:rPr>
          <w:rFonts w:ascii="Arial" w:hAnsi="Arial" w:cs="Arial"/>
          <w:sz w:val="22"/>
          <w:szCs w:val="22"/>
        </w:rPr>
      </w:pPr>
      <w:r w:rsidRPr="00117BF8">
        <w:rPr>
          <w:rFonts w:ascii="Arial" w:hAnsi="Arial" w:cs="Arial"/>
          <w:sz w:val="22"/>
          <w:szCs w:val="22"/>
        </w:rPr>
        <w:t>En la última semana se conoció el nuevo proyecto de Responsabilidad Fiscal que el poder Ejecutivo presentó al congreso, el vigente tiene la principales cláusulas suspendidas o limitadas. Si este proyecto se aprobase sin modificaciones</w:t>
      </w:r>
      <w:r w:rsidR="00D57113" w:rsidRPr="00117BF8">
        <w:rPr>
          <w:rFonts w:ascii="Arial" w:hAnsi="Arial" w:cs="Arial"/>
          <w:sz w:val="22"/>
          <w:szCs w:val="22"/>
        </w:rPr>
        <w:t>,</w:t>
      </w:r>
      <w:r w:rsidRPr="00117BF8">
        <w:rPr>
          <w:rFonts w:ascii="Arial" w:hAnsi="Arial" w:cs="Arial"/>
          <w:sz w:val="22"/>
          <w:szCs w:val="22"/>
        </w:rPr>
        <w:t xml:space="preserve"> algunas cláusulas no se cumplirían tanto en las proyecciones de la Provincia como en las Alternativas</w:t>
      </w:r>
      <w:r w:rsidR="0061094C" w:rsidRPr="00117BF8">
        <w:rPr>
          <w:rFonts w:ascii="Arial" w:hAnsi="Arial" w:cs="Arial"/>
          <w:sz w:val="22"/>
          <w:szCs w:val="22"/>
        </w:rPr>
        <w:t xml:space="preserve">, aunque podrían existir </w:t>
      </w:r>
      <w:r w:rsidR="00D57113" w:rsidRPr="00117BF8">
        <w:rPr>
          <w:rFonts w:ascii="Arial" w:hAnsi="Arial" w:cs="Arial"/>
          <w:sz w:val="22"/>
          <w:szCs w:val="22"/>
        </w:rPr>
        <w:t>cambios</w:t>
      </w:r>
      <w:r w:rsidR="0061094C" w:rsidRPr="00117BF8">
        <w:rPr>
          <w:rFonts w:ascii="Arial" w:hAnsi="Arial" w:cs="Arial"/>
          <w:sz w:val="22"/>
          <w:szCs w:val="22"/>
        </w:rPr>
        <w:t xml:space="preserve"> dependiendo de su reglamentación y de parámetros que la ley prevé fije el Consejo Federal de Responsabilidad Fiscal.</w:t>
      </w:r>
    </w:p>
    <w:p w14:paraId="716B916F" w14:textId="77777777" w:rsidR="003A70B4" w:rsidRPr="00117BF8" w:rsidRDefault="0061094C" w:rsidP="003A70B4">
      <w:pPr>
        <w:pStyle w:val="hsa"/>
        <w:rPr>
          <w:rFonts w:ascii="Arial" w:hAnsi="Arial" w:cs="Arial"/>
          <w:sz w:val="22"/>
          <w:szCs w:val="22"/>
        </w:rPr>
      </w:pPr>
      <w:r w:rsidRPr="00117BF8">
        <w:rPr>
          <w:rFonts w:ascii="Arial" w:hAnsi="Arial" w:cs="Arial"/>
          <w:sz w:val="22"/>
          <w:szCs w:val="22"/>
        </w:rPr>
        <w:t>Respecto a los indicadores de deuda, las proyecciones alternativas obviamente determinan resultados más pesimistas</w:t>
      </w:r>
      <w:r w:rsidR="003A70B4" w:rsidRPr="00117BF8">
        <w:rPr>
          <w:rFonts w:ascii="Arial" w:hAnsi="Arial" w:cs="Arial"/>
          <w:sz w:val="22"/>
          <w:szCs w:val="22"/>
        </w:rPr>
        <w:t>. Si se consideran las previsiones del proyecto de Responsabilidad Fiscal sobre la relación servicio de deuda con los recursos corrientes (Considera una versión restringida de estos recursos al restarle la coparticipación a Municipios), las proyecciones alternativas apenas superarían el límite fijado (15%) en los años 2022 y 2023 (15,40% y 15,01% respectivamente)</w:t>
      </w:r>
      <w:r w:rsidR="00D57113" w:rsidRPr="00117BF8">
        <w:rPr>
          <w:rFonts w:ascii="Arial" w:hAnsi="Arial" w:cs="Arial"/>
          <w:sz w:val="22"/>
          <w:szCs w:val="22"/>
        </w:rPr>
        <w:t>. El resto de los años estarían por debajo del límite, las de la Provincia siempre lo están</w:t>
      </w:r>
      <w:r w:rsidR="003A70B4" w:rsidRPr="00117BF8">
        <w:rPr>
          <w:rFonts w:ascii="Arial" w:hAnsi="Arial" w:cs="Arial"/>
          <w:sz w:val="22"/>
          <w:szCs w:val="22"/>
        </w:rPr>
        <w:t>.</w:t>
      </w:r>
    </w:p>
    <w:p w14:paraId="46B734B4" w14:textId="36FDD0DD" w:rsidR="003A70B4" w:rsidRPr="00117BF8" w:rsidRDefault="003A70B4" w:rsidP="003A70B4">
      <w:pPr>
        <w:pStyle w:val="hsa"/>
        <w:rPr>
          <w:rFonts w:ascii="Arial" w:hAnsi="Arial" w:cs="Arial"/>
          <w:sz w:val="22"/>
          <w:szCs w:val="22"/>
        </w:rPr>
      </w:pPr>
      <w:r w:rsidRPr="00117BF8">
        <w:rPr>
          <w:rFonts w:ascii="Arial" w:hAnsi="Arial" w:cs="Arial"/>
          <w:sz w:val="22"/>
          <w:szCs w:val="22"/>
        </w:rPr>
        <w:t>Los niveles de deuda sobre los recursos corrientes y el PBG son más elevados en las proyecciones alternativas por las razones que se han explicado en los títulos previos y su evolución es diferente. Mientras en las proyecciones elaboradas por la Provincia los indicadores de deuda alcanzan su máximo en los años 2018 y 2019 para luego descender en forma continua, en las proyecciones alternativas hay un crecimiento importante en los años 2018 y 2019 pero luego se mantiene una tendencia levemente creciente hasta el año 2024, para luego decrecer lentamente.</w:t>
      </w:r>
    </w:p>
    <w:p w14:paraId="7D6DAE16" w14:textId="42427B03" w:rsidR="003A70B4" w:rsidRPr="00117BF8" w:rsidRDefault="003A70B4" w:rsidP="003A70B4">
      <w:pPr>
        <w:pStyle w:val="hsa"/>
        <w:rPr>
          <w:rFonts w:ascii="Arial" w:hAnsi="Arial" w:cs="Arial"/>
          <w:sz w:val="22"/>
          <w:szCs w:val="22"/>
        </w:rPr>
      </w:pPr>
      <w:r w:rsidRPr="00117BF8">
        <w:rPr>
          <w:rFonts w:ascii="Arial" w:hAnsi="Arial" w:cs="Arial"/>
          <w:sz w:val="22"/>
          <w:szCs w:val="22"/>
        </w:rPr>
        <w:t xml:space="preserve">Los niveles de deuda en la proyección alternativa se mantienen dentro de límites aceptables, pero su perseverancia en esos niveles determina que las finanzas provinciales se encuentren expuestas </w:t>
      </w:r>
      <w:r w:rsidR="00F43075" w:rsidRPr="00117BF8">
        <w:rPr>
          <w:rFonts w:ascii="Arial" w:hAnsi="Arial" w:cs="Arial"/>
          <w:sz w:val="22"/>
          <w:szCs w:val="22"/>
        </w:rPr>
        <w:t xml:space="preserve">frente </w:t>
      </w:r>
      <w:r w:rsidRPr="00117BF8">
        <w:rPr>
          <w:rFonts w:ascii="Arial" w:hAnsi="Arial" w:cs="Arial"/>
          <w:sz w:val="22"/>
          <w:szCs w:val="22"/>
        </w:rPr>
        <w:t xml:space="preserve">a </w:t>
      </w:r>
      <w:r w:rsidR="00F43075" w:rsidRPr="00117BF8">
        <w:rPr>
          <w:rFonts w:ascii="Arial" w:hAnsi="Arial" w:cs="Arial"/>
          <w:sz w:val="22"/>
          <w:szCs w:val="22"/>
        </w:rPr>
        <w:t>choques macroeconómicos</w:t>
      </w:r>
      <w:r w:rsidRPr="00117BF8">
        <w:rPr>
          <w:rFonts w:ascii="Arial" w:hAnsi="Arial" w:cs="Arial"/>
          <w:sz w:val="22"/>
          <w:szCs w:val="22"/>
        </w:rPr>
        <w:t xml:space="preserve"> durante un período prologando.</w:t>
      </w:r>
    </w:p>
    <w:p w14:paraId="73BC73E1" w14:textId="77777777" w:rsidR="003A70B4" w:rsidRPr="00117BF8" w:rsidRDefault="003A70B4" w:rsidP="003A70B4">
      <w:pPr>
        <w:pStyle w:val="hsa"/>
        <w:rPr>
          <w:rFonts w:ascii="Arial" w:eastAsia="Calibri" w:hAnsi="Arial" w:cs="Arial"/>
          <w:sz w:val="22"/>
          <w:szCs w:val="22"/>
        </w:rPr>
      </w:pPr>
      <w:r w:rsidRPr="00117BF8">
        <w:rPr>
          <w:rFonts w:ascii="Arial" w:hAnsi="Arial" w:cs="Arial"/>
          <w:sz w:val="22"/>
          <w:szCs w:val="22"/>
        </w:rPr>
        <w:t>La Provincia informó los pasos para la firma de los contratos de préstamo previstos a nivel provincial y nacional y el estado de dicho trámite</w:t>
      </w:r>
      <w:r w:rsidR="009B1A22" w:rsidRPr="00117BF8">
        <w:rPr>
          <w:rFonts w:ascii="Arial" w:hAnsi="Arial" w:cs="Arial"/>
          <w:sz w:val="22"/>
          <w:szCs w:val="22"/>
        </w:rPr>
        <w:t>. I</w:t>
      </w:r>
      <w:r w:rsidR="009B1A22" w:rsidRPr="00117BF8">
        <w:rPr>
          <w:rFonts w:ascii="Arial" w:eastAsia="Calibri" w:hAnsi="Arial" w:cs="Arial"/>
          <w:sz w:val="22"/>
          <w:szCs w:val="22"/>
        </w:rPr>
        <w:t>ndican los representantes de la Provincia que las Operaciones se encuentran finalizando la subetapa 1.1</w:t>
      </w:r>
      <w:r w:rsidR="00D57113" w:rsidRPr="00117BF8">
        <w:rPr>
          <w:rFonts w:ascii="Arial" w:eastAsia="Calibri" w:hAnsi="Arial" w:cs="Arial"/>
          <w:sz w:val="22"/>
          <w:szCs w:val="22"/>
        </w:rPr>
        <w:t xml:space="preserve"> </w:t>
      </w:r>
      <w:r w:rsidR="009B1A22" w:rsidRPr="00117BF8">
        <w:rPr>
          <w:rFonts w:ascii="Arial" w:eastAsia="Calibri" w:hAnsi="Arial" w:cs="Arial"/>
          <w:sz w:val="22"/>
          <w:szCs w:val="22"/>
        </w:rPr>
        <w:t>-</w:t>
      </w:r>
      <w:r w:rsidR="00D57113" w:rsidRPr="00117BF8">
        <w:rPr>
          <w:rFonts w:ascii="Arial" w:eastAsia="Calibri" w:hAnsi="Arial" w:cs="Arial"/>
          <w:sz w:val="22"/>
          <w:szCs w:val="22"/>
        </w:rPr>
        <w:t xml:space="preserve"> </w:t>
      </w:r>
      <w:r w:rsidR="009B1A22" w:rsidRPr="00117BF8">
        <w:rPr>
          <w:rFonts w:ascii="Arial" w:eastAsia="Calibri" w:hAnsi="Arial" w:cs="Arial"/>
          <w:sz w:val="22"/>
          <w:szCs w:val="22"/>
        </w:rPr>
        <w:t>Inicio de Preparación del Proyecto</w:t>
      </w:r>
      <w:r w:rsidR="00382516" w:rsidRPr="00117BF8">
        <w:rPr>
          <w:rFonts w:ascii="Arial" w:eastAsia="Calibri" w:hAnsi="Arial" w:cs="Arial"/>
          <w:sz w:val="22"/>
          <w:szCs w:val="22"/>
        </w:rPr>
        <w:t>.</w:t>
      </w:r>
    </w:p>
    <w:p w14:paraId="1FB6828A" w14:textId="77777777" w:rsidR="00382516" w:rsidRPr="00117BF8" w:rsidRDefault="00382516" w:rsidP="00382516">
      <w:pPr>
        <w:pStyle w:val="Heading2"/>
        <w:numPr>
          <w:ilvl w:val="0"/>
          <w:numId w:val="0"/>
        </w:numPr>
        <w:rPr>
          <w:rFonts w:ascii="Arial" w:eastAsia="Calibri" w:hAnsi="Arial" w:cs="Arial"/>
          <w:sz w:val="22"/>
          <w:szCs w:val="22"/>
        </w:rPr>
      </w:pPr>
      <w:bookmarkStart w:id="10" w:name="_Toc494040304"/>
      <w:r w:rsidRPr="00117BF8">
        <w:rPr>
          <w:rFonts w:ascii="Arial" w:eastAsia="Calibri" w:hAnsi="Arial" w:cs="Arial"/>
          <w:sz w:val="22"/>
          <w:szCs w:val="22"/>
        </w:rPr>
        <w:t>Conclusiones</w:t>
      </w:r>
      <w:bookmarkEnd w:id="10"/>
    </w:p>
    <w:p w14:paraId="37BAAF17" w14:textId="77777777" w:rsidR="00382516" w:rsidRPr="00117BF8" w:rsidRDefault="00382516" w:rsidP="00382516">
      <w:pPr>
        <w:pStyle w:val="hsa"/>
        <w:rPr>
          <w:rFonts w:ascii="Arial" w:eastAsia="Calibri" w:hAnsi="Arial" w:cs="Arial"/>
          <w:sz w:val="22"/>
          <w:szCs w:val="22"/>
        </w:rPr>
      </w:pPr>
      <w:r w:rsidRPr="00117BF8">
        <w:rPr>
          <w:rFonts w:ascii="Arial" w:eastAsia="Calibri" w:hAnsi="Arial" w:cs="Arial"/>
          <w:sz w:val="22"/>
          <w:szCs w:val="22"/>
        </w:rPr>
        <w:t>El análisis presupuestario histórico y proyectado permite sacar algunas conclusiones de importancia:</w:t>
      </w:r>
    </w:p>
    <w:p w14:paraId="0FDBDFB9" w14:textId="77777777" w:rsidR="00382516" w:rsidRPr="00117BF8" w:rsidRDefault="00382516" w:rsidP="00382516">
      <w:pPr>
        <w:pStyle w:val="HPUN0"/>
        <w:rPr>
          <w:rFonts w:ascii="Arial" w:eastAsia="Calibri" w:hAnsi="Arial" w:cs="Arial"/>
          <w:sz w:val="22"/>
          <w:szCs w:val="22"/>
        </w:rPr>
      </w:pPr>
      <w:r w:rsidRPr="00117BF8">
        <w:rPr>
          <w:rFonts w:ascii="Arial" w:eastAsia="Calibri" w:hAnsi="Arial" w:cs="Arial"/>
          <w:sz w:val="22"/>
          <w:szCs w:val="22"/>
        </w:rPr>
        <w:t>Los resultados (Económico, Financiero y Primario) se deterioran de manera importante en los dos últimos años, sin embargo a partir de 2017 se presupuesta una reversión que el control de ejecución presupuestaria a marzo último parece confirmar. Las proyecciones, inclusive con los supuestos alternativos más pesimistas, muestran una mejora de todos los resultados.</w:t>
      </w:r>
    </w:p>
    <w:p w14:paraId="012271EF" w14:textId="77777777" w:rsidR="00382516" w:rsidRPr="00117BF8" w:rsidRDefault="00382516" w:rsidP="00382516">
      <w:pPr>
        <w:pStyle w:val="HPUN0"/>
        <w:rPr>
          <w:rFonts w:ascii="Arial" w:eastAsia="Calibri" w:hAnsi="Arial" w:cs="Arial"/>
          <w:sz w:val="22"/>
          <w:szCs w:val="22"/>
        </w:rPr>
      </w:pPr>
      <w:r w:rsidRPr="00117BF8">
        <w:rPr>
          <w:rFonts w:ascii="Arial" w:eastAsia="Calibri" w:hAnsi="Arial" w:cs="Arial"/>
          <w:sz w:val="22"/>
          <w:szCs w:val="22"/>
        </w:rPr>
        <w:t>El deterioro de los resultados fue consecuencia de un incremento en los gastos totales a precios constantes. Durante los últimos dos años crecieron a una tasa que duplica la de los recursos. Lo anterior se da a pesar que los recursos crecieron como porcentaje del PBG hasta 2015.</w:t>
      </w:r>
    </w:p>
    <w:p w14:paraId="21799A5E" w14:textId="77777777" w:rsidR="00382516" w:rsidRPr="00117BF8" w:rsidRDefault="00382516" w:rsidP="00382516">
      <w:pPr>
        <w:pStyle w:val="HPUN0"/>
        <w:rPr>
          <w:rFonts w:ascii="Arial" w:eastAsia="Calibri" w:hAnsi="Arial" w:cs="Arial"/>
          <w:sz w:val="22"/>
          <w:szCs w:val="22"/>
        </w:rPr>
      </w:pPr>
      <w:r w:rsidRPr="00117BF8">
        <w:rPr>
          <w:rFonts w:ascii="Arial" w:eastAsia="Calibri" w:hAnsi="Arial" w:cs="Arial"/>
          <w:sz w:val="22"/>
          <w:szCs w:val="22"/>
        </w:rPr>
        <w:t>Durante el año 2016 se produce una caída de los recursos tributarios, posiblemente como consecuencia de la caída en el nivel de actividad. Esto fue compensado parcialmente por Aportes del Tesoro Nacional.</w:t>
      </w:r>
    </w:p>
    <w:p w14:paraId="5123D8FF" w14:textId="77777777" w:rsidR="00382516" w:rsidRPr="00117BF8" w:rsidRDefault="00382516" w:rsidP="00382516">
      <w:pPr>
        <w:pStyle w:val="HPUN0"/>
        <w:rPr>
          <w:rFonts w:ascii="Arial" w:eastAsia="Calibri" w:hAnsi="Arial" w:cs="Arial"/>
          <w:sz w:val="22"/>
          <w:szCs w:val="22"/>
        </w:rPr>
      </w:pPr>
      <w:r w:rsidRPr="00117BF8">
        <w:rPr>
          <w:rFonts w:ascii="Arial" w:eastAsia="Calibri" w:hAnsi="Arial" w:cs="Arial"/>
          <w:sz w:val="22"/>
          <w:szCs w:val="22"/>
        </w:rPr>
        <w:t>En las proyecciones se revierten los resultados a pesar que, a valor constante, los gastos de capital más que se duplican entre 2015 y 2028</w:t>
      </w:r>
      <w:r w:rsidR="00AE1707" w:rsidRPr="00117BF8">
        <w:rPr>
          <w:rFonts w:ascii="Arial" w:eastAsia="Calibri" w:hAnsi="Arial" w:cs="Arial"/>
          <w:sz w:val="22"/>
          <w:szCs w:val="22"/>
        </w:rPr>
        <w:t xml:space="preserve"> y las transferencias discrecionales de la Nación se reducen 30%.</w:t>
      </w:r>
      <w:r w:rsidRPr="00117BF8">
        <w:rPr>
          <w:rFonts w:ascii="Arial" w:eastAsia="Calibri" w:hAnsi="Arial" w:cs="Arial"/>
          <w:sz w:val="22"/>
          <w:szCs w:val="22"/>
        </w:rPr>
        <w:t xml:space="preserve"> </w:t>
      </w:r>
    </w:p>
    <w:p w14:paraId="6748939A" w14:textId="77777777" w:rsidR="00382516" w:rsidRPr="00117BF8" w:rsidRDefault="00AE1707" w:rsidP="00382516">
      <w:pPr>
        <w:pStyle w:val="HPUN0"/>
        <w:rPr>
          <w:rFonts w:ascii="Arial" w:eastAsia="Calibri" w:hAnsi="Arial" w:cs="Arial"/>
          <w:sz w:val="22"/>
          <w:szCs w:val="22"/>
        </w:rPr>
      </w:pPr>
      <w:r w:rsidRPr="00117BF8">
        <w:rPr>
          <w:rFonts w:ascii="Arial" w:eastAsia="Calibri" w:hAnsi="Arial" w:cs="Arial"/>
          <w:sz w:val="22"/>
          <w:szCs w:val="22"/>
        </w:rPr>
        <w:t>Las Proyecciones alternativas</w:t>
      </w:r>
      <w:r w:rsidR="00D57113" w:rsidRPr="00117BF8">
        <w:rPr>
          <w:rFonts w:ascii="Arial" w:eastAsia="Calibri" w:hAnsi="Arial" w:cs="Arial"/>
          <w:sz w:val="22"/>
          <w:szCs w:val="22"/>
        </w:rPr>
        <w:t>, además,</w:t>
      </w:r>
      <w:r w:rsidRPr="00117BF8">
        <w:rPr>
          <w:rFonts w:ascii="Arial" w:eastAsia="Calibri" w:hAnsi="Arial" w:cs="Arial"/>
          <w:sz w:val="22"/>
          <w:szCs w:val="22"/>
        </w:rPr>
        <w:t xml:space="preserve"> prevén que continúa un leve descenso relativo de los recursos tributarios nacionales</w:t>
      </w:r>
      <w:r w:rsidR="00382516" w:rsidRPr="00117BF8">
        <w:rPr>
          <w:rFonts w:ascii="Arial" w:eastAsia="Calibri" w:hAnsi="Arial" w:cs="Arial"/>
          <w:sz w:val="22"/>
          <w:szCs w:val="22"/>
        </w:rPr>
        <w:t>.</w:t>
      </w:r>
    </w:p>
    <w:p w14:paraId="66535EBF" w14:textId="77777777" w:rsidR="00382516" w:rsidRPr="00117BF8" w:rsidRDefault="00382516" w:rsidP="00382516">
      <w:pPr>
        <w:pStyle w:val="HPUN0"/>
        <w:rPr>
          <w:rFonts w:ascii="Arial" w:eastAsia="Calibri" w:hAnsi="Arial" w:cs="Arial"/>
          <w:sz w:val="22"/>
          <w:szCs w:val="22"/>
        </w:rPr>
      </w:pPr>
      <w:r w:rsidRPr="00117BF8">
        <w:rPr>
          <w:rFonts w:ascii="Arial" w:eastAsia="Calibri" w:hAnsi="Arial" w:cs="Arial"/>
          <w:sz w:val="22"/>
          <w:szCs w:val="22"/>
        </w:rPr>
        <w:t>Los gastos en personal, transferencias y servicio de la deuda explican el 9</w:t>
      </w:r>
      <w:r w:rsidR="00D57113" w:rsidRPr="00117BF8">
        <w:rPr>
          <w:rFonts w:ascii="Arial" w:eastAsia="Calibri" w:hAnsi="Arial" w:cs="Arial"/>
          <w:sz w:val="22"/>
          <w:szCs w:val="22"/>
        </w:rPr>
        <w:t>1</w:t>
      </w:r>
      <w:r w:rsidRPr="00117BF8">
        <w:rPr>
          <w:rFonts w:ascii="Arial" w:eastAsia="Calibri" w:hAnsi="Arial" w:cs="Arial"/>
          <w:sz w:val="22"/>
          <w:szCs w:val="22"/>
        </w:rPr>
        <w:t>% del gasto</w:t>
      </w:r>
      <w:r w:rsidR="00AE1707" w:rsidRPr="00117BF8">
        <w:rPr>
          <w:rFonts w:ascii="Arial" w:eastAsia="Calibri" w:hAnsi="Arial" w:cs="Arial"/>
          <w:sz w:val="22"/>
          <w:szCs w:val="22"/>
        </w:rPr>
        <w:t>, en las proyecciones los gastos en personal crecen en términos reales al 50% de la tasa que lo hace el PBG</w:t>
      </w:r>
      <w:r w:rsidRPr="00117BF8">
        <w:rPr>
          <w:rFonts w:ascii="Arial" w:eastAsia="Calibri" w:hAnsi="Arial" w:cs="Arial"/>
          <w:sz w:val="22"/>
          <w:szCs w:val="22"/>
        </w:rPr>
        <w:t>.</w:t>
      </w:r>
    </w:p>
    <w:p w14:paraId="2766C37E" w14:textId="77777777" w:rsidR="00382516" w:rsidRPr="00117BF8" w:rsidRDefault="00382516" w:rsidP="00382516">
      <w:pPr>
        <w:pStyle w:val="HPUN0"/>
        <w:rPr>
          <w:rFonts w:ascii="Arial" w:eastAsia="Calibri" w:hAnsi="Arial" w:cs="Arial"/>
          <w:sz w:val="22"/>
          <w:szCs w:val="22"/>
        </w:rPr>
      </w:pPr>
      <w:r w:rsidRPr="00117BF8">
        <w:rPr>
          <w:rFonts w:ascii="Arial" w:eastAsia="Calibri" w:hAnsi="Arial" w:cs="Arial"/>
          <w:sz w:val="22"/>
          <w:szCs w:val="22"/>
        </w:rPr>
        <w:t>El servicio de deuda creció 86% entre 2014 y 2015, de manera similar a los recursos. Pero los intereses han ganado significación en la composición de este rubro.</w:t>
      </w:r>
      <w:r w:rsidR="00AE1707" w:rsidRPr="00117BF8">
        <w:rPr>
          <w:rFonts w:ascii="Arial" w:eastAsia="Calibri" w:hAnsi="Arial" w:cs="Arial"/>
          <w:sz w:val="22"/>
          <w:szCs w:val="22"/>
        </w:rPr>
        <w:t xml:space="preserve"> Las proyecciones de la Provincia estiman que el servicio y la deuda</w:t>
      </w:r>
      <w:r w:rsidR="004C2B32" w:rsidRPr="00117BF8">
        <w:rPr>
          <w:rFonts w:ascii="Arial" w:eastAsia="Calibri" w:hAnsi="Arial" w:cs="Arial"/>
          <w:sz w:val="22"/>
          <w:szCs w:val="22"/>
        </w:rPr>
        <w:t>,</w:t>
      </w:r>
      <w:r w:rsidR="00AE1707" w:rsidRPr="00117BF8">
        <w:rPr>
          <w:rFonts w:ascii="Arial" w:eastAsia="Calibri" w:hAnsi="Arial" w:cs="Arial"/>
          <w:sz w:val="22"/>
          <w:szCs w:val="22"/>
        </w:rPr>
        <w:t xml:space="preserve"> en términos relativos</w:t>
      </w:r>
      <w:r w:rsidR="004C2B32" w:rsidRPr="00117BF8">
        <w:rPr>
          <w:rFonts w:ascii="Arial" w:eastAsia="Calibri" w:hAnsi="Arial" w:cs="Arial"/>
          <w:sz w:val="22"/>
          <w:szCs w:val="22"/>
        </w:rPr>
        <w:t>,</w:t>
      </w:r>
      <w:r w:rsidR="00AE1707" w:rsidRPr="00117BF8">
        <w:rPr>
          <w:rFonts w:ascii="Arial" w:eastAsia="Calibri" w:hAnsi="Arial" w:cs="Arial"/>
          <w:sz w:val="22"/>
          <w:szCs w:val="22"/>
        </w:rPr>
        <w:t xml:space="preserve"> crecerá</w:t>
      </w:r>
      <w:r w:rsidR="004C2B32" w:rsidRPr="00117BF8">
        <w:rPr>
          <w:rFonts w:ascii="Arial" w:eastAsia="Calibri" w:hAnsi="Arial" w:cs="Arial"/>
          <w:sz w:val="22"/>
          <w:szCs w:val="22"/>
        </w:rPr>
        <w:t>n</w:t>
      </w:r>
      <w:r w:rsidR="00AE1707" w:rsidRPr="00117BF8">
        <w:rPr>
          <w:rFonts w:ascii="Arial" w:eastAsia="Calibri" w:hAnsi="Arial" w:cs="Arial"/>
          <w:sz w:val="22"/>
          <w:szCs w:val="22"/>
        </w:rPr>
        <w:t xml:space="preserve"> por dos o tres años más para luego decrecer en forma continua. Las proyecciones alternativas prevén que el crecimiento continuará hasta el año 2023 y luego descenderá lentamente.</w:t>
      </w:r>
    </w:p>
    <w:p w14:paraId="2C668726" w14:textId="0D0810BF" w:rsidR="00382516" w:rsidRPr="00117BF8" w:rsidRDefault="00AE1707" w:rsidP="00382516">
      <w:pPr>
        <w:pStyle w:val="hsa"/>
        <w:rPr>
          <w:rFonts w:ascii="Arial" w:eastAsia="Calibri" w:hAnsi="Arial" w:cs="Arial"/>
          <w:sz w:val="22"/>
          <w:szCs w:val="22"/>
        </w:rPr>
      </w:pPr>
      <w:r w:rsidRPr="00117BF8">
        <w:rPr>
          <w:rFonts w:ascii="Arial" w:eastAsia="Calibri" w:hAnsi="Arial" w:cs="Arial"/>
          <w:sz w:val="22"/>
          <w:szCs w:val="22"/>
        </w:rPr>
        <w:t>Los indicadores de deuda no superan límites razonables pero las proyecciones alternativas presentan elevados niveles por un tiempo prolongado exponiendo a las finanzas fiscales a pos</w:t>
      </w:r>
      <w:r w:rsidR="00C475E8" w:rsidRPr="00117BF8">
        <w:rPr>
          <w:rFonts w:ascii="Arial" w:eastAsia="Calibri" w:hAnsi="Arial" w:cs="Arial"/>
          <w:sz w:val="22"/>
          <w:szCs w:val="22"/>
        </w:rPr>
        <w:t>i</w:t>
      </w:r>
      <w:r w:rsidRPr="00117BF8">
        <w:rPr>
          <w:rFonts w:ascii="Arial" w:eastAsia="Calibri" w:hAnsi="Arial" w:cs="Arial"/>
          <w:sz w:val="22"/>
          <w:szCs w:val="22"/>
        </w:rPr>
        <w:t xml:space="preserve">bles </w:t>
      </w:r>
      <w:r w:rsidR="00F43075" w:rsidRPr="00117BF8">
        <w:rPr>
          <w:rFonts w:ascii="Arial" w:eastAsia="Calibri" w:hAnsi="Arial" w:cs="Arial"/>
          <w:sz w:val="22"/>
          <w:szCs w:val="22"/>
        </w:rPr>
        <w:t>choques macroeconómicos</w:t>
      </w:r>
      <w:r w:rsidR="00C475E8" w:rsidRPr="00117BF8">
        <w:rPr>
          <w:rFonts w:ascii="Arial" w:eastAsia="Calibri" w:hAnsi="Arial" w:cs="Arial"/>
          <w:sz w:val="22"/>
          <w:szCs w:val="22"/>
        </w:rPr>
        <w:t>.</w:t>
      </w:r>
    </w:p>
    <w:p w14:paraId="745B967E" w14:textId="77777777" w:rsidR="00C475E8" w:rsidRPr="00117BF8" w:rsidRDefault="00C475E8" w:rsidP="00382516">
      <w:pPr>
        <w:pStyle w:val="hsa"/>
        <w:rPr>
          <w:rFonts w:ascii="Arial" w:eastAsia="Calibri" w:hAnsi="Arial" w:cs="Arial"/>
          <w:sz w:val="22"/>
          <w:szCs w:val="22"/>
        </w:rPr>
      </w:pPr>
      <w:r w:rsidRPr="00117BF8">
        <w:rPr>
          <w:rFonts w:ascii="Arial" w:eastAsia="Calibri" w:hAnsi="Arial" w:cs="Arial"/>
          <w:sz w:val="22"/>
          <w:szCs w:val="22"/>
        </w:rPr>
        <w:t>Sin embargo debe señalarse que las proyecciones prevén un crecimiento importante del gasto de capital, una reducción de las transferencias de la Nación y un crecimiento real de los gatos corrientes, aspecto todos que otorgan un margen de maniobra ante imprevistos.</w:t>
      </w:r>
    </w:p>
    <w:p w14:paraId="1183D1A5" w14:textId="485CF857" w:rsidR="0097172B" w:rsidRPr="00117BF8" w:rsidRDefault="00C475E8" w:rsidP="00382516">
      <w:pPr>
        <w:pStyle w:val="hsa"/>
        <w:rPr>
          <w:rFonts w:ascii="Arial" w:eastAsia="Calibri" w:hAnsi="Arial" w:cs="Arial"/>
          <w:sz w:val="22"/>
          <w:szCs w:val="22"/>
        </w:rPr>
      </w:pPr>
      <w:r w:rsidRPr="00117BF8">
        <w:rPr>
          <w:rFonts w:ascii="Arial" w:eastAsia="Calibri" w:hAnsi="Arial" w:cs="Arial"/>
          <w:sz w:val="22"/>
          <w:szCs w:val="22"/>
        </w:rPr>
        <w:t>L</w:t>
      </w:r>
      <w:r w:rsidR="0097172B" w:rsidRPr="00117BF8">
        <w:rPr>
          <w:rFonts w:ascii="Arial" w:eastAsia="Calibri" w:hAnsi="Arial" w:cs="Arial"/>
          <w:sz w:val="22"/>
          <w:szCs w:val="22"/>
        </w:rPr>
        <w:t xml:space="preserve">os gastos de </w:t>
      </w:r>
      <w:r w:rsidRPr="00117BF8">
        <w:rPr>
          <w:rFonts w:ascii="Arial" w:eastAsia="Calibri" w:hAnsi="Arial" w:cs="Arial"/>
          <w:sz w:val="22"/>
          <w:szCs w:val="22"/>
        </w:rPr>
        <w:t>o</w:t>
      </w:r>
      <w:r w:rsidR="0097172B" w:rsidRPr="00117BF8">
        <w:rPr>
          <w:rFonts w:ascii="Arial" w:eastAsia="Calibri" w:hAnsi="Arial" w:cs="Arial"/>
          <w:sz w:val="22"/>
          <w:szCs w:val="22"/>
        </w:rPr>
        <w:t>peración y mantenimiento</w:t>
      </w:r>
      <w:r w:rsidR="00DB1B32" w:rsidRPr="00117BF8">
        <w:rPr>
          <w:rFonts w:ascii="Arial" w:eastAsia="Calibri" w:hAnsi="Arial" w:cs="Arial"/>
          <w:sz w:val="22"/>
          <w:szCs w:val="22"/>
        </w:rPr>
        <w:t>,</w:t>
      </w:r>
      <w:r w:rsidR="0097172B" w:rsidRPr="00117BF8">
        <w:rPr>
          <w:rFonts w:ascii="Arial" w:eastAsia="Calibri" w:hAnsi="Arial" w:cs="Arial"/>
          <w:sz w:val="22"/>
          <w:szCs w:val="22"/>
        </w:rPr>
        <w:t xml:space="preserve"> de la infraestructura</w:t>
      </w:r>
      <w:r w:rsidRPr="00117BF8">
        <w:rPr>
          <w:rFonts w:ascii="Arial" w:eastAsia="Calibri" w:hAnsi="Arial" w:cs="Arial"/>
          <w:sz w:val="22"/>
          <w:szCs w:val="22"/>
        </w:rPr>
        <w:t xml:space="preserve"> </w:t>
      </w:r>
      <w:r w:rsidR="0097172B" w:rsidRPr="00117BF8">
        <w:rPr>
          <w:rFonts w:ascii="Arial" w:eastAsia="Calibri" w:hAnsi="Arial" w:cs="Arial"/>
          <w:sz w:val="22"/>
          <w:szCs w:val="22"/>
        </w:rPr>
        <w:t>originada en las Operaciones</w:t>
      </w:r>
      <w:r w:rsidR="00B346CF" w:rsidRPr="00117BF8">
        <w:rPr>
          <w:rFonts w:ascii="Arial" w:eastAsia="Calibri" w:hAnsi="Arial" w:cs="Arial"/>
          <w:sz w:val="22"/>
          <w:szCs w:val="22"/>
        </w:rPr>
        <w:t>,</w:t>
      </w:r>
      <w:r w:rsidR="0097172B" w:rsidRPr="00117BF8">
        <w:rPr>
          <w:rFonts w:ascii="Arial" w:eastAsia="Calibri" w:hAnsi="Arial" w:cs="Arial"/>
          <w:sz w:val="22"/>
          <w:szCs w:val="22"/>
        </w:rPr>
        <w:t xml:space="preserve"> no son significativos con relación a los presupuestos de los programas o entidades que debería</w:t>
      </w:r>
      <w:r w:rsidR="00B346CF" w:rsidRPr="00117BF8">
        <w:rPr>
          <w:rFonts w:ascii="Arial" w:eastAsia="Calibri" w:hAnsi="Arial" w:cs="Arial"/>
          <w:sz w:val="22"/>
          <w:szCs w:val="22"/>
        </w:rPr>
        <w:t>n</w:t>
      </w:r>
      <w:r w:rsidR="0097172B" w:rsidRPr="00117BF8">
        <w:rPr>
          <w:rFonts w:ascii="Arial" w:eastAsia="Calibri" w:hAnsi="Arial" w:cs="Arial"/>
          <w:sz w:val="22"/>
          <w:szCs w:val="22"/>
        </w:rPr>
        <w:t xml:space="preserve"> responsabilizarse de la infraestructura.</w:t>
      </w:r>
      <w:r w:rsidR="00B346CF" w:rsidRPr="00117BF8">
        <w:rPr>
          <w:rFonts w:ascii="Arial" w:eastAsia="Calibri" w:hAnsi="Arial" w:cs="Arial"/>
          <w:sz w:val="22"/>
          <w:szCs w:val="22"/>
        </w:rPr>
        <w:t xml:space="preserve"> Los aportes de capital que debe realizar la contraparte tampoco poseen significación sobre los gastos de capital proyectados</w:t>
      </w:r>
      <w:r w:rsidR="00DB1B32" w:rsidRPr="00117BF8">
        <w:rPr>
          <w:rFonts w:ascii="Arial" w:eastAsia="Calibri" w:hAnsi="Arial" w:cs="Arial"/>
          <w:sz w:val="22"/>
          <w:szCs w:val="22"/>
        </w:rPr>
        <w:t xml:space="preserve"> por la Provincia</w:t>
      </w:r>
      <w:r w:rsidR="00B346CF" w:rsidRPr="00117BF8">
        <w:rPr>
          <w:rFonts w:ascii="Arial" w:eastAsia="Calibri" w:hAnsi="Arial" w:cs="Arial"/>
          <w:sz w:val="22"/>
          <w:szCs w:val="22"/>
        </w:rPr>
        <w:t xml:space="preserve">. No es previsible que, por su magnitud, los gastos de operación, mantenimiento y de capital originados en las Operaciones ocasionen dificultades </w:t>
      </w:r>
      <w:r w:rsidR="00DB1B32" w:rsidRPr="00117BF8">
        <w:rPr>
          <w:rFonts w:ascii="Arial" w:eastAsia="Calibri" w:hAnsi="Arial" w:cs="Arial"/>
          <w:sz w:val="22"/>
          <w:szCs w:val="22"/>
        </w:rPr>
        <w:t>fiscales</w:t>
      </w:r>
      <w:r w:rsidR="00B346CF" w:rsidRPr="00117BF8">
        <w:rPr>
          <w:rFonts w:ascii="Arial" w:eastAsia="Calibri" w:hAnsi="Arial" w:cs="Arial"/>
          <w:sz w:val="22"/>
          <w:szCs w:val="22"/>
        </w:rPr>
        <w:t>.</w:t>
      </w:r>
      <w:r w:rsidR="00936E9D" w:rsidRPr="00117BF8">
        <w:rPr>
          <w:rFonts w:ascii="Arial" w:eastAsia="Calibri" w:hAnsi="Arial" w:cs="Arial"/>
          <w:sz w:val="22"/>
          <w:szCs w:val="22"/>
        </w:rPr>
        <w:t xml:space="preserve"> </w:t>
      </w:r>
      <w:r w:rsidR="0097172B" w:rsidRPr="00117BF8">
        <w:rPr>
          <w:rFonts w:ascii="Arial" w:eastAsia="Calibri" w:hAnsi="Arial" w:cs="Arial"/>
          <w:sz w:val="22"/>
          <w:szCs w:val="22"/>
        </w:rPr>
        <w:t>Las proyecciones Alternativas, más pesimistas que las realizadas por la Provincia, incorporan los gastos corrientes, de capital y servicio de deuda originado en las Operaciones, los diferentes indicadores de estas proyecciones demuestran que es razonable esperar que la Provincia pueda afrontar estas obligaciones.</w:t>
      </w:r>
    </w:p>
    <w:p w14:paraId="090E747F" w14:textId="77777777" w:rsidR="0097172B" w:rsidRPr="00117BF8" w:rsidRDefault="0097172B" w:rsidP="0097172B">
      <w:pPr>
        <w:pStyle w:val="hsa"/>
        <w:rPr>
          <w:rFonts w:ascii="Arial" w:eastAsia="Calibri" w:hAnsi="Arial" w:cs="Arial"/>
          <w:sz w:val="22"/>
          <w:szCs w:val="22"/>
        </w:rPr>
      </w:pPr>
      <w:r w:rsidRPr="00117BF8">
        <w:rPr>
          <w:rFonts w:ascii="Arial" w:hAnsi="Arial" w:cs="Arial"/>
          <w:sz w:val="22"/>
          <w:szCs w:val="22"/>
        </w:rPr>
        <w:t>En resumen, l</w:t>
      </w:r>
      <w:r w:rsidR="00027107" w:rsidRPr="00117BF8">
        <w:rPr>
          <w:rFonts w:ascii="Arial" w:hAnsi="Arial" w:cs="Arial"/>
          <w:sz w:val="22"/>
          <w:szCs w:val="22"/>
          <w:lang w:val="es-ES_tradnl"/>
        </w:rPr>
        <w:t>os análisis financieros históricos y proyectados fueron</w:t>
      </w:r>
      <w:r w:rsidRPr="00117BF8">
        <w:rPr>
          <w:rFonts w:ascii="Arial" w:hAnsi="Arial" w:cs="Arial"/>
          <w:sz w:val="22"/>
          <w:szCs w:val="22"/>
          <w:lang w:val="es-ES_tradnl"/>
        </w:rPr>
        <w:t xml:space="preserve"> </w:t>
      </w:r>
      <w:r w:rsidR="00027107" w:rsidRPr="00117BF8">
        <w:rPr>
          <w:rFonts w:ascii="Arial" w:hAnsi="Arial" w:cs="Arial"/>
          <w:sz w:val="22"/>
          <w:szCs w:val="22"/>
          <w:lang w:val="es-ES_tradnl"/>
        </w:rPr>
        <w:t xml:space="preserve">realizados con </w:t>
      </w:r>
      <w:r w:rsidR="00027107" w:rsidRPr="00117BF8">
        <w:rPr>
          <w:rFonts w:ascii="Arial" w:eastAsia="Calibri" w:hAnsi="Arial" w:cs="Arial"/>
          <w:sz w:val="22"/>
          <w:szCs w:val="22"/>
        </w:rPr>
        <w:t>base a análisis presupuestarios y de endeudamiento de los</w:t>
      </w:r>
      <w:r w:rsidRPr="00117BF8">
        <w:rPr>
          <w:rFonts w:ascii="Arial" w:eastAsia="Calibri" w:hAnsi="Arial" w:cs="Arial"/>
          <w:sz w:val="22"/>
          <w:szCs w:val="22"/>
        </w:rPr>
        <w:t xml:space="preserve"> </w:t>
      </w:r>
      <w:r w:rsidR="00027107" w:rsidRPr="00117BF8">
        <w:rPr>
          <w:rFonts w:ascii="Arial" w:eastAsia="Calibri" w:hAnsi="Arial" w:cs="Arial"/>
          <w:sz w:val="22"/>
          <w:szCs w:val="22"/>
        </w:rPr>
        <w:t>últimos cuatro años</w:t>
      </w:r>
      <w:r w:rsidRPr="00117BF8">
        <w:rPr>
          <w:rFonts w:ascii="Arial" w:eastAsia="Calibri" w:hAnsi="Arial" w:cs="Arial"/>
          <w:sz w:val="22"/>
          <w:szCs w:val="22"/>
        </w:rPr>
        <w:t xml:space="preserve"> y el presente</w:t>
      </w:r>
      <w:r w:rsidR="00027107" w:rsidRPr="00117BF8">
        <w:rPr>
          <w:rFonts w:ascii="Arial" w:eastAsia="Calibri" w:hAnsi="Arial" w:cs="Arial"/>
          <w:sz w:val="22"/>
          <w:szCs w:val="22"/>
        </w:rPr>
        <w:t xml:space="preserve">, e indican que </w:t>
      </w:r>
      <w:r w:rsidRPr="00117BF8">
        <w:rPr>
          <w:rFonts w:ascii="Arial" w:eastAsia="Calibri" w:hAnsi="Arial" w:cs="Arial"/>
          <w:sz w:val="22"/>
          <w:szCs w:val="22"/>
        </w:rPr>
        <w:t xml:space="preserve">la PBA tiene </w:t>
      </w:r>
      <w:r w:rsidR="00027107" w:rsidRPr="00117BF8">
        <w:rPr>
          <w:rFonts w:ascii="Arial" w:eastAsia="Calibri" w:hAnsi="Arial" w:cs="Arial"/>
          <w:sz w:val="22"/>
          <w:szCs w:val="22"/>
        </w:rPr>
        <w:t>capacidad de endeudamiento para hacer frente a las obligaciones del pago del</w:t>
      </w:r>
      <w:r w:rsidRPr="00117BF8">
        <w:rPr>
          <w:rFonts w:ascii="Arial" w:eastAsia="Calibri" w:hAnsi="Arial" w:cs="Arial"/>
          <w:sz w:val="22"/>
          <w:szCs w:val="22"/>
        </w:rPr>
        <w:t xml:space="preserve"> </w:t>
      </w:r>
      <w:r w:rsidR="00027107" w:rsidRPr="00117BF8">
        <w:rPr>
          <w:rFonts w:ascii="Arial" w:eastAsia="Calibri" w:hAnsi="Arial" w:cs="Arial"/>
          <w:sz w:val="22"/>
          <w:szCs w:val="22"/>
        </w:rPr>
        <w:t xml:space="preserve">principal e intereses del programa, así como </w:t>
      </w:r>
      <w:r w:rsidR="004C2B32" w:rsidRPr="00117BF8">
        <w:rPr>
          <w:rFonts w:ascii="Arial" w:eastAsia="Calibri" w:hAnsi="Arial" w:cs="Arial"/>
          <w:sz w:val="22"/>
          <w:szCs w:val="22"/>
        </w:rPr>
        <w:t xml:space="preserve">para </w:t>
      </w:r>
      <w:r w:rsidR="00027107" w:rsidRPr="00117BF8">
        <w:rPr>
          <w:rFonts w:ascii="Arial" w:eastAsia="Calibri" w:hAnsi="Arial" w:cs="Arial"/>
          <w:sz w:val="22"/>
          <w:szCs w:val="22"/>
        </w:rPr>
        <w:t xml:space="preserve">realizar el aporte local. </w:t>
      </w:r>
      <w:r w:rsidRPr="00117BF8">
        <w:rPr>
          <w:rFonts w:ascii="Arial" w:eastAsia="Calibri" w:hAnsi="Arial" w:cs="Arial"/>
          <w:sz w:val="22"/>
          <w:szCs w:val="22"/>
        </w:rPr>
        <w:t xml:space="preserve">Las proyecciones también demuestran que es razonable esperar que la Provincia posea recursos suficientes para asegurar la operación y mantenimiento de la nueva infraestructura. </w:t>
      </w:r>
    </w:p>
    <w:p w14:paraId="0A97DF8B" w14:textId="31B0027D" w:rsidR="00027107" w:rsidRPr="00117BF8" w:rsidRDefault="0097172B" w:rsidP="00CD3C07">
      <w:pPr>
        <w:pStyle w:val="hsa"/>
        <w:rPr>
          <w:rFonts w:ascii="Arial" w:hAnsi="Arial" w:cs="Arial"/>
          <w:sz w:val="22"/>
          <w:szCs w:val="22"/>
        </w:rPr>
      </w:pPr>
      <w:r w:rsidRPr="00117BF8">
        <w:rPr>
          <w:rFonts w:ascii="Arial" w:eastAsia="Calibri" w:hAnsi="Arial" w:cs="Arial"/>
          <w:sz w:val="22"/>
          <w:szCs w:val="22"/>
        </w:rPr>
        <w:t xml:space="preserve">Actualmente rige la ley de Responsabilidad Fiscal que establece indicadores que permiten el seguimiento de las finanzas pública </w:t>
      </w:r>
      <w:r w:rsidR="00EF5D45" w:rsidRPr="00EF5D45">
        <w:rPr>
          <w:rFonts w:ascii="Arial" w:eastAsia="Calibri" w:hAnsi="Arial" w:cs="Arial"/>
          <w:sz w:val="22"/>
          <w:szCs w:val="22"/>
        </w:rPr>
        <w:t>provinciales,</w:t>
      </w:r>
      <w:r w:rsidRPr="00117BF8">
        <w:rPr>
          <w:rFonts w:ascii="Arial" w:eastAsia="Calibri" w:hAnsi="Arial" w:cs="Arial"/>
          <w:sz w:val="22"/>
          <w:szCs w:val="22"/>
        </w:rPr>
        <w:t xml:space="preserve"> pero varias de sus cláusulas se encuentran suspendida</w:t>
      </w:r>
      <w:r w:rsidR="004C2B32" w:rsidRPr="00117BF8">
        <w:rPr>
          <w:rFonts w:ascii="Arial" w:eastAsia="Calibri" w:hAnsi="Arial" w:cs="Arial"/>
          <w:sz w:val="22"/>
          <w:szCs w:val="22"/>
        </w:rPr>
        <w:t>. E</w:t>
      </w:r>
      <w:r w:rsidRPr="00117BF8">
        <w:rPr>
          <w:rFonts w:ascii="Arial" w:eastAsia="Calibri" w:hAnsi="Arial" w:cs="Arial"/>
          <w:sz w:val="22"/>
          <w:szCs w:val="22"/>
        </w:rPr>
        <w:t>l Poder Ejecutivo ha enviado al Congreso un proyecto de Ley</w:t>
      </w:r>
      <w:r w:rsidR="004C2B32" w:rsidRPr="00117BF8">
        <w:rPr>
          <w:rFonts w:ascii="Arial" w:eastAsia="Calibri" w:hAnsi="Arial" w:cs="Arial"/>
          <w:sz w:val="22"/>
          <w:szCs w:val="22"/>
        </w:rPr>
        <w:t>, para reemplazar al vigente,</w:t>
      </w:r>
      <w:r w:rsidRPr="00117BF8">
        <w:rPr>
          <w:rFonts w:ascii="Arial" w:eastAsia="Calibri" w:hAnsi="Arial" w:cs="Arial"/>
          <w:sz w:val="22"/>
          <w:szCs w:val="22"/>
        </w:rPr>
        <w:t xml:space="preserve"> que establecerá </w:t>
      </w:r>
      <w:r w:rsidR="00027107" w:rsidRPr="00117BF8">
        <w:rPr>
          <w:rFonts w:ascii="Arial" w:eastAsia="Calibri" w:hAnsi="Arial" w:cs="Arial"/>
          <w:sz w:val="22"/>
          <w:szCs w:val="22"/>
        </w:rPr>
        <w:t>indic</w:t>
      </w:r>
      <w:r w:rsidR="0006238D" w:rsidRPr="00117BF8">
        <w:rPr>
          <w:rFonts w:ascii="Arial" w:eastAsia="Calibri" w:hAnsi="Arial" w:cs="Arial"/>
          <w:sz w:val="22"/>
          <w:szCs w:val="22"/>
        </w:rPr>
        <w:t xml:space="preserve">adores </w:t>
      </w:r>
      <w:r w:rsidR="004C2B32" w:rsidRPr="00117BF8">
        <w:rPr>
          <w:rFonts w:ascii="Arial" w:eastAsia="Calibri" w:hAnsi="Arial" w:cs="Arial"/>
          <w:sz w:val="22"/>
          <w:szCs w:val="22"/>
        </w:rPr>
        <w:t>destinados</w:t>
      </w:r>
      <w:r w:rsidR="0006238D" w:rsidRPr="00117BF8">
        <w:rPr>
          <w:rFonts w:ascii="Arial" w:eastAsia="Calibri" w:hAnsi="Arial" w:cs="Arial"/>
          <w:sz w:val="22"/>
          <w:szCs w:val="22"/>
        </w:rPr>
        <w:t xml:space="preserve"> monitorear</w:t>
      </w:r>
      <w:r w:rsidR="00027107" w:rsidRPr="00117BF8">
        <w:rPr>
          <w:rFonts w:ascii="Arial" w:eastAsia="Calibri" w:hAnsi="Arial" w:cs="Arial"/>
          <w:sz w:val="22"/>
          <w:szCs w:val="22"/>
        </w:rPr>
        <w:t xml:space="preserve"> </w:t>
      </w:r>
      <w:r w:rsidR="0006238D" w:rsidRPr="00117BF8">
        <w:rPr>
          <w:rFonts w:ascii="Arial" w:eastAsia="Calibri" w:hAnsi="Arial" w:cs="Arial"/>
          <w:sz w:val="22"/>
          <w:szCs w:val="22"/>
        </w:rPr>
        <w:t>los niveles relativos de los servicios de deuda, los equilibrios fi</w:t>
      </w:r>
      <w:r w:rsidR="004C2B32" w:rsidRPr="00117BF8">
        <w:rPr>
          <w:rFonts w:ascii="Arial" w:eastAsia="Calibri" w:hAnsi="Arial" w:cs="Arial"/>
          <w:sz w:val="22"/>
          <w:szCs w:val="22"/>
        </w:rPr>
        <w:t>s</w:t>
      </w:r>
      <w:r w:rsidR="0006238D" w:rsidRPr="00117BF8">
        <w:rPr>
          <w:rFonts w:ascii="Arial" w:eastAsia="Calibri" w:hAnsi="Arial" w:cs="Arial"/>
          <w:sz w:val="22"/>
          <w:szCs w:val="22"/>
        </w:rPr>
        <w:t>cales y fija procedimientos y límites para las autorizaciones de endeudamiento que la Nación otorgue a las Provincias. Independientemente de este proyecto ley, la</w:t>
      </w:r>
      <w:r w:rsidR="004C2B32" w:rsidRPr="00117BF8">
        <w:rPr>
          <w:rFonts w:ascii="Arial" w:eastAsia="Calibri" w:hAnsi="Arial" w:cs="Arial"/>
          <w:sz w:val="22"/>
          <w:szCs w:val="22"/>
        </w:rPr>
        <w:t>s p</w:t>
      </w:r>
      <w:r w:rsidR="0006238D" w:rsidRPr="00117BF8">
        <w:rPr>
          <w:rFonts w:ascii="Arial" w:eastAsia="Calibri" w:hAnsi="Arial" w:cs="Arial"/>
          <w:sz w:val="22"/>
          <w:szCs w:val="22"/>
        </w:rPr>
        <w:t>rovincia</w:t>
      </w:r>
      <w:r w:rsidR="004C2B32" w:rsidRPr="00117BF8">
        <w:rPr>
          <w:rFonts w:ascii="Arial" w:eastAsia="Calibri" w:hAnsi="Arial" w:cs="Arial"/>
          <w:sz w:val="22"/>
          <w:szCs w:val="22"/>
        </w:rPr>
        <w:t>s</w:t>
      </w:r>
      <w:r w:rsidR="0006238D" w:rsidRPr="00117BF8">
        <w:rPr>
          <w:rFonts w:ascii="Arial" w:eastAsia="Calibri" w:hAnsi="Arial" w:cs="Arial"/>
          <w:sz w:val="22"/>
          <w:szCs w:val="22"/>
        </w:rPr>
        <w:t xml:space="preserve"> para obtener créditos</w:t>
      </w:r>
      <w:r w:rsidR="004C2B32" w:rsidRPr="00117BF8">
        <w:rPr>
          <w:rFonts w:ascii="Arial" w:eastAsia="Calibri" w:hAnsi="Arial" w:cs="Arial"/>
          <w:sz w:val="22"/>
          <w:szCs w:val="22"/>
        </w:rPr>
        <w:t xml:space="preserve"> </w:t>
      </w:r>
      <w:r w:rsidR="0006238D" w:rsidRPr="00117BF8">
        <w:rPr>
          <w:rFonts w:ascii="Arial" w:eastAsia="Calibri" w:hAnsi="Arial" w:cs="Arial"/>
          <w:sz w:val="22"/>
          <w:szCs w:val="22"/>
        </w:rPr>
        <w:t xml:space="preserve">están sujetas a la aprobación y control </w:t>
      </w:r>
      <w:r w:rsidR="004C2B32" w:rsidRPr="00117BF8">
        <w:rPr>
          <w:rFonts w:ascii="Arial" w:eastAsia="Calibri" w:hAnsi="Arial" w:cs="Arial"/>
          <w:sz w:val="22"/>
          <w:szCs w:val="22"/>
        </w:rPr>
        <w:t>de la Nación.</w:t>
      </w:r>
    </w:p>
    <w:p w14:paraId="7F677BD5" w14:textId="77777777" w:rsidR="00E951B4" w:rsidRPr="00117BF8" w:rsidRDefault="006C3533" w:rsidP="00117BF8">
      <w:pPr>
        <w:pStyle w:val="Heading1"/>
        <w:spacing w:after="180"/>
        <w:rPr>
          <w:rFonts w:ascii="Arial" w:hAnsi="Arial" w:cs="Arial"/>
          <w:sz w:val="22"/>
          <w:szCs w:val="22"/>
        </w:rPr>
      </w:pPr>
      <w:r w:rsidRPr="00117BF8">
        <w:rPr>
          <w:rFonts w:ascii="Arial" w:hAnsi="Arial" w:cs="Arial"/>
          <w:sz w:val="22"/>
          <w:szCs w:val="22"/>
        </w:rPr>
        <w:br w:type="page"/>
      </w:r>
      <w:bookmarkStart w:id="11" w:name="_Toc494040305"/>
      <w:r w:rsidR="00E951B4" w:rsidRPr="00117BF8">
        <w:rPr>
          <w:rFonts w:ascii="Arial" w:hAnsi="Arial" w:cs="Arial"/>
          <w:sz w:val="22"/>
          <w:szCs w:val="22"/>
        </w:rPr>
        <w:t>Introducción</w:t>
      </w:r>
      <w:bookmarkEnd w:id="3"/>
      <w:bookmarkEnd w:id="11"/>
    </w:p>
    <w:p w14:paraId="40069E41" w14:textId="48947810" w:rsidR="00E951B4" w:rsidRPr="00117BF8" w:rsidRDefault="00A629A1" w:rsidP="00E951B4">
      <w:pPr>
        <w:pStyle w:val="hsa"/>
        <w:rPr>
          <w:rFonts w:ascii="Arial" w:hAnsi="Arial" w:cs="Arial"/>
          <w:sz w:val="22"/>
          <w:szCs w:val="22"/>
        </w:rPr>
      </w:pPr>
      <w:r w:rsidRPr="00117BF8">
        <w:rPr>
          <w:rFonts w:ascii="Arial" w:hAnsi="Arial" w:cs="Arial"/>
          <w:sz w:val="22"/>
          <w:szCs w:val="22"/>
        </w:rPr>
        <w:t>Este informe resume el análisis</w:t>
      </w:r>
      <w:r w:rsidR="00A72099" w:rsidRPr="00117BF8">
        <w:rPr>
          <w:rFonts w:ascii="Arial" w:hAnsi="Arial" w:cs="Arial"/>
          <w:sz w:val="22"/>
          <w:szCs w:val="22"/>
        </w:rPr>
        <w:t xml:space="preserve"> </w:t>
      </w:r>
      <w:r w:rsidR="00E951B4" w:rsidRPr="00117BF8">
        <w:rPr>
          <w:rFonts w:ascii="Arial" w:hAnsi="Arial" w:cs="Arial"/>
          <w:sz w:val="22"/>
          <w:szCs w:val="22"/>
        </w:rPr>
        <w:t xml:space="preserve">financiero histórico y proyectado del presupuesto de la Provincia de Buenos Aires (PBA), </w:t>
      </w:r>
      <w:r w:rsidRPr="00117BF8">
        <w:rPr>
          <w:rFonts w:ascii="Arial" w:hAnsi="Arial" w:cs="Arial"/>
          <w:sz w:val="22"/>
          <w:szCs w:val="22"/>
        </w:rPr>
        <w:t>con el objeto</w:t>
      </w:r>
      <w:r w:rsidR="00012CD1" w:rsidRPr="00117BF8">
        <w:rPr>
          <w:rFonts w:ascii="Arial" w:hAnsi="Arial" w:cs="Arial"/>
          <w:sz w:val="22"/>
          <w:szCs w:val="22"/>
        </w:rPr>
        <w:t xml:space="preserve"> de evaluar la capacidad de repago del servicio de la deuda de la Provincia de los programas de préstamo AR-L1272, AR-L1273 y AR-L1274 y cómo estos programas afectarán la situación de las finanzas de la PBA. También se analizará si la Provincia cuenta con recursos suficientes para i) aportar oportunamente la contribución del aporte local y ii) garantizar la operación y mantenimiento de las obras a ser construidas con el presente programa de préstamo</w:t>
      </w:r>
      <w:r w:rsidR="00E951B4" w:rsidRPr="00117BF8">
        <w:rPr>
          <w:rFonts w:ascii="Arial" w:hAnsi="Arial" w:cs="Arial"/>
          <w:sz w:val="22"/>
          <w:szCs w:val="22"/>
        </w:rPr>
        <w:t>.</w:t>
      </w:r>
    </w:p>
    <w:p w14:paraId="457D0272" w14:textId="37521FAF" w:rsidR="00D96155" w:rsidRPr="00117BF8" w:rsidRDefault="00936E9D" w:rsidP="00E951B4">
      <w:pPr>
        <w:pStyle w:val="hsa"/>
        <w:rPr>
          <w:rFonts w:ascii="Arial" w:hAnsi="Arial" w:cs="Arial"/>
          <w:sz w:val="22"/>
          <w:szCs w:val="22"/>
        </w:rPr>
      </w:pPr>
      <w:r w:rsidRPr="00117BF8">
        <w:rPr>
          <w:rFonts w:ascii="Arial" w:hAnsi="Arial" w:cs="Arial"/>
          <w:sz w:val="22"/>
          <w:szCs w:val="22"/>
        </w:rPr>
        <w:t>E</w:t>
      </w:r>
      <w:r w:rsidR="006C3533" w:rsidRPr="00117BF8">
        <w:rPr>
          <w:rFonts w:ascii="Arial" w:hAnsi="Arial" w:cs="Arial"/>
          <w:sz w:val="22"/>
          <w:szCs w:val="22"/>
        </w:rPr>
        <w:t>ste</w:t>
      </w:r>
      <w:r w:rsidR="00A72099" w:rsidRPr="00117BF8">
        <w:rPr>
          <w:rFonts w:ascii="Arial" w:hAnsi="Arial" w:cs="Arial"/>
          <w:sz w:val="22"/>
          <w:szCs w:val="22"/>
        </w:rPr>
        <w:t xml:space="preserve"> informe </w:t>
      </w:r>
      <w:r w:rsidR="00D96155" w:rsidRPr="00117BF8">
        <w:rPr>
          <w:rFonts w:ascii="Arial" w:hAnsi="Arial" w:cs="Arial"/>
          <w:sz w:val="22"/>
          <w:szCs w:val="22"/>
        </w:rPr>
        <w:t>contiene:</w:t>
      </w:r>
    </w:p>
    <w:p w14:paraId="67D3AE6C" w14:textId="77777777" w:rsidR="00D96155" w:rsidRPr="00117BF8" w:rsidRDefault="00D96155" w:rsidP="007777B3">
      <w:pPr>
        <w:pStyle w:val="HPUN0"/>
        <w:rPr>
          <w:rFonts w:ascii="Arial" w:eastAsia="Calibri" w:hAnsi="Arial" w:cs="Arial"/>
          <w:sz w:val="22"/>
          <w:szCs w:val="22"/>
        </w:rPr>
      </w:pPr>
      <w:r w:rsidRPr="00117BF8">
        <w:rPr>
          <w:rFonts w:ascii="Arial" w:eastAsia="Calibri" w:hAnsi="Arial" w:cs="Arial"/>
          <w:sz w:val="22"/>
          <w:szCs w:val="22"/>
        </w:rPr>
        <w:t>Un capítulo destinado a describir las fuentes de información, las entrevistas a funcionarios y documentación consultada.</w:t>
      </w:r>
    </w:p>
    <w:p w14:paraId="3ED74B5D" w14:textId="77777777" w:rsidR="00D96155" w:rsidRPr="00117BF8" w:rsidRDefault="00D96155" w:rsidP="007777B3">
      <w:pPr>
        <w:pStyle w:val="HPUN0"/>
        <w:rPr>
          <w:rFonts w:ascii="Arial" w:eastAsia="Calibri" w:hAnsi="Arial" w:cs="Arial"/>
          <w:sz w:val="22"/>
          <w:szCs w:val="22"/>
        </w:rPr>
      </w:pPr>
      <w:r w:rsidRPr="00117BF8">
        <w:rPr>
          <w:rFonts w:ascii="Arial" w:eastAsia="Calibri" w:hAnsi="Arial" w:cs="Arial"/>
          <w:sz w:val="22"/>
          <w:szCs w:val="22"/>
        </w:rPr>
        <w:t>El capítulo 3 que tiene como propósito explicitar aspectos generales de la Provincia, sus características, el contexto fiscal, las características de la contabilidad fiscal y el régimen de Responsabilidad Fiscal.</w:t>
      </w:r>
    </w:p>
    <w:p w14:paraId="6472F85D" w14:textId="7569FE98" w:rsidR="007777B3" w:rsidRPr="00117BF8" w:rsidRDefault="007777B3" w:rsidP="007777B3">
      <w:pPr>
        <w:pStyle w:val="HPUN0"/>
        <w:rPr>
          <w:rFonts w:ascii="Arial" w:eastAsia="Calibri" w:hAnsi="Arial" w:cs="Arial"/>
          <w:sz w:val="22"/>
          <w:szCs w:val="22"/>
        </w:rPr>
      </w:pPr>
      <w:r w:rsidRPr="00117BF8">
        <w:rPr>
          <w:rFonts w:ascii="Arial" w:eastAsia="Calibri" w:hAnsi="Arial" w:cs="Arial"/>
          <w:sz w:val="22"/>
          <w:szCs w:val="22"/>
        </w:rPr>
        <w:t>Análisis histórico de las finanzas del GPBA de, al menos, los últimos 4 años (2013, 2014, 2015, 2016)</w:t>
      </w:r>
      <w:r w:rsidR="00D96155" w:rsidRPr="00117BF8">
        <w:rPr>
          <w:rFonts w:ascii="Arial" w:eastAsia="Calibri" w:hAnsi="Arial" w:cs="Arial"/>
          <w:sz w:val="22"/>
          <w:szCs w:val="22"/>
        </w:rPr>
        <w:t xml:space="preserve"> (Capítulo 4).</w:t>
      </w:r>
    </w:p>
    <w:p w14:paraId="29AEEFDD" w14:textId="7E58F298" w:rsidR="00D96155" w:rsidRPr="00117BF8" w:rsidRDefault="00D96155" w:rsidP="007777B3">
      <w:pPr>
        <w:pStyle w:val="HPUN0"/>
        <w:rPr>
          <w:rFonts w:ascii="Arial" w:eastAsia="Calibri" w:hAnsi="Arial" w:cs="Arial"/>
          <w:sz w:val="22"/>
          <w:szCs w:val="22"/>
        </w:rPr>
      </w:pPr>
      <w:r w:rsidRPr="00117BF8">
        <w:rPr>
          <w:rFonts w:ascii="Arial" w:eastAsia="Calibri" w:hAnsi="Arial" w:cs="Arial"/>
          <w:sz w:val="22"/>
          <w:szCs w:val="22"/>
        </w:rPr>
        <w:t>El capítulo 5 detalla las características principales de las operaciones de crédito del BID aquí analizadas y proyecta a 10 años el flujo de los fondos involucrado en estas operaciones.</w:t>
      </w:r>
    </w:p>
    <w:p w14:paraId="3734B03A" w14:textId="77777777" w:rsidR="00BD0C60" w:rsidRPr="00117BF8" w:rsidRDefault="00BD0C60" w:rsidP="00D96155">
      <w:pPr>
        <w:pStyle w:val="HPUN0"/>
        <w:rPr>
          <w:rFonts w:ascii="Arial" w:eastAsia="Calibri" w:hAnsi="Arial" w:cs="Arial"/>
          <w:sz w:val="22"/>
          <w:szCs w:val="22"/>
        </w:rPr>
      </w:pPr>
      <w:r w:rsidRPr="00117BF8">
        <w:rPr>
          <w:rFonts w:ascii="Arial" w:eastAsia="Calibri" w:hAnsi="Arial" w:cs="Arial"/>
          <w:sz w:val="22"/>
          <w:szCs w:val="22"/>
        </w:rPr>
        <w:t>Una evaluación sintética del Presupuesto 2017 y su ejecución al primer trimestre.</w:t>
      </w:r>
    </w:p>
    <w:p w14:paraId="7B596AB9" w14:textId="77777777" w:rsidR="00BD0C60" w:rsidRPr="00117BF8" w:rsidRDefault="00D96155" w:rsidP="00D96155">
      <w:pPr>
        <w:pStyle w:val="HPUN0"/>
        <w:rPr>
          <w:rFonts w:ascii="Arial" w:eastAsia="Calibri" w:hAnsi="Arial" w:cs="Arial"/>
          <w:sz w:val="22"/>
          <w:szCs w:val="22"/>
        </w:rPr>
      </w:pPr>
      <w:r w:rsidRPr="00117BF8">
        <w:rPr>
          <w:rFonts w:ascii="Arial" w:eastAsia="Calibri" w:hAnsi="Arial" w:cs="Arial"/>
          <w:sz w:val="22"/>
          <w:szCs w:val="22"/>
        </w:rPr>
        <w:t>Proyecciones financieras a 10 años elaboradas por la Provincia, un análisis crítico de las mismas y proyecciones alternativas que incorporan los flujos de fondos originados en las operaciones consideradas en el c</w:t>
      </w:r>
      <w:r w:rsidR="00BD0C60" w:rsidRPr="00117BF8">
        <w:rPr>
          <w:rFonts w:ascii="Arial" w:eastAsia="Calibri" w:hAnsi="Arial" w:cs="Arial"/>
          <w:sz w:val="22"/>
          <w:szCs w:val="22"/>
        </w:rPr>
        <w:t>a</w:t>
      </w:r>
      <w:r w:rsidRPr="00117BF8">
        <w:rPr>
          <w:rFonts w:ascii="Arial" w:eastAsia="Calibri" w:hAnsi="Arial" w:cs="Arial"/>
          <w:sz w:val="22"/>
          <w:szCs w:val="22"/>
        </w:rPr>
        <w:t xml:space="preserve">pítulo </w:t>
      </w:r>
      <w:r w:rsidR="00BD0C60" w:rsidRPr="00117BF8">
        <w:rPr>
          <w:rFonts w:ascii="Arial" w:eastAsia="Calibri" w:hAnsi="Arial" w:cs="Arial"/>
          <w:sz w:val="22"/>
          <w:szCs w:val="22"/>
        </w:rPr>
        <w:t>5</w:t>
      </w:r>
      <w:r w:rsidRPr="00117BF8">
        <w:rPr>
          <w:rFonts w:ascii="Arial" w:eastAsia="Calibri" w:hAnsi="Arial" w:cs="Arial"/>
          <w:sz w:val="22"/>
          <w:szCs w:val="22"/>
        </w:rPr>
        <w:t xml:space="preserve"> </w:t>
      </w:r>
      <w:r w:rsidR="00BD0C60" w:rsidRPr="00117BF8">
        <w:rPr>
          <w:rFonts w:ascii="Arial" w:eastAsia="Calibri" w:hAnsi="Arial" w:cs="Arial"/>
          <w:sz w:val="22"/>
          <w:szCs w:val="22"/>
        </w:rPr>
        <w:t>(Capítulo 7).</w:t>
      </w:r>
    </w:p>
    <w:p w14:paraId="30602A41" w14:textId="77777777" w:rsidR="00BD0C60" w:rsidRPr="00117BF8" w:rsidRDefault="00BD0C60" w:rsidP="00D96155">
      <w:pPr>
        <w:pStyle w:val="HPUN0"/>
        <w:rPr>
          <w:rFonts w:ascii="Arial" w:eastAsia="Calibri" w:hAnsi="Arial" w:cs="Arial"/>
          <w:sz w:val="22"/>
          <w:szCs w:val="22"/>
        </w:rPr>
      </w:pPr>
      <w:r w:rsidRPr="00117BF8">
        <w:rPr>
          <w:rFonts w:ascii="Arial" w:eastAsia="Calibri" w:hAnsi="Arial" w:cs="Arial"/>
          <w:sz w:val="22"/>
          <w:szCs w:val="22"/>
        </w:rPr>
        <w:t xml:space="preserve">La evaluación de las proyecciones por medio de indicadores y su relación con el Proyecto de responsabilidad Fiscal presentado por el Poder Ejecutivo al Congreso y en </w:t>
      </w:r>
      <w:r w:rsidR="00280473" w:rsidRPr="00117BF8">
        <w:rPr>
          <w:rFonts w:ascii="Arial" w:eastAsia="Calibri" w:hAnsi="Arial" w:cs="Arial"/>
          <w:sz w:val="22"/>
          <w:szCs w:val="22"/>
        </w:rPr>
        <w:t>particular</w:t>
      </w:r>
      <w:r w:rsidRPr="00117BF8">
        <w:rPr>
          <w:rFonts w:ascii="Arial" w:eastAsia="Calibri" w:hAnsi="Arial" w:cs="Arial"/>
          <w:sz w:val="22"/>
          <w:szCs w:val="22"/>
        </w:rPr>
        <w:t xml:space="preserve"> los aspectos </w:t>
      </w:r>
      <w:r w:rsidR="00280473" w:rsidRPr="00117BF8">
        <w:rPr>
          <w:rFonts w:ascii="Arial" w:eastAsia="Calibri" w:hAnsi="Arial" w:cs="Arial"/>
          <w:sz w:val="22"/>
          <w:szCs w:val="22"/>
        </w:rPr>
        <w:t>relacionados</w:t>
      </w:r>
      <w:r w:rsidRPr="00117BF8">
        <w:rPr>
          <w:rFonts w:ascii="Arial" w:eastAsia="Calibri" w:hAnsi="Arial" w:cs="Arial"/>
          <w:sz w:val="22"/>
          <w:szCs w:val="22"/>
        </w:rPr>
        <w:t xml:space="preserve"> con </w:t>
      </w:r>
      <w:r w:rsidR="00280473" w:rsidRPr="00117BF8">
        <w:rPr>
          <w:rFonts w:ascii="Arial" w:eastAsia="Calibri" w:hAnsi="Arial" w:cs="Arial"/>
          <w:sz w:val="22"/>
          <w:szCs w:val="22"/>
        </w:rPr>
        <w:t>operaciones</w:t>
      </w:r>
      <w:r w:rsidRPr="00117BF8">
        <w:rPr>
          <w:rFonts w:ascii="Arial" w:eastAsia="Calibri" w:hAnsi="Arial" w:cs="Arial"/>
          <w:sz w:val="22"/>
          <w:szCs w:val="22"/>
        </w:rPr>
        <w:t xml:space="preserve"> con OMC (Capítulo 8)</w:t>
      </w:r>
    </w:p>
    <w:p w14:paraId="7441BA94" w14:textId="355FA848" w:rsidR="00BD0C60" w:rsidRPr="00117BF8" w:rsidRDefault="00BD0C60" w:rsidP="00BD0C60">
      <w:pPr>
        <w:pStyle w:val="HPUN0"/>
        <w:rPr>
          <w:rFonts w:ascii="Arial" w:eastAsia="Calibri" w:hAnsi="Arial" w:cs="Arial"/>
          <w:sz w:val="22"/>
          <w:szCs w:val="22"/>
        </w:rPr>
      </w:pPr>
      <w:r w:rsidRPr="00117BF8">
        <w:rPr>
          <w:rFonts w:ascii="Arial" w:eastAsia="Calibri" w:hAnsi="Arial" w:cs="Arial"/>
          <w:sz w:val="22"/>
          <w:szCs w:val="22"/>
        </w:rPr>
        <w:t>Análisis del proceso de aprobación de las aprobaciones de los préstamos por el Gobierno Provincial y Nacional y su actual situación (Capítulo 9).</w:t>
      </w:r>
    </w:p>
    <w:p w14:paraId="189FBE19" w14:textId="4B9443DD" w:rsidR="007777B3" w:rsidRPr="00117BF8" w:rsidRDefault="00FC59B2" w:rsidP="007777B3">
      <w:pPr>
        <w:pStyle w:val="HPUN0"/>
        <w:rPr>
          <w:rFonts w:ascii="Arial" w:eastAsia="Calibri" w:hAnsi="Arial" w:cs="Arial"/>
          <w:sz w:val="22"/>
          <w:szCs w:val="22"/>
        </w:rPr>
      </w:pPr>
      <w:r w:rsidRPr="00117BF8">
        <w:rPr>
          <w:rFonts w:ascii="Arial" w:eastAsia="Calibri" w:hAnsi="Arial" w:cs="Arial"/>
          <w:sz w:val="22"/>
          <w:szCs w:val="22"/>
        </w:rPr>
        <w:t>Previamente a este capítulo se desarrolla un resumen ejecutivo y conclusiones en las que se otorga una</w:t>
      </w:r>
      <w:r w:rsidR="00280473" w:rsidRPr="00117BF8">
        <w:rPr>
          <w:rFonts w:ascii="Arial" w:eastAsia="Calibri" w:hAnsi="Arial" w:cs="Arial"/>
          <w:sz w:val="22"/>
          <w:szCs w:val="22"/>
        </w:rPr>
        <w:t xml:space="preserve"> especial relevancia a evaluar: a) Capacidad de repago de la Provincia del servicio de la deuda originada en los programas aquí analizados; b) Impacto fiscal de estos programas y c) Disponibilidad de recursos para i) aportar oportunamente la contribución del aporte local y ii) garantizar la operación y mantenimiento de las obras a ser construidas con el presente programa de préstamo.</w:t>
      </w:r>
    </w:p>
    <w:p w14:paraId="6929C711" w14:textId="77777777" w:rsidR="00B50340" w:rsidRPr="00117BF8" w:rsidRDefault="00BD0C60" w:rsidP="00E951B4">
      <w:pPr>
        <w:pStyle w:val="hsa"/>
        <w:rPr>
          <w:rFonts w:ascii="Arial" w:hAnsi="Arial" w:cs="Arial"/>
          <w:sz w:val="22"/>
          <w:szCs w:val="22"/>
        </w:rPr>
      </w:pPr>
      <w:r w:rsidRPr="00117BF8">
        <w:rPr>
          <w:rFonts w:ascii="Arial" w:hAnsi="Arial" w:cs="Arial"/>
          <w:sz w:val="22"/>
          <w:szCs w:val="22"/>
        </w:rPr>
        <w:t>Forman parte de este informe ocho</w:t>
      </w:r>
      <w:r w:rsidR="00777963" w:rsidRPr="00117BF8">
        <w:rPr>
          <w:rFonts w:ascii="Arial" w:hAnsi="Arial" w:cs="Arial"/>
          <w:sz w:val="22"/>
          <w:szCs w:val="22"/>
        </w:rPr>
        <w:t xml:space="preserve"> anexos.</w:t>
      </w:r>
    </w:p>
    <w:p w14:paraId="02C6BA29" w14:textId="77777777" w:rsidR="00090DCB" w:rsidRPr="00117BF8" w:rsidRDefault="00090DCB" w:rsidP="00117BF8">
      <w:pPr>
        <w:pStyle w:val="Heading1"/>
        <w:spacing w:before="120" w:after="180"/>
        <w:rPr>
          <w:rFonts w:ascii="Arial" w:hAnsi="Arial" w:cs="Arial"/>
          <w:sz w:val="22"/>
          <w:szCs w:val="22"/>
        </w:rPr>
      </w:pPr>
      <w:bookmarkStart w:id="12" w:name="_Toc494040306"/>
      <w:r w:rsidRPr="00117BF8">
        <w:rPr>
          <w:rFonts w:ascii="Arial" w:hAnsi="Arial" w:cs="Arial"/>
          <w:sz w:val="22"/>
          <w:szCs w:val="22"/>
        </w:rPr>
        <w:t xml:space="preserve">Fuentes de Información y </w:t>
      </w:r>
      <w:r w:rsidR="00280473" w:rsidRPr="00117BF8">
        <w:rPr>
          <w:rFonts w:ascii="Arial" w:hAnsi="Arial" w:cs="Arial"/>
          <w:sz w:val="22"/>
          <w:szCs w:val="22"/>
        </w:rPr>
        <w:t>Entrevistas Realizadas</w:t>
      </w:r>
      <w:bookmarkEnd w:id="12"/>
    </w:p>
    <w:p w14:paraId="1CE0685A" w14:textId="77777777" w:rsidR="00986A0E" w:rsidRPr="00117BF8" w:rsidRDefault="006500F9" w:rsidP="00986A0E">
      <w:pPr>
        <w:pStyle w:val="hsa"/>
        <w:rPr>
          <w:rFonts w:ascii="Arial" w:hAnsi="Arial" w:cs="Arial"/>
          <w:sz w:val="22"/>
          <w:szCs w:val="22"/>
        </w:rPr>
      </w:pPr>
      <w:r w:rsidRPr="00117BF8">
        <w:rPr>
          <w:rFonts w:ascii="Arial" w:hAnsi="Arial" w:cs="Arial"/>
          <w:sz w:val="22"/>
          <w:szCs w:val="22"/>
        </w:rPr>
        <w:t>Las operaciones consideradas en este informe son entonces AR-L1273: Apoyo a las Cuencas de Areco, Rio Quinto y Pergamino, AR-L1274: Programa de Conectividad y Seguridad en Corredores Viales de la Provincia de Buenos Aires y AR-L1272: Programa de Fortalecimiento de la Gestión de la Provincia de Buenos Aires. La información financiera, proporcionada por el BID, relativa a estas operaciones se indica en el Anexo I.</w:t>
      </w:r>
    </w:p>
    <w:p w14:paraId="680FF3AD" w14:textId="77777777" w:rsidR="004548C0" w:rsidRPr="00117BF8" w:rsidRDefault="008A1948" w:rsidP="004548C0">
      <w:pPr>
        <w:pStyle w:val="hsa"/>
        <w:rPr>
          <w:rFonts w:ascii="Arial" w:hAnsi="Arial" w:cs="Arial"/>
          <w:sz w:val="22"/>
          <w:szCs w:val="22"/>
        </w:rPr>
      </w:pPr>
      <w:r w:rsidRPr="00117BF8">
        <w:rPr>
          <w:rFonts w:ascii="Arial" w:hAnsi="Arial" w:cs="Arial"/>
          <w:sz w:val="22"/>
          <w:szCs w:val="22"/>
        </w:rPr>
        <w:t xml:space="preserve">Para la confección de este informe he utilizado variadas fuentes (Ver Anexo </w:t>
      </w:r>
      <w:r w:rsidR="004548C0" w:rsidRPr="00117BF8">
        <w:rPr>
          <w:rFonts w:ascii="Arial" w:hAnsi="Arial" w:cs="Arial"/>
          <w:sz w:val="22"/>
          <w:szCs w:val="22"/>
        </w:rPr>
        <w:t>I</w:t>
      </w:r>
      <w:r w:rsidRPr="00117BF8">
        <w:rPr>
          <w:rFonts w:ascii="Arial" w:hAnsi="Arial" w:cs="Arial"/>
          <w:sz w:val="22"/>
          <w:szCs w:val="22"/>
        </w:rPr>
        <w:t>I), mantenido reuniones con funcionarios del BID y de la Provincia de Buenos Aires. Los funcionarios de la Provincia entrevistados fueron: Juan Sanguinetti</w:t>
      </w:r>
      <w:r w:rsidR="004548C0" w:rsidRPr="00117BF8">
        <w:rPr>
          <w:rFonts w:ascii="Arial" w:hAnsi="Arial" w:cs="Arial"/>
          <w:sz w:val="22"/>
          <w:szCs w:val="22"/>
        </w:rPr>
        <w:t xml:space="preserve"> (</w:t>
      </w:r>
      <w:r w:rsidRPr="00117BF8">
        <w:rPr>
          <w:rFonts w:ascii="Arial" w:hAnsi="Arial" w:cs="Arial"/>
          <w:sz w:val="22"/>
          <w:szCs w:val="22"/>
        </w:rPr>
        <w:t>Subsecretario de Hacienda</w:t>
      </w:r>
      <w:r w:rsidR="004548C0" w:rsidRPr="00117BF8">
        <w:rPr>
          <w:rFonts w:ascii="Arial" w:hAnsi="Arial" w:cs="Arial"/>
          <w:sz w:val="22"/>
          <w:szCs w:val="22"/>
        </w:rPr>
        <w:t>)</w:t>
      </w:r>
      <w:r w:rsidRPr="00117BF8">
        <w:rPr>
          <w:rFonts w:ascii="Arial" w:hAnsi="Arial" w:cs="Arial"/>
          <w:sz w:val="22"/>
          <w:szCs w:val="22"/>
        </w:rPr>
        <w:t xml:space="preserve">, Sebastián Katz </w:t>
      </w:r>
      <w:r w:rsidR="004548C0" w:rsidRPr="00117BF8">
        <w:rPr>
          <w:rFonts w:ascii="Arial" w:hAnsi="Arial" w:cs="Arial"/>
          <w:sz w:val="22"/>
          <w:szCs w:val="22"/>
        </w:rPr>
        <w:t>(</w:t>
      </w:r>
      <w:r w:rsidRPr="00117BF8">
        <w:rPr>
          <w:rFonts w:ascii="Arial" w:hAnsi="Arial" w:cs="Arial"/>
          <w:sz w:val="22"/>
          <w:szCs w:val="22"/>
        </w:rPr>
        <w:t>Subsecretario de Finanzas</w:t>
      </w:r>
      <w:r w:rsidR="004548C0" w:rsidRPr="00117BF8">
        <w:rPr>
          <w:rFonts w:ascii="Arial" w:hAnsi="Arial" w:cs="Arial"/>
          <w:sz w:val="22"/>
          <w:szCs w:val="22"/>
        </w:rPr>
        <w:t>),</w:t>
      </w:r>
      <w:r w:rsidRPr="00117BF8">
        <w:rPr>
          <w:rFonts w:ascii="Arial" w:hAnsi="Arial" w:cs="Arial"/>
          <w:sz w:val="22"/>
          <w:szCs w:val="22"/>
        </w:rPr>
        <w:t xml:space="preserve"> Lucio Simpson</w:t>
      </w:r>
      <w:r w:rsidR="004548C0" w:rsidRPr="00117BF8">
        <w:rPr>
          <w:rFonts w:ascii="Arial" w:hAnsi="Arial" w:cs="Arial"/>
          <w:sz w:val="22"/>
          <w:szCs w:val="22"/>
        </w:rPr>
        <w:t xml:space="preserve"> (Director Provincial de Organismos Multilaterales y Financiamiento Bilateral), Julio Gonzalez (Director Provincial de Presupuesto Público) y Mariano Moschione (Director Provincial de Deuda y Crédito Público).</w:t>
      </w:r>
    </w:p>
    <w:p w14:paraId="6D31A4BA" w14:textId="3629155B" w:rsidR="006500F9" w:rsidRPr="00117BF8" w:rsidRDefault="00D53DC2" w:rsidP="00D53DC2">
      <w:pPr>
        <w:pStyle w:val="hsa"/>
        <w:rPr>
          <w:rFonts w:ascii="Arial" w:hAnsi="Arial" w:cs="Arial"/>
          <w:sz w:val="22"/>
          <w:szCs w:val="22"/>
        </w:rPr>
      </w:pPr>
      <w:r w:rsidRPr="00117BF8">
        <w:rPr>
          <w:rFonts w:ascii="Arial" w:hAnsi="Arial" w:cs="Arial"/>
          <w:sz w:val="22"/>
          <w:szCs w:val="22"/>
        </w:rPr>
        <w:t xml:space="preserve">El día </w:t>
      </w:r>
      <w:r w:rsidR="00F2408B" w:rsidRPr="00117BF8">
        <w:rPr>
          <w:rFonts w:ascii="Arial" w:hAnsi="Arial" w:cs="Arial"/>
          <w:sz w:val="22"/>
          <w:szCs w:val="22"/>
        </w:rPr>
        <w:t xml:space="preserve">6 del corriente mes </w:t>
      </w:r>
      <w:r w:rsidR="00936E9D" w:rsidRPr="00117BF8">
        <w:rPr>
          <w:rFonts w:ascii="Arial" w:hAnsi="Arial" w:cs="Arial"/>
          <w:sz w:val="22"/>
          <w:szCs w:val="22"/>
        </w:rPr>
        <w:t xml:space="preserve">se mantuvo </w:t>
      </w:r>
      <w:r w:rsidRPr="00117BF8">
        <w:rPr>
          <w:rFonts w:ascii="Arial" w:hAnsi="Arial" w:cs="Arial"/>
          <w:sz w:val="22"/>
          <w:szCs w:val="22"/>
        </w:rPr>
        <w:t xml:space="preserve">una reunión con los funcionarios provinciales Lucio Simpson y Mariano Moschione </w:t>
      </w:r>
      <w:r w:rsidR="00F2408B" w:rsidRPr="00117BF8">
        <w:rPr>
          <w:rFonts w:ascii="Arial" w:hAnsi="Arial" w:cs="Arial"/>
          <w:sz w:val="22"/>
          <w:szCs w:val="22"/>
        </w:rPr>
        <w:t>y por el BID participó Keisuke Sasaki. En la mima se analizaron las</w:t>
      </w:r>
      <w:r w:rsidRPr="00117BF8">
        <w:rPr>
          <w:rFonts w:ascii="Arial" w:hAnsi="Arial" w:cs="Arial"/>
          <w:sz w:val="22"/>
          <w:szCs w:val="22"/>
        </w:rPr>
        <w:t xml:space="preserve"> proyecciones fiscales a 10 años presentadas por la Provincia y una versión preliminar de la Proyección por mí elaborada con supuestos alternativas</w:t>
      </w:r>
      <w:r w:rsidR="00F2408B" w:rsidRPr="00117BF8">
        <w:rPr>
          <w:rFonts w:ascii="Arial" w:hAnsi="Arial" w:cs="Arial"/>
          <w:sz w:val="22"/>
          <w:szCs w:val="22"/>
        </w:rPr>
        <w:t>, los archivos que sustentaron estas proyecciones fueron entregados a los representantes de la Provincia, sus aportes se tratan en el presente informe.</w:t>
      </w:r>
    </w:p>
    <w:p w14:paraId="248952BB" w14:textId="77777777" w:rsidR="003C119F" w:rsidRPr="00117BF8" w:rsidRDefault="003C119F" w:rsidP="00117BF8">
      <w:pPr>
        <w:pStyle w:val="Heading1"/>
        <w:spacing w:before="120" w:after="180"/>
        <w:rPr>
          <w:rFonts w:ascii="Arial" w:hAnsi="Arial" w:cs="Arial"/>
          <w:sz w:val="22"/>
          <w:szCs w:val="22"/>
        </w:rPr>
      </w:pPr>
      <w:bookmarkStart w:id="13" w:name="_Toc494040307"/>
      <w:r w:rsidRPr="00117BF8">
        <w:rPr>
          <w:rFonts w:ascii="Arial" w:hAnsi="Arial" w:cs="Arial"/>
          <w:sz w:val="22"/>
          <w:szCs w:val="22"/>
        </w:rPr>
        <w:t>Aspectos Generales</w:t>
      </w:r>
      <w:bookmarkEnd w:id="13"/>
    </w:p>
    <w:p w14:paraId="43379DC9" w14:textId="77777777" w:rsidR="00B65261" w:rsidRPr="00117BF8" w:rsidRDefault="00B65261" w:rsidP="00117BF8">
      <w:pPr>
        <w:pStyle w:val="Heading2"/>
        <w:spacing w:before="0" w:after="180"/>
        <w:rPr>
          <w:rFonts w:ascii="Arial" w:hAnsi="Arial" w:cs="Arial"/>
          <w:sz w:val="22"/>
          <w:szCs w:val="22"/>
        </w:rPr>
      </w:pPr>
      <w:bookmarkStart w:id="14" w:name="_Toc494040308"/>
      <w:r w:rsidRPr="00117BF8">
        <w:rPr>
          <w:rFonts w:ascii="Arial" w:hAnsi="Arial" w:cs="Arial"/>
          <w:sz w:val="22"/>
          <w:szCs w:val="22"/>
        </w:rPr>
        <w:t>Características de la Provincia</w:t>
      </w:r>
      <w:bookmarkEnd w:id="14"/>
    </w:p>
    <w:p w14:paraId="47ACF74B" w14:textId="77777777" w:rsidR="005F1757" w:rsidRPr="00117BF8" w:rsidRDefault="005F1757" w:rsidP="00142F4E">
      <w:pPr>
        <w:pStyle w:val="hsa"/>
        <w:rPr>
          <w:rFonts w:ascii="Arial" w:hAnsi="Arial" w:cs="Arial"/>
          <w:sz w:val="22"/>
          <w:szCs w:val="22"/>
        </w:rPr>
      </w:pPr>
      <w:r w:rsidRPr="00117BF8">
        <w:rPr>
          <w:rFonts w:ascii="Arial" w:hAnsi="Arial" w:cs="Arial"/>
          <w:sz w:val="22"/>
          <w:szCs w:val="22"/>
        </w:rPr>
        <w:t xml:space="preserve">La provincia </w:t>
      </w:r>
      <w:r w:rsidR="00142F4E" w:rsidRPr="00117BF8">
        <w:rPr>
          <w:rFonts w:ascii="Arial" w:hAnsi="Arial" w:cs="Arial"/>
          <w:sz w:val="22"/>
          <w:szCs w:val="22"/>
        </w:rPr>
        <w:t xml:space="preserve">de Buenos Aires </w:t>
      </w:r>
      <w:r w:rsidRPr="00117BF8">
        <w:rPr>
          <w:rFonts w:ascii="Arial" w:hAnsi="Arial" w:cs="Arial"/>
          <w:sz w:val="22"/>
          <w:szCs w:val="22"/>
        </w:rPr>
        <w:t xml:space="preserve">es la </w:t>
      </w:r>
      <w:r w:rsidR="00142F4E" w:rsidRPr="00117BF8">
        <w:rPr>
          <w:rFonts w:ascii="Arial" w:hAnsi="Arial" w:cs="Arial"/>
          <w:sz w:val="22"/>
          <w:szCs w:val="22"/>
        </w:rPr>
        <w:t xml:space="preserve">mayor de </w:t>
      </w:r>
      <w:r w:rsidRPr="00117BF8">
        <w:rPr>
          <w:rFonts w:ascii="Arial" w:hAnsi="Arial" w:cs="Arial"/>
          <w:sz w:val="22"/>
          <w:szCs w:val="22"/>
        </w:rPr>
        <w:t xml:space="preserve">Argentina con una superficie de 304.907 kilómetros cuadrados. Se ubica en la parte central al este del país. </w:t>
      </w:r>
      <w:r w:rsidR="00777963" w:rsidRPr="00117BF8">
        <w:rPr>
          <w:rFonts w:ascii="Arial" w:hAnsi="Arial" w:cs="Arial"/>
          <w:sz w:val="22"/>
          <w:szCs w:val="22"/>
        </w:rPr>
        <w:t>Posee extensas costa</w:t>
      </w:r>
      <w:r w:rsidR="00142F4E" w:rsidRPr="00117BF8">
        <w:rPr>
          <w:rFonts w:ascii="Arial" w:hAnsi="Arial" w:cs="Arial"/>
          <w:sz w:val="22"/>
          <w:szCs w:val="22"/>
        </w:rPr>
        <w:t>s (</w:t>
      </w:r>
      <w:r w:rsidRPr="00117BF8">
        <w:rPr>
          <w:rFonts w:ascii="Arial" w:hAnsi="Arial" w:cs="Arial"/>
          <w:sz w:val="22"/>
          <w:szCs w:val="22"/>
        </w:rPr>
        <w:t>1.800 kilómetros</w:t>
      </w:r>
      <w:r w:rsidR="00142F4E" w:rsidRPr="00117BF8">
        <w:rPr>
          <w:rFonts w:ascii="Arial" w:hAnsi="Arial" w:cs="Arial"/>
          <w:sz w:val="22"/>
          <w:szCs w:val="22"/>
        </w:rPr>
        <w:t>)</w:t>
      </w:r>
      <w:r w:rsidRPr="00117BF8">
        <w:rPr>
          <w:rFonts w:ascii="Arial" w:hAnsi="Arial" w:cs="Arial"/>
          <w:sz w:val="22"/>
          <w:szCs w:val="22"/>
        </w:rPr>
        <w:t>, abarca áreas agrícolas fértiles de clima templado, aptas para la cría de ganado y una amplia variedad de actividades agrícolas</w:t>
      </w:r>
      <w:r w:rsidR="00142F4E" w:rsidRPr="00117BF8">
        <w:rPr>
          <w:rFonts w:ascii="Arial" w:hAnsi="Arial" w:cs="Arial"/>
          <w:sz w:val="22"/>
          <w:szCs w:val="22"/>
        </w:rPr>
        <w:t xml:space="preserve"> y posee </w:t>
      </w:r>
      <w:r w:rsidRPr="00117BF8">
        <w:rPr>
          <w:rFonts w:ascii="Arial" w:hAnsi="Arial" w:cs="Arial"/>
          <w:sz w:val="22"/>
          <w:szCs w:val="22"/>
        </w:rPr>
        <w:t xml:space="preserve">la zona más industrializada de Argentina. La capital de la Provincia es la ciudad de La Plata. </w:t>
      </w:r>
    </w:p>
    <w:p w14:paraId="5197D8D4" w14:textId="61251474" w:rsidR="005F1757" w:rsidRPr="00117BF8" w:rsidRDefault="00142F4E" w:rsidP="00142F4E">
      <w:pPr>
        <w:pStyle w:val="hsa"/>
        <w:rPr>
          <w:rFonts w:ascii="Arial" w:hAnsi="Arial" w:cs="Arial"/>
          <w:sz w:val="22"/>
          <w:szCs w:val="22"/>
        </w:rPr>
      </w:pPr>
      <w:r w:rsidRPr="00117BF8">
        <w:rPr>
          <w:rFonts w:ascii="Arial" w:hAnsi="Arial" w:cs="Arial"/>
          <w:sz w:val="22"/>
          <w:szCs w:val="22"/>
        </w:rPr>
        <w:t>A</w:t>
      </w:r>
      <w:r w:rsidR="005F1757" w:rsidRPr="00117BF8">
        <w:rPr>
          <w:rFonts w:ascii="Arial" w:hAnsi="Arial" w:cs="Arial"/>
          <w:sz w:val="22"/>
          <w:szCs w:val="22"/>
        </w:rPr>
        <w:t xml:space="preserve">proximadamente </w:t>
      </w:r>
      <w:r w:rsidRPr="00117BF8">
        <w:rPr>
          <w:rFonts w:ascii="Arial" w:hAnsi="Arial" w:cs="Arial"/>
          <w:sz w:val="22"/>
          <w:szCs w:val="22"/>
        </w:rPr>
        <w:t xml:space="preserve">la habitan </w:t>
      </w:r>
      <w:r w:rsidR="005F1757" w:rsidRPr="00117BF8">
        <w:rPr>
          <w:rFonts w:ascii="Arial" w:hAnsi="Arial" w:cs="Arial"/>
          <w:sz w:val="22"/>
          <w:szCs w:val="22"/>
        </w:rPr>
        <w:t xml:space="preserve">15,6 millones de </w:t>
      </w:r>
      <w:r w:rsidRPr="00117BF8">
        <w:rPr>
          <w:rFonts w:ascii="Arial" w:hAnsi="Arial" w:cs="Arial"/>
          <w:sz w:val="22"/>
          <w:szCs w:val="22"/>
        </w:rPr>
        <w:t>personas</w:t>
      </w:r>
      <w:r w:rsidR="005F1757" w:rsidRPr="00117BF8">
        <w:rPr>
          <w:rFonts w:ascii="Arial" w:hAnsi="Arial" w:cs="Arial"/>
          <w:sz w:val="22"/>
          <w:szCs w:val="22"/>
        </w:rPr>
        <w:t xml:space="preserve">, </w:t>
      </w:r>
      <w:r w:rsidRPr="00117BF8">
        <w:rPr>
          <w:rFonts w:ascii="Arial" w:hAnsi="Arial" w:cs="Arial"/>
          <w:sz w:val="22"/>
          <w:szCs w:val="22"/>
        </w:rPr>
        <w:t xml:space="preserve">que </w:t>
      </w:r>
      <w:r w:rsidR="005F1757" w:rsidRPr="00117BF8">
        <w:rPr>
          <w:rFonts w:ascii="Arial" w:hAnsi="Arial" w:cs="Arial"/>
          <w:sz w:val="22"/>
          <w:szCs w:val="22"/>
        </w:rPr>
        <w:t>r</w:t>
      </w:r>
      <w:r w:rsidRPr="00117BF8">
        <w:rPr>
          <w:rFonts w:ascii="Arial" w:hAnsi="Arial" w:cs="Arial"/>
          <w:sz w:val="22"/>
          <w:szCs w:val="22"/>
        </w:rPr>
        <w:t>epresenta</w:t>
      </w:r>
      <w:r w:rsidR="00777963" w:rsidRPr="00117BF8">
        <w:rPr>
          <w:rFonts w:ascii="Arial" w:hAnsi="Arial" w:cs="Arial"/>
          <w:sz w:val="22"/>
          <w:szCs w:val="22"/>
        </w:rPr>
        <w:t>n</w:t>
      </w:r>
      <w:r w:rsidRPr="00117BF8">
        <w:rPr>
          <w:rFonts w:ascii="Arial" w:hAnsi="Arial" w:cs="Arial"/>
          <w:sz w:val="22"/>
          <w:szCs w:val="22"/>
        </w:rPr>
        <w:t xml:space="preserve"> el 3</w:t>
      </w:r>
      <w:r w:rsidR="005F1757" w:rsidRPr="00117BF8">
        <w:rPr>
          <w:rFonts w:ascii="Arial" w:hAnsi="Arial" w:cs="Arial"/>
          <w:sz w:val="22"/>
          <w:szCs w:val="22"/>
        </w:rPr>
        <w:t xml:space="preserve">9% de </w:t>
      </w:r>
      <w:r w:rsidR="00777963" w:rsidRPr="00117BF8">
        <w:rPr>
          <w:rFonts w:ascii="Arial" w:hAnsi="Arial" w:cs="Arial"/>
          <w:sz w:val="22"/>
          <w:szCs w:val="22"/>
        </w:rPr>
        <w:t>la población total de Argentina,</w:t>
      </w:r>
      <w:r w:rsidR="005F1757" w:rsidRPr="00117BF8">
        <w:rPr>
          <w:rFonts w:ascii="Arial" w:hAnsi="Arial" w:cs="Arial"/>
          <w:sz w:val="22"/>
          <w:szCs w:val="22"/>
        </w:rPr>
        <w:t xml:space="preserve"> 63,5% de la población de la Provincia se concentra en el Conurbano Bonaerense</w:t>
      </w:r>
      <w:r w:rsidRPr="00117BF8">
        <w:rPr>
          <w:rFonts w:ascii="Arial" w:hAnsi="Arial" w:cs="Arial"/>
          <w:sz w:val="22"/>
          <w:szCs w:val="22"/>
        </w:rPr>
        <w:t xml:space="preserve"> (</w:t>
      </w:r>
      <w:r w:rsidR="00EF5D45" w:rsidRPr="00EF5D45">
        <w:rPr>
          <w:rFonts w:ascii="Arial" w:hAnsi="Arial" w:cs="Arial"/>
          <w:sz w:val="22"/>
          <w:szCs w:val="22"/>
        </w:rPr>
        <w:t>Área</w:t>
      </w:r>
      <w:r w:rsidRPr="00117BF8">
        <w:rPr>
          <w:rFonts w:ascii="Arial" w:hAnsi="Arial" w:cs="Arial"/>
          <w:sz w:val="22"/>
          <w:szCs w:val="22"/>
        </w:rPr>
        <w:t xml:space="preserve"> urbana alrededor de l</w:t>
      </w:r>
      <w:r w:rsidR="005F1757" w:rsidRPr="00117BF8">
        <w:rPr>
          <w:rFonts w:ascii="Arial" w:hAnsi="Arial" w:cs="Arial"/>
          <w:sz w:val="22"/>
          <w:szCs w:val="22"/>
        </w:rPr>
        <w:t xml:space="preserve">a Ciudad de Buenos Aires </w:t>
      </w:r>
      <w:r w:rsidRPr="00117BF8">
        <w:rPr>
          <w:rFonts w:ascii="Arial" w:hAnsi="Arial" w:cs="Arial"/>
          <w:sz w:val="22"/>
          <w:szCs w:val="22"/>
        </w:rPr>
        <w:t xml:space="preserve">que </w:t>
      </w:r>
      <w:r w:rsidR="005F1757" w:rsidRPr="00117BF8">
        <w:rPr>
          <w:rFonts w:ascii="Arial" w:hAnsi="Arial" w:cs="Arial"/>
          <w:sz w:val="22"/>
          <w:szCs w:val="22"/>
        </w:rPr>
        <w:t>no forma parte de la Provincia</w:t>
      </w:r>
      <w:r w:rsidRPr="00117BF8">
        <w:rPr>
          <w:rFonts w:ascii="Arial" w:hAnsi="Arial" w:cs="Arial"/>
          <w:sz w:val="22"/>
          <w:szCs w:val="22"/>
        </w:rPr>
        <w:t>)</w:t>
      </w:r>
      <w:r w:rsidR="005F1757" w:rsidRPr="00117BF8">
        <w:rPr>
          <w:rFonts w:ascii="Arial" w:hAnsi="Arial" w:cs="Arial"/>
          <w:sz w:val="22"/>
          <w:szCs w:val="22"/>
        </w:rPr>
        <w:t>.</w:t>
      </w:r>
    </w:p>
    <w:p w14:paraId="49661C06" w14:textId="77777777" w:rsidR="00502A78" w:rsidRPr="00117BF8" w:rsidRDefault="00502A78" w:rsidP="00142F4E">
      <w:pPr>
        <w:pStyle w:val="hsa"/>
        <w:rPr>
          <w:rFonts w:ascii="Arial" w:hAnsi="Arial" w:cs="Arial"/>
          <w:sz w:val="22"/>
          <w:szCs w:val="22"/>
        </w:rPr>
      </w:pPr>
      <w:r w:rsidRPr="00117BF8">
        <w:rPr>
          <w:rFonts w:ascii="Arial" w:hAnsi="Arial" w:cs="Arial"/>
          <w:sz w:val="22"/>
          <w:szCs w:val="22"/>
        </w:rPr>
        <w:t xml:space="preserve">Históricamente, la economía de la Provincia ha representado una porción significativa de la economía argentina, con una participación de aproximadamente el 36,0% del </w:t>
      </w:r>
      <w:r w:rsidR="00497C60" w:rsidRPr="00117BF8">
        <w:rPr>
          <w:rFonts w:ascii="Arial" w:hAnsi="Arial" w:cs="Arial"/>
          <w:sz w:val="22"/>
          <w:szCs w:val="22"/>
        </w:rPr>
        <w:t>PIB</w:t>
      </w:r>
      <w:r w:rsidRPr="00117BF8">
        <w:rPr>
          <w:rFonts w:ascii="Arial" w:hAnsi="Arial" w:cs="Arial"/>
          <w:sz w:val="22"/>
          <w:szCs w:val="22"/>
        </w:rPr>
        <w:t xml:space="preserve"> nacional en el período 2010-2013. </w:t>
      </w:r>
    </w:p>
    <w:p w14:paraId="6D4DF84E" w14:textId="77777777" w:rsidR="00502A78" w:rsidRPr="00117BF8" w:rsidRDefault="00502A78" w:rsidP="00142F4E">
      <w:pPr>
        <w:pStyle w:val="hsa"/>
        <w:rPr>
          <w:rFonts w:ascii="Arial" w:hAnsi="Arial" w:cs="Arial"/>
          <w:sz w:val="22"/>
          <w:szCs w:val="22"/>
        </w:rPr>
      </w:pPr>
      <w:r w:rsidRPr="00117BF8">
        <w:rPr>
          <w:rFonts w:ascii="Arial" w:hAnsi="Arial" w:cs="Arial"/>
          <w:sz w:val="22"/>
          <w:szCs w:val="22"/>
        </w:rPr>
        <w:t xml:space="preserve">Los sectores económicos más importantes de la Provincia en 2015, como porcentaje del PBG real total, fueron los siguientes: </w:t>
      </w:r>
    </w:p>
    <w:p w14:paraId="633BB847" w14:textId="668EA285" w:rsidR="00502A78" w:rsidRPr="00117BF8" w:rsidRDefault="00502A78" w:rsidP="00142F4E">
      <w:pPr>
        <w:pStyle w:val="hpun1"/>
        <w:rPr>
          <w:rFonts w:ascii="Arial" w:hAnsi="Arial" w:cs="Arial"/>
          <w:sz w:val="22"/>
          <w:szCs w:val="22"/>
        </w:rPr>
      </w:pPr>
      <w:r w:rsidRPr="00117BF8">
        <w:rPr>
          <w:rFonts w:ascii="Arial" w:hAnsi="Arial" w:cs="Arial"/>
          <w:sz w:val="22"/>
          <w:szCs w:val="22"/>
        </w:rPr>
        <w:t>In</w:t>
      </w:r>
      <w:r w:rsidR="00142F4E" w:rsidRPr="00117BF8">
        <w:rPr>
          <w:rFonts w:ascii="Arial" w:hAnsi="Arial" w:cs="Arial"/>
          <w:sz w:val="22"/>
          <w:szCs w:val="22"/>
        </w:rPr>
        <w:t>dustria manufacturera (25,8%)</w:t>
      </w:r>
    </w:p>
    <w:p w14:paraId="05196406" w14:textId="77777777" w:rsidR="00502A78" w:rsidRPr="00117BF8" w:rsidRDefault="00502A78" w:rsidP="00142F4E">
      <w:pPr>
        <w:pStyle w:val="hpun1"/>
        <w:rPr>
          <w:rFonts w:ascii="Arial" w:hAnsi="Arial" w:cs="Arial"/>
          <w:sz w:val="22"/>
          <w:szCs w:val="22"/>
        </w:rPr>
      </w:pPr>
      <w:r w:rsidRPr="00117BF8">
        <w:rPr>
          <w:rFonts w:ascii="Arial" w:hAnsi="Arial" w:cs="Arial"/>
          <w:sz w:val="22"/>
          <w:szCs w:val="22"/>
        </w:rPr>
        <w:t>Transporte, almacenam</w:t>
      </w:r>
      <w:r w:rsidR="00142F4E" w:rsidRPr="00117BF8">
        <w:rPr>
          <w:rFonts w:ascii="Arial" w:hAnsi="Arial" w:cs="Arial"/>
          <w:sz w:val="22"/>
          <w:szCs w:val="22"/>
        </w:rPr>
        <w:t>iento y comunicaciones (18,1%)</w:t>
      </w:r>
    </w:p>
    <w:p w14:paraId="3A1EE0B2" w14:textId="77777777" w:rsidR="00502A78" w:rsidRPr="00117BF8" w:rsidRDefault="00502A78" w:rsidP="00142F4E">
      <w:pPr>
        <w:pStyle w:val="hpun1"/>
        <w:rPr>
          <w:rFonts w:ascii="Arial" w:hAnsi="Arial" w:cs="Arial"/>
          <w:sz w:val="22"/>
          <w:szCs w:val="22"/>
        </w:rPr>
      </w:pPr>
      <w:r w:rsidRPr="00117BF8">
        <w:rPr>
          <w:rFonts w:ascii="Arial" w:hAnsi="Arial" w:cs="Arial"/>
          <w:sz w:val="22"/>
          <w:szCs w:val="22"/>
        </w:rPr>
        <w:t>Servicios inmobil</w:t>
      </w:r>
      <w:r w:rsidR="00142F4E" w:rsidRPr="00117BF8">
        <w:rPr>
          <w:rFonts w:ascii="Arial" w:hAnsi="Arial" w:cs="Arial"/>
          <w:sz w:val="22"/>
          <w:szCs w:val="22"/>
        </w:rPr>
        <w:t>iarios y empresariales (13,2%)</w:t>
      </w:r>
    </w:p>
    <w:p w14:paraId="4D9ECE13" w14:textId="77777777" w:rsidR="00502A78" w:rsidRPr="00117BF8" w:rsidRDefault="00502A78" w:rsidP="00142F4E">
      <w:pPr>
        <w:pStyle w:val="hpun1"/>
        <w:rPr>
          <w:rFonts w:ascii="Arial" w:hAnsi="Arial" w:cs="Arial"/>
          <w:sz w:val="22"/>
          <w:szCs w:val="22"/>
        </w:rPr>
      </w:pPr>
      <w:r w:rsidRPr="00117BF8">
        <w:rPr>
          <w:rFonts w:ascii="Arial" w:hAnsi="Arial" w:cs="Arial"/>
          <w:sz w:val="22"/>
          <w:szCs w:val="22"/>
        </w:rPr>
        <w:t>Comercio</w:t>
      </w:r>
      <w:r w:rsidR="00142F4E" w:rsidRPr="00117BF8">
        <w:rPr>
          <w:rFonts w:ascii="Arial" w:hAnsi="Arial" w:cs="Arial"/>
          <w:sz w:val="22"/>
          <w:szCs w:val="22"/>
        </w:rPr>
        <w:t xml:space="preserve"> minorista y mayorista (12,8%)</w:t>
      </w:r>
    </w:p>
    <w:p w14:paraId="60549EB2" w14:textId="77777777" w:rsidR="00502A78" w:rsidRPr="00117BF8" w:rsidRDefault="00142F4E" w:rsidP="00142F4E">
      <w:pPr>
        <w:pStyle w:val="hpun1"/>
        <w:rPr>
          <w:rFonts w:ascii="Arial" w:hAnsi="Arial" w:cs="Arial"/>
          <w:sz w:val="22"/>
          <w:szCs w:val="22"/>
        </w:rPr>
      </w:pPr>
      <w:r w:rsidRPr="00117BF8">
        <w:rPr>
          <w:rFonts w:ascii="Arial" w:hAnsi="Arial" w:cs="Arial"/>
          <w:sz w:val="22"/>
          <w:szCs w:val="22"/>
        </w:rPr>
        <w:t>Construcción (5,4%)</w:t>
      </w:r>
    </w:p>
    <w:p w14:paraId="2958ECCE" w14:textId="77777777" w:rsidR="00502A78" w:rsidRPr="00117BF8" w:rsidRDefault="00502A78" w:rsidP="00142F4E">
      <w:pPr>
        <w:pStyle w:val="hpun1"/>
        <w:rPr>
          <w:rFonts w:ascii="Arial" w:hAnsi="Arial" w:cs="Arial"/>
          <w:sz w:val="22"/>
          <w:szCs w:val="22"/>
        </w:rPr>
      </w:pPr>
      <w:r w:rsidRPr="00117BF8">
        <w:rPr>
          <w:rFonts w:ascii="Arial" w:hAnsi="Arial" w:cs="Arial"/>
          <w:sz w:val="22"/>
          <w:szCs w:val="22"/>
        </w:rPr>
        <w:t>Servicios de E</w:t>
      </w:r>
      <w:r w:rsidR="00142F4E" w:rsidRPr="00117BF8">
        <w:rPr>
          <w:rFonts w:ascii="Arial" w:hAnsi="Arial" w:cs="Arial"/>
          <w:sz w:val="22"/>
          <w:szCs w:val="22"/>
        </w:rPr>
        <w:t>ducación, Salud y Social (5,2%)</w:t>
      </w:r>
    </w:p>
    <w:p w14:paraId="53816204" w14:textId="77777777" w:rsidR="00502A78" w:rsidRPr="00117BF8" w:rsidRDefault="00502A78" w:rsidP="00142F4E">
      <w:pPr>
        <w:pStyle w:val="hpun1"/>
        <w:rPr>
          <w:rFonts w:ascii="Arial" w:hAnsi="Arial" w:cs="Arial"/>
          <w:sz w:val="22"/>
          <w:szCs w:val="22"/>
        </w:rPr>
      </w:pPr>
      <w:r w:rsidRPr="00117BF8">
        <w:rPr>
          <w:rFonts w:ascii="Arial" w:hAnsi="Arial" w:cs="Arial"/>
          <w:sz w:val="22"/>
          <w:szCs w:val="22"/>
        </w:rPr>
        <w:t>Agricultura, ganader</w:t>
      </w:r>
      <w:r w:rsidR="00142F4E" w:rsidRPr="00117BF8">
        <w:rPr>
          <w:rFonts w:ascii="Arial" w:hAnsi="Arial" w:cs="Arial"/>
          <w:sz w:val="22"/>
          <w:szCs w:val="22"/>
        </w:rPr>
        <w:t>ía, caza y silvicultura (4,3%)</w:t>
      </w:r>
    </w:p>
    <w:p w14:paraId="259A22B9" w14:textId="77777777" w:rsidR="00502A78" w:rsidRPr="00117BF8" w:rsidRDefault="00502A78" w:rsidP="005F1757">
      <w:pPr>
        <w:pStyle w:val="hsa"/>
        <w:rPr>
          <w:rFonts w:ascii="Arial" w:hAnsi="Arial" w:cs="Arial"/>
          <w:sz w:val="22"/>
          <w:szCs w:val="22"/>
        </w:rPr>
      </w:pPr>
    </w:p>
    <w:p w14:paraId="2532E2EF" w14:textId="77777777" w:rsidR="00502A78" w:rsidRPr="00117BF8" w:rsidRDefault="00502A78" w:rsidP="00502A78">
      <w:pPr>
        <w:pStyle w:val="hsa"/>
        <w:rPr>
          <w:rFonts w:ascii="Arial" w:hAnsi="Arial" w:cs="Arial"/>
          <w:sz w:val="22"/>
          <w:szCs w:val="22"/>
        </w:rPr>
      </w:pPr>
      <w:r w:rsidRPr="00117BF8">
        <w:rPr>
          <w:rFonts w:ascii="Arial" w:hAnsi="Arial" w:cs="Arial"/>
          <w:sz w:val="22"/>
          <w:szCs w:val="22"/>
        </w:rPr>
        <w:t>La significación económica de la PBA implica que la evolución de su PBG sea similar a la correspondiente a</w:t>
      </w:r>
      <w:r w:rsidR="00167F67" w:rsidRPr="00117BF8">
        <w:rPr>
          <w:rFonts w:ascii="Arial" w:hAnsi="Arial" w:cs="Arial"/>
          <w:sz w:val="22"/>
          <w:szCs w:val="22"/>
        </w:rPr>
        <w:t>l producto</w:t>
      </w:r>
      <w:r w:rsidRPr="00117BF8">
        <w:rPr>
          <w:rFonts w:ascii="Arial" w:hAnsi="Arial" w:cs="Arial"/>
          <w:sz w:val="22"/>
          <w:szCs w:val="22"/>
        </w:rPr>
        <w:t xml:space="preserve"> nacional, siendo </w:t>
      </w:r>
      <w:r w:rsidR="004A1FED" w:rsidRPr="00117BF8">
        <w:rPr>
          <w:rFonts w:ascii="Arial" w:hAnsi="Arial" w:cs="Arial"/>
          <w:sz w:val="22"/>
          <w:szCs w:val="22"/>
        </w:rPr>
        <w:t>coincidentes los p</w:t>
      </w:r>
      <w:r w:rsidRPr="00117BF8">
        <w:rPr>
          <w:rFonts w:ascii="Arial" w:hAnsi="Arial" w:cs="Arial"/>
          <w:sz w:val="22"/>
          <w:szCs w:val="22"/>
        </w:rPr>
        <w:t xml:space="preserve">eríodos de crecimiento y contracción. El Gráfico </w:t>
      </w:r>
      <w:r w:rsidR="00167F67" w:rsidRPr="00117BF8">
        <w:rPr>
          <w:rFonts w:ascii="Arial" w:hAnsi="Arial" w:cs="Arial"/>
          <w:sz w:val="22"/>
          <w:szCs w:val="22"/>
        </w:rPr>
        <w:t>1</w:t>
      </w:r>
      <w:r w:rsidRPr="00117BF8">
        <w:rPr>
          <w:rFonts w:ascii="Arial" w:hAnsi="Arial" w:cs="Arial"/>
          <w:sz w:val="22"/>
          <w:szCs w:val="22"/>
        </w:rPr>
        <w:t xml:space="preserve"> detalla la variación anual del PBG provincial </w:t>
      </w:r>
      <w:r w:rsidR="007E27C6" w:rsidRPr="00117BF8">
        <w:rPr>
          <w:rFonts w:ascii="Arial" w:hAnsi="Arial" w:cs="Arial"/>
          <w:sz w:val="22"/>
          <w:szCs w:val="22"/>
        </w:rPr>
        <w:t>desde 199</w:t>
      </w:r>
      <w:r w:rsidRPr="00117BF8">
        <w:rPr>
          <w:rFonts w:ascii="Arial" w:hAnsi="Arial" w:cs="Arial"/>
          <w:sz w:val="22"/>
          <w:szCs w:val="22"/>
        </w:rPr>
        <w:t>4</w:t>
      </w:r>
      <w:r w:rsidR="007E27C6" w:rsidRPr="00117BF8">
        <w:rPr>
          <w:rFonts w:ascii="Arial" w:hAnsi="Arial" w:cs="Arial"/>
          <w:sz w:val="22"/>
          <w:szCs w:val="22"/>
        </w:rPr>
        <w:t xml:space="preserve">. Luego de la caída del producto en el 2009, como consecuencia de la crisis internacional, </w:t>
      </w:r>
      <w:r w:rsidRPr="00117BF8">
        <w:rPr>
          <w:rFonts w:ascii="Arial" w:hAnsi="Arial" w:cs="Arial"/>
          <w:sz w:val="22"/>
          <w:szCs w:val="22"/>
        </w:rPr>
        <w:t>la evolución fue como sigue:</w:t>
      </w:r>
    </w:p>
    <w:tbl>
      <w:tblPr>
        <w:tblW w:w="8262" w:type="dxa"/>
        <w:tblInd w:w="55" w:type="dxa"/>
        <w:tblBorders>
          <w:top w:val="single" w:sz="8" w:space="0" w:color="7BA0CD"/>
          <w:left w:val="single" w:sz="8" w:space="0" w:color="7BA0CD"/>
          <w:bottom w:val="single" w:sz="8" w:space="0" w:color="7BA0CD"/>
          <w:right w:val="single" w:sz="8" w:space="0" w:color="7BA0CD"/>
        </w:tblBorders>
        <w:tblCellMar>
          <w:left w:w="70" w:type="dxa"/>
          <w:right w:w="70" w:type="dxa"/>
        </w:tblCellMar>
        <w:tblLook w:val="04A0" w:firstRow="1" w:lastRow="0" w:firstColumn="1" w:lastColumn="0" w:noHBand="0" w:noVBand="1"/>
      </w:tblPr>
      <w:tblGrid>
        <w:gridCol w:w="2142"/>
        <w:gridCol w:w="1020"/>
        <w:gridCol w:w="1020"/>
        <w:gridCol w:w="1020"/>
        <w:gridCol w:w="1020"/>
        <w:gridCol w:w="1020"/>
        <w:gridCol w:w="1020"/>
      </w:tblGrid>
      <w:tr w:rsidR="00BA271A" w:rsidRPr="004E6455" w14:paraId="14A4B00F" w14:textId="77777777" w:rsidTr="00FD20E8">
        <w:trPr>
          <w:trHeight w:val="255"/>
        </w:trPr>
        <w:tc>
          <w:tcPr>
            <w:tcW w:w="8262" w:type="dxa"/>
            <w:gridSpan w:val="7"/>
            <w:shd w:val="clear" w:color="auto" w:fill="0070C0"/>
            <w:noWrap/>
            <w:vAlign w:val="center"/>
          </w:tcPr>
          <w:p w14:paraId="2C38A87E" w14:textId="77777777" w:rsidR="00BA271A" w:rsidRPr="00117BF8" w:rsidRDefault="00BA271A" w:rsidP="000B3E59">
            <w:pPr>
              <w:pStyle w:val="TablaT"/>
              <w:rPr>
                <w:rFonts w:ascii="Arial" w:hAnsi="Arial" w:cs="Arial"/>
                <w:bCs/>
                <w:sz w:val="22"/>
                <w:szCs w:val="22"/>
              </w:rPr>
            </w:pPr>
            <w:bookmarkStart w:id="15" w:name="_Toc493861111"/>
            <w:r w:rsidRPr="00117BF8">
              <w:rPr>
                <w:rFonts w:ascii="Arial" w:hAnsi="Arial" w:cs="Arial"/>
                <w:bCs/>
                <w:sz w:val="22"/>
                <w:szCs w:val="22"/>
              </w:rPr>
              <w:t xml:space="preserve">Tabla </w:t>
            </w:r>
            <w:r w:rsidR="00525D76" w:rsidRPr="00117BF8">
              <w:rPr>
                <w:rFonts w:ascii="Arial" w:hAnsi="Arial" w:cs="Arial"/>
                <w:bCs/>
                <w:sz w:val="22"/>
                <w:szCs w:val="22"/>
              </w:rPr>
              <w:t>1</w:t>
            </w:r>
            <w:r w:rsidRPr="00117BF8">
              <w:rPr>
                <w:rFonts w:ascii="Arial" w:hAnsi="Arial" w:cs="Arial"/>
                <w:bCs/>
                <w:sz w:val="22"/>
                <w:szCs w:val="22"/>
              </w:rPr>
              <w:t xml:space="preserve"> - PBG a precios de mercado</w:t>
            </w:r>
            <w:r w:rsidR="008F32CE" w:rsidRPr="00117BF8">
              <w:rPr>
                <w:rFonts w:ascii="Arial" w:hAnsi="Arial" w:cs="Arial"/>
                <w:bCs/>
                <w:sz w:val="22"/>
                <w:szCs w:val="22"/>
              </w:rPr>
              <w:t xml:space="preserve"> – Precios </w:t>
            </w:r>
            <w:r w:rsidR="000B3E59" w:rsidRPr="00117BF8">
              <w:rPr>
                <w:rFonts w:ascii="Arial" w:hAnsi="Arial" w:cs="Arial"/>
                <w:bCs/>
                <w:sz w:val="22"/>
                <w:szCs w:val="22"/>
              </w:rPr>
              <w:t>c</w:t>
            </w:r>
            <w:r w:rsidR="008F32CE" w:rsidRPr="00117BF8">
              <w:rPr>
                <w:rFonts w:ascii="Arial" w:hAnsi="Arial" w:cs="Arial"/>
                <w:bCs/>
                <w:sz w:val="22"/>
                <w:szCs w:val="22"/>
              </w:rPr>
              <w:t>onstantes</w:t>
            </w:r>
            <w:bookmarkEnd w:id="15"/>
          </w:p>
        </w:tc>
      </w:tr>
      <w:tr w:rsidR="00BA271A" w:rsidRPr="004E6455" w14:paraId="0ADE42B2" w14:textId="77777777" w:rsidTr="00FD20E8">
        <w:trPr>
          <w:trHeight w:val="255"/>
        </w:trPr>
        <w:tc>
          <w:tcPr>
            <w:tcW w:w="2142" w:type="dxa"/>
            <w:shd w:val="clear" w:color="auto" w:fill="0070C0"/>
            <w:noWrap/>
            <w:vAlign w:val="center"/>
            <w:hideMark/>
          </w:tcPr>
          <w:p w14:paraId="0D02F177" w14:textId="77777777" w:rsidR="007E27C6" w:rsidRPr="00117BF8" w:rsidRDefault="007E27C6" w:rsidP="00BA271A">
            <w:pPr>
              <w:pStyle w:val="TablaE"/>
              <w:rPr>
                <w:rFonts w:ascii="Arial" w:hAnsi="Arial" w:cs="Arial"/>
                <w:color w:val="auto"/>
              </w:rPr>
            </w:pPr>
          </w:p>
        </w:tc>
        <w:tc>
          <w:tcPr>
            <w:tcW w:w="1020" w:type="dxa"/>
            <w:shd w:val="clear" w:color="auto" w:fill="0070C0"/>
            <w:noWrap/>
            <w:vAlign w:val="center"/>
            <w:hideMark/>
          </w:tcPr>
          <w:p w14:paraId="44F616AE" w14:textId="77777777" w:rsidR="007E27C6" w:rsidRPr="00117BF8" w:rsidRDefault="007E27C6" w:rsidP="00BA271A">
            <w:pPr>
              <w:pStyle w:val="TablaE"/>
              <w:rPr>
                <w:rFonts w:ascii="Arial" w:hAnsi="Arial" w:cs="Arial"/>
                <w:sz w:val="22"/>
                <w:szCs w:val="22"/>
              </w:rPr>
            </w:pPr>
            <w:r w:rsidRPr="00117BF8">
              <w:rPr>
                <w:rFonts w:ascii="Arial" w:hAnsi="Arial" w:cs="Arial"/>
                <w:sz w:val="22"/>
                <w:szCs w:val="22"/>
              </w:rPr>
              <w:t>2010</w:t>
            </w:r>
          </w:p>
        </w:tc>
        <w:tc>
          <w:tcPr>
            <w:tcW w:w="1020" w:type="dxa"/>
            <w:shd w:val="clear" w:color="auto" w:fill="0070C0"/>
            <w:noWrap/>
            <w:vAlign w:val="center"/>
            <w:hideMark/>
          </w:tcPr>
          <w:p w14:paraId="2FD0F0BF" w14:textId="77777777" w:rsidR="007E27C6" w:rsidRPr="00117BF8" w:rsidRDefault="007E27C6" w:rsidP="00BA271A">
            <w:pPr>
              <w:pStyle w:val="TablaE"/>
              <w:rPr>
                <w:rFonts w:ascii="Arial" w:hAnsi="Arial" w:cs="Arial"/>
                <w:sz w:val="22"/>
                <w:szCs w:val="22"/>
              </w:rPr>
            </w:pPr>
            <w:r w:rsidRPr="00117BF8">
              <w:rPr>
                <w:rFonts w:ascii="Arial" w:hAnsi="Arial" w:cs="Arial"/>
                <w:sz w:val="22"/>
                <w:szCs w:val="22"/>
              </w:rPr>
              <w:t>2011</w:t>
            </w:r>
          </w:p>
        </w:tc>
        <w:tc>
          <w:tcPr>
            <w:tcW w:w="1020" w:type="dxa"/>
            <w:shd w:val="clear" w:color="auto" w:fill="0070C0"/>
            <w:noWrap/>
            <w:vAlign w:val="center"/>
            <w:hideMark/>
          </w:tcPr>
          <w:p w14:paraId="7DB09990" w14:textId="77777777" w:rsidR="007E27C6" w:rsidRPr="00117BF8" w:rsidRDefault="007E27C6" w:rsidP="00BA271A">
            <w:pPr>
              <w:pStyle w:val="TablaE"/>
              <w:rPr>
                <w:rFonts w:ascii="Arial" w:hAnsi="Arial" w:cs="Arial"/>
                <w:sz w:val="22"/>
                <w:szCs w:val="22"/>
              </w:rPr>
            </w:pPr>
            <w:r w:rsidRPr="00117BF8">
              <w:rPr>
                <w:rFonts w:ascii="Arial" w:hAnsi="Arial" w:cs="Arial"/>
                <w:sz w:val="22"/>
                <w:szCs w:val="22"/>
              </w:rPr>
              <w:t>2012</w:t>
            </w:r>
          </w:p>
        </w:tc>
        <w:tc>
          <w:tcPr>
            <w:tcW w:w="1020" w:type="dxa"/>
            <w:shd w:val="clear" w:color="auto" w:fill="0070C0"/>
            <w:noWrap/>
            <w:vAlign w:val="center"/>
            <w:hideMark/>
          </w:tcPr>
          <w:p w14:paraId="7B0022C5" w14:textId="77777777" w:rsidR="007E27C6" w:rsidRPr="00117BF8" w:rsidRDefault="007E27C6" w:rsidP="00BA271A">
            <w:pPr>
              <w:pStyle w:val="TablaE"/>
              <w:rPr>
                <w:rFonts w:ascii="Arial" w:hAnsi="Arial" w:cs="Arial"/>
                <w:sz w:val="22"/>
                <w:szCs w:val="22"/>
              </w:rPr>
            </w:pPr>
            <w:r w:rsidRPr="00117BF8">
              <w:rPr>
                <w:rFonts w:ascii="Arial" w:hAnsi="Arial" w:cs="Arial"/>
                <w:sz w:val="22"/>
                <w:szCs w:val="22"/>
              </w:rPr>
              <w:t>2013</w:t>
            </w:r>
          </w:p>
        </w:tc>
        <w:tc>
          <w:tcPr>
            <w:tcW w:w="1020" w:type="dxa"/>
            <w:shd w:val="clear" w:color="auto" w:fill="0070C0"/>
            <w:noWrap/>
            <w:vAlign w:val="center"/>
            <w:hideMark/>
          </w:tcPr>
          <w:p w14:paraId="4F42CA57" w14:textId="77777777" w:rsidR="007E27C6" w:rsidRPr="00117BF8" w:rsidRDefault="007E27C6" w:rsidP="00BA271A">
            <w:pPr>
              <w:pStyle w:val="TablaE"/>
              <w:rPr>
                <w:rFonts w:ascii="Arial" w:hAnsi="Arial" w:cs="Arial"/>
                <w:sz w:val="22"/>
                <w:szCs w:val="22"/>
              </w:rPr>
            </w:pPr>
            <w:r w:rsidRPr="00117BF8">
              <w:rPr>
                <w:rFonts w:ascii="Arial" w:hAnsi="Arial" w:cs="Arial"/>
                <w:sz w:val="22"/>
                <w:szCs w:val="22"/>
              </w:rPr>
              <w:t>2014 *</w:t>
            </w:r>
          </w:p>
        </w:tc>
        <w:tc>
          <w:tcPr>
            <w:tcW w:w="1020" w:type="dxa"/>
            <w:shd w:val="clear" w:color="auto" w:fill="0070C0"/>
            <w:noWrap/>
            <w:vAlign w:val="center"/>
            <w:hideMark/>
          </w:tcPr>
          <w:p w14:paraId="50593F4D" w14:textId="77777777" w:rsidR="007E27C6" w:rsidRPr="00117BF8" w:rsidRDefault="007E27C6" w:rsidP="00BA271A">
            <w:pPr>
              <w:pStyle w:val="TablaE"/>
              <w:rPr>
                <w:rFonts w:ascii="Arial" w:hAnsi="Arial" w:cs="Arial"/>
                <w:sz w:val="22"/>
                <w:szCs w:val="22"/>
              </w:rPr>
            </w:pPr>
            <w:r w:rsidRPr="00117BF8">
              <w:rPr>
                <w:rFonts w:ascii="Arial" w:hAnsi="Arial" w:cs="Arial"/>
                <w:sz w:val="22"/>
                <w:szCs w:val="22"/>
              </w:rPr>
              <w:t>2015 *</w:t>
            </w:r>
          </w:p>
        </w:tc>
      </w:tr>
      <w:tr w:rsidR="007E27C6" w:rsidRPr="004E6455" w14:paraId="61EF6E6E" w14:textId="77777777" w:rsidTr="00FD20E8">
        <w:trPr>
          <w:trHeight w:val="300"/>
        </w:trPr>
        <w:tc>
          <w:tcPr>
            <w:tcW w:w="2142" w:type="dxa"/>
            <w:shd w:val="clear" w:color="auto" w:fill="auto"/>
            <w:noWrap/>
            <w:vAlign w:val="center"/>
            <w:hideMark/>
          </w:tcPr>
          <w:p w14:paraId="0BB1525A" w14:textId="77777777" w:rsidR="007E27C6" w:rsidRPr="00117BF8" w:rsidRDefault="007E27C6" w:rsidP="007E27C6">
            <w:pPr>
              <w:pStyle w:val="TablaC"/>
              <w:jc w:val="left"/>
              <w:rPr>
                <w:rFonts w:ascii="Arial" w:hAnsi="Arial" w:cs="Arial"/>
                <w:sz w:val="18"/>
                <w:szCs w:val="18"/>
              </w:rPr>
            </w:pPr>
            <w:r w:rsidRPr="00117BF8">
              <w:rPr>
                <w:rFonts w:ascii="Arial" w:hAnsi="Arial" w:cs="Arial"/>
                <w:sz w:val="18"/>
                <w:szCs w:val="18"/>
                <w:lang w:val="es-AR"/>
              </w:rPr>
              <w:t>Variación anual</w:t>
            </w:r>
          </w:p>
        </w:tc>
        <w:tc>
          <w:tcPr>
            <w:tcW w:w="1020" w:type="dxa"/>
            <w:shd w:val="clear" w:color="auto" w:fill="auto"/>
            <w:noWrap/>
            <w:vAlign w:val="center"/>
            <w:hideMark/>
          </w:tcPr>
          <w:p w14:paraId="2CB0F634" w14:textId="77777777" w:rsidR="007E27C6" w:rsidRPr="00117BF8" w:rsidRDefault="007E27C6" w:rsidP="007E27C6">
            <w:pPr>
              <w:pStyle w:val="TablaC"/>
              <w:rPr>
                <w:rFonts w:ascii="Arial" w:hAnsi="Arial" w:cs="Arial"/>
                <w:sz w:val="18"/>
                <w:szCs w:val="18"/>
              </w:rPr>
            </w:pPr>
            <w:r w:rsidRPr="00117BF8">
              <w:rPr>
                <w:rFonts w:ascii="Arial" w:hAnsi="Arial" w:cs="Arial"/>
                <w:sz w:val="18"/>
                <w:szCs w:val="18"/>
              </w:rPr>
              <w:t>13,8%</w:t>
            </w:r>
          </w:p>
        </w:tc>
        <w:tc>
          <w:tcPr>
            <w:tcW w:w="1020" w:type="dxa"/>
            <w:shd w:val="clear" w:color="auto" w:fill="auto"/>
            <w:noWrap/>
            <w:vAlign w:val="center"/>
            <w:hideMark/>
          </w:tcPr>
          <w:p w14:paraId="1BE1E283" w14:textId="77777777" w:rsidR="007E27C6" w:rsidRPr="00117BF8" w:rsidRDefault="007E27C6" w:rsidP="007E27C6">
            <w:pPr>
              <w:pStyle w:val="TablaC"/>
              <w:rPr>
                <w:rFonts w:ascii="Arial" w:hAnsi="Arial" w:cs="Arial"/>
                <w:sz w:val="18"/>
                <w:szCs w:val="18"/>
              </w:rPr>
            </w:pPr>
            <w:r w:rsidRPr="00117BF8">
              <w:rPr>
                <w:rFonts w:ascii="Arial" w:hAnsi="Arial" w:cs="Arial"/>
                <w:sz w:val="18"/>
                <w:szCs w:val="18"/>
              </w:rPr>
              <w:t>10,1%</w:t>
            </w:r>
          </w:p>
        </w:tc>
        <w:tc>
          <w:tcPr>
            <w:tcW w:w="1020" w:type="dxa"/>
            <w:shd w:val="clear" w:color="auto" w:fill="auto"/>
            <w:noWrap/>
            <w:vAlign w:val="center"/>
            <w:hideMark/>
          </w:tcPr>
          <w:p w14:paraId="43BB8937" w14:textId="77777777" w:rsidR="007E27C6" w:rsidRPr="00117BF8" w:rsidRDefault="007E27C6" w:rsidP="007E27C6">
            <w:pPr>
              <w:pStyle w:val="TablaC"/>
              <w:rPr>
                <w:rFonts w:ascii="Arial" w:hAnsi="Arial" w:cs="Arial"/>
                <w:sz w:val="18"/>
                <w:szCs w:val="18"/>
              </w:rPr>
            </w:pPr>
            <w:r w:rsidRPr="00117BF8">
              <w:rPr>
                <w:rFonts w:ascii="Arial" w:hAnsi="Arial" w:cs="Arial"/>
                <w:sz w:val="18"/>
                <w:szCs w:val="18"/>
              </w:rPr>
              <w:t>3,5%</w:t>
            </w:r>
          </w:p>
        </w:tc>
        <w:tc>
          <w:tcPr>
            <w:tcW w:w="1020" w:type="dxa"/>
            <w:shd w:val="clear" w:color="auto" w:fill="auto"/>
            <w:noWrap/>
            <w:vAlign w:val="center"/>
            <w:hideMark/>
          </w:tcPr>
          <w:p w14:paraId="0C8BE3B7" w14:textId="77777777" w:rsidR="007E27C6" w:rsidRPr="00117BF8" w:rsidRDefault="007E27C6" w:rsidP="007E27C6">
            <w:pPr>
              <w:pStyle w:val="TablaC"/>
              <w:rPr>
                <w:rFonts w:ascii="Arial" w:hAnsi="Arial" w:cs="Arial"/>
                <w:sz w:val="18"/>
                <w:szCs w:val="18"/>
              </w:rPr>
            </w:pPr>
            <w:r w:rsidRPr="00117BF8">
              <w:rPr>
                <w:rFonts w:ascii="Arial" w:hAnsi="Arial" w:cs="Arial"/>
                <w:sz w:val="18"/>
                <w:szCs w:val="18"/>
              </w:rPr>
              <w:t>3,2%</w:t>
            </w:r>
          </w:p>
        </w:tc>
        <w:tc>
          <w:tcPr>
            <w:tcW w:w="1020" w:type="dxa"/>
            <w:shd w:val="clear" w:color="auto" w:fill="auto"/>
            <w:noWrap/>
            <w:vAlign w:val="center"/>
            <w:hideMark/>
          </w:tcPr>
          <w:p w14:paraId="6DABAA0F" w14:textId="77777777" w:rsidR="007E27C6" w:rsidRPr="00117BF8" w:rsidRDefault="007E27C6" w:rsidP="007E27C6">
            <w:pPr>
              <w:pStyle w:val="TablaC"/>
              <w:rPr>
                <w:rFonts w:ascii="Arial" w:hAnsi="Arial" w:cs="Arial"/>
                <w:sz w:val="18"/>
                <w:szCs w:val="18"/>
              </w:rPr>
            </w:pPr>
            <w:r w:rsidRPr="00117BF8">
              <w:rPr>
                <w:rFonts w:ascii="Arial" w:hAnsi="Arial" w:cs="Arial"/>
                <w:sz w:val="18"/>
                <w:szCs w:val="18"/>
              </w:rPr>
              <w:t>0,4%</w:t>
            </w:r>
          </w:p>
        </w:tc>
        <w:tc>
          <w:tcPr>
            <w:tcW w:w="1020" w:type="dxa"/>
            <w:shd w:val="clear" w:color="auto" w:fill="auto"/>
            <w:noWrap/>
            <w:vAlign w:val="center"/>
            <w:hideMark/>
          </w:tcPr>
          <w:p w14:paraId="6DA805B2" w14:textId="77777777" w:rsidR="007E27C6" w:rsidRPr="00117BF8" w:rsidRDefault="007E27C6" w:rsidP="007E27C6">
            <w:pPr>
              <w:pStyle w:val="TablaC"/>
              <w:rPr>
                <w:rFonts w:ascii="Arial" w:hAnsi="Arial" w:cs="Arial"/>
                <w:sz w:val="18"/>
                <w:szCs w:val="18"/>
              </w:rPr>
            </w:pPr>
            <w:r w:rsidRPr="00117BF8">
              <w:rPr>
                <w:rFonts w:ascii="Arial" w:hAnsi="Arial" w:cs="Arial"/>
                <w:sz w:val="18"/>
                <w:szCs w:val="18"/>
              </w:rPr>
              <w:t>1,1%</w:t>
            </w:r>
          </w:p>
        </w:tc>
      </w:tr>
    </w:tbl>
    <w:p w14:paraId="0CC6F093" w14:textId="5B3F40FA" w:rsidR="00502A78" w:rsidRPr="00117BF8" w:rsidRDefault="007E27C6" w:rsidP="00117BF8">
      <w:pPr>
        <w:pStyle w:val="Hfuente"/>
      </w:pPr>
      <w:r w:rsidRPr="00117BF8">
        <w:rPr>
          <w:rFonts w:ascii="Arial" w:hAnsi="Arial" w:cs="Arial"/>
          <w:sz w:val="18"/>
          <w:szCs w:val="18"/>
          <w:lang w:val="es-AR" w:eastAsia="es-AR"/>
        </w:rPr>
        <w:t>(*) Datos provisorios. Año 2013 datos preliminares.</w:t>
      </w:r>
      <w:r w:rsidRPr="00117BF8">
        <w:rPr>
          <w:rFonts w:ascii="Arial" w:hAnsi="Arial" w:cs="Arial"/>
          <w:sz w:val="18"/>
          <w:szCs w:val="18"/>
          <w:vertAlign w:val="superscript"/>
          <w:lang w:val="es-AR" w:eastAsia="es-AR"/>
        </w:rPr>
        <w:t xml:space="preserve">1 </w:t>
      </w:r>
      <w:r w:rsidRPr="00117BF8">
        <w:rPr>
          <w:rFonts w:ascii="Arial" w:hAnsi="Arial" w:cs="Arial"/>
          <w:sz w:val="18"/>
          <w:szCs w:val="18"/>
          <w:lang w:val="es-AR" w:eastAsia="es-AR"/>
        </w:rPr>
        <w:t>Incluye IVA e impuestos específicos. Son precios de mercado "aproximados" porque no se han podido restar los SIFMI (no se pudieron discriminar a nivel provincial). Fuente: Dirección Provincial de Estadística.</w:t>
      </w:r>
    </w:p>
    <w:p w14:paraId="4708010F" w14:textId="77777777" w:rsidR="00142F4E" w:rsidRPr="00117BF8" w:rsidRDefault="00142F4E" w:rsidP="00502A78">
      <w:pPr>
        <w:pStyle w:val="hsa"/>
        <w:rPr>
          <w:rFonts w:ascii="Arial" w:hAnsi="Arial" w:cs="Arial"/>
          <w:sz w:val="22"/>
          <w:szCs w:val="22"/>
        </w:rPr>
      </w:pPr>
      <w:r w:rsidRPr="00117BF8">
        <w:rPr>
          <w:rFonts w:ascii="Arial" w:hAnsi="Arial" w:cs="Arial"/>
          <w:sz w:val="22"/>
          <w:szCs w:val="22"/>
        </w:rPr>
        <w:t xml:space="preserve">Luego de la profunda crisis que afectó a la Nación y, por supuesto, a la Provincia </w:t>
      </w:r>
      <w:r w:rsidR="00167F67" w:rsidRPr="00117BF8">
        <w:rPr>
          <w:rFonts w:ascii="Arial" w:hAnsi="Arial" w:cs="Arial"/>
          <w:sz w:val="22"/>
          <w:szCs w:val="22"/>
        </w:rPr>
        <w:t xml:space="preserve">entre 1998 y 2002, </w:t>
      </w:r>
      <w:r w:rsidRPr="00117BF8">
        <w:rPr>
          <w:rFonts w:ascii="Arial" w:hAnsi="Arial" w:cs="Arial"/>
          <w:sz w:val="22"/>
          <w:szCs w:val="22"/>
        </w:rPr>
        <w:t xml:space="preserve">comienza una etapa de fuerte </w:t>
      </w:r>
      <w:r w:rsidR="00695D34" w:rsidRPr="00117BF8">
        <w:rPr>
          <w:rFonts w:ascii="Arial" w:hAnsi="Arial" w:cs="Arial"/>
          <w:sz w:val="22"/>
          <w:szCs w:val="22"/>
        </w:rPr>
        <w:t>reactivación</w:t>
      </w:r>
      <w:r w:rsidRPr="00117BF8">
        <w:rPr>
          <w:rFonts w:ascii="Arial" w:hAnsi="Arial" w:cs="Arial"/>
          <w:sz w:val="22"/>
          <w:szCs w:val="22"/>
        </w:rPr>
        <w:t xml:space="preserve"> y luego crecimiento</w:t>
      </w:r>
      <w:r w:rsidR="00167F67" w:rsidRPr="00117BF8">
        <w:rPr>
          <w:rFonts w:ascii="Arial" w:hAnsi="Arial" w:cs="Arial"/>
          <w:sz w:val="22"/>
          <w:szCs w:val="22"/>
        </w:rPr>
        <w:t>. A partir del año 2012 el crecimiento se aminora</w:t>
      </w:r>
      <w:r w:rsidR="000B3E59" w:rsidRPr="00117BF8">
        <w:rPr>
          <w:rFonts w:ascii="Arial" w:hAnsi="Arial" w:cs="Arial"/>
          <w:sz w:val="22"/>
          <w:szCs w:val="22"/>
        </w:rPr>
        <w:t>. No se han publicado los datos para el año 2016, considerando el ITAE de la provincia se puede estimar una caída del 2,3%,</w:t>
      </w:r>
      <w:r w:rsidR="000B3E59" w:rsidRPr="00117BF8">
        <w:rPr>
          <w:rStyle w:val="FootnoteReference"/>
          <w:rFonts w:ascii="Arial" w:hAnsi="Arial" w:cs="Arial"/>
          <w:sz w:val="22"/>
          <w:szCs w:val="22"/>
        </w:rPr>
        <w:footnoteReference w:id="5"/>
      </w:r>
      <w:r w:rsidR="000B3E59" w:rsidRPr="00117BF8">
        <w:rPr>
          <w:rFonts w:ascii="Arial" w:hAnsi="Arial" w:cs="Arial"/>
          <w:sz w:val="22"/>
          <w:szCs w:val="22"/>
        </w:rPr>
        <w:t xml:space="preserve"> y el PIB nacional cayó 2,2%.</w:t>
      </w:r>
    </w:p>
    <w:p w14:paraId="17BD842C" w14:textId="77777777" w:rsidR="00502A78" w:rsidRPr="00117BF8" w:rsidRDefault="00502A78" w:rsidP="00117BF8">
      <w:pPr>
        <w:pStyle w:val="hsa3"/>
        <w:spacing w:after="120"/>
        <w:jc w:val="center"/>
        <w:rPr>
          <w:rFonts w:ascii="Arial" w:hAnsi="Arial" w:cs="Arial"/>
          <w:sz w:val="20"/>
        </w:rPr>
      </w:pPr>
      <w:bookmarkStart w:id="16" w:name="_Toc493781692"/>
      <w:r w:rsidRPr="00117BF8">
        <w:rPr>
          <w:rFonts w:ascii="Arial" w:hAnsi="Arial" w:cs="Arial"/>
          <w:sz w:val="20"/>
        </w:rPr>
        <w:t xml:space="preserve">Gráfico </w:t>
      </w:r>
      <w:r w:rsidR="00525D76" w:rsidRPr="00117BF8">
        <w:rPr>
          <w:rFonts w:ascii="Arial" w:hAnsi="Arial" w:cs="Arial"/>
          <w:sz w:val="20"/>
        </w:rPr>
        <w:t>1</w:t>
      </w:r>
      <w:r w:rsidRPr="00117BF8">
        <w:rPr>
          <w:rFonts w:ascii="Arial" w:hAnsi="Arial" w:cs="Arial"/>
          <w:sz w:val="20"/>
        </w:rPr>
        <w:t xml:space="preserve"> – Variación Anual del PBG</w:t>
      </w:r>
      <w:r w:rsidR="008F32CE" w:rsidRPr="00117BF8">
        <w:rPr>
          <w:rFonts w:ascii="Arial" w:hAnsi="Arial" w:cs="Arial"/>
          <w:sz w:val="20"/>
        </w:rPr>
        <w:t xml:space="preserve"> (A precios Constantes)</w:t>
      </w:r>
      <w:bookmarkEnd w:id="16"/>
    </w:p>
    <w:p w14:paraId="5AD8E7F4" w14:textId="4F881166" w:rsidR="00BA271A" w:rsidRPr="00117BF8" w:rsidRDefault="00117BF8" w:rsidP="005F1757">
      <w:pPr>
        <w:pStyle w:val="hsa"/>
        <w:rPr>
          <w:rFonts w:ascii="Arial" w:hAnsi="Arial" w:cs="Arial"/>
        </w:rPr>
      </w:pPr>
      <w:r w:rsidRPr="00117BF8">
        <w:rPr>
          <w:rFonts w:ascii="Arial" w:hAnsi="Arial" w:cs="Arial"/>
        </w:rPr>
        <w:pict w14:anchorId="2BBC64D0">
          <v:shape id="_x0000_i1031" type="#_x0000_t75" style="width:423.85pt;height:276.75pt">
            <v:imagedata r:id="rId22" o:title=""/>
          </v:shape>
        </w:pict>
      </w:r>
      <w:r w:rsidR="00BA271A" w:rsidRPr="00117BF8">
        <w:rPr>
          <w:rFonts w:ascii="Arial" w:hAnsi="Arial" w:cs="Arial"/>
          <w:sz w:val="18"/>
          <w:szCs w:val="18"/>
          <w:lang w:val="es-AR" w:eastAsia="es-AR"/>
        </w:rPr>
        <w:t>Fuente: Dirección Provincial de Estadística.</w:t>
      </w:r>
    </w:p>
    <w:p w14:paraId="4E477327" w14:textId="77777777" w:rsidR="00284D95" w:rsidRPr="00117BF8" w:rsidRDefault="00284D95" w:rsidP="00117BF8">
      <w:pPr>
        <w:pStyle w:val="Heading2"/>
        <w:spacing w:before="0" w:after="180"/>
        <w:rPr>
          <w:rFonts w:ascii="Arial" w:hAnsi="Arial" w:cs="Arial"/>
          <w:sz w:val="22"/>
          <w:szCs w:val="22"/>
        </w:rPr>
      </w:pPr>
      <w:bookmarkStart w:id="17" w:name="_Ref492143228"/>
      <w:bookmarkStart w:id="18" w:name="_Ref492147207"/>
      <w:bookmarkStart w:id="19" w:name="_Toc494040309"/>
      <w:r w:rsidRPr="00117BF8">
        <w:rPr>
          <w:rFonts w:ascii="Arial" w:hAnsi="Arial" w:cs="Arial"/>
          <w:sz w:val="22"/>
          <w:szCs w:val="22"/>
        </w:rPr>
        <w:t>Contexto</w:t>
      </w:r>
      <w:bookmarkEnd w:id="17"/>
      <w:bookmarkEnd w:id="18"/>
      <w:bookmarkEnd w:id="19"/>
    </w:p>
    <w:p w14:paraId="26196E25" w14:textId="77777777" w:rsidR="00570AD1" w:rsidRPr="00117BF8" w:rsidRDefault="00570AD1" w:rsidP="00570AD1">
      <w:pPr>
        <w:pStyle w:val="hsa"/>
        <w:rPr>
          <w:rFonts w:ascii="Arial" w:hAnsi="Arial" w:cs="Arial"/>
          <w:sz w:val="22"/>
          <w:szCs w:val="22"/>
        </w:rPr>
      </w:pPr>
      <w:r w:rsidRPr="00117BF8">
        <w:rPr>
          <w:rFonts w:ascii="Arial" w:hAnsi="Arial" w:cs="Arial"/>
          <w:sz w:val="22"/>
          <w:szCs w:val="22"/>
        </w:rPr>
        <w:t xml:space="preserve">La PBA, al igual que el resto de las provincias, tiene jurisdicción general sobre asuntos de interés puramente local o provincial, incluyendo, entre otros: </w:t>
      </w:r>
    </w:p>
    <w:p w14:paraId="38A34627" w14:textId="77777777" w:rsidR="00570AD1" w:rsidRPr="00117BF8" w:rsidRDefault="00570AD1" w:rsidP="00570AD1">
      <w:pPr>
        <w:pStyle w:val="hpun1"/>
        <w:rPr>
          <w:rFonts w:ascii="Arial" w:hAnsi="Arial" w:cs="Arial"/>
          <w:sz w:val="22"/>
          <w:szCs w:val="22"/>
        </w:rPr>
      </w:pPr>
      <w:r w:rsidRPr="00117BF8">
        <w:rPr>
          <w:rFonts w:ascii="Arial" w:hAnsi="Arial" w:cs="Arial"/>
          <w:sz w:val="22"/>
          <w:szCs w:val="22"/>
        </w:rPr>
        <w:t xml:space="preserve">La salud y la educación, </w:t>
      </w:r>
    </w:p>
    <w:p w14:paraId="6AC70F4C" w14:textId="77777777" w:rsidR="00570AD1" w:rsidRPr="00117BF8" w:rsidRDefault="00570AD1" w:rsidP="00570AD1">
      <w:pPr>
        <w:pStyle w:val="hpun1"/>
        <w:rPr>
          <w:rFonts w:ascii="Arial" w:hAnsi="Arial" w:cs="Arial"/>
          <w:sz w:val="22"/>
          <w:szCs w:val="22"/>
        </w:rPr>
      </w:pPr>
      <w:r w:rsidRPr="00117BF8">
        <w:rPr>
          <w:rFonts w:ascii="Arial" w:hAnsi="Arial" w:cs="Arial"/>
          <w:sz w:val="22"/>
          <w:szCs w:val="22"/>
        </w:rPr>
        <w:t xml:space="preserve">La policía y los tribunales provinciales y </w:t>
      </w:r>
    </w:p>
    <w:p w14:paraId="71A2BB3C" w14:textId="77777777" w:rsidR="00570AD1" w:rsidRPr="00117BF8" w:rsidRDefault="00570AD1" w:rsidP="00570AD1">
      <w:pPr>
        <w:pStyle w:val="hpun1"/>
        <w:rPr>
          <w:rFonts w:ascii="Arial" w:hAnsi="Arial" w:cs="Arial"/>
          <w:sz w:val="22"/>
          <w:szCs w:val="22"/>
        </w:rPr>
      </w:pPr>
      <w:r w:rsidRPr="00117BF8">
        <w:rPr>
          <w:rFonts w:ascii="Arial" w:hAnsi="Arial" w:cs="Arial"/>
          <w:sz w:val="22"/>
          <w:szCs w:val="22"/>
        </w:rPr>
        <w:t>La obtención de créditos, sujeto a aprobación y control nacional,</w:t>
      </w:r>
      <w:r w:rsidR="000B3E59" w:rsidRPr="00117BF8">
        <w:rPr>
          <w:rFonts w:ascii="Arial" w:hAnsi="Arial" w:cs="Arial"/>
          <w:sz w:val="22"/>
          <w:szCs w:val="22"/>
        </w:rPr>
        <w:t xml:space="preserve"> </w:t>
      </w:r>
      <w:r w:rsidRPr="00117BF8">
        <w:rPr>
          <w:rFonts w:ascii="Arial" w:hAnsi="Arial" w:cs="Arial"/>
          <w:sz w:val="22"/>
          <w:szCs w:val="22"/>
        </w:rPr>
        <w:t>aunque el gobierno federal no garantiza, ni es responsable de las obligaciones financieras de ninguna provincia.</w:t>
      </w:r>
      <w:r w:rsidR="000B3E59" w:rsidRPr="00117BF8">
        <w:rPr>
          <w:rFonts w:ascii="Arial" w:hAnsi="Arial" w:cs="Arial"/>
          <w:sz w:val="22"/>
          <w:szCs w:val="22"/>
        </w:rPr>
        <w:t xml:space="preserve"> La limitación respecto a garantías no es aplicable a préstamos otorgados por OMC.</w:t>
      </w:r>
    </w:p>
    <w:p w14:paraId="0AF5EAE8" w14:textId="77777777" w:rsidR="000931D1" w:rsidRPr="00117BF8" w:rsidRDefault="000931D1" w:rsidP="00570AD1">
      <w:pPr>
        <w:pStyle w:val="hpun1"/>
        <w:rPr>
          <w:rFonts w:ascii="Arial" w:hAnsi="Arial" w:cs="Arial"/>
          <w:sz w:val="22"/>
          <w:szCs w:val="22"/>
        </w:rPr>
      </w:pPr>
      <w:r w:rsidRPr="00117BF8">
        <w:rPr>
          <w:rFonts w:ascii="Arial" w:hAnsi="Arial" w:cs="Arial"/>
          <w:sz w:val="22"/>
          <w:szCs w:val="22"/>
        </w:rPr>
        <w:t>La Provincia tiene a su cargo servicios sociales y económicos, entre ellos la construcción y mantenimiento de obras de drenaje, pluviales y viales como las previstas en los programas que originan el presente informe.</w:t>
      </w:r>
    </w:p>
    <w:p w14:paraId="17416E5F" w14:textId="77777777" w:rsidR="005B18C0" w:rsidRPr="00117BF8" w:rsidRDefault="00570AD1" w:rsidP="00284D95">
      <w:pPr>
        <w:pStyle w:val="hsa"/>
        <w:rPr>
          <w:rFonts w:ascii="Arial" w:hAnsi="Arial" w:cs="Arial"/>
          <w:sz w:val="22"/>
          <w:szCs w:val="22"/>
        </w:rPr>
      </w:pPr>
      <w:r w:rsidRPr="00117BF8">
        <w:rPr>
          <w:rFonts w:ascii="Arial" w:hAnsi="Arial" w:cs="Arial"/>
          <w:sz w:val="22"/>
          <w:szCs w:val="22"/>
        </w:rPr>
        <w:t>Estos aspectos, así como otros servicios públicos, son determinantes en la composición del gasto del estado provincial.</w:t>
      </w:r>
    </w:p>
    <w:p w14:paraId="4433ECCE" w14:textId="321051B1" w:rsidR="00570AD1" w:rsidRPr="00117BF8" w:rsidRDefault="00570AD1" w:rsidP="00284D95">
      <w:pPr>
        <w:pStyle w:val="hsa"/>
        <w:rPr>
          <w:rFonts w:ascii="Arial" w:hAnsi="Arial" w:cs="Arial"/>
          <w:sz w:val="22"/>
          <w:szCs w:val="22"/>
        </w:rPr>
      </w:pPr>
      <w:r w:rsidRPr="00117BF8">
        <w:rPr>
          <w:rFonts w:ascii="Arial" w:hAnsi="Arial" w:cs="Arial"/>
          <w:sz w:val="22"/>
          <w:szCs w:val="22"/>
        </w:rPr>
        <w:t>Los ingresos provinciales dependen en gran medida de un sistema de recaudación fiscal centralizado, administrado por el gobierno federal. Este si</w:t>
      </w:r>
      <w:r w:rsidR="005F1757" w:rsidRPr="00117BF8">
        <w:rPr>
          <w:rFonts w:ascii="Arial" w:hAnsi="Arial" w:cs="Arial"/>
          <w:sz w:val="22"/>
          <w:szCs w:val="22"/>
        </w:rPr>
        <w:t>stema se denomina Régimen de Co</w:t>
      </w:r>
      <w:r w:rsidRPr="00117BF8">
        <w:rPr>
          <w:rFonts w:ascii="Arial" w:hAnsi="Arial" w:cs="Arial"/>
          <w:sz w:val="22"/>
          <w:szCs w:val="22"/>
        </w:rPr>
        <w:t>participación Federal de Impuestos, por medio del cual las provincias delegan su facultad constitucional de recaudar ciertos impuestos al gobierno nacional</w:t>
      </w:r>
      <w:r w:rsidR="00251EAE" w:rsidRPr="00117BF8">
        <w:rPr>
          <w:rFonts w:ascii="Arial" w:hAnsi="Arial" w:cs="Arial"/>
          <w:sz w:val="22"/>
          <w:szCs w:val="22"/>
        </w:rPr>
        <w:t xml:space="preserve"> </w:t>
      </w:r>
      <w:r w:rsidRPr="00117BF8">
        <w:rPr>
          <w:rFonts w:ascii="Arial" w:hAnsi="Arial" w:cs="Arial"/>
          <w:sz w:val="22"/>
          <w:szCs w:val="22"/>
        </w:rPr>
        <w:t>a cambio de la transferencia de una parte de los recursos tributari</w:t>
      </w:r>
      <w:r w:rsidR="005F1757" w:rsidRPr="00117BF8">
        <w:rPr>
          <w:rFonts w:ascii="Arial" w:hAnsi="Arial" w:cs="Arial"/>
          <w:sz w:val="22"/>
          <w:szCs w:val="22"/>
        </w:rPr>
        <w:t>os recaudados. El régimen de Co</w:t>
      </w:r>
      <w:r w:rsidRPr="00117BF8">
        <w:rPr>
          <w:rFonts w:ascii="Arial" w:hAnsi="Arial" w:cs="Arial"/>
          <w:sz w:val="22"/>
          <w:szCs w:val="22"/>
        </w:rPr>
        <w:t xml:space="preserve">participación ha sido modificado en varias ocasiones, y en </w:t>
      </w:r>
      <w:r w:rsidR="005F1757" w:rsidRPr="00117BF8">
        <w:rPr>
          <w:rFonts w:ascii="Arial" w:hAnsi="Arial" w:cs="Arial"/>
          <w:sz w:val="22"/>
          <w:szCs w:val="22"/>
        </w:rPr>
        <w:t>la actualidad los impuestos "co</w:t>
      </w:r>
      <w:r w:rsidRPr="00117BF8">
        <w:rPr>
          <w:rFonts w:ascii="Arial" w:hAnsi="Arial" w:cs="Arial"/>
          <w:sz w:val="22"/>
          <w:szCs w:val="22"/>
        </w:rPr>
        <w:t>participados" incluyen el impuesto a las ganancias, impuesto al valor agregado, impuesto sobre las transacciones financieras y varios impuestos internos específicos sobre el consumo.</w:t>
      </w:r>
    </w:p>
    <w:p w14:paraId="171080D1" w14:textId="77777777" w:rsidR="00570AD1" w:rsidRPr="00117BF8" w:rsidRDefault="00570AD1" w:rsidP="00284D95">
      <w:pPr>
        <w:pStyle w:val="hsa"/>
        <w:rPr>
          <w:rFonts w:ascii="Arial" w:hAnsi="Arial" w:cs="Arial"/>
          <w:sz w:val="22"/>
          <w:szCs w:val="22"/>
        </w:rPr>
      </w:pPr>
      <w:r w:rsidRPr="00117BF8">
        <w:rPr>
          <w:rFonts w:ascii="Arial" w:hAnsi="Arial" w:cs="Arial"/>
          <w:sz w:val="22"/>
          <w:szCs w:val="22"/>
        </w:rPr>
        <w:t>Adicionalmente</w:t>
      </w:r>
      <w:r w:rsidR="00F7012A" w:rsidRPr="00117BF8">
        <w:rPr>
          <w:rFonts w:ascii="Arial" w:hAnsi="Arial" w:cs="Arial"/>
          <w:sz w:val="22"/>
          <w:szCs w:val="22"/>
        </w:rPr>
        <w:t>,</w:t>
      </w:r>
      <w:r w:rsidRPr="00117BF8">
        <w:rPr>
          <w:rFonts w:ascii="Arial" w:hAnsi="Arial" w:cs="Arial"/>
          <w:sz w:val="22"/>
          <w:szCs w:val="22"/>
        </w:rPr>
        <w:t xml:space="preserve"> la Provincia recibe fondos federales por</w:t>
      </w:r>
      <w:r w:rsidR="00913457" w:rsidRPr="00117BF8">
        <w:rPr>
          <w:rFonts w:ascii="Arial" w:hAnsi="Arial" w:cs="Arial"/>
          <w:sz w:val="22"/>
          <w:szCs w:val="22"/>
        </w:rPr>
        <w:t xml:space="preserve"> medio del Fondo del Conurbano limitados a un monto máximo, </w:t>
      </w:r>
      <w:r w:rsidRPr="00117BF8">
        <w:rPr>
          <w:rFonts w:ascii="Arial" w:hAnsi="Arial" w:cs="Arial"/>
          <w:sz w:val="22"/>
          <w:szCs w:val="22"/>
        </w:rPr>
        <w:t xml:space="preserve">como consecuencia de la inflación este fondo </w:t>
      </w:r>
      <w:r w:rsidR="00913457" w:rsidRPr="00117BF8">
        <w:rPr>
          <w:rFonts w:ascii="Arial" w:hAnsi="Arial" w:cs="Arial"/>
          <w:sz w:val="22"/>
          <w:szCs w:val="22"/>
        </w:rPr>
        <w:t>ha perdido significación</w:t>
      </w:r>
      <w:r w:rsidRPr="00117BF8">
        <w:rPr>
          <w:rFonts w:ascii="Arial" w:hAnsi="Arial" w:cs="Arial"/>
          <w:sz w:val="22"/>
          <w:szCs w:val="22"/>
        </w:rPr>
        <w:t>. En su informe de Ejecución Presupuestaria de 2016</w:t>
      </w:r>
      <w:r w:rsidR="00385D09" w:rsidRPr="00117BF8">
        <w:rPr>
          <w:rFonts w:ascii="Arial" w:hAnsi="Arial" w:cs="Arial"/>
          <w:sz w:val="22"/>
          <w:szCs w:val="22"/>
        </w:rPr>
        <w:t>, la Provincia estima que por habitante recibe un tercio de lo que reciben otras provincias. La Provincia reclama por vía judicial y parlamentaria la recomposición del Fondo y una mejor distribución de los fondos Federales.</w:t>
      </w:r>
    </w:p>
    <w:p w14:paraId="6F2A8D91" w14:textId="77777777" w:rsidR="00385D09" w:rsidRPr="00117BF8" w:rsidRDefault="00385D09" w:rsidP="00284D95">
      <w:pPr>
        <w:pStyle w:val="hsa"/>
        <w:rPr>
          <w:rFonts w:ascii="Arial" w:hAnsi="Arial" w:cs="Arial"/>
          <w:sz w:val="22"/>
          <w:szCs w:val="22"/>
        </w:rPr>
      </w:pPr>
      <w:r w:rsidRPr="00117BF8">
        <w:rPr>
          <w:rFonts w:ascii="Arial" w:hAnsi="Arial" w:cs="Arial"/>
          <w:sz w:val="22"/>
          <w:szCs w:val="22"/>
        </w:rPr>
        <w:t>En el Informe de Cierre Presupuestario de 2015 la Provincia señala:</w:t>
      </w:r>
    </w:p>
    <w:p w14:paraId="4E85E3FE" w14:textId="3937762C" w:rsidR="00383592" w:rsidRPr="00117BF8" w:rsidRDefault="00383592" w:rsidP="00C007D0">
      <w:pPr>
        <w:pStyle w:val="hsa"/>
        <w:pBdr>
          <w:top w:val="single" w:sz="8" w:space="1" w:color="78C0D4"/>
          <w:left w:val="single" w:sz="8" w:space="4" w:color="78C0D4"/>
          <w:bottom w:val="single" w:sz="8" w:space="1" w:color="78C0D4"/>
          <w:right w:val="single" w:sz="8" w:space="4" w:color="78C0D4"/>
        </w:pBdr>
        <w:spacing w:after="60" w:line="240" w:lineRule="auto"/>
        <w:ind w:left="284" w:right="284"/>
        <w:rPr>
          <w:rFonts w:ascii="Arial" w:hAnsi="Arial" w:cs="Arial"/>
          <w:sz w:val="22"/>
          <w:szCs w:val="22"/>
        </w:rPr>
      </w:pPr>
      <w:r w:rsidRPr="00117BF8">
        <w:rPr>
          <w:rFonts w:ascii="Arial" w:hAnsi="Arial" w:cs="Arial"/>
          <w:sz w:val="22"/>
          <w:szCs w:val="22"/>
        </w:rPr>
        <w:t xml:space="preserve">Por otra parte, las transferencias por el Fondo del Conurbano alcanzaron el tope de </w:t>
      </w:r>
      <w:r w:rsidR="00ED2AFC">
        <w:rPr>
          <w:rFonts w:ascii="Arial" w:hAnsi="Arial" w:cs="Arial"/>
          <w:sz w:val="22"/>
          <w:szCs w:val="22"/>
        </w:rPr>
        <w:t>US</w:t>
      </w:r>
      <w:r w:rsidRPr="00117BF8">
        <w:rPr>
          <w:rFonts w:ascii="Arial" w:hAnsi="Arial" w:cs="Arial"/>
          <w:sz w:val="22"/>
          <w:szCs w:val="22"/>
        </w:rPr>
        <w:t>$650 millones. Este fondo fue creado con el objetivo de compensar parcialmente la pérdida que tuvo la Provincia en su participación de la distribución secundaria a partir de la última reforma del Régimen de Coparticipación Federal (Ley Nº 23.548). La ley en su origen establecía que el Fondo del Conurbano estaba integrado por el 10% del impuesto a las Ganancias; sin embargo, en 1995 ante el reclamo recurrente por parte de las restantes provincias se determinó el congelamiento de la participación de Buenos Aires en este Fondo, asignándole un monto fijo de $650 millones. El excedente de esta cifra, generado por el 10% del Impuesto a las Ganancias, se comenzó a distribuir al resto de las provincias según los coeficientes establecidos en la Ley Nº 23.548 para la participación secundaria.</w:t>
      </w:r>
    </w:p>
    <w:p w14:paraId="01886BE8" w14:textId="77777777" w:rsidR="00383592" w:rsidRPr="00117BF8" w:rsidRDefault="00383592" w:rsidP="00C007D0">
      <w:pPr>
        <w:pStyle w:val="hsa"/>
        <w:pBdr>
          <w:top w:val="single" w:sz="8" w:space="1" w:color="78C0D4"/>
          <w:left w:val="single" w:sz="8" w:space="4" w:color="78C0D4"/>
          <w:bottom w:val="single" w:sz="8" w:space="1" w:color="78C0D4"/>
          <w:right w:val="single" w:sz="8" w:space="4" w:color="78C0D4"/>
        </w:pBdr>
        <w:spacing w:after="60" w:line="240" w:lineRule="auto"/>
        <w:ind w:left="284" w:right="284"/>
        <w:rPr>
          <w:rFonts w:ascii="Arial" w:hAnsi="Arial" w:cs="Arial"/>
          <w:sz w:val="22"/>
          <w:szCs w:val="22"/>
        </w:rPr>
      </w:pPr>
      <w:r w:rsidRPr="00117BF8">
        <w:rPr>
          <w:rFonts w:ascii="Arial" w:hAnsi="Arial" w:cs="Arial"/>
          <w:sz w:val="22"/>
          <w:szCs w:val="22"/>
        </w:rPr>
        <w:t>A partir de 2003, la recuperación de los niveles recaudatorios condujo a una acelerada y progresiva caída en términos relativos del monto recibido por Buenos Aires respecto del excedente del fondo. De este modo, durante el 2015 la provincia sólo recibió el 0,17% de la recaudación de Ganancias, cuando originalmente estaba estipulado que su participación debería ser del 10%. Esta transferencia de recursos hacia las restantes jurisdicciones provinciales representó que en 2015 sólo Tierra del Fuego sea la provincia que recibió menos fondos por dicho concepto.</w:t>
      </w:r>
    </w:p>
    <w:p w14:paraId="69A05495" w14:textId="77777777" w:rsidR="00383592" w:rsidRPr="00117BF8" w:rsidRDefault="00383592" w:rsidP="00C007D0">
      <w:pPr>
        <w:pStyle w:val="hsa"/>
        <w:pBdr>
          <w:top w:val="single" w:sz="8" w:space="1" w:color="78C0D4"/>
          <w:left w:val="single" w:sz="8" w:space="4" w:color="78C0D4"/>
          <w:bottom w:val="single" w:sz="8" w:space="1" w:color="78C0D4"/>
          <w:right w:val="single" w:sz="8" w:space="4" w:color="78C0D4"/>
        </w:pBdr>
        <w:spacing w:after="60" w:line="240" w:lineRule="auto"/>
        <w:ind w:left="284" w:right="284"/>
        <w:rPr>
          <w:rFonts w:ascii="Arial" w:hAnsi="Arial" w:cs="Arial"/>
          <w:sz w:val="22"/>
          <w:szCs w:val="22"/>
        </w:rPr>
      </w:pPr>
      <w:r w:rsidRPr="00117BF8">
        <w:rPr>
          <w:rFonts w:ascii="Arial" w:hAnsi="Arial" w:cs="Arial"/>
          <w:sz w:val="22"/>
          <w:szCs w:val="22"/>
        </w:rPr>
        <w:t xml:space="preserve">De este modo, la provincia de Buenos Aires acentuó su cesión de recursos hacia las restantes jurisdicciones, lo cual se evidencia en la caída de su participación en los montos totales distribuidos a las jurisdicciones provinciales y CABA. La provincia, durante 2015, recibió tan solo el 18,7% del total distribuido. </w:t>
      </w:r>
    </w:p>
    <w:p w14:paraId="46D9C5E6" w14:textId="77777777" w:rsidR="00385D09" w:rsidRPr="00117BF8" w:rsidRDefault="00385D09" w:rsidP="00C007D0">
      <w:pPr>
        <w:pStyle w:val="hsa"/>
        <w:pBdr>
          <w:top w:val="single" w:sz="8" w:space="1" w:color="78C0D4"/>
          <w:left w:val="single" w:sz="8" w:space="4" w:color="78C0D4"/>
          <w:bottom w:val="single" w:sz="8" w:space="1" w:color="78C0D4"/>
          <w:right w:val="single" w:sz="8" w:space="4" w:color="78C0D4"/>
        </w:pBdr>
        <w:spacing w:after="60" w:line="240" w:lineRule="auto"/>
        <w:ind w:left="284" w:right="284"/>
        <w:rPr>
          <w:rFonts w:ascii="Arial" w:hAnsi="Arial" w:cs="Arial"/>
          <w:sz w:val="22"/>
          <w:szCs w:val="22"/>
        </w:rPr>
      </w:pPr>
      <w:r w:rsidRPr="00117BF8">
        <w:rPr>
          <w:rFonts w:ascii="Arial" w:hAnsi="Arial" w:cs="Arial"/>
          <w:sz w:val="22"/>
          <w:szCs w:val="22"/>
        </w:rPr>
        <w:t>Paradójicamente, el fondo del conurbano que perseguía el objetivo de recuperar los puntos perdidos por la provincia de Buenos Aires con la sanción de la Ley 23.548, ha ejercido el efecto contrario.</w:t>
      </w:r>
    </w:p>
    <w:p w14:paraId="660F33B8" w14:textId="73D037F0" w:rsidR="00385D09" w:rsidRPr="00117BF8" w:rsidRDefault="00385D09" w:rsidP="00117BF8">
      <w:pPr>
        <w:pStyle w:val="hsa"/>
        <w:pBdr>
          <w:top w:val="single" w:sz="8" w:space="1" w:color="78C0D4"/>
          <w:left w:val="single" w:sz="8" w:space="4" w:color="78C0D4"/>
          <w:bottom w:val="single" w:sz="8" w:space="1" w:color="78C0D4"/>
          <w:right w:val="single" w:sz="8" w:space="4" w:color="78C0D4"/>
        </w:pBdr>
        <w:spacing w:after="60" w:line="240" w:lineRule="auto"/>
        <w:ind w:left="284" w:right="284"/>
        <w:rPr>
          <w:rFonts w:ascii="Arial" w:hAnsi="Arial" w:cs="Arial"/>
        </w:rPr>
      </w:pPr>
      <w:r w:rsidRPr="00117BF8">
        <w:rPr>
          <w:rFonts w:ascii="Arial" w:hAnsi="Arial" w:cs="Arial"/>
          <w:sz w:val="22"/>
          <w:szCs w:val="22"/>
        </w:rPr>
        <w:t>La discriminación en la distribución de recursos nacionales es un factor clave y constituye el principal condicionante del financiamiento de la provincia de Buenos Aires.</w:t>
      </w:r>
    </w:p>
    <w:p w14:paraId="704014A6" w14:textId="77777777" w:rsidR="00C3205A" w:rsidRPr="00117BF8" w:rsidRDefault="00C3205A" w:rsidP="00117BF8">
      <w:pPr>
        <w:pStyle w:val="hsa3"/>
        <w:spacing w:before="100" w:beforeAutospacing="1"/>
        <w:jc w:val="center"/>
        <w:rPr>
          <w:rFonts w:ascii="Arial" w:hAnsi="Arial" w:cs="Arial"/>
          <w:sz w:val="20"/>
          <w:lang w:val="es-AR" w:eastAsia="es-AR"/>
        </w:rPr>
      </w:pPr>
      <w:bookmarkStart w:id="20" w:name="_Toc493781693"/>
      <w:r w:rsidRPr="00117BF8">
        <w:rPr>
          <w:rFonts w:ascii="Arial" w:hAnsi="Arial" w:cs="Arial"/>
          <w:sz w:val="20"/>
          <w:lang w:val="es-AR" w:eastAsia="es-AR"/>
        </w:rPr>
        <w:t xml:space="preserve">Gráfico </w:t>
      </w:r>
      <w:r w:rsidR="00525D76" w:rsidRPr="00117BF8">
        <w:rPr>
          <w:rFonts w:ascii="Arial" w:hAnsi="Arial" w:cs="Arial"/>
          <w:sz w:val="20"/>
          <w:lang w:val="es-AR" w:eastAsia="es-AR"/>
        </w:rPr>
        <w:t>2</w:t>
      </w:r>
      <w:r w:rsidRPr="00117BF8">
        <w:rPr>
          <w:rFonts w:ascii="Arial" w:hAnsi="Arial" w:cs="Arial"/>
          <w:sz w:val="20"/>
          <w:lang w:val="es-AR" w:eastAsia="es-AR"/>
        </w:rPr>
        <w:t xml:space="preserve"> -Evolución de la Participación de la Provincia de Buenos Aires en la distribución de Impuestos Coparticipados y de Asignación Específica</w:t>
      </w:r>
      <w:bookmarkEnd w:id="20"/>
    </w:p>
    <w:p w14:paraId="45D870FF" w14:textId="5842C92F" w:rsidR="00C3205A" w:rsidRPr="00117BF8" w:rsidRDefault="00117BF8" w:rsidP="00117BF8">
      <w:pPr>
        <w:pStyle w:val="hsa"/>
        <w:rPr>
          <w:rFonts w:ascii="Arial" w:hAnsi="Arial" w:cs="Arial"/>
          <w:sz w:val="18"/>
          <w:szCs w:val="18"/>
        </w:rPr>
      </w:pPr>
      <w:r w:rsidRPr="00117BF8">
        <w:rPr>
          <w:rFonts w:ascii="Arial" w:hAnsi="Arial" w:cs="Arial"/>
        </w:rPr>
        <w:pict w14:anchorId="2BBC64D1">
          <v:shape id="_x0000_i1032" type="#_x0000_t75" style="width:425.75pt;height:201.6pt">
            <v:imagedata r:id="rId23" o:title=""/>
          </v:shape>
        </w:pict>
      </w:r>
      <w:r w:rsidR="00C3205A" w:rsidRPr="00117BF8">
        <w:rPr>
          <w:rFonts w:ascii="Arial" w:hAnsi="Arial" w:cs="Arial"/>
          <w:sz w:val="18"/>
          <w:szCs w:val="18"/>
        </w:rPr>
        <w:t>Fuente: Informe Fiscal de la Provincia de Buenos Aires - Año 2015- Ministerio de Economía</w:t>
      </w:r>
    </w:p>
    <w:p w14:paraId="1B73CAF8" w14:textId="152D0664" w:rsidR="00C3205A" w:rsidRPr="00117BF8" w:rsidRDefault="00C3205A" w:rsidP="00C3205A">
      <w:pPr>
        <w:pStyle w:val="hsa"/>
        <w:rPr>
          <w:rFonts w:ascii="Arial" w:hAnsi="Arial" w:cs="Arial"/>
          <w:sz w:val="22"/>
          <w:szCs w:val="22"/>
        </w:rPr>
      </w:pPr>
      <w:r w:rsidRPr="00117BF8">
        <w:rPr>
          <w:rFonts w:ascii="Arial" w:hAnsi="Arial" w:cs="Arial"/>
          <w:sz w:val="22"/>
          <w:szCs w:val="22"/>
        </w:rPr>
        <w:t xml:space="preserve">Esta merma en los recursos de la Provincia ha sido de alguna manera compensada por una amplia asistencia financiera recibida del Tesoro Nacional cuya magnitud se trata en el título relativo a la evolución de la deuda de la Provincia. Sin embargo, mientras pierde recursos genuinos, estos son reemplazados por </w:t>
      </w:r>
      <w:r w:rsidR="00EF5D45" w:rsidRPr="00117BF8">
        <w:rPr>
          <w:rFonts w:ascii="Arial" w:hAnsi="Arial" w:cs="Arial"/>
          <w:sz w:val="22"/>
          <w:szCs w:val="22"/>
        </w:rPr>
        <w:t>deuda,</w:t>
      </w:r>
      <w:r w:rsidRPr="00117BF8">
        <w:rPr>
          <w:rFonts w:ascii="Arial" w:hAnsi="Arial" w:cs="Arial"/>
          <w:sz w:val="22"/>
          <w:szCs w:val="22"/>
        </w:rPr>
        <w:t xml:space="preserve"> aunque </w:t>
      </w:r>
      <w:r w:rsidR="00F7012A" w:rsidRPr="00117BF8">
        <w:rPr>
          <w:rFonts w:ascii="Arial" w:hAnsi="Arial" w:cs="Arial"/>
          <w:sz w:val="22"/>
          <w:szCs w:val="22"/>
        </w:rPr>
        <w:t>las</w:t>
      </w:r>
      <w:r w:rsidRPr="00117BF8">
        <w:rPr>
          <w:rFonts w:ascii="Arial" w:hAnsi="Arial" w:cs="Arial"/>
          <w:sz w:val="22"/>
          <w:szCs w:val="22"/>
        </w:rPr>
        <w:t xml:space="preserve"> condiciones </w:t>
      </w:r>
      <w:r w:rsidR="00F7012A" w:rsidRPr="00117BF8">
        <w:rPr>
          <w:rFonts w:ascii="Arial" w:hAnsi="Arial" w:cs="Arial"/>
          <w:sz w:val="22"/>
          <w:szCs w:val="22"/>
        </w:rPr>
        <w:t xml:space="preserve">sean </w:t>
      </w:r>
      <w:r w:rsidRPr="00117BF8">
        <w:rPr>
          <w:rFonts w:ascii="Arial" w:hAnsi="Arial" w:cs="Arial"/>
          <w:sz w:val="22"/>
          <w:szCs w:val="22"/>
        </w:rPr>
        <w:t>ventajosas.</w:t>
      </w:r>
    </w:p>
    <w:p w14:paraId="443E47E3" w14:textId="77777777" w:rsidR="00B65261" w:rsidRPr="00117BF8" w:rsidRDefault="006E4DEC" w:rsidP="00117BF8">
      <w:pPr>
        <w:pStyle w:val="Heading2"/>
        <w:spacing w:before="0" w:after="180"/>
        <w:rPr>
          <w:rFonts w:ascii="Arial" w:hAnsi="Arial" w:cs="Arial"/>
          <w:sz w:val="22"/>
          <w:szCs w:val="22"/>
        </w:rPr>
      </w:pPr>
      <w:bookmarkStart w:id="21" w:name="_Toc494040310"/>
      <w:r w:rsidRPr="00117BF8">
        <w:rPr>
          <w:rFonts w:ascii="Arial" w:hAnsi="Arial" w:cs="Arial"/>
          <w:sz w:val="22"/>
          <w:szCs w:val="22"/>
        </w:rPr>
        <w:t>Contabilidad Presupuestaria</w:t>
      </w:r>
      <w:bookmarkEnd w:id="21"/>
    </w:p>
    <w:p w14:paraId="2458A75C" w14:textId="77777777" w:rsidR="006E4DEC" w:rsidRPr="00117BF8" w:rsidRDefault="006E4DEC" w:rsidP="006E4DEC">
      <w:pPr>
        <w:pStyle w:val="hsa"/>
        <w:rPr>
          <w:rFonts w:ascii="Arial" w:hAnsi="Arial" w:cs="Arial"/>
          <w:sz w:val="22"/>
          <w:szCs w:val="22"/>
        </w:rPr>
      </w:pPr>
      <w:r w:rsidRPr="00117BF8">
        <w:rPr>
          <w:rFonts w:ascii="Arial" w:hAnsi="Arial" w:cs="Arial"/>
          <w:sz w:val="22"/>
          <w:szCs w:val="22"/>
        </w:rPr>
        <w:t>El análisis presupuestario que aquí se realiza corresponde al sector Público Provincial</w:t>
      </w:r>
      <w:r w:rsidR="001332F1" w:rsidRPr="00117BF8">
        <w:rPr>
          <w:rFonts w:ascii="Arial" w:hAnsi="Arial" w:cs="Arial"/>
          <w:sz w:val="22"/>
          <w:szCs w:val="22"/>
        </w:rPr>
        <w:t xml:space="preserve"> denominado Administración Pública No Financiera</w:t>
      </w:r>
      <w:r w:rsidRPr="00117BF8">
        <w:rPr>
          <w:rFonts w:ascii="Arial" w:hAnsi="Arial" w:cs="Arial"/>
          <w:sz w:val="22"/>
          <w:szCs w:val="22"/>
        </w:rPr>
        <w:t>, conformado por la administración central, los organismos descentralizados, las empresas y sociedades del estado provincial, los fondos fiduciarios integrados total o mayoritariamente con fondos provinciales y las Instituciones de Seguridad Social (que funcionan como un sistema solidario).</w:t>
      </w:r>
      <w:r w:rsidR="007C35E8" w:rsidRPr="00117BF8">
        <w:rPr>
          <w:rStyle w:val="FootnoteReference"/>
          <w:rFonts w:ascii="Arial" w:hAnsi="Arial" w:cs="Arial"/>
          <w:sz w:val="22"/>
          <w:szCs w:val="22"/>
        </w:rPr>
        <w:t xml:space="preserve"> </w:t>
      </w:r>
      <w:r w:rsidR="007C35E8" w:rsidRPr="00117BF8">
        <w:rPr>
          <w:rStyle w:val="FootnoteReference"/>
          <w:rFonts w:ascii="Arial" w:hAnsi="Arial" w:cs="Arial"/>
          <w:sz w:val="22"/>
          <w:szCs w:val="22"/>
        </w:rPr>
        <w:footnoteReference w:id="6"/>
      </w:r>
    </w:p>
    <w:p w14:paraId="787B4FF5" w14:textId="77777777" w:rsidR="006E4DEC" w:rsidRPr="00117BF8" w:rsidRDefault="006E4DEC" w:rsidP="006E4DEC">
      <w:pPr>
        <w:pStyle w:val="hsa"/>
        <w:rPr>
          <w:rFonts w:ascii="Arial" w:hAnsi="Arial" w:cs="Arial"/>
          <w:sz w:val="22"/>
          <w:szCs w:val="22"/>
        </w:rPr>
      </w:pPr>
      <w:r w:rsidRPr="00117BF8">
        <w:rPr>
          <w:rFonts w:ascii="Arial" w:hAnsi="Arial" w:cs="Arial"/>
          <w:sz w:val="22"/>
          <w:szCs w:val="22"/>
        </w:rPr>
        <w:t xml:space="preserve">La Provincia no consolida los resultados de sus municipios ni de las empresas provinciales ni de otros organismos. Sin embargo, por ley provincial, la Provincia debe transferir una porción de sus recursos tributarios a los municipios; y determinadas empresas provinciales y agencias deben transferir sus ganancias o superávit a la Provincia. La Provincia registra sus transferencias hacia los organismos no consolidados (incluyendo contribuciones, créditos y anticipos a empresas provinciales) como gastos, y las transferencias de estas entidades, como recursos. </w:t>
      </w:r>
    </w:p>
    <w:p w14:paraId="2DB754EE" w14:textId="77777777" w:rsidR="006E4DEC" w:rsidRPr="00117BF8" w:rsidRDefault="006E4DEC" w:rsidP="006E4DEC">
      <w:pPr>
        <w:pStyle w:val="hsa"/>
        <w:rPr>
          <w:rFonts w:ascii="Arial" w:hAnsi="Arial" w:cs="Arial"/>
          <w:sz w:val="22"/>
          <w:szCs w:val="22"/>
        </w:rPr>
      </w:pPr>
      <w:r w:rsidRPr="00117BF8">
        <w:rPr>
          <w:rFonts w:ascii="Arial" w:hAnsi="Arial" w:cs="Arial"/>
          <w:sz w:val="22"/>
          <w:szCs w:val="22"/>
        </w:rPr>
        <w:t xml:space="preserve">La Provincia mantiene sus libros y registros en pesos y prepara su presupuesto y estados contables de acuerdo con los principios de contabilidad establecidos en la Ley de Administración Financiera. Estos principios difieren materialmente de los principios de contabilidad generalmente aceptados en Argentina y en otras jurisdicciones, incluyendo los Estados Unidos, pero están básicamente acordes con los principios de contabilidad seguidos por otras provincias argentinas. Las principales características de los principios contables seguidos por la Provincia son: </w:t>
      </w:r>
    </w:p>
    <w:p w14:paraId="6D41E9BA" w14:textId="7B5AD688" w:rsidR="006E4DEC" w:rsidRPr="00117BF8" w:rsidRDefault="006E4DEC" w:rsidP="00F7012A">
      <w:pPr>
        <w:pStyle w:val="HPUN0"/>
        <w:rPr>
          <w:rFonts w:ascii="Arial" w:hAnsi="Arial" w:cs="Arial"/>
          <w:sz w:val="22"/>
          <w:szCs w:val="22"/>
        </w:rPr>
      </w:pPr>
      <w:r w:rsidRPr="00117BF8">
        <w:rPr>
          <w:rFonts w:ascii="Arial" w:hAnsi="Arial" w:cs="Arial"/>
          <w:sz w:val="22"/>
          <w:szCs w:val="22"/>
        </w:rPr>
        <w:t xml:space="preserve">los ingresos no se contabilizan sobre una base de valores </w:t>
      </w:r>
      <w:r w:rsidR="00FA2295" w:rsidRPr="008D04D4">
        <w:rPr>
          <w:rFonts w:ascii="Arial" w:hAnsi="Arial" w:cs="Arial"/>
          <w:sz w:val="22"/>
          <w:szCs w:val="22"/>
        </w:rPr>
        <w:t>devengados,</w:t>
      </w:r>
      <w:r w:rsidRPr="00117BF8">
        <w:rPr>
          <w:rFonts w:ascii="Arial" w:hAnsi="Arial" w:cs="Arial"/>
          <w:sz w:val="22"/>
          <w:szCs w:val="22"/>
        </w:rPr>
        <w:t xml:space="preserve"> sino que se reconocen en el período en el cual son realmente recibidos; </w:t>
      </w:r>
    </w:p>
    <w:p w14:paraId="14B0786A" w14:textId="77777777" w:rsidR="006E4DEC" w:rsidRPr="00117BF8" w:rsidRDefault="006E4DEC" w:rsidP="00F7012A">
      <w:pPr>
        <w:pStyle w:val="HPUN0"/>
        <w:rPr>
          <w:rFonts w:ascii="Arial" w:hAnsi="Arial" w:cs="Arial"/>
          <w:sz w:val="22"/>
          <w:szCs w:val="22"/>
        </w:rPr>
      </w:pPr>
      <w:r w:rsidRPr="00117BF8">
        <w:rPr>
          <w:rFonts w:ascii="Arial" w:hAnsi="Arial" w:cs="Arial"/>
          <w:sz w:val="22"/>
          <w:szCs w:val="22"/>
        </w:rPr>
        <w:t xml:space="preserve">los gastos son registrados en el período en que se produce su devengamiento, independientemente de que el mismo se traduzca o no en salida de dinero del tesoro provincial, excepto los gastos por interés que son contabilizados cuando son pagados; </w:t>
      </w:r>
    </w:p>
    <w:p w14:paraId="51082717" w14:textId="77777777" w:rsidR="006E4DEC" w:rsidRPr="00117BF8" w:rsidRDefault="006E4DEC" w:rsidP="00F7012A">
      <w:pPr>
        <w:pStyle w:val="HPUN0"/>
        <w:rPr>
          <w:rFonts w:ascii="Arial" w:hAnsi="Arial" w:cs="Arial"/>
          <w:sz w:val="22"/>
          <w:szCs w:val="22"/>
        </w:rPr>
      </w:pPr>
      <w:r w:rsidRPr="00117BF8">
        <w:rPr>
          <w:rFonts w:ascii="Arial" w:hAnsi="Arial" w:cs="Arial"/>
          <w:sz w:val="22"/>
          <w:szCs w:val="22"/>
        </w:rPr>
        <w:t xml:space="preserve">los activos de capital deben contabilizarse al costo, sin reducciones por depreciación o amortización. Consecuentemente, la Provincia no registra ningún costo por depreciación o amortización en sus estados de ingresos y gastos; </w:t>
      </w:r>
    </w:p>
    <w:p w14:paraId="40D07A1E" w14:textId="66E5260D" w:rsidR="006E4DEC" w:rsidRPr="00117BF8" w:rsidRDefault="006E4DEC" w:rsidP="00F7012A">
      <w:pPr>
        <w:pStyle w:val="HPUN0"/>
        <w:rPr>
          <w:rFonts w:ascii="Arial" w:hAnsi="Arial" w:cs="Arial"/>
          <w:sz w:val="22"/>
          <w:szCs w:val="22"/>
        </w:rPr>
      </w:pPr>
      <w:r w:rsidRPr="00117BF8">
        <w:rPr>
          <w:rFonts w:ascii="Arial" w:hAnsi="Arial" w:cs="Arial"/>
          <w:sz w:val="22"/>
          <w:szCs w:val="22"/>
        </w:rPr>
        <w:t xml:space="preserve">los gastos de capital y las inversiones en activos tangibles, no se </w:t>
      </w:r>
      <w:r w:rsidR="00FA2295" w:rsidRPr="008D04D4">
        <w:rPr>
          <w:rFonts w:ascii="Arial" w:hAnsi="Arial" w:cs="Arial"/>
          <w:sz w:val="22"/>
          <w:szCs w:val="22"/>
        </w:rPr>
        <w:t>capitalizan,</w:t>
      </w:r>
      <w:r w:rsidRPr="00117BF8">
        <w:rPr>
          <w:rFonts w:ascii="Arial" w:hAnsi="Arial" w:cs="Arial"/>
          <w:sz w:val="22"/>
          <w:szCs w:val="22"/>
        </w:rPr>
        <w:t xml:space="preserve"> sino que se imputan durante el año en el cual se incurren; </w:t>
      </w:r>
    </w:p>
    <w:p w14:paraId="18E9A5CB" w14:textId="77777777" w:rsidR="006E4DEC" w:rsidRPr="00117BF8" w:rsidRDefault="006E4DEC" w:rsidP="00F7012A">
      <w:pPr>
        <w:pStyle w:val="HPUN0"/>
        <w:rPr>
          <w:rFonts w:ascii="Arial" w:hAnsi="Arial" w:cs="Arial"/>
          <w:sz w:val="22"/>
          <w:szCs w:val="22"/>
        </w:rPr>
      </w:pPr>
      <w:r w:rsidRPr="00117BF8">
        <w:rPr>
          <w:rFonts w:ascii="Arial" w:hAnsi="Arial" w:cs="Arial"/>
          <w:sz w:val="22"/>
          <w:szCs w:val="22"/>
        </w:rPr>
        <w:t xml:space="preserve">los contratos de construcción se imputan utilizando el método del porcentaje de finalización de obra, y </w:t>
      </w:r>
    </w:p>
    <w:p w14:paraId="568A2EDE" w14:textId="77777777" w:rsidR="006E4DEC" w:rsidRPr="00117BF8" w:rsidRDefault="006E4DEC" w:rsidP="00F7012A">
      <w:pPr>
        <w:pStyle w:val="HPUN0"/>
        <w:rPr>
          <w:rFonts w:ascii="Arial" w:hAnsi="Arial" w:cs="Arial"/>
          <w:sz w:val="22"/>
          <w:szCs w:val="22"/>
        </w:rPr>
      </w:pPr>
      <w:r w:rsidRPr="00117BF8">
        <w:rPr>
          <w:rFonts w:ascii="Arial" w:hAnsi="Arial" w:cs="Arial"/>
          <w:sz w:val="22"/>
          <w:szCs w:val="22"/>
        </w:rPr>
        <w:t xml:space="preserve">los gastos, recursos y deuda pública no son ajustados por inflación en las cuentas provinciales. </w:t>
      </w:r>
    </w:p>
    <w:p w14:paraId="0E34D77D" w14:textId="77777777" w:rsidR="006E4DEC" w:rsidRPr="00117BF8" w:rsidRDefault="006E4DEC" w:rsidP="006E4DEC">
      <w:pPr>
        <w:pStyle w:val="hsa"/>
        <w:rPr>
          <w:rFonts w:ascii="Arial" w:hAnsi="Arial" w:cs="Arial"/>
          <w:sz w:val="22"/>
          <w:szCs w:val="22"/>
        </w:rPr>
      </w:pPr>
      <w:r w:rsidRPr="00117BF8">
        <w:rPr>
          <w:rFonts w:ascii="Arial" w:hAnsi="Arial" w:cs="Arial"/>
          <w:sz w:val="22"/>
          <w:szCs w:val="22"/>
        </w:rPr>
        <w:t xml:space="preserve">Los registros y estados provinciales son elaborados y examinados por la Contaduría General de la Provincia </w:t>
      </w:r>
      <w:r w:rsidR="00F7012A" w:rsidRPr="00117BF8">
        <w:rPr>
          <w:rFonts w:ascii="Arial" w:hAnsi="Arial" w:cs="Arial"/>
          <w:sz w:val="22"/>
          <w:szCs w:val="22"/>
        </w:rPr>
        <w:t xml:space="preserve">(CGPBA) </w:t>
      </w:r>
      <w:r w:rsidRPr="00117BF8">
        <w:rPr>
          <w:rFonts w:ascii="Arial" w:hAnsi="Arial" w:cs="Arial"/>
          <w:sz w:val="22"/>
          <w:szCs w:val="22"/>
        </w:rPr>
        <w:t>y aprobados por el Tribunal de Cuentas de la Provincia. De conformidad con la Ley de Administración Financiera, la Contaduría General de la Provincia tiene hasta el 15 de abril de cada año para publicar los estados contables del año fiscal anterior.</w:t>
      </w:r>
    </w:p>
    <w:p w14:paraId="1C3B8BE9" w14:textId="77777777" w:rsidR="008A2C3F" w:rsidRPr="00117BF8" w:rsidRDefault="008A2C3F" w:rsidP="003C119F">
      <w:pPr>
        <w:pStyle w:val="Heading2"/>
        <w:rPr>
          <w:rFonts w:ascii="Arial" w:hAnsi="Arial" w:cs="Arial"/>
          <w:sz w:val="22"/>
          <w:szCs w:val="22"/>
        </w:rPr>
      </w:pPr>
      <w:bookmarkStart w:id="22" w:name="_Ref493425567"/>
      <w:bookmarkStart w:id="23" w:name="_Toc494040311"/>
      <w:r w:rsidRPr="00117BF8">
        <w:rPr>
          <w:rFonts w:ascii="Arial" w:hAnsi="Arial" w:cs="Arial"/>
          <w:sz w:val="22"/>
          <w:szCs w:val="22"/>
        </w:rPr>
        <w:t>Responsabilidad Fiscal</w:t>
      </w:r>
      <w:bookmarkEnd w:id="22"/>
      <w:bookmarkEnd w:id="23"/>
    </w:p>
    <w:p w14:paraId="337337A5" w14:textId="77777777" w:rsidR="00565746" w:rsidRPr="00117BF8" w:rsidRDefault="00565746" w:rsidP="003C0966">
      <w:pPr>
        <w:pStyle w:val="hsa"/>
        <w:rPr>
          <w:rFonts w:ascii="Arial" w:hAnsi="Arial" w:cs="Arial"/>
          <w:sz w:val="22"/>
          <w:szCs w:val="22"/>
        </w:rPr>
      </w:pPr>
      <w:r w:rsidRPr="00117BF8">
        <w:rPr>
          <w:rFonts w:ascii="Arial" w:hAnsi="Arial" w:cs="Arial"/>
          <w:sz w:val="22"/>
          <w:szCs w:val="22"/>
        </w:rPr>
        <w:t xml:space="preserve">Desde el año 2005 se encuentra vigente </w:t>
      </w:r>
      <w:r w:rsidR="006E4DEC" w:rsidRPr="00117BF8">
        <w:rPr>
          <w:rFonts w:ascii="Arial" w:hAnsi="Arial" w:cs="Arial"/>
          <w:sz w:val="22"/>
          <w:szCs w:val="22"/>
        </w:rPr>
        <w:t xml:space="preserve">la Ley Nº 25.917 de Responsabilidad Fiscal, </w:t>
      </w:r>
      <w:r w:rsidRPr="00117BF8">
        <w:rPr>
          <w:rFonts w:ascii="Arial" w:hAnsi="Arial" w:cs="Arial"/>
          <w:sz w:val="22"/>
          <w:szCs w:val="22"/>
        </w:rPr>
        <w:t>que</w:t>
      </w:r>
      <w:r w:rsidR="006E4DEC" w:rsidRPr="00117BF8">
        <w:rPr>
          <w:rFonts w:ascii="Arial" w:hAnsi="Arial" w:cs="Arial"/>
          <w:sz w:val="22"/>
          <w:szCs w:val="22"/>
        </w:rPr>
        <w:t xml:space="preserve"> establece un régimen fiscal para el gobierno federal y las provincias adheridas (incluyendo a la Provincia) acerca de la transparencia en la administración pública, gastos, balances fiscales y endeudamiento, requiriendo, en particu</w:t>
      </w:r>
      <w:r w:rsidRPr="00117BF8">
        <w:rPr>
          <w:rFonts w:ascii="Arial" w:hAnsi="Arial" w:cs="Arial"/>
          <w:sz w:val="22"/>
          <w:szCs w:val="22"/>
        </w:rPr>
        <w:t>lar, presupuestos equilibrados.</w:t>
      </w:r>
    </w:p>
    <w:p w14:paraId="662A9226" w14:textId="77777777" w:rsidR="00565746" w:rsidRPr="00117BF8" w:rsidRDefault="00565746" w:rsidP="003C0966">
      <w:pPr>
        <w:pStyle w:val="hsa"/>
        <w:rPr>
          <w:rFonts w:ascii="Arial" w:hAnsi="Arial" w:cs="Arial"/>
          <w:sz w:val="22"/>
          <w:szCs w:val="22"/>
        </w:rPr>
      </w:pPr>
      <w:r w:rsidRPr="00117BF8">
        <w:rPr>
          <w:rFonts w:ascii="Arial" w:hAnsi="Arial" w:cs="Arial"/>
          <w:sz w:val="22"/>
          <w:szCs w:val="22"/>
        </w:rPr>
        <w:t xml:space="preserve">Algunos artículos de la ley se encuentran suspendidos desde el </w:t>
      </w:r>
      <w:r w:rsidR="006E4DEC" w:rsidRPr="00117BF8">
        <w:rPr>
          <w:rFonts w:ascii="Arial" w:hAnsi="Arial" w:cs="Arial"/>
          <w:sz w:val="22"/>
          <w:szCs w:val="22"/>
        </w:rPr>
        <w:t>2009</w:t>
      </w:r>
      <w:r w:rsidR="00F7012A" w:rsidRPr="00117BF8">
        <w:rPr>
          <w:rFonts w:ascii="Arial" w:hAnsi="Arial" w:cs="Arial"/>
          <w:sz w:val="22"/>
          <w:szCs w:val="22"/>
        </w:rPr>
        <w:t>,</w:t>
      </w:r>
      <w:r w:rsidR="006E4DEC" w:rsidRPr="00117BF8">
        <w:rPr>
          <w:rFonts w:ascii="Arial" w:hAnsi="Arial" w:cs="Arial"/>
          <w:sz w:val="22"/>
          <w:szCs w:val="22"/>
        </w:rPr>
        <w:t xml:space="preserve"> </w:t>
      </w:r>
      <w:r w:rsidRPr="00117BF8">
        <w:rPr>
          <w:rFonts w:ascii="Arial" w:hAnsi="Arial" w:cs="Arial"/>
          <w:sz w:val="22"/>
          <w:szCs w:val="22"/>
        </w:rPr>
        <w:t>entre ellos</w:t>
      </w:r>
      <w:r w:rsidR="006E4DEC" w:rsidRPr="00117BF8">
        <w:rPr>
          <w:rFonts w:ascii="Arial" w:hAnsi="Arial" w:cs="Arial"/>
          <w:sz w:val="22"/>
          <w:szCs w:val="22"/>
        </w:rPr>
        <w:t xml:space="preserve"> la prohibición de utilizar los fondos del nuevo endeudamiento para financiar gastos corrientes y el congelamiento del nuevo endeudamiento si las obligaciones del servicio de deuda superan el 15,0% de los recursos corrientes (netos de las transferencias a las municipalidades). </w:t>
      </w:r>
      <w:r w:rsidRPr="00117BF8">
        <w:rPr>
          <w:rFonts w:ascii="Arial" w:hAnsi="Arial" w:cs="Arial"/>
          <w:sz w:val="22"/>
          <w:szCs w:val="22"/>
        </w:rPr>
        <w:t>Esta suspensión se ha mantenido hasta la fecha por medio de s</w:t>
      </w:r>
      <w:r w:rsidR="003C0966" w:rsidRPr="00117BF8">
        <w:rPr>
          <w:rFonts w:ascii="Arial" w:hAnsi="Arial" w:cs="Arial"/>
          <w:sz w:val="22"/>
          <w:szCs w:val="22"/>
        </w:rPr>
        <w:t xml:space="preserve">ucesivas </w:t>
      </w:r>
      <w:r w:rsidRPr="00117BF8">
        <w:rPr>
          <w:rFonts w:ascii="Arial" w:hAnsi="Arial" w:cs="Arial"/>
          <w:sz w:val="22"/>
          <w:szCs w:val="22"/>
        </w:rPr>
        <w:t>leyes.</w:t>
      </w:r>
    </w:p>
    <w:p w14:paraId="0A35BA83" w14:textId="77777777" w:rsidR="003C0966" w:rsidRPr="00117BF8" w:rsidRDefault="006E4DEC" w:rsidP="003C0966">
      <w:pPr>
        <w:pStyle w:val="hsa"/>
        <w:rPr>
          <w:rFonts w:ascii="Arial" w:hAnsi="Arial" w:cs="Arial"/>
          <w:sz w:val="22"/>
          <w:szCs w:val="22"/>
        </w:rPr>
      </w:pPr>
      <w:r w:rsidRPr="00117BF8">
        <w:rPr>
          <w:rFonts w:ascii="Arial" w:hAnsi="Arial" w:cs="Arial"/>
          <w:sz w:val="22"/>
          <w:szCs w:val="22"/>
        </w:rPr>
        <w:t>El Presupuesto Nacional 2017 extendió las mencionadas suspensiones e introdujo nuevas reglas para evaluar el gasto público durante el corriente año. La Ley de Responsabilidad Fiscal también creó el Consejo Federal de Responsabilidad Fiscal, el cual está compuesto por los representantes del gobierno federal y de los gobiernos provinciales y tiene la responsabilidad de supervisar el cumplimiento por parte de las provincias y el gobierno federal de la Ley de Responsabilidad Fiscal. A la fecha, dicho Consejo nunca ha sancionado a ninguna provincia por incumplimiento de la</w:t>
      </w:r>
      <w:r w:rsidR="003C0966" w:rsidRPr="00117BF8">
        <w:rPr>
          <w:rFonts w:ascii="Arial" w:hAnsi="Arial" w:cs="Arial"/>
          <w:sz w:val="22"/>
          <w:szCs w:val="22"/>
        </w:rPr>
        <w:t xml:space="preserve"> Ley de Responsabilidad Fiscal.</w:t>
      </w:r>
    </w:p>
    <w:p w14:paraId="4A40ECFC" w14:textId="77777777" w:rsidR="006E4DEC" w:rsidRPr="00117BF8" w:rsidRDefault="006E4DEC" w:rsidP="003C0966">
      <w:pPr>
        <w:pStyle w:val="hsa"/>
        <w:rPr>
          <w:rFonts w:ascii="Arial" w:hAnsi="Arial" w:cs="Arial"/>
          <w:sz w:val="22"/>
          <w:szCs w:val="22"/>
        </w:rPr>
      </w:pPr>
      <w:r w:rsidRPr="00117BF8">
        <w:rPr>
          <w:rFonts w:ascii="Arial" w:hAnsi="Arial" w:cs="Arial"/>
          <w:sz w:val="22"/>
          <w:szCs w:val="22"/>
        </w:rPr>
        <w:t>Sin embargo, si el Consejo determina que el presupuesto provincial no cumple con las exigencias vigentes establecidas por la Ley de Responsabilidad Fiscal, la Provincia puede ser pasible de sanciones, incluyendo restricciones a los beneficios impositivos para el sector privado provincial, limitaciones en las garantías del gobierno federal, negación de la autorización para un mayor endeudamiento y limitaciones sobre las transferencias presupuestarias federales que no sean originadas en impuestos nacionales coparticipables de transferencia automática, incluyendo transferencias por coparticipación.</w:t>
      </w:r>
    </w:p>
    <w:p w14:paraId="37D05EA2" w14:textId="77777777" w:rsidR="003C0966" w:rsidRPr="00117BF8" w:rsidRDefault="00B91A3E" w:rsidP="00B91A3E">
      <w:pPr>
        <w:pStyle w:val="hsa"/>
        <w:rPr>
          <w:rFonts w:ascii="Arial" w:hAnsi="Arial" w:cs="Arial"/>
          <w:sz w:val="22"/>
          <w:szCs w:val="22"/>
        </w:rPr>
      </w:pPr>
      <w:r w:rsidRPr="00117BF8">
        <w:rPr>
          <w:rFonts w:ascii="Arial" w:hAnsi="Arial" w:cs="Arial"/>
          <w:sz w:val="22"/>
          <w:szCs w:val="22"/>
        </w:rPr>
        <w:t>El mensaje del presupuesto 2017 de la Provincia señala:</w:t>
      </w:r>
    </w:p>
    <w:p w14:paraId="4FCB3395" w14:textId="40D614FA" w:rsidR="0061569E" w:rsidRPr="00117BF8" w:rsidRDefault="0061569E" w:rsidP="00B91A3E">
      <w:pPr>
        <w:pStyle w:val="hsa"/>
        <w:pBdr>
          <w:top w:val="single" w:sz="8" w:space="1" w:color="78C0D4"/>
          <w:left w:val="single" w:sz="8" w:space="4" w:color="78C0D4"/>
          <w:bottom w:val="single" w:sz="8" w:space="1" w:color="78C0D4"/>
          <w:right w:val="single" w:sz="8" w:space="4" w:color="78C0D4"/>
        </w:pBdr>
        <w:spacing w:after="60" w:line="240" w:lineRule="auto"/>
        <w:ind w:left="284" w:right="284"/>
        <w:rPr>
          <w:rFonts w:ascii="Arial" w:hAnsi="Arial" w:cs="Arial"/>
          <w:sz w:val="22"/>
          <w:szCs w:val="22"/>
        </w:rPr>
      </w:pPr>
      <w:r w:rsidRPr="00117BF8">
        <w:rPr>
          <w:rFonts w:ascii="Arial" w:hAnsi="Arial" w:cs="Arial"/>
          <w:sz w:val="22"/>
          <w:szCs w:val="22"/>
        </w:rPr>
        <w:t xml:space="preserve">4. El resultado primario (sin intereses) presupuestado baja a 0,12% del </w:t>
      </w:r>
      <w:r w:rsidR="00497C60" w:rsidRPr="00117BF8">
        <w:rPr>
          <w:rFonts w:ascii="Arial" w:hAnsi="Arial" w:cs="Arial"/>
          <w:sz w:val="22"/>
          <w:szCs w:val="22"/>
        </w:rPr>
        <w:t>PIB</w:t>
      </w:r>
      <w:r w:rsidRPr="00117BF8">
        <w:rPr>
          <w:rFonts w:ascii="Arial" w:hAnsi="Arial" w:cs="Arial"/>
          <w:sz w:val="22"/>
          <w:szCs w:val="22"/>
        </w:rPr>
        <w:t xml:space="preserve"> </w:t>
      </w:r>
      <w:r w:rsidR="00FA2295">
        <w:rPr>
          <w:rFonts w:ascii="Arial" w:hAnsi="Arial" w:cs="Arial"/>
          <w:sz w:val="22"/>
          <w:szCs w:val="22"/>
        </w:rPr>
        <w:br/>
      </w:r>
      <w:r w:rsidRPr="00117BF8">
        <w:rPr>
          <w:rFonts w:ascii="Arial" w:hAnsi="Arial" w:cs="Arial"/>
          <w:sz w:val="22"/>
          <w:szCs w:val="22"/>
        </w:rPr>
        <w:t>(</w:t>
      </w:r>
      <w:r w:rsidR="00FA2295">
        <w:rPr>
          <w:rFonts w:ascii="Arial" w:hAnsi="Arial" w:cs="Arial"/>
          <w:sz w:val="22"/>
          <w:szCs w:val="22"/>
        </w:rPr>
        <w:t>US</w:t>
      </w:r>
      <w:r w:rsidRPr="00117BF8">
        <w:rPr>
          <w:rFonts w:ascii="Arial" w:hAnsi="Arial" w:cs="Arial"/>
          <w:sz w:val="22"/>
          <w:szCs w:val="22"/>
        </w:rPr>
        <w:t>$12.125 millones), desde el 0,19% proyectado en 2016 (</w:t>
      </w:r>
      <w:r w:rsidR="00FA2295">
        <w:rPr>
          <w:rFonts w:ascii="Arial" w:hAnsi="Arial" w:cs="Arial"/>
          <w:sz w:val="22"/>
          <w:szCs w:val="22"/>
        </w:rPr>
        <w:t>US</w:t>
      </w:r>
      <w:r w:rsidRPr="00117BF8">
        <w:rPr>
          <w:rFonts w:ascii="Arial" w:hAnsi="Arial" w:cs="Arial"/>
          <w:sz w:val="22"/>
          <w:szCs w:val="22"/>
        </w:rPr>
        <w:t>$15.164 millones) y el 0,20% registrado en 2015 (</w:t>
      </w:r>
      <w:r w:rsidR="00FA2295">
        <w:rPr>
          <w:rFonts w:ascii="Arial" w:hAnsi="Arial" w:cs="Arial"/>
          <w:sz w:val="22"/>
          <w:szCs w:val="22"/>
        </w:rPr>
        <w:t>US</w:t>
      </w:r>
      <w:r w:rsidRPr="00117BF8">
        <w:rPr>
          <w:rFonts w:ascii="Arial" w:hAnsi="Arial" w:cs="Arial"/>
          <w:sz w:val="22"/>
          <w:szCs w:val="22"/>
        </w:rPr>
        <w:t xml:space="preserve">$11.596 millones), cumpliendo así con el cronograma convergente al equilibrio pautado con la Nación en el marco del Consejo Federal de Responsabilidad Fiscal y en cumplimiento de la Ley de Responsabilidad Fiscal. </w:t>
      </w:r>
    </w:p>
    <w:p w14:paraId="4186C6F3" w14:textId="77777777" w:rsidR="00342FF2" w:rsidRPr="00117BF8" w:rsidRDefault="00342FF2" w:rsidP="00342FF2">
      <w:pPr>
        <w:pStyle w:val="hsa"/>
        <w:rPr>
          <w:rFonts w:ascii="Arial" w:hAnsi="Arial" w:cs="Arial"/>
        </w:rPr>
      </w:pPr>
    </w:p>
    <w:p w14:paraId="6A8B40BA" w14:textId="77777777" w:rsidR="00342FF2" w:rsidRPr="00117BF8" w:rsidRDefault="00977B2A" w:rsidP="00342FF2">
      <w:pPr>
        <w:pStyle w:val="hsa"/>
        <w:rPr>
          <w:rFonts w:ascii="Arial" w:hAnsi="Arial" w:cs="Arial"/>
          <w:sz w:val="22"/>
          <w:szCs w:val="22"/>
        </w:rPr>
      </w:pPr>
      <w:r w:rsidRPr="00117BF8">
        <w:rPr>
          <w:rFonts w:ascii="Arial" w:hAnsi="Arial" w:cs="Arial"/>
          <w:sz w:val="22"/>
          <w:szCs w:val="22"/>
        </w:rPr>
        <w:t>El día 14 del corriente mes el Poder Ejecutivo presentó ante el Senado de la Nación e</w:t>
      </w:r>
      <w:r w:rsidR="00342FF2" w:rsidRPr="00117BF8">
        <w:rPr>
          <w:rFonts w:ascii="Arial" w:hAnsi="Arial" w:cs="Arial"/>
          <w:sz w:val="22"/>
          <w:szCs w:val="22"/>
        </w:rPr>
        <w:t xml:space="preserve">l proyecto de Ley de Responsabilidad Fiscal </w:t>
      </w:r>
      <w:r w:rsidRPr="00117BF8">
        <w:rPr>
          <w:rFonts w:ascii="Arial" w:hAnsi="Arial" w:cs="Arial"/>
          <w:sz w:val="22"/>
          <w:szCs w:val="22"/>
        </w:rPr>
        <w:t xml:space="preserve">que </w:t>
      </w:r>
      <w:r w:rsidR="00342FF2" w:rsidRPr="00117BF8">
        <w:rPr>
          <w:rFonts w:ascii="Arial" w:hAnsi="Arial" w:cs="Arial"/>
          <w:sz w:val="22"/>
          <w:szCs w:val="22"/>
        </w:rPr>
        <w:t>establece entre los aspectos más destacados</w:t>
      </w:r>
      <w:r w:rsidRPr="00117BF8">
        <w:rPr>
          <w:rStyle w:val="FootnoteReference"/>
          <w:rFonts w:ascii="Arial" w:hAnsi="Arial" w:cs="Arial"/>
          <w:sz w:val="22"/>
          <w:szCs w:val="22"/>
        </w:rPr>
        <w:footnoteReference w:id="7"/>
      </w:r>
    </w:p>
    <w:p w14:paraId="3B23B51C" w14:textId="77777777" w:rsidR="00342FF2" w:rsidRPr="00117BF8" w:rsidRDefault="005E1F05" w:rsidP="00634B29">
      <w:pPr>
        <w:pStyle w:val="HPUN0"/>
        <w:numPr>
          <w:ilvl w:val="0"/>
          <w:numId w:val="9"/>
        </w:numPr>
        <w:rPr>
          <w:rFonts w:ascii="Arial" w:hAnsi="Arial" w:cs="Arial"/>
          <w:sz w:val="22"/>
          <w:szCs w:val="22"/>
        </w:rPr>
      </w:pPr>
      <w:r w:rsidRPr="00117BF8">
        <w:rPr>
          <w:rFonts w:ascii="Arial" w:hAnsi="Arial" w:cs="Arial"/>
          <w:sz w:val="22"/>
          <w:szCs w:val="22"/>
          <w:u w:val="single"/>
        </w:rPr>
        <w:t xml:space="preserve">Límite del Gasto </w:t>
      </w:r>
      <w:r w:rsidR="00EA745A" w:rsidRPr="00117BF8">
        <w:rPr>
          <w:rFonts w:ascii="Arial" w:hAnsi="Arial" w:cs="Arial"/>
          <w:sz w:val="22"/>
          <w:szCs w:val="22"/>
          <w:u w:val="single"/>
        </w:rPr>
        <w:t xml:space="preserve">Corriente </w:t>
      </w:r>
      <w:r w:rsidRPr="00117BF8">
        <w:rPr>
          <w:rFonts w:ascii="Arial" w:hAnsi="Arial" w:cs="Arial"/>
          <w:sz w:val="22"/>
          <w:szCs w:val="22"/>
          <w:u w:val="single"/>
        </w:rPr>
        <w:t>Primario</w:t>
      </w:r>
      <w:r w:rsidR="00EA745A" w:rsidRPr="00117BF8">
        <w:rPr>
          <w:rFonts w:ascii="Arial" w:hAnsi="Arial" w:cs="Arial"/>
          <w:sz w:val="22"/>
          <w:szCs w:val="22"/>
          <w:u w:val="single"/>
        </w:rPr>
        <w:t xml:space="preserve"> Neto</w:t>
      </w:r>
      <w:r w:rsidRPr="00117BF8">
        <w:rPr>
          <w:rFonts w:ascii="Arial" w:hAnsi="Arial" w:cs="Arial"/>
          <w:sz w:val="22"/>
          <w:szCs w:val="22"/>
          <w:u w:val="single"/>
        </w:rPr>
        <w:t>:</w:t>
      </w:r>
      <w:r w:rsidRPr="00117BF8">
        <w:rPr>
          <w:rFonts w:ascii="Arial" w:hAnsi="Arial" w:cs="Arial"/>
          <w:sz w:val="22"/>
          <w:szCs w:val="22"/>
        </w:rPr>
        <w:t xml:space="preserve"> </w:t>
      </w:r>
      <w:r w:rsidR="00342FF2" w:rsidRPr="00117BF8">
        <w:rPr>
          <w:rFonts w:ascii="Arial" w:hAnsi="Arial" w:cs="Arial"/>
          <w:sz w:val="22"/>
          <w:szCs w:val="22"/>
        </w:rPr>
        <w:t>La tasa nominal de incremento del gasto público corriente primario neto de la Nación, de las Provincias y de la Ciudad Autónoma de Buenos Aires no podrá superar la tasa de aumento del índice de precios al consumidor de cobertura nacional previsto en el marco macrofiscal mencionado en el artículo 2º, inciso c). Esta regla se aplicará para la etapa de presupuesto y de ejecución (base devengado).</w:t>
      </w:r>
      <w:r w:rsidR="00342FF2" w:rsidRPr="00117BF8">
        <w:rPr>
          <w:rStyle w:val="FootnoteReference"/>
          <w:rFonts w:ascii="Arial" w:hAnsi="Arial" w:cs="Arial"/>
          <w:sz w:val="22"/>
          <w:szCs w:val="22"/>
        </w:rPr>
        <w:footnoteReference w:id="8"/>
      </w:r>
    </w:p>
    <w:p w14:paraId="4C665825" w14:textId="77777777" w:rsidR="00342FF2" w:rsidRPr="00117BF8" w:rsidRDefault="00EA745A" w:rsidP="00EA745A">
      <w:pPr>
        <w:pStyle w:val="HPUN0"/>
        <w:numPr>
          <w:ilvl w:val="0"/>
          <w:numId w:val="9"/>
        </w:numPr>
        <w:rPr>
          <w:rFonts w:ascii="Arial" w:hAnsi="Arial" w:cs="Arial"/>
          <w:sz w:val="22"/>
          <w:szCs w:val="22"/>
        </w:rPr>
      </w:pPr>
      <w:r w:rsidRPr="00117BF8">
        <w:rPr>
          <w:rFonts w:ascii="Arial" w:hAnsi="Arial" w:cs="Arial"/>
          <w:sz w:val="22"/>
          <w:szCs w:val="22"/>
          <w:u w:val="single"/>
        </w:rPr>
        <w:t>Límite del Gasto Primario Neto:</w:t>
      </w:r>
      <w:r w:rsidRPr="00117BF8">
        <w:rPr>
          <w:rFonts w:ascii="Arial" w:hAnsi="Arial" w:cs="Arial"/>
          <w:sz w:val="22"/>
          <w:szCs w:val="22"/>
        </w:rPr>
        <w:t xml:space="preserve"> </w:t>
      </w:r>
      <w:r w:rsidR="00342FF2" w:rsidRPr="00117BF8">
        <w:rPr>
          <w:rFonts w:ascii="Arial" w:hAnsi="Arial" w:cs="Arial"/>
          <w:sz w:val="22"/>
          <w:szCs w:val="22"/>
        </w:rPr>
        <w:t xml:space="preserve">Para las jurisdicciones que en el año previo presenten ejecuciones presupuestarias (base devengado) con resultado corriente primario deficitario o no cumplan con el indicador previsto en el </w:t>
      </w:r>
      <w:r w:rsidR="006D5A61" w:rsidRPr="00117BF8">
        <w:rPr>
          <w:rFonts w:ascii="Arial" w:hAnsi="Arial" w:cs="Arial"/>
          <w:sz w:val="22"/>
          <w:szCs w:val="22"/>
        </w:rPr>
        <w:t>punto f)</w:t>
      </w:r>
      <w:r w:rsidR="00342FF2" w:rsidRPr="00117BF8">
        <w:rPr>
          <w:rFonts w:ascii="Arial" w:hAnsi="Arial" w:cs="Arial"/>
          <w:sz w:val="22"/>
          <w:szCs w:val="22"/>
        </w:rPr>
        <w:t>, la tasa nominal de aumento del gasto público primario neto no podrá superar la tasa de incremento del índice de precios al consumidor.</w:t>
      </w:r>
      <w:r w:rsidR="00342FF2" w:rsidRPr="00117BF8">
        <w:rPr>
          <w:rStyle w:val="FootnoteReference"/>
          <w:rFonts w:ascii="Arial" w:hAnsi="Arial" w:cs="Arial"/>
          <w:sz w:val="22"/>
          <w:szCs w:val="22"/>
        </w:rPr>
        <w:footnoteReference w:id="9"/>
      </w:r>
    </w:p>
    <w:p w14:paraId="5E87AB4B" w14:textId="77777777" w:rsidR="00634B29" w:rsidRPr="00117BF8" w:rsidRDefault="00D15F7D" w:rsidP="00EA745A">
      <w:pPr>
        <w:pStyle w:val="HPUN0"/>
        <w:numPr>
          <w:ilvl w:val="0"/>
          <w:numId w:val="9"/>
        </w:numPr>
        <w:rPr>
          <w:rFonts w:ascii="Arial" w:hAnsi="Arial" w:cs="Arial"/>
          <w:sz w:val="22"/>
          <w:szCs w:val="22"/>
        </w:rPr>
      </w:pPr>
      <w:r w:rsidRPr="00117BF8">
        <w:rPr>
          <w:rFonts w:ascii="Arial" w:hAnsi="Arial" w:cs="Arial"/>
          <w:sz w:val="22"/>
          <w:szCs w:val="22"/>
          <w:u w:val="single"/>
        </w:rPr>
        <w:t>Resultado Financiero Equilibrado:</w:t>
      </w:r>
      <w:r w:rsidRPr="00117BF8">
        <w:rPr>
          <w:rFonts w:ascii="Arial" w:hAnsi="Arial" w:cs="Arial"/>
          <w:sz w:val="22"/>
          <w:szCs w:val="22"/>
        </w:rPr>
        <w:t xml:space="preserve"> </w:t>
      </w:r>
      <w:r w:rsidR="00634B29" w:rsidRPr="00117BF8">
        <w:rPr>
          <w:rFonts w:ascii="Arial" w:hAnsi="Arial" w:cs="Arial"/>
          <w:sz w:val="22"/>
          <w:szCs w:val="22"/>
        </w:rPr>
        <w:t xml:space="preserve">A partir del ejercicio fiscal 2020, estarán exceptuadas del cumplimiento de lo dispuesto en los puntos previos aquellas Jurisdicciones que ejecuten el presupuesto (base devengado) con resultado financiero equilibrado o superavitario en el año previo al que se realice la pertinente evaluación de la evolución del gasto. </w:t>
      </w:r>
    </w:p>
    <w:p w14:paraId="15C343E0" w14:textId="77777777" w:rsidR="00634B29" w:rsidRPr="00117BF8" w:rsidRDefault="00D15F7D" w:rsidP="00EA745A">
      <w:pPr>
        <w:pStyle w:val="HPUN0"/>
        <w:numPr>
          <w:ilvl w:val="0"/>
          <w:numId w:val="9"/>
        </w:numPr>
        <w:rPr>
          <w:rFonts w:ascii="Arial" w:hAnsi="Arial" w:cs="Arial"/>
          <w:sz w:val="22"/>
          <w:szCs w:val="22"/>
        </w:rPr>
      </w:pPr>
      <w:r w:rsidRPr="00117BF8">
        <w:rPr>
          <w:rFonts w:ascii="Arial" w:hAnsi="Arial" w:cs="Arial"/>
          <w:sz w:val="22"/>
          <w:szCs w:val="22"/>
          <w:u w:val="single"/>
        </w:rPr>
        <w:t>Gasto Corriente Primario con Resultado Financiero Equilibrado:</w:t>
      </w:r>
      <w:r w:rsidRPr="00117BF8">
        <w:rPr>
          <w:rFonts w:ascii="Arial" w:hAnsi="Arial" w:cs="Arial"/>
          <w:sz w:val="22"/>
          <w:szCs w:val="22"/>
        </w:rPr>
        <w:t xml:space="preserve"> </w:t>
      </w:r>
      <w:r w:rsidR="00634B29" w:rsidRPr="00117BF8">
        <w:rPr>
          <w:rFonts w:ascii="Arial" w:hAnsi="Arial" w:cs="Arial"/>
          <w:sz w:val="22"/>
          <w:szCs w:val="22"/>
        </w:rPr>
        <w:t>Alcanzado el resultado financiero equilibrado, la tasa nominal de incremento del gasto corriente primario no podrá superar la tasa de crecimiento nominal del Producto Bruto. Cuando la tasa nominal de variación del Producto Bruto Interno sea negativa, el gasto corriente primario podrá a lo sumo crecer como el índice de precios al consumidor.</w:t>
      </w:r>
    </w:p>
    <w:p w14:paraId="7F0FA3DD" w14:textId="6FEF8B11" w:rsidR="00634B29" w:rsidRPr="00117BF8" w:rsidRDefault="00D15F7D" w:rsidP="00EA745A">
      <w:pPr>
        <w:pStyle w:val="HPUN0"/>
        <w:numPr>
          <w:ilvl w:val="0"/>
          <w:numId w:val="9"/>
        </w:numPr>
        <w:rPr>
          <w:rFonts w:ascii="Arial" w:hAnsi="Arial" w:cs="Arial"/>
          <w:sz w:val="22"/>
          <w:szCs w:val="22"/>
        </w:rPr>
      </w:pPr>
      <w:r w:rsidRPr="00117BF8">
        <w:rPr>
          <w:rFonts w:ascii="Arial" w:hAnsi="Arial" w:cs="Arial"/>
          <w:sz w:val="22"/>
          <w:szCs w:val="22"/>
          <w:u w:val="single"/>
        </w:rPr>
        <w:t>Cargos Ocupados:</w:t>
      </w:r>
      <w:r w:rsidRPr="00117BF8">
        <w:rPr>
          <w:rFonts w:ascii="Arial" w:hAnsi="Arial" w:cs="Arial"/>
          <w:sz w:val="22"/>
          <w:szCs w:val="22"/>
        </w:rPr>
        <w:t xml:space="preserve"> </w:t>
      </w:r>
      <w:r w:rsidR="006D5A61" w:rsidRPr="00117BF8">
        <w:rPr>
          <w:rFonts w:ascii="Arial" w:hAnsi="Arial" w:cs="Arial"/>
          <w:sz w:val="22"/>
          <w:szCs w:val="22"/>
        </w:rPr>
        <w:t xml:space="preserve">No incrementar la relación de cargos ocupados en el Sector Público (en planta permanente, temporaria y contratada) existente al 31 de diciembre de 2017, respecto a la población </w:t>
      </w:r>
      <w:r w:rsidR="00FA2295" w:rsidRPr="008D04D4">
        <w:rPr>
          <w:rFonts w:ascii="Arial" w:hAnsi="Arial" w:cs="Arial"/>
          <w:sz w:val="22"/>
          <w:szCs w:val="22"/>
        </w:rPr>
        <w:t>proyectada para</w:t>
      </w:r>
      <w:r w:rsidR="006D5A61" w:rsidRPr="00117BF8">
        <w:rPr>
          <w:rFonts w:ascii="Arial" w:hAnsi="Arial" w:cs="Arial"/>
          <w:sz w:val="22"/>
          <w:szCs w:val="22"/>
        </w:rPr>
        <w:t xml:space="preserve"> cada jurisdicción. Las jurisdicciones que hayan alcanzado un resultado financiero (base devengado) superavitario o equilibrado podrán incrementar la planta de personal asociada a nuevas inversiones que impliquen una mayor prestación de servicios sociales, como educación, salud y seguridad. A partir del ejercicio fiscal 2018 el Consejo Federal de Responsabilidad Fiscal determinará la relación </w:t>
      </w:r>
      <w:r w:rsidR="00280473" w:rsidRPr="00117BF8">
        <w:rPr>
          <w:rFonts w:ascii="Arial" w:hAnsi="Arial" w:cs="Arial"/>
          <w:sz w:val="22"/>
          <w:szCs w:val="22"/>
        </w:rPr>
        <w:t>óptima</w:t>
      </w:r>
      <w:r w:rsidR="006D5A61" w:rsidRPr="00117BF8">
        <w:rPr>
          <w:rFonts w:ascii="Arial" w:hAnsi="Arial" w:cs="Arial"/>
          <w:sz w:val="22"/>
          <w:szCs w:val="22"/>
        </w:rPr>
        <w:t xml:space="preserve"> de cargos ocupados adecuada a las características de cada jurisdicción, a los efectos de permitir excepciones.</w:t>
      </w:r>
    </w:p>
    <w:p w14:paraId="160E5E08" w14:textId="77777777" w:rsidR="006D5A61" w:rsidRPr="00117BF8" w:rsidRDefault="00D15F7D" w:rsidP="00EA745A">
      <w:pPr>
        <w:pStyle w:val="HPUN0"/>
        <w:numPr>
          <w:ilvl w:val="0"/>
          <w:numId w:val="9"/>
        </w:numPr>
        <w:rPr>
          <w:rFonts w:ascii="Arial" w:hAnsi="Arial" w:cs="Arial"/>
          <w:sz w:val="22"/>
          <w:szCs w:val="22"/>
        </w:rPr>
      </w:pPr>
      <w:r w:rsidRPr="00117BF8">
        <w:rPr>
          <w:rFonts w:ascii="Arial" w:hAnsi="Arial" w:cs="Arial"/>
          <w:sz w:val="22"/>
          <w:szCs w:val="22"/>
          <w:u w:val="single"/>
        </w:rPr>
        <w:t>Servicio de Deuda:</w:t>
      </w:r>
      <w:r w:rsidRPr="00117BF8">
        <w:rPr>
          <w:rFonts w:ascii="Arial" w:hAnsi="Arial" w:cs="Arial"/>
          <w:sz w:val="22"/>
          <w:szCs w:val="22"/>
        </w:rPr>
        <w:t xml:space="preserve"> </w:t>
      </w:r>
      <w:r w:rsidR="006D5A61" w:rsidRPr="00117BF8">
        <w:rPr>
          <w:rFonts w:ascii="Arial" w:hAnsi="Arial" w:cs="Arial"/>
          <w:sz w:val="22"/>
          <w:szCs w:val="22"/>
        </w:rPr>
        <w:t>En ningún ejercicio fiscal los servicios de la deuda instrumentada superarán el quince por ciento (15%) de los recursos corrientes netos de transferencias por coparticipación a municipios.</w:t>
      </w:r>
    </w:p>
    <w:p w14:paraId="403A1F6A" w14:textId="77777777" w:rsidR="006D5A61" w:rsidRPr="00117BF8" w:rsidRDefault="006D5A61" w:rsidP="00EA745A">
      <w:pPr>
        <w:pStyle w:val="HPUN0"/>
        <w:numPr>
          <w:ilvl w:val="0"/>
          <w:numId w:val="9"/>
        </w:numPr>
        <w:rPr>
          <w:rFonts w:ascii="Arial" w:hAnsi="Arial" w:cs="Arial"/>
          <w:sz w:val="22"/>
          <w:szCs w:val="22"/>
        </w:rPr>
      </w:pPr>
      <w:r w:rsidRPr="00117BF8">
        <w:rPr>
          <w:rFonts w:ascii="Arial" w:hAnsi="Arial" w:cs="Arial"/>
          <w:sz w:val="22"/>
          <w:szCs w:val="22"/>
        </w:rPr>
        <w:t>Aquellas jurisdicciones que superen el porcentaje citado en el artículo anterior no podrán acceder a un nuevo endeudamiento, excepto que constituya un refinanciamiento del existente y en la medida en que tal refinanciación resulte un mejoramiento de las condiciones pactadas en materia de monto o plazo o tasa de interés aplicable, y/o los financiamientos provenientes de Organismos Multilaterales de Crédito, o préstamos con características de repago/devolución similares, y de programas nacionales, en todos los casos sustentados en una programación financiera que garantice la atención de los servicios pertinentes.</w:t>
      </w:r>
    </w:p>
    <w:p w14:paraId="10D3FC6E" w14:textId="77777777" w:rsidR="006D5A61" w:rsidRPr="00117BF8" w:rsidRDefault="006D5A61" w:rsidP="00EA745A">
      <w:pPr>
        <w:pStyle w:val="HPUN0"/>
        <w:numPr>
          <w:ilvl w:val="0"/>
          <w:numId w:val="9"/>
        </w:numPr>
        <w:rPr>
          <w:rFonts w:ascii="Arial" w:hAnsi="Arial" w:cs="Arial"/>
          <w:sz w:val="22"/>
          <w:szCs w:val="22"/>
        </w:rPr>
      </w:pPr>
      <w:r w:rsidRPr="00117BF8">
        <w:rPr>
          <w:rFonts w:ascii="Arial" w:hAnsi="Arial" w:cs="Arial"/>
          <w:sz w:val="22"/>
          <w:szCs w:val="22"/>
        </w:rPr>
        <w:t xml:space="preserve">Para acceder a operaciones de endeudamiento con organismos que no pertenezcan al Sector Público No Financiero, es condición necesaria para la autorización del Gobierno Nacional que la jurisdicción solicitante haya cumplido con los principios y parámetros de la ley. </w:t>
      </w:r>
    </w:p>
    <w:p w14:paraId="2F87B00D" w14:textId="77777777" w:rsidR="006D5A61" w:rsidRPr="00117BF8" w:rsidRDefault="006D5A61" w:rsidP="00EA745A">
      <w:pPr>
        <w:pStyle w:val="HPUN0"/>
        <w:numPr>
          <w:ilvl w:val="0"/>
          <w:numId w:val="9"/>
        </w:numPr>
        <w:rPr>
          <w:rFonts w:ascii="Arial" w:hAnsi="Arial" w:cs="Arial"/>
          <w:sz w:val="22"/>
          <w:szCs w:val="22"/>
        </w:rPr>
      </w:pPr>
      <w:r w:rsidRPr="00117BF8">
        <w:rPr>
          <w:rFonts w:ascii="Arial" w:hAnsi="Arial" w:cs="Arial"/>
          <w:sz w:val="22"/>
          <w:szCs w:val="22"/>
        </w:rPr>
        <w:t>Las Jurisdicciones podrán acceder a operaciones de endeudamiento provenientes de programas con financiamiento de Organismos Multilaterales de Crédito y de programas nacionales, siempre que el Consejo Federal de Responsabilidad Fiscal no informe incumplimiento de los principios y parámetros de la ley.</w:t>
      </w:r>
    </w:p>
    <w:p w14:paraId="03799D05" w14:textId="53B6F99F" w:rsidR="006D5A61" w:rsidRPr="00117BF8" w:rsidRDefault="006D5A61" w:rsidP="00EA745A">
      <w:pPr>
        <w:pStyle w:val="HPUN0"/>
        <w:numPr>
          <w:ilvl w:val="0"/>
          <w:numId w:val="9"/>
        </w:numPr>
        <w:rPr>
          <w:rFonts w:ascii="Arial" w:hAnsi="Arial" w:cs="Arial"/>
          <w:sz w:val="22"/>
          <w:szCs w:val="22"/>
        </w:rPr>
      </w:pPr>
      <w:r w:rsidRPr="00117BF8">
        <w:rPr>
          <w:rFonts w:ascii="Arial" w:hAnsi="Arial" w:cs="Arial"/>
          <w:sz w:val="22"/>
          <w:szCs w:val="22"/>
        </w:rPr>
        <w:t>El incumplimiento de las obligaciones establecidas dará lugar a sanciones que</w:t>
      </w:r>
      <w:r w:rsidR="0022483C" w:rsidRPr="00117BF8">
        <w:rPr>
          <w:rFonts w:ascii="Arial" w:hAnsi="Arial" w:cs="Arial"/>
          <w:sz w:val="22"/>
          <w:szCs w:val="22"/>
        </w:rPr>
        <w:t xml:space="preserve"> </w:t>
      </w:r>
      <w:r w:rsidRPr="00117BF8">
        <w:rPr>
          <w:rFonts w:ascii="Arial" w:hAnsi="Arial" w:cs="Arial"/>
          <w:sz w:val="22"/>
          <w:szCs w:val="22"/>
        </w:rPr>
        <w:t xml:space="preserve">podrán consistir en: </w:t>
      </w:r>
    </w:p>
    <w:p w14:paraId="6B89886E" w14:textId="77777777" w:rsidR="0022483C" w:rsidRPr="00117BF8" w:rsidRDefault="006D5A61" w:rsidP="004424D9">
      <w:pPr>
        <w:pStyle w:val="HPUN0"/>
        <w:numPr>
          <w:ilvl w:val="1"/>
          <w:numId w:val="14"/>
        </w:numPr>
        <w:rPr>
          <w:rFonts w:ascii="Arial" w:hAnsi="Arial" w:cs="Arial"/>
          <w:color w:val="000000"/>
          <w:sz w:val="22"/>
          <w:szCs w:val="22"/>
          <w:lang w:val="es-AR" w:eastAsia="es-AR"/>
        </w:rPr>
      </w:pPr>
      <w:r w:rsidRPr="00117BF8">
        <w:rPr>
          <w:rFonts w:ascii="Arial" w:hAnsi="Arial" w:cs="Arial"/>
          <w:color w:val="000000"/>
          <w:sz w:val="22"/>
          <w:szCs w:val="22"/>
          <w:lang w:val="es-AR" w:eastAsia="es-AR"/>
        </w:rPr>
        <w:t xml:space="preserve">Divulgación de la situación en todas las páginas web de las </w:t>
      </w:r>
      <w:r w:rsidR="0022483C" w:rsidRPr="00117BF8">
        <w:rPr>
          <w:rFonts w:ascii="Arial" w:hAnsi="Arial" w:cs="Arial"/>
          <w:color w:val="000000"/>
          <w:sz w:val="22"/>
          <w:szCs w:val="22"/>
          <w:lang w:val="es-AR" w:eastAsia="es-AR"/>
        </w:rPr>
        <w:t>jurisdicciones.</w:t>
      </w:r>
    </w:p>
    <w:p w14:paraId="1643C5F8" w14:textId="77777777" w:rsidR="006D5A61" w:rsidRPr="00117BF8" w:rsidRDefault="006D5A61" w:rsidP="004424D9">
      <w:pPr>
        <w:pStyle w:val="HPUN0"/>
        <w:numPr>
          <w:ilvl w:val="1"/>
          <w:numId w:val="14"/>
        </w:numPr>
        <w:rPr>
          <w:rFonts w:ascii="Arial" w:hAnsi="Arial" w:cs="Arial"/>
          <w:color w:val="000000"/>
          <w:sz w:val="22"/>
          <w:szCs w:val="22"/>
          <w:lang w:val="es-AR" w:eastAsia="es-AR"/>
        </w:rPr>
      </w:pPr>
      <w:r w:rsidRPr="00117BF8">
        <w:rPr>
          <w:rFonts w:ascii="Arial" w:hAnsi="Arial" w:cs="Arial"/>
          <w:color w:val="000000"/>
          <w:sz w:val="22"/>
          <w:szCs w:val="22"/>
          <w:lang w:val="es-AR" w:eastAsia="es-AR"/>
        </w:rPr>
        <w:t>Restricción del derecho a voto en el Consejo Fed</w:t>
      </w:r>
      <w:r w:rsidR="0022483C" w:rsidRPr="00117BF8">
        <w:rPr>
          <w:rFonts w:ascii="Arial" w:hAnsi="Arial" w:cs="Arial"/>
          <w:color w:val="000000"/>
          <w:sz w:val="22"/>
          <w:szCs w:val="22"/>
          <w:lang w:val="es-AR" w:eastAsia="es-AR"/>
        </w:rPr>
        <w:t>eral de Responsabilidad Fiscal.</w:t>
      </w:r>
    </w:p>
    <w:p w14:paraId="410E850C" w14:textId="77777777" w:rsidR="006D5A61" w:rsidRPr="00117BF8" w:rsidRDefault="006D5A61" w:rsidP="004424D9">
      <w:pPr>
        <w:pStyle w:val="HPUN0"/>
        <w:numPr>
          <w:ilvl w:val="1"/>
          <w:numId w:val="14"/>
        </w:numPr>
        <w:rPr>
          <w:rFonts w:ascii="Arial" w:hAnsi="Arial" w:cs="Arial"/>
          <w:color w:val="000000"/>
          <w:sz w:val="22"/>
          <w:szCs w:val="22"/>
          <w:lang w:val="es-AR" w:eastAsia="es-AR"/>
        </w:rPr>
      </w:pPr>
      <w:r w:rsidRPr="00117BF8">
        <w:rPr>
          <w:rFonts w:ascii="Arial" w:hAnsi="Arial" w:cs="Arial"/>
          <w:color w:val="000000"/>
          <w:sz w:val="22"/>
          <w:szCs w:val="22"/>
          <w:lang w:val="es-AR" w:eastAsia="es-AR"/>
        </w:rPr>
        <w:t>Limitación en el otorgamiento de avales y garantías p</w:t>
      </w:r>
      <w:r w:rsidR="0022483C" w:rsidRPr="00117BF8">
        <w:rPr>
          <w:rFonts w:ascii="Arial" w:hAnsi="Arial" w:cs="Arial"/>
          <w:color w:val="000000"/>
          <w:sz w:val="22"/>
          <w:szCs w:val="22"/>
          <w:lang w:val="es-AR" w:eastAsia="es-AR"/>
        </w:rPr>
        <w:t>or parte del Gobierno Nacional.</w:t>
      </w:r>
    </w:p>
    <w:p w14:paraId="651301E9" w14:textId="77777777" w:rsidR="0022483C" w:rsidRPr="00117BF8" w:rsidRDefault="006D5A61" w:rsidP="004424D9">
      <w:pPr>
        <w:pStyle w:val="HPUN0"/>
        <w:numPr>
          <w:ilvl w:val="1"/>
          <w:numId w:val="14"/>
        </w:numPr>
        <w:rPr>
          <w:rFonts w:ascii="Arial" w:hAnsi="Arial" w:cs="Arial"/>
          <w:color w:val="000000"/>
          <w:sz w:val="22"/>
          <w:szCs w:val="22"/>
          <w:lang w:val="es-AR" w:eastAsia="es-AR"/>
        </w:rPr>
      </w:pPr>
      <w:r w:rsidRPr="00117BF8">
        <w:rPr>
          <w:rFonts w:ascii="Arial" w:hAnsi="Arial" w:cs="Arial"/>
          <w:color w:val="000000"/>
          <w:sz w:val="22"/>
          <w:szCs w:val="22"/>
          <w:lang w:val="es-AR" w:eastAsia="es-AR"/>
        </w:rPr>
        <w:t>Limitación de las transferencias presupuestarias del Gobierno Nacional con destino a las jurisdicciones que no sean originadas en impuestos nacionales coparticipables de transferencia automática.</w:t>
      </w:r>
    </w:p>
    <w:p w14:paraId="253D3EB5" w14:textId="77777777" w:rsidR="00E951B4" w:rsidRPr="00117BF8" w:rsidRDefault="00E951B4" w:rsidP="00E951B4">
      <w:pPr>
        <w:pStyle w:val="Heading1"/>
        <w:rPr>
          <w:rFonts w:ascii="Arial" w:eastAsia="Calibri" w:hAnsi="Arial" w:cs="Arial"/>
          <w:sz w:val="22"/>
          <w:szCs w:val="22"/>
        </w:rPr>
      </w:pPr>
      <w:bookmarkStart w:id="24" w:name="_Toc494040312"/>
      <w:r w:rsidRPr="00117BF8">
        <w:rPr>
          <w:rFonts w:ascii="Arial" w:eastAsia="Calibri" w:hAnsi="Arial" w:cs="Arial"/>
          <w:sz w:val="22"/>
          <w:szCs w:val="22"/>
        </w:rPr>
        <w:t xml:space="preserve">Análisis histórico de las finanzas </w:t>
      </w:r>
      <w:r w:rsidR="00434C3F" w:rsidRPr="00117BF8">
        <w:rPr>
          <w:rFonts w:ascii="Arial" w:eastAsia="Calibri" w:hAnsi="Arial" w:cs="Arial"/>
          <w:sz w:val="22"/>
          <w:szCs w:val="22"/>
        </w:rPr>
        <w:t>Públicas de la PBA</w:t>
      </w:r>
      <w:bookmarkEnd w:id="24"/>
    </w:p>
    <w:p w14:paraId="399B7148" w14:textId="2D9318B6" w:rsidR="00573E33" w:rsidRPr="00117BF8" w:rsidRDefault="00573E33" w:rsidP="00573E33">
      <w:pPr>
        <w:pStyle w:val="hsa"/>
        <w:rPr>
          <w:rFonts w:ascii="Arial" w:hAnsi="Arial" w:cs="Arial"/>
          <w:sz w:val="22"/>
          <w:szCs w:val="22"/>
        </w:rPr>
      </w:pPr>
      <w:r w:rsidRPr="00117BF8">
        <w:rPr>
          <w:rFonts w:ascii="Arial" w:hAnsi="Arial" w:cs="Arial"/>
          <w:sz w:val="22"/>
          <w:szCs w:val="22"/>
        </w:rPr>
        <w:t>En el presente título se analiza el período 2013 a 2016 inclusive, en algunos casos con propósitos comparativos se incluyen datos del presupuesto 2017. Salvo que se indique lo contrario</w:t>
      </w:r>
      <w:r w:rsidR="00EE4C11" w:rsidRPr="00117BF8">
        <w:rPr>
          <w:rFonts w:ascii="Arial" w:hAnsi="Arial" w:cs="Arial"/>
          <w:sz w:val="22"/>
          <w:szCs w:val="22"/>
        </w:rPr>
        <w:t>,</w:t>
      </w:r>
      <w:r w:rsidRPr="00117BF8">
        <w:rPr>
          <w:rFonts w:ascii="Arial" w:hAnsi="Arial" w:cs="Arial"/>
          <w:sz w:val="22"/>
          <w:szCs w:val="22"/>
        </w:rPr>
        <w:t xml:space="preserve"> lo</w:t>
      </w:r>
      <w:r w:rsidR="00913457" w:rsidRPr="00117BF8">
        <w:rPr>
          <w:rFonts w:ascii="Arial" w:hAnsi="Arial" w:cs="Arial"/>
          <w:sz w:val="22"/>
          <w:szCs w:val="22"/>
        </w:rPr>
        <w:t>s</w:t>
      </w:r>
      <w:r w:rsidRPr="00117BF8">
        <w:rPr>
          <w:rFonts w:ascii="Arial" w:hAnsi="Arial" w:cs="Arial"/>
          <w:sz w:val="22"/>
          <w:szCs w:val="22"/>
        </w:rPr>
        <w:t xml:space="preserve"> montos presupuestados y ejecutados corresponden a la Administración Pública No Financiera (APNF), ver título 3.3.</w:t>
      </w:r>
    </w:p>
    <w:p w14:paraId="1B55B498" w14:textId="77777777" w:rsidR="00F674B2" w:rsidRPr="00117BF8" w:rsidRDefault="00F674B2" w:rsidP="00573E33">
      <w:pPr>
        <w:pStyle w:val="hsa"/>
        <w:rPr>
          <w:rFonts w:ascii="Arial" w:hAnsi="Arial" w:cs="Arial"/>
          <w:sz w:val="22"/>
          <w:szCs w:val="22"/>
        </w:rPr>
      </w:pPr>
      <w:r w:rsidRPr="00117BF8">
        <w:rPr>
          <w:rFonts w:ascii="Arial" w:hAnsi="Arial" w:cs="Arial"/>
          <w:sz w:val="22"/>
          <w:szCs w:val="22"/>
        </w:rPr>
        <w:t>El Anexo III forma parte de este capítulo, las tablas que en él se incluyen llevan numeración correlativa precedidas por A III</w:t>
      </w:r>
      <w:r w:rsidR="00EE4C11" w:rsidRPr="00117BF8">
        <w:rPr>
          <w:rFonts w:ascii="Arial" w:hAnsi="Arial" w:cs="Arial"/>
          <w:sz w:val="22"/>
          <w:szCs w:val="22"/>
        </w:rPr>
        <w:t>.</w:t>
      </w:r>
    </w:p>
    <w:p w14:paraId="41FDF21A" w14:textId="77777777" w:rsidR="002C3683" w:rsidRPr="00117BF8" w:rsidRDefault="002C3683" w:rsidP="002C3683">
      <w:pPr>
        <w:pStyle w:val="Heading2"/>
        <w:rPr>
          <w:rFonts w:ascii="Arial" w:eastAsia="Calibri" w:hAnsi="Arial" w:cs="Arial"/>
          <w:sz w:val="22"/>
          <w:szCs w:val="22"/>
        </w:rPr>
      </w:pPr>
      <w:bookmarkStart w:id="25" w:name="_Toc494040313"/>
      <w:r w:rsidRPr="00117BF8">
        <w:rPr>
          <w:rFonts w:ascii="Arial" w:eastAsia="Calibri" w:hAnsi="Arial" w:cs="Arial"/>
          <w:sz w:val="22"/>
          <w:szCs w:val="22"/>
        </w:rPr>
        <w:t>Análisis de</w:t>
      </w:r>
      <w:r w:rsidR="00603073" w:rsidRPr="00117BF8">
        <w:rPr>
          <w:rFonts w:ascii="Arial" w:eastAsia="Calibri" w:hAnsi="Arial" w:cs="Arial"/>
          <w:sz w:val="22"/>
          <w:szCs w:val="22"/>
        </w:rPr>
        <w:t xml:space="preserve"> </w:t>
      </w:r>
      <w:r w:rsidRPr="00117BF8">
        <w:rPr>
          <w:rFonts w:ascii="Arial" w:eastAsia="Calibri" w:hAnsi="Arial" w:cs="Arial"/>
          <w:sz w:val="22"/>
          <w:szCs w:val="22"/>
        </w:rPr>
        <w:t>l</w:t>
      </w:r>
      <w:r w:rsidR="00603073" w:rsidRPr="00117BF8">
        <w:rPr>
          <w:rFonts w:ascii="Arial" w:eastAsia="Calibri" w:hAnsi="Arial" w:cs="Arial"/>
          <w:sz w:val="22"/>
          <w:szCs w:val="22"/>
        </w:rPr>
        <w:t>o</w:t>
      </w:r>
      <w:r w:rsidR="00913457" w:rsidRPr="00117BF8">
        <w:rPr>
          <w:rFonts w:ascii="Arial" w:eastAsia="Calibri" w:hAnsi="Arial" w:cs="Arial"/>
          <w:sz w:val="22"/>
          <w:szCs w:val="22"/>
        </w:rPr>
        <w:t>s</w:t>
      </w:r>
      <w:r w:rsidRPr="00117BF8">
        <w:rPr>
          <w:rFonts w:ascii="Arial" w:eastAsia="Calibri" w:hAnsi="Arial" w:cs="Arial"/>
          <w:sz w:val="22"/>
          <w:szCs w:val="22"/>
        </w:rPr>
        <w:t xml:space="preserve"> </w:t>
      </w:r>
      <w:r w:rsidR="00603073" w:rsidRPr="00117BF8">
        <w:rPr>
          <w:rFonts w:ascii="Arial" w:eastAsia="Calibri" w:hAnsi="Arial" w:cs="Arial"/>
          <w:sz w:val="22"/>
          <w:szCs w:val="22"/>
        </w:rPr>
        <w:t>Resultados</w:t>
      </w:r>
      <w:r w:rsidRPr="00117BF8">
        <w:rPr>
          <w:rFonts w:ascii="Arial" w:eastAsia="Calibri" w:hAnsi="Arial" w:cs="Arial"/>
          <w:sz w:val="22"/>
          <w:szCs w:val="22"/>
        </w:rPr>
        <w:t>.</w:t>
      </w:r>
      <w:bookmarkEnd w:id="25"/>
    </w:p>
    <w:p w14:paraId="463DA2D7" w14:textId="77777777" w:rsidR="00D147AF" w:rsidRPr="00117BF8" w:rsidRDefault="00AD4AF8" w:rsidP="002C3683">
      <w:pPr>
        <w:pStyle w:val="hsa"/>
        <w:rPr>
          <w:rFonts w:ascii="Arial" w:eastAsia="Calibri" w:hAnsi="Arial" w:cs="Arial"/>
          <w:sz w:val="22"/>
          <w:szCs w:val="22"/>
        </w:rPr>
      </w:pPr>
      <w:r w:rsidRPr="00117BF8">
        <w:rPr>
          <w:rFonts w:ascii="Arial" w:eastAsia="Calibri" w:hAnsi="Arial" w:cs="Arial"/>
          <w:sz w:val="22"/>
          <w:szCs w:val="22"/>
        </w:rPr>
        <w:t xml:space="preserve">La evolución de los principales resultados presupuestarios </w:t>
      </w:r>
      <w:r w:rsidR="00434C3F" w:rsidRPr="00117BF8">
        <w:rPr>
          <w:rFonts w:ascii="Arial" w:eastAsia="Calibri" w:hAnsi="Arial" w:cs="Arial"/>
          <w:sz w:val="22"/>
          <w:szCs w:val="22"/>
        </w:rPr>
        <w:t>de la PBA</w:t>
      </w:r>
      <w:r w:rsidRPr="00117BF8">
        <w:rPr>
          <w:rFonts w:ascii="Arial" w:eastAsia="Calibri" w:hAnsi="Arial" w:cs="Arial"/>
          <w:sz w:val="22"/>
          <w:szCs w:val="22"/>
        </w:rPr>
        <w:t xml:space="preserve"> se indica en la tabla </w:t>
      </w:r>
      <w:r w:rsidR="00D147AF" w:rsidRPr="00117BF8">
        <w:rPr>
          <w:rFonts w:ascii="Arial" w:eastAsia="Calibri" w:hAnsi="Arial" w:cs="Arial"/>
          <w:sz w:val="22"/>
          <w:szCs w:val="22"/>
        </w:rPr>
        <w:t>2</w:t>
      </w:r>
      <w:r w:rsidRPr="00117BF8">
        <w:rPr>
          <w:rFonts w:ascii="Arial" w:eastAsia="Calibri" w:hAnsi="Arial" w:cs="Arial"/>
          <w:sz w:val="22"/>
          <w:szCs w:val="22"/>
        </w:rPr>
        <w:t>.</w:t>
      </w:r>
      <w:r w:rsidR="00D147AF" w:rsidRPr="00117BF8">
        <w:rPr>
          <w:rFonts w:ascii="Arial" w:eastAsia="Calibri" w:hAnsi="Arial" w:cs="Arial"/>
          <w:sz w:val="22"/>
          <w:szCs w:val="22"/>
        </w:rPr>
        <w:t xml:space="preserve"> En términos de resultados económicos los dos primeros ejercicios son positivos, situación que se revierte fuertemente en 2015 y se repite en 2016. Para el presupuesto 2017 se proyecta un monto levemente negativo.</w:t>
      </w:r>
      <w:r w:rsidR="00F674B2" w:rsidRPr="00117BF8">
        <w:rPr>
          <w:rFonts w:ascii="Arial" w:eastAsia="Calibri" w:hAnsi="Arial" w:cs="Arial"/>
          <w:sz w:val="22"/>
          <w:szCs w:val="22"/>
        </w:rPr>
        <w:t xml:space="preserve"> (En la</w:t>
      </w:r>
      <w:r w:rsidR="00FF6292" w:rsidRPr="00117BF8">
        <w:rPr>
          <w:rFonts w:ascii="Arial" w:eastAsia="Calibri" w:hAnsi="Arial" w:cs="Arial"/>
          <w:sz w:val="22"/>
          <w:szCs w:val="22"/>
        </w:rPr>
        <w:t xml:space="preserve"> Tabla AIII-1 se detalla</w:t>
      </w:r>
      <w:r w:rsidR="00EE4C11" w:rsidRPr="00117BF8">
        <w:rPr>
          <w:rFonts w:ascii="Arial" w:eastAsia="Calibri" w:hAnsi="Arial" w:cs="Arial"/>
          <w:sz w:val="22"/>
          <w:szCs w:val="22"/>
        </w:rPr>
        <w:t xml:space="preserve"> la composición de</w:t>
      </w:r>
      <w:r w:rsidR="00FF6292" w:rsidRPr="00117BF8">
        <w:rPr>
          <w:rFonts w:ascii="Arial" w:eastAsia="Calibri" w:hAnsi="Arial" w:cs="Arial"/>
          <w:sz w:val="22"/>
          <w:szCs w:val="22"/>
        </w:rPr>
        <w:t>l</w:t>
      </w:r>
      <w:r w:rsidR="00EE4C11" w:rsidRPr="00117BF8">
        <w:rPr>
          <w:rFonts w:ascii="Arial" w:eastAsia="Calibri" w:hAnsi="Arial" w:cs="Arial"/>
          <w:sz w:val="22"/>
          <w:szCs w:val="22"/>
        </w:rPr>
        <w:t xml:space="preserve"> resultado financiero de los cua</w:t>
      </w:r>
      <w:r w:rsidR="00FF6292" w:rsidRPr="00117BF8">
        <w:rPr>
          <w:rFonts w:ascii="Arial" w:eastAsia="Calibri" w:hAnsi="Arial" w:cs="Arial"/>
          <w:sz w:val="22"/>
          <w:szCs w:val="22"/>
        </w:rPr>
        <w:t>tro años bajo análisis).</w:t>
      </w:r>
    </w:p>
    <w:p w14:paraId="459CF250" w14:textId="77777777" w:rsidR="00561A84" w:rsidRPr="00117BF8" w:rsidRDefault="00D82CB5" w:rsidP="002C3683">
      <w:pPr>
        <w:pStyle w:val="hsa"/>
        <w:rPr>
          <w:rFonts w:ascii="Arial" w:eastAsia="Calibri" w:hAnsi="Arial" w:cs="Arial"/>
          <w:sz w:val="22"/>
          <w:szCs w:val="22"/>
        </w:rPr>
      </w:pPr>
      <w:r w:rsidRPr="00117BF8">
        <w:rPr>
          <w:rFonts w:ascii="Arial" w:eastAsia="Calibri" w:hAnsi="Arial" w:cs="Arial"/>
          <w:sz w:val="22"/>
          <w:szCs w:val="22"/>
        </w:rPr>
        <w:t>El resultado f</w:t>
      </w:r>
      <w:r w:rsidR="001066FF" w:rsidRPr="00117BF8">
        <w:rPr>
          <w:rFonts w:ascii="Arial" w:eastAsia="Calibri" w:hAnsi="Arial" w:cs="Arial"/>
          <w:sz w:val="22"/>
          <w:szCs w:val="22"/>
        </w:rPr>
        <w:t xml:space="preserve">inanciero </w:t>
      </w:r>
      <w:r w:rsidRPr="00117BF8">
        <w:rPr>
          <w:rFonts w:ascii="Arial" w:eastAsia="Calibri" w:hAnsi="Arial" w:cs="Arial"/>
          <w:sz w:val="22"/>
          <w:szCs w:val="22"/>
        </w:rPr>
        <w:t xml:space="preserve">en </w:t>
      </w:r>
      <w:r w:rsidR="001066FF" w:rsidRPr="00117BF8">
        <w:rPr>
          <w:rFonts w:ascii="Arial" w:eastAsia="Calibri" w:hAnsi="Arial" w:cs="Arial"/>
          <w:sz w:val="22"/>
          <w:szCs w:val="22"/>
        </w:rPr>
        <w:t xml:space="preserve">2013 fue negativo y </w:t>
      </w:r>
      <w:r w:rsidRPr="00117BF8">
        <w:rPr>
          <w:rFonts w:ascii="Arial" w:eastAsia="Calibri" w:hAnsi="Arial" w:cs="Arial"/>
          <w:sz w:val="22"/>
          <w:szCs w:val="22"/>
        </w:rPr>
        <w:t xml:space="preserve">cambia a </w:t>
      </w:r>
      <w:r w:rsidR="001066FF" w:rsidRPr="00117BF8">
        <w:rPr>
          <w:rFonts w:ascii="Arial" w:eastAsia="Calibri" w:hAnsi="Arial" w:cs="Arial"/>
          <w:sz w:val="22"/>
          <w:szCs w:val="22"/>
        </w:rPr>
        <w:t xml:space="preserve">positivo al año siguiente, aunque en ambos casos presentaron </w:t>
      </w:r>
      <w:r w:rsidR="00EE4C11" w:rsidRPr="00117BF8">
        <w:rPr>
          <w:rFonts w:ascii="Arial" w:eastAsia="Calibri" w:hAnsi="Arial" w:cs="Arial"/>
          <w:sz w:val="22"/>
          <w:szCs w:val="22"/>
        </w:rPr>
        <w:t>montos</w:t>
      </w:r>
      <w:r w:rsidR="001066FF" w:rsidRPr="00117BF8">
        <w:rPr>
          <w:rFonts w:ascii="Arial" w:eastAsia="Calibri" w:hAnsi="Arial" w:cs="Arial"/>
          <w:sz w:val="22"/>
          <w:szCs w:val="22"/>
        </w:rPr>
        <w:t xml:space="preserve"> reducidos. En cambio en los años 2015 y 2016 fue fuertemente negativo, siguiendo el comportamiento del resultado económico. </w:t>
      </w:r>
      <w:r w:rsidRPr="00117BF8">
        <w:rPr>
          <w:rFonts w:ascii="Arial" w:eastAsia="Calibri" w:hAnsi="Arial" w:cs="Arial"/>
          <w:sz w:val="22"/>
          <w:szCs w:val="22"/>
        </w:rPr>
        <w:t xml:space="preserve">Aunque </w:t>
      </w:r>
      <w:r w:rsidR="001066FF" w:rsidRPr="00117BF8">
        <w:rPr>
          <w:rFonts w:ascii="Arial" w:eastAsia="Calibri" w:hAnsi="Arial" w:cs="Arial"/>
          <w:sz w:val="22"/>
          <w:szCs w:val="22"/>
        </w:rPr>
        <w:t xml:space="preserve">el </w:t>
      </w:r>
      <w:r w:rsidRPr="00117BF8">
        <w:rPr>
          <w:rFonts w:ascii="Arial" w:eastAsia="Calibri" w:hAnsi="Arial" w:cs="Arial"/>
          <w:sz w:val="22"/>
          <w:szCs w:val="22"/>
        </w:rPr>
        <w:t xml:space="preserve">fuerte incremento del </w:t>
      </w:r>
      <w:r w:rsidR="001066FF" w:rsidRPr="00117BF8">
        <w:rPr>
          <w:rFonts w:ascii="Arial" w:eastAsia="Calibri" w:hAnsi="Arial" w:cs="Arial"/>
          <w:sz w:val="22"/>
          <w:szCs w:val="22"/>
        </w:rPr>
        <w:t xml:space="preserve">déficit de </w:t>
      </w:r>
      <w:r w:rsidRPr="00117BF8">
        <w:rPr>
          <w:rFonts w:ascii="Arial" w:eastAsia="Calibri" w:hAnsi="Arial" w:cs="Arial"/>
          <w:sz w:val="22"/>
          <w:szCs w:val="22"/>
        </w:rPr>
        <w:t xml:space="preserve">la cuenta </w:t>
      </w:r>
      <w:r w:rsidR="001066FF" w:rsidRPr="00117BF8">
        <w:rPr>
          <w:rFonts w:ascii="Arial" w:eastAsia="Calibri" w:hAnsi="Arial" w:cs="Arial"/>
          <w:sz w:val="22"/>
          <w:szCs w:val="22"/>
        </w:rPr>
        <w:t>capital</w:t>
      </w:r>
      <w:r w:rsidRPr="00117BF8">
        <w:rPr>
          <w:rFonts w:ascii="Arial" w:eastAsia="Calibri" w:hAnsi="Arial" w:cs="Arial"/>
          <w:sz w:val="22"/>
          <w:szCs w:val="22"/>
        </w:rPr>
        <w:t xml:space="preserve"> en 2016</w:t>
      </w:r>
      <w:r w:rsidR="001066FF" w:rsidRPr="00117BF8">
        <w:rPr>
          <w:rFonts w:ascii="Arial" w:eastAsia="Calibri" w:hAnsi="Arial" w:cs="Arial"/>
          <w:sz w:val="22"/>
          <w:szCs w:val="22"/>
        </w:rPr>
        <w:t xml:space="preserve">, </w:t>
      </w:r>
      <w:r w:rsidRPr="00117BF8">
        <w:rPr>
          <w:rFonts w:ascii="Arial" w:eastAsia="Calibri" w:hAnsi="Arial" w:cs="Arial"/>
          <w:sz w:val="22"/>
          <w:szCs w:val="22"/>
        </w:rPr>
        <w:t xml:space="preserve">determina un aumento en la brecha negativa entre </w:t>
      </w:r>
      <w:r w:rsidR="001066FF" w:rsidRPr="00117BF8">
        <w:rPr>
          <w:rFonts w:ascii="Arial" w:eastAsia="Calibri" w:hAnsi="Arial" w:cs="Arial"/>
          <w:sz w:val="22"/>
          <w:szCs w:val="22"/>
        </w:rPr>
        <w:t xml:space="preserve">el </w:t>
      </w:r>
      <w:r w:rsidRPr="00117BF8">
        <w:rPr>
          <w:rFonts w:ascii="Arial" w:eastAsia="Calibri" w:hAnsi="Arial" w:cs="Arial"/>
          <w:sz w:val="22"/>
          <w:szCs w:val="22"/>
        </w:rPr>
        <w:t>resultado f</w:t>
      </w:r>
      <w:r w:rsidR="001066FF" w:rsidRPr="00117BF8">
        <w:rPr>
          <w:rFonts w:ascii="Arial" w:eastAsia="Calibri" w:hAnsi="Arial" w:cs="Arial"/>
          <w:sz w:val="22"/>
          <w:szCs w:val="22"/>
        </w:rPr>
        <w:t>inanciero</w:t>
      </w:r>
      <w:r w:rsidRPr="00117BF8">
        <w:rPr>
          <w:rFonts w:ascii="Arial" w:eastAsia="Calibri" w:hAnsi="Arial" w:cs="Arial"/>
          <w:sz w:val="22"/>
          <w:szCs w:val="22"/>
        </w:rPr>
        <w:t xml:space="preserve"> y el económico</w:t>
      </w:r>
      <w:r w:rsidR="001066FF" w:rsidRPr="00117BF8">
        <w:rPr>
          <w:rFonts w:ascii="Arial" w:eastAsia="Calibri" w:hAnsi="Arial" w:cs="Arial"/>
          <w:sz w:val="22"/>
          <w:szCs w:val="22"/>
        </w:rPr>
        <w:t>. Para el 2017, se estima un incremento de</w:t>
      </w:r>
      <w:r w:rsidRPr="00117BF8">
        <w:rPr>
          <w:rFonts w:ascii="Arial" w:eastAsia="Calibri" w:hAnsi="Arial" w:cs="Arial"/>
          <w:sz w:val="22"/>
          <w:szCs w:val="22"/>
        </w:rPr>
        <w:t>l saldo financiero negativo de</w:t>
      </w:r>
      <w:r w:rsidR="001066FF" w:rsidRPr="00117BF8">
        <w:rPr>
          <w:rFonts w:ascii="Arial" w:eastAsia="Calibri" w:hAnsi="Arial" w:cs="Arial"/>
          <w:sz w:val="22"/>
          <w:szCs w:val="22"/>
        </w:rPr>
        <w:t xml:space="preserve"> algo más del 10%.</w:t>
      </w:r>
    </w:p>
    <w:p w14:paraId="3108C998" w14:textId="77777777" w:rsidR="00A709CE" w:rsidRPr="00117BF8" w:rsidRDefault="00A709CE" w:rsidP="002C3683">
      <w:pPr>
        <w:pStyle w:val="hsa"/>
        <w:rPr>
          <w:rFonts w:ascii="Arial" w:eastAsia="Calibri" w:hAnsi="Arial" w:cs="Arial"/>
          <w:sz w:val="22"/>
          <w:szCs w:val="22"/>
        </w:rPr>
      </w:pPr>
      <w:r w:rsidRPr="00117BF8">
        <w:rPr>
          <w:rFonts w:ascii="Arial" w:eastAsia="Calibri" w:hAnsi="Arial" w:cs="Arial"/>
          <w:sz w:val="22"/>
          <w:szCs w:val="22"/>
        </w:rPr>
        <w:t>Los resultados primarios de los dos primeros años fueron positivos y crecientes, luego estos saldos se revierten fuertemente acompañando el desempeño del resto de los resultados.</w:t>
      </w:r>
      <w:r w:rsidR="00757E5F" w:rsidRPr="00117BF8">
        <w:rPr>
          <w:rFonts w:ascii="Arial" w:eastAsia="Calibri" w:hAnsi="Arial" w:cs="Arial"/>
          <w:sz w:val="22"/>
          <w:szCs w:val="22"/>
        </w:rPr>
        <w:t xml:space="preserve"> Entre 2016 y 2015 la diferencia con el </w:t>
      </w:r>
      <w:r w:rsidR="00EE4C11" w:rsidRPr="00117BF8">
        <w:rPr>
          <w:rFonts w:ascii="Arial" w:eastAsia="Calibri" w:hAnsi="Arial" w:cs="Arial"/>
          <w:sz w:val="22"/>
          <w:szCs w:val="22"/>
        </w:rPr>
        <w:t>r</w:t>
      </w:r>
      <w:r w:rsidR="00757E5F" w:rsidRPr="00117BF8">
        <w:rPr>
          <w:rFonts w:ascii="Arial" w:eastAsia="Calibri" w:hAnsi="Arial" w:cs="Arial"/>
          <w:sz w:val="22"/>
          <w:szCs w:val="22"/>
        </w:rPr>
        <w:t xml:space="preserve">esultado </w:t>
      </w:r>
      <w:r w:rsidR="00EE4C11" w:rsidRPr="00117BF8">
        <w:rPr>
          <w:rFonts w:ascii="Arial" w:eastAsia="Calibri" w:hAnsi="Arial" w:cs="Arial"/>
          <w:sz w:val="22"/>
          <w:szCs w:val="22"/>
        </w:rPr>
        <w:t>f</w:t>
      </w:r>
      <w:r w:rsidR="00757E5F" w:rsidRPr="00117BF8">
        <w:rPr>
          <w:rFonts w:ascii="Arial" w:eastAsia="Calibri" w:hAnsi="Arial" w:cs="Arial"/>
          <w:sz w:val="22"/>
          <w:szCs w:val="22"/>
        </w:rPr>
        <w:t>inanciero aumenta más del 50%</w:t>
      </w:r>
      <w:r w:rsidR="00EE4C11" w:rsidRPr="00117BF8">
        <w:rPr>
          <w:rFonts w:ascii="Arial" w:eastAsia="Calibri" w:hAnsi="Arial" w:cs="Arial"/>
          <w:sz w:val="22"/>
          <w:szCs w:val="22"/>
        </w:rPr>
        <w:t>,</w:t>
      </w:r>
      <w:r w:rsidR="00757E5F" w:rsidRPr="00117BF8">
        <w:rPr>
          <w:rFonts w:ascii="Arial" w:eastAsia="Calibri" w:hAnsi="Arial" w:cs="Arial"/>
          <w:sz w:val="22"/>
          <w:szCs w:val="22"/>
        </w:rPr>
        <w:t xml:space="preserve"> como consecuencia de un importante incremento </w:t>
      </w:r>
      <w:r w:rsidR="00EE4C11" w:rsidRPr="00117BF8">
        <w:rPr>
          <w:rFonts w:ascii="Arial" w:eastAsia="Calibri" w:hAnsi="Arial" w:cs="Arial"/>
          <w:sz w:val="22"/>
          <w:szCs w:val="22"/>
        </w:rPr>
        <w:t>en</w:t>
      </w:r>
      <w:r w:rsidR="00757E5F" w:rsidRPr="00117BF8">
        <w:rPr>
          <w:rFonts w:ascii="Arial" w:eastAsia="Calibri" w:hAnsi="Arial" w:cs="Arial"/>
          <w:sz w:val="22"/>
          <w:szCs w:val="22"/>
        </w:rPr>
        <w:t xml:space="preserve"> los intereses (Ver Servicio de Deuda)</w:t>
      </w:r>
      <w:r w:rsidR="00D82CB5" w:rsidRPr="00117BF8">
        <w:rPr>
          <w:rFonts w:ascii="Arial" w:eastAsia="Calibri" w:hAnsi="Arial" w:cs="Arial"/>
          <w:sz w:val="22"/>
          <w:szCs w:val="22"/>
        </w:rPr>
        <w:t>.</w:t>
      </w:r>
    </w:p>
    <w:p w14:paraId="392AA097" w14:textId="77777777" w:rsidR="001066FF" w:rsidRPr="00117BF8" w:rsidRDefault="00740BD1" w:rsidP="001066FF">
      <w:pPr>
        <w:pStyle w:val="hsa"/>
        <w:rPr>
          <w:rFonts w:ascii="Arial" w:eastAsia="Calibri" w:hAnsi="Arial" w:cs="Arial"/>
          <w:sz w:val="22"/>
          <w:szCs w:val="22"/>
        </w:rPr>
      </w:pPr>
      <w:r w:rsidRPr="00117BF8">
        <w:rPr>
          <w:rFonts w:ascii="Arial" w:eastAsia="Calibri" w:hAnsi="Arial" w:cs="Arial"/>
          <w:sz w:val="22"/>
          <w:szCs w:val="22"/>
        </w:rPr>
        <w:t xml:space="preserve">La </w:t>
      </w:r>
      <w:r w:rsidRPr="00117BF8">
        <w:rPr>
          <w:rFonts w:ascii="Arial" w:hAnsi="Arial" w:cs="Arial"/>
          <w:sz w:val="22"/>
          <w:szCs w:val="22"/>
        </w:rPr>
        <w:t>CGPBA informa Resultado Total negativo para los años 2013 a 2015, con el propósito de presentar adecuadamente los resultados, en la Tabla 2 y otras, se incluyó una línea de ajuste té</w:t>
      </w:r>
      <w:r w:rsidR="00AE3562" w:rsidRPr="00117BF8">
        <w:rPr>
          <w:rFonts w:ascii="Arial" w:hAnsi="Arial" w:cs="Arial"/>
          <w:sz w:val="22"/>
          <w:szCs w:val="22"/>
        </w:rPr>
        <w:t xml:space="preserve">cnico, para reflejar </w:t>
      </w:r>
      <w:r w:rsidR="00280473" w:rsidRPr="00117BF8">
        <w:rPr>
          <w:rFonts w:ascii="Arial" w:hAnsi="Arial" w:cs="Arial"/>
          <w:sz w:val="22"/>
          <w:szCs w:val="22"/>
        </w:rPr>
        <w:t>todas las fuentes</w:t>
      </w:r>
      <w:r w:rsidRPr="00117BF8">
        <w:rPr>
          <w:rFonts w:ascii="Arial" w:hAnsi="Arial" w:cs="Arial"/>
          <w:sz w:val="22"/>
          <w:szCs w:val="22"/>
        </w:rPr>
        <w:t xml:space="preserve"> de financiamiento.</w:t>
      </w:r>
    </w:p>
    <w:tbl>
      <w:tblPr>
        <w:tblW w:w="8847"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2850"/>
        <w:gridCol w:w="1134"/>
        <w:gridCol w:w="1134"/>
        <w:gridCol w:w="1134"/>
        <w:gridCol w:w="1134"/>
        <w:gridCol w:w="1461"/>
      </w:tblGrid>
      <w:tr w:rsidR="00903CC4" w:rsidRPr="004E6455" w14:paraId="67585317" w14:textId="77777777" w:rsidTr="00C007D0">
        <w:trPr>
          <w:trHeight w:val="300"/>
        </w:trPr>
        <w:tc>
          <w:tcPr>
            <w:tcW w:w="8847" w:type="dxa"/>
            <w:gridSpan w:val="6"/>
            <w:tcBorders>
              <w:top w:val="single" w:sz="8" w:space="0" w:color="78C0D4"/>
              <w:left w:val="single" w:sz="8" w:space="0" w:color="78C0D4"/>
              <w:bottom w:val="single" w:sz="8" w:space="0" w:color="78C0D4"/>
              <w:right w:val="single" w:sz="8" w:space="0" w:color="78C0D4"/>
            </w:tcBorders>
            <w:shd w:val="clear" w:color="auto" w:fill="0070C0"/>
            <w:noWrap/>
            <w:hideMark/>
          </w:tcPr>
          <w:p w14:paraId="335F8890" w14:textId="77777777" w:rsidR="00903CC4" w:rsidRPr="00117BF8" w:rsidRDefault="00903CC4" w:rsidP="00525D76">
            <w:pPr>
              <w:pStyle w:val="TablaT"/>
              <w:rPr>
                <w:rFonts w:ascii="Arial" w:hAnsi="Arial" w:cs="Arial"/>
                <w:bCs/>
                <w:sz w:val="22"/>
                <w:szCs w:val="22"/>
                <w:lang w:val="es-ES_tradnl"/>
              </w:rPr>
            </w:pPr>
            <w:bookmarkStart w:id="26" w:name="_Toc493861112"/>
            <w:r w:rsidRPr="00117BF8">
              <w:rPr>
                <w:rFonts w:ascii="Arial" w:hAnsi="Arial" w:cs="Arial"/>
                <w:bCs/>
                <w:sz w:val="22"/>
                <w:szCs w:val="22"/>
                <w:lang w:val="es-ES_tradnl"/>
              </w:rPr>
              <w:t xml:space="preserve">Tabla </w:t>
            </w:r>
            <w:r w:rsidR="00525D76" w:rsidRPr="00117BF8">
              <w:rPr>
                <w:rFonts w:ascii="Arial" w:hAnsi="Arial" w:cs="Arial"/>
                <w:bCs/>
                <w:sz w:val="22"/>
                <w:szCs w:val="22"/>
                <w:lang w:val="es-ES_tradnl"/>
              </w:rPr>
              <w:t>2</w:t>
            </w:r>
            <w:r w:rsidRPr="00117BF8">
              <w:rPr>
                <w:rFonts w:ascii="Arial" w:hAnsi="Arial" w:cs="Arial"/>
                <w:bCs/>
                <w:sz w:val="22"/>
                <w:szCs w:val="22"/>
                <w:lang w:val="es-ES_tradnl"/>
              </w:rPr>
              <w:t xml:space="preserve"> - Principales Cuentas Fiscales </w:t>
            </w:r>
            <w:r w:rsidR="00E671EE" w:rsidRPr="00117BF8">
              <w:rPr>
                <w:rFonts w:ascii="Arial" w:hAnsi="Arial" w:cs="Arial"/>
                <w:bCs/>
                <w:sz w:val="22"/>
                <w:szCs w:val="22"/>
                <w:lang w:val="es-ES_tradnl"/>
              </w:rPr>
              <w:t>–</w:t>
            </w:r>
            <w:r w:rsidR="00201B07" w:rsidRPr="00117BF8">
              <w:rPr>
                <w:rFonts w:ascii="Arial" w:hAnsi="Arial" w:cs="Arial"/>
                <w:bCs/>
                <w:sz w:val="22"/>
                <w:szCs w:val="22"/>
                <w:lang w:val="es-ES_tradnl"/>
              </w:rPr>
              <w:t xml:space="preserve"> </w:t>
            </w:r>
            <w:r w:rsidRPr="00117BF8">
              <w:rPr>
                <w:rFonts w:ascii="Arial" w:hAnsi="Arial" w:cs="Arial"/>
                <w:bCs/>
                <w:sz w:val="22"/>
                <w:szCs w:val="22"/>
                <w:lang w:val="es-ES_tradnl"/>
              </w:rPr>
              <w:t>Ejecutado</w:t>
            </w:r>
            <w:r w:rsidR="00E671EE" w:rsidRPr="00117BF8">
              <w:rPr>
                <w:rFonts w:ascii="Arial" w:hAnsi="Arial" w:cs="Arial"/>
                <w:bCs/>
                <w:sz w:val="22"/>
                <w:szCs w:val="22"/>
                <w:lang w:val="es-ES_tradnl"/>
              </w:rPr>
              <w:t xml:space="preserve"> y Presupuesto 2017</w:t>
            </w:r>
            <w:bookmarkEnd w:id="26"/>
          </w:p>
          <w:p w14:paraId="7306CFA1" w14:textId="77777777" w:rsidR="00903CC4" w:rsidRPr="00117BF8" w:rsidRDefault="00903CC4" w:rsidP="00201B07">
            <w:pPr>
              <w:pStyle w:val="TablaC"/>
              <w:rPr>
                <w:rFonts w:ascii="Arial" w:hAnsi="Arial" w:cs="Arial"/>
                <w:bCs/>
                <w:color w:val="FFFFFF"/>
                <w:szCs w:val="22"/>
              </w:rPr>
            </w:pPr>
            <w:r w:rsidRPr="00117BF8">
              <w:rPr>
                <w:rFonts w:ascii="Arial" w:hAnsi="Arial" w:cs="Arial"/>
                <w:bCs/>
                <w:color w:val="FFFFFF"/>
                <w:szCs w:val="22"/>
              </w:rPr>
              <w:t>En millones de pesos</w:t>
            </w:r>
          </w:p>
        </w:tc>
      </w:tr>
      <w:tr w:rsidR="00C007D0" w:rsidRPr="004E6455" w14:paraId="3E026E74" w14:textId="77777777" w:rsidTr="00C007D0">
        <w:trPr>
          <w:trHeight w:val="300"/>
        </w:trPr>
        <w:tc>
          <w:tcPr>
            <w:tcW w:w="2850" w:type="dxa"/>
            <w:vMerge w:val="restart"/>
            <w:tcBorders>
              <w:right w:val="single" w:sz="8" w:space="0" w:color="78C0D4"/>
            </w:tcBorders>
            <w:shd w:val="clear" w:color="auto" w:fill="0070C0"/>
            <w:noWrap/>
            <w:hideMark/>
          </w:tcPr>
          <w:p w14:paraId="42788015" w14:textId="77777777" w:rsidR="00201B07" w:rsidRPr="00117BF8" w:rsidRDefault="00201B07" w:rsidP="00903CC4">
            <w:pPr>
              <w:pStyle w:val="TablaE"/>
              <w:rPr>
                <w:rFonts w:ascii="Arial" w:hAnsi="Arial" w:cs="Arial"/>
                <w:b w:val="0"/>
                <w:bCs/>
              </w:rPr>
            </w:pPr>
          </w:p>
        </w:tc>
        <w:tc>
          <w:tcPr>
            <w:tcW w:w="4536" w:type="dxa"/>
            <w:gridSpan w:val="4"/>
            <w:tcBorders>
              <w:left w:val="single" w:sz="8" w:space="0" w:color="78C0D4"/>
              <w:right w:val="single" w:sz="8" w:space="0" w:color="78C0D4"/>
            </w:tcBorders>
            <w:shd w:val="clear" w:color="auto" w:fill="0070C0"/>
            <w:noWrap/>
            <w:hideMark/>
          </w:tcPr>
          <w:p w14:paraId="23D68098" w14:textId="77777777" w:rsidR="00201B07" w:rsidRPr="00117BF8" w:rsidRDefault="00201B07" w:rsidP="00903CC4">
            <w:pPr>
              <w:pStyle w:val="TablaE"/>
              <w:rPr>
                <w:rFonts w:ascii="Arial" w:hAnsi="Arial" w:cs="Arial"/>
                <w:sz w:val="22"/>
                <w:szCs w:val="22"/>
              </w:rPr>
            </w:pPr>
            <w:r w:rsidRPr="00117BF8">
              <w:rPr>
                <w:rFonts w:ascii="Arial" w:hAnsi="Arial" w:cs="Arial"/>
                <w:sz w:val="22"/>
                <w:szCs w:val="22"/>
              </w:rPr>
              <w:t>Ejecución</w:t>
            </w:r>
          </w:p>
        </w:tc>
        <w:tc>
          <w:tcPr>
            <w:tcW w:w="1461" w:type="dxa"/>
            <w:tcBorders>
              <w:left w:val="single" w:sz="8" w:space="0" w:color="78C0D4"/>
            </w:tcBorders>
            <w:shd w:val="clear" w:color="auto" w:fill="0070C0"/>
            <w:noWrap/>
            <w:hideMark/>
          </w:tcPr>
          <w:p w14:paraId="77100E53" w14:textId="77777777" w:rsidR="00201B07" w:rsidRPr="00117BF8" w:rsidRDefault="00201B07" w:rsidP="00903CC4">
            <w:pPr>
              <w:pStyle w:val="TablaE"/>
              <w:rPr>
                <w:rFonts w:ascii="Arial" w:hAnsi="Arial" w:cs="Arial"/>
                <w:sz w:val="22"/>
                <w:szCs w:val="22"/>
              </w:rPr>
            </w:pPr>
            <w:r w:rsidRPr="00117BF8">
              <w:rPr>
                <w:rFonts w:ascii="Arial" w:hAnsi="Arial" w:cs="Arial"/>
                <w:sz w:val="22"/>
                <w:szCs w:val="22"/>
              </w:rPr>
              <w:t>Presu</w:t>
            </w:r>
            <w:r w:rsidR="001066FF" w:rsidRPr="00117BF8">
              <w:rPr>
                <w:rFonts w:ascii="Arial" w:hAnsi="Arial" w:cs="Arial"/>
                <w:sz w:val="22"/>
                <w:szCs w:val="22"/>
              </w:rPr>
              <w:t>-</w:t>
            </w:r>
            <w:r w:rsidRPr="00117BF8">
              <w:rPr>
                <w:rFonts w:ascii="Arial" w:hAnsi="Arial" w:cs="Arial"/>
                <w:sz w:val="22"/>
                <w:szCs w:val="22"/>
              </w:rPr>
              <w:t>puesto</w:t>
            </w:r>
          </w:p>
        </w:tc>
      </w:tr>
      <w:tr w:rsidR="00C007D0" w:rsidRPr="004E6455" w14:paraId="0020E359" w14:textId="77777777" w:rsidTr="00C007D0">
        <w:trPr>
          <w:trHeight w:val="300"/>
        </w:trPr>
        <w:tc>
          <w:tcPr>
            <w:tcW w:w="2850" w:type="dxa"/>
            <w:vMerge/>
            <w:tcBorders>
              <w:right w:val="single" w:sz="8" w:space="0" w:color="78C0D4"/>
            </w:tcBorders>
            <w:shd w:val="clear" w:color="auto" w:fill="0070C0"/>
            <w:noWrap/>
            <w:hideMark/>
          </w:tcPr>
          <w:p w14:paraId="7E542BFB" w14:textId="77777777" w:rsidR="00201B07" w:rsidRPr="00117BF8" w:rsidRDefault="00201B07" w:rsidP="00903CC4">
            <w:pPr>
              <w:pStyle w:val="TablaE"/>
              <w:rPr>
                <w:rFonts w:ascii="Arial" w:hAnsi="Arial" w:cs="Arial"/>
                <w:b w:val="0"/>
                <w:bCs/>
              </w:rPr>
            </w:pPr>
          </w:p>
        </w:tc>
        <w:tc>
          <w:tcPr>
            <w:tcW w:w="1134" w:type="dxa"/>
            <w:tcBorders>
              <w:left w:val="single" w:sz="8" w:space="0" w:color="78C0D4"/>
              <w:right w:val="single" w:sz="8" w:space="0" w:color="78C0D4"/>
            </w:tcBorders>
            <w:shd w:val="clear" w:color="auto" w:fill="0070C0"/>
            <w:noWrap/>
            <w:hideMark/>
          </w:tcPr>
          <w:p w14:paraId="7E284633" w14:textId="77777777" w:rsidR="00201B07" w:rsidRPr="00117BF8" w:rsidRDefault="00201B07" w:rsidP="00903CC4">
            <w:pPr>
              <w:pStyle w:val="TablaE"/>
              <w:rPr>
                <w:rFonts w:ascii="Arial" w:hAnsi="Arial" w:cs="Arial"/>
                <w:sz w:val="22"/>
                <w:szCs w:val="22"/>
              </w:rPr>
            </w:pPr>
            <w:r w:rsidRPr="00117BF8">
              <w:rPr>
                <w:rFonts w:ascii="Arial" w:hAnsi="Arial" w:cs="Arial"/>
                <w:sz w:val="22"/>
                <w:szCs w:val="22"/>
              </w:rPr>
              <w:t>2013</w:t>
            </w:r>
          </w:p>
        </w:tc>
        <w:tc>
          <w:tcPr>
            <w:tcW w:w="1134" w:type="dxa"/>
            <w:tcBorders>
              <w:left w:val="single" w:sz="8" w:space="0" w:color="78C0D4"/>
              <w:right w:val="single" w:sz="8" w:space="0" w:color="78C0D4"/>
            </w:tcBorders>
            <w:shd w:val="clear" w:color="auto" w:fill="0070C0"/>
            <w:noWrap/>
            <w:hideMark/>
          </w:tcPr>
          <w:p w14:paraId="6A1A02D8" w14:textId="77777777" w:rsidR="00201B07" w:rsidRPr="00117BF8" w:rsidRDefault="00201B07" w:rsidP="00903CC4">
            <w:pPr>
              <w:pStyle w:val="TablaE"/>
              <w:rPr>
                <w:rFonts w:ascii="Arial" w:hAnsi="Arial" w:cs="Arial"/>
                <w:sz w:val="22"/>
                <w:szCs w:val="22"/>
              </w:rPr>
            </w:pPr>
            <w:r w:rsidRPr="00117BF8">
              <w:rPr>
                <w:rFonts w:ascii="Arial" w:hAnsi="Arial" w:cs="Arial"/>
                <w:sz w:val="22"/>
                <w:szCs w:val="22"/>
              </w:rPr>
              <w:t>2014</w:t>
            </w:r>
          </w:p>
        </w:tc>
        <w:tc>
          <w:tcPr>
            <w:tcW w:w="1134" w:type="dxa"/>
            <w:tcBorders>
              <w:left w:val="single" w:sz="8" w:space="0" w:color="78C0D4"/>
              <w:right w:val="single" w:sz="8" w:space="0" w:color="78C0D4"/>
            </w:tcBorders>
            <w:shd w:val="clear" w:color="auto" w:fill="0070C0"/>
            <w:noWrap/>
            <w:hideMark/>
          </w:tcPr>
          <w:p w14:paraId="02EBFD1A" w14:textId="77777777" w:rsidR="00201B07" w:rsidRPr="00117BF8" w:rsidRDefault="00201B07" w:rsidP="00903CC4">
            <w:pPr>
              <w:pStyle w:val="TablaE"/>
              <w:rPr>
                <w:rFonts w:ascii="Arial" w:hAnsi="Arial" w:cs="Arial"/>
                <w:sz w:val="22"/>
                <w:szCs w:val="22"/>
              </w:rPr>
            </w:pPr>
            <w:r w:rsidRPr="00117BF8">
              <w:rPr>
                <w:rFonts w:ascii="Arial" w:hAnsi="Arial" w:cs="Arial"/>
                <w:sz w:val="22"/>
                <w:szCs w:val="22"/>
              </w:rPr>
              <w:t>2015</w:t>
            </w:r>
          </w:p>
        </w:tc>
        <w:tc>
          <w:tcPr>
            <w:tcW w:w="1134" w:type="dxa"/>
            <w:tcBorders>
              <w:left w:val="single" w:sz="8" w:space="0" w:color="78C0D4"/>
              <w:right w:val="single" w:sz="8" w:space="0" w:color="78C0D4"/>
            </w:tcBorders>
            <w:shd w:val="clear" w:color="auto" w:fill="0070C0"/>
            <w:noWrap/>
            <w:hideMark/>
          </w:tcPr>
          <w:p w14:paraId="32597FC0" w14:textId="77777777" w:rsidR="00201B07" w:rsidRPr="00117BF8" w:rsidRDefault="00201B07" w:rsidP="00903CC4">
            <w:pPr>
              <w:pStyle w:val="TablaE"/>
              <w:rPr>
                <w:rFonts w:ascii="Arial" w:hAnsi="Arial" w:cs="Arial"/>
                <w:sz w:val="22"/>
                <w:szCs w:val="22"/>
              </w:rPr>
            </w:pPr>
            <w:r w:rsidRPr="00117BF8">
              <w:rPr>
                <w:rFonts w:ascii="Arial" w:hAnsi="Arial" w:cs="Arial"/>
                <w:sz w:val="22"/>
                <w:szCs w:val="22"/>
              </w:rPr>
              <w:t>2016</w:t>
            </w:r>
          </w:p>
        </w:tc>
        <w:tc>
          <w:tcPr>
            <w:tcW w:w="1461" w:type="dxa"/>
            <w:tcBorders>
              <w:left w:val="single" w:sz="8" w:space="0" w:color="78C0D4"/>
            </w:tcBorders>
            <w:shd w:val="clear" w:color="auto" w:fill="0070C0"/>
            <w:noWrap/>
            <w:hideMark/>
          </w:tcPr>
          <w:p w14:paraId="2E86B029" w14:textId="77777777" w:rsidR="00201B07" w:rsidRPr="00117BF8" w:rsidRDefault="00201B07" w:rsidP="00903CC4">
            <w:pPr>
              <w:pStyle w:val="TablaE"/>
              <w:rPr>
                <w:rFonts w:ascii="Arial" w:hAnsi="Arial" w:cs="Arial"/>
                <w:sz w:val="22"/>
                <w:szCs w:val="22"/>
              </w:rPr>
            </w:pPr>
            <w:r w:rsidRPr="00117BF8">
              <w:rPr>
                <w:rFonts w:ascii="Arial" w:hAnsi="Arial" w:cs="Arial"/>
                <w:sz w:val="22"/>
                <w:szCs w:val="22"/>
              </w:rPr>
              <w:t>2017 (*)</w:t>
            </w:r>
          </w:p>
        </w:tc>
      </w:tr>
      <w:tr w:rsidR="00C007D0" w:rsidRPr="008D04D4" w14:paraId="57398067" w14:textId="77777777" w:rsidTr="00C007D0">
        <w:trPr>
          <w:trHeight w:val="300"/>
        </w:trPr>
        <w:tc>
          <w:tcPr>
            <w:tcW w:w="2850" w:type="dxa"/>
            <w:shd w:val="clear" w:color="auto" w:fill="D2EAF1"/>
            <w:noWrap/>
            <w:hideMark/>
          </w:tcPr>
          <w:p w14:paraId="08BE87A1"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Recursos Corrientes</w:t>
            </w:r>
          </w:p>
        </w:tc>
        <w:tc>
          <w:tcPr>
            <w:tcW w:w="1134" w:type="dxa"/>
            <w:shd w:val="clear" w:color="auto" w:fill="D2EAF1"/>
            <w:noWrap/>
            <w:hideMark/>
          </w:tcPr>
          <w:p w14:paraId="1065EB1B"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146.619</w:t>
            </w:r>
          </w:p>
        </w:tc>
        <w:tc>
          <w:tcPr>
            <w:tcW w:w="1134" w:type="dxa"/>
            <w:shd w:val="clear" w:color="auto" w:fill="D2EAF1"/>
            <w:noWrap/>
            <w:hideMark/>
          </w:tcPr>
          <w:p w14:paraId="30F934D4"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198.002</w:t>
            </w:r>
          </w:p>
        </w:tc>
        <w:tc>
          <w:tcPr>
            <w:tcW w:w="1134" w:type="dxa"/>
            <w:shd w:val="clear" w:color="auto" w:fill="D2EAF1"/>
            <w:noWrap/>
            <w:hideMark/>
          </w:tcPr>
          <w:p w14:paraId="636C854A"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268.936</w:t>
            </w:r>
          </w:p>
        </w:tc>
        <w:tc>
          <w:tcPr>
            <w:tcW w:w="1134" w:type="dxa"/>
            <w:shd w:val="clear" w:color="auto" w:fill="D2EAF1"/>
            <w:noWrap/>
            <w:hideMark/>
          </w:tcPr>
          <w:p w14:paraId="5542490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386.062</w:t>
            </w:r>
          </w:p>
        </w:tc>
        <w:tc>
          <w:tcPr>
            <w:tcW w:w="1461" w:type="dxa"/>
            <w:shd w:val="clear" w:color="auto" w:fill="D2EAF1"/>
            <w:noWrap/>
            <w:hideMark/>
          </w:tcPr>
          <w:p w14:paraId="6AF86B4E"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478.671</w:t>
            </w:r>
          </w:p>
        </w:tc>
      </w:tr>
      <w:tr w:rsidR="00C007D0" w:rsidRPr="008D04D4" w14:paraId="64ADB748" w14:textId="77777777" w:rsidTr="00C007D0">
        <w:trPr>
          <w:trHeight w:val="300"/>
        </w:trPr>
        <w:tc>
          <w:tcPr>
            <w:tcW w:w="2850" w:type="dxa"/>
            <w:tcBorders>
              <w:right w:val="nil"/>
            </w:tcBorders>
            <w:shd w:val="clear" w:color="auto" w:fill="auto"/>
            <w:noWrap/>
            <w:hideMark/>
          </w:tcPr>
          <w:p w14:paraId="53FFCD01"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Gastos Corrientes</w:t>
            </w:r>
          </w:p>
        </w:tc>
        <w:tc>
          <w:tcPr>
            <w:tcW w:w="1134" w:type="dxa"/>
            <w:tcBorders>
              <w:left w:val="nil"/>
              <w:right w:val="nil"/>
            </w:tcBorders>
            <w:shd w:val="clear" w:color="auto" w:fill="auto"/>
            <w:noWrap/>
            <w:hideMark/>
          </w:tcPr>
          <w:p w14:paraId="1768742F"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146.387</w:t>
            </w:r>
          </w:p>
        </w:tc>
        <w:tc>
          <w:tcPr>
            <w:tcW w:w="1134" w:type="dxa"/>
            <w:tcBorders>
              <w:left w:val="nil"/>
              <w:right w:val="nil"/>
            </w:tcBorders>
            <w:shd w:val="clear" w:color="auto" w:fill="auto"/>
            <w:noWrap/>
            <w:hideMark/>
          </w:tcPr>
          <w:p w14:paraId="1D3DFA3B"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194.649</w:t>
            </w:r>
          </w:p>
        </w:tc>
        <w:tc>
          <w:tcPr>
            <w:tcW w:w="1134" w:type="dxa"/>
            <w:tcBorders>
              <w:left w:val="nil"/>
              <w:right w:val="nil"/>
            </w:tcBorders>
            <w:shd w:val="clear" w:color="auto" w:fill="auto"/>
            <w:noWrap/>
            <w:hideMark/>
          </w:tcPr>
          <w:p w14:paraId="6DB56406"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284.756</w:t>
            </w:r>
          </w:p>
        </w:tc>
        <w:tc>
          <w:tcPr>
            <w:tcW w:w="1134" w:type="dxa"/>
            <w:tcBorders>
              <w:left w:val="nil"/>
              <w:right w:val="nil"/>
            </w:tcBorders>
            <w:shd w:val="clear" w:color="auto" w:fill="auto"/>
            <w:noWrap/>
            <w:hideMark/>
          </w:tcPr>
          <w:p w14:paraId="62CB3C0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398.421</w:t>
            </w:r>
          </w:p>
        </w:tc>
        <w:tc>
          <w:tcPr>
            <w:tcW w:w="1461" w:type="dxa"/>
            <w:tcBorders>
              <w:left w:val="nil"/>
            </w:tcBorders>
            <w:shd w:val="clear" w:color="auto" w:fill="auto"/>
            <w:noWrap/>
            <w:hideMark/>
          </w:tcPr>
          <w:p w14:paraId="29CAD081"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478.875</w:t>
            </w:r>
          </w:p>
        </w:tc>
      </w:tr>
      <w:tr w:rsidR="00C007D0" w:rsidRPr="008D04D4" w14:paraId="6E3C2D85" w14:textId="77777777" w:rsidTr="00C007D0">
        <w:trPr>
          <w:trHeight w:val="300"/>
        </w:trPr>
        <w:tc>
          <w:tcPr>
            <w:tcW w:w="2850" w:type="dxa"/>
            <w:shd w:val="clear" w:color="auto" w:fill="D2EAF1"/>
            <w:noWrap/>
            <w:hideMark/>
          </w:tcPr>
          <w:p w14:paraId="775D3DDD"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Resultado Económico</w:t>
            </w:r>
          </w:p>
        </w:tc>
        <w:tc>
          <w:tcPr>
            <w:tcW w:w="1134" w:type="dxa"/>
            <w:shd w:val="clear" w:color="auto" w:fill="D2EAF1"/>
            <w:noWrap/>
            <w:hideMark/>
          </w:tcPr>
          <w:p w14:paraId="4F1B390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232</w:t>
            </w:r>
          </w:p>
        </w:tc>
        <w:tc>
          <w:tcPr>
            <w:tcW w:w="1134" w:type="dxa"/>
            <w:shd w:val="clear" w:color="auto" w:fill="D2EAF1"/>
            <w:noWrap/>
            <w:hideMark/>
          </w:tcPr>
          <w:p w14:paraId="62679131"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3.353</w:t>
            </w:r>
          </w:p>
        </w:tc>
        <w:tc>
          <w:tcPr>
            <w:tcW w:w="1134" w:type="dxa"/>
            <w:shd w:val="clear" w:color="auto" w:fill="D2EAF1"/>
            <w:noWrap/>
            <w:hideMark/>
          </w:tcPr>
          <w:p w14:paraId="3A39E1DD"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-15.820</w:t>
            </w:r>
          </w:p>
        </w:tc>
        <w:tc>
          <w:tcPr>
            <w:tcW w:w="1134" w:type="dxa"/>
            <w:shd w:val="clear" w:color="auto" w:fill="D2EAF1"/>
            <w:noWrap/>
            <w:hideMark/>
          </w:tcPr>
          <w:p w14:paraId="599AA5B0"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-12.359</w:t>
            </w:r>
          </w:p>
        </w:tc>
        <w:tc>
          <w:tcPr>
            <w:tcW w:w="1461" w:type="dxa"/>
            <w:shd w:val="clear" w:color="auto" w:fill="D2EAF1"/>
            <w:noWrap/>
            <w:hideMark/>
          </w:tcPr>
          <w:p w14:paraId="1CD338F1"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-204</w:t>
            </w:r>
          </w:p>
        </w:tc>
      </w:tr>
      <w:tr w:rsidR="00C007D0" w:rsidRPr="008D04D4" w14:paraId="4081C12E" w14:textId="77777777" w:rsidTr="00D147AF">
        <w:trPr>
          <w:trHeight w:hRule="exact" w:val="113"/>
        </w:trPr>
        <w:tc>
          <w:tcPr>
            <w:tcW w:w="2850" w:type="dxa"/>
            <w:tcBorders>
              <w:right w:val="nil"/>
            </w:tcBorders>
            <w:shd w:val="clear" w:color="auto" w:fill="auto"/>
            <w:noWrap/>
            <w:hideMark/>
          </w:tcPr>
          <w:p w14:paraId="15AB3B75" w14:textId="77777777" w:rsidR="00561A84" w:rsidRPr="00117BF8" w:rsidRDefault="00561A84" w:rsidP="00C007D0">
            <w:pPr>
              <w:pStyle w:val="TablaC"/>
              <w:jc w:val="left"/>
              <w:rPr>
                <w:rFonts w:ascii="Arial" w:hAnsi="Arial" w:cs="Arial"/>
                <w:bCs/>
                <w:sz w:val="18"/>
                <w:szCs w:val="18"/>
              </w:rPr>
            </w:pPr>
          </w:p>
        </w:tc>
        <w:tc>
          <w:tcPr>
            <w:tcW w:w="1134" w:type="dxa"/>
            <w:tcBorders>
              <w:left w:val="nil"/>
              <w:right w:val="nil"/>
            </w:tcBorders>
            <w:shd w:val="clear" w:color="auto" w:fill="auto"/>
            <w:noWrap/>
            <w:hideMark/>
          </w:tcPr>
          <w:p w14:paraId="6514BFF5" w14:textId="77777777" w:rsidR="00561A84" w:rsidRPr="00117BF8" w:rsidRDefault="00561A84" w:rsidP="00903CC4">
            <w:pPr>
              <w:pStyle w:val="TablaC"/>
              <w:rPr>
                <w:rFonts w:ascii="Arial" w:hAnsi="Arial" w:cs="Arial"/>
                <w:sz w:val="18"/>
                <w:szCs w:val="18"/>
              </w:rPr>
            </w:pPr>
          </w:p>
        </w:tc>
        <w:tc>
          <w:tcPr>
            <w:tcW w:w="1134" w:type="dxa"/>
            <w:tcBorders>
              <w:left w:val="nil"/>
              <w:right w:val="nil"/>
            </w:tcBorders>
            <w:shd w:val="clear" w:color="auto" w:fill="auto"/>
            <w:noWrap/>
            <w:hideMark/>
          </w:tcPr>
          <w:p w14:paraId="68150CA4" w14:textId="77777777" w:rsidR="00561A84" w:rsidRPr="00117BF8" w:rsidRDefault="00561A84" w:rsidP="00903CC4">
            <w:pPr>
              <w:pStyle w:val="TablaC"/>
              <w:rPr>
                <w:rFonts w:ascii="Arial" w:hAnsi="Arial" w:cs="Arial"/>
                <w:sz w:val="18"/>
                <w:szCs w:val="18"/>
              </w:rPr>
            </w:pPr>
          </w:p>
        </w:tc>
        <w:tc>
          <w:tcPr>
            <w:tcW w:w="1134" w:type="dxa"/>
            <w:tcBorders>
              <w:left w:val="nil"/>
              <w:right w:val="nil"/>
            </w:tcBorders>
            <w:shd w:val="clear" w:color="auto" w:fill="auto"/>
            <w:noWrap/>
            <w:hideMark/>
          </w:tcPr>
          <w:p w14:paraId="0A92EC56" w14:textId="77777777" w:rsidR="00561A84" w:rsidRPr="00117BF8" w:rsidRDefault="00561A84" w:rsidP="00903CC4">
            <w:pPr>
              <w:pStyle w:val="TablaC"/>
              <w:rPr>
                <w:rFonts w:ascii="Arial" w:hAnsi="Arial" w:cs="Arial"/>
                <w:sz w:val="18"/>
                <w:szCs w:val="18"/>
              </w:rPr>
            </w:pPr>
          </w:p>
        </w:tc>
        <w:tc>
          <w:tcPr>
            <w:tcW w:w="1134" w:type="dxa"/>
            <w:tcBorders>
              <w:left w:val="nil"/>
              <w:right w:val="nil"/>
            </w:tcBorders>
            <w:shd w:val="clear" w:color="auto" w:fill="auto"/>
            <w:noWrap/>
            <w:hideMark/>
          </w:tcPr>
          <w:p w14:paraId="41816347" w14:textId="77777777" w:rsidR="00561A84" w:rsidRPr="00117BF8" w:rsidRDefault="00561A84" w:rsidP="00903CC4">
            <w:pPr>
              <w:pStyle w:val="TablaC"/>
              <w:rPr>
                <w:rFonts w:ascii="Arial" w:hAnsi="Arial" w:cs="Arial"/>
                <w:sz w:val="18"/>
                <w:szCs w:val="18"/>
              </w:rPr>
            </w:pPr>
          </w:p>
        </w:tc>
        <w:tc>
          <w:tcPr>
            <w:tcW w:w="1461" w:type="dxa"/>
            <w:tcBorders>
              <w:left w:val="nil"/>
            </w:tcBorders>
            <w:shd w:val="clear" w:color="auto" w:fill="auto"/>
            <w:noWrap/>
            <w:hideMark/>
          </w:tcPr>
          <w:p w14:paraId="1BCA71F0" w14:textId="77777777" w:rsidR="00561A84" w:rsidRPr="00117BF8" w:rsidRDefault="00561A84" w:rsidP="00903CC4">
            <w:pPr>
              <w:pStyle w:val="TablaC"/>
              <w:rPr>
                <w:rFonts w:ascii="Arial" w:hAnsi="Arial" w:cs="Arial"/>
                <w:sz w:val="18"/>
                <w:szCs w:val="18"/>
              </w:rPr>
            </w:pPr>
          </w:p>
        </w:tc>
      </w:tr>
      <w:tr w:rsidR="00C007D0" w:rsidRPr="008D04D4" w14:paraId="5498313D" w14:textId="77777777" w:rsidTr="00C007D0">
        <w:trPr>
          <w:trHeight w:val="300"/>
        </w:trPr>
        <w:tc>
          <w:tcPr>
            <w:tcW w:w="2850" w:type="dxa"/>
            <w:shd w:val="clear" w:color="auto" w:fill="D2EAF1"/>
            <w:noWrap/>
            <w:hideMark/>
          </w:tcPr>
          <w:p w14:paraId="4CDCD601"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Recursos de Capital</w:t>
            </w:r>
          </w:p>
        </w:tc>
        <w:tc>
          <w:tcPr>
            <w:tcW w:w="1134" w:type="dxa"/>
            <w:shd w:val="clear" w:color="auto" w:fill="D2EAF1"/>
            <w:noWrap/>
            <w:hideMark/>
          </w:tcPr>
          <w:p w14:paraId="4F0ACB7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3.434</w:t>
            </w:r>
          </w:p>
        </w:tc>
        <w:tc>
          <w:tcPr>
            <w:tcW w:w="1134" w:type="dxa"/>
            <w:shd w:val="clear" w:color="auto" w:fill="D2EAF1"/>
            <w:noWrap/>
            <w:hideMark/>
          </w:tcPr>
          <w:p w14:paraId="6C2C6BAB"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4.981</w:t>
            </w:r>
          </w:p>
        </w:tc>
        <w:tc>
          <w:tcPr>
            <w:tcW w:w="1134" w:type="dxa"/>
            <w:shd w:val="clear" w:color="auto" w:fill="D2EAF1"/>
            <w:noWrap/>
            <w:hideMark/>
          </w:tcPr>
          <w:p w14:paraId="7F2B7E59"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5.369</w:t>
            </w:r>
          </w:p>
        </w:tc>
        <w:tc>
          <w:tcPr>
            <w:tcW w:w="1134" w:type="dxa"/>
            <w:shd w:val="clear" w:color="auto" w:fill="D2EAF1"/>
            <w:noWrap/>
            <w:hideMark/>
          </w:tcPr>
          <w:p w14:paraId="429B06A8"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8.035</w:t>
            </w:r>
          </w:p>
        </w:tc>
        <w:tc>
          <w:tcPr>
            <w:tcW w:w="1461" w:type="dxa"/>
            <w:shd w:val="clear" w:color="auto" w:fill="D2EAF1"/>
            <w:noWrap/>
            <w:hideMark/>
          </w:tcPr>
          <w:p w14:paraId="505B2B4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9.159</w:t>
            </w:r>
          </w:p>
        </w:tc>
      </w:tr>
      <w:tr w:rsidR="00C007D0" w:rsidRPr="008D04D4" w14:paraId="2017468D" w14:textId="77777777" w:rsidTr="00C007D0">
        <w:trPr>
          <w:trHeight w:val="300"/>
        </w:trPr>
        <w:tc>
          <w:tcPr>
            <w:tcW w:w="2850" w:type="dxa"/>
            <w:tcBorders>
              <w:right w:val="nil"/>
            </w:tcBorders>
            <w:shd w:val="clear" w:color="auto" w:fill="auto"/>
            <w:noWrap/>
            <w:hideMark/>
          </w:tcPr>
          <w:p w14:paraId="6DA5C0F5"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Gastos de Capital</w:t>
            </w:r>
          </w:p>
        </w:tc>
        <w:tc>
          <w:tcPr>
            <w:tcW w:w="1134" w:type="dxa"/>
            <w:tcBorders>
              <w:left w:val="nil"/>
              <w:right w:val="nil"/>
            </w:tcBorders>
            <w:shd w:val="clear" w:color="auto" w:fill="auto"/>
            <w:noWrap/>
            <w:hideMark/>
          </w:tcPr>
          <w:p w14:paraId="0AE86201"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4.694</w:t>
            </w:r>
          </w:p>
        </w:tc>
        <w:tc>
          <w:tcPr>
            <w:tcW w:w="1134" w:type="dxa"/>
            <w:tcBorders>
              <w:left w:val="nil"/>
              <w:right w:val="nil"/>
            </w:tcBorders>
            <w:shd w:val="clear" w:color="auto" w:fill="auto"/>
            <w:noWrap/>
            <w:hideMark/>
          </w:tcPr>
          <w:p w14:paraId="1004828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7.534</w:t>
            </w:r>
          </w:p>
        </w:tc>
        <w:tc>
          <w:tcPr>
            <w:tcW w:w="1134" w:type="dxa"/>
            <w:tcBorders>
              <w:left w:val="nil"/>
              <w:right w:val="nil"/>
            </w:tcBorders>
            <w:shd w:val="clear" w:color="auto" w:fill="auto"/>
            <w:noWrap/>
            <w:hideMark/>
          </w:tcPr>
          <w:p w14:paraId="1810376F"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11.019</w:t>
            </w:r>
          </w:p>
        </w:tc>
        <w:tc>
          <w:tcPr>
            <w:tcW w:w="1134" w:type="dxa"/>
            <w:tcBorders>
              <w:left w:val="nil"/>
              <w:right w:val="nil"/>
            </w:tcBorders>
            <w:shd w:val="clear" w:color="auto" w:fill="auto"/>
            <w:noWrap/>
            <w:hideMark/>
          </w:tcPr>
          <w:p w14:paraId="412B4E41"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26.494</w:t>
            </w:r>
          </w:p>
        </w:tc>
        <w:tc>
          <w:tcPr>
            <w:tcW w:w="1461" w:type="dxa"/>
            <w:tcBorders>
              <w:left w:val="nil"/>
            </w:tcBorders>
            <w:shd w:val="clear" w:color="auto" w:fill="auto"/>
            <w:noWrap/>
            <w:hideMark/>
          </w:tcPr>
          <w:p w14:paraId="3565DE8B"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43.727</w:t>
            </w:r>
          </w:p>
        </w:tc>
      </w:tr>
      <w:tr w:rsidR="00C007D0" w:rsidRPr="008D04D4" w14:paraId="2C9C589C" w14:textId="77777777" w:rsidTr="00D147AF">
        <w:trPr>
          <w:trHeight w:hRule="exact" w:val="113"/>
        </w:trPr>
        <w:tc>
          <w:tcPr>
            <w:tcW w:w="2850" w:type="dxa"/>
            <w:shd w:val="clear" w:color="auto" w:fill="D2EAF1"/>
            <w:noWrap/>
            <w:hideMark/>
          </w:tcPr>
          <w:p w14:paraId="37FA50B6" w14:textId="77777777" w:rsidR="00561A84" w:rsidRPr="00117BF8" w:rsidRDefault="00561A84" w:rsidP="00C007D0">
            <w:pPr>
              <w:pStyle w:val="TablaC"/>
              <w:jc w:val="left"/>
              <w:rPr>
                <w:rFonts w:ascii="Arial" w:hAnsi="Arial" w:cs="Arial"/>
                <w:bCs/>
                <w:sz w:val="18"/>
                <w:szCs w:val="18"/>
              </w:rPr>
            </w:pPr>
          </w:p>
        </w:tc>
        <w:tc>
          <w:tcPr>
            <w:tcW w:w="1134" w:type="dxa"/>
            <w:shd w:val="clear" w:color="auto" w:fill="D2EAF1"/>
            <w:noWrap/>
            <w:hideMark/>
          </w:tcPr>
          <w:p w14:paraId="18F72685" w14:textId="77777777" w:rsidR="00561A84" w:rsidRPr="00117BF8" w:rsidRDefault="00561A84" w:rsidP="00903CC4">
            <w:pPr>
              <w:pStyle w:val="TablaC"/>
              <w:rPr>
                <w:rFonts w:ascii="Arial" w:hAnsi="Arial" w:cs="Arial"/>
                <w:sz w:val="18"/>
                <w:szCs w:val="18"/>
              </w:rPr>
            </w:pPr>
          </w:p>
        </w:tc>
        <w:tc>
          <w:tcPr>
            <w:tcW w:w="1134" w:type="dxa"/>
            <w:shd w:val="clear" w:color="auto" w:fill="D2EAF1"/>
            <w:noWrap/>
            <w:hideMark/>
          </w:tcPr>
          <w:p w14:paraId="5C8D6BF8" w14:textId="77777777" w:rsidR="00561A84" w:rsidRPr="00117BF8" w:rsidRDefault="00561A84" w:rsidP="00903CC4">
            <w:pPr>
              <w:pStyle w:val="TablaC"/>
              <w:rPr>
                <w:rFonts w:ascii="Arial" w:hAnsi="Arial" w:cs="Arial"/>
                <w:sz w:val="18"/>
                <w:szCs w:val="18"/>
              </w:rPr>
            </w:pPr>
          </w:p>
        </w:tc>
        <w:tc>
          <w:tcPr>
            <w:tcW w:w="1134" w:type="dxa"/>
            <w:shd w:val="clear" w:color="auto" w:fill="D2EAF1"/>
            <w:noWrap/>
            <w:hideMark/>
          </w:tcPr>
          <w:p w14:paraId="3873F704" w14:textId="77777777" w:rsidR="00561A84" w:rsidRPr="00117BF8" w:rsidRDefault="00561A84" w:rsidP="00903CC4">
            <w:pPr>
              <w:pStyle w:val="TablaC"/>
              <w:rPr>
                <w:rFonts w:ascii="Arial" w:hAnsi="Arial" w:cs="Arial"/>
                <w:sz w:val="18"/>
                <w:szCs w:val="18"/>
              </w:rPr>
            </w:pPr>
          </w:p>
        </w:tc>
        <w:tc>
          <w:tcPr>
            <w:tcW w:w="1134" w:type="dxa"/>
            <w:shd w:val="clear" w:color="auto" w:fill="D2EAF1"/>
            <w:noWrap/>
            <w:hideMark/>
          </w:tcPr>
          <w:p w14:paraId="53D819D6" w14:textId="77777777" w:rsidR="00561A84" w:rsidRPr="00117BF8" w:rsidRDefault="00561A84" w:rsidP="00903CC4">
            <w:pPr>
              <w:pStyle w:val="TablaC"/>
              <w:rPr>
                <w:rFonts w:ascii="Arial" w:hAnsi="Arial" w:cs="Arial"/>
                <w:sz w:val="18"/>
                <w:szCs w:val="18"/>
              </w:rPr>
            </w:pPr>
          </w:p>
        </w:tc>
        <w:tc>
          <w:tcPr>
            <w:tcW w:w="1461" w:type="dxa"/>
            <w:shd w:val="clear" w:color="auto" w:fill="D2EAF1"/>
            <w:noWrap/>
            <w:hideMark/>
          </w:tcPr>
          <w:p w14:paraId="2464083A" w14:textId="77777777" w:rsidR="00561A84" w:rsidRPr="00117BF8" w:rsidRDefault="00561A84" w:rsidP="00903CC4">
            <w:pPr>
              <w:pStyle w:val="TablaC"/>
              <w:rPr>
                <w:rFonts w:ascii="Arial" w:hAnsi="Arial" w:cs="Arial"/>
                <w:sz w:val="18"/>
                <w:szCs w:val="18"/>
              </w:rPr>
            </w:pPr>
          </w:p>
        </w:tc>
      </w:tr>
      <w:tr w:rsidR="00C007D0" w:rsidRPr="008D04D4" w14:paraId="2889B9B7" w14:textId="77777777" w:rsidTr="00C007D0">
        <w:trPr>
          <w:trHeight w:val="300"/>
        </w:trPr>
        <w:tc>
          <w:tcPr>
            <w:tcW w:w="2850" w:type="dxa"/>
            <w:tcBorders>
              <w:right w:val="nil"/>
            </w:tcBorders>
            <w:shd w:val="clear" w:color="auto" w:fill="auto"/>
            <w:noWrap/>
            <w:hideMark/>
          </w:tcPr>
          <w:p w14:paraId="050033B7"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Recursos Totales</w:t>
            </w:r>
          </w:p>
        </w:tc>
        <w:tc>
          <w:tcPr>
            <w:tcW w:w="1134" w:type="dxa"/>
            <w:tcBorders>
              <w:left w:val="nil"/>
              <w:right w:val="nil"/>
            </w:tcBorders>
            <w:shd w:val="clear" w:color="auto" w:fill="auto"/>
            <w:noWrap/>
            <w:hideMark/>
          </w:tcPr>
          <w:p w14:paraId="73CC9B31"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150.052</w:t>
            </w:r>
          </w:p>
        </w:tc>
        <w:tc>
          <w:tcPr>
            <w:tcW w:w="1134" w:type="dxa"/>
            <w:tcBorders>
              <w:left w:val="nil"/>
              <w:right w:val="nil"/>
            </w:tcBorders>
            <w:shd w:val="clear" w:color="auto" w:fill="auto"/>
            <w:noWrap/>
            <w:hideMark/>
          </w:tcPr>
          <w:p w14:paraId="0B6A8AFC"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202.983</w:t>
            </w:r>
          </w:p>
        </w:tc>
        <w:tc>
          <w:tcPr>
            <w:tcW w:w="1134" w:type="dxa"/>
            <w:tcBorders>
              <w:left w:val="nil"/>
              <w:right w:val="nil"/>
            </w:tcBorders>
            <w:shd w:val="clear" w:color="auto" w:fill="auto"/>
            <w:noWrap/>
            <w:hideMark/>
          </w:tcPr>
          <w:p w14:paraId="1162937B"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274.305</w:t>
            </w:r>
          </w:p>
        </w:tc>
        <w:tc>
          <w:tcPr>
            <w:tcW w:w="1134" w:type="dxa"/>
            <w:tcBorders>
              <w:left w:val="nil"/>
              <w:right w:val="nil"/>
            </w:tcBorders>
            <w:shd w:val="clear" w:color="auto" w:fill="auto"/>
            <w:noWrap/>
            <w:hideMark/>
          </w:tcPr>
          <w:p w14:paraId="0DC0966D"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394.097</w:t>
            </w:r>
          </w:p>
        </w:tc>
        <w:tc>
          <w:tcPr>
            <w:tcW w:w="1461" w:type="dxa"/>
            <w:tcBorders>
              <w:left w:val="nil"/>
            </w:tcBorders>
            <w:shd w:val="clear" w:color="auto" w:fill="auto"/>
            <w:noWrap/>
            <w:hideMark/>
          </w:tcPr>
          <w:p w14:paraId="305784AD"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487.830</w:t>
            </w:r>
          </w:p>
        </w:tc>
      </w:tr>
      <w:tr w:rsidR="00C007D0" w:rsidRPr="008D04D4" w14:paraId="695F15DC" w14:textId="77777777" w:rsidTr="00C007D0">
        <w:trPr>
          <w:trHeight w:val="300"/>
        </w:trPr>
        <w:tc>
          <w:tcPr>
            <w:tcW w:w="2850" w:type="dxa"/>
            <w:shd w:val="clear" w:color="auto" w:fill="D2EAF1"/>
            <w:noWrap/>
            <w:hideMark/>
          </w:tcPr>
          <w:p w14:paraId="46A6654A"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Gatos Totales</w:t>
            </w:r>
          </w:p>
        </w:tc>
        <w:tc>
          <w:tcPr>
            <w:tcW w:w="1134" w:type="dxa"/>
            <w:shd w:val="clear" w:color="auto" w:fill="D2EAF1"/>
            <w:noWrap/>
            <w:hideMark/>
          </w:tcPr>
          <w:p w14:paraId="7888B07B"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151.081</w:t>
            </w:r>
          </w:p>
        </w:tc>
        <w:tc>
          <w:tcPr>
            <w:tcW w:w="1134" w:type="dxa"/>
            <w:shd w:val="clear" w:color="auto" w:fill="D2EAF1"/>
            <w:noWrap/>
            <w:hideMark/>
          </w:tcPr>
          <w:p w14:paraId="2EE74E6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202.183</w:t>
            </w:r>
          </w:p>
        </w:tc>
        <w:tc>
          <w:tcPr>
            <w:tcW w:w="1134" w:type="dxa"/>
            <w:shd w:val="clear" w:color="auto" w:fill="D2EAF1"/>
            <w:noWrap/>
            <w:hideMark/>
          </w:tcPr>
          <w:p w14:paraId="7AB798A9"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295.775</w:t>
            </w:r>
          </w:p>
        </w:tc>
        <w:tc>
          <w:tcPr>
            <w:tcW w:w="1134" w:type="dxa"/>
            <w:shd w:val="clear" w:color="auto" w:fill="D2EAF1"/>
            <w:noWrap/>
            <w:hideMark/>
          </w:tcPr>
          <w:p w14:paraId="7068840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424.915</w:t>
            </w:r>
          </w:p>
        </w:tc>
        <w:tc>
          <w:tcPr>
            <w:tcW w:w="1461" w:type="dxa"/>
            <w:shd w:val="clear" w:color="auto" w:fill="D2EAF1"/>
            <w:noWrap/>
            <w:hideMark/>
          </w:tcPr>
          <w:p w14:paraId="749DEB76"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522.602</w:t>
            </w:r>
          </w:p>
        </w:tc>
      </w:tr>
      <w:tr w:rsidR="00C007D0" w:rsidRPr="008D04D4" w14:paraId="45C891C7" w14:textId="77777777" w:rsidTr="00C007D0">
        <w:trPr>
          <w:trHeight w:val="300"/>
        </w:trPr>
        <w:tc>
          <w:tcPr>
            <w:tcW w:w="2850" w:type="dxa"/>
            <w:tcBorders>
              <w:right w:val="nil"/>
            </w:tcBorders>
            <w:shd w:val="clear" w:color="auto" w:fill="auto"/>
            <w:noWrap/>
            <w:hideMark/>
          </w:tcPr>
          <w:p w14:paraId="7FD68CD5"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Resultado Financiero</w:t>
            </w:r>
          </w:p>
        </w:tc>
        <w:tc>
          <w:tcPr>
            <w:tcW w:w="1134" w:type="dxa"/>
            <w:tcBorders>
              <w:left w:val="nil"/>
              <w:right w:val="nil"/>
            </w:tcBorders>
            <w:shd w:val="clear" w:color="auto" w:fill="auto"/>
            <w:noWrap/>
            <w:hideMark/>
          </w:tcPr>
          <w:p w14:paraId="64E5C781"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-1.029</w:t>
            </w:r>
          </w:p>
        </w:tc>
        <w:tc>
          <w:tcPr>
            <w:tcW w:w="1134" w:type="dxa"/>
            <w:tcBorders>
              <w:left w:val="nil"/>
              <w:right w:val="nil"/>
            </w:tcBorders>
            <w:shd w:val="clear" w:color="auto" w:fill="auto"/>
            <w:noWrap/>
            <w:hideMark/>
          </w:tcPr>
          <w:p w14:paraId="5E239114"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800</w:t>
            </w:r>
          </w:p>
        </w:tc>
        <w:tc>
          <w:tcPr>
            <w:tcW w:w="1134" w:type="dxa"/>
            <w:tcBorders>
              <w:left w:val="nil"/>
              <w:right w:val="nil"/>
            </w:tcBorders>
            <w:shd w:val="clear" w:color="auto" w:fill="auto"/>
            <w:noWrap/>
            <w:hideMark/>
          </w:tcPr>
          <w:p w14:paraId="158197B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-21.470</w:t>
            </w:r>
          </w:p>
        </w:tc>
        <w:tc>
          <w:tcPr>
            <w:tcW w:w="1134" w:type="dxa"/>
            <w:tcBorders>
              <w:left w:val="nil"/>
              <w:right w:val="nil"/>
            </w:tcBorders>
            <w:shd w:val="clear" w:color="auto" w:fill="auto"/>
            <w:noWrap/>
            <w:hideMark/>
          </w:tcPr>
          <w:p w14:paraId="27A60D17"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-30.817</w:t>
            </w:r>
          </w:p>
        </w:tc>
        <w:tc>
          <w:tcPr>
            <w:tcW w:w="1461" w:type="dxa"/>
            <w:tcBorders>
              <w:left w:val="nil"/>
            </w:tcBorders>
            <w:shd w:val="clear" w:color="auto" w:fill="auto"/>
            <w:noWrap/>
            <w:hideMark/>
          </w:tcPr>
          <w:p w14:paraId="2850FB61"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-34.772</w:t>
            </w:r>
          </w:p>
        </w:tc>
      </w:tr>
      <w:tr w:rsidR="00C007D0" w:rsidRPr="008D04D4" w14:paraId="0A39A16F" w14:textId="77777777" w:rsidTr="00D147AF">
        <w:trPr>
          <w:trHeight w:hRule="exact" w:val="113"/>
        </w:trPr>
        <w:tc>
          <w:tcPr>
            <w:tcW w:w="2850" w:type="dxa"/>
            <w:shd w:val="clear" w:color="auto" w:fill="D2EAF1"/>
            <w:noWrap/>
            <w:hideMark/>
          </w:tcPr>
          <w:p w14:paraId="3A8D5B75" w14:textId="77777777" w:rsidR="00561A84" w:rsidRPr="00117BF8" w:rsidRDefault="00561A84" w:rsidP="00C007D0">
            <w:pPr>
              <w:pStyle w:val="TablaC"/>
              <w:jc w:val="left"/>
              <w:rPr>
                <w:rFonts w:ascii="Arial" w:hAnsi="Arial" w:cs="Arial"/>
                <w:bCs/>
                <w:sz w:val="18"/>
                <w:szCs w:val="18"/>
              </w:rPr>
            </w:pPr>
          </w:p>
        </w:tc>
        <w:tc>
          <w:tcPr>
            <w:tcW w:w="1134" w:type="dxa"/>
            <w:shd w:val="clear" w:color="auto" w:fill="D2EAF1"/>
            <w:noWrap/>
            <w:hideMark/>
          </w:tcPr>
          <w:p w14:paraId="5BFA5B03" w14:textId="77777777" w:rsidR="00561A84" w:rsidRPr="00117BF8" w:rsidRDefault="00561A84" w:rsidP="00903CC4">
            <w:pPr>
              <w:pStyle w:val="TablaC"/>
              <w:rPr>
                <w:rFonts w:ascii="Arial" w:hAnsi="Arial" w:cs="Arial"/>
                <w:sz w:val="18"/>
                <w:szCs w:val="18"/>
              </w:rPr>
            </w:pPr>
          </w:p>
        </w:tc>
        <w:tc>
          <w:tcPr>
            <w:tcW w:w="1134" w:type="dxa"/>
            <w:shd w:val="clear" w:color="auto" w:fill="D2EAF1"/>
            <w:noWrap/>
            <w:hideMark/>
          </w:tcPr>
          <w:p w14:paraId="2E82752E" w14:textId="77777777" w:rsidR="00561A84" w:rsidRPr="00117BF8" w:rsidRDefault="00561A84" w:rsidP="00903CC4">
            <w:pPr>
              <w:pStyle w:val="TablaC"/>
              <w:rPr>
                <w:rFonts w:ascii="Arial" w:hAnsi="Arial" w:cs="Arial"/>
                <w:sz w:val="18"/>
                <w:szCs w:val="18"/>
              </w:rPr>
            </w:pPr>
          </w:p>
        </w:tc>
        <w:tc>
          <w:tcPr>
            <w:tcW w:w="1134" w:type="dxa"/>
            <w:shd w:val="clear" w:color="auto" w:fill="D2EAF1"/>
            <w:noWrap/>
            <w:hideMark/>
          </w:tcPr>
          <w:p w14:paraId="5DD63F8C" w14:textId="77777777" w:rsidR="00561A84" w:rsidRPr="00117BF8" w:rsidRDefault="00561A84" w:rsidP="00903CC4">
            <w:pPr>
              <w:pStyle w:val="TablaC"/>
              <w:rPr>
                <w:rFonts w:ascii="Arial" w:hAnsi="Arial" w:cs="Arial"/>
                <w:sz w:val="18"/>
                <w:szCs w:val="18"/>
              </w:rPr>
            </w:pPr>
          </w:p>
        </w:tc>
        <w:tc>
          <w:tcPr>
            <w:tcW w:w="1134" w:type="dxa"/>
            <w:shd w:val="clear" w:color="auto" w:fill="D2EAF1"/>
            <w:noWrap/>
            <w:hideMark/>
          </w:tcPr>
          <w:p w14:paraId="7F50D5E4" w14:textId="77777777" w:rsidR="00561A84" w:rsidRPr="00117BF8" w:rsidRDefault="00561A84" w:rsidP="00903CC4">
            <w:pPr>
              <w:pStyle w:val="TablaC"/>
              <w:rPr>
                <w:rFonts w:ascii="Arial" w:hAnsi="Arial" w:cs="Arial"/>
                <w:sz w:val="18"/>
                <w:szCs w:val="18"/>
              </w:rPr>
            </w:pPr>
          </w:p>
        </w:tc>
        <w:tc>
          <w:tcPr>
            <w:tcW w:w="1461" w:type="dxa"/>
            <w:shd w:val="clear" w:color="auto" w:fill="D2EAF1"/>
            <w:noWrap/>
            <w:hideMark/>
          </w:tcPr>
          <w:p w14:paraId="5B2A8B94" w14:textId="77777777" w:rsidR="00561A84" w:rsidRPr="00117BF8" w:rsidRDefault="00561A84" w:rsidP="00903CC4">
            <w:pPr>
              <w:pStyle w:val="TablaC"/>
              <w:rPr>
                <w:rFonts w:ascii="Arial" w:hAnsi="Arial" w:cs="Arial"/>
                <w:sz w:val="18"/>
                <w:szCs w:val="18"/>
              </w:rPr>
            </w:pPr>
          </w:p>
        </w:tc>
      </w:tr>
      <w:tr w:rsidR="00C007D0" w:rsidRPr="008D04D4" w14:paraId="71B328DC" w14:textId="77777777" w:rsidTr="00C007D0">
        <w:trPr>
          <w:trHeight w:val="300"/>
        </w:trPr>
        <w:tc>
          <w:tcPr>
            <w:tcW w:w="2850" w:type="dxa"/>
            <w:tcBorders>
              <w:right w:val="nil"/>
            </w:tcBorders>
            <w:shd w:val="clear" w:color="auto" w:fill="auto"/>
            <w:noWrap/>
            <w:hideMark/>
          </w:tcPr>
          <w:p w14:paraId="5FF2CBAE" w14:textId="77777777" w:rsidR="00561A84" w:rsidRPr="00117BF8" w:rsidRDefault="00561A84" w:rsidP="00C007D0">
            <w:pPr>
              <w:pStyle w:val="TablaC"/>
              <w:jc w:val="left"/>
              <w:rPr>
                <w:rFonts w:ascii="Arial" w:hAnsi="Arial" w:cs="Arial"/>
                <w:bCs/>
                <w:sz w:val="18"/>
                <w:szCs w:val="18"/>
              </w:rPr>
            </w:pPr>
            <w:r w:rsidRPr="00117BF8">
              <w:rPr>
                <w:rFonts w:ascii="Arial" w:hAnsi="Arial" w:cs="Arial"/>
                <w:bCs/>
                <w:sz w:val="18"/>
                <w:szCs w:val="18"/>
              </w:rPr>
              <w:t>Resultado Primario</w:t>
            </w:r>
          </w:p>
        </w:tc>
        <w:tc>
          <w:tcPr>
            <w:tcW w:w="1134" w:type="dxa"/>
            <w:tcBorders>
              <w:left w:val="nil"/>
              <w:right w:val="nil"/>
            </w:tcBorders>
            <w:shd w:val="clear" w:color="auto" w:fill="auto"/>
            <w:noWrap/>
            <w:hideMark/>
          </w:tcPr>
          <w:p w14:paraId="007CC06F"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3.361</w:t>
            </w:r>
          </w:p>
        </w:tc>
        <w:tc>
          <w:tcPr>
            <w:tcW w:w="1134" w:type="dxa"/>
            <w:tcBorders>
              <w:left w:val="nil"/>
              <w:right w:val="nil"/>
            </w:tcBorders>
            <w:shd w:val="clear" w:color="auto" w:fill="auto"/>
            <w:noWrap/>
            <w:hideMark/>
          </w:tcPr>
          <w:p w14:paraId="4CEF1D38"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7.524</w:t>
            </w:r>
          </w:p>
        </w:tc>
        <w:tc>
          <w:tcPr>
            <w:tcW w:w="1134" w:type="dxa"/>
            <w:tcBorders>
              <w:left w:val="nil"/>
              <w:right w:val="nil"/>
            </w:tcBorders>
            <w:shd w:val="clear" w:color="auto" w:fill="auto"/>
            <w:noWrap/>
            <w:hideMark/>
          </w:tcPr>
          <w:p w14:paraId="0C40BE59"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-11.590</w:t>
            </w:r>
          </w:p>
        </w:tc>
        <w:tc>
          <w:tcPr>
            <w:tcW w:w="1134" w:type="dxa"/>
            <w:tcBorders>
              <w:left w:val="nil"/>
              <w:right w:val="nil"/>
            </w:tcBorders>
            <w:shd w:val="clear" w:color="auto" w:fill="auto"/>
            <w:noWrap/>
            <w:hideMark/>
          </w:tcPr>
          <w:p w14:paraId="2AD30279"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-14.839</w:t>
            </w:r>
          </w:p>
        </w:tc>
        <w:tc>
          <w:tcPr>
            <w:tcW w:w="1461" w:type="dxa"/>
            <w:tcBorders>
              <w:left w:val="nil"/>
            </w:tcBorders>
            <w:shd w:val="clear" w:color="auto" w:fill="auto"/>
            <w:noWrap/>
            <w:hideMark/>
          </w:tcPr>
          <w:p w14:paraId="7C12A0E3" w14:textId="77777777" w:rsidR="00561A84" w:rsidRPr="00117BF8" w:rsidRDefault="00561A84" w:rsidP="00903CC4">
            <w:pPr>
              <w:pStyle w:val="TablaC"/>
              <w:rPr>
                <w:rFonts w:ascii="Arial" w:hAnsi="Arial" w:cs="Arial"/>
                <w:sz w:val="18"/>
                <w:szCs w:val="18"/>
              </w:rPr>
            </w:pPr>
            <w:r w:rsidRPr="00117BF8">
              <w:rPr>
                <w:rFonts w:ascii="Arial" w:hAnsi="Arial" w:cs="Arial"/>
                <w:sz w:val="18"/>
                <w:szCs w:val="18"/>
              </w:rPr>
              <w:t>-12.125</w:t>
            </w:r>
          </w:p>
        </w:tc>
      </w:tr>
      <w:tr w:rsidR="00740BD1" w:rsidRPr="008D04D4" w14:paraId="4EC11742" w14:textId="77777777" w:rsidTr="00C007D0">
        <w:trPr>
          <w:trHeight w:val="300"/>
        </w:trPr>
        <w:tc>
          <w:tcPr>
            <w:tcW w:w="2850" w:type="dxa"/>
            <w:shd w:val="clear" w:color="auto" w:fill="D2EAF1"/>
            <w:noWrap/>
          </w:tcPr>
          <w:p w14:paraId="01337EA1" w14:textId="77777777" w:rsidR="00740BD1" w:rsidRPr="00117BF8" w:rsidRDefault="00740BD1" w:rsidP="000B3E59">
            <w:pPr>
              <w:pStyle w:val="TablaC"/>
              <w:jc w:val="left"/>
              <w:rPr>
                <w:rFonts w:ascii="Arial" w:hAnsi="Arial" w:cs="Arial"/>
                <w:bCs/>
                <w:sz w:val="18"/>
                <w:szCs w:val="18"/>
              </w:rPr>
            </w:pPr>
            <w:r w:rsidRPr="00117BF8">
              <w:rPr>
                <w:rFonts w:ascii="Arial" w:hAnsi="Arial" w:cs="Arial"/>
                <w:bCs/>
                <w:sz w:val="18"/>
                <w:szCs w:val="18"/>
              </w:rPr>
              <w:t>Ajuste Técnico (*</w:t>
            </w:r>
            <w:r w:rsidR="00603073" w:rsidRPr="00117BF8">
              <w:rPr>
                <w:rFonts w:ascii="Arial" w:hAnsi="Arial" w:cs="Arial"/>
                <w:bCs/>
                <w:sz w:val="18"/>
                <w:szCs w:val="18"/>
              </w:rPr>
              <w:t>*</w:t>
            </w:r>
            <w:r w:rsidRPr="00117BF8">
              <w:rPr>
                <w:rFonts w:ascii="Arial" w:hAnsi="Arial" w:cs="Arial"/>
                <w:bCs/>
                <w:sz w:val="18"/>
                <w:szCs w:val="18"/>
              </w:rPr>
              <w:t>)</w:t>
            </w:r>
          </w:p>
        </w:tc>
        <w:tc>
          <w:tcPr>
            <w:tcW w:w="1134" w:type="dxa"/>
            <w:shd w:val="clear" w:color="auto" w:fill="D2EAF1"/>
            <w:noWrap/>
          </w:tcPr>
          <w:p w14:paraId="2F8D9FF6" w14:textId="77777777" w:rsidR="00740BD1" w:rsidRPr="00117BF8" w:rsidRDefault="00740BD1" w:rsidP="00740BD1">
            <w:pPr>
              <w:pStyle w:val="TablaC"/>
              <w:rPr>
                <w:rFonts w:ascii="Arial" w:hAnsi="Arial" w:cs="Arial"/>
                <w:sz w:val="18"/>
                <w:szCs w:val="18"/>
              </w:rPr>
            </w:pPr>
            <w:r w:rsidRPr="00117BF8">
              <w:rPr>
                <w:rFonts w:ascii="Arial" w:hAnsi="Arial" w:cs="Arial"/>
                <w:sz w:val="18"/>
                <w:szCs w:val="18"/>
              </w:rPr>
              <w:t>7.876</w:t>
            </w:r>
          </w:p>
        </w:tc>
        <w:tc>
          <w:tcPr>
            <w:tcW w:w="1134" w:type="dxa"/>
            <w:shd w:val="clear" w:color="auto" w:fill="D2EAF1"/>
            <w:noWrap/>
          </w:tcPr>
          <w:p w14:paraId="673E600E" w14:textId="77777777" w:rsidR="00740BD1" w:rsidRPr="00117BF8" w:rsidRDefault="00740BD1" w:rsidP="000B3E59">
            <w:pPr>
              <w:pStyle w:val="TablaC"/>
              <w:rPr>
                <w:rFonts w:ascii="Arial" w:hAnsi="Arial" w:cs="Arial"/>
                <w:sz w:val="18"/>
                <w:szCs w:val="18"/>
              </w:rPr>
            </w:pPr>
            <w:r w:rsidRPr="00117BF8">
              <w:rPr>
                <w:rFonts w:ascii="Arial" w:hAnsi="Arial" w:cs="Arial"/>
                <w:sz w:val="18"/>
                <w:szCs w:val="18"/>
              </w:rPr>
              <w:t>9.748</w:t>
            </w:r>
          </w:p>
        </w:tc>
        <w:tc>
          <w:tcPr>
            <w:tcW w:w="1134" w:type="dxa"/>
            <w:shd w:val="clear" w:color="auto" w:fill="D2EAF1"/>
            <w:noWrap/>
          </w:tcPr>
          <w:p w14:paraId="5EF7ED8F" w14:textId="77777777" w:rsidR="00740BD1" w:rsidRPr="00117BF8" w:rsidRDefault="00740BD1" w:rsidP="000B3E59">
            <w:pPr>
              <w:pStyle w:val="TablaC"/>
              <w:rPr>
                <w:rFonts w:ascii="Arial" w:hAnsi="Arial" w:cs="Arial"/>
                <w:sz w:val="18"/>
                <w:szCs w:val="18"/>
              </w:rPr>
            </w:pPr>
            <w:r w:rsidRPr="00117BF8">
              <w:rPr>
                <w:rFonts w:ascii="Arial" w:hAnsi="Arial" w:cs="Arial"/>
                <w:sz w:val="18"/>
                <w:szCs w:val="18"/>
              </w:rPr>
              <w:t>19.264</w:t>
            </w:r>
          </w:p>
        </w:tc>
        <w:tc>
          <w:tcPr>
            <w:tcW w:w="1134" w:type="dxa"/>
            <w:shd w:val="clear" w:color="auto" w:fill="D2EAF1"/>
            <w:noWrap/>
          </w:tcPr>
          <w:p w14:paraId="686181D4" w14:textId="77777777" w:rsidR="00740BD1" w:rsidRPr="00117BF8" w:rsidRDefault="00740BD1" w:rsidP="00903CC4">
            <w:pPr>
              <w:pStyle w:val="TablaC"/>
              <w:rPr>
                <w:rFonts w:ascii="Arial" w:hAnsi="Arial" w:cs="Arial"/>
                <w:sz w:val="18"/>
                <w:szCs w:val="18"/>
              </w:rPr>
            </w:pPr>
          </w:p>
        </w:tc>
        <w:tc>
          <w:tcPr>
            <w:tcW w:w="1461" w:type="dxa"/>
            <w:shd w:val="clear" w:color="auto" w:fill="D2EAF1"/>
            <w:noWrap/>
          </w:tcPr>
          <w:p w14:paraId="7FBE9E05" w14:textId="77777777" w:rsidR="00740BD1" w:rsidRPr="00117BF8" w:rsidRDefault="00740BD1" w:rsidP="00903CC4">
            <w:pPr>
              <w:pStyle w:val="TablaC"/>
              <w:rPr>
                <w:rFonts w:ascii="Arial" w:hAnsi="Arial" w:cs="Arial"/>
                <w:sz w:val="18"/>
                <w:szCs w:val="18"/>
              </w:rPr>
            </w:pPr>
          </w:p>
        </w:tc>
      </w:tr>
      <w:tr w:rsidR="00740BD1" w:rsidRPr="008D04D4" w14:paraId="6D1D4545" w14:textId="77777777" w:rsidTr="00603073">
        <w:trPr>
          <w:trHeight w:val="300"/>
        </w:trPr>
        <w:tc>
          <w:tcPr>
            <w:tcW w:w="2850" w:type="dxa"/>
            <w:shd w:val="clear" w:color="auto" w:fill="auto"/>
            <w:noWrap/>
            <w:hideMark/>
          </w:tcPr>
          <w:p w14:paraId="60A6191D" w14:textId="77777777" w:rsidR="00740BD1" w:rsidRPr="00117BF8" w:rsidRDefault="00740BD1" w:rsidP="00C007D0">
            <w:pPr>
              <w:pStyle w:val="TablaC"/>
              <w:jc w:val="left"/>
              <w:rPr>
                <w:rFonts w:ascii="Arial" w:hAnsi="Arial" w:cs="Arial"/>
                <w:bCs/>
                <w:sz w:val="18"/>
                <w:szCs w:val="18"/>
              </w:rPr>
            </w:pPr>
            <w:r w:rsidRPr="00117BF8">
              <w:rPr>
                <w:rFonts w:ascii="Arial" w:hAnsi="Arial" w:cs="Arial"/>
                <w:bCs/>
                <w:sz w:val="18"/>
                <w:szCs w:val="18"/>
              </w:rPr>
              <w:t>Resultado Total</w:t>
            </w:r>
          </w:p>
        </w:tc>
        <w:tc>
          <w:tcPr>
            <w:tcW w:w="1134" w:type="dxa"/>
            <w:shd w:val="clear" w:color="auto" w:fill="auto"/>
            <w:noWrap/>
            <w:hideMark/>
          </w:tcPr>
          <w:p w14:paraId="5F1E5B14" w14:textId="77777777" w:rsidR="00740BD1" w:rsidRPr="00117BF8" w:rsidRDefault="00740BD1" w:rsidP="00903CC4">
            <w:pPr>
              <w:pStyle w:val="TablaC"/>
              <w:rPr>
                <w:rFonts w:ascii="Arial" w:hAnsi="Arial" w:cs="Arial"/>
                <w:sz w:val="18"/>
                <w:szCs w:val="18"/>
              </w:rPr>
            </w:pPr>
            <w:r w:rsidRPr="00117BF8">
              <w:rPr>
                <w:rFonts w:ascii="Arial" w:hAnsi="Arial" w:cs="Arial"/>
                <w:sz w:val="18"/>
                <w:szCs w:val="18"/>
              </w:rPr>
              <w:t>0</w:t>
            </w:r>
          </w:p>
        </w:tc>
        <w:tc>
          <w:tcPr>
            <w:tcW w:w="1134" w:type="dxa"/>
            <w:shd w:val="clear" w:color="auto" w:fill="auto"/>
            <w:noWrap/>
            <w:hideMark/>
          </w:tcPr>
          <w:p w14:paraId="2A98FD89" w14:textId="77777777" w:rsidR="00740BD1" w:rsidRPr="00117BF8" w:rsidRDefault="00740BD1" w:rsidP="00903CC4">
            <w:pPr>
              <w:pStyle w:val="TablaC"/>
              <w:rPr>
                <w:rFonts w:ascii="Arial" w:hAnsi="Arial" w:cs="Arial"/>
                <w:sz w:val="18"/>
                <w:szCs w:val="18"/>
              </w:rPr>
            </w:pPr>
            <w:r w:rsidRPr="00117BF8">
              <w:rPr>
                <w:rFonts w:ascii="Arial" w:hAnsi="Arial" w:cs="Arial"/>
                <w:sz w:val="18"/>
                <w:szCs w:val="18"/>
              </w:rPr>
              <w:t>0</w:t>
            </w:r>
          </w:p>
        </w:tc>
        <w:tc>
          <w:tcPr>
            <w:tcW w:w="1134" w:type="dxa"/>
            <w:shd w:val="clear" w:color="auto" w:fill="auto"/>
            <w:noWrap/>
            <w:hideMark/>
          </w:tcPr>
          <w:p w14:paraId="4A43407E" w14:textId="77777777" w:rsidR="00740BD1" w:rsidRPr="00117BF8" w:rsidRDefault="00740BD1" w:rsidP="00903CC4">
            <w:pPr>
              <w:pStyle w:val="TablaC"/>
              <w:rPr>
                <w:rFonts w:ascii="Arial" w:hAnsi="Arial" w:cs="Arial"/>
                <w:sz w:val="18"/>
                <w:szCs w:val="18"/>
              </w:rPr>
            </w:pPr>
            <w:r w:rsidRPr="00117BF8">
              <w:rPr>
                <w:rFonts w:ascii="Arial" w:hAnsi="Arial" w:cs="Arial"/>
                <w:sz w:val="18"/>
                <w:szCs w:val="18"/>
              </w:rPr>
              <w:t>0</w:t>
            </w:r>
          </w:p>
        </w:tc>
        <w:tc>
          <w:tcPr>
            <w:tcW w:w="1134" w:type="dxa"/>
            <w:shd w:val="clear" w:color="auto" w:fill="auto"/>
            <w:noWrap/>
            <w:hideMark/>
          </w:tcPr>
          <w:p w14:paraId="110E05CE" w14:textId="77777777" w:rsidR="00740BD1" w:rsidRPr="00117BF8" w:rsidRDefault="00740BD1" w:rsidP="00903CC4">
            <w:pPr>
              <w:pStyle w:val="TablaC"/>
              <w:rPr>
                <w:rFonts w:ascii="Arial" w:hAnsi="Arial" w:cs="Arial"/>
                <w:sz w:val="18"/>
                <w:szCs w:val="18"/>
              </w:rPr>
            </w:pPr>
            <w:r w:rsidRPr="00117BF8">
              <w:rPr>
                <w:rFonts w:ascii="Arial" w:hAnsi="Arial" w:cs="Arial"/>
                <w:sz w:val="18"/>
                <w:szCs w:val="18"/>
              </w:rPr>
              <w:t>-</w:t>
            </w:r>
          </w:p>
        </w:tc>
        <w:tc>
          <w:tcPr>
            <w:tcW w:w="1461" w:type="dxa"/>
            <w:shd w:val="clear" w:color="auto" w:fill="auto"/>
            <w:noWrap/>
            <w:hideMark/>
          </w:tcPr>
          <w:p w14:paraId="6201761E" w14:textId="77777777" w:rsidR="00740BD1" w:rsidRPr="00117BF8" w:rsidRDefault="00740BD1" w:rsidP="00903CC4">
            <w:pPr>
              <w:pStyle w:val="TablaC"/>
              <w:rPr>
                <w:rFonts w:ascii="Arial" w:hAnsi="Arial" w:cs="Arial"/>
                <w:sz w:val="18"/>
                <w:szCs w:val="18"/>
              </w:rPr>
            </w:pPr>
            <w:r w:rsidRPr="00117BF8">
              <w:rPr>
                <w:rFonts w:ascii="Arial" w:hAnsi="Arial" w:cs="Arial"/>
                <w:sz w:val="18"/>
                <w:szCs w:val="18"/>
              </w:rPr>
              <w:t>-</w:t>
            </w:r>
          </w:p>
        </w:tc>
      </w:tr>
    </w:tbl>
    <w:p w14:paraId="16F7693F" w14:textId="77777777" w:rsidR="005B18C0" w:rsidRPr="00117BF8" w:rsidRDefault="00E90920" w:rsidP="00525D76">
      <w:pPr>
        <w:pStyle w:val="Hfuente"/>
        <w:rPr>
          <w:rFonts w:ascii="Arial" w:hAnsi="Arial" w:cs="Arial"/>
          <w:sz w:val="18"/>
          <w:szCs w:val="18"/>
        </w:rPr>
      </w:pPr>
      <w:r w:rsidRPr="00117BF8">
        <w:rPr>
          <w:rFonts w:ascii="Arial" w:hAnsi="Arial" w:cs="Arial"/>
          <w:sz w:val="18"/>
          <w:szCs w:val="18"/>
        </w:rPr>
        <w:t xml:space="preserve">Fuente: 2013 a 2016 CGPBA </w:t>
      </w:r>
      <w:r w:rsidR="005B18C0" w:rsidRPr="00117BF8">
        <w:rPr>
          <w:rFonts w:ascii="Arial" w:hAnsi="Arial" w:cs="Arial"/>
          <w:sz w:val="18"/>
          <w:szCs w:val="18"/>
        </w:rPr>
        <w:t>(*) Ley 14.879 Planilla 09, Resultado Primario de Mensaje de Acompañamiento al Presupuesto</w:t>
      </w:r>
      <w:r w:rsidR="008B138A" w:rsidRPr="00117BF8">
        <w:rPr>
          <w:rFonts w:ascii="Arial" w:hAnsi="Arial" w:cs="Arial"/>
          <w:sz w:val="18"/>
          <w:szCs w:val="18"/>
        </w:rPr>
        <w:t>.</w:t>
      </w:r>
      <w:r w:rsidR="00603073" w:rsidRPr="00117BF8">
        <w:rPr>
          <w:rFonts w:ascii="Arial" w:hAnsi="Arial" w:cs="Arial"/>
          <w:sz w:val="18"/>
          <w:szCs w:val="18"/>
        </w:rPr>
        <w:t xml:space="preserve"> (**) La CGPBA no realiza este este ajuste e informa Resultado Total Negativo, con el propósito de informar todas las fuentes de financiamiento se incluye este ajuste.</w:t>
      </w:r>
    </w:p>
    <w:p w14:paraId="2C8D4F0F" w14:textId="77777777" w:rsidR="00AD4AF8" w:rsidRPr="00117BF8" w:rsidRDefault="00AD4AF8" w:rsidP="002C3683">
      <w:pPr>
        <w:pStyle w:val="hsa"/>
        <w:rPr>
          <w:rFonts w:ascii="Arial" w:eastAsia="Calibri" w:hAnsi="Arial" w:cs="Arial"/>
          <w:sz w:val="22"/>
          <w:szCs w:val="22"/>
        </w:rPr>
      </w:pPr>
      <w:r w:rsidRPr="00117BF8">
        <w:rPr>
          <w:rFonts w:ascii="Arial" w:eastAsia="Calibri" w:hAnsi="Arial" w:cs="Arial"/>
          <w:sz w:val="22"/>
          <w:szCs w:val="22"/>
        </w:rPr>
        <w:t xml:space="preserve">Los </w:t>
      </w:r>
      <w:r w:rsidR="001066FF" w:rsidRPr="00117BF8">
        <w:rPr>
          <w:rFonts w:ascii="Arial" w:eastAsia="Calibri" w:hAnsi="Arial" w:cs="Arial"/>
          <w:sz w:val="22"/>
          <w:szCs w:val="22"/>
        </w:rPr>
        <w:t xml:space="preserve">valores de la tabla precedente </w:t>
      </w:r>
      <w:r w:rsidR="00323DF5" w:rsidRPr="00117BF8">
        <w:rPr>
          <w:rFonts w:ascii="Arial" w:eastAsia="Calibri" w:hAnsi="Arial" w:cs="Arial"/>
          <w:sz w:val="22"/>
          <w:szCs w:val="22"/>
        </w:rPr>
        <w:t xml:space="preserve">fueron afectados por un importante proceso inflacionario que </w:t>
      </w:r>
      <w:r w:rsidR="003C137F" w:rsidRPr="00117BF8">
        <w:rPr>
          <w:rFonts w:ascii="Arial" w:eastAsia="Calibri" w:hAnsi="Arial" w:cs="Arial"/>
          <w:sz w:val="22"/>
          <w:szCs w:val="22"/>
        </w:rPr>
        <w:t>relativiza</w:t>
      </w:r>
      <w:r w:rsidR="00323DF5" w:rsidRPr="00117BF8">
        <w:rPr>
          <w:rFonts w:ascii="Arial" w:eastAsia="Calibri" w:hAnsi="Arial" w:cs="Arial"/>
          <w:sz w:val="22"/>
          <w:szCs w:val="22"/>
        </w:rPr>
        <w:t xml:space="preserve"> las comparaciones nominales. Por tal razón, </w:t>
      </w:r>
      <w:r w:rsidR="00457909" w:rsidRPr="00117BF8">
        <w:rPr>
          <w:rFonts w:ascii="Arial" w:eastAsia="Calibri" w:hAnsi="Arial" w:cs="Arial"/>
          <w:sz w:val="22"/>
          <w:szCs w:val="22"/>
        </w:rPr>
        <w:t xml:space="preserve">los </w:t>
      </w:r>
      <w:r w:rsidR="00D82CB5" w:rsidRPr="00117BF8">
        <w:rPr>
          <w:rFonts w:ascii="Arial" w:eastAsia="Calibri" w:hAnsi="Arial" w:cs="Arial"/>
          <w:sz w:val="22"/>
          <w:szCs w:val="22"/>
        </w:rPr>
        <w:t xml:space="preserve">valores fueron </w:t>
      </w:r>
      <w:r w:rsidR="00457909" w:rsidRPr="00117BF8">
        <w:rPr>
          <w:rFonts w:ascii="Arial" w:eastAsia="Calibri" w:hAnsi="Arial" w:cs="Arial"/>
          <w:sz w:val="22"/>
          <w:szCs w:val="22"/>
        </w:rPr>
        <w:t xml:space="preserve">deflactaron a </w:t>
      </w:r>
      <w:r w:rsidR="00D82CB5" w:rsidRPr="00117BF8">
        <w:rPr>
          <w:rFonts w:ascii="Arial" w:eastAsia="Calibri" w:hAnsi="Arial" w:cs="Arial"/>
          <w:sz w:val="22"/>
          <w:szCs w:val="22"/>
        </w:rPr>
        <w:t>precios de 2013</w:t>
      </w:r>
      <w:r w:rsidR="003D7986" w:rsidRPr="00117BF8">
        <w:rPr>
          <w:rFonts w:ascii="Arial" w:eastAsia="Calibri" w:hAnsi="Arial" w:cs="Arial"/>
          <w:sz w:val="22"/>
          <w:szCs w:val="22"/>
        </w:rPr>
        <w:t>.</w:t>
      </w:r>
      <w:r w:rsidR="003D7986" w:rsidRPr="00117BF8">
        <w:rPr>
          <w:rStyle w:val="FootnoteReference"/>
          <w:rFonts w:ascii="Arial" w:eastAsia="Calibri" w:hAnsi="Arial" w:cs="Arial"/>
          <w:sz w:val="22"/>
          <w:szCs w:val="22"/>
        </w:rPr>
        <w:footnoteReference w:id="10"/>
      </w:r>
    </w:p>
    <w:p w14:paraId="6A373F95" w14:textId="77777777" w:rsidR="005B18C0" w:rsidRPr="00117BF8" w:rsidRDefault="00D82CB5" w:rsidP="002C3683">
      <w:pPr>
        <w:pStyle w:val="hsa"/>
        <w:rPr>
          <w:rFonts w:ascii="Arial" w:eastAsia="Calibri" w:hAnsi="Arial" w:cs="Arial"/>
          <w:sz w:val="22"/>
          <w:szCs w:val="22"/>
        </w:rPr>
      </w:pPr>
      <w:r w:rsidRPr="00117BF8">
        <w:rPr>
          <w:rFonts w:ascii="Arial" w:eastAsia="Calibri" w:hAnsi="Arial" w:cs="Arial"/>
          <w:sz w:val="22"/>
          <w:szCs w:val="22"/>
        </w:rPr>
        <w:t xml:space="preserve">A precios constantes se </w:t>
      </w:r>
      <w:r w:rsidR="000E6084" w:rsidRPr="00117BF8">
        <w:rPr>
          <w:rFonts w:ascii="Arial" w:eastAsia="Calibri" w:hAnsi="Arial" w:cs="Arial"/>
          <w:sz w:val="22"/>
          <w:szCs w:val="22"/>
        </w:rPr>
        <w:t xml:space="preserve">observa </w:t>
      </w:r>
      <w:r w:rsidRPr="00117BF8">
        <w:rPr>
          <w:rFonts w:ascii="Arial" w:eastAsia="Calibri" w:hAnsi="Arial" w:cs="Arial"/>
          <w:sz w:val="22"/>
          <w:szCs w:val="22"/>
        </w:rPr>
        <w:t>que e</w:t>
      </w:r>
      <w:r w:rsidR="003D7986" w:rsidRPr="00117BF8">
        <w:rPr>
          <w:rFonts w:ascii="Arial" w:eastAsia="Calibri" w:hAnsi="Arial" w:cs="Arial"/>
          <w:sz w:val="22"/>
          <w:szCs w:val="22"/>
        </w:rPr>
        <w:t>l deterioro de los resultados</w:t>
      </w:r>
      <w:r w:rsidR="000E6084" w:rsidRPr="00117BF8">
        <w:rPr>
          <w:rFonts w:ascii="Arial" w:eastAsia="Calibri" w:hAnsi="Arial" w:cs="Arial"/>
          <w:sz w:val="22"/>
          <w:szCs w:val="22"/>
        </w:rPr>
        <w:t>,</w:t>
      </w:r>
      <w:r w:rsidR="003D7986" w:rsidRPr="00117BF8">
        <w:rPr>
          <w:rFonts w:ascii="Arial" w:eastAsia="Calibri" w:hAnsi="Arial" w:cs="Arial"/>
          <w:sz w:val="22"/>
          <w:szCs w:val="22"/>
        </w:rPr>
        <w:t xml:space="preserve"> durante los últimos dos años</w:t>
      </w:r>
      <w:r w:rsidR="000E6084" w:rsidRPr="00117BF8">
        <w:rPr>
          <w:rFonts w:ascii="Arial" w:eastAsia="Calibri" w:hAnsi="Arial" w:cs="Arial"/>
          <w:sz w:val="22"/>
          <w:szCs w:val="22"/>
        </w:rPr>
        <w:t>,</w:t>
      </w:r>
      <w:r w:rsidR="003D7986" w:rsidRPr="00117BF8">
        <w:rPr>
          <w:rFonts w:ascii="Arial" w:eastAsia="Calibri" w:hAnsi="Arial" w:cs="Arial"/>
          <w:sz w:val="22"/>
          <w:szCs w:val="22"/>
        </w:rPr>
        <w:t xml:space="preserve"> se origina en un incremento del gasto total de entre 17% y 20%, en comparación con 2014, mientras que los recursos totales crecieron sólo en la mitad de</w:t>
      </w:r>
      <w:r w:rsidR="008078C8" w:rsidRPr="00117BF8">
        <w:rPr>
          <w:rFonts w:ascii="Arial" w:eastAsia="Calibri" w:hAnsi="Arial" w:cs="Arial"/>
          <w:sz w:val="22"/>
          <w:szCs w:val="22"/>
        </w:rPr>
        <w:t xml:space="preserve"> esos porcentajes</w:t>
      </w:r>
      <w:r w:rsidR="003D7986" w:rsidRPr="00117BF8">
        <w:rPr>
          <w:rFonts w:ascii="Arial" w:eastAsia="Calibri" w:hAnsi="Arial" w:cs="Arial"/>
          <w:sz w:val="22"/>
          <w:szCs w:val="22"/>
        </w:rPr>
        <w:t>.</w:t>
      </w:r>
    </w:p>
    <w:p w14:paraId="648F21D3" w14:textId="77777777" w:rsidR="00BC4590" w:rsidRPr="00117BF8" w:rsidRDefault="009B4C1F" w:rsidP="002C3683">
      <w:pPr>
        <w:pStyle w:val="hsa"/>
        <w:rPr>
          <w:rFonts w:ascii="Arial" w:eastAsia="Calibri" w:hAnsi="Arial" w:cs="Arial"/>
          <w:sz w:val="22"/>
          <w:szCs w:val="22"/>
        </w:rPr>
      </w:pPr>
      <w:r w:rsidRPr="00117BF8">
        <w:rPr>
          <w:rFonts w:ascii="Arial" w:eastAsia="Calibri" w:hAnsi="Arial" w:cs="Arial"/>
          <w:sz w:val="22"/>
          <w:szCs w:val="22"/>
        </w:rPr>
        <w:t>D</w:t>
      </w:r>
      <w:r w:rsidR="003D7986" w:rsidRPr="00117BF8">
        <w:rPr>
          <w:rFonts w:ascii="Arial" w:eastAsia="Calibri" w:hAnsi="Arial" w:cs="Arial"/>
          <w:sz w:val="22"/>
          <w:szCs w:val="22"/>
        </w:rPr>
        <w:t>urante el año 2016 hubo un importante aumento del gasto de capital</w:t>
      </w:r>
      <w:r w:rsidRPr="00117BF8">
        <w:rPr>
          <w:rFonts w:ascii="Arial" w:eastAsia="Calibri" w:hAnsi="Arial" w:cs="Arial"/>
          <w:sz w:val="22"/>
          <w:szCs w:val="22"/>
        </w:rPr>
        <w:t>. De todas maneras</w:t>
      </w:r>
      <w:r w:rsidR="003D7986" w:rsidRPr="00117BF8">
        <w:rPr>
          <w:rFonts w:ascii="Arial" w:eastAsia="Calibri" w:hAnsi="Arial" w:cs="Arial"/>
          <w:sz w:val="22"/>
          <w:szCs w:val="22"/>
        </w:rPr>
        <w:t xml:space="preserve">, por su </w:t>
      </w:r>
      <w:r w:rsidRPr="00117BF8">
        <w:rPr>
          <w:rFonts w:ascii="Arial" w:eastAsia="Calibri" w:hAnsi="Arial" w:cs="Arial"/>
          <w:sz w:val="22"/>
          <w:szCs w:val="22"/>
        </w:rPr>
        <w:t xml:space="preserve">poca </w:t>
      </w:r>
      <w:r w:rsidR="003D7986" w:rsidRPr="00117BF8">
        <w:rPr>
          <w:rFonts w:ascii="Arial" w:eastAsia="Calibri" w:hAnsi="Arial" w:cs="Arial"/>
          <w:sz w:val="22"/>
          <w:szCs w:val="22"/>
        </w:rPr>
        <w:t xml:space="preserve">magnitud, </w:t>
      </w:r>
      <w:r w:rsidRPr="00117BF8">
        <w:rPr>
          <w:rFonts w:ascii="Arial" w:eastAsia="Calibri" w:hAnsi="Arial" w:cs="Arial"/>
          <w:sz w:val="22"/>
          <w:szCs w:val="22"/>
        </w:rPr>
        <w:t xml:space="preserve">no </w:t>
      </w:r>
      <w:r w:rsidR="003D7986" w:rsidRPr="00117BF8">
        <w:rPr>
          <w:rFonts w:ascii="Arial" w:eastAsia="Calibri" w:hAnsi="Arial" w:cs="Arial"/>
          <w:sz w:val="22"/>
          <w:szCs w:val="22"/>
        </w:rPr>
        <w:t xml:space="preserve">explica el incremento de los gastos </w:t>
      </w:r>
      <w:r w:rsidRPr="00117BF8">
        <w:rPr>
          <w:rFonts w:ascii="Arial" w:eastAsia="Calibri" w:hAnsi="Arial" w:cs="Arial"/>
          <w:sz w:val="22"/>
          <w:szCs w:val="22"/>
        </w:rPr>
        <w:t xml:space="preserve">totales. </w:t>
      </w:r>
      <w:r w:rsidR="00BC4590" w:rsidRPr="00117BF8">
        <w:rPr>
          <w:rFonts w:ascii="Arial" w:eastAsia="Calibri" w:hAnsi="Arial" w:cs="Arial"/>
          <w:sz w:val="22"/>
          <w:szCs w:val="22"/>
        </w:rPr>
        <w:t xml:space="preserve">Entre el 2014 y 2015 el gasto corriente aumentó a precios constantes $13.000 millones y un año después </w:t>
      </w:r>
      <w:r w:rsidR="00D82CB5" w:rsidRPr="00117BF8">
        <w:rPr>
          <w:rFonts w:ascii="Arial" w:eastAsia="Calibri" w:hAnsi="Arial" w:cs="Arial"/>
          <w:sz w:val="22"/>
          <w:szCs w:val="22"/>
        </w:rPr>
        <w:t>$</w:t>
      </w:r>
      <w:r w:rsidR="00BC4590" w:rsidRPr="00117BF8">
        <w:rPr>
          <w:rFonts w:ascii="Arial" w:eastAsia="Calibri" w:hAnsi="Arial" w:cs="Arial"/>
          <w:sz w:val="22"/>
          <w:szCs w:val="22"/>
        </w:rPr>
        <w:t>3.000 millones más.</w:t>
      </w:r>
    </w:p>
    <w:p w14:paraId="62118EAA" w14:textId="005C8551" w:rsidR="003D7986" w:rsidRPr="00117BF8" w:rsidRDefault="00BC4590" w:rsidP="002C3683">
      <w:pPr>
        <w:pStyle w:val="hsa"/>
        <w:rPr>
          <w:rFonts w:ascii="Arial" w:eastAsia="Calibri" w:hAnsi="Arial" w:cs="Arial"/>
          <w:sz w:val="22"/>
          <w:szCs w:val="22"/>
        </w:rPr>
      </w:pPr>
      <w:r w:rsidRPr="00117BF8">
        <w:rPr>
          <w:rFonts w:ascii="Arial" w:eastAsia="Calibri" w:hAnsi="Arial" w:cs="Arial"/>
          <w:sz w:val="22"/>
          <w:szCs w:val="22"/>
        </w:rPr>
        <w:t>L</w:t>
      </w:r>
      <w:r w:rsidR="00A709CE" w:rsidRPr="00117BF8">
        <w:rPr>
          <w:rFonts w:ascii="Arial" w:eastAsia="Calibri" w:hAnsi="Arial" w:cs="Arial"/>
          <w:sz w:val="22"/>
          <w:szCs w:val="22"/>
        </w:rPr>
        <w:t>os resultados económico</w:t>
      </w:r>
      <w:r w:rsidR="00FA2295">
        <w:rPr>
          <w:rFonts w:ascii="Arial" w:eastAsia="Calibri" w:hAnsi="Arial" w:cs="Arial"/>
          <w:sz w:val="22"/>
          <w:szCs w:val="22"/>
        </w:rPr>
        <w:t>s</w:t>
      </w:r>
      <w:r w:rsidR="00A709CE" w:rsidRPr="00117BF8">
        <w:rPr>
          <w:rFonts w:ascii="Arial" w:eastAsia="Calibri" w:hAnsi="Arial" w:cs="Arial"/>
          <w:sz w:val="22"/>
          <w:szCs w:val="22"/>
        </w:rPr>
        <w:t>, primario y financiero</w:t>
      </w:r>
      <w:r w:rsidR="008078C8" w:rsidRPr="00117BF8">
        <w:rPr>
          <w:rFonts w:ascii="Arial" w:eastAsia="Calibri" w:hAnsi="Arial" w:cs="Arial"/>
          <w:sz w:val="22"/>
          <w:szCs w:val="22"/>
        </w:rPr>
        <w:t xml:space="preserve"> pasaron de positivos en el 2014 a negativos en los </w:t>
      </w:r>
      <w:r w:rsidR="00A709CE" w:rsidRPr="00117BF8">
        <w:rPr>
          <w:rFonts w:ascii="Arial" w:eastAsia="Calibri" w:hAnsi="Arial" w:cs="Arial"/>
          <w:sz w:val="22"/>
          <w:szCs w:val="22"/>
        </w:rPr>
        <w:t xml:space="preserve">años </w:t>
      </w:r>
      <w:r w:rsidR="008078C8" w:rsidRPr="00117BF8">
        <w:rPr>
          <w:rFonts w:ascii="Arial" w:eastAsia="Calibri" w:hAnsi="Arial" w:cs="Arial"/>
          <w:sz w:val="22"/>
          <w:szCs w:val="22"/>
        </w:rPr>
        <w:t xml:space="preserve">siguientes. </w:t>
      </w:r>
      <w:r w:rsidR="00D82CB5" w:rsidRPr="00117BF8">
        <w:rPr>
          <w:rFonts w:ascii="Arial" w:eastAsia="Calibri" w:hAnsi="Arial" w:cs="Arial"/>
          <w:sz w:val="22"/>
          <w:szCs w:val="22"/>
        </w:rPr>
        <w:t>Siempre a precios constantes, l</w:t>
      </w:r>
      <w:r w:rsidR="008078C8" w:rsidRPr="00117BF8">
        <w:rPr>
          <w:rFonts w:ascii="Arial" w:eastAsia="Calibri" w:hAnsi="Arial" w:cs="Arial"/>
          <w:sz w:val="22"/>
          <w:szCs w:val="22"/>
        </w:rPr>
        <w:t xml:space="preserve">os resultados primario y financiero </w:t>
      </w:r>
      <w:r w:rsidRPr="00117BF8">
        <w:rPr>
          <w:rFonts w:ascii="Arial" w:eastAsia="Calibri" w:hAnsi="Arial" w:cs="Arial"/>
          <w:sz w:val="22"/>
          <w:szCs w:val="22"/>
        </w:rPr>
        <w:t xml:space="preserve">se mantuvieron en niveles similares </w:t>
      </w:r>
      <w:r w:rsidR="008078C8" w:rsidRPr="00117BF8">
        <w:rPr>
          <w:rFonts w:ascii="Arial" w:eastAsia="Calibri" w:hAnsi="Arial" w:cs="Arial"/>
          <w:sz w:val="22"/>
          <w:szCs w:val="22"/>
        </w:rPr>
        <w:t>durante los dos últimos años</w:t>
      </w:r>
      <w:r w:rsidRPr="00117BF8">
        <w:rPr>
          <w:rFonts w:ascii="Arial" w:eastAsia="Calibri" w:hAnsi="Arial" w:cs="Arial"/>
          <w:sz w:val="22"/>
          <w:szCs w:val="22"/>
        </w:rPr>
        <w:t xml:space="preserve">, </w:t>
      </w:r>
      <w:r w:rsidR="008078C8" w:rsidRPr="00117BF8">
        <w:rPr>
          <w:rFonts w:ascii="Arial" w:eastAsia="Calibri" w:hAnsi="Arial" w:cs="Arial"/>
          <w:sz w:val="22"/>
          <w:szCs w:val="22"/>
        </w:rPr>
        <w:t xml:space="preserve">el resultado financiero fue en promedio 12.400 millones negativo y el primario </w:t>
      </w:r>
      <w:r w:rsidR="005970D2" w:rsidRPr="00117BF8">
        <w:rPr>
          <w:rFonts w:ascii="Arial" w:eastAsia="Calibri" w:hAnsi="Arial" w:cs="Arial"/>
          <w:sz w:val="22"/>
          <w:szCs w:val="22"/>
        </w:rPr>
        <w:t xml:space="preserve">6300 millones. </w:t>
      </w:r>
      <w:r w:rsidRPr="00117BF8">
        <w:rPr>
          <w:rFonts w:ascii="Arial" w:eastAsia="Calibri" w:hAnsi="Arial" w:cs="Arial"/>
          <w:sz w:val="22"/>
          <w:szCs w:val="22"/>
        </w:rPr>
        <w:t>Aunque en esos años el resultado primario mejoró y el financiero empeoró como consecuencia de</w:t>
      </w:r>
      <w:r w:rsidR="00D82CB5" w:rsidRPr="00117BF8">
        <w:rPr>
          <w:rFonts w:ascii="Arial" w:eastAsia="Calibri" w:hAnsi="Arial" w:cs="Arial"/>
          <w:sz w:val="22"/>
          <w:szCs w:val="22"/>
        </w:rPr>
        <w:t xml:space="preserve">l </w:t>
      </w:r>
      <w:r w:rsidRPr="00117BF8">
        <w:rPr>
          <w:rFonts w:ascii="Arial" w:eastAsia="Calibri" w:hAnsi="Arial" w:cs="Arial"/>
          <w:sz w:val="22"/>
          <w:szCs w:val="22"/>
        </w:rPr>
        <w:t xml:space="preserve">incremento </w:t>
      </w:r>
      <w:r w:rsidR="00D82CB5" w:rsidRPr="00117BF8">
        <w:rPr>
          <w:rFonts w:ascii="Arial" w:eastAsia="Calibri" w:hAnsi="Arial" w:cs="Arial"/>
          <w:sz w:val="22"/>
          <w:szCs w:val="22"/>
        </w:rPr>
        <w:t>en</w:t>
      </w:r>
      <w:r w:rsidRPr="00117BF8">
        <w:rPr>
          <w:rFonts w:ascii="Arial" w:eastAsia="Calibri" w:hAnsi="Arial" w:cs="Arial"/>
          <w:sz w:val="22"/>
          <w:szCs w:val="22"/>
        </w:rPr>
        <w:t xml:space="preserve"> la carga de intere</w:t>
      </w:r>
      <w:r w:rsidR="005970D2" w:rsidRPr="00117BF8">
        <w:rPr>
          <w:rFonts w:ascii="Arial" w:eastAsia="Calibri" w:hAnsi="Arial" w:cs="Arial"/>
          <w:sz w:val="22"/>
          <w:szCs w:val="22"/>
        </w:rPr>
        <w:t>s</w:t>
      </w:r>
      <w:r w:rsidRPr="00117BF8">
        <w:rPr>
          <w:rFonts w:ascii="Arial" w:eastAsia="Calibri" w:hAnsi="Arial" w:cs="Arial"/>
          <w:sz w:val="22"/>
          <w:szCs w:val="22"/>
        </w:rPr>
        <w:t xml:space="preserve">es </w:t>
      </w:r>
      <w:r w:rsidR="00D82CB5" w:rsidRPr="00117BF8">
        <w:rPr>
          <w:rFonts w:ascii="Arial" w:eastAsia="Calibri" w:hAnsi="Arial" w:cs="Arial"/>
          <w:sz w:val="22"/>
          <w:szCs w:val="22"/>
        </w:rPr>
        <w:t>antes mencionado, que también se observa a precios constantes</w:t>
      </w:r>
      <w:r w:rsidR="005970D2" w:rsidRPr="00117BF8">
        <w:rPr>
          <w:rFonts w:ascii="Arial" w:eastAsia="Calibri" w:hAnsi="Arial" w:cs="Arial"/>
          <w:sz w:val="22"/>
          <w:szCs w:val="22"/>
        </w:rPr>
        <w:t>.</w:t>
      </w:r>
    </w:p>
    <w:tbl>
      <w:tblPr>
        <w:tblW w:w="7386"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2850"/>
        <w:gridCol w:w="1134"/>
        <w:gridCol w:w="1134"/>
        <w:gridCol w:w="1134"/>
        <w:gridCol w:w="1134"/>
      </w:tblGrid>
      <w:tr w:rsidR="00201B07" w:rsidRPr="004E6455" w14:paraId="77523B30" w14:textId="77777777" w:rsidTr="00C007D0">
        <w:trPr>
          <w:trHeight w:val="300"/>
          <w:jc w:val="center"/>
        </w:trPr>
        <w:tc>
          <w:tcPr>
            <w:tcW w:w="7386" w:type="dxa"/>
            <w:gridSpan w:val="5"/>
            <w:tcBorders>
              <w:top w:val="single" w:sz="8" w:space="0" w:color="78C0D4"/>
              <w:left w:val="single" w:sz="8" w:space="0" w:color="78C0D4"/>
              <w:bottom w:val="single" w:sz="8" w:space="0" w:color="78C0D4"/>
              <w:right w:val="single" w:sz="8" w:space="0" w:color="78C0D4"/>
            </w:tcBorders>
            <w:shd w:val="clear" w:color="auto" w:fill="0070C0"/>
            <w:noWrap/>
            <w:hideMark/>
          </w:tcPr>
          <w:p w14:paraId="569B08FE" w14:textId="77777777" w:rsidR="00201B07" w:rsidRPr="00117BF8" w:rsidRDefault="00201B07" w:rsidP="00117BF8">
            <w:pPr>
              <w:pStyle w:val="TablaE"/>
              <w:rPr>
                <w:rFonts w:ascii="Arial" w:hAnsi="Arial" w:cs="Arial"/>
                <w:sz w:val="22"/>
                <w:szCs w:val="22"/>
              </w:rPr>
            </w:pPr>
            <w:bookmarkStart w:id="27" w:name="_Toc493861113"/>
            <w:r w:rsidRPr="00117BF8">
              <w:rPr>
                <w:rFonts w:ascii="Arial" w:hAnsi="Arial" w:cs="Arial"/>
                <w:sz w:val="22"/>
                <w:szCs w:val="22"/>
              </w:rPr>
              <w:t xml:space="preserve">Tabla </w:t>
            </w:r>
            <w:r w:rsidR="00525D76" w:rsidRPr="00117BF8">
              <w:rPr>
                <w:rFonts w:ascii="Arial" w:hAnsi="Arial" w:cs="Arial"/>
                <w:sz w:val="22"/>
                <w:szCs w:val="22"/>
              </w:rPr>
              <w:t>3</w:t>
            </w:r>
            <w:r w:rsidRPr="00117BF8">
              <w:rPr>
                <w:rFonts w:ascii="Arial" w:hAnsi="Arial" w:cs="Arial"/>
                <w:sz w:val="22"/>
                <w:szCs w:val="22"/>
              </w:rPr>
              <w:t xml:space="preserve"> - Principales Cuentas Fiscales </w:t>
            </w:r>
            <w:r w:rsidR="00E90920" w:rsidRPr="00117BF8">
              <w:rPr>
                <w:rFonts w:ascii="Arial" w:hAnsi="Arial" w:cs="Arial"/>
                <w:sz w:val="22"/>
                <w:szCs w:val="22"/>
              </w:rPr>
              <w:t>–</w:t>
            </w:r>
            <w:r w:rsidRPr="00117BF8">
              <w:rPr>
                <w:rFonts w:ascii="Arial" w:hAnsi="Arial" w:cs="Arial"/>
                <w:sz w:val="22"/>
                <w:szCs w:val="22"/>
              </w:rPr>
              <w:t xml:space="preserve"> Ejecutado</w:t>
            </w:r>
            <w:r w:rsidR="00E90920" w:rsidRPr="00117BF8">
              <w:rPr>
                <w:rFonts w:ascii="Arial" w:hAnsi="Arial" w:cs="Arial"/>
                <w:sz w:val="22"/>
                <w:szCs w:val="22"/>
              </w:rPr>
              <w:t xml:space="preserve"> Deflactado</w:t>
            </w:r>
            <w:bookmarkEnd w:id="27"/>
          </w:p>
          <w:p w14:paraId="14B4CE12" w14:textId="77777777" w:rsidR="00201B07" w:rsidRPr="00117BF8" w:rsidRDefault="00201B07" w:rsidP="00117BF8">
            <w:pPr>
              <w:pStyle w:val="TablaE"/>
              <w:jc w:val="right"/>
              <w:rPr>
                <w:rFonts w:ascii="Arial" w:hAnsi="Arial" w:cs="Arial"/>
                <w:szCs w:val="22"/>
              </w:rPr>
            </w:pPr>
            <w:r w:rsidRPr="00117BF8">
              <w:rPr>
                <w:rFonts w:ascii="Arial" w:hAnsi="Arial" w:cs="Arial"/>
                <w:sz w:val="22"/>
                <w:szCs w:val="22"/>
              </w:rPr>
              <w:t>En millones de pesos de 2013</w:t>
            </w:r>
          </w:p>
        </w:tc>
      </w:tr>
      <w:tr w:rsidR="00C007D0" w:rsidRPr="004E6455" w14:paraId="3E719A2D" w14:textId="77777777" w:rsidTr="00C007D0">
        <w:trPr>
          <w:trHeight w:val="300"/>
          <w:jc w:val="center"/>
        </w:trPr>
        <w:tc>
          <w:tcPr>
            <w:tcW w:w="2850" w:type="dxa"/>
            <w:tcBorders>
              <w:right w:val="single" w:sz="8" w:space="0" w:color="78C0D4"/>
            </w:tcBorders>
            <w:shd w:val="clear" w:color="auto" w:fill="0070C0"/>
            <w:noWrap/>
            <w:hideMark/>
          </w:tcPr>
          <w:p w14:paraId="28B5988D" w14:textId="77777777" w:rsidR="00201B07" w:rsidRPr="00117BF8" w:rsidRDefault="00201B07" w:rsidP="00E90920">
            <w:pPr>
              <w:pStyle w:val="TablaE"/>
              <w:rPr>
                <w:rFonts w:ascii="Arial" w:hAnsi="Arial" w:cs="Arial"/>
                <w:b w:val="0"/>
                <w:bCs/>
              </w:rPr>
            </w:pPr>
          </w:p>
        </w:tc>
        <w:tc>
          <w:tcPr>
            <w:tcW w:w="1134" w:type="dxa"/>
            <w:tcBorders>
              <w:left w:val="single" w:sz="8" w:space="0" w:color="78C0D4"/>
              <w:right w:val="single" w:sz="8" w:space="0" w:color="78C0D4"/>
            </w:tcBorders>
            <w:shd w:val="clear" w:color="auto" w:fill="0070C0"/>
            <w:noWrap/>
            <w:hideMark/>
          </w:tcPr>
          <w:p w14:paraId="59AA134A" w14:textId="77777777" w:rsidR="00201B07" w:rsidRPr="00117BF8" w:rsidRDefault="00201B07" w:rsidP="00E90920">
            <w:pPr>
              <w:pStyle w:val="TablaE"/>
              <w:rPr>
                <w:rFonts w:ascii="Arial" w:hAnsi="Arial" w:cs="Arial"/>
                <w:sz w:val="20"/>
              </w:rPr>
            </w:pPr>
            <w:r w:rsidRPr="00117BF8">
              <w:rPr>
                <w:rFonts w:ascii="Arial" w:hAnsi="Arial" w:cs="Arial"/>
                <w:sz w:val="22"/>
                <w:szCs w:val="22"/>
              </w:rPr>
              <w:t>2013</w:t>
            </w:r>
          </w:p>
        </w:tc>
        <w:tc>
          <w:tcPr>
            <w:tcW w:w="1134" w:type="dxa"/>
            <w:tcBorders>
              <w:left w:val="single" w:sz="8" w:space="0" w:color="78C0D4"/>
              <w:right w:val="single" w:sz="8" w:space="0" w:color="78C0D4"/>
            </w:tcBorders>
            <w:shd w:val="clear" w:color="auto" w:fill="0070C0"/>
            <w:noWrap/>
            <w:hideMark/>
          </w:tcPr>
          <w:p w14:paraId="6CB2F551" w14:textId="77777777" w:rsidR="00201B07" w:rsidRPr="00117BF8" w:rsidRDefault="00201B07" w:rsidP="00E90920">
            <w:pPr>
              <w:pStyle w:val="TablaE"/>
              <w:rPr>
                <w:rFonts w:ascii="Arial" w:hAnsi="Arial" w:cs="Arial"/>
                <w:sz w:val="20"/>
              </w:rPr>
            </w:pPr>
            <w:r w:rsidRPr="00117BF8">
              <w:rPr>
                <w:rFonts w:ascii="Arial" w:hAnsi="Arial" w:cs="Arial"/>
                <w:sz w:val="22"/>
                <w:szCs w:val="22"/>
              </w:rPr>
              <w:t>2014</w:t>
            </w:r>
          </w:p>
        </w:tc>
        <w:tc>
          <w:tcPr>
            <w:tcW w:w="1134" w:type="dxa"/>
            <w:tcBorders>
              <w:left w:val="single" w:sz="8" w:space="0" w:color="78C0D4"/>
              <w:right w:val="single" w:sz="8" w:space="0" w:color="78C0D4"/>
            </w:tcBorders>
            <w:shd w:val="clear" w:color="auto" w:fill="0070C0"/>
            <w:noWrap/>
            <w:hideMark/>
          </w:tcPr>
          <w:p w14:paraId="287A12CC" w14:textId="77777777" w:rsidR="00201B07" w:rsidRPr="00117BF8" w:rsidRDefault="00201B07" w:rsidP="00E90920">
            <w:pPr>
              <w:pStyle w:val="TablaE"/>
              <w:rPr>
                <w:rFonts w:ascii="Arial" w:hAnsi="Arial" w:cs="Arial"/>
                <w:sz w:val="22"/>
                <w:szCs w:val="22"/>
              </w:rPr>
            </w:pPr>
            <w:r w:rsidRPr="00117BF8">
              <w:rPr>
                <w:rFonts w:ascii="Arial" w:hAnsi="Arial" w:cs="Arial"/>
                <w:sz w:val="22"/>
                <w:szCs w:val="22"/>
              </w:rPr>
              <w:t>2015</w:t>
            </w:r>
          </w:p>
        </w:tc>
        <w:tc>
          <w:tcPr>
            <w:tcW w:w="1134" w:type="dxa"/>
            <w:tcBorders>
              <w:left w:val="single" w:sz="8" w:space="0" w:color="78C0D4"/>
              <w:right w:val="single" w:sz="8" w:space="0" w:color="78C0D4"/>
            </w:tcBorders>
            <w:shd w:val="clear" w:color="auto" w:fill="0070C0"/>
            <w:noWrap/>
            <w:hideMark/>
          </w:tcPr>
          <w:p w14:paraId="6E2FE503" w14:textId="77777777" w:rsidR="00201B07" w:rsidRPr="00117BF8" w:rsidRDefault="00201B07" w:rsidP="00E90920">
            <w:pPr>
              <w:pStyle w:val="TablaE"/>
              <w:rPr>
                <w:rFonts w:ascii="Arial" w:hAnsi="Arial" w:cs="Arial"/>
                <w:sz w:val="22"/>
                <w:szCs w:val="22"/>
              </w:rPr>
            </w:pPr>
            <w:r w:rsidRPr="00117BF8">
              <w:rPr>
                <w:rFonts w:ascii="Arial" w:hAnsi="Arial" w:cs="Arial"/>
                <w:sz w:val="22"/>
                <w:szCs w:val="22"/>
              </w:rPr>
              <w:t>2016</w:t>
            </w:r>
          </w:p>
        </w:tc>
      </w:tr>
      <w:tr w:rsidR="00C007D0" w:rsidRPr="004E6455" w14:paraId="516EAEB8" w14:textId="77777777" w:rsidTr="00C007D0">
        <w:trPr>
          <w:trHeight w:val="300"/>
          <w:jc w:val="center"/>
        </w:trPr>
        <w:tc>
          <w:tcPr>
            <w:tcW w:w="2850" w:type="dxa"/>
            <w:tcBorders>
              <w:right w:val="nil"/>
            </w:tcBorders>
            <w:shd w:val="clear" w:color="auto" w:fill="auto"/>
            <w:noWrap/>
            <w:hideMark/>
          </w:tcPr>
          <w:p w14:paraId="27349461"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Recursos Corrientes</w:t>
            </w:r>
          </w:p>
        </w:tc>
        <w:tc>
          <w:tcPr>
            <w:tcW w:w="1134" w:type="dxa"/>
            <w:tcBorders>
              <w:left w:val="nil"/>
              <w:right w:val="nil"/>
            </w:tcBorders>
            <w:shd w:val="clear" w:color="auto" w:fill="auto"/>
            <w:noWrap/>
            <w:vAlign w:val="bottom"/>
            <w:hideMark/>
          </w:tcPr>
          <w:p w14:paraId="272D1386"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146.619</w:t>
            </w:r>
          </w:p>
        </w:tc>
        <w:tc>
          <w:tcPr>
            <w:tcW w:w="1134" w:type="dxa"/>
            <w:tcBorders>
              <w:left w:val="nil"/>
              <w:right w:val="nil"/>
            </w:tcBorders>
            <w:shd w:val="clear" w:color="auto" w:fill="auto"/>
            <w:noWrap/>
            <w:vAlign w:val="bottom"/>
            <w:hideMark/>
          </w:tcPr>
          <w:p w14:paraId="0752BDB2"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141.145</w:t>
            </w:r>
          </w:p>
        </w:tc>
        <w:tc>
          <w:tcPr>
            <w:tcW w:w="1134" w:type="dxa"/>
            <w:tcBorders>
              <w:left w:val="nil"/>
              <w:right w:val="nil"/>
            </w:tcBorders>
            <w:shd w:val="clear" w:color="auto" w:fill="auto"/>
            <w:noWrap/>
            <w:vAlign w:val="bottom"/>
            <w:hideMark/>
          </w:tcPr>
          <w:p w14:paraId="0C440A1E"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153.927</w:t>
            </w:r>
          </w:p>
        </w:tc>
        <w:tc>
          <w:tcPr>
            <w:tcW w:w="1134" w:type="dxa"/>
            <w:tcBorders>
              <w:left w:val="nil"/>
            </w:tcBorders>
            <w:shd w:val="clear" w:color="auto" w:fill="auto"/>
            <w:noWrap/>
            <w:vAlign w:val="bottom"/>
            <w:hideMark/>
          </w:tcPr>
          <w:p w14:paraId="2944DA12"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157.075</w:t>
            </w:r>
          </w:p>
        </w:tc>
      </w:tr>
      <w:tr w:rsidR="00C007D0" w:rsidRPr="004E6455" w14:paraId="410CF954" w14:textId="77777777" w:rsidTr="00C007D0">
        <w:trPr>
          <w:trHeight w:val="300"/>
          <w:jc w:val="center"/>
        </w:trPr>
        <w:tc>
          <w:tcPr>
            <w:tcW w:w="2850" w:type="dxa"/>
            <w:shd w:val="clear" w:color="auto" w:fill="D2EAF1"/>
            <w:noWrap/>
            <w:hideMark/>
          </w:tcPr>
          <w:p w14:paraId="1E319BF1"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Gastos Corrientes</w:t>
            </w:r>
          </w:p>
        </w:tc>
        <w:tc>
          <w:tcPr>
            <w:tcW w:w="1134" w:type="dxa"/>
            <w:shd w:val="clear" w:color="auto" w:fill="D2EAF1"/>
            <w:noWrap/>
            <w:vAlign w:val="bottom"/>
            <w:hideMark/>
          </w:tcPr>
          <w:p w14:paraId="703830E2"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146.387</w:t>
            </w:r>
          </w:p>
        </w:tc>
        <w:tc>
          <w:tcPr>
            <w:tcW w:w="1134" w:type="dxa"/>
            <w:shd w:val="clear" w:color="auto" w:fill="D2EAF1"/>
            <w:noWrap/>
            <w:vAlign w:val="bottom"/>
            <w:hideMark/>
          </w:tcPr>
          <w:p w14:paraId="36B8411E"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138.754</w:t>
            </w:r>
          </w:p>
        </w:tc>
        <w:tc>
          <w:tcPr>
            <w:tcW w:w="1134" w:type="dxa"/>
            <w:shd w:val="clear" w:color="auto" w:fill="D2EAF1"/>
            <w:noWrap/>
            <w:vAlign w:val="bottom"/>
            <w:hideMark/>
          </w:tcPr>
          <w:p w14:paraId="55A6EED8"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162.982</w:t>
            </w:r>
          </w:p>
        </w:tc>
        <w:tc>
          <w:tcPr>
            <w:tcW w:w="1134" w:type="dxa"/>
            <w:shd w:val="clear" w:color="auto" w:fill="D2EAF1"/>
            <w:noWrap/>
            <w:vAlign w:val="bottom"/>
            <w:hideMark/>
          </w:tcPr>
          <w:p w14:paraId="0025B13C"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162.103</w:t>
            </w:r>
          </w:p>
        </w:tc>
      </w:tr>
      <w:tr w:rsidR="00C007D0" w:rsidRPr="004E6455" w14:paraId="3456B9BC" w14:textId="77777777" w:rsidTr="00C007D0">
        <w:trPr>
          <w:trHeight w:val="300"/>
          <w:jc w:val="center"/>
        </w:trPr>
        <w:tc>
          <w:tcPr>
            <w:tcW w:w="2850" w:type="dxa"/>
            <w:tcBorders>
              <w:right w:val="nil"/>
            </w:tcBorders>
            <w:shd w:val="clear" w:color="auto" w:fill="auto"/>
            <w:noWrap/>
            <w:hideMark/>
          </w:tcPr>
          <w:p w14:paraId="29C5DDA4"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Resultado Económico</w:t>
            </w:r>
          </w:p>
        </w:tc>
        <w:tc>
          <w:tcPr>
            <w:tcW w:w="1134" w:type="dxa"/>
            <w:tcBorders>
              <w:left w:val="nil"/>
              <w:right w:val="nil"/>
            </w:tcBorders>
            <w:shd w:val="clear" w:color="auto" w:fill="auto"/>
            <w:noWrap/>
            <w:vAlign w:val="bottom"/>
            <w:hideMark/>
          </w:tcPr>
          <w:p w14:paraId="26D4A170"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232</w:t>
            </w:r>
          </w:p>
        </w:tc>
        <w:tc>
          <w:tcPr>
            <w:tcW w:w="1134" w:type="dxa"/>
            <w:tcBorders>
              <w:left w:val="nil"/>
              <w:right w:val="nil"/>
            </w:tcBorders>
            <w:shd w:val="clear" w:color="auto" w:fill="auto"/>
            <w:noWrap/>
            <w:vAlign w:val="bottom"/>
            <w:hideMark/>
          </w:tcPr>
          <w:p w14:paraId="46421CC1"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2.390</w:t>
            </w:r>
          </w:p>
        </w:tc>
        <w:tc>
          <w:tcPr>
            <w:tcW w:w="1134" w:type="dxa"/>
            <w:tcBorders>
              <w:left w:val="nil"/>
              <w:right w:val="nil"/>
            </w:tcBorders>
            <w:shd w:val="clear" w:color="auto" w:fill="auto"/>
            <w:noWrap/>
            <w:vAlign w:val="bottom"/>
            <w:hideMark/>
          </w:tcPr>
          <w:p w14:paraId="7155F47F"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-9.055</w:t>
            </w:r>
          </w:p>
        </w:tc>
        <w:tc>
          <w:tcPr>
            <w:tcW w:w="1134" w:type="dxa"/>
            <w:tcBorders>
              <w:left w:val="nil"/>
            </w:tcBorders>
            <w:shd w:val="clear" w:color="auto" w:fill="auto"/>
            <w:noWrap/>
            <w:vAlign w:val="bottom"/>
            <w:hideMark/>
          </w:tcPr>
          <w:p w14:paraId="0991AAEB"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-5.028</w:t>
            </w:r>
          </w:p>
        </w:tc>
      </w:tr>
      <w:tr w:rsidR="00C007D0" w:rsidRPr="004E6455" w14:paraId="22B4A435" w14:textId="77777777" w:rsidTr="00D147AF">
        <w:trPr>
          <w:trHeight w:hRule="exact" w:val="113"/>
          <w:jc w:val="center"/>
        </w:trPr>
        <w:tc>
          <w:tcPr>
            <w:tcW w:w="2850" w:type="dxa"/>
            <w:shd w:val="clear" w:color="auto" w:fill="D2EAF1"/>
            <w:noWrap/>
            <w:hideMark/>
          </w:tcPr>
          <w:p w14:paraId="7E203C42" w14:textId="77777777" w:rsidR="00201B07" w:rsidRPr="00117BF8" w:rsidRDefault="00201B07" w:rsidP="00C007D0">
            <w:pPr>
              <w:pStyle w:val="TablaC"/>
              <w:jc w:val="left"/>
              <w:rPr>
                <w:rFonts w:ascii="Arial" w:hAnsi="Arial" w:cs="Arial"/>
                <w:bCs/>
                <w:sz w:val="18"/>
                <w:szCs w:val="18"/>
              </w:rPr>
            </w:pPr>
          </w:p>
        </w:tc>
        <w:tc>
          <w:tcPr>
            <w:tcW w:w="1134" w:type="dxa"/>
            <w:shd w:val="clear" w:color="auto" w:fill="D2EAF1"/>
            <w:noWrap/>
            <w:vAlign w:val="bottom"/>
            <w:hideMark/>
          </w:tcPr>
          <w:p w14:paraId="35B49D73" w14:textId="77777777" w:rsidR="00201B07" w:rsidRPr="00117BF8" w:rsidRDefault="00201B07" w:rsidP="00E90920">
            <w:pPr>
              <w:pStyle w:val="TablaC"/>
              <w:rPr>
                <w:rFonts w:ascii="Arial" w:hAnsi="Arial" w:cs="Arial"/>
                <w:sz w:val="18"/>
                <w:szCs w:val="18"/>
              </w:rPr>
            </w:pPr>
          </w:p>
        </w:tc>
        <w:tc>
          <w:tcPr>
            <w:tcW w:w="1134" w:type="dxa"/>
            <w:shd w:val="clear" w:color="auto" w:fill="D2EAF1"/>
            <w:noWrap/>
            <w:vAlign w:val="bottom"/>
            <w:hideMark/>
          </w:tcPr>
          <w:p w14:paraId="6D0906C9" w14:textId="77777777" w:rsidR="00201B07" w:rsidRPr="00117BF8" w:rsidRDefault="00201B07" w:rsidP="00E90920">
            <w:pPr>
              <w:pStyle w:val="TablaC"/>
              <w:rPr>
                <w:rFonts w:ascii="Arial" w:hAnsi="Arial" w:cs="Arial"/>
                <w:sz w:val="18"/>
                <w:szCs w:val="18"/>
              </w:rPr>
            </w:pPr>
          </w:p>
        </w:tc>
        <w:tc>
          <w:tcPr>
            <w:tcW w:w="1134" w:type="dxa"/>
            <w:shd w:val="clear" w:color="auto" w:fill="D2EAF1"/>
            <w:noWrap/>
            <w:vAlign w:val="bottom"/>
            <w:hideMark/>
          </w:tcPr>
          <w:p w14:paraId="0E564E33" w14:textId="77777777" w:rsidR="00201B07" w:rsidRPr="00117BF8" w:rsidRDefault="00201B07" w:rsidP="00E90920">
            <w:pPr>
              <w:pStyle w:val="TablaC"/>
              <w:rPr>
                <w:rFonts w:ascii="Arial" w:hAnsi="Arial" w:cs="Arial"/>
                <w:sz w:val="18"/>
                <w:szCs w:val="18"/>
              </w:rPr>
            </w:pPr>
          </w:p>
        </w:tc>
        <w:tc>
          <w:tcPr>
            <w:tcW w:w="1134" w:type="dxa"/>
            <w:shd w:val="clear" w:color="auto" w:fill="D2EAF1"/>
            <w:noWrap/>
            <w:vAlign w:val="bottom"/>
            <w:hideMark/>
          </w:tcPr>
          <w:p w14:paraId="2002B3B3" w14:textId="77777777" w:rsidR="00201B07" w:rsidRPr="00117BF8" w:rsidRDefault="00201B07" w:rsidP="00E90920">
            <w:pPr>
              <w:pStyle w:val="TablaC"/>
              <w:rPr>
                <w:rFonts w:ascii="Arial" w:hAnsi="Arial" w:cs="Arial"/>
                <w:sz w:val="18"/>
                <w:szCs w:val="18"/>
              </w:rPr>
            </w:pPr>
          </w:p>
        </w:tc>
      </w:tr>
      <w:tr w:rsidR="00C007D0" w:rsidRPr="004E6455" w14:paraId="2E4882B0" w14:textId="77777777" w:rsidTr="00C007D0">
        <w:trPr>
          <w:trHeight w:val="300"/>
          <w:jc w:val="center"/>
        </w:trPr>
        <w:tc>
          <w:tcPr>
            <w:tcW w:w="2850" w:type="dxa"/>
            <w:tcBorders>
              <w:right w:val="nil"/>
            </w:tcBorders>
            <w:shd w:val="clear" w:color="auto" w:fill="auto"/>
            <w:noWrap/>
            <w:hideMark/>
          </w:tcPr>
          <w:p w14:paraId="070C585A"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Recursos de Capital</w:t>
            </w:r>
          </w:p>
        </w:tc>
        <w:tc>
          <w:tcPr>
            <w:tcW w:w="1134" w:type="dxa"/>
            <w:tcBorders>
              <w:left w:val="nil"/>
              <w:right w:val="nil"/>
            </w:tcBorders>
            <w:shd w:val="clear" w:color="auto" w:fill="auto"/>
            <w:noWrap/>
            <w:vAlign w:val="bottom"/>
            <w:hideMark/>
          </w:tcPr>
          <w:p w14:paraId="7FA63907"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3.434</w:t>
            </w:r>
          </w:p>
        </w:tc>
        <w:tc>
          <w:tcPr>
            <w:tcW w:w="1134" w:type="dxa"/>
            <w:tcBorders>
              <w:left w:val="nil"/>
              <w:right w:val="nil"/>
            </w:tcBorders>
            <w:shd w:val="clear" w:color="auto" w:fill="auto"/>
            <w:noWrap/>
            <w:vAlign w:val="bottom"/>
            <w:hideMark/>
          </w:tcPr>
          <w:p w14:paraId="26E6B48F"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3.551</w:t>
            </w:r>
          </w:p>
        </w:tc>
        <w:tc>
          <w:tcPr>
            <w:tcW w:w="1134" w:type="dxa"/>
            <w:tcBorders>
              <w:left w:val="nil"/>
              <w:right w:val="nil"/>
            </w:tcBorders>
            <w:shd w:val="clear" w:color="auto" w:fill="auto"/>
            <w:noWrap/>
            <w:vAlign w:val="bottom"/>
            <w:hideMark/>
          </w:tcPr>
          <w:p w14:paraId="7BA9A4E4"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3.073</w:t>
            </w:r>
          </w:p>
        </w:tc>
        <w:tc>
          <w:tcPr>
            <w:tcW w:w="1134" w:type="dxa"/>
            <w:tcBorders>
              <w:left w:val="nil"/>
            </w:tcBorders>
            <w:shd w:val="clear" w:color="auto" w:fill="auto"/>
            <w:noWrap/>
            <w:vAlign w:val="bottom"/>
            <w:hideMark/>
          </w:tcPr>
          <w:p w14:paraId="3627C1F4"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3.269</w:t>
            </w:r>
          </w:p>
        </w:tc>
      </w:tr>
      <w:tr w:rsidR="00C007D0" w:rsidRPr="004E6455" w14:paraId="40B34060" w14:textId="77777777" w:rsidTr="00C007D0">
        <w:trPr>
          <w:trHeight w:val="300"/>
          <w:jc w:val="center"/>
        </w:trPr>
        <w:tc>
          <w:tcPr>
            <w:tcW w:w="2850" w:type="dxa"/>
            <w:shd w:val="clear" w:color="auto" w:fill="D2EAF1"/>
            <w:noWrap/>
            <w:hideMark/>
          </w:tcPr>
          <w:p w14:paraId="2ECA53A2"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Gastos de Capital</w:t>
            </w:r>
          </w:p>
        </w:tc>
        <w:tc>
          <w:tcPr>
            <w:tcW w:w="1134" w:type="dxa"/>
            <w:shd w:val="clear" w:color="auto" w:fill="D2EAF1"/>
            <w:noWrap/>
            <w:vAlign w:val="bottom"/>
            <w:hideMark/>
          </w:tcPr>
          <w:p w14:paraId="22F74273"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4.694</w:t>
            </w:r>
          </w:p>
        </w:tc>
        <w:tc>
          <w:tcPr>
            <w:tcW w:w="1134" w:type="dxa"/>
            <w:shd w:val="clear" w:color="auto" w:fill="D2EAF1"/>
            <w:noWrap/>
            <w:vAlign w:val="bottom"/>
            <w:hideMark/>
          </w:tcPr>
          <w:p w14:paraId="02BCEC08"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5.371</w:t>
            </w:r>
          </w:p>
        </w:tc>
        <w:tc>
          <w:tcPr>
            <w:tcW w:w="1134" w:type="dxa"/>
            <w:shd w:val="clear" w:color="auto" w:fill="D2EAF1"/>
            <w:noWrap/>
            <w:vAlign w:val="bottom"/>
            <w:hideMark/>
          </w:tcPr>
          <w:p w14:paraId="24B78F81"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6.307</w:t>
            </w:r>
          </w:p>
        </w:tc>
        <w:tc>
          <w:tcPr>
            <w:tcW w:w="1134" w:type="dxa"/>
            <w:shd w:val="clear" w:color="auto" w:fill="D2EAF1"/>
            <w:noWrap/>
            <w:vAlign w:val="bottom"/>
            <w:hideMark/>
          </w:tcPr>
          <w:p w14:paraId="3108FBDE"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10.779</w:t>
            </w:r>
          </w:p>
        </w:tc>
      </w:tr>
      <w:tr w:rsidR="00C007D0" w:rsidRPr="004E6455" w14:paraId="670CCE6C" w14:textId="77777777" w:rsidTr="00D147AF">
        <w:trPr>
          <w:trHeight w:hRule="exact" w:val="113"/>
          <w:jc w:val="center"/>
        </w:trPr>
        <w:tc>
          <w:tcPr>
            <w:tcW w:w="2850" w:type="dxa"/>
            <w:tcBorders>
              <w:right w:val="nil"/>
            </w:tcBorders>
            <w:shd w:val="clear" w:color="auto" w:fill="auto"/>
            <w:noWrap/>
            <w:hideMark/>
          </w:tcPr>
          <w:p w14:paraId="37B97CB7" w14:textId="77777777" w:rsidR="00201B07" w:rsidRPr="00117BF8" w:rsidRDefault="00201B07" w:rsidP="00C007D0">
            <w:pPr>
              <w:pStyle w:val="TablaC"/>
              <w:jc w:val="left"/>
              <w:rPr>
                <w:rFonts w:ascii="Arial" w:hAnsi="Arial" w:cs="Arial"/>
                <w:bCs/>
                <w:sz w:val="18"/>
                <w:szCs w:val="18"/>
              </w:rPr>
            </w:pPr>
          </w:p>
        </w:tc>
        <w:tc>
          <w:tcPr>
            <w:tcW w:w="1134" w:type="dxa"/>
            <w:tcBorders>
              <w:left w:val="nil"/>
              <w:right w:val="nil"/>
            </w:tcBorders>
            <w:shd w:val="clear" w:color="auto" w:fill="auto"/>
            <w:noWrap/>
            <w:vAlign w:val="bottom"/>
            <w:hideMark/>
          </w:tcPr>
          <w:p w14:paraId="61F24A27" w14:textId="77777777" w:rsidR="00201B07" w:rsidRPr="00117BF8" w:rsidRDefault="00201B07" w:rsidP="00E90920">
            <w:pPr>
              <w:pStyle w:val="TablaC"/>
              <w:rPr>
                <w:rFonts w:ascii="Arial" w:hAnsi="Arial" w:cs="Arial"/>
                <w:sz w:val="18"/>
                <w:szCs w:val="18"/>
              </w:rPr>
            </w:pPr>
          </w:p>
        </w:tc>
        <w:tc>
          <w:tcPr>
            <w:tcW w:w="1134" w:type="dxa"/>
            <w:tcBorders>
              <w:left w:val="nil"/>
              <w:right w:val="nil"/>
            </w:tcBorders>
            <w:shd w:val="clear" w:color="auto" w:fill="auto"/>
            <w:noWrap/>
            <w:vAlign w:val="bottom"/>
            <w:hideMark/>
          </w:tcPr>
          <w:p w14:paraId="2713938F" w14:textId="77777777" w:rsidR="00201B07" w:rsidRPr="00117BF8" w:rsidRDefault="00201B07" w:rsidP="00E90920">
            <w:pPr>
              <w:pStyle w:val="TablaC"/>
              <w:rPr>
                <w:rFonts w:ascii="Arial" w:hAnsi="Arial" w:cs="Arial"/>
                <w:sz w:val="18"/>
                <w:szCs w:val="18"/>
              </w:rPr>
            </w:pPr>
          </w:p>
        </w:tc>
        <w:tc>
          <w:tcPr>
            <w:tcW w:w="1134" w:type="dxa"/>
            <w:tcBorders>
              <w:left w:val="nil"/>
              <w:right w:val="nil"/>
            </w:tcBorders>
            <w:shd w:val="clear" w:color="auto" w:fill="auto"/>
            <w:noWrap/>
            <w:vAlign w:val="bottom"/>
            <w:hideMark/>
          </w:tcPr>
          <w:p w14:paraId="3510A32D" w14:textId="77777777" w:rsidR="00201B07" w:rsidRPr="00117BF8" w:rsidRDefault="00201B07" w:rsidP="00E90920">
            <w:pPr>
              <w:pStyle w:val="TablaC"/>
              <w:rPr>
                <w:rFonts w:ascii="Arial" w:hAnsi="Arial" w:cs="Arial"/>
                <w:sz w:val="18"/>
                <w:szCs w:val="18"/>
              </w:rPr>
            </w:pPr>
          </w:p>
        </w:tc>
        <w:tc>
          <w:tcPr>
            <w:tcW w:w="1134" w:type="dxa"/>
            <w:tcBorders>
              <w:left w:val="nil"/>
            </w:tcBorders>
            <w:shd w:val="clear" w:color="auto" w:fill="auto"/>
            <w:noWrap/>
            <w:vAlign w:val="bottom"/>
            <w:hideMark/>
          </w:tcPr>
          <w:p w14:paraId="5A50C119" w14:textId="77777777" w:rsidR="00201B07" w:rsidRPr="00117BF8" w:rsidRDefault="00201B07" w:rsidP="00E90920">
            <w:pPr>
              <w:pStyle w:val="TablaC"/>
              <w:rPr>
                <w:rFonts w:ascii="Arial" w:hAnsi="Arial" w:cs="Arial"/>
                <w:sz w:val="18"/>
                <w:szCs w:val="18"/>
              </w:rPr>
            </w:pPr>
          </w:p>
        </w:tc>
      </w:tr>
      <w:tr w:rsidR="00C007D0" w:rsidRPr="004E6455" w14:paraId="5B03BE8A" w14:textId="77777777" w:rsidTr="00C007D0">
        <w:trPr>
          <w:trHeight w:val="300"/>
          <w:jc w:val="center"/>
        </w:trPr>
        <w:tc>
          <w:tcPr>
            <w:tcW w:w="2850" w:type="dxa"/>
            <w:shd w:val="clear" w:color="auto" w:fill="D2EAF1"/>
            <w:noWrap/>
            <w:hideMark/>
          </w:tcPr>
          <w:p w14:paraId="7157E61D"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Recursos Totales</w:t>
            </w:r>
          </w:p>
        </w:tc>
        <w:tc>
          <w:tcPr>
            <w:tcW w:w="1134" w:type="dxa"/>
            <w:shd w:val="clear" w:color="auto" w:fill="D2EAF1"/>
            <w:noWrap/>
            <w:vAlign w:val="bottom"/>
            <w:hideMark/>
          </w:tcPr>
          <w:p w14:paraId="5423E16B"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150.052</w:t>
            </w:r>
          </w:p>
        </w:tc>
        <w:tc>
          <w:tcPr>
            <w:tcW w:w="1134" w:type="dxa"/>
            <w:shd w:val="clear" w:color="auto" w:fill="D2EAF1"/>
            <w:noWrap/>
            <w:vAlign w:val="bottom"/>
            <w:hideMark/>
          </w:tcPr>
          <w:p w14:paraId="7F8B9B83"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144.696</w:t>
            </w:r>
          </w:p>
        </w:tc>
        <w:tc>
          <w:tcPr>
            <w:tcW w:w="1134" w:type="dxa"/>
            <w:shd w:val="clear" w:color="auto" w:fill="D2EAF1"/>
            <w:noWrap/>
            <w:vAlign w:val="bottom"/>
            <w:hideMark/>
          </w:tcPr>
          <w:p w14:paraId="29D9E208"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157.000</w:t>
            </w:r>
          </w:p>
        </w:tc>
        <w:tc>
          <w:tcPr>
            <w:tcW w:w="1134" w:type="dxa"/>
            <w:shd w:val="clear" w:color="auto" w:fill="D2EAF1"/>
            <w:noWrap/>
            <w:vAlign w:val="bottom"/>
            <w:hideMark/>
          </w:tcPr>
          <w:p w14:paraId="26C1270C"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160.344</w:t>
            </w:r>
          </w:p>
        </w:tc>
      </w:tr>
      <w:tr w:rsidR="00C007D0" w:rsidRPr="004E6455" w14:paraId="33C269A8" w14:textId="77777777" w:rsidTr="00C007D0">
        <w:trPr>
          <w:trHeight w:val="300"/>
          <w:jc w:val="center"/>
        </w:trPr>
        <w:tc>
          <w:tcPr>
            <w:tcW w:w="2850" w:type="dxa"/>
            <w:tcBorders>
              <w:right w:val="nil"/>
            </w:tcBorders>
            <w:shd w:val="clear" w:color="auto" w:fill="auto"/>
            <w:noWrap/>
            <w:hideMark/>
          </w:tcPr>
          <w:p w14:paraId="39B1A367"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Gatos Totales</w:t>
            </w:r>
          </w:p>
        </w:tc>
        <w:tc>
          <w:tcPr>
            <w:tcW w:w="1134" w:type="dxa"/>
            <w:tcBorders>
              <w:left w:val="nil"/>
              <w:right w:val="nil"/>
            </w:tcBorders>
            <w:shd w:val="clear" w:color="auto" w:fill="auto"/>
            <w:noWrap/>
            <w:vAlign w:val="bottom"/>
            <w:hideMark/>
          </w:tcPr>
          <w:p w14:paraId="6ED67624"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151.081</w:t>
            </w:r>
          </w:p>
        </w:tc>
        <w:tc>
          <w:tcPr>
            <w:tcW w:w="1134" w:type="dxa"/>
            <w:tcBorders>
              <w:left w:val="nil"/>
              <w:right w:val="nil"/>
            </w:tcBorders>
            <w:shd w:val="clear" w:color="auto" w:fill="auto"/>
            <w:noWrap/>
            <w:vAlign w:val="bottom"/>
            <w:hideMark/>
          </w:tcPr>
          <w:p w14:paraId="347F271C"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144.125</w:t>
            </w:r>
          </w:p>
        </w:tc>
        <w:tc>
          <w:tcPr>
            <w:tcW w:w="1134" w:type="dxa"/>
            <w:tcBorders>
              <w:left w:val="nil"/>
              <w:right w:val="nil"/>
            </w:tcBorders>
            <w:shd w:val="clear" w:color="auto" w:fill="auto"/>
            <w:noWrap/>
            <w:vAlign w:val="bottom"/>
            <w:hideMark/>
          </w:tcPr>
          <w:p w14:paraId="0D0C2388"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169.289</w:t>
            </w:r>
          </w:p>
        </w:tc>
        <w:tc>
          <w:tcPr>
            <w:tcW w:w="1134" w:type="dxa"/>
            <w:tcBorders>
              <w:left w:val="nil"/>
            </w:tcBorders>
            <w:shd w:val="clear" w:color="auto" w:fill="auto"/>
            <w:noWrap/>
            <w:vAlign w:val="bottom"/>
            <w:hideMark/>
          </w:tcPr>
          <w:p w14:paraId="25BBE163"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172.883</w:t>
            </w:r>
          </w:p>
        </w:tc>
      </w:tr>
      <w:tr w:rsidR="00C007D0" w:rsidRPr="004E6455" w14:paraId="2FD581E0" w14:textId="77777777" w:rsidTr="00C007D0">
        <w:trPr>
          <w:trHeight w:val="300"/>
          <w:jc w:val="center"/>
        </w:trPr>
        <w:tc>
          <w:tcPr>
            <w:tcW w:w="2850" w:type="dxa"/>
            <w:shd w:val="clear" w:color="auto" w:fill="D2EAF1"/>
            <w:noWrap/>
            <w:hideMark/>
          </w:tcPr>
          <w:p w14:paraId="445C31F1"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Resultado Financiero</w:t>
            </w:r>
          </w:p>
        </w:tc>
        <w:tc>
          <w:tcPr>
            <w:tcW w:w="1134" w:type="dxa"/>
            <w:shd w:val="clear" w:color="auto" w:fill="D2EAF1"/>
            <w:noWrap/>
            <w:vAlign w:val="bottom"/>
            <w:hideMark/>
          </w:tcPr>
          <w:p w14:paraId="1FF4B136"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-1.029</w:t>
            </w:r>
          </w:p>
        </w:tc>
        <w:tc>
          <w:tcPr>
            <w:tcW w:w="1134" w:type="dxa"/>
            <w:shd w:val="clear" w:color="auto" w:fill="D2EAF1"/>
            <w:noWrap/>
            <w:vAlign w:val="bottom"/>
            <w:hideMark/>
          </w:tcPr>
          <w:p w14:paraId="093F231C"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570</w:t>
            </w:r>
          </w:p>
        </w:tc>
        <w:tc>
          <w:tcPr>
            <w:tcW w:w="1134" w:type="dxa"/>
            <w:shd w:val="clear" w:color="auto" w:fill="D2EAF1"/>
            <w:noWrap/>
            <w:vAlign w:val="bottom"/>
            <w:hideMark/>
          </w:tcPr>
          <w:p w14:paraId="5632AF61"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-12.289</w:t>
            </w:r>
          </w:p>
        </w:tc>
        <w:tc>
          <w:tcPr>
            <w:tcW w:w="1134" w:type="dxa"/>
            <w:shd w:val="clear" w:color="auto" w:fill="D2EAF1"/>
            <w:noWrap/>
            <w:vAlign w:val="bottom"/>
            <w:hideMark/>
          </w:tcPr>
          <w:p w14:paraId="717EFDA4"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-12.538</w:t>
            </w:r>
          </w:p>
        </w:tc>
      </w:tr>
      <w:tr w:rsidR="00C007D0" w:rsidRPr="004E6455" w14:paraId="7AE0052F" w14:textId="77777777" w:rsidTr="00D147AF">
        <w:trPr>
          <w:trHeight w:hRule="exact" w:val="113"/>
          <w:jc w:val="center"/>
        </w:trPr>
        <w:tc>
          <w:tcPr>
            <w:tcW w:w="2850" w:type="dxa"/>
            <w:tcBorders>
              <w:right w:val="nil"/>
            </w:tcBorders>
            <w:shd w:val="clear" w:color="auto" w:fill="auto"/>
            <w:noWrap/>
            <w:hideMark/>
          </w:tcPr>
          <w:p w14:paraId="2CE44D9C" w14:textId="77777777" w:rsidR="00201B07" w:rsidRPr="00117BF8" w:rsidRDefault="00201B07" w:rsidP="00C007D0">
            <w:pPr>
              <w:pStyle w:val="TablaC"/>
              <w:jc w:val="left"/>
              <w:rPr>
                <w:rFonts w:ascii="Arial" w:hAnsi="Arial" w:cs="Arial"/>
                <w:bCs/>
                <w:sz w:val="18"/>
                <w:szCs w:val="18"/>
              </w:rPr>
            </w:pPr>
          </w:p>
        </w:tc>
        <w:tc>
          <w:tcPr>
            <w:tcW w:w="1134" w:type="dxa"/>
            <w:tcBorders>
              <w:left w:val="nil"/>
              <w:right w:val="nil"/>
            </w:tcBorders>
            <w:shd w:val="clear" w:color="auto" w:fill="auto"/>
            <w:noWrap/>
            <w:vAlign w:val="bottom"/>
            <w:hideMark/>
          </w:tcPr>
          <w:p w14:paraId="4D822E57" w14:textId="77777777" w:rsidR="00201B07" w:rsidRPr="00117BF8" w:rsidRDefault="00201B07" w:rsidP="00E90920">
            <w:pPr>
              <w:pStyle w:val="TablaC"/>
              <w:rPr>
                <w:rFonts w:ascii="Arial" w:hAnsi="Arial" w:cs="Arial"/>
                <w:sz w:val="18"/>
                <w:szCs w:val="18"/>
              </w:rPr>
            </w:pPr>
          </w:p>
        </w:tc>
        <w:tc>
          <w:tcPr>
            <w:tcW w:w="1134" w:type="dxa"/>
            <w:tcBorders>
              <w:left w:val="nil"/>
              <w:right w:val="nil"/>
            </w:tcBorders>
            <w:shd w:val="clear" w:color="auto" w:fill="auto"/>
            <w:noWrap/>
            <w:vAlign w:val="bottom"/>
            <w:hideMark/>
          </w:tcPr>
          <w:p w14:paraId="1638A330" w14:textId="77777777" w:rsidR="00201B07" w:rsidRPr="00117BF8" w:rsidRDefault="00201B07" w:rsidP="00E90920">
            <w:pPr>
              <w:pStyle w:val="TablaC"/>
              <w:rPr>
                <w:rFonts w:ascii="Arial" w:hAnsi="Arial" w:cs="Arial"/>
                <w:sz w:val="18"/>
                <w:szCs w:val="18"/>
              </w:rPr>
            </w:pPr>
          </w:p>
        </w:tc>
        <w:tc>
          <w:tcPr>
            <w:tcW w:w="1134" w:type="dxa"/>
            <w:tcBorders>
              <w:left w:val="nil"/>
              <w:right w:val="nil"/>
            </w:tcBorders>
            <w:shd w:val="clear" w:color="auto" w:fill="auto"/>
            <w:noWrap/>
            <w:vAlign w:val="bottom"/>
            <w:hideMark/>
          </w:tcPr>
          <w:p w14:paraId="15D92B47" w14:textId="77777777" w:rsidR="00201B07" w:rsidRPr="00117BF8" w:rsidRDefault="00201B07" w:rsidP="00E90920">
            <w:pPr>
              <w:pStyle w:val="TablaC"/>
              <w:rPr>
                <w:rFonts w:ascii="Arial" w:hAnsi="Arial" w:cs="Arial"/>
                <w:sz w:val="18"/>
                <w:szCs w:val="18"/>
              </w:rPr>
            </w:pPr>
          </w:p>
        </w:tc>
        <w:tc>
          <w:tcPr>
            <w:tcW w:w="1134" w:type="dxa"/>
            <w:tcBorders>
              <w:left w:val="nil"/>
            </w:tcBorders>
            <w:shd w:val="clear" w:color="auto" w:fill="auto"/>
            <w:noWrap/>
            <w:vAlign w:val="bottom"/>
            <w:hideMark/>
          </w:tcPr>
          <w:p w14:paraId="475DF72B" w14:textId="77777777" w:rsidR="00201B07" w:rsidRPr="00117BF8" w:rsidRDefault="00201B07" w:rsidP="00E90920">
            <w:pPr>
              <w:pStyle w:val="TablaC"/>
              <w:rPr>
                <w:rFonts w:ascii="Arial" w:hAnsi="Arial" w:cs="Arial"/>
                <w:sz w:val="18"/>
                <w:szCs w:val="18"/>
              </w:rPr>
            </w:pPr>
          </w:p>
        </w:tc>
      </w:tr>
      <w:tr w:rsidR="00C007D0" w:rsidRPr="004E6455" w14:paraId="75406702" w14:textId="77777777" w:rsidTr="00C007D0">
        <w:trPr>
          <w:trHeight w:val="300"/>
          <w:jc w:val="center"/>
        </w:trPr>
        <w:tc>
          <w:tcPr>
            <w:tcW w:w="2850" w:type="dxa"/>
            <w:shd w:val="clear" w:color="auto" w:fill="D2EAF1"/>
            <w:noWrap/>
            <w:hideMark/>
          </w:tcPr>
          <w:p w14:paraId="7F33D0BC" w14:textId="77777777" w:rsidR="00201B07" w:rsidRPr="00117BF8" w:rsidRDefault="00201B07" w:rsidP="00C007D0">
            <w:pPr>
              <w:pStyle w:val="TablaC"/>
              <w:jc w:val="left"/>
              <w:rPr>
                <w:rFonts w:ascii="Arial" w:hAnsi="Arial" w:cs="Arial"/>
                <w:bCs/>
                <w:sz w:val="18"/>
                <w:szCs w:val="18"/>
              </w:rPr>
            </w:pPr>
            <w:r w:rsidRPr="00117BF8">
              <w:rPr>
                <w:rFonts w:ascii="Arial" w:hAnsi="Arial" w:cs="Arial"/>
                <w:bCs/>
                <w:sz w:val="18"/>
                <w:szCs w:val="18"/>
              </w:rPr>
              <w:t>Resultado Primario</w:t>
            </w:r>
          </w:p>
        </w:tc>
        <w:tc>
          <w:tcPr>
            <w:tcW w:w="1134" w:type="dxa"/>
            <w:shd w:val="clear" w:color="auto" w:fill="D2EAF1"/>
            <w:noWrap/>
            <w:vAlign w:val="bottom"/>
            <w:hideMark/>
          </w:tcPr>
          <w:p w14:paraId="01DBB576"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3.361</w:t>
            </w:r>
          </w:p>
        </w:tc>
        <w:tc>
          <w:tcPr>
            <w:tcW w:w="1134" w:type="dxa"/>
            <w:shd w:val="clear" w:color="auto" w:fill="D2EAF1"/>
            <w:noWrap/>
            <w:vAlign w:val="bottom"/>
            <w:hideMark/>
          </w:tcPr>
          <w:p w14:paraId="64CD1867"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5.363</w:t>
            </w:r>
          </w:p>
        </w:tc>
        <w:tc>
          <w:tcPr>
            <w:tcW w:w="1134" w:type="dxa"/>
            <w:shd w:val="clear" w:color="auto" w:fill="D2EAF1"/>
            <w:noWrap/>
            <w:vAlign w:val="bottom"/>
            <w:hideMark/>
          </w:tcPr>
          <w:p w14:paraId="2B2E0B87"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-6.634</w:t>
            </w:r>
          </w:p>
        </w:tc>
        <w:tc>
          <w:tcPr>
            <w:tcW w:w="1134" w:type="dxa"/>
            <w:shd w:val="clear" w:color="auto" w:fill="D2EAF1"/>
            <w:noWrap/>
            <w:vAlign w:val="bottom"/>
            <w:hideMark/>
          </w:tcPr>
          <w:p w14:paraId="207CF7F0" w14:textId="77777777" w:rsidR="00201B07" w:rsidRPr="00117BF8" w:rsidRDefault="00201B07" w:rsidP="00E90920">
            <w:pPr>
              <w:pStyle w:val="TablaC"/>
              <w:rPr>
                <w:rFonts w:ascii="Arial" w:hAnsi="Arial" w:cs="Arial"/>
                <w:sz w:val="18"/>
                <w:szCs w:val="18"/>
              </w:rPr>
            </w:pPr>
            <w:r w:rsidRPr="00117BF8">
              <w:rPr>
                <w:rFonts w:ascii="Arial" w:hAnsi="Arial" w:cs="Arial"/>
                <w:sz w:val="18"/>
                <w:szCs w:val="18"/>
              </w:rPr>
              <w:t>-6.038</w:t>
            </w:r>
          </w:p>
        </w:tc>
      </w:tr>
      <w:tr w:rsidR="00603073" w:rsidRPr="004E6455" w14:paraId="6281787F" w14:textId="77777777" w:rsidTr="00C007D0">
        <w:trPr>
          <w:trHeight w:val="300"/>
          <w:jc w:val="center"/>
        </w:trPr>
        <w:tc>
          <w:tcPr>
            <w:tcW w:w="2850" w:type="dxa"/>
            <w:tcBorders>
              <w:right w:val="nil"/>
            </w:tcBorders>
            <w:shd w:val="clear" w:color="auto" w:fill="auto"/>
            <w:noWrap/>
          </w:tcPr>
          <w:p w14:paraId="42BCBA1A" w14:textId="77777777" w:rsidR="00603073" w:rsidRPr="00117BF8" w:rsidRDefault="00603073" w:rsidP="00C007D0">
            <w:pPr>
              <w:pStyle w:val="TablaC"/>
              <w:jc w:val="left"/>
              <w:rPr>
                <w:rFonts w:ascii="Arial" w:hAnsi="Arial" w:cs="Arial"/>
                <w:bCs/>
                <w:sz w:val="18"/>
                <w:szCs w:val="18"/>
              </w:rPr>
            </w:pPr>
            <w:r w:rsidRPr="00117BF8">
              <w:rPr>
                <w:rFonts w:ascii="Arial" w:hAnsi="Arial" w:cs="Arial"/>
                <w:bCs/>
                <w:sz w:val="18"/>
                <w:szCs w:val="18"/>
              </w:rPr>
              <w:t>Ajuste Técnico (*)</w:t>
            </w:r>
          </w:p>
        </w:tc>
        <w:tc>
          <w:tcPr>
            <w:tcW w:w="1134" w:type="dxa"/>
            <w:tcBorders>
              <w:left w:val="nil"/>
              <w:right w:val="nil"/>
            </w:tcBorders>
            <w:shd w:val="clear" w:color="auto" w:fill="auto"/>
            <w:noWrap/>
            <w:vAlign w:val="bottom"/>
          </w:tcPr>
          <w:p w14:paraId="5D3C5362" w14:textId="77777777" w:rsidR="00603073" w:rsidRPr="00117BF8" w:rsidRDefault="00603073" w:rsidP="000B3E59">
            <w:pPr>
              <w:pStyle w:val="TablaC"/>
              <w:rPr>
                <w:rFonts w:ascii="Arial" w:hAnsi="Arial" w:cs="Arial"/>
                <w:sz w:val="18"/>
                <w:szCs w:val="18"/>
              </w:rPr>
            </w:pPr>
            <w:r w:rsidRPr="00117BF8">
              <w:rPr>
                <w:rFonts w:ascii="Arial" w:hAnsi="Arial" w:cs="Arial"/>
                <w:sz w:val="18"/>
                <w:szCs w:val="18"/>
              </w:rPr>
              <w:t>7.876</w:t>
            </w:r>
          </w:p>
        </w:tc>
        <w:tc>
          <w:tcPr>
            <w:tcW w:w="1134" w:type="dxa"/>
            <w:tcBorders>
              <w:left w:val="nil"/>
              <w:right w:val="nil"/>
            </w:tcBorders>
            <w:shd w:val="clear" w:color="auto" w:fill="auto"/>
            <w:noWrap/>
            <w:vAlign w:val="bottom"/>
          </w:tcPr>
          <w:p w14:paraId="6E57AB91" w14:textId="77777777" w:rsidR="00603073" w:rsidRPr="00117BF8" w:rsidRDefault="00603073" w:rsidP="000B3E59">
            <w:pPr>
              <w:pStyle w:val="TablaC"/>
              <w:rPr>
                <w:rFonts w:ascii="Arial" w:hAnsi="Arial" w:cs="Arial"/>
                <w:sz w:val="18"/>
                <w:szCs w:val="18"/>
              </w:rPr>
            </w:pPr>
            <w:r w:rsidRPr="00117BF8">
              <w:rPr>
                <w:rFonts w:ascii="Arial" w:hAnsi="Arial" w:cs="Arial"/>
                <w:sz w:val="18"/>
                <w:szCs w:val="18"/>
              </w:rPr>
              <w:t>6.948</w:t>
            </w:r>
          </w:p>
        </w:tc>
        <w:tc>
          <w:tcPr>
            <w:tcW w:w="1134" w:type="dxa"/>
            <w:tcBorders>
              <w:left w:val="nil"/>
              <w:right w:val="nil"/>
            </w:tcBorders>
            <w:shd w:val="clear" w:color="auto" w:fill="auto"/>
            <w:noWrap/>
            <w:vAlign w:val="bottom"/>
          </w:tcPr>
          <w:p w14:paraId="345DD921" w14:textId="77777777" w:rsidR="00603073" w:rsidRPr="00117BF8" w:rsidRDefault="00603073" w:rsidP="000B3E59">
            <w:pPr>
              <w:pStyle w:val="TablaC"/>
              <w:rPr>
                <w:rFonts w:ascii="Arial" w:hAnsi="Arial" w:cs="Arial"/>
                <w:sz w:val="18"/>
                <w:szCs w:val="18"/>
              </w:rPr>
            </w:pPr>
            <w:r w:rsidRPr="00117BF8">
              <w:rPr>
                <w:rFonts w:ascii="Arial" w:hAnsi="Arial" w:cs="Arial"/>
                <w:sz w:val="18"/>
                <w:szCs w:val="18"/>
              </w:rPr>
              <w:t>11.026</w:t>
            </w:r>
          </w:p>
        </w:tc>
        <w:tc>
          <w:tcPr>
            <w:tcW w:w="1134" w:type="dxa"/>
            <w:tcBorders>
              <w:left w:val="nil"/>
            </w:tcBorders>
            <w:shd w:val="clear" w:color="auto" w:fill="auto"/>
            <w:noWrap/>
            <w:vAlign w:val="bottom"/>
          </w:tcPr>
          <w:p w14:paraId="0F5F9FC8" w14:textId="77777777" w:rsidR="00603073" w:rsidRPr="00117BF8" w:rsidRDefault="00603073" w:rsidP="00E90920">
            <w:pPr>
              <w:pStyle w:val="TablaC"/>
              <w:rPr>
                <w:rFonts w:ascii="Arial" w:hAnsi="Arial" w:cs="Arial"/>
                <w:sz w:val="18"/>
                <w:szCs w:val="18"/>
              </w:rPr>
            </w:pPr>
          </w:p>
        </w:tc>
      </w:tr>
      <w:tr w:rsidR="00603073" w:rsidRPr="004E6455" w14:paraId="628E55DF" w14:textId="77777777" w:rsidTr="00C007D0">
        <w:trPr>
          <w:trHeight w:val="300"/>
          <w:jc w:val="center"/>
        </w:trPr>
        <w:tc>
          <w:tcPr>
            <w:tcW w:w="2850" w:type="dxa"/>
            <w:tcBorders>
              <w:right w:val="nil"/>
            </w:tcBorders>
            <w:shd w:val="clear" w:color="auto" w:fill="auto"/>
            <w:noWrap/>
            <w:hideMark/>
          </w:tcPr>
          <w:p w14:paraId="1BF88CDC" w14:textId="77777777" w:rsidR="00603073" w:rsidRPr="00117BF8" w:rsidRDefault="00603073" w:rsidP="00C007D0">
            <w:pPr>
              <w:pStyle w:val="TablaC"/>
              <w:jc w:val="left"/>
              <w:rPr>
                <w:rFonts w:ascii="Arial" w:hAnsi="Arial" w:cs="Arial"/>
                <w:bCs/>
                <w:sz w:val="18"/>
                <w:szCs w:val="18"/>
              </w:rPr>
            </w:pPr>
            <w:r w:rsidRPr="00117BF8">
              <w:rPr>
                <w:rFonts w:ascii="Arial" w:hAnsi="Arial" w:cs="Arial"/>
                <w:bCs/>
                <w:sz w:val="18"/>
                <w:szCs w:val="18"/>
              </w:rPr>
              <w:t>Resultado Total</w:t>
            </w:r>
          </w:p>
        </w:tc>
        <w:tc>
          <w:tcPr>
            <w:tcW w:w="1134" w:type="dxa"/>
            <w:tcBorders>
              <w:left w:val="nil"/>
              <w:right w:val="nil"/>
            </w:tcBorders>
            <w:shd w:val="clear" w:color="auto" w:fill="auto"/>
            <w:noWrap/>
            <w:vAlign w:val="bottom"/>
            <w:hideMark/>
          </w:tcPr>
          <w:p w14:paraId="29409CE7" w14:textId="77777777" w:rsidR="00603073" w:rsidRPr="00117BF8" w:rsidRDefault="00603073" w:rsidP="00603073">
            <w:pPr>
              <w:pStyle w:val="TablaC"/>
              <w:jc w:val="left"/>
              <w:rPr>
                <w:rFonts w:ascii="Arial" w:hAnsi="Arial" w:cs="Arial"/>
                <w:bCs/>
                <w:sz w:val="18"/>
                <w:szCs w:val="18"/>
              </w:rPr>
            </w:pPr>
            <w:r w:rsidRPr="00117BF8">
              <w:rPr>
                <w:rFonts w:ascii="Arial" w:hAnsi="Arial" w:cs="Arial"/>
                <w:bCs/>
                <w:sz w:val="18"/>
                <w:szCs w:val="18"/>
              </w:rPr>
              <w:t>-</w:t>
            </w:r>
          </w:p>
        </w:tc>
        <w:tc>
          <w:tcPr>
            <w:tcW w:w="1134" w:type="dxa"/>
            <w:tcBorders>
              <w:left w:val="nil"/>
              <w:right w:val="nil"/>
            </w:tcBorders>
            <w:shd w:val="clear" w:color="auto" w:fill="auto"/>
            <w:noWrap/>
            <w:vAlign w:val="bottom"/>
            <w:hideMark/>
          </w:tcPr>
          <w:p w14:paraId="2ED0209D" w14:textId="77777777" w:rsidR="00603073" w:rsidRPr="00117BF8" w:rsidRDefault="00603073" w:rsidP="00603073">
            <w:pPr>
              <w:pStyle w:val="TablaC"/>
              <w:jc w:val="left"/>
              <w:rPr>
                <w:rFonts w:ascii="Arial" w:hAnsi="Arial" w:cs="Arial"/>
                <w:bCs/>
                <w:sz w:val="18"/>
                <w:szCs w:val="18"/>
              </w:rPr>
            </w:pPr>
            <w:r w:rsidRPr="00117BF8">
              <w:rPr>
                <w:rFonts w:ascii="Arial" w:hAnsi="Arial" w:cs="Arial"/>
                <w:bCs/>
                <w:sz w:val="18"/>
                <w:szCs w:val="18"/>
              </w:rPr>
              <w:t>-</w:t>
            </w:r>
          </w:p>
        </w:tc>
        <w:tc>
          <w:tcPr>
            <w:tcW w:w="1134" w:type="dxa"/>
            <w:tcBorders>
              <w:left w:val="nil"/>
              <w:right w:val="nil"/>
            </w:tcBorders>
            <w:shd w:val="clear" w:color="auto" w:fill="auto"/>
            <w:noWrap/>
            <w:vAlign w:val="bottom"/>
            <w:hideMark/>
          </w:tcPr>
          <w:p w14:paraId="017FE096" w14:textId="77777777" w:rsidR="00603073" w:rsidRPr="00117BF8" w:rsidRDefault="00603073" w:rsidP="00603073">
            <w:pPr>
              <w:pStyle w:val="TablaC"/>
              <w:jc w:val="left"/>
              <w:rPr>
                <w:rFonts w:ascii="Arial" w:hAnsi="Arial" w:cs="Arial"/>
                <w:bCs/>
                <w:sz w:val="18"/>
                <w:szCs w:val="18"/>
              </w:rPr>
            </w:pPr>
            <w:r w:rsidRPr="00117BF8">
              <w:rPr>
                <w:rFonts w:ascii="Arial" w:hAnsi="Arial" w:cs="Arial"/>
                <w:bCs/>
                <w:sz w:val="18"/>
                <w:szCs w:val="18"/>
              </w:rPr>
              <w:t>-</w:t>
            </w:r>
          </w:p>
        </w:tc>
        <w:tc>
          <w:tcPr>
            <w:tcW w:w="1134" w:type="dxa"/>
            <w:tcBorders>
              <w:left w:val="nil"/>
            </w:tcBorders>
            <w:shd w:val="clear" w:color="auto" w:fill="auto"/>
            <w:noWrap/>
            <w:vAlign w:val="bottom"/>
            <w:hideMark/>
          </w:tcPr>
          <w:p w14:paraId="21D77ACA" w14:textId="77777777" w:rsidR="00603073" w:rsidRPr="00117BF8" w:rsidRDefault="00603073" w:rsidP="00603073">
            <w:pPr>
              <w:pStyle w:val="TablaC"/>
              <w:jc w:val="left"/>
              <w:rPr>
                <w:rFonts w:ascii="Arial" w:hAnsi="Arial" w:cs="Arial"/>
                <w:bCs/>
                <w:sz w:val="18"/>
                <w:szCs w:val="18"/>
              </w:rPr>
            </w:pPr>
            <w:r w:rsidRPr="00117BF8">
              <w:rPr>
                <w:rFonts w:ascii="Arial" w:hAnsi="Arial" w:cs="Arial"/>
                <w:bCs/>
                <w:sz w:val="18"/>
                <w:szCs w:val="18"/>
              </w:rPr>
              <w:t>-</w:t>
            </w:r>
          </w:p>
        </w:tc>
      </w:tr>
    </w:tbl>
    <w:p w14:paraId="09814417" w14:textId="77777777" w:rsidR="00E90920" w:rsidRPr="00117BF8" w:rsidRDefault="00E90920" w:rsidP="00525D76">
      <w:pPr>
        <w:pStyle w:val="Hfuente"/>
        <w:rPr>
          <w:rFonts w:ascii="Arial" w:hAnsi="Arial" w:cs="Arial"/>
          <w:sz w:val="18"/>
          <w:szCs w:val="18"/>
        </w:rPr>
      </w:pPr>
      <w:r w:rsidRPr="00117BF8">
        <w:rPr>
          <w:rFonts w:ascii="Arial" w:hAnsi="Arial" w:cs="Arial"/>
          <w:sz w:val="18"/>
          <w:szCs w:val="18"/>
        </w:rPr>
        <w:t>Fuente: Elaboración propia sobre datos de CGPBA e INDEC</w:t>
      </w:r>
      <w:r w:rsidR="000E6084" w:rsidRPr="00117BF8">
        <w:rPr>
          <w:rFonts w:ascii="Arial" w:hAnsi="Arial" w:cs="Arial"/>
          <w:sz w:val="18"/>
          <w:szCs w:val="18"/>
        </w:rPr>
        <w:t>. Valores deflactados por índice de precios implícitos del PIB</w:t>
      </w:r>
      <w:r w:rsidR="00603073" w:rsidRPr="00117BF8">
        <w:rPr>
          <w:rFonts w:ascii="Arial" w:hAnsi="Arial" w:cs="Arial"/>
          <w:sz w:val="18"/>
          <w:szCs w:val="18"/>
        </w:rPr>
        <w:t>. (*) La CGPBA no realiza este este ajuste e informa Resultado Total Negativo, con el propósito de informar todas las fuentes de financiamiento se incluye este ajuste.</w:t>
      </w:r>
    </w:p>
    <w:p w14:paraId="3F1DC9B9" w14:textId="77777777" w:rsidR="009F25FA" w:rsidRPr="00117BF8" w:rsidRDefault="009F25FA" w:rsidP="002C3683">
      <w:pPr>
        <w:pStyle w:val="hsa"/>
        <w:rPr>
          <w:rFonts w:ascii="Arial" w:eastAsia="Calibri" w:hAnsi="Arial" w:cs="Arial"/>
          <w:sz w:val="22"/>
          <w:szCs w:val="22"/>
        </w:rPr>
      </w:pPr>
      <w:r w:rsidRPr="00117BF8">
        <w:rPr>
          <w:rFonts w:ascii="Arial" w:eastAsia="Calibri" w:hAnsi="Arial" w:cs="Arial"/>
          <w:sz w:val="22"/>
          <w:szCs w:val="22"/>
        </w:rPr>
        <w:t xml:space="preserve">El gráfico que sigue, con valores expresados en términos constantes, ilustra el deterioro de los resultados y </w:t>
      </w:r>
      <w:r w:rsidR="005036B0" w:rsidRPr="00117BF8">
        <w:rPr>
          <w:rFonts w:ascii="Arial" w:eastAsia="Calibri" w:hAnsi="Arial" w:cs="Arial"/>
          <w:sz w:val="22"/>
          <w:szCs w:val="22"/>
        </w:rPr>
        <w:t>otorga una primera razón de sus</w:t>
      </w:r>
      <w:r w:rsidRPr="00117BF8">
        <w:rPr>
          <w:rFonts w:ascii="Arial" w:eastAsia="Calibri" w:hAnsi="Arial" w:cs="Arial"/>
          <w:sz w:val="22"/>
          <w:szCs w:val="22"/>
        </w:rPr>
        <w:t xml:space="preserve"> causas.</w:t>
      </w:r>
      <w:r w:rsidR="005036B0" w:rsidRPr="00117BF8">
        <w:rPr>
          <w:rFonts w:ascii="Arial" w:eastAsia="Calibri" w:hAnsi="Arial" w:cs="Arial"/>
          <w:sz w:val="22"/>
          <w:szCs w:val="22"/>
        </w:rPr>
        <w:t xml:space="preserve"> En los títulos que siguen se profundizará </w:t>
      </w:r>
      <w:r w:rsidR="00AE3562" w:rsidRPr="00117BF8">
        <w:rPr>
          <w:rFonts w:ascii="Arial" w:eastAsia="Calibri" w:hAnsi="Arial" w:cs="Arial"/>
          <w:sz w:val="22"/>
          <w:szCs w:val="22"/>
        </w:rPr>
        <w:t xml:space="preserve">sobre </w:t>
      </w:r>
      <w:r w:rsidR="005036B0" w:rsidRPr="00117BF8">
        <w:rPr>
          <w:rFonts w:ascii="Arial" w:eastAsia="Calibri" w:hAnsi="Arial" w:cs="Arial"/>
          <w:sz w:val="22"/>
          <w:szCs w:val="22"/>
        </w:rPr>
        <w:t>las mismas.</w:t>
      </w:r>
    </w:p>
    <w:p w14:paraId="74D08DDA" w14:textId="77777777" w:rsidR="00E90920" w:rsidRPr="00117BF8" w:rsidRDefault="00E90920" w:rsidP="00117BF8">
      <w:pPr>
        <w:pStyle w:val="hsa3"/>
        <w:spacing w:after="120"/>
        <w:jc w:val="center"/>
        <w:rPr>
          <w:rFonts w:ascii="Arial" w:eastAsia="Calibri" w:hAnsi="Arial" w:cs="Arial"/>
          <w:sz w:val="20"/>
        </w:rPr>
      </w:pPr>
      <w:bookmarkStart w:id="28" w:name="_Toc493781694"/>
      <w:r w:rsidRPr="00117BF8">
        <w:rPr>
          <w:rFonts w:ascii="Arial" w:eastAsia="Calibri" w:hAnsi="Arial" w:cs="Arial"/>
          <w:sz w:val="20"/>
        </w:rPr>
        <w:t xml:space="preserve">Gráfico </w:t>
      </w:r>
      <w:r w:rsidR="00525D76" w:rsidRPr="00117BF8">
        <w:rPr>
          <w:rFonts w:ascii="Arial" w:eastAsia="Calibri" w:hAnsi="Arial" w:cs="Arial"/>
          <w:sz w:val="20"/>
        </w:rPr>
        <w:t>3</w:t>
      </w:r>
      <w:r w:rsidRPr="00117BF8">
        <w:rPr>
          <w:rFonts w:ascii="Arial" w:eastAsia="Calibri" w:hAnsi="Arial" w:cs="Arial"/>
          <w:sz w:val="20"/>
        </w:rPr>
        <w:t xml:space="preserve"> – Resultados Deflactados</w:t>
      </w:r>
      <w:bookmarkEnd w:id="28"/>
    </w:p>
    <w:p w14:paraId="14D50723" w14:textId="36A9DDEB" w:rsidR="000E6084" w:rsidRPr="00117BF8" w:rsidRDefault="00117BF8" w:rsidP="00117BF8">
      <w:pPr>
        <w:pStyle w:val="hsa"/>
        <w:rPr>
          <w:rFonts w:ascii="Arial" w:hAnsi="Arial" w:cs="Arial"/>
          <w:sz w:val="18"/>
          <w:szCs w:val="18"/>
        </w:rPr>
      </w:pPr>
      <w:r w:rsidRPr="00117BF8">
        <w:rPr>
          <w:rFonts w:ascii="Arial" w:eastAsia="Calibri" w:hAnsi="Arial" w:cs="Arial"/>
        </w:rPr>
        <w:pict w14:anchorId="2BBC64D2">
          <v:shape id="_x0000_i1033" type="#_x0000_t75" style="width:423.85pt;height:276.75pt">
            <v:imagedata r:id="rId24" o:title=""/>
          </v:shape>
        </w:pict>
      </w:r>
      <w:r w:rsidR="000E6084" w:rsidRPr="00117BF8">
        <w:rPr>
          <w:rFonts w:ascii="Arial" w:hAnsi="Arial" w:cs="Arial"/>
          <w:sz w:val="18"/>
          <w:szCs w:val="18"/>
        </w:rPr>
        <w:t>Fuente: Elaboración propia sobre datos de CGPBA e INDEC.</w:t>
      </w:r>
    </w:p>
    <w:p w14:paraId="4B7F8B5A" w14:textId="77777777" w:rsidR="009F25FA" w:rsidRPr="00117BF8" w:rsidRDefault="009F25FA" w:rsidP="00B93076">
      <w:pPr>
        <w:pStyle w:val="hsa"/>
        <w:rPr>
          <w:rFonts w:ascii="Arial" w:eastAsia="Calibri" w:hAnsi="Arial" w:cs="Arial"/>
          <w:sz w:val="22"/>
          <w:szCs w:val="22"/>
        </w:rPr>
      </w:pPr>
      <w:r w:rsidRPr="00117BF8">
        <w:rPr>
          <w:rFonts w:ascii="Arial" w:eastAsia="Calibri" w:hAnsi="Arial" w:cs="Arial"/>
          <w:sz w:val="22"/>
          <w:szCs w:val="22"/>
        </w:rPr>
        <w:t>E</w:t>
      </w:r>
      <w:r w:rsidR="00BC4590" w:rsidRPr="00117BF8">
        <w:rPr>
          <w:rFonts w:ascii="Arial" w:eastAsia="Calibri" w:hAnsi="Arial" w:cs="Arial"/>
          <w:sz w:val="22"/>
          <w:szCs w:val="22"/>
        </w:rPr>
        <w:t>xpresadas las cue</w:t>
      </w:r>
      <w:r w:rsidR="000E6084" w:rsidRPr="00117BF8">
        <w:rPr>
          <w:rFonts w:ascii="Arial" w:eastAsia="Calibri" w:hAnsi="Arial" w:cs="Arial"/>
          <w:sz w:val="22"/>
          <w:szCs w:val="22"/>
        </w:rPr>
        <w:t>n</w:t>
      </w:r>
      <w:r w:rsidR="00BC4590" w:rsidRPr="00117BF8">
        <w:rPr>
          <w:rFonts w:ascii="Arial" w:eastAsia="Calibri" w:hAnsi="Arial" w:cs="Arial"/>
          <w:sz w:val="22"/>
          <w:szCs w:val="22"/>
        </w:rPr>
        <w:t xml:space="preserve">tas como porcentajes </w:t>
      </w:r>
      <w:r w:rsidRPr="00117BF8">
        <w:rPr>
          <w:rFonts w:ascii="Arial" w:eastAsia="Calibri" w:hAnsi="Arial" w:cs="Arial"/>
          <w:sz w:val="22"/>
          <w:szCs w:val="22"/>
        </w:rPr>
        <w:t xml:space="preserve">de </w:t>
      </w:r>
      <w:r w:rsidR="00BC4590" w:rsidRPr="00117BF8">
        <w:rPr>
          <w:rFonts w:ascii="Arial" w:eastAsia="Calibri" w:hAnsi="Arial" w:cs="Arial"/>
          <w:sz w:val="22"/>
          <w:szCs w:val="22"/>
        </w:rPr>
        <w:t xml:space="preserve">los </w:t>
      </w:r>
      <w:r w:rsidRPr="00117BF8">
        <w:rPr>
          <w:rFonts w:ascii="Arial" w:eastAsia="Calibri" w:hAnsi="Arial" w:cs="Arial"/>
          <w:sz w:val="22"/>
          <w:szCs w:val="22"/>
        </w:rPr>
        <w:t xml:space="preserve">Recursos Totales se observa más claramente la evolución de las </w:t>
      </w:r>
      <w:r w:rsidR="00BC4590" w:rsidRPr="00117BF8">
        <w:rPr>
          <w:rFonts w:ascii="Arial" w:eastAsia="Calibri" w:hAnsi="Arial" w:cs="Arial"/>
          <w:sz w:val="22"/>
          <w:szCs w:val="22"/>
        </w:rPr>
        <w:t>mismas</w:t>
      </w:r>
      <w:r w:rsidR="00B93076" w:rsidRPr="00117BF8">
        <w:rPr>
          <w:rFonts w:ascii="Arial" w:eastAsia="Calibri" w:hAnsi="Arial" w:cs="Arial"/>
          <w:sz w:val="22"/>
          <w:szCs w:val="22"/>
        </w:rPr>
        <w:t xml:space="preserve"> (Tabla 4 y Gráfico 4)</w:t>
      </w:r>
      <w:r w:rsidRPr="00117BF8">
        <w:rPr>
          <w:rFonts w:ascii="Arial" w:eastAsia="Calibri" w:hAnsi="Arial" w:cs="Arial"/>
          <w:sz w:val="22"/>
          <w:szCs w:val="22"/>
        </w:rPr>
        <w:t xml:space="preserve">. </w:t>
      </w:r>
      <w:r w:rsidR="00140993" w:rsidRPr="00117BF8">
        <w:rPr>
          <w:rFonts w:ascii="Arial" w:eastAsia="Calibri" w:hAnsi="Arial" w:cs="Arial"/>
          <w:sz w:val="22"/>
          <w:szCs w:val="22"/>
        </w:rPr>
        <w:t>Como se indicó, l</w:t>
      </w:r>
      <w:r w:rsidRPr="00117BF8">
        <w:rPr>
          <w:rFonts w:ascii="Arial" w:eastAsia="Calibri" w:hAnsi="Arial" w:cs="Arial"/>
          <w:sz w:val="22"/>
          <w:szCs w:val="22"/>
        </w:rPr>
        <w:t>os resultados se modifican drásticamente en lo</w:t>
      </w:r>
      <w:r w:rsidR="00B3680F" w:rsidRPr="00117BF8">
        <w:rPr>
          <w:rFonts w:ascii="Arial" w:eastAsia="Calibri" w:hAnsi="Arial" w:cs="Arial"/>
          <w:sz w:val="22"/>
          <w:szCs w:val="22"/>
        </w:rPr>
        <w:t xml:space="preserve">s años 2015 y 2016, con </w:t>
      </w:r>
      <w:r w:rsidRPr="00117BF8">
        <w:rPr>
          <w:rFonts w:ascii="Arial" w:eastAsia="Calibri" w:hAnsi="Arial" w:cs="Arial"/>
          <w:sz w:val="22"/>
          <w:szCs w:val="22"/>
        </w:rPr>
        <w:t xml:space="preserve">resultados </w:t>
      </w:r>
      <w:r w:rsidR="00140993" w:rsidRPr="00117BF8">
        <w:rPr>
          <w:rFonts w:ascii="Arial" w:eastAsia="Calibri" w:hAnsi="Arial" w:cs="Arial"/>
          <w:sz w:val="22"/>
          <w:szCs w:val="22"/>
        </w:rPr>
        <w:t xml:space="preserve">negativos: </w:t>
      </w:r>
      <w:r w:rsidRPr="00117BF8">
        <w:rPr>
          <w:rFonts w:ascii="Arial" w:eastAsia="Calibri" w:hAnsi="Arial" w:cs="Arial"/>
          <w:sz w:val="22"/>
          <w:szCs w:val="22"/>
        </w:rPr>
        <w:t xml:space="preserve">primarios del 4% y financieros del 8% siempre sobre los recursos totales. Entre el 2015 y 2016 hay una diferencia de importancia, mientras en el año 2015 el 75% del </w:t>
      </w:r>
      <w:r w:rsidR="00B93076" w:rsidRPr="00117BF8">
        <w:rPr>
          <w:rFonts w:ascii="Arial" w:eastAsia="Calibri" w:hAnsi="Arial" w:cs="Arial"/>
          <w:sz w:val="22"/>
          <w:szCs w:val="22"/>
        </w:rPr>
        <w:t>déficit financiero se debía al resultado económico, en el 2016 este r</w:t>
      </w:r>
      <w:r w:rsidRPr="00117BF8">
        <w:rPr>
          <w:rFonts w:ascii="Arial" w:eastAsia="Calibri" w:hAnsi="Arial" w:cs="Arial"/>
          <w:sz w:val="22"/>
          <w:szCs w:val="22"/>
        </w:rPr>
        <w:t xml:space="preserve">esultado sólo </w:t>
      </w:r>
      <w:r w:rsidR="00B93076" w:rsidRPr="00117BF8">
        <w:rPr>
          <w:rFonts w:ascii="Arial" w:eastAsia="Calibri" w:hAnsi="Arial" w:cs="Arial"/>
          <w:sz w:val="22"/>
          <w:szCs w:val="22"/>
        </w:rPr>
        <w:t>explicaba el 37,5% del déficit f</w:t>
      </w:r>
      <w:r w:rsidRPr="00117BF8">
        <w:rPr>
          <w:rFonts w:ascii="Arial" w:eastAsia="Calibri" w:hAnsi="Arial" w:cs="Arial"/>
          <w:sz w:val="22"/>
          <w:szCs w:val="22"/>
        </w:rPr>
        <w:t>inanciero. Este cambio se origina en un mayor peso relativo de los gastos de capital</w:t>
      </w:r>
      <w:r w:rsidR="00B93076" w:rsidRPr="00117BF8">
        <w:rPr>
          <w:rFonts w:ascii="Arial" w:eastAsia="Calibri" w:hAnsi="Arial" w:cs="Arial"/>
          <w:sz w:val="22"/>
          <w:szCs w:val="22"/>
        </w:rPr>
        <w:t xml:space="preserve"> (</w:t>
      </w:r>
      <w:r w:rsidRPr="00117BF8">
        <w:rPr>
          <w:rFonts w:ascii="Arial" w:eastAsia="Calibri" w:hAnsi="Arial" w:cs="Arial"/>
          <w:sz w:val="22"/>
          <w:szCs w:val="22"/>
        </w:rPr>
        <w:t>Del 3% al 7% de los recursos totales).</w:t>
      </w:r>
    </w:p>
    <w:p w14:paraId="7711DA07" w14:textId="5433FFD1" w:rsidR="005B18C0" w:rsidRPr="00117BF8" w:rsidRDefault="009F25FA" w:rsidP="009F25FA">
      <w:pPr>
        <w:pStyle w:val="hsa"/>
        <w:rPr>
          <w:rFonts w:ascii="Arial" w:eastAsia="Calibri" w:hAnsi="Arial" w:cs="Arial"/>
          <w:sz w:val="22"/>
          <w:szCs w:val="22"/>
        </w:rPr>
      </w:pPr>
      <w:r w:rsidRPr="00117BF8">
        <w:rPr>
          <w:rFonts w:ascii="Arial" w:eastAsia="Calibri" w:hAnsi="Arial" w:cs="Arial"/>
          <w:sz w:val="22"/>
          <w:szCs w:val="22"/>
        </w:rPr>
        <w:t>El presupuesto del año 2017 prevé un resultado económico equilibrado</w:t>
      </w:r>
      <w:r w:rsidR="00B93076" w:rsidRPr="00117BF8">
        <w:rPr>
          <w:rFonts w:ascii="Arial" w:eastAsia="Calibri" w:hAnsi="Arial" w:cs="Arial"/>
          <w:sz w:val="22"/>
          <w:szCs w:val="22"/>
        </w:rPr>
        <w:t xml:space="preserve"> y</w:t>
      </w:r>
      <w:r w:rsidRPr="00117BF8">
        <w:rPr>
          <w:rFonts w:ascii="Arial" w:eastAsia="Calibri" w:hAnsi="Arial" w:cs="Arial"/>
          <w:sz w:val="22"/>
          <w:szCs w:val="22"/>
        </w:rPr>
        <w:t xml:space="preserve"> resultados primario</w:t>
      </w:r>
      <w:r w:rsidR="00FA2295">
        <w:rPr>
          <w:rFonts w:ascii="Arial" w:eastAsia="Calibri" w:hAnsi="Arial" w:cs="Arial"/>
          <w:sz w:val="22"/>
          <w:szCs w:val="22"/>
        </w:rPr>
        <w:t>s</w:t>
      </w:r>
      <w:r w:rsidRPr="00117BF8">
        <w:rPr>
          <w:rFonts w:ascii="Arial" w:eastAsia="Calibri" w:hAnsi="Arial" w:cs="Arial"/>
          <w:sz w:val="22"/>
          <w:szCs w:val="22"/>
        </w:rPr>
        <w:t xml:space="preserve"> y </w:t>
      </w:r>
      <w:r w:rsidR="00FA2295" w:rsidRPr="008D04D4">
        <w:rPr>
          <w:rFonts w:ascii="Arial" w:eastAsia="Calibri" w:hAnsi="Arial" w:cs="Arial"/>
          <w:sz w:val="22"/>
          <w:szCs w:val="22"/>
        </w:rPr>
        <w:t>financiero negativo</w:t>
      </w:r>
      <w:r w:rsidRPr="00117BF8">
        <w:rPr>
          <w:rFonts w:ascii="Arial" w:eastAsia="Calibri" w:hAnsi="Arial" w:cs="Arial"/>
          <w:sz w:val="22"/>
          <w:szCs w:val="22"/>
        </w:rPr>
        <w:t xml:space="preserve"> en niveles levemente reducidos </w:t>
      </w:r>
      <w:r w:rsidR="00443F74" w:rsidRPr="00117BF8">
        <w:rPr>
          <w:rFonts w:ascii="Arial" w:eastAsia="Calibri" w:hAnsi="Arial" w:cs="Arial"/>
          <w:sz w:val="22"/>
          <w:szCs w:val="22"/>
        </w:rPr>
        <w:t xml:space="preserve">con </w:t>
      </w:r>
      <w:r w:rsidRPr="00117BF8">
        <w:rPr>
          <w:rFonts w:ascii="Arial" w:eastAsia="Calibri" w:hAnsi="Arial" w:cs="Arial"/>
          <w:sz w:val="22"/>
          <w:szCs w:val="22"/>
        </w:rPr>
        <w:t>respecto al año 2016.</w:t>
      </w:r>
    </w:p>
    <w:tbl>
      <w:tblPr>
        <w:tblW w:w="8847"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2850"/>
        <w:gridCol w:w="1134"/>
        <w:gridCol w:w="1134"/>
        <w:gridCol w:w="1134"/>
        <w:gridCol w:w="1134"/>
        <w:gridCol w:w="1461"/>
      </w:tblGrid>
      <w:tr w:rsidR="00E90920" w:rsidRPr="004E6455" w14:paraId="54332C07" w14:textId="77777777" w:rsidTr="00C007D0">
        <w:trPr>
          <w:trHeight w:val="300"/>
          <w:jc w:val="center"/>
        </w:trPr>
        <w:tc>
          <w:tcPr>
            <w:tcW w:w="8847" w:type="dxa"/>
            <w:gridSpan w:val="6"/>
            <w:tcBorders>
              <w:top w:val="single" w:sz="8" w:space="0" w:color="78C0D4"/>
              <w:left w:val="single" w:sz="8" w:space="0" w:color="78C0D4"/>
              <w:bottom w:val="single" w:sz="8" w:space="0" w:color="78C0D4"/>
              <w:right w:val="single" w:sz="8" w:space="0" w:color="78C0D4"/>
            </w:tcBorders>
            <w:shd w:val="clear" w:color="auto" w:fill="0070C0"/>
            <w:noWrap/>
            <w:hideMark/>
          </w:tcPr>
          <w:p w14:paraId="02E632B0" w14:textId="77777777" w:rsidR="00E90920" w:rsidRPr="00117BF8" w:rsidRDefault="00E90920" w:rsidP="00117BF8">
            <w:pPr>
              <w:pStyle w:val="TablaE"/>
              <w:rPr>
                <w:rFonts w:ascii="Arial" w:hAnsi="Arial" w:cs="Arial"/>
                <w:sz w:val="22"/>
                <w:szCs w:val="22"/>
              </w:rPr>
            </w:pPr>
            <w:bookmarkStart w:id="29" w:name="_Toc493861114"/>
            <w:r w:rsidRPr="00117BF8">
              <w:rPr>
                <w:rFonts w:ascii="Arial" w:hAnsi="Arial" w:cs="Arial"/>
                <w:sz w:val="22"/>
                <w:szCs w:val="22"/>
              </w:rPr>
              <w:t xml:space="preserve">Tabla </w:t>
            </w:r>
            <w:r w:rsidR="00525D76" w:rsidRPr="00117BF8">
              <w:rPr>
                <w:rFonts w:ascii="Arial" w:hAnsi="Arial" w:cs="Arial"/>
                <w:sz w:val="22"/>
                <w:szCs w:val="22"/>
              </w:rPr>
              <w:t>4</w:t>
            </w:r>
            <w:r w:rsidRPr="00117BF8">
              <w:rPr>
                <w:rFonts w:ascii="Arial" w:hAnsi="Arial" w:cs="Arial"/>
                <w:sz w:val="22"/>
                <w:szCs w:val="22"/>
              </w:rPr>
              <w:t xml:space="preserve"> - Principales Cuentas Fiscales – Ejecutado % Sobre Recursos Totales</w:t>
            </w:r>
            <w:bookmarkEnd w:id="29"/>
          </w:p>
        </w:tc>
      </w:tr>
      <w:tr w:rsidR="00C007D0" w:rsidRPr="004E6455" w14:paraId="0ACCE711" w14:textId="77777777" w:rsidTr="00C007D0">
        <w:trPr>
          <w:trHeight w:val="300"/>
          <w:jc w:val="center"/>
        </w:trPr>
        <w:tc>
          <w:tcPr>
            <w:tcW w:w="2850" w:type="dxa"/>
            <w:vMerge w:val="restart"/>
            <w:tcBorders>
              <w:right w:val="single" w:sz="8" w:space="0" w:color="78C0D4"/>
            </w:tcBorders>
            <w:shd w:val="clear" w:color="auto" w:fill="0070C0"/>
            <w:noWrap/>
            <w:hideMark/>
          </w:tcPr>
          <w:p w14:paraId="4A2CFB2F" w14:textId="77777777" w:rsidR="00E90920" w:rsidRPr="00117BF8" w:rsidRDefault="00E90920" w:rsidP="00E90920">
            <w:pPr>
              <w:pStyle w:val="TablaE"/>
              <w:rPr>
                <w:rFonts w:ascii="Arial" w:hAnsi="Arial" w:cs="Arial"/>
                <w:b w:val="0"/>
                <w:bCs/>
              </w:rPr>
            </w:pPr>
          </w:p>
        </w:tc>
        <w:tc>
          <w:tcPr>
            <w:tcW w:w="4536" w:type="dxa"/>
            <w:gridSpan w:val="4"/>
            <w:tcBorders>
              <w:left w:val="single" w:sz="8" w:space="0" w:color="78C0D4"/>
              <w:right w:val="single" w:sz="8" w:space="0" w:color="78C0D4"/>
            </w:tcBorders>
            <w:shd w:val="clear" w:color="auto" w:fill="0070C0"/>
            <w:noWrap/>
            <w:hideMark/>
          </w:tcPr>
          <w:p w14:paraId="3AAD2778" w14:textId="77777777" w:rsidR="00E90920" w:rsidRPr="00117BF8" w:rsidRDefault="00E90920" w:rsidP="00E90920">
            <w:pPr>
              <w:pStyle w:val="TablaE"/>
              <w:rPr>
                <w:rFonts w:ascii="Arial" w:hAnsi="Arial" w:cs="Arial"/>
                <w:sz w:val="22"/>
                <w:szCs w:val="22"/>
              </w:rPr>
            </w:pPr>
            <w:r w:rsidRPr="00117BF8">
              <w:rPr>
                <w:rFonts w:ascii="Arial" w:hAnsi="Arial" w:cs="Arial"/>
                <w:sz w:val="22"/>
                <w:szCs w:val="22"/>
              </w:rPr>
              <w:t>Ejecución</w:t>
            </w:r>
          </w:p>
        </w:tc>
        <w:tc>
          <w:tcPr>
            <w:tcW w:w="1461" w:type="dxa"/>
            <w:tcBorders>
              <w:left w:val="single" w:sz="8" w:space="0" w:color="78C0D4"/>
            </w:tcBorders>
            <w:shd w:val="clear" w:color="auto" w:fill="0070C0"/>
            <w:noWrap/>
            <w:hideMark/>
          </w:tcPr>
          <w:p w14:paraId="1FD007EE" w14:textId="77777777" w:rsidR="00E90920" w:rsidRPr="00117BF8" w:rsidRDefault="00E90920" w:rsidP="00E90920">
            <w:pPr>
              <w:pStyle w:val="TablaE"/>
              <w:rPr>
                <w:rFonts w:ascii="Arial" w:hAnsi="Arial" w:cs="Arial"/>
                <w:sz w:val="22"/>
                <w:szCs w:val="22"/>
              </w:rPr>
            </w:pPr>
            <w:r w:rsidRPr="00117BF8">
              <w:rPr>
                <w:rFonts w:ascii="Arial" w:hAnsi="Arial" w:cs="Arial"/>
                <w:sz w:val="22"/>
                <w:szCs w:val="22"/>
              </w:rPr>
              <w:t>Presu</w:t>
            </w:r>
            <w:r w:rsidR="001066FF" w:rsidRPr="00117BF8">
              <w:rPr>
                <w:rFonts w:ascii="Arial" w:hAnsi="Arial" w:cs="Arial"/>
                <w:sz w:val="22"/>
                <w:szCs w:val="22"/>
              </w:rPr>
              <w:t>-</w:t>
            </w:r>
            <w:r w:rsidRPr="00117BF8">
              <w:rPr>
                <w:rFonts w:ascii="Arial" w:hAnsi="Arial" w:cs="Arial"/>
                <w:sz w:val="22"/>
                <w:szCs w:val="22"/>
              </w:rPr>
              <w:t>puesto</w:t>
            </w:r>
          </w:p>
        </w:tc>
      </w:tr>
      <w:tr w:rsidR="00C007D0" w:rsidRPr="004E6455" w14:paraId="0C197605" w14:textId="77777777" w:rsidTr="00C007D0">
        <w:trPr>
          <w:trHeight w:val="300"/>
          <w:jc w:val="center"/>
        </w:trPr>
        <w:tc>
          <w:tcPr>
            <w:tcW w:w="2850" w:type="dxa"/>
            <w:vMerge/>
            <w:tcBorders>
              <w:right w:val="single" w:sz="8" w:space="0" w:color="78C0D4"/>
            </w:tcBorders>
            <w:shd w:val="clear" w:color="auto" w:fill="0070C0"/>
            <w:noWrap/>
            <w:hideMark/>
          </w:tcPr>
          <w:p w14:paraId="71C93417" w14:textId="77777777" w:rsidR="00E90920" w:rsidRPr="00117BF8" w:rsidRDefault="00E90920" w:rsidP="00E90920">
            <w:pPr>
              <w:pStyle w:val="TablaE"/>
              <w:rPr>
                <w:rFonts w:ascii="Arial" w:hAnsi="Arial" w:cs="Arial"/>
                <w:b w:val="0"/>
                <w:bCs/>
              </w:rPr>
            </w:pPr>
          </w:p>
        </w:tc>
        <w:tc>
          <w:tcPr>
            <w:tcW w:w="1134" w:type="dxa"/>
            <w:tcBorders>
              <w:left w:val="single" w:sz="8" w:space="0" w:color="78C0D4"/>
              <w:right w:val="single" w:sz="8" w:space="0" w:color="78C0D4"/>
            </w:tcBorders>
            <w:shd w:val="clear" w:color="auto" w:fill="0070C0"/>
            <w:noWrap/>
            <w:hideMark/>
          </w:tcPr>
          <w:p w14:paraId="4EE04A0B" w14:textId="77777777" w:rsidR="00E90920" w:rsidRPr="00117BF8" w:rsidRDefault="00E90920" w:rsidP="00E90920">
            <w:pPr>
              <w:pStyle w:val="TablaE"/>
              <w:rPr>
                <w:rFonts w:ascii="Arial" w:hAnsi="Arial" w:cs="Arial"/>
                <w:sz w:val="22"/>
                <w:szCs w:val="22"/>
              </w:rPr>
            </w:pPr>
            <w:r w:rsidRPr="00117BF8">
              <w:rPr>
                <w:rFonts w:ascii="Arial" w:hAnsi="Arial" w:cs="Arial"/>
                <w:sz w:val="22"/>
                <w:szCs w:val="22"/>
              </w:rPr>
              <w:t>2013</w:t>
            </w:r>
          </w:p>
        </w:tc>
        <w:tc>
          <w:tcPr>
            <w:tcW w:w="1134" w:type="dxa"/>
            <w:tcBorders>
              <w:left w:val="single" w:sz="8" w:space="0" w:color="78C0D4"/>
              <w:right w:val="single" w:sz="8" w:space="0" w:color="78C0D4"/>
            </w:tcBorders>
            <w:shd w:val="clear" w:color="auto" w:fill="0070C0"/>
            <w:noWrap/>
            <w:hideMark/>
          </w:tcPr>
          <w:p w14:paraId="0D857339" w14:textId="77777777" w:rsidR="00E90920" w:rsidRPr="00117BF8" w:rsidRDefault="00E90920" w:rsidP="00E90920">
            <w:pPr>
              <w:pStyle w:val="TablaE"/>
              <w:rPr>
                <w:rFonts w:ascii="Arial" w:hAnsi="Arial" w:cs="Arial"/>
                <w:sz w:val="22"/>
                <w:szCs w:val="22"/>
              </w:rPr>
            </w:pPr>
            <w:r w:rsidRPr="00117BF8">
              <w:rPr>
                <w:rFonts w:ascii="Arial" w:hAnsi="Arial" w:cs="Arial"/>
                <w:sz w:val="22"/>
                <w:szCs w:val="22"/>
              </w:rPr>
              <w:t>2014</w:t>
            </w:r>
          </w:p>
        </w:tc>
        <w:tc>
          <w:tcPr>
            <w:tcW w:w="1134" w:type="dxa"/>
            <w:tcBorders>
              <w:left w:val="single" w:sz="8" w:space="0" w:color="78C0D4"/>
              <w:right w:val="single" w:sz="8" w:space="0" w:color="78C0D4"/>
            </w:tcBorders>
            <w:shd w:val="clear" w:color="auto" w:fill="0070C0"/>
            <w:noWrap/>
            <w:hideMark/>
          </w:tcPr>
          <w:p w14:paraId="53A20269" w14:textId="77777777" w:rsidR="00E90920" w:rsidRPr="00117BF8" w:rsidRDefault="00E90920" w:rsidP="00E90920">
            <w:pPr>
              <w:pStyle w:val="TablaE"/>
              <w:rPr>
                <w:rFonts w:ascii="Arial" w:hAnsi="Arial" w:cs="Arial"/>
                <w:sz w:val="22"/>
                <w:szCs w:val="22"/>
              </w:rPr>
            </w:pPr>
            <w:r w:rsidRPr="00117BF8">
              <w:rPr>
                <w:rFonts w:ascii="Arial" w:hAnsi="Arial" w:cs="Arial"/>
                <w:sz w:val="22"/>
                <w:szCs w:val="22"/>
              </w:rPr>
              <w:t>2015</w:t>
            </w:r>
          </w:p>
        </w:tc>
        <w:tc>
          <w:tcPr>
            <w:tcW w:w="1134" w:type="dxa"/>
            <w:tcBorders>
              <w:left w:val="single" w:sz="8" w:space="0" w:color="78C0D4"/>
              <w:right w:val="single" w:sz="8" w:space="0" w:color="78C0D4"/>
            </w:tcBorders>
            <w:shd w:val="clear" w:color="auto" w:fill="0070C0"/>
            <w:noWrap/>
            <w:hideMark/>
          </w:tcPr>
          <w:p w14:paraId="09435289" w14:textId="77777777" w:rsidR="00E90920" w:rsidRPr="00117BF8" w:rsidRDefault="00E90920" w:rsidP="00E90920">
            <w:pPr>
              <w:pStyle w:val="TablaE"/>
              <w:rPr>
                <w:rFonts w:ascii="Arial" w:hAnsi="Arial" w:cs="Arial"/>
                <w:sz w:val="22"/>
                <w:szCs w:val="22"/>
              </w:rPr>
            </w:pPr>
            <w:r w:rsidRPr="00117BF8">
              <w:rPr>
                <w:rFonts w:ascii="Arial" w:hAnsi="Arial" w:cs="Arial"/>
                <w:sz w:val="22"/>
                <w:szCs w:val="22"/>
              </w:rPr>
              <w:t>2016</w:t>
            </w:r>
          </w:p>
        </w:tc>
        <w:tc>
          <w:tcPr>
            <w:tcW w:w="1461" w:type="dxa"/>
            <w:tcBorders>
              <w:left w:val="single" w:sz="8" w:space="0" w:color="78C0D4"/>
            </w:tcBorders>
            <w:shd w:val="clear" w:color="auto" w:fill="0070C0"/>
            <w:noWrap/>
            <w:hideMark/>
          </w:tcPr>
          <w:p w14:paraId="76C203D2" w14:textId="77777777" w:rsidR="00E90920" w:rsidRPr="00117BF8" w:rsidRDefault="00E90920" w:rsidP="00E90920">
            <w:pPr>
              <w:pStyle w:val="TablaE"/>
              <w:rPr>
                <w:rFonts w:ascii="Arial" w:hAnsi="Arial" w:cs="Arial"/>
                <w:sz w:val="22"/>
                <w:szCs w:val="22"/>
              </w:rPr>
            </w:pPr>
            <w:r w:rsidRPr="00117BF8">
              <w:rPr>
                <w:rFonts w:ascii="Arial" w:hAnsi="Arial" w:cs="Arial"/>
                <w:sz w:val="22"/>
                <w:szCs w:val="22"/>
              </w:rPr>
              <w:t>2017 (*)</w:t>
            </w:r>
          </w:p>
        </w:tc>
      </w:tr>
      <w:tr w:rsidR="00C007D0" w:rsidRPr="008D04D4" w14:paraId="7296CAE9" w14:textId="77777777" w:rsidTr="00C007D0">
        <w:trPr>
          <w:trHeight w:val="300"/>
          <w:jc w:val="center"/>
        </w:trPr>
        <w:tc>
          <w:tcPr>
            <w:tcW w:w="2850" w:type="dxa"/>
            <w:shd w:val="clear" w:color="auto" w:fill="D2EAF1"/>
            <w:noWrap/>
            <w:hideMark/>
          </w:tcPr>
          <w:p w14:paraId="47D1527E"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Recursos Corrientes</w:t>
            </w:r>
          </w:p>
        </w:tc>
        <w:tc>
          <w:tcPr>
            <w:tcW w:w="1134" w:type="dxa"/>
            <w:shd w:val="clear" w:color="auto" w:fill="D2EAF1"/>
            <w:noWrap/>
            <w:vAlign w:val="bottom"/>
            <w:hideMark/>
          </w:tcPr>
          <w:p w14:paraId="445679D9"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98</w:t>
            </w:r>
          </w:p>
        </w:tc>
        <w:tc>
          <w:tcPr>
            <w:tcW w:w="1134" w:type="dxa"/>
            <w:shd w:val="clear" w:color="auto" w:fill="D2EAF1"/>
            <w:noWrap/>
            <w:vAlign w:val="bottom"/>
            <w:hideMark/>
          </w:tcPr>
          <w:p w14:paraId="448D5E03"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98</w:t>
            </w:r>
          </w:p>
        </w:tc>
        <w:tc>
          <w:tcPr>
            <w:tcW w:w="1134" w:type="dxa"/>
            <w:shd w:val="clear" w:color="auto" w:fill="D2EAF1"/>
            <w:noWrap/>
            <w:vAlign w:val="bottom"/>
            <w:hideMark/>
          </w:tcPr>
          <w:p w14:paraId="7E5C6D4E"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98</w:t>
            </w:r>
          </w:p>
        </w:tc>
        <w:tc>
          <w:tcPr>
            <w:tcW w:w="1134" w:type="dxa"/>
            <w:shd w:val="clear" w:color="auto" w:fill="D2EAF1"/>
            <w:noWrap/>
            <w:vAlign w:val="bottom"/>
            <w:hideMark/>
          </w:tcPr>
          <w:p w14:paraId="3ADA4FD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98</w:t>
            </w:r>
          </w:p>
        </w:tc>
        <w:tc>
          <w:tcPr>
            <w:tcW w:w="1461" w:type="dxa"/>
            <w:shd w:val="clear" w:color="auto" w:fill="D2EAF1"/>
            <w:noWrap/>
            <w:vAlign w:val="bottom"/>
            <w:hideMark/>
          </w:tcPr>
          <w:p w14:paraId="64357A04"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98</w:t>
            </w:r>
          </w:p>
        </w:tc>
      </w:tr>
      <w:tr w:rsidR="00C007D0" w:rsidRPr="008D04D4" w14:paraId="23F4D797" w14:textId="77777777" w:rsidTr="00C007D0">
        <w:trPr>
          <w:trHeight w:val="300"/>
          <w:jc w:val="center"/>
        </w:trPr>
        <w:tc>
          <w:tcPr>
            <w:tcW w:w="2850" w:type="dxa"/>
            <w:tcBorders>
              <w:right w:val="nil"/>
            </w:tcBorders>
            <w:shd w:val="clear" w:color="auto" w:fill="auto"/>
            <w:noWrap/>
            <w:hideMark/>
          </w:tcPr>
          <w:p w14:paraId="1DF33639"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Gastos Corrientes</w:t>
            </w:r>
          </w:p>
        </w:tc>
        <w:tc>
          <w:tcPr>
            <w:tcW w:w="1134" w:type="dxa"/>
            <w:tcBorders>
              <w:left w:val="nil"/>
              <w:right w:val="nil"/>
            </w:tcBorders>
            <w:shd w:val="clear" w:color="auto" w:fill="auto"/>
            <w:noWrap/>
            <w:vAlign w:val="bottom"/>
            <w:hideMark/>
          </w:tcPr>
          <w:p w14:paraId="1673D9A3"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98</w:t>
            </w:r>
          </w:p>
        </w:tc>
        <w:tc>
          <w:tcPr>
            <w:tcW w:w="1134" w:type="dxa"/>
            <w:tcBorders>
              <w:left w:val="nil"/>
              <w:right w:val="nil"/>
            </w:tcBorders>
            <w:shd w:val="clear" w:color="auto" w:fill="auto"/>
            <w:noWrap/>
            <w:vAlign w:val="bottom"/>
            <w:hideMark/>
          </w:tcPr>
          <w:p w14:paraId="75710D24"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96</w:t>
            </w:r>
          </w:p>
        </w:tc>
        <w:tc>
          <w:tcPr>
            <w:tcW w:w="1134" w:type="dxa"/>
            <w:tcBorders>
              <w:left w:val="nil"/>
              <w:right w:val="nil"/>
            </w:tcBorders>
            <w:shd w:val="clear" w:color="auto" w:fill="auto"/>
            <w:noWrap/>
            <w:vAlign w:val="bottom"/>
            <w:hideMark/>
          </w:tcPr>
          <w:p w14:paraId="0D12107F"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104</w:t>
            </w:r>
          </w:p>
        </w:tc>
        <w:tc>
          <w:tcPr>
            <w:tcW w:w="1134" w:type="dxa"/>
            <w:tcBorders>
              <w:left w:val="nil"/>
              <w:right w:val="nil"/>
            </w:tcBorders>
            <w:shd w:val="clear" w:color="auto" w:fill="auto"/>
            <w:noWrap/>
            <w:vAlign w:val="bottom"/>
            <w:hideMark/>
          </w:tcPr>
          <w:p w14:paraId="090F99B4"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101</w:t>
            </w:r>
          </w:p>
        </w:tc>
        <w:tc>
          <w:tcPr>
            <w:tcW w:w="1461" w:type="dxa"/>
            <w:tcBorders>
              <w:left w:val="nil"/>
            </w:tcBorders>
            <w:shd w:val="clear" w:color="auto" w:fill="auto"/>
            <w:noWrap/>
            <w:vAlign w:val="bottom"/>
            <w:hideMark/>
          </w:tcPr>
          <w:p w14:paraId="36883F6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98</w:t>
            </w:r>
          </w:p>
        </w:tc>
      </w:tr>
      <w:tr w:rsidR="00C007D0" w:rsidRPr="008D04D4" w14:paraId="4A08101D" w14:textId="77777777" w:rsidTr="00C007D0">
        <w:trPr>
          <w:trHeight w:val="300"/>
          <w:jc w:val="center"/>
        </w:trPr>
        <w:tc>
          <w:tcPr>
            <w:tcW w:w="2850" w:type="dxa"/>
            <w:shd w:val="clear" w:color="auto" w:fill="D2EAF1"/>
            <w:noWrap/>
            <w:hideMark/>
          </w:tcPr>
          <w:p w14:paraId="02FF83CA"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Resultado Económico</w:t>
            </w:r>
          </w:p>
        </w:tc>
        <w:tc>
          <w:tcPr>
            <w:tcW w:w="1134" w:type="dxa"/>
            <w:shd w:val="clear" w:color="auto" w:fill="D2EAF1"/>
            <w:noWrap/>
            <w:vAlign w:val="bottom"/>
            <w:hideMark/>
          </w:tcPr>
          <w:p w14:paraId="1F6F9E3F"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0</w:t>
            </w:r>
          </w:p>
        </w:tc>
        <w:tc>
          <w:tcPr>
            <w:tcW w:w="1134" w:type="dxa"/>
            <w:shd w:val="clear" w:color="auto" w:fill="D2EAF1"/>
            <w:noWrap/>
            <w:vAlign w:val="bottom"/>
            <w:hideMark/>
          </w:tcPr>
          <w:p w14:paraId="1816A3C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w:t>
            </w:r>
          </w:p>
        </w:tc>
        <w:tc>
          <w:tcPr>
            <w:tcW w:w="1134" w:type="dxa"/>
            <w:shd w:val="clear" w:color="auto" w:fill="D2EAF1"/>
            <w:noWrap/>
            <w:vAlign w:val="bottom"/>
            <w:hideMark/>
          </w:tcPr>
          <w:p w14:paraId="37956E9F"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-6</w:t>
            </w:r>
          </w:p>
        </w:tc>
        <w:tc>
          <w:tcPr>
            <w:tcW w:w="1134" w:type="dxa"/>
            <w:shd w:val="clear" w:color="auto" w:fill="D2EAF1"/>
            <w:noWrap/>
            <w:vAlign w:val="bottom"/>
            <w:hideMark/>
          </w:tcPr>
          <w:p w14:paraId="7AC18A1F"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-3</w:t>
            </w:r>
          </w:p>
        </w:tc>
        <w:tc>
          <w:tcPr>
            <w:tcW w:w="1461" w:type="dxa"/>
            <w:shd w:val="clear" w:color="auto" w:fill="D2EAF1"/>
            <w:noWrap/>
            <w:vAlign w:val="bottom"/>
            <w:hideMark/>
          </w:tcPr>
          <w:p w14:paraId="6DDCC896"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-0</w:t>
            </w:r>
          </w:p>
        </w:tc>
      </w:tr>
      <w:tr w:rsidR="00C007D0" w:rsidRPr="008D04D4" w14:paraId="764A7880" w14:textId="77777777" w:rsidTr="00D147AF">
        <w:trPr>
          <w:trHeight w:hRule="exact" w:val="113"/>
          <w:jc w:val="center"/>
        </w:trPr>
        <w:tc>
          <w:tcPr>
            <w:tcW w:w="2850" w:type="dxa"/>
            <w:tcBorders>
              <w:right w:val="nil"/>
            </w:tcBorders>
            <w:shd w:val="clear" w:color="auto" w:fill="auto"/>
            <w:noWrap/>
            <w:hideMark/>
          </w:tcPr>
          <w:p w14:paraId="325EF87C" w14:textId="77777777" w:rsidR="00E90920" w:rsidRPr="00117BF8" w:rsidRDefault="00E90920" w:rsidP="00C007D0">
            <w:pPr>
              <w:pStyle w:val="TablaC"/>
              <w:jc w:val="left"/>
              <w:rPr>
                <w:rFonts w:ascii="Arial" w:hAnsi="Arial" w:cs="Arial"/>
                <w:bCs/>
                <w:sz w:val="18"/>
                <w:szCs w:val="18"/>
              </w:rPr>
            </w:pPr>
          </w:p>
        </w:tc>
        <w:tc>
          <w:tcPr>
            <w:tcW w:w="1134" w:type="dxa"/>
            <w:tcBorders>
              <w:left w:val="nil"/>
              <w:right w:val="nil"/>
            </w:tcBorders>
            <w:shd w:val="clear" w:color="auto" w:fill="auto"/>
            <w:noWrap/>
            <w:vAlign w:val="bottom"/>
            <w:hideMark/>
          </w:tcPr>
          <w:p w14:paraId="006F7F9F"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tcBorders>
              <w:left w:val="nil"/>
              <w:right w:val="nil"/>
            </w:tcBorders>
            <w:shd w:val="clear" w:color="auto" w:fill="auto"/>
            <w:noWrap/>
            <w:vAlign w:val="bottom"/>
            <w:hideMark/>
          </w:tcPr>
          <w:p w14:paraId="507FB0AE"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tcBorders>
              <w:left w:val="nil"/>
              <w:right w:val="nil"/>
            </w:tcBorders>
            <w:shd w:val="clear" w:color="auto" w:fill="auto"/>
            <w:noWrap/>
            <w:vAlign w:val="bottom"/>
            <w:hideMark/>
          </w:tcPr>
          <w:p w14:paraId="4DA9ECB6"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tcBorders>
              <w:left w:val="nil"/>
              <w:right w:val="nil"/>
            </w:tcBorders>
            <w:shd w:val="clear" w:color="auto" w:fill="auto"/>
            <w:noWrap/>
            <w:vAlign w:val="bottom"/>
            <w:hideMark/>
          </w:tcPr>
          <w:p w14:paraId="0AEADDD5" w14:textId="77777777" w:rsidR="00E90920" w:rsidRPr="00117BF8" w:rsidRDefault="00E90920" w:rsidP="00C007D0">
            <w:pPr>
              <w:spacing w:after="0"/>
              <w:jc w:val="left"/>
              <w:rPr>
                <w:rFonts w:ascii="Arial" w:hAnsi="Arial" w:cs="Arial"/>
                <w:color w:val="000000"/>
                <w:sz w:val="18"/>
                <w:szCs w:val="18"/>
                <w:lang w:val="es-AR" w:eastAsia="es-AR"/>
              </w:rPr>
            </w:pPr>
          </w:p>
        </w:tc>
        <w:tc>
          <w:tcPr>
            <w:tcW w:w="1461" w:type="dxa"/>
            <w:tcBorders>
              <w:left w:val="nil"/>
            </w:tcBorders>
            <w:shd w:val="clear" w:color="auto" w:fill="auto"/>
            <w:noWrap/>
            <w:vAlign w:val="bottom"/>
            <w:hideMark/>
          </w:tcPr>
          <w:p w14:paraId="6F4CF471" w14:textId="77777777" w:rsidR="00E90920" w:rsidRPr="00117BF8" w:rsidRDefault="00E90920" w:rsidP="00C007D0">
            <w:pPr>
              <w:spacing w:after="0"/>
              <w:jc w:val="left"/>
              <w:rPr>
                <w:rFonts w:ascii="Arial" w:hAnsi="Arial" w:cs="Arial"/>
                <w:color w:val="000000"/>
                <w:sz w:val="18"/>
                <w:szCs w:val="18"/>
                <w:lang w:val="es-AR" w:eastAsia="es-AR"/>
              </w:rPr>
            </w:pPr>
          </w:p>
        </w:tc>
      </w:tr>
      <w:tr w:rsidR="00C007D0" w:rsidRPr="008D04D4" w14:paraId="2CB2EE68" w14:textId="77777777" w:rsidTr="00C007D0">
        <w:trPr>
          <w:trHeight w:val="300"/>
          <w:jc w:val="center"/>
        </w:trPr>
        <w:tc>
          <w:tcPr>
            <w:tcW w:w="2850" w:type="dxa"/>
            <w:shd w:val="clear" w:color="auto" w:fill="D2EAF1"/>
            <w:noWrap/>
            <w:hideMark/>
          </w:tcPr>
          <w:p w14:paraId="21FDC49B"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Recursos de Capital</w:t>
            </w:r>
          </w:p>
        </w:tc>
        <w:tc>
          <w:tcPr>
            <w:tcW w:w="1134" w:type="dxa"/>
            <w:shd w:val="clear" w:color="auto" w:fill="D2EAF1"/>
            <w:noWrap/>
            <w:vAlign w:val="bottom"/>
            <w:hideMark/>
          </w:tcPr>
          <w:p w14:paraId="1F6C3CC3"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w:t>
            </w:r>
          </w:p>
        </w:tc>
        <w:tc>
          <w:tcPr>
            <w:tcW w:w="1134" w:type="dxa"/>
            <w:shd w:val="clear" w:color="auto" w:fill="D2EAF1"/>
            <w:noWrap/>
            <w:vAlign w:val="bottom"/>
            <w:hideMark/>
          </w:tcPr>
          <w:p w14:paraId="1663BF23"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w:t>
            </w:r>
          </w:p>
        </w:tc>
        <w:tc>
          <w:tcPr>
            <w:tcW w:w="1134" w:type="dxa"/>
            <w:shd w:val="clear" w:color="auto" w:fill="D2EAF1"/>
            <w:noWrap/>
            <w:vAlign w:val="bottom"/>
            <w:hideMark/>
          </w:tcPr>
          <w:p w14:paraId="0BA8615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w:t>
            </w:r>
          </w:p>
        </w:tc>
        <w:tc>
          <w:tcPr>
            <w:tcW w:w="1134" w:type="dxa"/>
            <w:shd w:val="clear" w:color="auto" w:fill="D2EAF1"/>
            <w:noWrap/>
            <w:vAlign w:val="bottom"/>
            <w:hideMark/>
          </w:tcPr>
          <w:p w14:paraId="55AAB58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w:t>
            </w:r>
          </w:p>
        </w:tc>
        <w:tc>
          <w:tcPr>
            <w:tcW w:w="1461" w:type="dxa"/>
            <w:shd w:val="clear" w:color="auto" w:fill="D2EAF1"/>
            <w:noWrap/>
            <w:vAlign w:val="bottom"/>
            <w:hideMark/>
          </w:tcPr>
          <w:p w14:paraId="11029FA3"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w:t>
            </w:r>
          </w:p>
        </w:tc>
      </w:tr>
      <w:tr w:rsidR="00C007D0" w:rsidRPr="008D04D4" w14:paraId="5B6E6221" w14:textId="77777777" w:rsidTr="00C007D0">
        <w:trPr>
          <w:trHeight w:val="300"/>
          <w:jc w:val="center"/>
        </w:trPr>
        <w:tc>
          <w:tcPr>
            <w:tcW w:w="2850" w:type="dxa"/>
            <w:tcBorders>
              <w:right w:val="nil"/>
            </w:tcBorders>
            <w:shd w:val="clear" w:color="auto" w:fill="auto"/>
            <w:noWrap/>
            <w:hideMark/>
          </w:tcPr>
          <w:p w14:paraId="6770DC7A"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Gastos de Capital</w:t>
            </w:r>
          </w:p>
        </w:tc>
        <w:tc>
          <w:tcPr>
            <w:tcW w:w="1134" w:type="dxa"/>
            <w:tcBorders>
              <w:left w:val="nil"/>
              <w:right w:val="nil"/>
            </w:tcBorders>
            <w:shd w:val="clear" w:color="auto" w:fill="auto"/>
            <w:noWrap/>
            <w:vAlign w:val="bottom"/>
            <w:hideMark/>
          </w:tcPr>
          <w:p w14:paraId="6FC7263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3</w:t>
            </w:r>
          </w:p>
        </w:tc>
        <w:tc>
          <w:tcPr>
            <w:tcW w:w="1134" w:type="dxa"/>
            <w:tcBorders>
              <w:left w:val="nil"/>
              <w:right w:val="nil"/>
            </w:tcBorders>
            <w:shd w:val="clear" w:color="auto" w:fill="auto"/>
            <w:noWrap/>
            <w:vAlign w:val="bottom"/>
            <w:hideMark/>
          </w:tcPr>
          <w:p w14:paraId="4611C30D"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4</w:t>
            </w:r>
          </w:p>
        </w:tc>
        <w:tc>
          <w:tcPr>
            <w:tcW w:w="1134" w:type="dxa"/>
            <w:tcBorders>
              <w:left w:val="nil"/>
              <w:right w:val="nil"/>
            </w:tcBorders>
            <w:shd w:val="clear" w:color="auto" w:fill="auto"/>
            <w:noWrap/>
            <w:vAlign w:val="bottom"/>
            <w:hideMark/>
          </w:tcPr>
          <w:p w14:paraId="3274B70B"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4</w:t>
            </w:r>
          </w:p>
        </w:tc>
        <w:tc>
          <w:tcPr>
            <w:tcW w:w="1134" w:type="dxa"/>
            <w:tcBorders>
              <w:left w:val="nil"/>
              <w:right w:val="nil"/>
            </w:tcBorders>
            <w:shd w:val="clear" w:color="auto" w:fill="auto"/>
            <w:noWrap/>
            <w:vAlign w:val="bottom"/>
            <w:hideMark/>
          </w:tcPr>
          <w:p w14:paraId="429EFB5C"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7</w:t>
            </w:r>
          </w:p>
        </w:tc>
        <w:tc>
          <w:tcPr>
            <w:tcW w:w="1461" w:type="dxa"/>
            <w:tcBorders>
              <w:left w:val="nil"/>
            </w:tcBorders>
            <w:shd w:val="clear" w:color="auto" w:fill="auto"/>
            <w:noWrap/>
            <w:vAlign w:val="bottom"/>
            <w:hideMark/>
          </w:tcPr>
          <w:p w14:paraId="681DD482"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9</w:t>
            </w:r>
          </w:p>
        </w:tc>
      </w:tr>
      <w:tr w:rsidR="00C007D0" w:rsidRPr="008D04D4" w14:paraId="26AEC6B3" w14:textId="77777777" w:rsidTr="00D147AF">
        <w:trPr>
          <w:trHeight w:hRule="exact" w:val="113"/>
          <w:jc w:val="center"/>
        </w:trPr>
        <w:tc>
          <w:tcPr>
            <w:tcW w:w="2850" w:type="dxa"/>
            <w:shd w:val="clear" w:color="auto" w:fill="D2EAF1"/>
            <w:noWrap/>
            <w:hideMark/>
          </w:tcPr>
          <w:p w14:paraId="34B78333" w14:textId="77777777" w:rsidR="00E90920" w:rsidRPr="00117BF8" w:rsidRDefault="00E90920" w:rsidP="00C007D0">
            <w:pPr>
              <w:pStyle w:val="TablaC"/>
              <w:jc w:val="left"/>
              <w:rPr>
                <w:rFonts w:ascii="Arial" w:hAnsi="Arial" w:cs="Arial"/>
                <w:bCs/>
                <w:sz w:val="18"/>
                <w:szCs w:val="18"/>
              </w:rPr>
            </w:pPr>
          </w:p>
        </w:tc>
        <w:tc>
          <w:tcPr>
            <w:tcW w:w="1134" w:type="dxa"/>
            <w:shd w:val="clear" w:color="auto" w:fill="D2EAF1"/>
            <w:noWrap/>
            <w:vAlign w:val="bottom"/>
            <w:hideMark/>
          </w:tcPr>
          <w:p w14:paraId="7F3114FD"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18FF2978"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0FE6A84E"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1ED3654C" w14:textId="77777777" w:rsidR="00E90920" w:rsidRPr="00117BF8" w:rsidRDefault="00E90920" w:rsidP="00C007D0">
            <w:pPr>
              <w:spacing w:after="0"/>
              <w:jc w:val="left"/>
              <w:rPr>
                <w:rFonts w:ascii="Arial" w:hAnsi="Arial" w:cs="Arial"/>
                <w:color w:val="000000"/>
                <w:sz w:val="18"/>
                <w:szCs w:val="18"/>
                <w:lang w:val="es-AR" w:eastAsia="es-AR"/>
              </w:rPr>
            </w:pPr>
          </w:p>
        </w:tc>
        <w:tc>
          <w:tcPr>
            <w:tcW w:w="1461" w:type="dxa"/>
            <w:shd w:val="clear" w:color="auto" w:fill="D2EAF1"/>
            <w:noWrap/>
            <w:vAlign w:val="bottom"/>
            <w:hideMark/>
          </w:tcPr>
          <w:p w14:paraId="2EE1C77D" w14:textId="77777777" w:rsidR="00E90920" w:rsidRPr="00117BF8" w:rsidRDefault="00E90920" w:rsidP="00C007D0">
            <w:pPr>
              <w:spacing w:after="0"/>
              <w:jc w:val="left"/>
              <w:rPr>
                <w:rFonts w:ascii="Arial" w:hAnsi="Arial" w:cs="Arial"/>
                <w:color w:val="000000"/>
                <w:sz w:val="18"/>
                <w:szCs w:val="18"/>
                <w:lang w:val="es-AR" w:eastAsia="es-AR"/>
              </w:rPr>
            </w:pPr>
          </w:p>
        </w:tc>
      </w:tr>
      <w:tr w:rsidR="00C007D0" w:rsidRPr="008D04D4" w14:paraId="64E74C14" w14:textId="77777777" w:rsidTr="00C007D0">
        <w:trPr>
          <w:trHeight w:val="300"/>
          <w:jc w:val="center"/>
        </w:trPr>
        <w:tc>
          <w:tcPr>
            <w:tcW w:w="2850" w:type="dxa"/>
            <w:tcBorders>
              <w:right w:val="nil"/>
            </w:tcBorders>
            <w:shd w:val="clear" w:color="auto" w:fill="auto"/>
            <w:noWrap/>
            <w:hideMark/>
          </w:tcPr>
          <w:p w14:paraId="1A099506"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Recursos Totales</w:t>
            </w:r>
          </w:p>
        </w:tc>
        <w:tc>
          <w:tcPr>
            <w:tcW w:w="1134" w:type="dxa"/>
            <w:tcBorders>
              <w:left w:val="nil"/>
              <w:right w:val="nil"/>
            </w:tcBorders>
            <w:shd w:val="clear" w:color="auto" w:fill="auto"/>
            <w:noWrap/>
            <w:vAlign w:val="bottom"/>
            <w:hideMark/>
          </w:tcPr>
          <w:p w14:paraId="7CA6D268"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100</w:t>
            </w:r>
          </w:p>
        </w:tc>
        <w:tc>
          <w:tcPr>
            <w:tcW w:w="1134" w:type="dxa"/>
            <w:tcBorders>
              <w:left w:val="nil"/>
              <w:right w:val="nil"/>
            </w:tcBorders>
            <w:shd w:val="clear" w:color="auto" w:fill="auto"/>
            <w:noWrap/>
            <w:vAlign w:val="bottom"/>
            <w:hideMark/>
          </w:tcPr>
          <w:p w14:paraId="26E2C7B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100</w:t>
            </w:r>
          </w:p>
        </w:tc>
        <w:tc>
          <w:tcPr>
            <w:tcW w:w="1134" w:type="dxa"/>
            <w:tcBorders>
              <w:left w:val="nil"/>
              <w:right w:val="nil"/>
            </w:tcBorders>
            <w:shd w:val="clear" w:color="auto" w:fill="auto"/>
            <w:noWrap/>
            <w:vAlign w:val="bottom"/>
            <w:hideMark/>
          </w:tcPr>
          <w:p w14:paraId="65144231"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100</w:t>
            </w:r>
          </w:p>
        </w:tc>
        <w:tc>
          <w:tcPr>
            <w:tcW w:w="1134" w:type="dxa"/>
            <w:tcBorders>
              <w:left w:val="nil"/>
              <w:right w:val="nil"/>
            </w:tcBorders>
            <w:shd w:val="clear" w:color="auto" w:fill="auto"/>
            <w:noWrap/>
            <w:vAlign w:val="bottom"/>
            <w:hideMark/>
          </w:tcPr>
          <w:p w14:paraId="553C5107"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100</w:t>
            </w:r>
          </w:p>
        </w:tc>
        <w:tc>
          <w:tcPr>
            <w:tcW w:w="1461" w:type="dxa"/>
            <w:tcBorders>
              <w:left w:val="nil"/>
            </w:tcBorders>
            <w:shd w:val="clear" w:color="auto" w:fill="auto"/>
            <w:noWrap/>
            <w:vAlign w:val="bottom"/>
            <w:hideMark/>
          </w:tcPr>
          <w:p w14:paraId="05FD63B8"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100</w:t>
            </w:r>
          </w:p>
        </w:tc>
      </w:tr>
      <w:tr w:rsidR="00C007D0" w:rsidRPr="008D04D4" w14:paraId="0E30E531" w14:textId="77777777" w:rsidTr="00C007D0">
        <w:trPr>
          <w:trHeight w:val="300"/>
          <w:jc w:val="center"/>
        </w:trPr>
        <w:tc>
          <w:tcPr>
            <w:tcW w:w="2850" w:type="dxa"/>
            <w:shd w:val="clear" w:color="auto" w:fill="D2EAF1"/>
            <w:noWrap/>
            <w:hideMark/>
          </w:tcPr>
          <w:p w14:paraId="185E8AFD"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Gatos Totales</w:t>
            </w:r>
          </w:p>
        </w:tc>
        <w:tc>
          <w:tcPr>
            <w:tcW w:w="1134" w:type="dxa"/>
            <w:shd w:val="clear" w:color="auto" w:fill="D2EAF1"/>
            <w:noWrap/>
            <w:vAlign w:val="bottom"/>
            <w:hideMark/>
          </w:tcPr>
          <w:p w14:paraId="7E06B8B7"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101</w:t>
            </w:r>
          </w:p>
        </w:tc>
        <w:tc>
          <w:tcPr>
            <w:tcW w:w="1134" w:type="dxa"/>
            <w:shd w:val="clear" w:color="auto" w:fill="D2EAF1"/>
            <w:noWrap/>
            <w:vAlign w:val="bottom"/>
            <w:hideMark/>
          </w:tcPr>
          <w:p w14:paraId="62E9362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100</w:t>
            </w:r>
          </w:p>
        </w:tc>
        <w:tc>
          <w:tcPr>
            <w:tcW w:w="1134" w:type="dxa"/>
            <w:shd w:val="clear" w:color="auto" w:fill="D2EAF1"/>
            <w:noWrap/>
            <w:vAlign w:val="bottom"/>
            <w:hideMark/>
          </w:tcPr>
          <w:p w14:paraId="27CF1869"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108</w:t>
            </w:r>
          </w:p>
        </w:tc>
        <w:tc>
          <w:tcPr>
            <w:tcW w:w="1134" w:type="dxa"/>
            <w:shd w:val="clear" w:color="auto" w:fill="D2EAF1"/>
            <w:noWrap/>
            <w:vAlign w:val="bottom"/>
            <w:hideMark/>
          </w:tcPr>
          <w:p w14:paraId="4EE84E5C"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108</w:t>
            </w:r>
          </w:p>
        </w:tc>
        <w:tc>
          <w:tcPr>
            <w:tcW w:w="1461" w:type="dxa"/>
            <w:shd w:val="clear" w:color="auto" w:fill="D2EAF1"/>
            <w:noWrap/>
            <w:vAlign w:val="bottom"/>
            <w:hideMark/>
          </w:tcPr>
          <w:p w14:paraId="4112ED93"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107</w:t>
            </w:r>
          </w:p>
        </w:tc>
      </w:tr>
      <w:tr w:rsidR="00C007D0" w:rsidRPr="008D04D4" w14:paraId="76B06D6C" w14:textId="77777777" w:rsidTr="00C007D0">
        <w:trPr>
          <w:trHeight w:val="300"/>
          <w:jc w:val="center"/>
        </w:trPr>
        <w:tc>
          <w:tcPr>
            <w:tcW w:w="2850" w:type="dxa"/>
            <w:tcBorders>
              <w:right w:val="nil"/>
            </w:tcBorders>
            <w:shd w:val="clear" w:color="auto" w:fill="auto"/>
            <w:noWrap/>
            <w:hideMark/>
          </w:tcPr>
          <w:p w14:paraId="04D5328A"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Resultado Financiero</w:t>
            </w:r>
          </w:p>
        </w:tc>
        <w:tc>
          <w:tcPr>
            <w:tcW w:w="1134" w:type="dxa"/>
            <w:tcBorders>
              <w:left w:val="nil"/>
              <w:right w:val="nil"/>
            </w:tcBorders>
            <w:shd w:val="clear" w:color="auto" w:fill="auto"/>
            <w:noWrap/>
            <w:vAlign w:val="bottom"/>
            <w:hideMark/>
          </w:tcPr>
          <w:p w14:paraId="02009248"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w:t>
            </w:r>
          </w:p>
        </w:tc>
        <w:tc>
          <w:tcPr>
            <w:tcW w:w="1134" w:type="dxa"/>
            <w:tcBorders>
              <w:left w:val="nil"/>
              <w:right w:val="nil"/>
            </w:tcBorders>
            <w:shd w:val="clear" w:color="auto" w:fill="auto"/>
            <w:noWrap/>
            <w:vAlign w:val="bottom"/>
            <w:hideMark/>
          </w:tcPr>
          <w:p w14:paraId="6AF885D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0</w:t>
            </w:r>
          </w:p>
        </w:tc>
        <w:tc>
          <w:tcPr>
            <w:tcW w:w="1134" w:type="dxa"/>
            <w:tcBorders>
              <w:left w:val="nil"/>
              <w:right w:val="nil"/>
            </w:tcBorders>
            <w:shd w:val="clear" w:color="auto" w:fill="auto"/>
            <w:noWrap/>
            <w:vAlign w:val="bottom"/>
            <w:hideMark/>
          </w:tcPr>
          <w:p w14:paraId="5B3326A1"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-8</w:t>
            </w:r>
          </w:p>
        </w:tc>
        <w:tc>
          <w:tcPr>
            <w:tcW w:w="1134" w:type="dxa"/>
            <w:tcBorders>
              <w:left w:val="nil"/>
              <w:right w:val="nil"/>
            </w:tcBorders>
            <w:shd w:val="clear" w:color="auto" w:fill="auto"/>
            <w:noWrap/>
            <w:vAlign w:val="bottom"/>
            <w:hideMark/>
          </w:tcPr>
          <w:p w14:paraId="545DCEC5"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-8</w:t>
            </w:r>
          </w:p>
        </w:tc>
        <w:tc>
          <w:tcPr>
            <w:tcW w:w="1461" w:type="dxa"/>
            <w:tcBorders>
              <w:left w:val="nil"/>
            </w:tcBorders>
            <w:shd w:val="clear" w:color="auto" w:fill="auto"/>
            <w:noWrap/>
            <w:vAlign w:val="bottom"/>
            <w:hideMark/>
          </w:tcPr>
          <w:p w14:paraId="2DD24511"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-7</w:t>
            </w:r>
          </w:p>
        </w:tc>
      </w:tr>
      <w:tr w:rsidR="00C007D0" w:rsidRPr="008D04D4" w14:paraId="3A1A3C64" w14:textId="77777777" w:rsidTr="00D147AF">
        <w:trPr>
          <w:trHeight w:hRule="exact" w:val="113"/>
          <w:jc w:val="center"/>
        </w:trPr>
        <w:tc>
          <w:tcPr>
            <w:tcW w:w="2850" w:type="dxa"/>
            <w:shd w:val="clear" w:color="auto" w:fill="D2EAF1"/>
            <w:noWrap/>
            <w:hideMark/>
          </w:tcPr>
          <w:p w14:paraId="6962B6AD" w14:textId="77777777" w:rsidR="00E90920" w:rsidRPr="00117BF8" w:rsidRDefault="00E90920" w:rsidP="00C007D0">
            <w:pPr>
              <w:pStyle w:val="TablaC"/>
              <w:jc w:val="left"/>
              <w:rPr>
                <w:rFonts w:ascii="Arial" w:hAnsi="Arial" w:cs="Arial"/>
                <w:bCs/>
                <w:sz w:val="18"/>
                <w:szCs w:val="18"/>
              </w:rPr>
            </w:pPr>
          </w:p>
        </w:tc>
        <w:tc>
          <w:tcPr>
            <w:tcW w:w="1134" w:type="dxa"/>
            <w:shd w:val="clear" w:color="auto" w:fill="D2EAF1"/>
            <w:noWrap/>
            <w:vAlign w:val="bottom"/>
            <w:hideMark/>
          </w:tcPr>
          <w:p w14:paraId="0B07012A"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26C45478"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54E93983" w14:textId="77777777" w:rsidR="00E90920" w:rsidRPr="00117BF8" w:rsidRDefault="00E90920"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12504018" w14:textId="77777777" w:rsidR="00E90920" w:rsidRPr="00117BF8" w:rsidRDefault="00E90920" w:rsidP="00C007D0">
            <w:pPr>
              <w:spacing w:after="0"/>
              <w:jc w:val="left"/>
              <w:rPr>
                <w:rFonts w:ascii="Arial" w:hAnsi="Arial" w:cs="Arial"/>
                <w:color w:val="000000"/>
                <w:sz w:val="18"/>
                <w:szCs w:val="18"/>
                <w:lang w:val="es-AR" w:eastAsia="es-AR"/>
              </w:rPr>
            </w:pPr>
          </w:p>
        </w:tc>
        <w:tc>
          <w:tcPr>
            <w:tcW w:w="1461" w:type="dxa"/>
            <w:shd w:val="clear" w:color="auto" w:fill="D2EAF1"/>
            <w:noWrap/>
            <w:vAlign w:val="bottom"/>
            <w:hideMark/>
          </w:tcPr>
          <w:p w14:paraId="2BB7829B" w14:textId="77777777" w:rsidR="00E90920" w:rsidRPr="00117BF8" w:rsidRDefault="00E90920" w:rsidP="00C007D0">
            <w:pPr>
              <w:spacing w:after="0"/>
              <w:jc w:val="left"/>
              <w:rPr>
                <w:rFonts w:ascii="Arial" w:hAnsi="Arial" w:cs="Arial"/>
                <w:color w:val="000000"/>
                <w:sz w:val="18"/>
                <w:szCs w:val="18"/>
                <w:lang w:val="es-AR" w:eastAsia="es-AR"/>
              </w:rPr>
            </w:pPr>
          </w:p>
        </w:tc>
      </w:tr>
      <w:tr w:rsidR="00C007D0" w:rsidRPr="008D04D4" w14:paraId="67B339BF" w14:textId="77777777" w:rsidTr="00C007D0">
        <w:trPr>
          <w:trHeight w:val="300"/>
          <w:jc w:val="center"/>
        </w:trPr>
        <w:tc>
          <w:tcPr>
            <w:tcW w:w="2850" w:type="dxa"/>
            <w:tcBorders>
              <w:right w:val="nil"/>
            </w:tcBorders>
            <w:shd w:val="clear" w:color="auto" w:fill="auto"/>
            <w:noWrap/>
            <w:hideMark/>
          </w:tcPr>
          <w:p w14:paraId="1B8B9821" w14:textId="77777777" w:rsidR="00E90920" w:rsidRPr="00117BF8" w:rsidRDefault="00E90920" w:rsidP="00C007D0">
            <w:pPr>
              <w:pStyle w:val="TablaC"/>
              <w:jc w:val="left"/>
              <w:rPr>
                <w:rFonts w:ascii="Arial" w:hAnsi="Arial" w:cs="Arial"/>
                <w:bCs/>
                <w:sz w:val="18"/>
                <w:szCs w:val="18"/>
              </w:rPr>
            </w:pPr>
            <w:r w:rsidRPr="00117BF8">
              <w:rPr>
                <w:rFonts w:ascii="Arial" w:hAnsi="Arial" w:cs="Arial"/>
                <w:bCs/>
                <w:sz w:val="18"/>
                <w:szCs w:val="18"/>
              </w:rPr>
              <w:t>Resultado Primario</w:t>
            </w:r>
          </w:p>
        </w:tc>
        <w:tc>
          <w:tcPr>
            <w:tcW w:w="1134" w:type="dxa"/>
            <w:tcBorders>
              <w:left w:val="nil"/>
              <w:right w:val="nil"/>
            </w:tcBorders>
            <w:shd w:val="clear" w:color="auto" w:fill="auto"/>
            <w:noWrap/>
            <w:vAlign w:val="bottom"/>
            <w:hideMark/>
          </w:tcPr>
          <w:p w14:paraId="5557EE9F"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w:t>
            </w:r>
          </w:p>
        </w:tc>
        <w:tc>
          <w:tcPr>
            <w:tcW w:w="1134" w:type="dxa"/>
            <w:tcBorders>
              <w:left w:val="nil"/>
              <w:right w:val="nil"/>
            </w:tcBorders>
            <w:shd w:val="clear" w:color="auto" w:fill="auto"/>
            <w:noWrap/>
            <w:vAlign w:val="bottom"/>
            <w:hideMark/>
          </w:tcPr>
          <w:p w14:paraId="296A324A"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4</w:t>
            </w:r>
          </w:p>
        </w:tc>
        <w:tc>
          <w:tcPr>
            <w:tcW w:w="1134" w:type="dxa"/>
            <w:tcBorders>
              <w:left w:val="nil"/>
              <w:right w:val="nil"/>
            </w:tcBorders>
            <w:shd w:val="clear" w:color="auto" w:fill="auto"/>
            <w:noWrap/>
            <w:vAlign w:val="bottom"/>
            <w:hideMark/>
          </w:tcPr>
          <w:p w14:paraId="6A180344"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-4</w:t>
            </w:r>
          </w:p>
        </w:tc>
        <w:tc>
          <w:tcPr>
            <w:tcW w:w="1134" w:type="dxa"/>
            <w:tcBorders>
              <w:left w:val="nil"/>
              <w:right w:val="nil"/>
            </w:tcBorders>
            <w:shd w:val="clear" w:color="auto" w:fill="auto"/>
            <w:noWrap/>
            <w:vAlign w:val="bottom"/>
            <w:hideMark/>
          </w:tcPr>
          <w:p w14:paraId="3642455C"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-4</w:t>
            </w:r>
          </w:p>
        </w:tc>
        <w:tc>
          <w:tcPr>
            <w:tcW w:w="1461" w:type="dxa"/>
            <w:tcBorders>
              <w:left w:val="nil"/>
            </w:tcBorders>
            <w:shd w:val="clear" w:color="auto" w:fill="auto"/>
            <w:noWrap/>
            <w:vAlign w:val="bottom"/>
            <w:hideMark/>
          </w:tcPr>
          <w:p w14:paraId="276BA55A" w14:textId="77777777" w:rsidR="00E90920" w:rsidRPr="00117BF8" w:rsidRDefault="00E90920"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w:t>
            </w:r>
          </w:p>
        </w:tc>
      </w:tr>
    </w:tbl>
    <w:p w14:paraId="6702C08E" w14:textId="22CF3CDF" w:rsidR="00E90920" w:rsidRPr="00117BF8" w:rsidRDefault="00525D76" w:rsidP="00117BF8">
      <w:pPr>
        <w:pStyle w:val="Hfuente"/>
        <w:rPr>
          <w:rFonts w:eastAsia="Calibri"/>
        </w:rPr>
      </w:pPr>
      <w:r w:rsidRPr="00117BF8">
        <w:rPr>
          <w:rFonts w:ascii="Arial" w:hAnsi="Arial" w:cs="Arial"/>
          <w:sz w:val="18"/>
          <w:szCs w:val="18"/>
        </w:rPr>
        <w:t xml:space="preserve">Elaboración propia sobre datos de </w:t>
      </w:r>
      <w:r w:rsidR="00E90920" w:rsidRPr="00117BF8">
        <w:rPr>
          <w:rFonts w:ascii="Arial" w:hAnsi="Arial" w:cs="Arial"/>
          <w:sz w:val="18"/>
          <w:szCs w:val="18"/>
        </w:rPr>
        <w:t xml:space="preserve">2013 a 2016 </w:t>
      </w:r>
      <w:r w:rsidRPr="00117BF8">
        <w:rPr>
          <w:rFonts w:ascii="Arial" w:hAnsi="Arial" w:cs="Arial"/>
          <w:sz w:val="18"/>
          <w:szCs w:val="18"/>
        </w:rPr>
        <w:t xml:space="preserve">de </w:t>
      </w:r>
      <w:r w:rsidR="00E90920" w:rsidRPr="00117BF8">
        <w:rPr>
          <w:rFonts w:ascii="Arial" w:hAnsi="Arial" w:cs="Arial"/>
          <w:sz w:val="18"/>
          <w:szCs w:val="18"/>
        </w:rPr>
        <w:t>CGPBA. (*) Ley 14.879 Planilla 09, Resultado Primario de Mensaje de Acompañamiento al Presupuesto</w:t>
      </w:r>
    </w:p>
    <w:p w14:paraId="6FA203F7" w14:textId="77777777" w:rsidR="00E90920" w:rsidRPr="00117BF8" w:rsidRDefault="005F6AD9" w:rsidP="00117BF8">
      <w:pPr>
        <w:pStyle w:val="hsa3"/>
        <w:spacing w:after="120"/>
        <w:jc w:val="center"/>
        <w:rPr>
          <w:rFonts w:ascii="Arial" w:eastAsia="Calibri" w:hAnsi="Arial" w:cs="Arial"/>
          <w:sz w:val="20"/>
        </w:rPr>
      </w:pPr>
      <w:bookmarkStart w:id="30" w:name="_Toc493781695"/>
      <w:r w:rsidRPr="00117BF8">
        <w:rPr>
          <w:rFonts w:ascii="Arial" w:eastAsia="Calibri" w:hAnsi="Arial" w:cs="Arial"/>
          <w:sz w:val="20"/>
        </w:rPr>
        <w:t>Grá</w:t>
      </w:r>
      <w:r w:rsidR="00E90920" w:rsidRPr="00117BF8">
        <w:rPr>
          <w:rFonts w:ascii="Arial" w:eastAsia="Calibri" w:hAnsi="Arial" w:cs="Arial"/>
          <w:sz w:val="20"/>
        </w:rPr>
        <w:t xml:space="preserve">fico </w:t>
      </w:r>
      <w:r w:rsidR="00525D76" w:rsidRPr="00117BF8">
        <w:rPr>
          <w:rFonts w:ascii="Arial" w:eastAsia="Calibri" w:hAnsi="Arial" w:cs="Arial"/>
          <w:sz w:val="20"/>
        </w:rPr>
        <w:t>4</w:t>
      </w:r>
      <w:r w:rsidR="00E90920" w:rsidRPr="00117BF8">
        <w:rPr>
          <w:rFonts w:ascii="Arial" w:eastAsia="Calibri" w:hAnsi="Arial" w:cs="Arial"/>
          <w:sz w:val="20"/>
        </w:rPr>
        <w:t xml:space="preserve"> – Resultados como Porcentaje sobre Recursos Totales</w:t>
      </w:r>
      <w:bookmarkEnd w:id="30"/>
    </w:p>
    <w:p w14:paraId="604E7EFC" w14:textId="70589986" w:rsidR="00525D76" w:rsidRPr="00117BF8" w:rsidRDefault="00117BF8" w:rsidP="00117BF8">
      <w:pPr>
        <w:pStyle w:val="hsa"/>
        <w:keepNext/>
        <w:rPr>
          <w:rFonts w:ascii="Arial" w:hAnsi="Arial" w:cs="Arial"/>
          <w:sz w:val="18"/>
          <w:szCs w:val="18"/>
        </w:rPr>
      </w:pPr>
      <w:r w:rsidRPr="00117BF8">
        <w:rPr>
          <w:rFonts w:ascii="Arial" w:eastAsia="Calibri" w:hAnsi="Arial" w:cs="Arial"/>
        </w:rPr>
        <w:pict w14:anchorId="2BBC64D3">
          <v:shape id="_x0000_i1034" type="#_x0000_t75" style="width:423.85pt;height:276.75pt">
            <v:imagedata r:id="rId25" o:title=""/>
          </v:shape>
        </w:pict>
      </w:r>
      <w:r w:rsidR="00525D76" w:rsidRPr="00117BF8">
        <w:rPr>
          <w:rFonts w:ascii="Arial" w:hAnsi="Arial" w:cs="Arial"/>
          <w:sz w:val="18"/>
          <w:szCs w:val="18"/>
        </w:rPr>
        <w:t>Elaboración propia sobre datos de 2013 a 2016 de CGPBA. (*) Ley 14.879 Planilla 09, Resultado Primario de Mensaje de Acompañamiento al Presupuesto</w:t>
      </w:r>
    </w:p>
    <w:p w14:paraId="3E6A7A77" w14:textId="24095C5A" w:rsidR="009635E3" w:rsidRPr="00117BF8" w:rsidRDefault="00FF6292" w:rsidP="002C3683">
      <w:pPr>
        <w:pStyle w:val="hsa"/>
        <w:rPr>
          <w:rFonts w:ascii="Arial" w:eastAsia="Calibri" w:hAnsi="Arial" w:cs="Arial"/>
          <w:sz w:val="22"/>
          <w:szCs w:val="22"/>
        </w:rPr>
      </w:pPr>
      <w:r w:rsidRPr="00117BF8">
        <w:rPr>
          <w:rFonts w:ascii="Arial" w:eastAsia="Calibri" w:hAnsi="Arial" w:cs="Arial"/>
          <w:sz w:val="22"/>
          <w:szCs w:val="22"/>
        </w:rPr>
        <w:t>El deterioro de</w:t>
      </w:r>
      <w:r w:rsidR="00B93076" w:rsidRPr="00117BF8">
        <w:rPr>
          <w:rFonts w:ascii="Arial" w:eastAsia="Calibri" w:hAnsi="Arial" w:cs="Arial"/>
          <w:sz w:val="22"/>
          <w:szCs w:val="22"/>
        </w:rPr>
        <w:t xml:space="preserve"> la situación fiscal no</w:t>
      </w:r>
      <w:r w:rsidR="00614E2A" w:rsidRPr="00117BF8">
        <w:rPr>
          <w:rFonts w:ascii="Arial" w:eastAsia="Calibri" w:hAnsi="Arial" w:cs="Arial"/>
          <w:sz w:val="22"/>
          <w:szCs w:val="22"/>
        </w:rPr>
        <w:t xml:space="preserve"> puede adjudicar</w:t>
      </w:r>
      <w:r w:rsidR="00B93076" w:rsidRPr="00117BF8">
        <w:rPr>
          <w:rFonts w:ascii="Arial" w:eastAsia="Calibri" w:hAnsi="Arial" w:cs="Arial"/>
          <w:sz w:val="22"/>
          <w:szCs w:val="22"/>
        </w:rPr>
        <w:t>se</w:t>
      </w:r>
      <w:r w:rsidR="00614E2A" w:rsidRPr="00117BF8">
        <w:rPr>
          <w:rFonts w:ascii="Arial" w:eastAsia="Calibri" w:hAnsi="Arial" w:cs="Arial"/>
          <w:sz w:val="22"/>
          <w:szCs w:val="22"/>
        </w:rPr>
        <w:t xml:space="preserve"> a una reducción de los recursos</w:t>
      </w:r>
      <w:r w:rsidR="00BC4590" w:rsidRPr="00117BF8">
        <w:rPr>
          <w:rFonts w:ascii="Arial" w:eastAsia="Calibri" w:hAnsi="Arial" w:cs="Arial"/>
          <w:sz w:val="22"/>
          <w:szCs w:val="22"/>
        </w:rPr>
        <w:t xml:space="preserve"> en términos de producto</w:t>
      </w:r>
      <w:r w:rsidR="00614E2A" w:rsidRPr="00117BF8">
        <w:rPr>
          <w:rFonts w:ascii="Arial" w:eastAsia="Calibri" w:hAnsi="Arial" w:cs="Arial"/>
          <w:sz w:val="22"/>
          <w:szCs w:val="22"/>
        </w:rPr>
        <w:t>. Entre el 2010 y el 2015</w:t>
      </w:r>
      <w:r w:rsidR="00157180" w:rsidRPr="00117BF8">
        <w:rPr>
          <w:rStyle w:val="FootnoteReference"/>
          <w:rFonts w:ascii="Arial" w:eastAsia="Calibri" w:hAnsi="Arial" w:cs="Arial"/>
          <w:sz w:val="22"/>
          <w:szCs w:val="22"/>
        </w:rPr>
        <w:footnoteReference w:id="11"/>
      </w:r>
      <w:r w:rsidR="00614E2A" w:rsidRPr="00117BF8">
        <w:rPr>
          <w:rFonts w:ascii="Arial" w:eastAsia="Calibri" w:hAnsi="Arial" w:cs="Arial"/>
          <w:sz w:val="22"/>
          <w:szCs w:val="22"/>
        </w:rPr>
        <w:t xml:space="preserve"> los Recursos Totales pasaron de representar el 13,4% del PBG al 16,8%. </w:t>
      </w:r>
      <w:r w:rsidR="00A324E0" w:rsidRPr="00117BF8">
        <w:rPr>
          <w:rFonts w:ascii="Arial" w:eastAsia="Calibri" w:hAnsi="Arial" w:cs="Arial"/>
          <w:sz w:val="22"/>
          <w:szCs w:val="22"/>
        </w:rPr>
        <w:t>Por otra parte,</w:t>
      </w:r>
      <w:r w:rsidR="00614E2A" w:rsidRPr="00117BF8">
        <w:rPr>
          <w:rFonts w:ascii="Arial" w:eastAsia="Calibri" w:hAnsi="Arial" w:cs="Arial"/>
          <w:sz w:val="22"/>
          <w:szCs w:val="22"/>
        </w:rPr>
        <w:t xml:space="preserve"> en valores constantes el PBG creció casi un 20%. Es decir que los recursos fiscales </w:t>
      </w:r>
      <w:r w:rsidR="00B93076" w:rsidRPr="00117BF8">
        <w:rPr>
          <w:rFonts w:ascii="Arial" w:eastAsia="Calibri" w:hAnsi="Arial" w:cs="Arial"/>
          <w:sz w:val="22"/>
          <w:szCs w:val="22"/>
        </w:rPr>
        <w:t>a</w:t>
      </w:r>
      <w:r w:rsidR="00614E2A" w:rsidRPr="00117BF8">
        <w:rPr>
          <w:rFonts w:ascii="Arial" w:eastAsia="Calibri" w:hAnsi="Arial" w:cs="Arial"/>
          <w:sz w:val="22"/>
          <w:szCs w:val="22"/>
        </w:rPr>
        <w:t xml:space="preserve"> precios constantes (Considerando los precios implícitos en el PBG) crecieron 50%</w:t>
      </w:r>
      <w:r w:rsidR="00A324E0" w:rsidRPr="00117BF8">
        <w:rPr>
          <w:rFonts w:ascii="Arial" w:eastAsia="Calibri" w:hAnsi="Arial" w:cs="Arial"/>
          <w:sz w:val="22"/>
          <w:szCs w:val="22"/>
        </w:rPr>
        <w:t xml:space="preserve"> entre el 2010 y 2015</w:t>
      </w:r>
      <w:r w:rsidR="00614E2A" w:rsidRPr="00117BF8">
        <w:rPr>
          <w:rFonts w:ascii="Arial" w:eastAsia="Calibri" w:hAnsi="Arial" w:cs="Arial"/>
          <w:sz w:val="22"/>
          <w:szCs w:val="22"/>
        </w:rPr>
        <w:t>.</w:t>
      </w:r>
    </w:p>
    <w:p w14:paraId="255112EE" w14:textId="77777777" w:rsidR="00614E2A" w:rsidRPr="00117BF8" w:rsidRDefault="005F6AD9" w:rsidP="00117BF8">
      <w:pPr>
        <w:pStyle w:val="hsa3"/>
        <w:spacing w:after="120"/>
        <w:jc w:val="center"/>
        <w:rPr>
          <w:rFonts w:ascii="Arial" w:eastAsia="Calibri" w:hAnsi="Arial" w:cs="Arial"/>
          <w:sz w:val="20"/>
        </w:rPr>
      </w:pPr>
      <w:bookmarkStart w:id="31" w:name="_Toc493781696"/>
      <w:r w:rsidRPr="00117BF8">
        <w:rPr>
          <w:rFonts w:ascii="Arial" w:eastAsia="Calibri" w:hAnsi="Arial" w:cs="Arial"/>
          <w:sz w:val="20"/>
        </w:rPr>
        <w:t>Grá</w:t>
      </w:r>
      <w:r w:rsidR="008F5204" w:rsidRPr="00117BF8">
        <w:rPr>
          <w:rFonts w:ascii="Arial" w:eastAsia="Calibri" w:hAnsi="Arial" w:cs="Arial"/>
          <w:sz w:val="20"/>
        </w:rPr>
        <w:t xml:space="preserve">fico </w:t>
      </w:r>
      <w:r w:rsidR="00525D76" w:rsidRPr="00117BF8">
        <w:rPr>
          <w:rFonts w:ascii="Arial" w:eastAsia="Calibri" w:hAnsi="Arial" w:cs="Arial"/>
          <w:sz w:val="20"/>
        </w:rPr>
        <w:t>5</w:t>
      </w:r>
      <w:r w:rsidR="008F5204" w:rsidRPr="00117BF8">
        <w:rPr>
          <w:rFonts w:ascii="Arial" w:eastAsia="Calibri" w:hAnsi="Arial" w:cs="Arial"/>
          <w:sz w:val="20"/>
        </w:rPr>
        <w:t xml:space="preserve"> – Evolución de los Recursos Totales y PBG</w:t>
      </w:r>
      <w:bookmarkEnd w:id="31"/>
    </w:p>
    <w:p w14:paraId="28B1EDD8" w14:textId="663A7301" w:rsidR="00FF6292" w:rsidRPr="00117BF8" w:rsidRDefault="00117BF8" w:rsidP="00117BF8">
      <w:pPr>
        <w:pStyle w:val="hsa"/>
        <w:rPr>
          <w:rFonts w:ascii="Arial" w:eastAsia="Calibri" w:hAnsi="Arial" w:cs="Arial"/>
          <w:sz w:val="18"/>
          <w:szCs w:val="18"/>
        </w:rPr>
      </w:pPr>
      <w:r w:rsidRPr="00117BF8">
        <w:rPr>
          <w:rFonts w:ascii="Arial" w:eastAsia="Calibri" w:hAnsi="Arial" w:cs="Arial"/>
        </w:rPr>
        <w:pict w14:anchorId="2BBC64D4">
          <v:shape id="_x0000_i1035" type="#_x0000_t75" style="width:423.85pt;height:276.75pt">
            <v:imagedata r:id="rId26" o:title=""/>
          </v:shape>
        </w:pict>
      </w:r>
      <w:r w:rsidR="00FF6292" w:rsidRPr="00117BF8">
        <w:rPr>
          <w:rFonts w:ascii="Arial" w:eastAsia="Calibri" w:hAnsi="Arial" w:cs="Arial"/>
          <w:sz w:val="18"/>
          <w:szCs w:val="18"/>
        </w:rPr>
        <w:t>Elaboración propia en base a datos de la Dirección Provincial de Estadística</w:t>
      </w:r>
    </w:p>
    <w:p w14:paraId="4CFE476B" w14:textId="77777777" w:rsidR="002C3683" w:rsidRPr="00117BF8" w:rsidRDefault="008B138A" w:rsidP="00117BF8">
      <w:pPr>
        <w:pStyle w:val="Heading2"/>
        <w:spacing w:before="0"/>
        <w:rPr>
          <w:rFonts w:ascii="Arial" w:eastAsia="Calibri" w:hAnsi="Arial" w:cs="Arial"/>
          <w:sz w:val="22"/>
          <w:szCs w:val="22"/>
        </w:rPr>
      </w:pPr>
      <w:bookmarkStart w:id="32" w:name="_Toc494040314"/>
      <w:r w:rsidRPr="00117BF8">
        <w:rPr>
          <w:rFonts w:ascii="Arial" w:eastAsia="Calibri" w:hAnsi="Arial" w:cs="Arial"/>
          <w:sz w:val="22"/>
          <w:szCs w:val="22"/>
        </w:rPr>
        <w:t>P</w:t>
      </w:r>
      <w:r w:rsidR="002C3683" w:rsidRPr="00117BF8">
        <w:rPr>
          <w:rFonts w:ascii="Arial" w:eastAsia="Calibri" w:hAnsi="Arial" w:cs="Arial"/>
          <w:sz w:val="22"/>
          <w:szCs w:val="22"/>
        </w:rPr>
        <w:t>resupuest</w:t>
      </w:r>
      <w:r w:rsidRPr="00117BF8">
        <w:rPr>
          <w:rFonts w:ascii="Arial" w:eastAsia="Calibri" w:hAnsi="Arial" w:cs="Arial"/>
          <w:sz w:val="22"/>
          <w:szCs w:val="22"/>
        </w:rPr>
        <w:t xml:space="preserve">o </w:t>
      </w:r>
      <w:r w:rsidR="002C3683" w:rsidRPr="00117BF8">
        <w:rPr>
          <w:rFonts w:ascii="Arial" w:eastAsia="Calibri" w:hAnsi="Arial" w:cs="Arial"/>
          <w:sz w:val="22"/>
          <w:szCs w:val="22"/>
        </w:rPr>
        <w:t xml:space="preserve">y </w:t>
      </w:r>
      <w:r w:rsidRPr="00117BF8">
        <w:rPr>
          <w:rFonts w:ascii="Arial" w:eastAsia="Calibri" w:hAnsi="Arial" w:cs="Arial"/>
          <w:sz w:val="22"/>
          <w:szCs w:val="22"/>
        </w:rPr>
        <w:t>Ejecución</w:t>
      </w:r>
      <w:bookmarkEnd w:id="32"/>
    </w:p>
    <w:p w14:paraId="5206A671" w14:textId="77777777" w:rsidR="008B138A" w:rsidRPr="00117BF8" w:rsidRDefault="008B138A" w:rsidP="002C3683">
      <w:pPr>
        <w:pStyle w:val="hsa"/>
        <w:rPr>
          <w:rFonts w:ascii="Arial" w:eastAsia="Calibri" w:hAnsi="Arial" w:cs="Arial"/>
          <w:sz w:val="22"/>
          <w:szCs w:val="22"/>
        </w:rPr>
      </w:pPr>
      <w:r w:rsidRPr="00117BF8">
        <w:rPr>
          <w:rFonts w:ascii="Arial" w:eastAsia="Calibri" w:hAnsi="Arial" w:cs="Arial"/>
          <w:sz w:val="22"/>
          <w:szCs w:val="22"/>
        </w:rPr>
        <w:t xml:space="preserve">Durante el año de ejecución los montos presupuestados han sufrido considerables modificaciones. Por lo tanto, el </w:t>
      </w:r>
      <w:r w:rsidR="003D05FF" w:rsidRPr="00117BF8">
        <w:rPr>
          <w:rFonts w:ascii="Arial" w:eastAsia="Calibri" w:hAnsi="Arial" w:cs="Arial"/>
          <w:sz w:val="22"/>
          <w:szCs w:val="22"/>
        </w:rPr>
        <w:t xml:space="preserve">análisis de los desvíos entre lo ejecutado y presupuestado </w:t>
      </w:r>
      <w:r w:rsidRPr="00117BF8">
        <w:rPr>
          <w:rFonts w:ascii="Arial" w:eastAsia="Calibri" w:hAnsi="Arial" w:cs="Arial"/>
          <w:sz w:val="22"/>
          <w:szCs w:val="22"/>
        </w:rPr>
        <w:t xml:space="preserve">será diferente según se considere el </w:t>
      </w:r>
      <w:r w:rsidR="00903FBB" w:rsidRPr="00117BF8">
        <w:rPr>
          <w:rFonts w:ascii="Arial" w:eastAsia="Calibri" w:hAnsi="Arial" w:cs="Arial"/>
          <w:sz w:val="22"/>
          <w:szCs w:val="22"/>
        </w:rPr>
        <w:t>c</w:t>
      </w:r>
      <w:r w:rsidRPr="00117BF8">
        <w:rPr>
          <w:rFonts w:ascii="Arial" w:eastAsia="Calibri" w:hAnsi="Arial" w:cs="Arial"/>
          <w:sz w:val="22"/>
          <w:szCs w:val="22"/>
        </w:rPr>
        <w:t xml:space="preserve">rédito </w:t>
      </w:r>
      <w:r w:rsidR="00903FBB" w:rsidRPr="00117BF8">
        <w:rPr>
          <w:rFonts w:ascii="Arial" w:eastAsia="Calibri" w:hAnsi="Arial" w:cs="Arial"/>
          <w:sz w:val="22"/>
          <w:szCs w:val="22"/>
        </w:rPr>
        <w:t>original o el d</w:t>
      </w:r>
      <w:r w:rsidRPr="00117BF8">
        <w:rPr>
          <w:rFonts w:ascii="Arial" w:eastAsia="Calibri" w:hAnsi="Arial" w:cs="Arial"/>
          <w:sz w:val="22"/>
          <w:szCs w:val="22"/>
        </w:rPr>
        <w:t>efinitivo. A lo largo de</w:t>
      </w:r>
      <w:r w:rsidR="00AF3ED9" w:rsidRPr="00117BF8">
        <w:rPr>
          <w:rFonts w:ascii="Arial" w:eastAsia="Calibri" w:hAnsi="Arial" w:cs="Arial"/>
          <w:sz w:val="22"/>
          <w:szCs w:val="22"/>
        </w:rPr>
        <w:t>l presente informe se consider</w:t>
      </w:r>
      <w:r w:rsidRPr="00117BF8">
        <w:rPr>
          <w:rFonts w:ascii="Arial" w:eastAsia="Calibri" w:hAnsi="Arial" w:cs="Arial"/>
          <w:sz w:val="22"/>
          <w:szCs w:val="22"/>
        </w:rPr>
        <w:t>an ambos créditos pero se profundizará en la comparación con el crédito original.</w:t>
      </w:r>
    </w:p>
    <w:p w14:paraId="642C1D55" w14:textId="77777777" w:rsidR="003D05FF" w:rsidRPr="00117BF8" w:rsidRDefault="00AF3ED9" w:rsidP="002C3683">
      <w:pPr>
        <w:pStyle w:val="hsa"/>
        <w:rPr>
          <w:rFonts w:ascii="Arial" w:eastAsia="Calibri" w:hAnsi="Arial" w:cs="Arial"/>
          <w:sz w:val="22"/>
          <w:szCs w:val="22"/>
        </w:rPr>
      </w:pPr>
      <w:r w:rsidRPr="00117BF8">
        <w:rPr>
          <w:rFonts w:ascii="Arial" w:eastAsia="Calibri" w:hAnsi="Arial" w:cs="Arial"/>
          <w:sz w:val="22"/>
          <w:szCs w:val="22"/>
        </w:rPr>
        <w:t xml:space="preserve">En las tablas AIII 2 a 5 se realiza la comparación en detalle con respecto a los créditos y también se consideran las modificaciones de </w:t>
      </w:r>
      <w:r w:rsidR="00903FBB" w:rsidRPr="00117BF8">
        <w:rPr>
          <w:rFonts w:ascii="Arial" w:eastAsia="Calibri" w:hAnsi="Arial" w:cs="Arial"/>
          <w:sz w:val="22"/>
          <w:szCs w:val="22"/>
        </w:rPr>
        <w:t>estos entre el original y modificado</w:t>
      </w:r>
      <w:r w:rsidRPr="00117BF8">
        <w:rPr>
          <w:rFonts w:ascii="Arial" w:eastAsia="Calibri" w:hAnsi="Arial" w:cs="Arial"/>
          <w:sz w:val="22"/>
          <w:szCs w:val="22"/>
        </w:rPr>
        <w:t xml:space="preserve">. </w:t>
      </w:r>
      <w:r w:rsidR="00FC28DC" w:rsidRPr="00117BF8">
        <w:rPr>
          <w:rFonts w:ascii="Arial" w:eastAsia="Calibri" w:hAnsi="Arial" w:cs="Arial"/>
          <w:sz w:val="22"/>
          <w:szCs w:val="22"/>
        </w:rPr>
        <w:t>L</w:t>
      </w:r>
      <w:r w:rsidRPr="00117BF8">
        <w:rPr>
          <w:rFonts w:ascii="Arial" w:eastAsia="Calibri" w:hAnsi="Arial" w:cs="Arial"/>
          <w:sz w:val="22"/>
          <w:szCs w:val="22"/>
        </w:rPr>
        <w:t>a tabla 5 centra la comparación del ejecutado con el crédito original en los principales</w:t>
      </w:r>
      <w:r w:rsidR="00903FBB" w:rsidRPr="00117BF8">
        <w:rPr>
          <w:rFonts w:ascii="Arial" w:eastAsia="Calibri" w:hAnsi="Arial" w:cs="Arial"/>
          <w:sz w:val="22"/>
          <w:szCs w:val="22"/>
        </w:rPr>
        <w:t xml:space="preserve"> rubros</w:t>
      </w:r>
      <w:r w:rsidRPr="00117BF8">
        <w:rPr>
          <w:rFonts w:ascii="Arial" w:eastAsia="Calibri" w:hAnsi="Arial" w:cs="Arial"/>
          <w:sz w:val="22"/>
          <w:szCs w:val="22"/>
        </w:rPr>
        <w:t>, l</w:t>
      </w:r>
      <w:r w:rsidR="00FC28DC" w:rsidRPr="00117BF8">
        <w:rPr>
          <w:rFonts w:ascii="Arial" w:eastAsia="Calibri" w:hAnsi="Arial" w:cs="Arial"/>
          <w:sz w:val="22"/>
          <w:szCs w:val="22"/>
        </w:rPr>
        <w:t>os resultados económico</w:t>
      </w:r>
      <w:r w:rsidR="00185C92" w:rsidRPr="00117BF8">
        <w:rPr>
          <w:rFonts w:ascii="Arial" w:eastAsia="Calibri" w:hAnsi="Arial" w:cs="Arial"/>
          <w:sz w:val="22"/>
          <w:szCs w:val="22"/>
        </w:rPr>
        <w:t xml:space="preserve"> y</w:t>
      </w:r>
      <w:r w:rsidR="00FC28DC" w:rsidRPr="00117BF8">
        <w:rPr>
          <w:rFonts w:ascii="Arial" w:eastAsia="Calibri" w:hAnsi="Arial" w:cs="Arial"/>
          <w:sz w:val="22"/>
          <w:szCs w:val="22"/>
        </w:rPr>
        <w:t xml:space="preserve"> financiero muestran una gran disparidad entre lo presupuestado originalmente y lo ejecutado tanto en términos relativos como absolutos. Si bien morigerados</w:t>
      </w:r>
      <w:r w:rsidRPr="00117BF8">
        <w:rPr>
          <w:rFonts w:ascii="Arial" w:eastAsia="Calibri" w:hAnsi="Arial" w:cs="Arial"/>
          <w:sz w:val="22"/>
          <w:szCs w:val="22"/>
        </w:rPr>
        <w:t>,</w:t>
      </w:r>
      <w:r w:rsidR="00FC28DC" w:rsidRPr="00117BF8">
        <w:rPr>
          <w:rFonts w:ascii="Arial" w:eastAsia="Calibri" w:hAnsi="Arial" w:cs="Arial"/>
          <w:sz w:val="22"/>
          <w:szCs w:val="22"/>
        </w:rPr>
        <w:t xml:space="preserve"> los desvíos son de magnitud, también, cuando la comparación se realiza respecto del presupuesto definitivo.</w:t>
      </w:r>
    </w:p>
    <w:tbl>
      <w:tblPr>
        <w:tblW w:w="7386"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2850"/>
        <w:gridCol w:w="1134"/>
        <w:gridCol w:w="1134"/>
        <w:gridCol w:w="1134"/>
        <w:gridCol w:w="1134"/>
      </w:tblGrid>
      <w:tr w:rsidR="004E20AB" w:rsidRPr="004E6455" w14:paraId="667ABF7D" w14:textId="77777777" w:rsidTr="00C007D0">
        <w:trPr>
          <w:trHeight w:val="300"/>
          <w:jc w:val="center"/>
        </w:trPr>
        <w:tc>
          <w:tcPr>
            <w:tcW w:w="7386" w:type="dxa"/>
            <w:gridSpan w:val="5"/>
            <w:tcBorders>
              <w:top w:val="single" w:sz="8" w:space="0" w:color="78C0D4"/>
              <w:left w:val="single" w:sz="8" w:space="0" w:color="78C0D4"/>
              <w:bottom w:val="single" w:sz="8" w:space="0" w:color="78C0D4"/>
              <w:right w:val="single" w:sz="8" w:space="0" w:color="78C0D4"/>
            </w:tcBorders>
            <w:shd w:val="clear" w:color="auto" w:fill="0070C0"/>
            <w:noWrap/>
          </w:tcPr>
          <w:p w14:paraId="0B6E2F62" w14:textId="77777777" w:rsidR="00421D7D" w:rsidRPr="00117BF8" w:rsidRDefault="00421D7D" w:rsidP="00117BF8">
            <w:pPr>
              <w:pStyle w:val="TablaE"/>
              <w:rPr>
                <w:rFonts w:ascii="Arial" w:hAnsi="Arial" w:cs="Arial"/>
                <w:sz w:val="22"/>
                <w:szCs w:val="22"/>
              </w:rPr>
            </w:pPr>
            <w:bookmarkStart w:id="33" w:name="_Toc493861115"/>
            <w:r w:rsidRPr="00117BF8">
              <w:rPr>
                <w:rFonts w:ascii="Arial" w:hAnsi="Arial" w:cs="Arial"/>
                <w:sz w:val="22"/>
                <w:szCs w:val="22"/>
              </w:rPr>
              <w:t xml:space="preserve">Tabla </w:t>
            </w:r>
            <w:r w:rsidR="00AF3ED9" w:rsidRPr="00117BF8">
              <w:rPr>
                <w:rFonts w:ascii="Arial" w:hAnsi="Arial" w:cs="Arial"/>
                <w:sz w:val="22"/>
                <w:szCs w:val="22"/>
              </w:rPr>
              <w:t>5</w:t>
            </w:r>
            <w:r w:rsidRPr="00117BF8">
              <w:rPr>
                <w:rFonts w:ascii="Arial" w:hAnsi="Arial" w:cs="Arial"/>
                <w:sz w:val="22"/>
                <w:szCs w:val="22"/>
              </w:rPr>
              <w:t xml:space="preserve"> - Principales Cuentas Fiscales – Desvío Ejecutado Sobre Crédito Original</w:t>
            </w:r>
            <w:bookmarkEnd w:id="33"/>
          </w:p>
          <w:p w14:paraId="1D1C6C7D" w14:textId="77777777" w:rsidR="00421D7D" w:rsidRPr="00117BF8" w:rsidRDefault="004E20AB" w:rsidP="004E20AB">
            <w:pPr>
              <w:pStyle w:val="TablaC"/>
              <w:rPr>
                <w:rFonts w:ascii="Arial" w:hAnsi="Arial" w:cs="Arial"/>
                <w:b/>
                <w:color w:val="FFFFFF"/>
                <w:szCs w:val="22"/>
                <w:lang w:val="es-ES" w:eastAsia="es-ES"/>
              </w:rPr>
            </w:pPr>
            <w:r w:rsidRPr="00117BF8">
              <w:rPr>
                <w:rFonts w:ascii="Arial" w:hAnsi="Arial" w:cs="Arial"/>
                <w:b/>
                <w:color w:val="FFFFFF"/>
                <w:szCs w:val="22"/>
                <w:lang w:val="es-ES" w:eastAsia="es-ES"/>
              </w:rPr>
              <w:t>Porcentaje</w:t>
            </w:r>
          </w:p>
        </w:tc>
      </w:tr>
      <w:tr w:rsidR="00C007D0" w:rsidRPr="004E6455" w14:paraId="3BDF92E4" w14:textId="77777777" w:rsidTr="00C007D0">
        <w:trPr>
          <w:trHeight w:val="300"/>
          <w:jc w:val="center"/>
        </w:trPr>
        <w:tc>
          <w:tcPr>
            <w:tcW w:w="2850" w:type="dxa"/>
            <w:tcBorders>
              <w:right w:val="single" w:sz="8" w:space="0" w:color="78C0D4"/>
            </w:tcBorders>
            <w:shd w:val="clear" w:color="auto" w:fill="0070C0"/>
            <w:noWrap/>
            <w:hideMark/>
          </w:tcPr>
          <w:p w14:paraId="0E111493" w14:textId="77777777" w:rsidR="00421D7D" w:rsidRPr="00117BF8" w:rsidRDefault="00421D7D" w:rsidP="00C57D83">
            <w:pPr>
              <w:pStyle w:val="TablaE"/>
              <w:rPr>
                <w:rFonts w:ascii="Arial" w:hAnsi="Arial" w:cs="Arial"/>
                <w:bCs/>
                <w:sz w:val="20"/>
              </w:rPr>
            </w:pPr>
          </w:p>
        </w:tc>
        <w:tc>
          <w:tcPr>
            <w:tcW w:w="1134" w:type="dxa"/>
            <w:tcBorders>
              <w:left w:val="single" w:sz="8" w:space="0" w:color="78C0D4"/>
              <w:right w:val="single" w:sz="8" w:space="0" w:color="78C0D4"/>
            </w:tcBorders>
            <w:shd w:val="clear" w:color="auto" w:fill="0070C0"/>
            <w:noWrap/>
            <w:hideMark/>
          </w:tcPr>
          <w:p w14:paraId="404F1009" w14:textId="77777777" w:rsidR="00421D7D" w:rsidRPr="00117BF8" w:rsidRDefault="00421D7D" w:rsidP="00C57D83">
            <w:pPr>
              <w:pStyle w:val="TablaE"/>
              <w:rPr>
                <w:rFonts w:ascii="Arial" w:hAnsi="Arial" w:cs="Arial"/>
                <w:sz w:val="22"/>
                <w:szCs w:val="22"/>
              </w:rPr>
            </w:pPr>
            <w:r w:rsidRPr="00117BF8">
              <w:rPr>
                <w:rFonts w:ascii="Arial" w:hAnsi="Arial" w:cs="Arial"/>
                <w:sz w:val="22"/>
                <w:szCs w:val="22"/>
              </w:rPr>
              <w:t>2013</w:t>
            </w:r>
          </w:p>
        </w:tc>
        <w:tc>
          <w:tcPr>
            <w:tcW w:w="1134" w:type="dxa"/>
            <w:tcBorders>
              <w:left w:val="single" w:sz="8" w:space="0" w:color="78C0D4"/>
              <w:right w:val="single" w:sz="8" w:space="0" w:color="78C0D4"/>
            </w:tcBorders>
            <w:shd w:val="clear" w:color="auto" w:fill="0070C0"/>
            <w:noWrap/>
            <w:hideMark/>
          </w:tcPr>
          <w:p w14:paraId="342711CC" w14:textId="77777777" w:rsidR="00421D7D" w:rsidRPr="00117BF8" w:rsidRDefault="00421D7D" w:rsidP="00C57D83">
            <w:pPr>
              <w:pStyle w:val="TablaE"/>
              <w:rPr>
                <w:rFonts w:ascii="Arial" w:hAnsi="Arial" w:cs="Arial"/>
                <w:sz w:val="22"/>
                <w:szCs w:val="22"/>
              </w:rPr>
            </w:pPr>
            <w:r w:rsidRPr="00117BF8">
              <w:rPr>
                <w:rFonts w:ascii="Arial" w:hAnsi="Arial" w:cs="Arial"/>
                <w:sz w:val="22"/>
                <w:szCs w:val="22"/>
              </w:rPr>
              <w:t>2014</w:t>
            </w:r>
          </w:p>
        </w:tc>
        <w:tc>
          <w:tcPr>
            <w:tcW w:w="1134" w:type="dxa"/>
            <w:tcBorders>
              <w:left w:val="single" w:sz="8" w:space="0" w:color="78C0D4"/>
              <w:right w:val="single" w:sz="8" w:space="0" w:color="78C0D4"/>
            </w:tcBorders>
            <w:shd w:val="clear" w:color="auto" w:fill="0070C0"/>
            <w:noWrap/>
            <w:hideMark/>
          </w:tcPr>
          <w:p w14:paraId="59E2817F" w14:textId="77777777" w:rsidR="00421D7D" w:rsidRPr="00117BF8" w:rsidRDefault="00421D7D" w:rsidP="00C57D83">
            <w:pPr>
              <w:pStyle w:val="TablaE"/>
              <w:rPr>
                <w:rFonts w:ascii="Arial" w:hAnsi="Arial" w:cs="Arial"/>
                <w:sz w:val="22"/>
                <w:szCs w:val="22"/>
              </w:rPr>
            </w:pPr>
            <w:r w:rsidRPr="00117BF8">
              <w:rPr>
                <w:rFonts w:ascii="Arial" w:hAnsi="Arial" w:cs="Arial"/>
                <w:sz w:val="22"/>
                <w:szCs w:val="22"/>
              </w:rPr>
              <w:t>2015</w:t>
            </w:r>
          </w:p>
        </w:tc>
        <w:tc>
          <w:tcPr>
            <w:tcW w:w="1134" w:type="dxa"/>
            <w:tcBorders>
              <w:left w:val="single" w:sz="8" w:space="0" w:color="78C0D4"/>
              <w:right w:val="single" w:sz="8" w:space="0" w:color="78C0D4"/>
            </w:tcBorders>
            <w:shd w:val="clear" w:color="auto" w:fill="0070C0"/>
            <w:noWrap/>
            <w:hideMark/>
          </w:tcPr>
          <w:p w14:paraId="618EBC6D" w14:textId="77777777" w:rsidR="00421D7D" w:rsidRPr="00117BF8" w:rsidRDefault="00421D7D" w:rsidP="00C57D83">
            <w:pPr>
              <w:pStyle w:val="TablaE"/>
              <w:rPr>
                <w:rFonts w:ascii="Arial" w:hAnsi="Arial" w:cs="Arial"/>
                <w:sz w:val="22"/>
                <w:szCs w:val="22"/>
              </w:rPr>
            </w:pPr>
            <w:r w:rsidRPr="00117BF8">
              <w:rPr>
                <w:rFonts w:ascii="Arial" w:hAnsi="Arial" w:cs="Arial"/>
                <w:sz w:val="22"/>
                <w:szCs w:val="22"/>
              </w:rPr>
              <w:t>2016</w:t>
            </w:r>
          </w:p>
        </w:tc>
      </w:tr>
      <w:tr w:rsidR="00C007D0" w:rsidRPr="004E6455" w14:paraId="64C6706B" w14:textId="77777777" w:rsidTr="00C007D0">
        <w:trPr>
          <w:trHeight w:val="300"/>
          <w:jc w:val="center"/>
        </w:trPr>
        <w:tc>
          <w:tcPr>
            <w:tcW w:w="2850" w:type="dxa"/>
            <w:tcBorders>
              <w:right w:val="nil"/>
            </w:tcBorders>
            <w:shd w:val="clear" w:color="auto" w:fill="auto"/>
            <w:noWrap/>
            <w:hideMark/>
          </w:tcPr>
          <w:p w14:paraId="0B1300E2" w14:textId="77777777" w:rsidR="00421D7D" w:rsidRPr="00117BF8" w:rsidRDefault="00421D7D" w:rsidP="00C007D0">
            <w:pPr>
              <w:pStyle w:val="TablaC"/>
              <w:jc w:val="left"/>
              <w:rPr>
                <w:rFonts w:ascii="Arial" w:hAnsi="Arial" w:cs="Arial"/>
                <w:bCs/>
                <w:sz w:val="18"/>
                <w:szCs w:val="18"/>
              </w:rPr>
            </w:pPr>
            <w:r w:rsidRPr="00117BF8">
              <w:rPr>
                <w:rFonts w:ascii="Arial" w:hAnsi="Arial" w:cs="Arial"/>
                <w:bCs/>
                <w:sz w:val="18"/>
                <w:szCs w:val="18"/>
              </w:rPr>
              <w:t>Recursos Corrientes</w:t>
            </w:r>
          </w:p>
        </w:tc>
        <w:tc>
          <w:tcPr>
            <w:tcW w:w="1134" w:type="dxa"/>
            <w:tcBorders>
              <w:left w:val="nil"/>
              <w:right w:val="nil"/>
            </w:tcBorders>
            <w:shd w:val="clear" w:color="auto" w:fill="auto"/>
            <w:noWrap/>
            <w:vAlign w:val="bottom"/>
            <w:hideMark/>
          </w:tcPr>
          <w:p w14:paraId="73159F96"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11,1%</w:t>
            </w:r>
          </w:p>
        </w:tc>
        <w:tc>
          <w:tcPr>
            <w:tcW w:w="1134" w:type="dxa"/>
            <w:tcBorders>
              <w:left w:val="nil"/>
              <w:right w:val="nil"/>
            </w:tcBorders>
            <w:shd w:val="clear" w:color="auto" w:fill="auto"/>
            <w:noWrap/>
            <w:vAlign w:val="bottom"/>
            <w:hideMark/>
          </w:tcPr>
          <w:p w14:paraId="1F983441"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12,3%</w:t>
            </w:r>
          </w:p>
        </w:tc>
        <w:tc>
          <w:tcPr>
            <w:tcW w:w="1134" w:type="dxa"/>
            <w:tcBorders>
              <w:left w:val="nil"/>
              <w:right w:val="nil"/>
            </w:tcBorders>
            <w:shd w:val="clear" w:color="auto" w:fill="auto"/>
            <w:noWrap/>
            <w:vAlign w:val="bottom"/>
            <w:hideMark/>
          </w:tcPr>
          <w:p w14:paraId="2D1977B5"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12,5%</w:t>
            </w:r>
          </w:p>
        </w:tc>
        <w:tc>
          <w:tcPr>
            <w:tcW w:w="1134" w:type="dxa"/>
            <w:tcBorders>
              <w:left w:val="nil"/>
            </w:tcBorders>
            <w:shd w:val="clear" w:color="auto" w:fill="auto"/>
            <w:noWrap/>
            <w:vAlign w:val="bottom"/>
            <w:hideMark/>
          </w:tcPr>
          <w:p w14:paraId="45122947"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16,2%</w:t>
            </w:r>
          </w:p>
        </w:tc>
      </w:tr>
      <w:tr w:rsidR="00C007D0" w:rsidRPr="004E6455" w14:paraId="006A667D" w14:textId="77777777" w:rsidTr="00C007D0">
        <w:trPr>
          <w:trHeight w:val="300"/>
          <w:jc w:val="center"/>
        </w:trPr>
        <w:tc>
          <w:tcPr>
            <w:tcW w:w="2850" w:type="dxa"/>
            <w:shd w:val="clear" w:color="auto" w:fill="D2EAF1"/>
            <w:noWrap/>
            <w:hideMark/>
          </w:tcPr>
          <w:p w14:paraId="2BD39ABB" w14:textId="77777777" w:rsidR="00421D7D" w:rsidRPr="00117BF8" w:rsidRDefault="00421D7D" w:rsidP="00C007D0">
            <w:pPr>
              <w:pStyle w:val="TablaC"/>
              <w:jc w:val="left"/>
              <w:rPr>
                <w:rFonts w:ascii="Arial" w:hAnsi="Arial" w:cs="Arial"/>
                <w:bCs/>
                <w:sz w:val="18"/>
                <w:szCs w:val="18"/>
              </w:rPr>
            </w:pPr>
            <w:r w:rsidRPr="00117BF8">
              <w:rPr>
                <w:rFonts w:ascii="Arial" w:hAnsi="Arial" w:cs="Arial"/>
                <w:bCs/>
                <w:sz w:val="18"/>
                <w:szCs w:val="18"/>
              </w:rPr>
              <w:t>Gastos Corrientes</w:t>
            </w:r>
          </w:p>
        </w:tc>
        <w:tc>
          <w:tcPr>
            <w:tcW w:w="1134" w:type="dxa"/>
            <w:shd w:val="clear" w:color="auto" w:fill="D2EAF1"/>
            <w:noWrap/>
            <w:vAlign w:val="bottom"/>
            <w:hideMark/>
          </w:tcPr>
          <w:p w14:paraId="6FE3B3F3"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10,9%</w:t>
            </w:r>
          </w:p>
        </w:tc>
        <w:tc>
          <w:tcPr>
            <w:tcW w:w="1134" w:type="dxa"/>
            <w:shd w:val="clear" w:color="auto" w:fill="D2EAF1"/>
            <w:noWrap/>
            <w:vAlign w:val="bottom"/>
            <w:hideMark/>
          </w:tcPr>
          <w:p w14:paraId="0D7B5E14"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13,3%</w:t>
            </w:r>
          </w:p>
        </w:tc>
        <w:tc>
          <w:tcPr>
            <w:tcW w:w="1134" w:type="dxa"/>
            <w:shd w:val="clear" w:color="auto" w:fill="D2EAF1"/>
            <w:noWrap/>
            <w:vAlign w:val="bottom"/>
            <w:hideMark/>
          </w:tcPr>
          <w:p w14:paraId="50D4CEDA"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21,6%</w:t>
            </w:r>
          </w:p>
        </w:tc>
        <w:tc>
          <w:tcPr>
            <w:tcW w:w="1134" w:type="dxa"/>
            <w:shd w:val="clear" w:color="auto" w:fill="D2EAF1"/>
            <w:noWrap/>
            <w:vAlign w:val="bottom"/>
            <w:hideMark/>
          </w:tcPr>
          <w:p w14:paraId="0F1053C5"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19,4%</w:t>
            </w:r>
          </w:p>
        </w:tc>
      </w:tr>
      <w:tr w:rsidR="00C007D0" w:rsidRPr="004E6455" w14:paraId="61326DA9" w14:textId="77777777" w:rsidTr="00C007D0">
        <w:trPr>
          <w:trHeight w:val="300"/>
          <w:jc w:val="center"/>
        </w:trPr>
        <w:tc>
          <w:tcPr>
            <w:tcW w:w="2850" w:type="dxa"/>
            <w:tcBorders>
              <w:right w:val="nil"/>
            </w:tcBorders>
            <w:shd w:val="clear" w:color="auto" w:fill="auto"/>
            <w:noWrap/>
            <w:hideMark/>
          </w:tcPr>
          <w:p w14:paraId="0CEA8C8D" w14:textId="77777777" w:rsidR="00421D7D" w:rsidRPr="00117BF8" w:rsidRDefault="00421D7D" w:rsidP="00C007D0">
            <w:pPr>
              <w:pStyle w:val="TablaC"/>
              <w:jc w:val="left"/>
              <w:rPr>
                <w:rFonts w:ascii="Arial" w:hAnsi="Arial" w:cs="Arial"/>
                <w:bCs/>
                <w:sz w:val="18"/>
                <w:szCs w:val="18"/>
              </w:rPr>
            </w:pPr>
            <w:r w:rsidRPr="00117BF8">
              <w:rPr>
                <w:rFonts w:ascii="Arial" w:hAnsi="Arial" w:cs="Arial"/>
                <w:bCs/>
                <w:sz w:val="18"/>
                <w:szCs w:val="18"/>
              </w:rPr>
              <w:t>Resultado Económico</w:t>
            </w:r>
          </w:p>
        </w:tc>
        <w:tc>
          <w:tcPr>
            <w:tcW w:w="1134" w:type="dxa"/>
            <w:tcBorders>
              <w:left w:val="nil"/>
              <w:right w:val="nil"/>
            </w:tcBorders>
            <w:shd w:val="clear" w:color="auto" w:fill="auto"/>
            <w:noWrap/>
            <w:vAlign w:val="bottom"/>
            <w:hideMark/>
          </w:tcPr>
          <w:p w14:paraId="1D1EA71C"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697,4%</w:t>
            </w:r>
          </w:p>
        </w:tc>
        <w:tc>
          <w:tcPr>
            <w:tcW w:w="1134" w:type="dxa"/>
            <w:tcBorders>
              <w:left w:val="nil"/>
              <w:right w:val="nil"/>
            </w:tcBorders>
            <w:shd w:val="clear" w:color="auto" w:fill="auto"/>
            <w:noWrap/>
            <w:vAlign w:val="bottom"/>
            <w:hideMark/>
          </w:tcPr>
          <w:p w14:paraId="3BFDB0C1"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-24,3%</w:t>
            </w:r>
          </w:p>
        </w:tc>
        <w:tc>
          <w:tcPr>
            <w:tcW w:w="1134" w:type="dxa"/>
            <w:tcBorders>
              <w:left w:val="nil"/>
              <w:right w:val="nil"/>
            </w:tcBorders>
            <w:shd w:val="clear" w:color="auto" w:fill="auto"/>
            <w:noWrap/>
            <w:vAlign w:val="bottom"/>
            <w:hideMark/>
          </w:tcPr>
          <w:p w14:paraId="0E72BA90"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-417,9%</w:t>
            </w:r>
          </w:p>
        </w:tc>
        <w:tc>
          <w:tcPr>
            <w:tcW w:w="1134" w:type="dxa"/>
            <w:tcBorders>
              <w:left w:val="nil"/>
            </w:tcBorders>
            <w:shd w:val="clear" w:color="auto" w:fill="auto"/>
            <w:noWrap/>
            <w:vAlign w:val="bottom"/>
            <w:hideMark/>
          </w:tcPr>
          <w:p w14:paraId="626BEB65"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652,0%</w:t>
            </w:r>
          </w:p>
        </w:tc>
      </w:tr>
      <w:tr w:rsidR="00C007D0" w:rsidRPr="004E6455" w14:paraId="5B6234FB" w14:textId="77777777" w:rsidTr="00D147AF">
        <w:trPr>
          <w:trHeight w:hRule="exact" w:val="113"/>
          <w:jc w:val="center"/>
        </w:trPr>
        <w:tc>
          <w:tcPr>
            <w:tcW w:w="2850" w:type="dxa"/>
            <w:shd w:val="clear" w:color="auto" w:fill="D2EAF1"/>
            <w:noWrap/>
            <w:hideMark/>
          </w:tcPr>
          <w:p w14:paraId="66A5E2C7" w14:textId="77777777" w:rsidR="00421D7D" w:rsidRPr="00117BF8" w:rsidRDefault="00421D7D" w:rsidP="00C007D0">
            <w:pPr>
              <w:pStyle w:val="TablaC"/>
              <w:jc w:val="left"/>
              <w:rPr>
                <w:rFonts w:ascii="Arial" w:hAnsi="Arial" w:cs="Arial"/>
                <w:bCs/>
                <w:sz w:val="18"/>
                <w:szCs w:val="18"/>
              </w:rPr>
            </w:pPr>
          </w:p>
        </w:tc>
        <w:tc>
          <w:tcPr>
            <w:tcW w:w="1134" w:type="dxa"/>
            <w:shd w:val="clear" w:color="auto" w:fill="D2EAF1"/>
            <w:noWrap/>
            <w:vAlign w:val="bottom"/>
            <w:hideMark/>
          </w:tcPr>
          <w:p w14:paraId="04F9EC33" w14:textId="77777777" w:rsidR="00421D7D" w:rsidRPr="00117BF8" w:rsidRDefault="00421D7D"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02E71654" w14:textId="77777777" w:rsidR="00421D7D" w:rsidRPr="00117BF8" w:rsidRDefault="00421D7D"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76505806" w14:textId="77777777" w:rsidR="00421D7D" w:rsidRPr="00117BF8" w:rsidRDefault="00421D7D" w:rsidP="00C007D0">
            <w:pPr>
              <w:spacing w:after="0"/>
              <w:jc w:val="left"/>
              <w:rPr>
                <w:rFonts w:ascii="Arial" w:hAnsi="Arial" w:cs="Arial"/>
                <w:color w:val="000000"/>
                <w:sz w:val="18"/>
                <w:szCs w:val="18"/>
                <w:lang w:val="es-AR" w:eastAsia="es-AR"/>
              </w:rPr>
            </w:pPr>
          </w:p>
        </w:tc>
        <w:tc>
          <w:tcPr>
            <w:tcW w:w="1134" w:type="dxa"/>
            <w:shd w:val="clear" w:color="auto" w:fill="D2EAF1"/>
            <w:noWrap/>
            <w:vAlign w:val="bottom"/>
            <w:hideMark/>
          </w:tcPr>
          <w:p w14:paraId="034DD147" w14:textId="77777777" w:rsidR="00421D7D" w:rsidRPr="00117BF8" w:rsidRDefault="00421D7D" w:rsidP="00C007D0">
            <w:pPr>
              <w:spacing w:after="0"/>
              <w:jc w:val="left"/>
              <w:rPr>
                <w:rFonts w:ascii="Arial" w:hAnsi="Arial" w:cs="Arial"/>
                <w:color w:val="000000"/>
                <w:sz w:val="18"/>
                <w:szCs w:val="18"/>
                <w:lang w:val="es-AR" w:eastAsia="es-AR"/>
              </w:rPr>
            </w:pPr>
          </w:p>
        </w:tc>
      </w:tr>
      <w:tr w:rsidR="00C007D0" w:rsidRPr="004E6455" w14:paraId="4215E9C2" w14:textId="77777777" w:rsidTr="00C007D0">
        <w:trPr>
          <w:trHeight w:val="300"/>
          <w:jc w:val="center"/>
        </w:trPr>
        <w:tc>
          <w:tcPr>
            <w:tcW w:w="2850" w:type="dxa"/>
            <w:tcBorders>
              <w:right w:val="nil"/>
            </w:tcBorders>
            <w:shd w:val="clear" w:color="auto" w:fill="auto"/>
            <w:noWrap/>
            <w:hideMark/>
          </w:tcPr>
          <w:p w14:paraId="6197771F" w14:textId="77777777" w:rsidR="00421D7D" w:rsidRPr="00117BF8" w:rsidRDefault="00421D7D" w:rsidP="00C007D0">
            <w:pPr>
              <w:pStyle w:val="TablaC"/>
              <w:jc w:val="left"/>
              <w:rPr>
                <w:rFonts w:ascii="Arial" w:hAnsi="Arial" w:cs="Arial"/>
                <w:bCs/>
                <w:sz w:val="18"/>
                <w:szCs w:val="18"/>
              </w:rPr>
            </w:pPr>
            <w:r w:rsidRPr="00117BF8">
              <w:rPr>
                <w:rFonts w:ascii="Arial" w:hAnsi="Arial" w:cs="Arial"/>
                <w:bCs/>
                <w:sz w:val="18"/>
                <w:szCs w:val="18"/>
              </w:rPr>
              <w:t>Recursos de Capital</w:t>
            </w:r>
          </w:p>
        </w:tc>
        <w:tc>
          <w:tcPr>
            <w:tcW w:w="1134" w:type="dxa"/>
            <w:tcBorders>
              <w:left w:val="nil"/>
              <w:right w:val="nil"/>
            </w:tcBorders>
            <w:shd w:val="clear" w:color="auto" w:fill="auto"/>
            <w:noWrap/>
            <w:vAlign w:val="bottom"/>
            <w:hideMark/>
          </w:tcPr>
          <w:p w14:paraId="0AC1CD5C"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-5,7%</w:t>
            </w:r>
          </w:p>
        </w:tc>
        <w:tc>
          <w:tcPr>
            <w:tcW w:w="1134" w:type="dxa"/>
            <w:tcBorders>
              <w:left w:val="nil"/>
              <w:right w:val="nil"/>
            </w:tcBorders>
            <w:shd w:val="clear" w:color="auto" w:fill="auto"/>
            <w:noWrap/>
            <w:vAlign w:val="bottom"/>
            <w:hideMark/>
          </w:tcPr>
          <w:p w14:paraId="47F007E1"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17,0%</w:t>
            </w:r>
          </w:p>
        </w:tc>
        <w:tc>
          <w:tcPr>
            <w:tcW w:w="1134" w:type="dxa"/>
            <w:tcBorders>
              <w:left w:val="nil"/>
              <w:right w:val="nil"/>
            </w:tcBorders>
            <w:shd w:val="clear" w:color="auto" w:fill="auto"/>
            <w:noWrap/>
            <w:vAlign w:val="bottom"/>
            <w:hideMark/>
          </w:tcPr>
          <w:p w14:paraId="5E6B2B30"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-25,3%</w:t>
            </w:r>
          </w:p>
        </w:tc>
        <w:tc>
          <w:tcPr>
            <w:tcW w:w="1134" w:type="dxa"/>
            <w:tcBorders>
              <w:left w:val="nil"/>
            </w:tcBorders>
            <w:shd w:val="clear" w:color="auto" w:fill="auto"/>
            <w:noWrap/>
            <w:vAlign w:val="bottom"/>
            <w:hideMark/>
          </w:tcPr>
          <w:p w14:paraId="5064B238"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27,3%</w:t>
            </w:r>
          </w:p>
        </w:tc>
      </w:tr>
      <w:tr w:rsidR="00C007D0" w:rsidRPr="004E6455" w14:paraId="19BBA828" w14:textId="77777777" w:rsidTr="00C007D0">
        <w:trPr>
          <w:trHeight w:val="300"/>
          <w:jc w:val="center"/>
        </w:trPr>
        <w:tc>
          <w:tcPr>
            <w:tcW w:w="2850" w:type="dxa"/>
            <w:shd w:val="clear" w:color="auto" w:fill="D2EAF1"/>
            <w:noWrap/>
            <w:hideMark/>
          </w:tcPr>
          <w:p w14:paraId="5DB58207" w14:textId="77777777" w:rsidR="00421D7D" w:rsidRPr="00117BF8" w:rsidRDefault="00421D7D" w:rsidP="00C007D0">
            <w:pPr>
              <w:pStyle w:val="TablaC"/>
              <w:jc w:val="left"/>
              <w:rPr>
                <w:rFonts w:ascii="Arial" w:hAnsi="Arial" w:cs="Arial"/>
                <w:bCs/>
                <w:sz w:val="18"/>
                <w:szCs w:val="18"/>
              </w:rPr>
            </w:pPr>
            <w:r w:rsidRPr="00117BF8">
              <w:rPr>
                <w:rFonts w:ascii="Arial" w:hAnsi="Arial" w:cs="Arial"/>
                <w:bCs/>
                <w:sz w:val="18"/>
                <w:szCs w:val="18"/>
              </w:rPr>
              <w:t>Gastos de Capital</w:t>
            </w:r>
          </w:p>
        </w:tc>
        <w:tc>
          <w:tcPr>
            <w:tcW w:w="1134" w:type="dxa"/>
            <w:shd w:val="clear" w:color="auto" w:fill="D2EAF1"/>
            <w:noWrap/>
            <w:vAlign w:val="bottom"/>
            <w:hideMark/>
          </w:tcPr>
          <w:p w14:paraId="174A3C7C"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-46,5%</w:t>
            </w:r>
          </w:p>
        </w:tc>
        <w:tc>
          <w:tcPr>
            <w:tcW w:w="1134" w:type="dxa"/>
            <w:shd w:val="clear" w:color="auto" w:fill="D2EAF1"/>
            <w:noWrap/>
            <w:vAlign w:val="bottom"/>
            <w:hideMark/>
          </w:tcPr>
          <w:p w14:paraId="15FF10C7"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-30,5%</w:t>
            </w:r>
          </w:p>
        </w:tc>
        <w:tc>
          <w:tcPr>
            <w:tcW w:w="1134" w:type="dxa"/>
            <w:shd w:val="clear" w:color="auto" w:fill="D2EAF1"/>
            <w:noWrap/>
            <w:vAlign w:val="bottom"/>
            <w:hideMark/>
          </w:tcPr>
          <w:p w14:paraId="753370D1"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-26,9%</w:t>
            </w:r>
          </w:p>
        </w:tc>
        <w:tc>
          <w:tcPr>
            <w:tcW w:w="1134" w:type="dxa"/>
            <w:shd w:val="clear" w:color="auto" w:fill="D2EAF1"/>
            <w:noWrap/>
            <w:vAlign w:val="bottom"/>
            <w:hideMark/>
          </w:tcPr>
          <w:p w14:paraId="517BE98D"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6,4%</w:t>
            </w:r>
          </w:p>
        </w:tc>
      </w:tr>
      <w:tr w:rsidR="00C007D0" w:rsidRPr="004E6455" w14:paraId="76469A6F" w14:textId="77777777" w:rsidTr="00D147AF">
        <w:trPr>
          <w:trHeight w:hRule="exact" w:val="113"/>
          <w:jc w:val="center"/>
        </w:trPr>
        <w:tc>
          <w:tcPr>
            <w:tcW w:w="2850" w:type="dxa"/>
            <w:tcBorders>
              <w:right w:val="nil"/>
            </w:tcBorders>
            <w:shd w:val="clear" w:color="auto" w:fill="auto"/>
            <w:noWrap/>
            <w:hideMark/>
          </w:tcPr>
          <w:p w14:paraId="4F2EC984" w14:textId="77777777" w:rsidR="00421D7D" w:rsidRPr="00117BF8" w:rsidRDefault="00421D7D" w:rsidP="00C007D0">
            <w:pPr>
              <w:pStyle w:val="TablaC"/>
              <w:jc w:val="left"/>
              <w:rPr>
                <w:rFonts w:ascii="Arial" w:hAnsi="Arial" w:cs="Arial"/>
                <w:bCs/>
                <w:sz w:val="18"/>
                <w:szCs w:val="18"/>
              </w:rPr>
            </w:pPr>
          </w:p>
        </w:tc>
        <w:tc>
          <w:tcPr>
            <w:tcW w:w="1134" w:type="dxa"/>
            <w:tcBorders>
              <w:left w:val="nil"/>
              <w:right w:val="nil"/>
            </w:tcBorders>
            <w:shd w:val="clear" w:color="auto" w:fill="auto"/>
            <w:noWrap/>
            <w:vAlign w:val="bottom"/>
            <w:hideMark/>
          </w:tcPr>
          <w:p w14:paraId="50F5B5A1" w14:textId="77777777" w:rsidR="00421D7D" w:rsidRPr="00117BF8" w:rsidRDefault="00421D7D" w:rsidP="00C007D0">
            <w:pPr>
              <w:spacing w:after="0"/>
              <w:jc w:val="left"/>
              <w:rPr>
                <w:rFonts w:ascii="Arial" w:hAnsi="Arial" w:cs="Arial"/>
                <w:color w:val="000000"/>
                <w:sz w:val="18"/>
                <w:szCs w:val="18"/>
                <w:lang w:val="es-AR" w:eastAsia="es-AR"/>
              </w:rPr>
            </w:pPr>
          </w:p>
        </w:tc>
        <w:tc>
          <w:tcPr>
            <w:tcW w:w="1134" w:type="dxa"/>
            <w:tcBorders>
              <w:left w:val="nil"/>
              <w:right w:val="nil"/>
            </w:tcBorders>
            <w:shd w:val="clear" w:color="auto" w:fill="auto"/>
            <w:noWrap/>
            <w:vAlign w:val="bottom"/>
            <w:hideMark/>
          </w:tcPr>
          <w:p w14:paraId="7D45B1CF" w14:textId="77777777" w:rsidR="00421D7D" w:rsidRPr="00117BF8" w:rsidRDefault="00421D7D" w:rsidP="00C007D0">
            <w:pPr>
              <w:spacing w:after="0"/>
              <w:jc w:val="left"/>
              <w:rPr>
                <w:rFonts w:ascii="Arial" w:hAnsi="Arial" w:cs="Arial"/>
                <w:color w:val="000000"/>
                <w:sz w:val="18"/>
                <w:szCs w:val="18"/>
                <w:lang w:val="es-AR" w:eastAsia="es-AR"/>
              </w:rPr>
            </w:pPr>
          </w:p>
        </w:tc>
        <w:tc>
          <w:tcPr>
            <w:tcW w:w="1134" w:type="dxa"/>
            <w:tcBorders>
              <w:left w:val="nil"/>
              <w:right w:val="nil"/>
            </w:tcBorders>
            <w:shd w:val="clear" w:color="auto" w:fill="auto"/>
            <w:noWrap/>
            <w:vAlign w:val="bottom"/>
            <w:hideMark/>
          </w:tcPr>
          <w:p w14:paraId="75C3479C" w14:textId="77777777" w:rsidR="00421D7D" w:rsidRPr="00117BF8" w:rsidRDefault="00421D7D" w:rsidP="00C007D0">
            <w:pPr>
              <w:spacing w:after="0"/>
              <w:jc w:val="left"/>
              <w:rPr>
                <w:rFonts w:ascii="Arial" w:hAnsi="Arial" w:cs="Arial"/>
                <w:color w:val="000000"/>
                <w:sz w:val="18"/>
                <w:szCs w:val="18"/>
                <w:lang w:val="es-AR" w:eastAsia="es-AR"/>
              </w:rPr>
            </w:pPr>
          </w:p>
        </w:tc>
        <w:tc>
          <w:tcPr>
            <w:tcW w:w="1134" w:type="dxa"/>
            <w:tcBorders>
              <w:left w:val="nil"/>
            </w:tcBorders>
            <w:shd w:val="clear" w:color="auto" w:fill="auto"/>
            <w:noWrap/>
            <w:vAlign w:val="bottom"/>
            <w:hideMark/>
          </w:tcPr>
          <w:p w14:paraId="5F9F1DC9" w14:textId="77777777" w:rsidR="00421D7D" w:rsidRPr="00117BF8" w:rsidRDefault="00421D7D" w:rsidP="00C007D0">
            <w:pPr>
              <w:spacing w:after="0"/>
              <w:jc w:val="left"/>
              <w:rPr>
                <w:rFonts w:ascii="Arial" w:hAnsi="Arial" w:cs="Arial"/>
                <w:color w:val="000000"/>
                <w:sz w:val="18"/>
                <w:szCs w:val="18"/>
                <w:lang w:val="es-AR" w:eastAsia="es-AR"/>
              </w:rPr>
            </w:pPr>
          </w:p>
        </w:tc>
      </w:tr>
      <w:tr w:rsidR="00C007D0" w:rsidRPr="004E6455" w14:paraId="095C5822" w14:textId="77777777" w:rsidTr="00C007D0">
        <w:trPr>
          <w:trHeight w:val="300"/>
          <w:jc w:val="center"/>
        </w:trPr>
        <w:tc>
          <w:tcPr>
            <w:tcW w:w="2850" w:type="dxa"/>
            <w:shd w:val="clear" w:color="auto" w:fill="D2EAF1"/>
            <w:noWrap/>
            <w:hideMark/>
          </w:tcPr>
          <w:p w14:paraId="0D9F7C2E" w14:textId="77777777" w:rsidR="00421D7D" w:rsidRPr="00117BF8" w:rsidRDefault="00421D7D" w:rsidP="00C007D0">
            <w:pPr>
              <w:pStyle w:val="TablaC"/>
              <w:jc w:val="left"/>
              <w:rPr>
                <w:rFonts w:ascii="Arial" w:hAnsi="Arial" w:cs="Arial"/>
                <w:bCs/>
                <w:sz w:val="18"/>
                <w:szCs w:val="18"/>
              </w:rPr>
            </w:pPr>
            <w:r w:rsidRPr="00117BF8">
              <w:rPr>
                <w:rFonts w:ascii="Arial" w:hAnsi="Arial" w:cs="Arial"/>
                <w:bCs/>
                <w:sz w:val="18"/>
                <w:szCs w:val="18"/>
              </w:rPr>
              <w:t>Recursos Totales</w:t>
            </w:r>
          </w:p>
        </w:tc>
        <w:tc>
          <w:tcPr>
            <w:tcW w:w="1134" w:type="dxa"/>
            <w:shd w:val="clear" w:color="auto" w:fill="D2EAF1"/>
            <w:noWrap/>
            <w:vAlign w:val="bottom"/>
            <w:hideMark/>
          </w:tcPr>
          <w:p w14:paraId="3A6B9AE5"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10,6%</w:t>
            </w:r>
          </w:p>
        </w:tc>
        <w:tc>
          <w:tcPr>
            <w:tcW w:w="1134" w:type="dxa"/>
            <w:shd w:val="clear" w:color="auto" w:fill="D2EAF1"/>
            <w:noWrap/>
            <w:vAlign w:val="bottom"/>
            <w:hideMark/>
          </w:tcPr>
          <w:p w14:paraId="4D222725"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12,4%</w:t>
            </w:r>
          </w:p>
        </w:tc>
        <w:tc>
          <w:tcPr>
            <w:tcW w:w="1134" w:type="dxa"/>
            <w:shd w:val="clear" w:color="auto" w:fill="D2EAF1"/>
            <w:noWrap/>
            <w:vAlign w:val="bottom"/>
            <w:hideMark/>
          </w:tcPr>
          <w:p w14:paraId="32449C1F"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11,4%</w:t>
            </w:r>
          </w:p>
        </w:tc>
        <w:tc>
          <w:tcPr>
            <w:tcW w:w="1134" w:type="dxa"/>
            <w:shd w:val="clear" w:color="auto" w:fill="D2EAF1"/>
            <w:noWrap/>
            <w:vAlign w:val="bottom"/>
            <w:hideMark/>
          </w:tcPr>
          <w:p w14:paraId="0D261766"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16,4%</w:t>
            </w:r>
          </w:p>
        </w:tc>
      </w:tr>
      <w:tr w:rsidR="00C007D0" w:rsidRPr="004E6455" w14:paraId="4F4415C3" w14:textId="77777777" w:rsidTr="00C007D0">
        <w:trPr>
          <w:trHeight w:val="300"/>
          <w:jc w:val="center"/>
        </w:trPr>
        <w:tc>
          <w:tcPr>
            <w:tcW w:w="2850" w:type="dxa"/>
            <w:tcBorders>
              <w:right w:val="nil"/>
            </w:tcBorders>
            <w:shd w:val="clear" w:color="auto" w:fill="auto"/>
            <w:noWrap/>
            <w:hideMark/>
          </w:tcPr>
          <w:p w14:paraId="36ADCD0B" w14:textId="77777777" w:rsidR="00421D7D" w:rsidRPr="00117BF8" w:rsidRDefault="00421D7D" w:rsidP="00C007D0">
            <w:pPr>
              <w:pStyle w:val="TablaC"/>
              <w:jc w:val="left"/>
              <w:rPr>
                <w:rFonts w:ascii="Arial" w:hAnsi="Arial" w:cs="Arial"/>
                <w:bCs/>
                <w:sz w:val="18"/>
                <w:szCs w:val="18"/>
              </w:rPr>
            </w:pPr>
            <w:r w:rsidRPr="00117BF8">
              <w:rPr>
                <w:rFonts w:ascii="Arial" w:hAnsi="Arial" w:cs="Arial"/>
                <w:bCs/>
                <w:sz w:val="18"/>
                <w:szCs w:val="18"/>
              </w:rPr>
              <w:t>Gatos Totales</w:t>
            </w:r>
          </w:p>
        </w:tc>
        <w:tc>
          <w:tcPr>
            <w:tcW w:w="1134" w:type="dxa"/>
            <w:tcBorders>
              <w:left w:val="nil"/>
              <w:right w:val="nil"/>
            </w:tcBorders>
            <w:shd w:val="clear" w:color="auto" w:fill="auto"/>
            <w:noWrap/>
            <w:vAlign w:val="bottom"/>
            <w:hideMark/>
          </w:tcPr>
          <w:p w14:paraId="449FFDC8"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7,4%</w:t>
            </w:r>
          </w:p>
        </w:tc>
        <w:tc>
          <w:tcPr>
            <w:tcW w:w="1134" w:type="dxa"/>
            <w:tcBorders>
              <w:left w:val="nil"/>
              <w:right w:val="nil"/>
            </w:tcBorders>
            <w:shd w:val="clear" w:color="auto" w:fill="auto"/>
            <w:noWrap/>
            <w:vAlign w:val="bottom"/>
            <w:hideMark/>
          </w:tcPr>
          <w:p w14:paraId="48D7B2E1"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10,7%</w:t>
            </w:r>
          </w:p>
        </w:tc>
        <w:tc>
          <w:tcPr>
            <w:tcW w:w="1134" w:type="dxa"/>
            <w:tcBorders>
              <w:left w:val="nil"/>
              <w:right w:val="nil"/>
            </w:tcBorders>
            <w:shd w:val="clear" w:color="auto" w:fill="auto"/>
            <w:noWrap/>
            <w:vAlign w:val="bottom"/>
            <w:hideMark/>
          </w:tcPr>
          <w:p w14:paraId="15F637AF"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18,7%</w:t>
            </w:r>
          </w:p>
        </w:tc>
        <w:tc>
          <w:tcPr>
            <w:tcW w:w="1134" w:type="dxa"/>
            <w:tcBorders>
              <w:left w:val="nil"/>
            </w:tcBorders>
            <w:shd w:val="clear" w:color="auto" w:fill="auto"/>
            <w:noWrap/>
            <w:vAlign w:val="bottom"/>
            <w:hideMark/>
          </w:tcPr>
          <w:p w14:paraId="21C2F52A"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18,5%</w:t>
            </w:r>
          </w:p>
        </w:tc>
      </w:tr>
      <w:tr w:rsidR="00C007D0" w:rsidRPr="004E6455" w14:paraId="6E316B72" w14:textId="77777777" w:rsidTr="00C007D0">
        <w:trPr>
          <w:trHeight w:val="300"/>
          <w:jc w:val="center"/>
        </w:trPr>
        <w:tc>
          <w:tcPr>
            <w:tcW w:w="2850" w:type="dxa"/>
            <w:shd w:val="clear" w:color="auto" w:fill="D2EAF1"/>
            <w:noWrap/>
            <w:hideMark/>
          </w:tcPr>
          <w:p w14:paraId="0203BAF3" w14:textId="77777777" w:rsidR="00421D7D" w:rsidRPr="00117BF8" w:rsidRDefault="00421D7D" w:rsidP="00C007D0">
            <w:pPr>
              <w:pStyle w:val="TablaC"/>
              <w:jc w:val="left"/>
              <w:rPr>
                <w:rFonts w:ascii="Arial" w:hAnsi="Arial" w:cs="Arial"/>
                <w:bCs/>
                <w:sz w:val="18"/>
                <w:szCs w:val="18"/>
              </w:rPr>
            </w:pPr>
            <w:r w:rsidRPr="00117BF8">
              <w:rPr>
                <w:rFonts w:ascii="Arial" w:hAnsi="Arial" w:cs="Arial"/>
                <w:bCs/>
                <w:sz w:val="18"/>
                <w:szCs w:val="18"/>
              </w:rPr>
              <w:t>Resultado Financiero</w:t>
            </w:r>
          </w:p>
        </w:tc>
        <w:tc>
          <w:tcPr>
            <w:tcW w:w="1134" w:type="dxa"/>
            <w:shd w:val="clear" w:color="auto" w:fill="D2EAF1"/>
            <w:noWrap/>
            <w:vAlign w:val="bottom"/>
            <w:hideMark/>
          </w:tcPr>
          <w:p w14:paraId="6427BF56"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-79,9%</w:t>
            </w:r>
          </w:p>
        </w:tc>
        <w:tc>
          <w:tcPr>
            <w:tcW w:w="1134" w:type="dxa"/>
            <w:shd w:val="clear" w:color="auto" w:fill="D2EAF1"/>
            <w:noWrap/>
            <w:vAlign w:val="bottom"/>
            <w:hideMark/>
          </w:tcPr>
          <w:p w14:paraId="63E435E3"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-137,2%</w:t>
            </w:r>
          </w:p>
        </w:tc>
        <w:tc>
          <w:tcPr>
            <w:tcW w:w="1134" w:type="dxa"/>
            <w:shd w:val="clear" w:color="auto" w:fill="D2EAF1"/>
            <w:noWrap/>
            <w:vAlign w:val="bottom"/>
            <w:hideMark/>
          </w:tcPr>
          <w:p w14:paraId="44F428AC"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637,8%</w:t>
            </w:r>
          </w:p>
        </w:tc>
        <w:tc>
          <w:tcPr>
            <w:tcW w:w="1134" w:type="dxa"/>
            <w:shd w:val="clear" w:color="auto" w:fill="D2EAF1"/>
            <w:noWrap/>
            <w:vAlign w:val="bottom"/>
            <w:hideMark/>
          </w:tcPr>
          <w:p w14:paraId="65C914D7" w14:textId="77777777" w:rsidR="00421D7D" w:rsidRPr="00117BF8" w:rsidRDefault="00421D7D" w:rsidP="00C007D0">
            <w:pPr>
              <w:spacing w:after="0"/>
              <w:jc w:val="right"/>
              <w:rPr>
                <w:rFonts w:ascii="Arial" w:hAnsi="Arial" w:cs="Arial"/>
                <w:color w:val="000000"/>
                <w:sz w:val="18"/>
                <w:szCs w:val="18"/>
                <w:lang w:val="es-AR" w:eastAsia="es-AR"/>
              </w:rPr>
            </w:pPr>
            <w:r w:rsidRPr="00117BF8">
              <w:rPr>
                <w:rFonts w:ascii="Arial" w:hAnsi="Arial" w:cs="Arial"/>
                <w:color w:val="000000"/>
                <w:sz w:val="18"/>
                <w:szCs w:val="18"/>
                <w:lang w:val="es-AR" w:eastAsia="es-AR"/>
              </w:rPr>
              <w:t>52,3%</w:t>
            </w:r>
          </w:p>
        </w:tc>
      </w:tr>
    </w:tbl>
    <w:p w14:paraId="78F3F177" w14:textId="77777777" w:rsidR="004E20AB" w:rsidRPr="00117BF8" w:rsidRDefault="004E20AB" w:rsidP="00117BF8">
      <w:pPr>
        <w:pStyle w:val="Hfuente"/>
        <w:ind w:firstLine="708"/>
        <w:rPr>
          <w:rFonts w:ascii="Arial" w:hAnsi="Arial" w:cs="Arial"/>
          <w:sz w:val="18"/>
          <w:szCs w:val="18"/>
        </w:rPr>
      </w:pPr>
      <w:r w:rsidRPr="00117BF8">
        <w:rPr>
          <w:rFonts w:ascii="Arial" w:hAnsi="Arial" w:cs="Arial"/>
          <w:sz w:val="18"/>
          <w:szCs w:val="18"/>
        </w:rPr>
        <w:t xml:space="preserve">Elaboración propia sobre datos de la </w:t>
      </w:r>
      <w:r w:rsidR="00421D7D" w:rsidRPr="00117BF8">
        <w:rPr>
          <w:rFonts w:ascii="Arial" w:hAnsi="Arial" w:cs="Arial"/>
          <w:sz w:val="18"/>
          <w:szCs w:val="18"/>
        </w:rPr>
        <w:t>CGPBA.</w:t>
      </w:r>
    </w:p>
    <w:p w14:paraId="41836894" w14:textId="77777777" w:rsidR="003D05FF" w:rsidRPr="00117BF8" w:rsidRDefault="003D7C63" w:rsidP="002C3683">
      <w:pPr>
        <w:pStyle w:val="hsa"/>
        <w:rPr>
          <w:rFonts w:ascii="Arial" w:eastAsia="Calibri" w:hAnsi="Arial" w:cs="Arial"/>
          <w:sz w:val="22"/>
          <w:szCs w:val="22"/>
        </w:rPr>
      </w:pPr>
      <w:r w:rsidRPr="00117BF8">
        <w:rPr>
          <w:rFonts w:ascii="Arial" w:eastAsia="Calibri" w:hAnsi="Arial" w:cs="Arial"/>
          <w:sz w:val="22"/>
          <w:szCs w:val="22"/>
        </w:rPr>
        <w:t xml:space="preserve">Del total de los recursos, los tributarios </w:t>
      </w:r>
      <w:r w:rsidR="009A7072" w:rsidRPr="00117BF8">
        <w:rPr>
          <w:rFonts w:ascii="Arial" w:eastAsia="Calibri" w:hAnsi="Arial" w:cs="Arial"/>
          <w:sz w:val="22"/>
          <w:szCs w:val="22"/>
        </w:rPr>
        <w:t>representa</w:t>
      </w:r>
      <w:r w:rsidRPr="00117BF8">
        <w:rPr>
          <w:rFonts w:ascii="Arial" w:eastAsia="Calibri" w:hAnsi="Arial" w:cs="Arial"/>
          <w:sz w:val="22"/>
          <w:szCs w:val="22"/>
        </w:rPr>
        <w:t>ron el 72%. Estos</w:t>
      </w:r>
      <w:r w:rsidR="009A7072" w:rsidRPr="00117BF8">
        <w:rPr>
          <w:rFonts w:ascii="Arial" w:eastAsia="Calibri" w:hAnsi="Arial" w:cs="Arial"/>
          <w:sz w:val="22"/>
          <w:szCs w:val="22"/>
        </w:rPr>
        <w:t xml:space="preserve"> recursos</w:t>
      </w:r>
      <w:r w:rsidRPr="00117BF8">
        <w:rPr>
          <w:rFonts w:ascii="Arial" w:eastAsia="Calibri" w:hAnsi="Arial" w:cs="Arial"/>
          <w:sz w:val="22"/>
          <w:szCs w:val="22"/>
        </w:rPr>
        <w:t xml:space="preserve"> son </w:t>
      </w:r>
      <w:r w:rsidR="009A7072" w:rsidRPr="00117BF8">
        <w:rPr>
          <w:rFonts w:ascii="Arial" w:eastAsia="Calibri" w:hAnsi="Arial" w:cs="Arial"/>
          <w:sz w:val="22"/>
          <w:szCs w:val="22"/>
        </w:rPr>
        <w:t>altamente dependiente</w:t>
      </w:r>
      <w:r w:rsidRPr="00117BF8">
        <w:rPr>
          <w:rFonts w:ascii="Arial" w:eastAsia="Calibri" w:hAnsi="Arial" w:cs="Arial"/>
          <w:sz w:val="22"/>
          <w:szCs w:val="22"/>
        </w:rPr>
        <w:t>s</w:t>
      </w:r>
      <w:r w:rsidR="009A7072" w:rsidRPr="00117BF8">
        <w:rPr>
          <w:rFonts w:ascii="Arial" w:eastAsia="Calibri" w:hAnsi="Arial" w:cs="Arial"/>
          <w:sz w:val="22"/>
          <w:szCs w:val="22"/>
        </w:rPr>
        <w:t xml:space="preserve"> de la evolución de la recaudación nacional y de tributos provinciales </w:t>
      </w:r>
      <w:r w:rsidR="00185C92" w:rsidRPr="00117BF8">
        <w:rPr>
          <w:rFonts w:ascii="Arial" w:eastAsia="Calibri" w:hAnsi="Arial" w:cs="Arial"/>
          <w:sz w:val="22"/>
          <w:szCs w:val="22"/>
        </w:rPr>
        <w:t>relacionados con el</w:t>
      </w:r>
      <w:r w:rsidR="009A7072" w:rsidRPr="00117BF8">
        <w:rPr>
          <w:rFonts w:ascii="Arial" w:eastAsia="Calibri" w:hAnsi="Arial" w:cs="Arial"/>
          <w:sz w:val="22"/>
          <w:szCs w:val="22"/>
        </w:rPr>
        <w:t xml:space="preserve"> nivel de actividad económic</w:t>
      </w:r>
      <w:r w:rsidR="00AF3ED9" w:rsidRPr="00117BF8">
        <w:rPr>
          <w:rFonts w:ascii="Arial" w:eastAsia="Calibri" w:hAnsi="Arial" w:cs="Arial"/>
          <w:sz w:val="22"/>
          <w:szCs w:val="22"/>
        </w:rPr>
        <w:t>a (tal es el caso del Impuesto sobre</w:t>
      </w:r>
      <w:r w:rsidR="009A7072" w:rsidRPr="00117BF8">
        <w:rPr>
          <w:rFonts w:ascii="Arial" w:eastAsia="Calibri" w:hAnsi="Arial" w:cs="Arial"/>
          <w:sz w:val="22"/>
          <w:szCs w:val="22"/>
        </w:rPr>
        <w:t xml:space="preserve"> los Ingresos Brutos).</w:t>
      </w:r>
      <w:r w:rsidRPr="00117BF8">
        <w:rPr>
          <w:rFonts w:ascii="Arial" w:eastAsia="Calibri" w:hAnsi="Arial" w:cs="Arial"/>
          <w:sz w:val="22"/>
          <w:szCs w:val="22"/>
        </w:rPr>
        <w:t xml:space="preserve"> Por lo tanto</w:t>
      </w:r>
      <w:r w:rsidR="00553F9F" w:rsidRPr="00117BF8">
        <w:rPr>
          <w:rFonts w:ascii="Arial" w:eastAsia="Calibri" w:hAnsi="Arial" w:cs="Arial"/>
          <w:sz w:val="22"/>
          <w:szCs w:val="22"/>
        </w:rPr>
        <w:t>,</w:t>
      </w:r>
      <w:r w:rsidRPr="00117BF8">
        <w:rPr>
          <w:rFonts w:ascii="Arial" w:eastAsia="Calibri" w:hAnsi="Arial" w:cs="Arial"/>
          <w:sz w:val="22"/>
          <w:szCs w:val="22"/>
        </w:rPr>
        <w:t xml:space="preserve"> una parte importante del desvío en los recursos corrientes estar</w:t>
      </w:r>
      <w:r w:rsidR="00725AD6" w:rsidRPr="00117BF8">
        <w:rPr>
          <w:rFonts w:ascii="Arial" w:eastAsia="Calibri" w:hAnsi="Arial" w:cs="Arial"/>
          <w:sz w:val="22"/>
          <w:szCs w:val="22"/>
        </w:rPr>
        <w:t>ía</w:t>
      </w:r>
      <w:r w:rsidRPr="00117BF8">
        <w:rPr>
          <w:rFonts w:ascii="Arial" w:eastAsia="Calibri" w:hAnsi="Arial" w:cs="Arial"/>
          <w:sz w:val="22"/>
          <w:szCs w:val="22"/>
        </w:rPr>
        <w:t xml:space="preserve"> explicada por el nivel de actividad previsto en el presupuesto y </w:t>
      </w:r>
      <w:r w:rsidR="00725AD6" w:rsidRPr="00117BF8">
        <w:rPr>
          <w:rFonts w:ascii="Arial" w:eastAsia="Calibri" w:hAnsi="Arial" w:cs="Arial"/>
          <w:sz w:val="22"/>
          <w:szCs w:val="22"/>
        </w:rPr>
        <w:t>el ocurrido</w:t>
      </w:r>
      <w:r w:rsidRPr="00117BF8">
        <w:rPr>
          <w:rFonts w:ascii="Arial" w:eastAsia="Calibri" w:hAnsi="Arial" w:cs="Arial"/>
          <w:sz w:val="22"/>
          <w:szCs w:val="22"/>
        </w:rPr>
        <w:t>.</w:t>
      </w:r>
      <w:r w:rsidR="00553F9F" w:rsidRPr="00117BF8">
        <w:rPr>
          <w:rFonts w:ascii="Arial" w:eastAsia="Calibri" w:hAnsi="Arial" w:cs="Arial"/>
          <w:sz w:val="22"/>
          <w:szCs w:val="22"/>
        </w:rPr>
        <w:t xml:space="preserve"> El presupuesto provincial</w:t>
      </w:r>
      <w:r w:rsidR="00185C92" w:rsidRPr="00117BF8">
        <w:rPr>
          <w:rFonts w:ascii="Arial" w:eastAsia="Calibri" w:hAnsi="Arial" w:cs="Arial"/>
          <w:sz w:val="22"/>
          <w:szCs w:val="22"/>
        </w:rPr>
        <w:t>,</w:t>
      </w:r>
      <w:r w:rsidR="00553F9F" w:rsidRPr="00117BF8">
        <w:rPr>
          <w:rFonts w:ascii="Arial" w:eastAsia="Calibri" w:hAnsi="Arial" w:cs="Arial"/>
          <w:sz w:val="22"/>
          <w:szCs w:val="22"/>
        </w:rPr>
        <w:t xml:space="preserve"> tanto por la participación de la provincia en el nivel de actividad nacional como por la significación de los recursos de origen nacional, asume</w:t>
      </w:r>
      <w:r w:rsidR="00AF3ED9" w:rsidRPr="00117BF8">
        <w:rPr>
          <w:rFonts w:ascii="Arial" w:eastAsia="Calibri" w:hAnsi="Arial" w:cs="Arial"/>
          <w:sz w:val="22"/>
          <w:szCs w:val="22"/>
        </w:rPr>
        <w:t>,</w:t>
      </w:r>
      <w:r w:rsidR="00553F9F" w:rsidRPr="00117BF8">
        <w:rPr>
          <w:rFonts w:ascii="Arial" w:eastAsia="Calibri" w:hAnsi="Arial" w:cs="Arial"/>
          <w:sz w:val="22"/>
          <w:szCs w:val="22"/>
        </w:rPr>
        <w:t xml:space="preserve"> en general</w:t>
      </w:r>
      <w:r w:rsidR="00AF3ED9" w:rsidRPr="00117BF8">
        <w:rPr>
          <w:rFonts w:ascii="Arial" w:eastAsia="Calibri" w:hAnsi="Arial" w:cs="Arial"/>
          <w:sz w:val="22"/>
          <w:szCs w:val="22"/>
        </w:rPr>
        <w:t>,</w:t>
      </w:r>
      <w:r w:rsidR="00553F9F" w:rsidRPr="00117BF8">
        <w:rPr>
          <w:rFonts w:ascii="Arial" w:eastAsia="Calibri" w:hAnsi="Arial" w:cs="Arial"/>
          <w:sz w:val="22"/>
          <w:szCs w:val="22"/>
        </w:rPr>
        <w:t xml:space="preserve"> los supuestos macroeconómicos considerados en el presupuesto nacional.</w:t>
      </w:r>
    </w:p>
    <w:p w14:paraId="694FC377" w14:textId="77777777" w:rsidR="003D7C63" w:rsidRPr="00117BF8" w:rsidRDefault="006B7232" w:rsidP="002C3683">
      <w:pPr>
        <w:pStyle w:val="hsa"/>
        <w:rPr>
          <w:rFonts w:ascii="Arial" w:eastAsia="Calibri" w:hAnsi="Arial" w:cs="Arial"/>
          <w:sz w:val="22"/>
          <w:szCs w:val="22"/>
        </w:rPr>
      </w:pPr>
      <w:r w:rsidRPr="00117BF8">
        <w:rPr>
          <w:rFonts w:ascii="Arial" w:eastAsia="Calibri" w:hAnsi="Arial" w:cs="Arial"/>
          <w:sz w:val="22"/>
          <w:szCs w:val="22"/>
        </w:rPr>
        <w:t>En</w:t>
      </w:r>
      <w:r w:rsidR="003D7C63" w:rsidRPr="00117BF8">
        <w:rPr>
          <w:rFonts w:ascii="Arial" w:eastAsia="Calibri" w:hAnsi="Arial" w:cs="Arial"/>
          <w:sz w:val="22"/>
          <w:szCs w:val="22"/>
        </w:rPr>
        <w:t xml:space="preserve"> la tabla </w:t>
      </w:r>
      <w:r w:rsidRPr="00117BF8">
        <w:rPr>
          <w:rFonts w:ascii="Arial" w:eastAsia="Calibri" w:hAnsi="Arial" w:cs="Arial"/>
          <w:sz w:val="22"/>
          <w:szCs w:val="22"/>
        </w:rPr>
        <w:t xml:space="preserve">6 se observa </w:t>
      </w:r>
      <w:r w:rsidR="003D7C63" w:rsidRPr="00117BF8">
        <w:rPr>
          <w:rFonts w:ascii="Arial" w:eastAsia="Calibri" w:hAnsi="Arial" w:cs="Arial"/>
          <w:sz w:val="22"/>
          <w:szCs w:val="22"/>
        </w:rPr>
        <w:t>que el P</w:t>
      </w:r>
      <w:r w:rsidRPr="00117BF8">
        <w:rPr>
          <w:rFonts w:ascii="Arial" w:eastAsia="Calibri" w:hAnsi="Arial" w:cs="Arial"/>
          <w:sz w:val="22"/>
          <w:szCs w:val="22"/>
        </w:rPr>
        <w:t>IB</w:t>
      </w:r>
      <w:r w:rsidR="003D7C63" w:rsidRPr="00117BF8">
        <w:rPr>
          <w:rFonts w:ascii="Arial" w:eastAsia="Calibri" w:hAnsi="Arial" w:cs="Arial"/>
          <w:sz w:val="22"/>
          <w:szCs w:val="22"/>
        </w:rPr>
        <w:t xml:space="preserve"> </w:t>
      </w:r>
      <w:r w:rsidRPr="00117BF8">
        <w:rPr>
          <w:rFonts w:ascii="Arial" w:eastAsia="Calibri" w:hAnsi="Arial" w:cs="Arial"/>
          <w:sz w:val="22"/>
          <w:szCs w:val="22"/>
        </w:rPr>
        <w:t>nacional</w:t>
      </w:r>
      <w:r w:rsidR="003D7C63" w:rsidRPr="00117BF8">
        <w:rPr>
          <w:rFonts w:ascii="Arial" w:eastAsia="Calibri" w:hAnsi="Arial" w:cs="Arial"/>
          <w:sz w:val="22"/>
          <w:szCs w:val="22"/>
        </w:rPr>
        <w:t xml:space="preserve"> </w:t>
      </w:r>
      <w:r w:rsidR="00A048AC" w:rsidRPr="00117BF8">
        <w:rPr>
          <w:rFonts w:ascii="Arial" w:eastAsia="Calibri" w:hAnsi="Arial" w:cs="Arial"/>
          <w:sz w:val="22"/>
          <w:szCs w:val="22"/>
        </w:rPr>
        <w:t xml:space="preserve">(a precios corrientes) </w:t>
      </w:r>
      <w:r w:rsidR="003D7C63" w:rsidRPr="00117BF8">
        <w:rPr>
          <w:rFonts w:ascii="Arial" w:eastAsia="Calibri" w:hAnsi="Arial" w:cs="Arial"/>
          <w:sz w:val="22"/>
          <w:szCs w:val="22"/>
        </w:rPr>
        <w:t>ha sido superior entre el 18% y 41% al previsto en el presupuesto</w:t>
      </w:r>
      <w:r w:rsidR="00553F9F" w:rsidRPr="00117BF8">
        <w:rPr>
          <w:rFonts w:ascii="Arial" w:eastAsia="Calibri" w:hAnsi="Arial" w:cs="Arial"/>
          <w:sz w:val="22"/>
          <w:szCs w:val="22"/>
        </w:rPr>
        <w:t xml:space="preserve"> nacional</w:t>
      </w:r>
      <w:r w:rsidR="003D7C63" w:rsidRPr="00117BF8">
        <w:rPr>
          <w:rFonts w:ascii="Arial" w:eastAsia="Calibri" w:hAnsi="Arial" w:cs="Arial"/>
          <w:sz w:val="22"/>
          <w:szCs w:val="22"/>
        </w:rPr>
        <w:t>. Las razones del desvío se originan en una subestimación del P</w:t>
      </w:r>
      <w:r w:rsidRPr="00117BF8">
        <w:rPr>
          <w:rFonts w:ascii="Arial" w:eastAsia="Calibri" w:hAnsi="Arial" w:cs="Arial"/>
          <w:sz w:val="22"/>
          <w:szCs w:val="22"/>
        </w:rPr>
        <w:t>IB</w:t>
      </w:r>
      <w:r w:rsidR="003D7C63" w:rsidRPr="00117BF8">
        <w:rPr>
          <w:rFonts w:ascii="Arial" w:eastAsia="Calibri" w:hAnsi="Arial" w:cs="Arial"/>
          <w:sz w:val="22"/>
          <w:szCs w:val="22"/>
        </w:rPr>
        <w:t xml:space="preserve"> del año base (Año previo al del presupuesto) y </w:t>
      </w:r>
      <w:r w:rsidR="00A048AC" w:rsidRPr="00117BF8">
        <w:rPr>
          <w:rFonts w:ascii="Arial" w:eastAsia="Calibri" w:hAnsi="Arial" w:cs="Arial"/>
          <w:sz w:val="22"/>
          <w:szCs w:val="22"/>
        </w:rPr>
        <w:t>tasas de inflació</w:t>
      </w:r>
      <w:r w:rsidR="003D7C63" w:rsidRPr="00117BF8">
        <w:rPr>
          <w:rFonts w:ascii="Arial" w:eastAsia="Calibri" w:hAnsi="Arial" w:cs="Arial"/>
          <w:sz w:val="22"/>
          <w:szCs w:val="22"/>
        </w:rPr>
        <w:t>n</w:t>
      </w:r>
      <w:r w:rsidR="00A048AC" w:rsidRPr="00117BF8">
        <w:rPr>
          <w:rFonts w:ascii="Arial" w:eastAsia="Calibri" w:hAnsi="Arial" w:cs="Arial"/>
          <w:sz w:val="22"/>
          <w:szCs w:val="22"/>
        </w:rPr>
        <w:t xml:space="preserve"> proyectadas </w:t>
      </w:r>
      <w:r w:rsidR="003D7C63" w:rsidRPr="00117BF8">
        <w:rPr>
          <w:rFonts w:ascii="Arial" w:eastAsia="Calibri" w:hAnsi="Arial" w:cs="Arial"/>
          <w:sz w:val="22"/>
          <w:szCs w:val="22"/>
        </w:rPr>
        <w:t>muy inferiores a las ocurridas</w:t>
      </w:r>
      <w:r w:rsidR="00A048AC" w:rsidRPr="00117BF8">
        <w:rPr>
          <w:rFonts w:ascii="Arial" w:eastAsia="Calibri" w:hAnsi="Arial" w:cs="Arial"/>
          <w:sz w:val="22"/>
          <w:szCs w:val="22"/>
        </w:rPr>
        <w:t xml:space="preserve"> (Entre 8 y 24% anual)</w:t>
      </w:r>
      <w:r w:rsidR="003D7C63" w:rsidRPr="00117BF8">
        <w:rPr>
          <w:rFonts w:ascii="Arial" w:eastAsia="Calibri" w:hAnsi="Arial" w:cs="Arial"/>
          <w:sz w:val="22"/>
          <w:szCs w:val="22"/>
        </w:rPr>
        <w:t>.</w:t>
      </w:r>
    </w:p>
    <w:tbl>
      <w:tblPr>
        <w:tblW w:w="7663"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3127"/>
        <w:gridCol w:w="1134"/>
        <w:gridCol w:w="1134"/>
        <w:gridCol w:w="1134"/>
        <w:gridCol w:w="1134"/>
      </w:tblGrid>
      <w:tr w:rsidR="004E20AB" w:rsidRPr="004E6455" w14:paraId="0963A0C8" w14:textId="77777777" w:rsidTr="00C007D0">
        <w:trPr>
          <w:trHeight w:val="300"/>
          <w:jc w:val="center"/>
        </w:trPr>
        <w:tc>
          <w:tcPr>
            <w:tcW w:w="7663" w:type="dxa"/>
            <w:gridSpan w:val="5"/>
            <w:tcBorders>
              <w:top w:val="single" w:sz="8" w:space="0" w:color="78C0D4"/>
              <w:left w:val="single" w:sz="8" w:space="0" w:color="78C0D4"/>
              <w:bottom w:val="single" w:sz="8" w:space="0" w:color="78C0D4"/>
              <w:right w:val="single" w:sz="8" w:space="0" w:color="78C0D4"/>
            </w:tcBorders>
            <w:shd w:val="clear" w:color="auto" w:fill="0070C0"/>
            <w:noWrap/>
          </w:tcPr>
          <w:p w14:paraId="340A93EF" w14:textId="77777777" w:rsidR="004E20AB" w:rsidRPr="00117BF8" w:rsidRDefault="004E20AB" w:rsidP="00117BF8">
            <w:pPr>
              <w:pStyle w:val="TablaE"/>
              <w:rPr>
                <w:rFonts w:ascii="Arial" w:hAnsi="Arial" w:cs="Arial"/>
                <w:sz w:val="22"/>
                <w:szCs w:val="22"/>
              </w:rPr>
            </w:pPr>
            <w:bookmarkStart w:id="34" w:name="_Toc493861116"/>
            <w:r w:rsidRPr="00117BF8">
              <w:rPr>
                <w:rFonts w:ascii="Arial" w:hAnsi="Arial" w:cs="Arial"/>
                <w:sz w:val="22"/>
                <w:szCs w:val="22"/>
              </w:rPr>
              <w:t xml:space="preserve">Tabla </w:t>
            </w:r>
            <w:r w:rsidR="00AF3ED9" w:rsidRPr="00117BF8">
              <w:rPr>
                <w:rFonts w:ascii="Arial" w:hAnsi="Arial" w:cs="Arial"/>
                <w:sz w:val="22"/>
                <w:szCs w:val="22"/>
              </w:rPr>
              <w:t>6</w:t>
            </w:r>
            <w:r w:rsidRPr="00117BF8">
              <w:rPr>
                <w:rFonts w:ascii="Arial" w:hAnsi="Arial" w:cs="Arial"/>
                <w:sz w:val="22"/>
                <w:szCs w:val="22"/>
              </w:rPr>
              <w:t>– Presupuesto Nacional – Indicadores Macro</w:t>
            </w:r>
            <w:bookmarkEnd w:id="34"/>
          </w:p>
          <w:p w14:paraId="14D9FA4A" w14:textId="77777777" w:rsidR="004E20AB" w:rsidRPr="00117BF8" w:rsidRDefault="004E20AB" w:rsidP="00C57D83">
            <w:pPr>
              <w:pStyle w:val="TablaC"/>
              <w:rPr>
                <w:rFonts w:ascii="Arial" w:hAnsi="Arial" w:cs="Arial"/>
                <w:b/>
                <w:color w:val="FFFFFF"/>
                <w:szCs w:val="22"/>
                <w:lang w:val="es-ES" w:eastAsia="es-ES"/>
              </w:rPr>
            </w:pPr>
            <w:r w:rsidRPr="00117BF8">
              <w:rPr>
                <w:rFonts w:ascii="Arial" w:hAnsi="Arial" w:cs="Arial"/>
                <w:b/>
                <w:color w:val="FFFFFF"/>
                <w:szCs w:val="22"/>
                <w:lang w:val="es-ES" w:eastAsia="es-ES"/>
              </w:rPr>
              <w:t>Cifras en millones</w:t>
            </w:r>
          </w:p>
        </w:tc>
      </w:tr>
      <w:tr w:rsidR="00C007D0" w:rsidRPr="004E6455" w14:paraId="6F2C5657" w14:textId="77777777" w:rsidTr="00C007D0">
        <w:trPr>
          <w:trHeight w:val="300"/>
          <w:jc w:val="center"/>
        </w:trPr>
        <w:tc>
          <w:tcPr>
            <w:tcW w:w="3127" w:type="dxa"/>
            <w:tcBorders>
              <w:right w:val="single" w:sz="8" w:space="0" w:color="78C0D4"/>
            </w:tcBorders>
            <w:shd w:val="clear" w:color="auto" w:fill="0070C0"/>
            <w:noWrap/>
            <w:hideMark/>
          </w:tcPr>
          <w:p w14:paraId="4E1BDF77" w14:textId="77777777" w:rsidR="004E20AB" w:rsidRPr="00117BF8" w:rsidRDefault="004E20AB" w:rsidP="00C57D83">
            <w:pPr>
              <w:pStyle w:val="TablaE"/>
              <w:rPr>
                <w:rFonts w:ascii="Arial" w:hAnsi="Arial" w:cs="Arial"/>
                <w:bCs/>
                <w:sz w:val="20"/>
              </w:rPr>
            </w:pPr>
          </w:p>
        </w:tc>
        <w:tc>
          <w:tcPr>
            <w:tcW w:w="1134" w:type="dxa"/>
            <w:tcBorders>
              <w:left w:val="single" w:sz="8" w:space="0" w:color="78C0D4"/>
              <w:right w:val="single" w:sz="8" w:space="0" w:color="78C0D4"/>
            </w:tcBorders>
            <w:shd w:val="clear" w:color="auto" w:fill="0070C0"/>
            <w:noWrap/>
            <w:hideMark/>
          </w:tcPr>
          <w:p w14:paraId="1E58A4A9" w14:textId="77777777" w:rsidR="004E20AB" w:rsidRPr="00117BF8" w:rsidRDefault="004E20AB" w:rsidP="00C57D83">
            <w:pPr>
              <w:pStyle w:val="TablaE"/>
              <w:rPr>
                <w:rFonts w:ascii="Arial" w:hAnsi="Arial" w:cs="Arial"/>
                <w:sz w:val="20"/>
              </w:rPr>
            </w:pPr>
            <w:r w:rsidRPr="00117BF8">
              <w:rPr>
                <w:rFonts w:ascii="Arial" w:hAnsi="Arial" w:cs="Arial"/>
                <w:sz w:val="22"/>
                <w:szCs w:val="22"/>
              </w:rPr>
              <w:t>2013</w:t>
            </w:r>
          </w:p>
        </w:tc>
        <w:tc>
          <w:tcPr>
            <w:tcW w:w="1134" w:type="dxa"/>
            <w:tcBorders>
              <w:left w:val="single" w:sz="8" w:space="0" w:color="78C0D4"/>
              <w:right w:val="single" w:sz="8" w:space="0" w:color="78C0D4"/>
            </w:tcBorders>
            <w:shd w:val="clear" w:color="auto" w:fill="0070C0"/>
            <w:noWrap/>
            <w:hideMark/>
          </w:tcPr>
          <w:p w14:paraId="49B1A55C" w14:textId="77777777" w:rsidR="004E20AB" w:rsidRPr="00117BF8" w:rsidRDefault="004E20AB" w:rsidP="00C57D83">
            <w:pPr>
              <w:pStyle w:val="TablaE"/>
              <w:rPr>
                <w:rFonts w:ascii="Arial" w:hAnsi="Arial" w:cs="Arial"/>
                <w:sz w:val="22"/>
                <w:szCs w:val="22"/>
              </w:rPr>
            </w:pPr>
            <w:r w:rsidRPr="00117BF8">
              <w:rPr>
                <w:rFonts w:ascii="Arial" w:hAnsi="Arial" w:cs="Arial"/>
                <w:sz w:val="22"/>
                <w:szCs w:val="22"/>
              </w:rPr>
              <w:t>2014</w:t>
            </w:r>
          </w:p>
        </w:tc>
        <w:tc>
          <w:tcPr>
            <w:tcW w:w="1134" w:type="dxa"/>
            <w:tcBorders>
              <w:left w:val="single" w:sz="8" w:space="0" w:color="78C0D4"/>
              <w:right w:val="single" w:sz="8" w:space="0" w:color="78C0D4"/>
            </w:tcBorders>
            <w:shd w:val="clear" w:color="auto" w:fill="0070C0"/>
            <w:noWrap/>
            <w:hideMark/>
          </w:tcPr>
          <w:p w14:paraId="3F219C94" w14:textId="77777777" w:rsidR="004E20AB" w:rsidRPr="00117BF8" w:rsidRDefault="004E20AB" w:rsidP="00C57D83">
            <w:pPr>
              <w:pStyle w:val="TablaE"/>
              <w:rPr>
                <w:rFonts w:ascii="Arial" w:hAnsi="Arial" w:cs="Arial"/>
                <w:sz w:val="22"/>
                <w:szCs w:val="22"/>
              </w:rPr>
            </w:pPr>
            <w:r w:rsidRPr="00117BF8">
              <w:rPr>
                <w:rFonts w:ascii="Arial" w:hAnsi="Arial" w:cs="Arial"/>
                <w:sz w:val="22"/>
                <w:szCs w:val="22"/>
              </w:rPr>
              <w:t>2015</w:t>
            </w:r>
          </w:p>
        </w:tc>
        <w:tc>
          <w:tcPr>
            <w:tcW w:w="1134" w:type="dxa"/>
            <w:tcBorders>
              <w:left w:val="single" w:sz="8" w:space="0" w:color="78C0D4"/>
              <w:right w:val="single" w:sz="8" w:space="0" w:color="78C0D4"/>
            </w:tcBorders>
            <w:shd w:val="clear" w:color="auto" w:fill="0070C0"/>
            <w:noWrap/>
            <w:hideMark/>
          </w:tcPr>
          <w:p w14:paraId="0780B1A9" w14:textId="77777777" w:rsidR="004E20AB" w:rsidRPr="00117BF8" w:rsidRDefault="004E20AB" w:rsidP="00C57D83">
            <w:pPr>
              <w:pStyle w:val="TablaE"/>
              <w:rPr>
                <w:rFonts w:ascii="Arial" w:hAnsi="Arial" w:cs="Arial"/>
                <w:sz w:val="22"/>
                <w:szCs w:val="22"/>
              </w:rPr>
            </w:pPr>
            <w:r w:rsidRPr="00117BF8">
              <w:rPr>
                <w:rFonts w:ascii="Arial" w:hAnsi="Arial" w:cs="Arial"/>
                <w:sz w:val="22"/>
                <w:szCs w:val="22"/>
              </w:rPr>
              <w:t>2016</w:t>
            </w:r>
          </w:p>
        </w:tc>
      </w:tr>
      <w:tr w:rsidR="00C007D0" w:rsidRPr="00EE32BC" w14:paraId="1301D946" w14:textId="77777777" w:rsidTr="00C007D0">
        <w:trPr>
          <w:trHeight w:val="300"/>
          <w:jc w:val="center"/>
        </w:trPr>
        <w:tc>
          <w:tcPr>
            <w:tcW w:w="3127" w:type="dxa"/>
            <w:tcBorders>
              <w:right w:val="nil"/>
            </w:tcBorders>
            <w:shd w:val="clear" w:color="auto" w:fill="auto"/>
            <w:noWrap/>
            <w:vAlign w:val="bottom"/>
          </w:tcPr>
          <w:p w14:paraId="12F93F6B"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Estimado en el Presupuesto</w:t>
            </w:r>
          </w:p>
        </w:tc>
        <w:tc>
          <w:tcPr>
            <w:tcW w:w="1134" w:type="dxa"/>
            <w:tcBorders>
              <w:left w:val="nil"/>
              <w:right w:val="nil"/>
            </w:tcBorders>
            <w:shd w:val="clear" w:color="auto" w:fill="auto"/>
            <w:noWrap/>
            <w:vAlign w:val="bottom"/>
          </w:tcPr>
          <w:p w14:paraId="7F02B06D" w14:textId="77777777" w:rsidR="004E20AB" w:rsidRPr="00117BF8" w:rsidRDefault="004E20AB" w:rsidP="004E20AB">
            <w:pPr>
              <w:pStyle w:val="TablaC"/>
              <w:rPr>
                <w:rFonts w:ascii="Arial" w:hAnsi="Arial" w:cs="Arial"/>
                <w:sz w:val="18"/>
                <w:szCs w:val="18"/>
              </w:rPr>
            </w:pPr>
          </w:p>
        </w:tc>
        <w:tc>
          <w:tcPr>
            <w:tcW w:w="1134" w:type="dxa"/>
            <w:tcBorders>
              <w:left w:val="nil"/>
              <w:right w:val="nil"/>
            </w:tcBorders>
            <w:shd w:val="clear" w:color="auto" w:fill="auto"/>
            <w:noWrap/>
            <w:vAlign w:val="bottom"/>
          </w:tcPr>
          <w:p w14:paraId="25374D85" w14:textId="77777777" w:rsidR="004E20AB" w:rsidRPr="00117BF8" w:rsidRDefault="004E20AB" w:rsidP="004E20AB">
            <w:pPr>
              <w:pStyle w:val="TablaC"/>
              <w:rPr>
                <w:rFonts w:ascii="Arial" w:hAnsi="Arial" w:cs="Arial"/>
                <w:sz w:val="18"/>
                <w:szCs w:val="18"/>
              </w:rPr>
            </w:pPr>
          </w:p>
        </w:tc>
        <w:tc>
          <w:tcPr>
            <w:tcW w:w="1134" w:type="dxa"/>
            <w:tcBorders>
              <w:left w:val="nil"/>
              <w:right w:val="nil"/>
            </w:tcBorders>
            <w:shd w:val="clear" w:color="auto" w:fill="auto"/>
            <w:noWrap/>
            <w:vAlign w:val="bottom"/>
          </w:tcPr>
          <w:p w14:paraId="55A5ADF9" w14:textId="77777777" w:rsidR="004E20AB" w:rsidRPr="00117BF8" w:rsidRDefault="004E20AB" w:rsidP="004E20AB">
            <w:pPr>
              <w:pStyle w:val="TablaC"/>
              <w:rPr>
                <w:rFonts w:ascii="Arial" w:hAnsi="Arial" w:cs="Arial"/>
                <w:sz w:val="18"/>
                <w:szCs w:val="18"/>
              </w:rPr>
            </w:pPr>
          </w:p>
        </w:tc>
        <w:tc>
          <w:tcPr>
            <w:tcW w:w="1134" w:type="dxa"/>
            <w:tcBorders>
              <w:left w:val="nil"/>
            </w:tcBorders>
            <w:shd w:val="clear" w:color="auto" w:fill="auto"/>
            <w:noWrap/>
            <w:vAlign w:val="bottom"/>
          </w:tcPr>
          <w:p w14:paraId="50100E4F" w14:textId="77777777" w:rsidR="004E20AB" w:rsidRPr="00117BF8" w:rsidRDefault="004E20AB" w:rsidP="004E20AB">
            <w:pPr>
              <w:pStyle w:val="TablaC"/>
              <w:rPr>
                <w:rFonts w:ascii="Arial" w:hAnsi="Arial" w:cs="Arial"/>
                <w:sz w:val="18"/>
                <w:szCs w:val="18"/>
              </w:rPr>
            </w:pPr>
          </w:p>
        </w:tc>
      </w:tr>
      <w:tr w:rsidR="00C007D0" w:rsidRPr="00EE32BC" w14:paraId="48481235" w14:textId="77777777" w:rsidTr="00C007D0">
        <w:trPr>
          <w:trHeight w:val="300"/>
          <w:jc w:val="center"/>
        </w:trPr>
        <w:tc>
          <w:tcPr>
            <w:tcW w:w="3127" w:type="dxa"/>
            <w:shd w:val="clear" w:color="auto" w:fill="D2EAF1"/>
            <w:noWrap/>
            <w:vAlign w:val="bottom"/>
            <w:hideMark/>
          </w:tcPr>
          <w:p w14:paraId="48F90D79"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PIB en Valores Corrientes</w:t>
            </w:r>
          </w:p>
        </w:tc>
        <w:tc>
          <w:tcPr>
            <w:tcW w:w="1134" w:type="dxa"/>
            <w:shd w:val="clear" w:color="auto" w:fill="D2EAF1"/>
            <w:noWrap/>
            <w:vAlign w:val="bottom"/>
            <w:hideMark/>
          </w:tcPr>
          <w:p w14:paraId="1586B9E5"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2.552.499</w:t>
            </w:r>
          </w:p>
        </w:tc>
        <w:tc>
          <w:tcPr>
            <w:tcW w:w="1134" w:type="dxa"/>
            <w:shd w:val="clear" w:color="auto" w:fill="D2EAF1"/>
            <w:noWrap/>
            <w:vAlign w:val="bottom"/>
            <w:hideMark/>
          </w:tcPr>
          <w:p w14:paraId="6C963EFC"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3.243.974</w:t>
            </w:r>
          </w:p>
        </w:tc>
        <w:tc>
          <w:tcPr>
            <w:tcW w:w="1134" w:type="dxa"/>
            <w:shd w:val="clear" w:color="auto" w:fill="D2EAF1"/>
            <w:noWrap/>
            <w:vAlign w:val="bottom"/>
            <w:hideMark/>
          </w:tcPr>
          <w:p w14:paraId="5AFB3D9C"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4.962.709</w:t>
            </w:r>
          </w:p>
        </w:tc>
        <w:tc>
          <w:tcPr>
            <w:tcW w:w="1134" w:type="dxa"/>
            <w:shd w:val="clear" w:color="auto" w:fill="D2EAF1"/>
            <w:noWrap/>
            <w:vAlign w:val="bottom"/>
            <w:hideMark/>
          </w:tcPr>
          <w:p w14:paraId="73777172"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6.511.959</w:t>
            </w:r>
          </w:p>
        </w:tc>
      </w:tr>
      <w:tr w:rsidR="00C007D0" w:rsidRPr="00EE32BC" w14:paraId="5E9AD1BD" w14:textId="77777777" w:rsidTr="00C007D0">
        <w:trPr>
          <w:trHeight w:val="300"/>
          <w:jc w:val="center"/>
        </w:trPr>
        <w:tc>
          <w:tcPr>
            <w:tcW w:w="3127" w:type="dxa"/>
            <w:tcBorders>
              <w:right w:val="nil"/>
            </w:tcBorders>
            <w:shd w:val="clear" w:color="auto" w:fill="auto"/>
            <w:noWrap/>
            <w:vAlign w:val="bottom"/>
            <w:hideMark/>
          </w:tcPr>
          <w:p w14:paraId="0FEF5565"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Variación real %</w:t>
            </w:r>
          </w:p>
        </w:tc>
        <w:tc>
          <w:tcPr>
            <w:tcW w:w="1134" w:type="dxa"/>
            <w:tcBorders>
              <w:left w:val="nil"/>
              <w:right w:val="nil"/>
            </w:tcBorders>
            <w:shd w:val="clear" w:color="auto" w:fill="auto"/>
            <w:noWrap/>
            <w:vAlign w:val="bottom"/>
            <w:hideMark/>
          </w:tcPr>
          <w:p w14:paraId="6BABCADF"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4,4</w:t>
            </w:r>
          </w:p>
        </w:tc>
        <w:tc>
          <w:tcPr>
            <w:tcW w:w="1134" w:type="dxa"/>
            <w:tcBorders>
              <w:left w:val="nil"/>
              <w:right w:val="nil"/>
            </w:tcBorders>
            <w:shd w:val="clear" w:color="auto" w:fill="auto"/>
            <w:noWrap/>
            <w:vAlign w:val="bottom"/>
            <w:hideMark/>
          </w:tcPr>
          <w:p w14:paraId="3892BC48"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6,2</w:t>
            </w:r>
          </w:p>
        </w:tc>
        <w:tc>
          <w:tcPr>
            <w:tcW w:w="1134" w:type="dxa"/>
            <w:tcBorders>
              <w:left w:val="nil"/>
              <w:right w:val="nil"/>
            </w:tcBorders>
            <w:shd w:val="clear" w:color="auto" w:fill="auto"/>
            <w:noWrap/>
            <w:vAlign w:val="bottom"/>
            <w:hideMark/>
          </w:tcPr>
          <w:p w14:paraId="704DE5F4"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2,8</w:t>
            </w:r>
          </w:p>
        </w:tc>
        <w:tc>
          <w:tcPr>
            <w:tcW w:w="1134" w:type="dxa"/>
            <w:tcBorders>
              <w:left w:val="nil"/>
            </w:tcBorders>
            <w:shd w:val="clear" w:color="auto" w:fill="auto"/>
            <w:noWrap/>
            <w:vAlign w:val="bottom"/>
            <w:hideMark/>
          </w:tcPr>
          <w:p w14:paraId="777BACA3"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3,0</w:t>
            </w:r>
          </w:p>
        </w:tc>
      </w:tr>
      <w:tr w:rsidR="00C007D0" w:rsidRPr="00EE32BC" w14:paraId="30993604" w14:textId="77777777" w:rsidTr="00C007D0">
        <w:trPr>
          <w:trHeight w:val="300"/>
          <w:jc w:val="center"/>
        </w:trPr>
        <w:tc>
          <w:tcPr>
            <w:tcW w:w="3127" w:type="dxa"/>
            <w:shd w:val="clear" w:color="auto" w:fill="D2EAF1"/>
            <w:noWrap/>
            <w:vAlign w:val="bottom"/>
            <w:hideMark/>
          </w:tcPr>
          <w:p w14:paraId="746D287B"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Variación nominal %</w:t>
            </w:r>
          </w:p>
        </w:tc>
        <w:tc>
          <w:tcPr>
            <w:tcW w:w="1134" w:type="dxa"/>
            <w:shd w:val="clear" w:color="auto" w:fill="D2EAF1"/>
            <w:noWrap/>
            <w:vAlign w:val="bottom"/>
            <w:hideMark/>
          </w:tcPr>
          <w:p w14:paraId="1AB6FB4F"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18,0</w:t>
            </w:r>
          </w:p>
        </w:tc>
        <w:tc>
          <w:tcPr>
            <w:tcW w:w="1134" w:type="dxa"/>
            <w:shd w:val="clear" w:color="auto" w:fill="D2EAF1"/>
            <w:noWrap/>
            <w:vAlign w:val="bottom"/>
            <w:hideMark/>
          </w:tcPr>
          <w:p w14:paraId="78D3CCA7"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22,9</w:t>
            </w:r>
          </w:p>
        </w:tc>
        <w:tc>
          <w:tcPr>
            <w:tcW w:w="1134" w:type="dxa"/>
            <w:shd w:val="clear" w:color="auto" w:fill="D2EAF1"/>
            <w:noWrap/>
            <w:vAlign w:val="bottom"/>
            <w:hideMark/>
          </w:tcPr>
          <w:p w14:paraId="705F2364"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19,7</w:t>
            </w:r>
          </w:p>
        </w:tc>
        <w:tc>
          <w:tcPr>
            <w:tcW w:w="1134" w:type="dxa"/>
            <w:shd w:val="clear" w:color="auto" w:fill="D2EAF1"/>
            <w:noWrap/>
            <w:vAlign w:val="bottom"/>
            <w:hideMark/>
          </w:tcPr>
          <w:p w14:paraId="0CDDB5EE"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21,1</w:t>
            </w:r>
          </w:p>
        </w:tc>
      </w:tr>
      <w:tr w:rsidR="00C007D0" w:rsidRPr="00EE32BC" w14:paraId="11ECF06C" w14:textId="77777777" w:rsidTr="00C007D0">
        <w:trPr>
          <w:trHeight w:val="300"/>
          <w:jc w:val="center"/>
        </w:trPr>
        <w:tc>
          <w:tcPr>
            <w:tcW w:w="3127" w:type="dxa"/>
            <w:tcBorders>
              <w:right w:val="nil"/>
            </w:tcBorders>
            <w:shd w:val="clear" w:color="auto" w:fill="auto"/>
            <w:noWrap/>
            <w:vAlign w:val="bottom"/>
            <w:hideMark/>
          </w:tcPr>
          <w:p w14:paraId="00BA0708"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Variación precios implícitos %</w:t>
            </w:r>
          </w:p>
        </w:tc>
        <w:tc>
          <w:tcPr>
            <w:tcW w:w="1134" w:type="dxa"/>
            <w:tcBorders>
              <w:left w:val="nil"/>
              <w:right w:val="nil"/>
            </w:tcBorders>
            <w:shd w:val="clear" w:color="auto" w:fill="auto"/>
            <w:noWrap/>
            <w:vAlign w:val="bottom"/>
            <w:hideMark/>
          </w:tcPr>
          <w:p w14:paraId="7BAC6DA2"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13,0</w:t>
            </w:r>
          </w:p>
        </w:tc>
        <w:tc>
          <w:tcPr>
            <w:tcW w:w="1134" w:type="dxa"/>
            <w:tcBorders>
              <w:left w:val="nil"/>
              <w:right w:val="nil"/>
            </w:tcBorders>
            <w:shd w:val="clear" w:color="auto" w:fill="auto"/>
            <w:noWrap/>
            <w:vAlign w:val="bottom"/>
            <w:hideMark/>
          </w:tcPr>
          <w:p w14:paraId="20F6D4BE"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15,8</w:t>
            </w:r>
          </w:p>
        </w:tc>
        <w:tc>
          <w:tcPr>
            <w:tcW w:w="1134" w:type="dxa"/>
            <w:tcBorders>
              <w:left w:val="nil"/>
              <w:right w:val="nil"/>
            </w:tcBorders>
            <w:shd w:val="clear" w:color="auto" w:fill="auto"/>
            <w:noWrap/>
            <w:vAlign w:val="bottom"/>
            <w:hideMark/>
          </w:tcPr>
          <w:p w14:paraId="384C49D3"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16,4</w:t>
            </w:r>
          </w:p>
        </w:tc>
        <w:tc>
          <w:tcPr>
            <w:tcW w:w="1134" w:type="dxa"/>
            <w:tcBorders>
              <w:left w:val="nil"/>
            </w:tcBorders>
            <w:shd w:val="clear" w:color="auto" w:fill="auto"/>
            <w:noWrap/>
            <w:vAlign w:val="bottom"/>
            <w:hideMark/>
          </w:tcPr>
          <w:p w14:paraId="61B90475"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17,6</w:t>
            </w:r>
          </w:p>
        </w:tc>
      </w:tr>
      <w:tr w:rsidR="00C007D0" w:rsidRPr="00EE32BC" w14:paraId="260B8C77" w14:textId="77777777" w:rsidTr="00C007D0">
        <w:trPr>
          <w:trHeight w:val="300"/>
          <w:jc w:val="center"/>
        </w:trPr>
        <w:tc>
          <w:tcPr>
            <w:tcW w:w="3127" w:type="dxa"/>
            <w:shd w:val="clear" w:color="auto" w:fill="D2EAF1"/>
            <w:noWrap/>
            <w:vAlign w:val="bottom"/>
            <w:hideMark/>
          </w:tcPr>
          <w:p w14:paraId="49D012A3" w14:textId="77777777" w:rsidR="004E20AB" w:rsidRPr="00117BF8" w:rsidRDefault="004E20AB" w:rsidP="00C007D0">
            <w:pPr>
              <w:pStyle w:val="TablaC"/>
              <w:jc w:val="left"/>
              <w:rPr>
                <w:rFonts w:ascii="Arial" w:hAnsi="Arial" w:cs="Arial"/>
                <w:bCs/>
                <w:sz w:val="18"/>
                <w:szCs w:val="18"/>
              </w:rPr>
            </w:pPr>
          </w:p>
        </w:tc>
        <w:tc>
          <w:tcPr>
            <w:tcW w:w="1134" w:type="dxa"/>
            <w:shd w:val="clear" w:color="auto" w:fill="D2EAF1"/>
            <w:noWrap/>
            <w:vAlign w:val="bottom"/>
            <w:hideMark/>
          </w:tcPr>
          <w:p w14:paraId="4E67C1EB" w14:textId="77777777" w:rsidR="004E20AB" w:rsidRPr="00117BF8" w:rsidRDefault="004E20AB" w:rsidP="004E20AB">
            <w:pPr>
              <w:pStyle w:val="TablaC"/>
              <w:rPr>
                <w:rFonts w:ascii="Arial" w:hAnsi="Arial" w:cs="Arial"/>
                <w:sz w:val="18"/>
                <w:szCs w:val="18"/>
              </w:rPr>
            </w:pPr>
          </w:p>
        </w:tc>
        <w:tc>
          <w:tcPr>
            <w:tcW w:w="1134" w:type="dxa"/>
            <w:shd w:val="clear" w:color="auto" w:fill="D2EAF1"/>
            <w:noWrap/>
            <w:vAlign w:val="bottom"/>
            <w:hideMark/>
          </w:tcPr>
          <w:p w14:paraId="7D8731E1" w14:textId="77777777" w:rsidR="004E20AB" w:rsidRPr="00117BF8" w:rsidRDefault="004E20AB" w:rsidP="004E20AB">
            <w:pPr>
              <w:pStyle w:val="TablaC"/>
              <w:rPr>
                <w:rFonts w:ascii="Arial" w:hAnsi="Arial" w:cs="Arial"/>
                <w:sz w:val="18"/>
                <w:szCs w:val="18"/>
              </w:rPr>
            </w:pPr>
          </w:p>
        </w:tc>
        <w:tc>
          <w:tcPr>
            <w:tcW w:w="1134" w:type="dxa"/>
            <w:shd w:val="clear" w:color="auto" w:fill="D2EAF1"/>
            <w:noWrap/>
            <w:vAlign w:val="bottom"/>
            <w:hideMark/>
          </w:tcPr>
          <w:p w14:paraId="469178F4" w14:textId="77777777" w:rsidR="004E20AB" w:rsidRPr="00117BF8" w:rsidRDefault="004E20AB" w:rsidP="004E20AB">
            <w:pPr>
              <w:pStyle w:val="TablaC"/>
              <w:rPr>
                <w:rFonts w:ascii="Arial" w:hAnsi="Arial" w:cs="Arial"/>
                <w:sz w:val="18"/>
                <w:szCs w:val="18"/>
              </w:rPr>
            </w:pPr>
          </w:p>
        </w:tc>
        <w:tc>
          <w:tcPr>
            <w:tcW w:w="1134" w:type="dxa"/>
            <w:shd w:val="clear" w:color="auto" w:fill="D2EAF1"/>
            <w:noWrap/>
            <w:vAlign w:val="bottom"/>
            <w:hideMark/>
          </w:tcPr>
          <w:p w14:paraId="55D9F7FD" w14:textId="77777777" w:rsidR="004E20AB" w:rsidRPr="00117BF8" w:rsidRDefault="004E20AB" w:rsidP="004E20AB">
            <w:pPr>
              <w:pStyle w:val="TablaC"/>
              <w:rPr>
                <w:rFonts w:ascii="Arial" w:hAnsi="Arial" w:cs="Arial"/>
                <w:sz w:val="18"/>
                <w:szCs w:val="18"/>
              </w:rPr>
            </w:pPr>
          </w:p>
        </w:tc>
      </w:tr>
      <w:tr w:rsidR="00C007D0" w:rsidRPr="00EE32BC" w14:paraId="0F83C544" w14:textId="77777777" w:rsidTr="00C007D0">
        <w:trPr>
          <w:trHeight w:val="300"/>
          <w:jc w:val="center"/>
        </w:trPr>
        <w:tc>
          <w:tcPr>
            <w:tcW w:w="3127" w:type="dxa"/>
            <w:tcBorders>
              <w:right w:val="nil"/>
            </w:tcBorders>
            <w:shd w:val="clear" w:color="auto" w:fill="auto"/>
            <w:noWrap/>
            <w:vAlign w:val="bottom"/>
            <w:hideMark/>
          </w:tcPr>
          <w:p w14:paraId="241865C2"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Real</w:t>
            </w:r>
          </w:p>
        </w:tc>
        <w:tc>
          <w:tcPr>
            <w:tcW w:w="1134" w:type="dxa"/>
            <w:tcBorders>
              <w:left w:val="nil"/>
              <w:right w:val="nil"/>
            </w:tcBorders>
            <w:shd w:val="clear" w:color="auto" w:fill="auto"/>
            <w:noWrap/>
            <w:vAlign w:val="bottom"/>
            <w:hideMark/>
          </w:tcPr>
          <w:p w14:paraId="5704839D" w14:textId="77777777" w:rsidR="004E20AB" w:rsidRPr="00117BF8" w:rsidRDefault="004E20AB" w:rsidP="004E20AB">
            <w:pPr>
              <w:pStyle w:val="TablaC"/>
              <w:rPr>
                <w:rFonts w:ascii="Arial" w:hAnsi="Arial" w:cs="Arial"/>
                <w:sz w:val="18"/>
                <w:szCs w:val="18"/>
              </w:rPr>
            </w:pPr>
          </w:p>
        </w:tc>
        <w:tc>
          <w:tcPr>
            <w:tcW w:w="1134" w:type="dxa"/>
            <w:tcBorders>
              <w:left w:val="nil"/>
              <w:right w:val="nil"/>
            </w:tcBorders>
            <w:shd w:val="clear" w:color="auto" w:fill="auto"/>
            <w:noWrap/>
            <w:vAlign w:val="bottom"/>
            <w:hideMark/>
          </w:tcPr>
          <w:p w14:paraId="633A0A74" w14:textId="77777777" w:rsidR="004E20AB" w:rsidRPr="00117BF8" w:rsidRDefault="004E20AB" w:rsidP="004E20AB">
            <w:pPr>
              <w:pStyle w:val="TablaC"/>
              <w:rPr>
                <w:rFonts w:ascii="Arial" w:hAnsi="Arial" w:cs="Arial"/>
                <w:sz w:val="18"/>
                <w:szCs w:val="18"/>
              </w:rPr>
            </w:pPr>
          </w:p>
        </w:tc>
        <w:tc>
          <w:tcPr>
            <w:tcW w:w="1134" w:type="dxa"/>
            <w:tcBorders>
              <w:left w:val="nil"/>
              <w:right w:val="nil"/>
            </w:tcBorders>
            <w:shd w:val="clear" w:color="auto" w:fill="auto"/>
            <w:noWrap/>
            <w:vAlign w:val="bottom"/>
            <w:hideMark/>
          </w:tcPr>
          <w:p w14:paraId="44AFFDF9" w14:textId="77777777" w:rsidR="004E20AB" w:rsidRPr="00117BF8" w:rsidRDefault="004E20AB" w:rsidP="004E20AB">
            <w:pPr>
              <w:pStyle w:val="TablaC"/>
              <w:rPr>
                <w:rFonts w:ascii="Arial" w:hAnsi="Arial" w:cs="Arial"/>
                <w:sz w:val="18"/>
                <w:szCs w:val="18"/>
              </w:rPr>
            </w:pPr>
          </w:p>
        </w:tc>
        <w:tc>
          <w:tcPr>
            <w:tcW w:w="1134" w:type="dxa"/>
            <w:tcBorders>
              <w:left w:val="nil"/>
            </w:tcBorders>
            <w:shd w:val="clear" w:color="auto" w:fill="auto"/>
            <w:noWrap/>
            <w:vAlign w:val="bottom"/>
            <w:hideMark/>
          </w:tcPr>
          <w:p w14:paraId="2EAF20A2" w14:textId="77777777" w:rsidR="004E20AB" w:rsidRPr="00117BF8" w:rsidRDefault="004E20AB" w:rsidP="004E20AB">
            <w:pPr>
              <w:pStyle w:val="TablaC"/>
              <w:rPr>
                <w:rFonts w:ascii="Arial" w:hAnsi="Arial" w:cs="Arial"/>
                <w:sz w:val="18"/>
                <w:szCs w:val="18"/>
              </w:rPr>
            </w:pPr>
          </w:p>
        </w:tc>
      </w:tr>
      <w:tr w:rsidR="00C007D0" w:rsidRPr="00EE32BC" w14:paraId="382772F4" w14:textId="77777777" w:rsidTr="00C007D0">
        <w:trPr>
          <w:trHeight w:val="300"/>
          <w:jc w:val="center"/>
        </w:trPr>
        <w:tc>
          <w:tcPr>
            <w:tcW w:w="3127" w:type="dxa"/>
            <w:shd w:val="clear" w:color="auto" w:fill="D2EAF1"/>
            <w:noWrap/>
            <w:vAlign w:val="bottom"/>
            <w:hideMark/>
          </w:tcPr>
          <w:p w14:paraId="4D337015"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PIB en Valores Corrientes</w:t>
            </w:r>
          </w:p>
        </w:tc>
        <w:tc>
          <w:tcPr>
            <w:tcW w:w="1134" w:type="dxa"/>
            <w:shd w:val="clear" w:color="auto" w:fill="D2EAF1"/>
            <w:noWrap/>
            <w:vAlign w:val="bottom"/>
            <w:hideMark/>
          </w:tcPr>
          <w:p w14:paraId="495FC02D"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3.348.308</w:t>
            </w:r>
          </w:p>
        </w:tc>
        <w:tc>
          <w:tcPr>
            <w:tcW w:w="1134" w:type="dxa"/>
            <w:shd w:val="clear" w:color="auto" w:fill="D2EAF1"/>
            <w:noWrap/>
            <w:vAlign w:val="bottom"/>
            <w:hideMark/>
          </w:tcPr>
          <w:p w14:paraId="795C636C"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4.579.086</w:t>
            </w:r>
          </w:p>
        </w:tc>
        <w:tc>
          <w:tcPr>
            <w:tcW w:w="1134" w:type="dxa"/>
            <w:shd w:val="clear" w:color="auto" w:fill="D2EAF1"/>
            <w:noWrap/>
            <w:vAlign w:val="bottom"/>
            <w:hideMark/>
          </w:tcPr>
          <w:p w14:paraId="685F27B5"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5.854.014</w:t>
            </w:r>
          </w:p>
        </w:tc>
        <w:tc>
          <w:tcPr>
            <w:tcW w:w="1134" w:type="dxa"/>
            <w:shd w:val="clear" w:color="auto" w:fill="D2EAF1"/>
            <w:noWrap/>
            <w:vAlign w:val="bottom"/>
            <w:hideMark/>
          </w:tcPr>
          <w:p w14:paraId="2583462A"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8.050.245</w:t>
            </w:r>
          </w:p>
        </w:tc>
      </w:tr>
      <w:tr w:rsidR="00C007D0" w:rsidRPr="00EE32BC" w14:paraId="656BB36C" w14:textId="77777777" w:rsidTr="00C007D0">
        <w:trPr>
          <w:trHeight w:val="300"/>
          <w:jc w:val="center"/>
        </w:trPr>
        <w:tc>
          <w:tcPr>
            <w:tcW w:w="3127" w:type="dxa"/>
            <w:tcBorders>
              <w:right w:val="nil"/>
            </w:tcBorders>
            <w:shd w:val="clear" w:color="auto" w:fill="auto"/>
            <w:noWrap/>
            <w:vAlign w:val="bottom"/>
            <w:hideMark/>
          </w:tcPr>
          <w:p w14:paraId="5C71CF3C"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Variación real %</w:t>
            </w:r>
          </w:p>
        </w:tc>
        <w:tc>
          <w:tcPr>
            <w:tcW w:w="1134" w:type="dxa"/>
            <w:tcBorders>
              <w:left w:val="nil"/>
              <w:right w:val="nil"/>
            </w:tcBorders>
            <w:shd w:val="clear" w:color="auto" w:fill="auto"/>
            <w:noWrap/>
            <w:vAlign w:val="bottom"/>
            <w:hideMark/>
          </w:tcPr>
          <w:p w14:paraId="15280D69"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2,4</w:t>
            </w:r>
          </w:p>
        </w:tc>
        <w:tc>
          <w:tcPr>
            <w:tcW w:w="1134" w:type="dxa"/>
            <w:tcBorders>
              <w:left w:val="nil"/>
              <w:right w:val="nil"/>
            </w:tcBorders>
            <w:shd w:val="clear" w:color="auto" w:fill="auto"/>
            <w:noWrap/>
            <w:vAlign w:val="bottom"/>
            <w:hideMark/>
          </w:tcPr>
          <w:p w14:paraId="3C973C1A"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-2,5</w:t>
            </w:r>
          </w:p>
        </w:tc>
        <w:tc>
          <w:tcPr>
            <w:tcW w:w="1134" w:type="dxa"/>
            <w:tcBorders>
              <w:left w:val="nil"/>
              <w:right w:val="nil"/>
            </w:tcBorders>
            <w:shd w:val="clear" w:color="auto" w:fill="auto"/>
            <w:noWrap/>
            <w:vAlign w:val="bottom"/>
            <w:hideMark/>
          </w:tcPr>
          <w:p w14:paraId="10E98BD0"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2,6</w:t>
            </w:r>
          </w:p>
        </w:tc>
        <w:tc>
          <w:tcPr>
            <w:tcW w:w="1134" w:type="dxa"/>
            <w:tcBorders>
              <w:left w:val="nil"/>
            </w:tcBorders>
            <w:shd w:val="clear" w:color="auto" w:fill="auto"/>
            <w:noWrap/>
            <w:vAlign w:val="bottom"/>
            <w:hideMark/>
          </w:tcPr>
          <w:p w14:paraId="6AA56049"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-2,2</w:t>
            </w:r>
          </w:p>
        </w:tc>
      </w:tr>
      <w:tr w:rsidR="00C007D0" w:rsidRPr="00EE32BC" w14:paraId="013B485F" w14:textId="77777777" w:rsidTr="00C007D0">
        <w:trPr>
          <w:trHeight w:val="300"/>
          <w:jc w:val="center"/>
        </w:trPr>
        <w:tc>
          <w:tcPr>
            <w:tcW w:w="3127" w:type="dxa"/>
            <w:shd w:val="clear" w:color="auto" w:fill="D2EAF1"/>
            <w:noWrap/>
            <w:vAlign w:val="bottom"/>
            <w:hideMark/>
          </w:tcPr>
          <w:p w14:paraId="6FCF2D71"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Variación nominal %</w:t>
            </w:r>
          </w:p>
        </w:tc>
        <w:tc>
          <w:tcPr>
            <w:tcW w:w="1134" w:type="dxa"/>
            <w:shd w:val="clear" w:color="auto" w:fill="D2EAF1"/>
            <w:noWrap/>
            <w:vAlign w:val="bottom"/>
            <w:hideMark/>
          </w:tcPr>
          <w:p w14:paraId="7A0F47E0"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26,9</w:t>
            </w:r>
          </w:p>
        </w:tc>
        <w:tc>
          <w:tcPr>
            <w:tcW w:w="1134" w:type="dxa"/>
            <w:shd w:val="clear" w:color="auto" w:fill="D2EAF1"/>
            <w:noWrap/>
            <w:vAlign w:val="bottom"/>
            <w:hideMark/>
          </w:tcPr>
          <w:p w14:paraId="37455815"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36,8</w:t>
            </w:r>
          </w:p>
        </w:tc>
        <w:tc>
          <w:tcPr>
            <w:tcW w:w="1134" w:type="dxa"/>
            <w:shd w:val="clear" w:color="auto" w:fill="D2EAF1"/>
            <w:noWrap/>
            <w:vAlign w:val="bottom"/>
            <w:hideMark/>
          </w:tcPr>
          <w:p w14:paraId="7A50F345"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27,8</w:t>
            </w:r>
          </w:p>
        </w:tc>
        <w:tc>
          <w:tcPr>
            <w:tcW w:w="1134" w:type="dxa"/>
            <w:shd w:val="clear" w:color="auto" w:fill="D2EAF1"/>
            <w:noWrap/>
            <w:vAlign w:val="bottom"/>
            <w:hideMark/>
          </w:tcPr>
          <w:p w14:paraId="0E918F83"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37,5</w:t>
            </w:r>
          </w:p>
        </w:tc>
      </w:tr>
      <w:tr w:rsidR="00C007D0" w:rsidRPr="00EE32BC" w14:paraId="56EED18C" w14:textId="77777777" w:rsidTr="00C007D0">
        <w:trPr>
          <w:trHeight w:val="300"/>
          <w:jc w:val="center"/>
        </w:trPr>
        <w:tc>
          <w:tcPr>
            <w:tcW w:w="3127" w:type="dxa"/>
            <w:tcBorders>
              <w:right w:val="nil"/>
            </w:tcBorders>
            <w:shd w:val="clear" w:color="auto" w:fill="auto"/>
            <w:noWrap/>
            <w:vAlign w:val="bottom"/>
            <w:hideMark/>
          </w:tcPr>
          <w:p w14:paraId="5A540554" w14:textId="77777777" w:rsidR="004E20AB" w:rsidRPr="00117BF8" w:rsidRDefault="004E20AB" w:rsidP="00C007D0">
            <w:pPr>
              <w:pStyle w:val="TablaC"/>
              <w:jc w:val="left"/>
              <w:rPr>
                <w:rFonts w:ascii="Arial" w:hAnsi="Arial" w:cs="Arial"/>
                <w:bCs/>
                <w:sz w:val="18"/>
                <w:szCs w:val="18"/>
              </w:rPr>
            </w:pPr>
            <w:r w:rsidRPr="00117BF8">
              <w:rPr>
                <w:rFonts w:ascii="Arial" w:hAnsi="Arial" w:cs="Arial"/>
                <w:bCs/>
                <w:sz w:val="18"/>
                <w:szCs w:val="18"/>
              </w:rPr>
              <w:t>Variación precios implícitos %</w:t>
            </w:r>
          </w:p>
        </w:tc>
        <w:tc>
          <w:tcPr>
            <w:tcW w:w="1134" w:type="dxa"/>
            <w:tcBorders>
              <w:left w:val="nil"/>
              <w:right w:val="nil"/>
            </w:tcBorders>
            <w:shd w:val="clear" w:color="auto" w:fill="auto"/>
            <w:noWrap/>
            <w:vAlign w:val="bottom"/>
            <w:hideMark/>
          </w:tcPr>
          <w:p w14:paraId="645D56C9"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23,9</w:t>
            </w:r>
          </w:p>
        </w:tc>
        <w:tc>
          <w:tcPr>
            <w:tcW w:w="1134" w:type="dxa"/>
            <w:tcBorders>
              <w:left w:val="nil"/>
              <w:right w:val="nil"/>
            </w:tcBorders>
            <w:shd w:val="clear" w:color="auto" w:fill="auto"/>
            <w:noWrap/>
            <w:vAlign w:val="bottom"/>
            <w:hideMark/>
          </w:tcPr>
          <w:p w14:paraId="6BD73834"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40,3</w:t>
            </w:r>
          </w:p>
        </w:tc>
        <w:tc>
          <w:tcPr>
            <w:tcW w:w="1134" w:type="dxa"/>
            <w:tcBorders>
              <w:left w:val="nil"/>
              <w:right w:val="nil"/>
            </w:tcBorders>
            <w:shd w:val="clear" w:color="auto" w:fill="auto"/>
            <w:noWrap/>
            <w:vAlign w:val="bottom"/>
            <w:hideMark/>
          </w:tcPr>
          <w:p w14:paraId="3A942544"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24,5</w:t>
            </w:r>
          </w:p>
        </w:tc>
        <w:tc>
          <w:tcPr>
            <w:tcW w:w="1134" w:type="dxa"/>
            <w:tcBorders>
              <w:left w:val="nil"/>
            </w:tcBorders>
            <w:shd w:val="clear" w:color="auto" w:fill="auto"/>
            <w:noWrap/>
            <w:vAlign w:val="bottom"/>
            <w:hideMark/>
          </w:tcPr>
          <w:p w14:paraId="60667DA3"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40,7</w:t>
            </w:r>
          </w:p>
        </w:tc>
      </w:tr>
      <w:tr w:rsidR="00C007D0" w:rsidRPr="00EE32BC" w14:paraId="0EF5888D" w14:textId="77777777" w:rsidTr="00C007D0">
        <w:trPr>
          <w:trHeight w:val="300"/>
          <w:jc w:val="center"/>
        </w:trPr>
        <w:tc>
          <w:tcPr>
            <w:tcW w:w="3127" w:type="dxa"/>
            <w:shd w:val="clear" w:color="auto" w:fill="D2EAF1"/>
            <w:noWrap/>
            <w:vAlign w:val="bottom"/>
            <w:hideMark/>
          </w:tcPr>
          <w:p w14:paraId="22E9C0F4" w14:textId="77777777" w:rsidR="004E20AB" w:rsidRPr="00117BF8" w:rsidRDefault="004E20AB" w:rsidP="004E20AB">
            <w:pPr>
              <w:pStyle w:val="TablaC"/>
              <w:rPr>
                <w:rFonts w:ascii="Arial" w:hAnsi="Arial" w:cs="Arial"/>
                <w:bCs/>
                <w:sz w:val="18"/>
                <w:szCs w:val="18"/>
              </w:rPr>
            </w:pPr>
          </w:p>
        </w:tc>
        <w:tc>
          <w:tcPr>
            <w:tcW w:w="1134" w:type="dxa"/>
            <w:shd w:val="clear" w:color="auto" w:fill="D2EAF1"/>
            <w:noWrap/>
            <w:vAlign w:val="bottom"/>
            <w:hideMark/>
          </w:tcPr>
          <w:p w14:paraId="7C9C02FD" w14:textId="77777777" w:rsidR="004E20AB" w:rsidRPr="00117BF8" w:rsidRDefault="004E20AB" w:rsidP="004E20AB">
            <w:pPr>
              <w:pStyle w:val="TablaC"/>
              <w:rPr>
                <w:rFonts w:ascii="Arial" w:hAnsi="Arial" w:cs="Arial"/>
                <w:sz w:val="18"/>
                <w:szCs w:val="18"/>
              </w:rPr>
            </w:pPr>
          </w:p>
        </w:tc>
        <w:tc>
          <w:tcPr>
            <w:tcW w:w="1134" w:type="dxa"/>
            <w:shd w:val="clear" w:color="auto" w:fill="D2EAF1"/>
            <w:noWrap/>
            <w:vAlign w:val="bottom"/>
            <w:hideMark/>
          </w:tcPr>
          <w:p w14:paraId="082BA684" w14:textId="77777777" w:rsidR="004E20AB" w:rsidRPr="00117BF8" w:rsidRDefault="004E20AB" w:rsidP="004E20AB">
            <w:pPr>
              <w:pStyle w:val="TablaC"/>
              <w:rPr>
                <w:rFonts w:ascii="Arial" w:hAnsi="Arial" w:cs="Arial"/>
                <w:sz w:val="18"/>
                <w:szCs w:val="18"/>
              </w:rPr>
            </w:pPr>
          </w:p>
        </w:tc>
        <w:tc>
          <w:tcPr>
            <w:tcW w:w="1134" w:type="dxa"/>
            <w:shd w:val="clear" w:color="auto" w:fill="D2EAF1"/>
            <w:noWrap/>
            <w:vAlign w:val="bottom"/>
            <w:hideMark/>
          </w:tcPr>
          <w:p w14:paraId="0D9FBA26" w14:textId="77777777" w:rsidR="004E20AB" w:rsidRPr="00117BF8" w:rsidRDefault="004E20AB" w:rsidP="004E20AB">
            <w:pPr>
              <w:pStyle w:val="TablaC"/>
              <w:rPr>
                <w:rFonts w:ascii="Arial" w:hAnsi="Arial" w:cs="Arial"/>
                <w:sz w:val="18"/>
                <w:szCs w:val="18"/>
              </w:rPr>
            </w:pPr>
          </w:p>
        </w:tc>
        <w:tc>
          <w:tcPr>
            <w:tcW w:w="1134" w:type="dxa"/>
            <w:shd w:val="clear" w:color="auto" w:fill="D2EAF1"/>
            <w:noWrap/>
            <w:vAlign w:val="bottom"/>
            <w:hideMark/>
          </w:tcPr>
          <w:p w14:paraId="43B4ED04" w14:textId="77777777" w:rsidR="004E20AB" w:rsidRPr="00117BF8" w:rsidRDefault="004E20AB" w:rsidP="004E20AB">
            <w:pPr>
              <w:pStyle w:val="TablaC"/>
              <w:rPr>
                <w:rFonts w:ascii="Arial" w:hAnsi="Arial" w:cs="Arial"/>
                <w:sz w:val="18"/>
                <w:szCs w:val="18"/>
              </w:rPr>
            </w:pPr>
          </w:p>
        </w:tc>
      </w:tr>
      <w:tr w:rsidR="00C007D0" w:rsidRPr="00EE32BC" w14:paraId="3249BDD0" w14:textId="77777777" w:rsidTr="00C007D0">
        <w:trPr>
          <w:trHeight w:val="300"/>
          <w:jc w:val="center"/>
        </w:trPr>
        <w:tc>
          <w:tcPr>
            <w:tcW w:w="3127" w:type="dxa"/>
            <w:tcBorders>
              <w:right w:val="nil"/>
            </w:tcBorders>
            <w:shd w:val="clear" w:color="auto" w:fill="auto"/>
            <w:noWrap/>
            <w:vAlign w:val="bottom"/>
            <w:hideMark/>
          </w:tcPr>
          <w:p w14:paraId="7C843161" w14:textId="77777777" w:rsidR="004E20AB" w:rsidRPr="00117BF8" w:rsidRDefault="004E20AB" w:rsidP="004E20AB">
            <w:pPr>
              <w:pStyle w:val="TablaC"/>
              <w:rPr>
                <w:rFonts w:ascii="Arial" w:hAnsi="Arial" w:cs="Arial"/>
                <w:bCs/>
                <w:sz w:val="18"/>
                <w:szCs w:val="18"/>
              </w:rPr>
            </w:pPr>
            <w:r w:rsidRPr="00117BF8">
              <w:rPr>
                <w:rFonts w:ascii="Arial" w:hAnsi="Arial" w:cs="Arial"/>
                <w:bCs/>
                <w:sz w:val="18"/>
                <w:szCs w:val="18"/>
              </w:rPr>
              <w:t>Desvío Real / Presupuesto %</w:t>
            </w:r>
          </w:p>
        </w:tc>
        <w:tc>
          <w:tcPr>
            <w:tcW w:w="1134" w:type="dxa"/>
            <w:tcBorders>
              <w:left w:val="nil"/>
              <w:right w:val="nil"/>
            </w:tcBorders>
            <w:shd w:val="clear" w:color="auto" w:fill="auto"/>
            <w:noWrap/>
            <w:vAlign w:val="bottom"/>
            <w:hideMark/>
          </w:tcPr>
          <w:p w14:paraId="76676439"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31,2</w:t>
            </w:r>
          </w:p>
        </w:tc>
        <w:tc>
          <w:tcPr>
            <w:tcW w:w="1134" w:type="dxa"/>
            <w:tcBorders>
              <w:left w:val="nil"/>
              <w:right w:val="nil"/>
            </w:tcBorders>
            <w:shd w:val="clear" w:color="auto" w:fill="auto"/>
            <w:noWrap/>
            <w:vAlign w:val="bottom"/>
            <w:hideMark/>
          </w:tcPr>
          <w:p w14:paraId="777CE700"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41,2</w:t>
            </w:r>
          </w:p>
        </w:tc>
        <w:tc>
          <w:tcPr>
            <w:tcW w:w="1134" w:type="dxa"/>
            <w:tcBorders>
              <w:left w:val="nil"/>
              <w:right w:val="nil"/>
            </w:tcBorders>
            <w:shd w:val="clear" w:color="auto" w:fill="auto"/>
            <w:noWrap/>
            <w:vAlign w:val="bottom"/>
            <w:hideMark/>
          </w:tcPr>
          <w:p w14:paraId="0DB6D46D"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18,0</w:t>
            </w:r>
          </w:p>
        </w:tc>
        <w:tc>
          <w:tcPr>
            <w:tcW w:w="1134" w:type="dxa"/>
            <w:tcBorders>
              <w:left w:val="nil"/>
            </w:tcBorders>
            <w:shd w:val="clear" w:color="auto" w:fill="auto"/>
            <w:noWrap/>
            <w:vAlign w:val="bottom"/>
            <w:hideMark/>
          </w:tcPr>
          <w:p w14:paraId="3A0022F4" w14:textId="77777777" w:rsidR="004E20AB" w:rsidRPr="00117BF8" w:rsidRDefault="004E20AB" w:rsidP="004E20AB">
            <w:pPr>
              <w:pStyle w:val="TablaC"/>
              <w:rPr>
                <w:rFonts w:ascii="Arial" w:hAnsi="Arial" w:cs="Arial"/>
                <w:sz w:val="18"/>
                <w:szCs w:val="18"/>
              </w:rPr>
            </w:pPr>
            <w:r w:rsidRPr="00117BF8">
              <w:rPr>
                <w:rFonts w:ascii="Arial" w:hAnsi="Arial" w:cs="Arial"/>
                <w:sz w:val="18"/>
                <w:szCs w:val="18"/>
              </w:rPr>
              <w:t>23,6</w:t>
            </w:r>
          </w:p>
        </w:tc>
      </w:tr>
    </w:tbl>
    <w:p w14:paraId="52039FDD" w14:textId="77777777" w:rsidR="004E20AB" w:rsidRPr="00117BF8" w:rsidRDefault="004E20AB" w:rsidP="00117BF8">
      <w:pPr>
        <w:pStyle w:val="Hfuente"/>
        <w:ind w:firstLine="708"/>
        <w:rPr>
          <w:rFonts w:ascii="Arial" w:hAnsi="Arial" w:cs="Arial"/>
          <w:sz w:val="18"/>
          <w:szCs w:val="18"/>
        </w:rPr>
      </w:pPr>
      <w:r w:rsidRPr="00117BF8">
        <w:rPr>
          <w:rFonts w:ascii="Arial" w:hAnsi="Arial" w:cs="Arial"/>
          <w:sz w:val="18"/>
          <w:szCs w:val="18"/>
        </w:rPr>
        <w:t>Elaboración propia sobre la base de los Mensajes de Elevación del Presupuesto Nacional.</w:t>
      </w:r>
    </w:p>
    <w:p w14:paraId="7018D02D" w14:textId="77777777" w:rsidR="003D7C63" w:rsidRPr="00117BF8" w:rsidRDefault="00A048AC" w:rsidP="002C3683">
      <w:pPr>
        <w:pStyle w:val="hsa"/>
        <w:rPr>
          <w:rFonts w:ascii="Arial" w:eastAsia="Calibri" w:hAnsi="Arial" w:cs="Arial"/>
          <w:sz w:val="22"/>
          <w:szCs w:val="22"/>
        </w:rPr>
      </w:pPr>
      <w:r w:rsidRPr="00117BF8">
        <w:rPr>
          <w:rFonts w:ascii="Arial" w:eastAsia="Calibri" w:hAnsi="Arial" w:cs="Arial"/>
          <w:sz w:val="22"/>
          <w:szCs w:val="22"/>
        </w:rPr>
        <w:t xml:space="preserve">Los desvíos en la tasa de inflación </w:t>
      </w:r>
      <w:r w:rsidR="006B7232" w:rsidRPr="00117BF8">
        <w:rPr>
          <w:rFonts w:ascii="Arial" w:eastAsia="Calibri" w:hAnsi="Arial" w:cs="Arial"/>
          <w:sz w:val="22"/>
          <w:szCs w:val="22"/>
        </w:rPr>
        <w:t xml:space="preserve">prevista </w:t>
      </w:r>
      <w:r w:rsidRPr="00117BF8">
        <w:rPr>
          <w:rFonts w:ascii="Arial" w:eastAsia="Calibri" w:hAnsi="Arial" w:cs="Arial"/>
          <w:sz w:val="22"/>
          <w:szCs w:val="22"/>
        </w:rPr>
        <w:t xml:space="preserve">también impactan en </w:t>
      </w:r>
      <w:r w:rsidR="006B7232" w:rsidRPr="00117BF8">
        <w:rPr>
          <w:rFonts w:ascii="Arial" w:eastAsia="Calibri" w:hAnsi="Arial" w:cs="Arial"/>
          <w:sz w:val="22"/>
          <w:szCs w:val="22"/>
        </w:rPr>
        <w:t>las diferencias que se registran entre los gastos presupuestados y los ejecutados</w:t>
      </w:r>
      <w:r w:rsidRPr="00117BF8">
        <w:rPr>
          <w:rFonts w:ascii="Arial" w:eastAsia="Calibri" w:hAnsi="Arial" w:cs="Arial"/>
          <w:sz w:val="22"/>
          <w:szCs w:val="22"/>
        </w:rPr>
        <w:t>.</w:t>
      </w:r>
    </w:p>
    <w:p w14:paraId="02F747F6" w14:textId="77777777" w:rsidR="006B7232" w:rsidRPr="00117BF8" w:rsidRDefault="00A048AC" w:rsidP="002C3683">
      <w:pPr>
        <w:pStyle w:val="hsa"/>
        <w:rPr>
          <w:rFonts w:ascii="Arial" w:eastAsia="Calibri" w:hAnsi="Arial" w:cs="Arial"/>
          <w:sz w:val="22"/>
          <w:szCs w:val="22"/>
        </w:rPr>
      </w:pPr>
      <w:r w:rsidRPr="00117BF8">
        <w:rPr>
          <w:rFonts w:ascii="Arial" w:eastAsia="Calibri" w:hAnsi="Arial" w:cs="Arial"/>
          <w:sz w:val="22"/>
          <w:szCs w:val="22"/>
        </w:rPr>
        <w:t>Por estas y otras razones, a lo largo del ejercicio el presupuesto original se modifica y se tiene</w:t>
      </w:r>
      <w:r w:rsidR="00A95C63" w:rsidRPr="00117BF8">
        <w:rPr>
          <w:rFonts w:ascii="Arial" w:eastAsia="Calibri" w:hAnsi="Arial" w:cs="Arial"/>
          <w:sz w:val="22"/>
          <w:szCs w:val="22"/>
        </w:rPr>
        <w:t xml:space="preserve"> que los recursos corrientes presupuestados para cada año se han incrementado en aproximadamente un 13%, pero el ajuste en los gastos corrientes siempre ha superado ese porcentaje, lle</w:t>
      </w:r>
      <w:r w:rsidR="006B7232" w:rsidRPr="00117BF8">
        <w:rPr>
          <w:rFonts w:ascii="Arial" w:eastAsia="Calibri" w:hAnsi="Arial" w:cs="Arial"/>
          <w:sz w:val="22"/>
          <w:szCs w:val="22"/>
        </w:rPr>
        <w:t>g</w:t>
      </w:r>
      <w:r w:rsidR="00A95C63" w:rsidRPr="00117BF8">
        <w:rPr>
          <w:rFonts w:ascii="Arial" w:eastAsia="Calibri" w:hAnsi="Arial" w:cs="Arial"/>
          <w:sz w:val="22"/>
          <w:szCs w:val="22"/>
        </w:rPr>
        <w:t>ando en 2016 a un ajuste del 23%.</w:t>
      </w:r>
      <w:r w:rsidR="00725AD6" w:rsidRPr="00117BF8">
        <w:rPr>
          <w:rFonts w:ascii="Arial" w:eastAsia="Calibri" w:hAnsi="Arial" w:cs="Arial"/>
          <w:sz w:val="22"/>
          <w:szCs w:val="22"/>
        </w:rPr>
        <w:t xml:space="preserve"> </w:t>
      </w:r>
      <w:r w:rsidR="00553F9F" w:rsidRPr="00117BF8">
        <w:rPr>
          <w:rFonts w:ascii="Arial" w:eastAsia="Calibri" w:hAnsi="Arial" w:cs="Arial"/>
          <w:sz w:val="22"/>
          <w:szCs w:val="22"/>
        </w:rPr>
        <w:t xml:space="preserve">Luego de estos ajustes, obviamente los desvíos entre el presupuesto y lo ejecutado se reducen considerablemente </w:t>
      </w:r>
      <w:r w:rsidR="006B7232" w:rsidRPr="00117BF8">
        <w:rPr>
          <w:rFonts w:ascii="Arial" w:eastAsia="Calibri" w:hAnsi="Arial" w:cs="Arial"/>
          <w:sz w:val="22"/>
          <w:szCs w:val="22"/>
        </w:rPr>
        <w:t>(Ver T</w:t>
      </w:r>
      <w:r w:rsidR="00553F9F" w:rsidRPr="00117BF8">
        <w:rPr>
          <w:rFonts w:ascii="Arial" w:eastAsia="Calibri" w:hAnsi="Arial" w:cs="Arial"/>
          <w:sz w:val="22"/>
          <w:szCs w:val="22"/>
        </w:rPr>
        <w:t>abla</w:t>
      </w:r>
      <w:r w:rsidR="006B7232" w:rsidRPr="00117BF8">
        <w:rPr>
          <w:rFonts w:ascii="Arial" w:eastAsia="Calibri" w:hAnsi="Arial" w:cs="Arial"/>
          <w:sz w:val="22"/>
          <w:szCs w:val="22"/>
        </w:rPr>
        <w:t>s AIII – 2 a 5).</w:t>
      </w:r>
    </w:p>
    <w:p w14:paraId="63905459" w14:textId="77777777" w:rsidR="005E22D8" w:rsidRPr="00117BF8" w:rsidRDefault="005E22D8" w:rsidP="002C3683">
      <w:pPr>
        <w:pStyle w:val="hsa"/>
        <w:rPr>
          <w:rFonts w:ascii="Arial" w:eastAsia="Calibri" w:hAnsi="Arial" w:cs="Arial"/>
          <w:sz w:val="22"/>
          <w:szCs w:val="22"/>
        </w:rPr>
      </w:pPr>
      <w:r w:rsidRPr="00117BF8">
        <w:rPr>
          <w:rFonts w:ascii="Arial" w:eastAsia="Calibri" w:hAnsi="Arial" w:cs="Arial"/>
          <w:sz w:val="22"/>
          <w:szCs w:val="22"/>
        </w:rPr>
        <w:t xml:space="preserve">Centrados en los diferentes resultados se observa que entre las tres dimensiones: Presupuesto Original, Modificado y Ejecutado </w:t>
      </w:r>
      <w:r w:rsidR="008B60F0" w:rsidRPr="00117BF8">
        <w:rPr>
          <w:rFonts w:ascii="Arial" w:eastAsia="Calibri" w:hAnsi="Arial" w:cs="Arial"/>
          <w:sz w:val="22"/>
          <w:szCs w:val="22"/>
        </w:rPr>
        <w:t>las divergencias son de tal magnitud que difícilmente puede adjudicar</w:t>
      </w:r>
      <w:r w:rsidR="006B7232" w:rsidRPr="00117BF8">
        <w:rPr>
          <w:rFonts w:ascii="Arial" w:eastAsia="Calibri" w:hAnsi="Arial" w:cs="Arial"/>
          <w:sz w:val="22"/>
          <w:szCs w:val="22"/>
        </w:rPr>
        <w:t>se</w:t>
      </w:r>
      <w:r w:rsidR="008B60F0" w:rsidRPr="00117BF8">
        <w:rPr>
          <w:rFonts w:ascii="Arial" w:eastAsia="Calibri" w:hAnsi="Arial" w:cs="Arial"/>
          <w:sz w:val="22"/>
          <w:szCs w:val="22"/>
        </w:rPr>
        <w:t xml:space="preserve"> predictibilidad presupuestaria </w:t>
      </w:r>
      <w:r w:rsidR="00725AD6" w:rsidRPr="00117BF8">
        <w:rPr>
          <w:rFonts w:ascii="Arial" w:eastAsia="Calibri" w:hAnsi="Arial" w:cs="Arial"/>
          <w:sz w:val="22"/>
          <w:szCs w:val="22"/>
        </w:rPr>
        <w:t>sobre</w:t>
      </w:r>
      <w:r w:rsidR="008B60F0" w:rsidRPr="00117BF8">
        <w:rPr>
          <w:rFonts w:ascii="Arial" w:eastAsia="Calibri" w:hAnsi="Arial" w:cs="Arial"/>
          <w:sz w:val="22"/>
          <w:szCs w:val="22"/>
        </w:rPr>
        <w:t xml:space="preserve"> los resultados</w:t>
      </w:r>
      <w:r w:rsidR="006B7232" w:rsidRPr="00117BF8">
        <w:rPr>
          <w:rFonts w:ascii="Arial" w:eastAsia="Calibri" w:hAnsi="Arial" w:cs="Arial"/>
          <w:sz w:val="22"/>
          <w:szCs w:val="22"/>
        </w:rPr>
        <w:t xml:space="preserve"> (Tabla </w:t>
      </w:r>
      <w:r w:rsidR="00FD79D4" w:rsidRPr="00117BF8">
        <w:rPr>
          <w:rFonts w:ascii="Arial" w:eastAsia="Calibri" w:hAnsi="Arial" w:cs="Arial"/>
          <w:sz w:val="22"/>
          <w:szCs w:val="22"/>
        </w:rPr>
        <w:t>7).</w:t>
      </w:r>
    </w:p>
    <w:p w14:paraId="3300CC14" w14:textId="77777777" w:rsidR="00E212F6" w:rsidRPr="00117BF8" w:rsidRDefault="00E212F6" w:rsidP="00E212F6">
      <w:pPr>
        <w:pStyle w:val="TablaC"/>
        <w:rPr>
          <w:rFonts w:ascii="Arial" w:hAnsi="Arial" w:cs="Arial"/>
          <w:lang w:val="es-ES_tradnl"/>
        </w:rPr>
      </w:pPr>
      <w:r w:rsidRPr="00117BF8">
        <w:rPr>
          <w:rFonts w:ascii="Arial" w:hAnsi="Arial" w:cs="Arial"/>
          <w:b/>
          <w:bCs/>
          <w:sz w:val="20"/>
          <w:lang w:val="es-ES_tradnl"/>
        </w:rPr>
        <w:tab/>
      </w:r>
    </w:p>
    <w:tbl>
      <w:tblPr>
        <w:tblW w:w="8505"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073"/>
        <w:gridCol w:w="1358"/>
        <w:gridCol w:w="1358"/>
        <w:gridCol w:w="1358"/>
        <w:gridCol w:w="1358"/>
      </w:tblGrid>
      <w:tr w:rsidR="005E22D8" w:rsidRPr="00EE32BC" w14:paraId="4CC00D93" w14:textId="77777777" w:rsidTr="00C007D0">
        <w:trPr>
          <w:trHeight w:val="300"/>
        </w:trPr>
        <w:tc>
          <w:tcPr>
            <w:tcW w:w="8505" w:type="dxa"/>
            <w:gridSpan w:val="5"/>
            <w:tcBorders>
              <w:top w:val="single" w:sz="8" w:space="0" w:color="7BA0CD"/>
              <w:left w:val="single" w:sz="8" w:space="0" w:color="7BA0CD"/>
              <w:bottom w:val="single" w:sz="8" w:space="0" w:color="7BA0CD"/>
              <w:right w:val="single" w:sz="8" w:space="0" w:color="7BA0CD"/>
            </w:tcBorders>
            <w:shd w:val="clear" w:color="auto" w:fill="0070C0"/>
            <w:noWrap/>
          </w:tcPr>
          <w:p w14:paraId="40A1DB68" w14:textId="77777777" w:rsidR="005E22D8" w:rsidRPr="00117BF8" w:rsidRDefault="00C57D83" w:rsidP="00117BF8">
            <w:pPr>
              <w:pStyle w:val="TablaE"/>
              <w:rPr>
                <w:rFonts w:ascii="Arial" w:hAnsi="Arial" w:cs="Arial"/>
                <w:sz w:val="22"/>
                <w:szCs w:val="22"/>
              </w:rPr>
            </w:pPr>
            <w:bookmarkStart w:id="35" w:name="_Toc493861117"/>
            <w:r w:rsidRPr="00117BF8">
              <w:rPr>
                <w:rFonts w:ascii="Arial" w:hAnsi="Arial" w:cs="Arial"/>
                <w:sz w:val="22"/>
                <w:szCs w:val="22"/>
              </w:rPr>
              <w:t xml:space="preserve">Tabla </w:t>
            </w:r>
            <w:r w:rsidR="00FD79D4" w:rsidRPr="00117BF8">
              <w:rPr>
                <w:rFonts w:ascii="Arial" w:hAnsi="Arial" w:cs="Arial"/>
                <w:sz w:val="22"/>
                <w:szCs w:val="22"/>
              </w:rPr>
              <w:t>7</w:t>
            </w:r>
            <w:r w:rsidRPr="00117BF8">
              <w:rPr>
                <w:rFonts w:ascii="Arial" w:hAnsi="Arial" w:cs="Arial"/>
                <w:sz w:val="22"/>
                <w:szCs w:val="22"/>
              </w:rPr>
              <w:t xml:space="preserve"> - Cuenta de Ahorro - Inversion - Financiamiento</w:t>
            </w:r>
            <w:bookmarkEnd w:id="35"/>
          </w:p>
          <w:p w14:paraId="1C6AEAD7" w14:textId="77777777" w:rsidR="005E22D8" w:rsidRPr="00117BF8" w:rsidRDefault="00C57D83" w:rsidP="00C57D83">
            <w:pPr>
              <w:pStyle w:val="TablaC"/>
              <w:rPr>
                <w:rFonts w:ascii="Arial" w:hAnsi="Arial" w:cs="Arial"/>
                <w:b/>
                <w:color w:val="FFFFFF"/>
                <w:szCs w:val="22"/>
                <w:lang w:val="es-ES" w:eastAsia="es-ES"/>
              </w:rPr>
            </w:pPr>
            <w:r w:rsidRPr="00117BF8">
              <w:rPr>
                <w:rFonts w:ascii="Arial" w:hAnsi="Arial" w:cs="Arial"/>
                <w:b/>
                <w:color w:val="FFFFFF"/>
                <w:szCs w:val="22"/>
                <w:lang w:val="es-ES" w:eastAsia="es-ES"/>
              </w:rPr>
              <w:t>Millones de pesos</w:t>
            </w:r>
          </w:p>
        </w:tc>
      </w:tr>
      <w:tr w:rsidR="00C007D0" w:rsidRPr="00EE32BC" w14:paraId="119FCDC1" w14:textId="77777777" w:rsidTr="00C007D0">
        <w:trPr>
          <w:trHeight w:val="300"/>
        </w:trPr>
        <w:tc>
          <w:tcPr>
            <w:tcW w:w="3073" w:type="dxa"/>
            <w:tcBorders>
              <w:right w:val="nil"/>
            </w:tcBorders>
            <w:shd w:val="clear" w:color="auto" w:fill="0070C0"/>
            <w:noWrap/>
            <w:hideMark/>
          </w:tcPr>
          <w:p w14:paraId="7ED5A793" w14:textId="77777777" w:rsidR="005E22D8" w:rsidRPr="00117BF8" w:rsidRDefault="005E22D8" w:rsidP="00C57D83">
            <w:pPr>
              <w:pStyle w:val="TablaE"/>
              <w:rPr>
                <w:rFonts w:ascii="Arial" w:hAnsi="Arial" w:cs="Arial"/>
                <w:b w:val="0"/>
                <w:bCs/>
                <w:sz w:val="20"/>
              </w:rPr>
            </w:pPr>
          </w:p>
        </w:tc>
        <w:tc>
          <w:tcPr>
            <w:tcW w:w="1358" w:type="dxa"/>
            <w:tcBorders>
              <w:left w:val="nil"/>
              <w:right w:val="nil"/>
            </w:tcBorders>
            <w:shd w:val="clear" w:color="auto" w:fill="0070C0"/>
            <w:noWrap/>
            <w:hideMark/>
          </w:tcPr>
          <w:p w14:paraId="658AB72C" w14:textId="77777777" w:rsidR="005E22D8" w:rsidRPr="00117BF8" w:rsidRDefault="005E22D8" w:rsidP="00C57D83">
            <w:pPr>
              <w:pStyle w:val="TablaE"/>
              <w:rPr>
                <w:rFonts w:ascii="Arial" w:hAnsi="Arial" w:cs="Arial"/>
                <w:sz w:val="20"/>
              </w:rPr>
            </w:pPr>
            <w:r w:rsidRPr="00117BF8">
              <w:rPr>
                <w:rFonts w:ascii="Arial" w:hAnsi="Arial" w:cs="Arial"/>
                <w:sz w:val="22"/>
                <w:szCs w:val="22"/>
              </w:rPr>
              <w:t>2013</w:t>
            </w:r>
          </w:p>
        </w:tc>
        <w:tc>
          <w:tcPr>
            <w:tcW w:w="1358" w:type="dxa"/>
            <w:tcBorders>
              <w:left w:val="nil"/>
              <w:right w:val="nil"/>
            </w:tcBorders>
            <w:shd w:val="clear" w:color="auto" w:fill="0070C0"/>
            <w:noWrap/>
            <w:hideMark/>
          </w:tcPr>
          <w:p w14:paraId="15A20E18" w14:textId="77777777" w:rsidR="005E22D8" w:rsidRPr="00117BF8" w:rsidRDefault="005E22D8" w:rsidP="00C57D83">
            <w:pPr>
              <w:pStyle w:val="TablaE"/>
              <w:rPr>
                <w:rFonts w:ascii="Arial" w:hAnsi="Arial" w:cs="Arial"/>
                <w:sz w:val="22"/>
                <w:szCs w:val="22"/>
              </w:rPr>
            </w:pPr>
            <w:r w:rsidRPr="00117BF8">
              <w:rPr>
                <w:rFonts w:ascii="Arial" w:hAnsi="Arial" w:cs="Arial"/>
                <w:sz w:val="22"/>
                <w:szCs w:val="22"/>
              </w:rPr>
              <w:t>2014</w:t>
            </w:r>
          </w:p>
        </w:tc>
        <w:tc>
          <w:tcPr>
            <w:tcW w:w="1358" w:type="dxa"/>
            <w:tcBorders>
              <w:left w:val="nil"/>
              <w:right w:val="nil"/>
            </w:tcBorders>
            <w:shd w:val="clear" w:color="auto" w:fill="0070C0"/>
            <w:noWrap/>
            <w:hideMark/>
          </w:tcPr>
          <w:p w14:paraId="050372E8" w14:textId="77777777" w:rsidR="005E22D8" w:rsidRPr="00117BF8" w:rsidRDefault="005E22D8" w:rsidP="00C57D83">
            <w:pPr>
              <w:pStyle w:val="TablaE"/>
              <w:rPr>
                <w:rFonts w:ascii="Arial" w:hAnsi="Arial" w:cs="Arial"/>
                <w:sz w:val="22"/>
                <w:szCs w:val="22"/>
              </w:rPr>
            </w:pPr>
            <w:r w:rsidRPr="00117BF8">
              <w:rPr>
                <w:rFonts w:ascii="Arial" w:hAnsi="Arial" w:cs="Arial"/>
                <w:sz w:val="22"/>
                <w:szCs w:val="22"/>
              </w:rPr>
              <w:t>2015</w:t>
            </w:r>
          </w:p>
        </w:tc>
        <w:tc>
          <w:tcPr>
            <w:tcW w:w="1358" w:type="dxa"/>
            <w:tcBorders>
              <w:left w:val="nil"/>
            </w:tcBorders>
            <w:shd w:val="clear" w:color="auto" w:fill="0070C0"/>
            <w:noWrap/>
            <w:hideMark/>
          </w:tcPr>
          <w:p w14:paraId="705BECFE" w14:textId="77777777" w:rsidR="005E22D8" w:rsidRPr="00117BF8" w:rsidRDefault="005E22D8" w:rsidP="00C57D83">
            <w:pPr>
              <w:pStyle w:val="TablaE"/>
              <w:rPr>
                <w:rFonts w:ascii="Arial" w:hAnsi="Arial" w:cs="Arial"/>
                <w:sz w:val="22"/>
                <w:szCs w:val="22"/>
              </w:rPr>
            </w:pPr>
            <w:r w:rsidRPr="00117BF8">
              <w:rPr>
                <w:rFonts w:ascii="Arial" w:hAnsi="Arial" w:cs="Arial"/>
                <w:sz w:val="22"/>
                <w:szCs w:val="22"/>
              </w:rPr>
              <w:t>2016</w:t>
            </w:r>
          </w:p>
        </w:tc>
      </w:tr>
      <w:tr w:rsidR="00C007D0" w:rsidRPr="00EE32BC" w14:paraId="5A53E2DC" w14:textId="77777777" w:rsidTr="00C007D0">
        <w:trPr>
          <w:trHeight w:val="300"/>
        </w:trPr>
        <w:tc>
          <w:tcPr>
            <w:tcW w:w="3073" w:type="dxa"/>
            <w:tcBorders>
              <w:right w:val="nil"/>
            </w:tcBorders>
            <w:shd w:val="clear" w:color="auto" w:fill="auto"/>
            <w:noWrap/>
            <w:hideMark/>
          </w:tcPr>
          <w:p w14:paraId="3AA513CB" w14:textId="77777777" w:rsidR="005E22D8" w:rsidRPr="00117BF8" w:rsidRDefault="005E22D8" w:rsidP="00C007D0">
            <w:pPr>
              <w:pStyle w:val="TablaC"/>
              <w:jc w:val="left"/>
              <w:rPr>
                <w:rFonts w:ascii="Arial" w:hAnsi="Arial" w:cs="Arial"/>
                <w:bCs/>
                <w:sz w:val="18"/>
                <w:szCs w:val="18"/>
              </w:rPr>
            </w:pPr>
            <w:r w:rsidRPr="00117BF8">
              <w:rPr>
                <w:rFonts w:ascii="Arial" w:hAnsi="Arial" w:cs="Arial"/>
                <w:bCs/>
                <w:sz w:val="18"/>
                <w:szCs w:val="18"/>
              </w:rPr>
              <w:t>Resultado Económico</w:t>
            </w:r>
          </w:p>
        </w:tc>
        <w:tc>
          <w:tcPr>
            <w:tcW w:w="1358" w:type="dxa"/>
            <w:tcBorders>
              <w:left w:val="nil"/>
              <w:right w:val="nil"/>
            </w:tcBorders>
            <w:shd w:val="clear" w:color="auto" w:fill="auto"/>
            <w:noWrap/>
            <w:hideMark/>
          </w:tcPr>
          <w:p w14:paraId="69F532CD" w14:textId="77777777" w:rsidR="005E22D8" w:rsidRPr="00117BF8" w:rsidRDefault="005E22D8" w:rsidP="00C57D83">
            <w:pPr>
              <w:pStyle w:val="TablaC"/>
              <w:rPr>
                <w:rFonts w:ascii="Arial" w:hAnsi="Arial" w:cs="Arial"/>
                <w:sz w:val="18"/>
                <w:szCs w:val="18"/>
              </w:rPr>
            </w:pPr>
          </w:p>
        </w:tc>
        <w:tc>
          <w:tcPr>
            <w:tcW w:w="1358" w:type="dxa"/>
            <w:tcBorders>
              <w:left w:val="nil"/>
              <w:right w:val="nil"/>
            </w:tcBorders>
            <w:shd w:val="clear" w:color="auto" w:fill="auto"/>
            <w:noWrap/>
            <w:hideMark/>
          </w:tcPr>
          <w:p w14:paraId="7EAADD6D" w14:textId="77777777" w:rsidR="005E22D8" w:rsidRPr="00117BF8" w:rsidRDefault="005E22D8" w:rsidP="00C57D83">
            <w:pPr>
              <w:pStyle w:val="TablaC"/>
              <w:rPr>
                <w:rFonts w:ascii="Arial" w:hAnsi="Arial" w:cs="Arial"/>
                <w:sz w:val="18"/>
                <w:szCs w:val="18"/>
              </w:rPr>
            </w:pPr>
          </w:p>
        </w:tc>
        <w:tc>
          <w:tcPr>
            <w:tcW w:w="1358" w:type="dxa"/>
            <w:tcBorders>
              <w:left w:val="nil"/>
              <w:right w:val="nil"/>
            </w:tcBorders>
            <w:shd w:val="clear" w:color="auto" w:fill="auto"/>
            <w:noWrap/>
            <w:hideMark/>
          </w:tcPr>
          <w:p w14:paraId="7BFDA192" w14:textId="77777777" w:rsidR="005E22D8" w:rsidRPr="00117BF8" w:rsidRDefault="005E22D8" w:rsidP="00C57D83">
            <w:pPr>
              <w:pStyle w:val="TablaC"/>
              <w:rPr>
                <w:rFonts w:ascii="Arial" w:hAnsi="Arial" w:cs="Arial"/>
                <w:sz w:val="18"/>
                <w:szCs w:val="18"/>
              </w:rPr>
            </w:pPr>
          </w:p>
        </w:tc>
        <w:tc>
          <w:tcPr>
            <w:tcW w:w="1358" w:type="dxa"/>
            <w:tcBorders>
              <w:left w:val="nil"/>
            </w:tcBorders>
            <w:shd w:val="clear" w:color="auto" w:fill="auto"/>
            <w:noWrap/>
            <w:hideMark/>
          </w:tcPr>
          <w:p w14:paraId="4C2C4B5C" w14:textId="77777777" w:rsidR="005E22D8" w:rsidRPr="00117BF8" w:rsidRDefault="005E22D8" w:rsidP="00C57D83">
            <w:pPr>
              <w:pStyle w:val="TablaC"/>
              <w:rPr>
                <w:rFonts w:ascii="Arial" w:hAnsi="Arial" w:cs="Arial"/>
                <w:sz w:val="18"/>
                <w:szCs w:val="18"/>
              </w:rPr>
            </w:pPr>
          </w:p>
        </w:tc>
      </w:tr>
      <w:tr w:rsidR="00C007D0" w:rsidRPr="00EE32BC" w14:paraId="6F4F9206" w14:textId="77777777" w:rsidTr="00C007D0">
        <w:trPr>
          <w:trHeight w:val="300"/>
        </w:trPr>
        <w:tc>
          <w:tcPr>
            <w:tcW w:w="3073" w:type="dxa"/>
            <w:shd w:val="clear" w:color="auto" w:fill="D3DFEE"/>
            <w:noWrap/>
            <w:hideMark/>
          </w:tcPr>
          <w:p w14:paraId="5F32F4FA"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Presupuesto Original</w:t>
            </w:r>
          </w:p>
        </w:tc>
        <w:tc>
          <w:tcPr>
            <w:tcW w:w="1358" w:type="dxa"/>
            <w:shd w:val="clear" w:color="auto" w:fill="D3DFEE"/>
            <w:noWrap/>
            <w:hideMark/>
          </w:tcPr>
          <w:p w14:paraId="40ECF99B"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29,1</w:t>
            </w:r>
          </w:p>
        </w:tc>
        <w:tc>
          <w:tcPr>
            <w:tcW w:w="1358" w:type="dxa"/>
            <w:shd w:val="clear" w:color="auto" w:fill="D3DFEE"/>
            <w:noWrap/>
            <w:hideMark/>
          </w:tcPr>
          <w:p w14:paraId="5E308088"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4.431,1</w:t>
            </w:r>
          </w:p>
        </w:tc>
        <w:tc>
          <w:tcPr>
            <w:tcW w:w="1358" w:type="dxa"/>
            <w:shd w:val="clear" w:color="auto" w:fill="D3DFEE"/>
            <w:noWrap/>
            <w:hideMark/>
          </w:tcPr>
          <w:p w14:paraId="05BFB75A"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4.976,3</w:t>
            </w:r>
          </w:p>
        </w:tc>
        <w:tc>
          <w:tcPr>
            <w:tcW w:w="1358" w:type="dxa"/>
            <w:shd w:val="clear" w:color="auto" w:fill="D3DFEE"/>
            <w:noWrap/>
            <w:hideMark/>
          </w:tcPr>
          <w:p w14:paraId="26E9B849"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-1.643,4</w:t>
            </w:r>
          </w:p>
        </w:tc>
      </w:tr>
      <w:tr w:rsidR="00C007D0" w:rsidRPr="00EE32BC" w14:paraId="18A50190" w14:textId="77777777" w:rsidTr="00C007D0">
        <w:trPr>
          <w:trHeight w:val="300"/>
        </w:trPr>
        <w:tc>
          <w:tcPr>
            <w:tcW w:w="3073" w:type="dxa"/>
            <w:tcBorders>
              <w:right w:val="nil"/>
            </w:tcBorders>
            <w:shd w:val="clear" w:color="auto" w:fill="auto"/>
            <w:noWrap/>
            <w:hideMark/>
          </w:tcPr>
          <w:p w14:paraId="5AA1D149"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Presupuesto Modificado</w:t>
            </w:r>
          </w:p>
        </w:tc>
        <w:tc>
          <w:tcPr>
            <w:tcW w:w="1358" w:type="dxa"/>
            <w:tcBorders>
              <w:left w:val="nil"/>
              <w:right w:val="nil"/>
            </w:tcBorders>
            <w:shd w:val="clear" w:color="auto" w:fill="auto"/>
            <w:noWrap/>
            <w:hideMark/>
          </w:tcPr>
          <w:p w14:paraId="0CE6C6F2"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-6.309,3</w:t>
            </w:r>
          </w:p>
        </w:tc>
        <w:tc>
          <w:tcPr>
            <w:tcW w:w="1358" w:type="dxa"/>
            <w:tcBorders>
              <w:left w:val="nil"/>
              <w:right w:val="nil"/>
            </w:tcBorders>
            <w:shd w:val="clear" w:color="auto" w:fill="auto"/>
            <w:noWrap/>
            <w:hideMark/>
          </w:tcPr>
          <w:p w14:paraId="0C6AFB33"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-1.524,5</w:t>
            </w:r>
          </w:p>
        </w:tc>
        <w:tc>
          <w:tcPr>
            <w:tcW w:w="1358" w:type="dxa"/>
            <w:tcBorders>
              <w:left w:val="nil"/>
              <w:right w:val="nil"/>
            </w:tcBorders>
            <w:shd w:val="clear" w:color="auto" w:fill="auto"/>
            <w:noWrap/>
            <w:hideMark/>
          </w:tcPr>
          <w:p w14:paraId="7F33795D"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-4.851,3</w:t>
            </w:r>
          </w:p>
        </w:tc>
        <w:tc>
          <w:tcPr>
            <w:tcW w:w="1358" w:type="dxa"/>
            <w:tcBorders>
              <w:left w:val="nil"/>
            </w:tcBorders>
            <w:shd w:val="clear" w:color="auto" w:fill="auto"/>
            <w:noWrap/>
            <w:hideMark/>
          </w:tcPr>
          <w:p w14:paraId="74C3DA92"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-34.718,2</w:t>
            </w:r>
          </w:p>
        </w:tc>
      </w:tr>
      <w:tr w:rsidR="00C007D0" w:rsidRPr="00EE32BC" w14:paraId="5A58B184" w14:textId="77777777" w:rsidTr="00C007D0">
        <w:trPr>
          <w:trHeight w:val="300"/>
        </w:trPr>
        <w:tc>
          <w:tcPr>
            <w:tcW w:w="3073" w:type="dxa"/>
            <w:shd w:val="clear" w:color="auto" w:fill="D3DFEE"/>
            <w:noWrap/>
            <w:hideMark/>
          </w:tcPr>
          <w:p w14:paraId="0D39A1CB"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Ejecutado</w:t>
            </w:r>
          </w:p>
        </w:tc>
        <w:tc>
          <w:tcPr>
            <w:tcW w:w="1358" w:type="dxa"/>
            <w:shd w:val="clear" w:color="auto" w:fill="D3DFEE"/>
            <w:noWrap/>
            <w:hideMark/>
          </w:tcPr>
          <w:p w14:paraId="7700B03A"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232,3</w:t>
            </w:r>
          </w:p>
        </w:tc>
        <w:tc>
          <w:tcPr>
            <w:tcW w:w="1358" w:type="dxa"/>
            <w:shd w:val="clear" w:color="auto" w:fill="D3DFEE"/>
            <w:noWrap/>
            <w:hideMark/>
          </w:tcPr>
          <w:p w14:paraId="707585D9"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3.353,4</w:t>
            </w:r>
          </w:p>
        </w:tc>
        <w:tc>
          <w:tcPr>
            <w:tcW w:w="1358" w:type="dxa"/>
            <w:shd w:val="clear" w:color="auto" w:fill="D3DFEE"/>
            <w:noWrap/>
            <w:hideMark/>
          </w:tcPr>
          <w:p w14:paraId="679CBB82"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-15.820,5</w:t>
            </w:r>
          </w:p>
        </w:tc>
        <w:tc>
          <w:tcPr>
            <w:tcW w:w="1358" w:type="dxa"/>
            <w:shd w:val="clear" w:color="auto" w:fill="D3DFEE"/>
            <w:noWrap/>
            <w:hideMark/>
          </w:tcPr>
          <w:p w14:paraId="02D256CD"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-12.358,7</w:t>
            </w:r>
          </w:p>
        </w:tc>
      </w:tr>
      <w:tr w:rsidR="00C007D0" w:rsidRPr="00EE32BC" w14:paraId="79E22701" w14:textId="77777777" w:rsidTr="00C007D0">
        <w:trPr>
          <w:trHeight w:val="300"/>
        </w:trPr>
        <w:tc>
          <w:tcPr>
            <w:tcW w:w="3073" w:type="dxa"/>
            <w:tcBorders>
              <w:right w:val="nil"/>
            </w:tcBorders>
            <w:shd w:val="clear" w:color="auto" w:fill="auto"/>
            <w:noWrap/>
            <w:hideMark/>
          </w:tcPr>
          <w:p w14:paraId="179EF3E4" w14:textId="77777777" w:rsidR="005E22D8" w:rsidRPr="00117BF8" w:rsidRDefault="005E22D8" w:rsidP="00C007D0">
            <w:pPr>
              <w:pStyle w:val="TablaC"/>
              <w:jc w:val="left"/>
              <w:rPr>
                <w:rFonts w:ascii="Arial" w:hAnsi="Arial" w:cs="Arial"/>
                <w:bCs/>
                <w:sz w:val="18"/>
                <w:szCs w:val="18"/>
              </w:rPr>
            </w:pPr>
            <w:r w:rsidRPr="00117BF8">
              <w:rPr>
                <w:rFonts w:ascii="Arial" w:hAnsi="Arial" w:cs="Arial"/>
                <w:bCs/>
                <w:sz w:val="18"/>
                <w:szCs w:val="18"/>
              </w:rPr>
              <w:t>Resultado Financiero</w:t>
            </w:r>
          </w:p>
        </w:tc>
        <w:tc>
          <w:tcPr>
            <w:tcW w:w="1358" w:type="dxa"/>
            <w:tcBorders>
              <w:left w:val="nil"/>
              <w:right w:val="nil"/>
            </w:tcBorders>
            <w:shd w:val="clear" w:color="auto" w:fill="auto"/>
            <w:noWrap/>
            <w:hideMark/>
          </w:tcPr>
          <w:p w14:paraId="47FF41A0" w14:textId="77777777" w:rsidR="005E22D8" w:rsidRPr="00117BF8" w:rsidRDefault="005E22D8" w:rsidP="00C57D83">
            <w:pPr>
              <w:pStyle w:val="TablaC"/>
              <w:rPr>
                <w:rFonts w:ascii="Arial" w:hAnsi="Arial" w:cs="Arial"/>
                <w:sz w:val="18"/>
                <w:szCs w:val="18"/>
              </w:rPr>
            </w:pPr>
          </w:p>
        </w:tc>
        <w:tc>
          <w:tcPr>
            <w:tcW w:w="1358" w:type="dxa"/>
            <w:tcBorders>
              <w:left w:val="nil"/>
              <w:right w:val="nil"/>
            </w:tcBorders>
            <w:shd w:val="clear" w:color="auto" w:fill="auto"/>
            <w:noWrap/>
            <w:hideMark/>
          </w:tcPr>
          <w:p w14:paraId="26858220" w14:textId="77777777" w:rsidR="005E22D8" w:rsidRPr="00117BF8" w:rsidRDefault="005E22D8" w:rsidP="00C57D83">
            <w:pPr>
              <w:pStyle w:val="TablaC"/>
              <w:rPr>
                <w:rFonts w:ascii="Arial" w:hAnsi="Arial" w:cs="Arial"/>
                <w:sz w:val="18"/>
                <w:szCs w:val="18"/>
              </w:rPr>
            </w:pPr>
          </w:p>
        </w:tc>
        <w:tc>
          <w:tcPr>
            <w:tcW w:w="1358" w:type="dxa"/>
            <w:tcBorders>
              <w:left w:val="nil"/>
              <w:right w:val="nil"/>
            </w:tcBorders>
            <w:shd w:val="clear" w:color="auto" w:fill="auto"/>
            <w:noWrap/>
            <w:hideMark/>
          </w:tcPr>
          <w:p w14:paraId="6ADDC7C9" w14:textId="77777777" w:rsidR="005E22D8" w:rsidRPr="00117BF8" w:rsidRDefault="005E22D8" w:rsidP="00C57D83">
            <w:pPr>
              <w:pStyle w:val="TablaC"/>
              <w:rPr>
                <w:rFonts w:ascii="Arial" w:hAnsi="Arial" w:cs="Arial"/>
                <w:sz w:val="18"/>
                <w:szCs w:val="18"/>
              </w:rPr>
            </w:pPr>
          </w:p>
        </w:tc>
        <w:tc>
          <w:tcPr>
            <w:tcW w:w="1358" w:type="dxa"/>
            <w:tcBorders>
              <w:left w:val="nil"/>
            </w:tcBorders>
            <w:shd w:val="clear" w:color="auto" w:fill="auto"/>
            <w:noWrap/>
            <w:hideMark/>
          </w:tcPr>
          <w:p w14:paraId="594652C5" w14:textId="77777777" w:rsidR="005E22D8" w:rsidRPr="00117BF8" w:rsidRDefault="005E22D8" w:rsidP="00C57D83">
            <w:pPr>
              <w:pStyle w:val="TablaC"/>
              <w:rPr>
                <w:rFonts w:ascii="Arial" w:hAnsi="Arial" w:cs="Arial"/>
                <w:sz w:val="18"/>
                <w:szCs w:val="18"/>
              </w:rPr>
            </w:pPr>
          </w:p>
        </w:tc>
      </w:tr>
      <w:tr w:rsidR="00C007D0" w:rsidRPr="00EE32BC" w14:paraId="65914D24" w14:textId="77777777" w:rsidTr="00C007D0">
        <w:trPr>
          <w:trHeight w:val="300"/>
        </w:trPr>
        <w:tc>
          <w:tcPr>
            <w:tcW w:w="3073" w:type="dxa"/>
            <w:shd w:val="clear" w:color="auto" w:fill="D3DFEE"/>
            <w:noWrap/>
            <w:hideMark/>
          </w:tcPr>
          <w:p w14:paraId="73FF5097"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Presupuesto Original</w:t>
            </w:r>
          </w:p>
        </w:tc>
        <w:tc>
          <w:tcPr>
            <w:tcW w:w="1358" w:type="dxa"/>
            <w:shd w:val="clear" w:color="auto" w:fill="D3DFEE"/>
            <w:noWrap/>
            <w:hideMark/>
          </w:tcPr>
          <w:p w14:paraId="24C39B2E"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-5.107,5</w:t>
            </w:r>
          </w:p>
        </w:tc>
        <w:tc>
          <w:tcPr>
            <w:tcW w:w="1358" w:type="dxa"/>
            <w:shd w:val="clear" w:color="auto" w:fill="D3DFEE"/>
            <w:noWrap/>
            <w:hideMark/>
          </w:tcPr>
          <w:p w14:paraId="7F2503F5"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-2.148,6</w:t>
            </w:r>
          </w:p>
        </w:tc>
        <w:tc>
          <w:tcPr>
            <w:tcW w:w="1358" w:type="dxa"/>
            <w:shd w:val="clear" w:color="auto" w:fill="D3DFEE"/>
            <w:noWrap/>
            <w:hideMark/>
          </w:tcPr>
          <w:p w14:paraId="4A15BC73"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-2.910,2</w:t>
            </w:r>
          </w:p>
        </w:tc>
        <w:tc>
          <w:tcPr>
            <w:tcW w:w="1358" w:type="dxa"/>
            <w:shd w:val="clear" w:color="auto" w:fill="D3DFEE"/>
            <w:noWrap/>
            <w:hideMark/>
          </w:tcPr>
          <w:p w14:paraId="3EEB57BA"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-20.233,7</w:t>
            </w:r>
          </w:p>
        </w:tc>
      </w:tr>
      <w:tr w:rsidR="00C007D0" w:rsidRPr="00EE32BC" w14:paraId="0F49C785" w14:textId="77777777" w:rsidTr="00C007D0">
        <w:trPr>
          <w:trHeight w:val="300"/>
        </w:trPr>
        <w:tc>
          <w:tcPr>
            <w:tcW w:w="3073" w:type="dxa"/>
            <w:tcBorders>
              <w:right w:val="nil"/>
            </w:tcBorders>
            <w:shd w:val="clear" w:color="auto" w:fill="auto"/>
            <w:noWrap/>
            <w:hideMark/>
          </w:tcPr>
          <w:p w14:paraId="12493E5D"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Presupuesto Modificado</w:t>
            </w:r>
          </w:p>
        </w:tc>
        <w:tc>
          <w:tcPr>
            <w:tcW w:w="1358" w:type="dxa"/>
            <w:tcBorders>
              <w:left w:val="nil"/>
              <w:right w:val="nil"/>
            </w:tcBorders>
            <w:shd w:val="clear" w:color="auto" w:fill="auto"/>
            <w:noWrap/>
            <w:hideMark/>
          </w:tcPr>
          <w:p w14:paraId="1EEA38EC"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-10.097,9</w:t>
            </w:r>
          </w:p>
        </w:tc>
        <w:tc>
          <w:tcPr>
            <w:tcW w:w="1358" w:type="dxa"/>
            <w:tcBorders>
              <w:left w:val="nil"/>
              <w:right w:val="nil"/>
            </w:tcBorders>
            <w:shd w:val="clear" w:color="auto" w:fill="auto"/>
            <w:noWrap/>
            <w:hideMark/>
          </w:tcPr>
          <w:p w14:paraId="1A9685FC"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-6.703,3</w:t>
            </w:r>
          </w:p>
        </w:tc>
        <w:tc>
          <w:tcPr>
            <w:tcW w:w="1358" w:type="dxa"/>
            <w:tcBorders>
              <w:left w:val="nil"/>
              <w:right w:val="nil"/>
            </w:tcBorders>
            <w:shd w:val="clear" w:color="auto" w:fill="auto"/>
            <w:noWrap/>
            <w:hideMark/>
          </w:tcPr>
          <w:p w14:paraId="1B9EDCA1"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-14.249,0</w:t>
            </w:r>
          </w:p>
        </w:tc>
        <w:tc>
          <w:tcPr>
            <w:tcW w:w="1358" w:type="dxa"/>
            <w:tcBorders>
              <w:left w:val="nil"/>
            </w:tcBorders>
            <w:shd w:val="clear" w:color="auto" w:fill="auto"/>
            <w:noWrap/>
            <w:hideMark/>
          </w:tcPr>
          <w:p w14:paraId="3882DC4A"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-61.714,2</w:t>
            </w:r>
          </w:p>
        </w:tc>
      </w:tr>
      <w:tr w:rsidR="00C007D0" w:rsidRPr="00EE32BC" w14:paraId="358C7A9A" w14:textId="77777777" w:rsidTr="00C007D0">
        <w:trPr>
          <w:trHeight w:val="300"/>
        </w:trPr>
        <w:tc>
          <w:tcPr>
            <w:tcW w:w="3073" w:type="dxa"/>
            <w:shd w:val="clear" w:color="auto" w:fill="D3DFEE"/>
            <w:noWrap/>
            <w:hideMark/>
          </w:tcPr>
          <w:p w14:paraId="1C77FB7B"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Ejecutado</w:t>
            </w:r>
          </w:p>
        </w:tc>
        <w:tc>
          <w:tcPr>
            <w:tcW w:w="1358" w:type="dxa"/>
            <w:shd w:val="clear" w:color="auto" w:fill="D3DFEE"/>
            <w:noWrap/>
            <w:hideMark/>
          </w:tcPr>
          <w:p w14:paraId="41F76012"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-1.028,5</w:t>
            </w:r>
          </w:p>
        </w:tc>
        <w:tc>
          <w:tcPr>
            <w:tcW w:w="1358" w:type="dxa"/>
            <w:shd w:val="clear" w:color="auto" w:fill="D3DFEE"/>
            <w:noWrap/>
            <w:hideMark/>
          </w:tcPr>
          <w:p w14:paraId="4A2D69D5"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799,9</w:t>
            </w:r>
          </w:p>
        </w:tc>
        <w:tc>
          <w:tcPr>
            <w:tcW w:w="1358" w:type="dxa"/>
            <w:shd w:val="clear" w:color="auto" w:fill="D3DFEE"/>
            <w:noWrap/>
            <w:hideMark/>
          </w:tcPr>
          <w:p w14:paraId="4B41DB4F"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-21.470,1</w:t>
            </w:r>
          </w:p>
        </w:tc>
        <w:tc>
          <w:tcPr>
            <w:tcW w:w="1358" w:type="dxa"/>
            <w:shd w:val="clear" w:color="auto" w:fill="D3DFEE"/>
            <w:noWrap/>
            <w:hideMark/>
          </w:tcPr>
          <w:p w14:paraId="388731C1"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-30.817,2</w:t>
            </w:r>
          </w:p>
        </w:tc>
      </w:tr>
      <w:tr w:rsidR="00C007D0" w:rsidRPr="00EE32BC" w14:paraId="255FAFE1" w14:textId="77777777" w:rsidTr="00C007D0">
        <w:trPr>
          <w:trHeight w:val="300"/>
        </w:trPr>
        <w:tc>
          <w:tcPr>
            <w:tcW w:w="3073" w:type="dxa"/>
            <w:tcBorders>
              <w:right w:val="nil"/>
            </w:tcBorders>
            <w:shd w:val="clear" w:color="auto" w:fill="auto"/>
            <w:noWrap/>
            <w:hideMark/>
          </w:tcPr>
          <w:p w14:paraId="69483657" w14:textId="77777777" w:rsidR="005E22D8" w:rsidRPr="00117BF8" w:rsidRDefault="005E22D8" w:rsidP="00C007D0">
            <w:pPr>
              <w:pStyle w:val="TablaC"/>
              <w:jc w:val="left"/>
              <w:rPr>
                <w:rFonts w:ascii="Arial" w:hAnsi="Arial" w:cs="Arial"/>
                <w:bCs/>
                <w:sz w:val="18"/>
                <w:szCs w:val="18"/>
              </w:rPr>
            </w:pPr>
            <w:r w:rsidRPr="00117BF8">
              <w:rPr>
                <w:rFonts w:ascii="Arial" w:hAnsi="Arial" w:cs="Arial"/>
                <w:bCs/>
                <w:sz w:val="18"/>
                <w:szCs w:val="18"/>
              </w:rPr>
              <w:t>Resultado Total</w:t>
            </w:r>
          </w:p>
        </w:tc>
        <w:tc>
          <w:tcPr>
            <w:tcW w:w="1358" w:type="dxa"/>
            <w:tcBorders>
              <w:left w:val="nil"/>
              <w:right w:val="nil"/>
            </w:tcBorders>
            <w:shd w:val="clear" w:color="auto" w:fill="auto"/>
            <w:noWrap/>
            <w:hideMark/>
          </w:tcPr>
          <w:p w14:paraId="1259A3FD" w14:textId="77777777" w:rsidR="005E22D8" w:rsidRPr="00117BF8" w:rsidRDefault="005E22D8" w:rsidP="00C57D83">
            <w:pPr>
              <w:pStyle w:val="TablaC"/>
              <w:rPr>
                <w:rFonts w:ascii="Arial" w:hAnsi="Arial" w:cs="Arial"/>
                <w:sz w:val="18"/>
                <w:szCs w:val="18"/>
              </w:rPr>
            </w:pPr>
          </w:p>
        </w:tc>
        <w:tc>
          <w:tcPr>
            <w:tcW w:w="1358" w:type="dxa"/>
            <w:tcBorders>
              <w:left w:val="nil"/>
              <w:right w:val="nil"/>
            </w:tcBorders>
            <w:shd w:val="clear" w:color="auto" w:fill="auto"/>
            <w:noWrap/>
            <w:hideMark/>
          </w:tcPr>
          <w:p w14:paraId="13F4E878" w14:textId="77777777" w:rsidR="005E22D8" w:rsidRPr="00117BF8" w:rsidRDefault="005E22D8" w:rsidP="00C57D83">
            <w:pPr>
              <w:pStyle w:val="TablaC"/>
              <w:rPr>
                <w:rFonts w:ascii="Arial" w:hAnsi="Arial" w:cs="Arial"/>
                <w:sz w:val="18"/>
                <w:szCs w:val="18"/>
              </w:rPr>
            </w:pPr>
          </w:p>
        </w:tc>
        <w:tc>
          <w:tcPr>
            <w:tcW w:w="1358" w:type="dxa"/>
            <w:tcBorders>
              <w:left w:val="nil"/>
              <w:right w:val="nil"/>
            </w:tcBorders>
            <w:shd w:val="clear" w:color="auto" w:fill="auto"/>
            <w:noWrap/>
            <w:hideMark/>
          </w:tcPr>
          <w:p w14:paraId="358708FA" w14:textId="77777777" w:rsidR="005E22D8" w:rsidRPr="00117BF8" w:rsidRDefault="005E22D8" w:rsidP="00C57D83">
            <w:pPr>
              <w:pStyle w:val="TablaC"/>
              <w:rPr>
                <w:rFonts w:ascii="Arial" w:hAnsi="Arial" w:cs="Arial"/>
                <w:sz w:val="18"/>
                <w:szCs w:val="18"/>
              </w:rPr>
            </w:pPr>
          </w:p>
        </w:tc>
        <w:tc>
          <w:tcPr>
            <w:tcW w:w="1358" w:type="dxa"/>
            <w:tcBorders>
              <w:left w:val="nil"/>
            </w:tcBorders>
            <w:shd w:val="clear" w:color="auto" w:fill="auto"/>
            <w:noWrap/>
            <w:hideMark/>
          </w:tcPr>
          <w:p w14:paraId="1870404E" w14:textId="77777777" w:rsidR="005E22D8" w:rsidRPr="00117BF8" w:rsidRDefault="005E22D8" w:rsidP="00C57D83">
            <w:pPr>
              <w:pStyle w:val="TablaC"/>
              <w:rPr>
                <w:rFonts w:ascii="Arial" w:hAnsi="Arial" w:cs="Arial"/>
                <w:sz w:val="18"/>
                <w:szCs w:val="18"/>
              </w:rPr>
            </w:pPr>
          </w:p>
        </w:tc>
      </w:tr>
      <w:tr w:rsidR="00C007D0" w:rsidRPr="00EE32BC" w14:paraId="38A64A51" w14:textId="77777777" w:rsidTr="00C007D0">
        <w:trPr>
          <w:trHeight w:val="300"/>
        </w:trPr>
        <w:tc>
          <w:tcPr>
            <w:tcW w:w="3073" w:type="dxa"/>
            <w:shd w:val="clear" w:color="auto" w:fill="D3DFEE"/>
            <w:noWrap/>
            <w:hideMark/>
          </w:tcPr>
          <w:p w14:paraId="62EAFF69"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Presupuesto Original</w:t>
            </w:r>
          </w:p>
        </w:tc>
        <w:tc>
          <w:tcPr>
            <w:tcW w:w="1358" w:type="dxa"/>
            <w:shd w:val="clear" w:color="auto" w:fill="D3DFEE"/>
            <w:noWrap/>
            <w:hideMark/>
          </w:tcPr>
          <w:p w14:paraId="6C555395"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-1.701,2</w:t>
            </w:r>
          </w:p>
        </w:tc>
        <w:tc>
          <w:tcPr>
            <w:tcW w:w="1358" w:type="dxa"/>
            <w:shd w:val="clear" w:color="auto" w:fill="D3DFEE"/>
            <w:noWrap/>
            <w:hideMark/>
          </w:tcPr>
          <w:p w14:paraId="20745F4F"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-2.191,1</w:t>
            </w:r>
          </w:p>
        </w:tc>
        <w:tc>
          <w:tcPr>
            <w:tcW w:w="1358" w:type="dxa"/>
            <w:shd w:val="clear" w:color="auto" w:fill="D3DFEE"/>
            <w:noWrap/>
            <w:hideMark/>
          </w:tcPr>
          <w:p w14:paraId="2B792DFF"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-2.988,7</w:t>
            </w:r>
          </w:p>
        </w:tc>
        <w:tc>
          <w:tcPr>
            <w:tcW w:w="1358" w:type="dxa"/>
            <w:shd w:val="clear" w:color="auto" w:fill="D3DFEE"/>
            <w:noWrap/>
            <w:hideMark/>
          </w:tcPr>
          <w:p w14:paraId="62E6505F"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-4.417,9</w:t>
            </w:r>
          </w:p>
        </w:tc>
      </w:tr>
      <w:tr w:rsidR="00C007D0" w:rsidRPr="00EE32BC" w14:paraId="1EE0312D" w14:textId="77777777" w:rsidTr="00C007D0">
        <w:trPr>
          <w:trHeight w:val="300"/>
        </w:trPr>
        <w:tc>
          <w:tcPr>
            <w:tcW w:w="3073" w:type="dxa"/>
            <w:tcBorders>
              <w:right w:val="nil"/>
            </w:tcBorders>
            <w:shd w:val="clear" w:color="auto" w:fill="auto"/>
            <w:noWrap/>
            <w:hideMark/>
          </w:tcPr>
          <w:p w14:paraId="5E7DDE4A"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Presupuesto Modificado</w:t>
            </w:r>
          </w:p>
        </w:tc>
        <w:tc>
          <w:tcPr>
            <w:tcW w:w="1358" w:type="dxa"/>
            <w:tcBorders>
              <w:left w:val="nil"/>
              <w:right w:val="nil"/>
            </w:tcBorders>
            <w:shd w:val="clear" w:color="auto" w:fill="auto"/>
            <w:noWrap/>
            <w:hideMark/>
          </w:tcPr>
          <w:p w14:paraId="1DC5A70F"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-1.919,9</w:t>
            </w:r>
          </w:p>
        </w:tc>
        <w:tc>
          <w:tcPr>
            <w:tcW w:w="1358" w:type="dxa"/>
            <w:tcBorders>
              <w:left w:val="nil"/>
              <w:right w:val="nil"/>
            </w:tcBorders>
            <w:shd w:val="clear" w:color="auto" w:fill="auto"/>
            <w:noWrap/>
            <w:hideMark/>
          </w:tcPr>
          <w:p w14:paraId="42A6ACB0"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-2.641,0</w:t>
            </w:r>
          </w:p>
        </w:tc>
        <w:tc>
          <w:tcPr>
            <w:tcW w:w="1358" w:type="dxa"/>
            <w:tcBorders>
              <w:left w:val="nil"/>
              <w:right w:val="nil"/>
            </w:tcBorders>
            <w:shd w:val="clear" w:color="auto" w:fill="auto"/>
            <w:noWrap/>
            <w:hideMark/>
          </w:tcPr>
          <w:p w14:paraId="0F3BA54C"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-3.771,7</w:t>
            </w:r>
          </w:p>
        </w:tc>
        <w:tc>
          <w:tcPr>
            <w:tcW w:w="1358" w:type="dxa"/>
            <w:tcBorders>
              <w:left w:val="nil"/>
            </w:tcBorders>
            <w:shd w:val="clear" w:color="auto" w:fill="auto"/>
            <w:noWrap/>
            <w:hideMark/>
          </w:tcPr>
          <w:p w14:paraId="7E41016A"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-5.220,0</w:t>
            </w:r>
          </w:p>
        </w:tc>
      </w:tr>
      <w:tr w:rsidR="00C007D0" w:rsidRPr="00EE32BC" w14:paraId="07B7C60A" w14:textId="77777777" w:rsidTr="00C007D0">
        <w:trPr>
          <w:trHeight w:val="300"/>
        </w:trPr>
        <w:tc>
          <w:tcPr>
            <w:tcW w:w="3073" w:type="dxa"/>
            <w:shd w:val="clear" w:color="auto" w:fill="D3DFEE"/>
            <w:noWrap/>
            <w:hideMark/>
          </w:tcPr>
          <w:p w14:paraId="19CB53F5" w14:textId="77777777" w:rsidR="005E22D8" w:rsidRPr="00117BF8" w:rsidRDefault="005E22D8" w:rsidP="00C007D0">
            <w:pPr>
              <w:pStyle w:val="TablaC"/>
              <w:ind w:left="170"/>
              <w:jc w:val="left"/>
              <w:rPr>
                <w:rFonts w:ascii="Arial" w:hAnsi="Arial" w:cs="Arial"/>
                <w:bCs/>
                <w:sz w:val="18"/>
                <w:szCs w:val="18"/>
              </w:rPr>
            </w:pPr>
            <w:r w:rsidRPr="00117BF8">
              <w:rPr>
                <w:rFonts w:ascii="Arial" w:hAnsi="Arial" w:cs="Arial"/>
                <w:bCs/>
                <w:sz w:val="18"/>
                <w:szCs w:val="18"/>
              </w:rPr>
              <w:t>Ejecutado</w:t>
            </w:r>
          </w:p>
        </w:tc>
        <w:tc>
          <w:tcPr>
            <w:tcW w:w="1358" w:type="dxa"/>
            <w:shd w:val="clear" w:color="auto" w:fill="D3DFEE"/>
            <w:noWrap/>
            <w:hideMark/>
          </w:tcPr>
          <w:p w14:paraId="286091DB"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-7.875,5</w:t>
            </w:r>
          </w:p>
        </w:tc>
        <w:tc>
          <w:tcPr>
            <w:tcW w:w="1358" w:type="dxa"/>
            <w:shd w:val="clear" w:color="auto" w:fill="D3DFEE"/>
            <w:noWrap/>
            <w:hideMark/>
          </w:tcPr>
          <w:p w14:paraId="1BC84CB6"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-9.747,5</w:t>
            </w:r>
          </w:p>
        </w:tc>
        <w:tc>
          <w:tcPr>
            <w:tcW w:w="1358" w:type="dxa"/>
            <w:shd w:val="clear" w:color="auto" w:fill="D3DFEE"/>
            <w:noWrap/>
            <w:hideMark/>
          </w:tcPr>
          <w:p w14:paraId="6E33A6E6"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-19.263,6</w:t>
            </w:r>
          </w:p>
        </w:tc>
        <w:tc>
          <w:tcPr>
            <w:tcW w:w="1358" w:type="dxa"/>
            <w:shd w:val="clear" w:color="auto" w:fill="D3DFEE"/>
            <w:noWrap/>
            <w:hideMark/>
          </w:tcPr>
          <w:p w14:paraId="4E96BC04" w14:textId="77777777" w:rsidR="005E22D8" w:rsidRPr="00117BF8" w:rsidRDefault="005E22D8" w:rsidP="00C57D83">
            <w:pPr>
              <w:pStyle w:val="TablaC"/>
              <w:rPr>
                <w:rFonts w:ascii="Arial" w:hAnsi="Arial" w:cs="Arial"/>
                <w:sz w:val="18"/>
                <w:szCs w:val="18"/>
              </w:rPr>
            </w:pPr>
            <w:r w:rsidRPr="00117BF8">
              <w:rPr>
                <w:rFonts w:ascii="Arial" w:hAnsi="Arial" w:cs="Arial"/>
                <w:sz w:val="18"/>
                <w:szCs w:val="18"/>
              </w:rPr>
              <w:t>0,0</w:t>
            </w:r>
          </w:p>
        </w:tc>
      </w:tr>
    </w:tbl>
    <w:p w14:paraId="30352648" w14:textId="77777777" w:rsidR="008F1E35" w:rsidRPr="00117BF8" w:rsidRDefault="008F1E35" w:rsidP="008F1E35">
      <w:pPr>
        <w:pStyle w:val="Hfuente"/>
        <w:rPr>
          <w:rFonts w:ascii="Arial" w:hAnsi="Arial" w:cs="Arial"/>
          <w:sz w:val="18"/>
          <w:szCs w:val="18"/>
        </w:rPr>
      </w:pPr>
      <w:r w:rsidRPr="00117BF8">
        <w:rPr>
          <w:rFonts w:ascii="Arial" w:hAnsi="Arial" w:cs="Arial"/>
          <w:sz w:val="18"/>
          <w:szCs w:val="18"/>
        </w:rPr>
        <w:t>Elaboración propia sobre datos de la CGPBA.</w:t>
      </w:r>
    </w:p>
    <w:p w14:paraId="020A57ED" w14:textId="77777777" w:rsidR="00E951B4" w:rsidRPr="00117BF8" w:rsidRDefault="00E951B4" w:rsidP="00117BF8">
      <w:pPr>
        <w:pStyle w:val="Heading2"/>
        <w:spacing w:before="0" w:after="120"/>
        <w:rPr>
          <w:rFonts w:ascii="Arial" w:eastAsia="Calibri" w:hAnsi="Arial" w:cs="Arial"/>
          <w:sz w:val="22"/>
          <w:szCs w:val="22"/>
        </w:rPr>
      </w:pPr>
      <w:bookmarkStart w:id="36" w:name="_Ref492142684"/>
      <w:bookmarkStart w:id="37" w:name="_Ref492143178"/>
      <w:bookmarkStart w:id="38" w:name="_Toc494040315"/>
      <w:r w:rsidRPr="00117BF8">
        <w:rPr>
          <w:rFonts w:ascii="Arial" w:eastAsia="Calibri" w:hAnsi="Arial" w:cs="Arial"/>
          <w:sz w:val="22"/>
          <w:szCs w:val="22"/>
        </w:rPr>
        <w:t>Desglose y descripción de ingresos, tanto presupuestados como realizados.</w:t>
      </w:r>
      <w:bookmarkEnd w:id="36"/>
      <w:bookmarkEnd w:id="37"/>
      <w:bookmarkEnd w:id="38"/>
      <w:r w:rsidRPr="00117BF8">
        <w:rPr>
          <w:rFonts w:ascii="Arial" w:eastAsia="Calibri" w:hAnsi="Arial" w:cs="Arial"/>
          <w:sz w:val="22"/>
          <w:szCs w:val="22"/>
        </w:rPr>
        <w:t xml:space="preserve"> </w:t>
      </w:r>
    </w:p>
    <w:p w14:paraId="61DBC250" w14:textId="77777777" w:rsidR="00A324E0" w:rsidRPr="00117BF8" w:rsidRDefault="008F1E35" w:rsidP="0023184D">
      <w:pPr>
        <w:pStyle w:val="hsa"/>
        <w:rPr>
          <w:rFonts w:ascii="Arial" w:eastAsia="Calibri" w:hAnsi="Arial" w:cs="Arial"/>
          <w:sz w:val="22"/>
          <w:szCs w:val="22"/>
        </w:rPr>
      </w:pPr>
      <w:r w:rsidRPr="00117BF8">
        <w:rPr>
          <w:rFonts w:ascii="Arial" w:eastAsia="Calibri" w:hAnsi="Arial" w:cs="Arial"/>
          <w:sz w:val="22"/>
          <w:szCs w:val="22"/>
        </w:rPr>
        <w:t>L</w:t>
      </w:r>
      <w:r w:rsidR="00A324E0" w:rsidRPr="00117BF8">
        <w:rPr>
          <w:rFonts w:ascii="Arial" w:eastAsia="Calibri" w:hAnsi="Arial" w:cs="Arial"/>
          <w:sz w:val="22"/>
          <w:szCs w:val="22"/>
        </w:rPr>
        <w:t>os recursos han crecido tanto en monto a precios constantes, como en porcentaje del PBG, aunque de menor manera que los gastos. En esta sección se analizará la composición de los recursos.</w:t>
      </w:r>
    </w:p>
    <w:p w14:paraId="46BA5F24" w14:textId="77777777" w:rsidR="006C3DDD" w:rsidRPr="00117BF8" w:rsidRDefault="0023184D" w:rsidP="0023184D">
      <w:pPr>
        <w:pStyle w:val="hsa"/>
        <w:rPr>
          <w:rFonts w:ascii="Arial" w:eastAsia="Calibri" w:hAnsi="Arial" w:cs="Arial"/>
          <w:sz w:val="22"/>
          <w:szCs w:val="22"/>
        </w:rPr>
      </w:pPr>
      <w:r w:rsidRPr="00117BF8">
        <w:rPr>
          <w:rFonts w:ascii="Arial" w:eastAsia="Calibri" w:hAnsi="Arial" w:cs="Arial"/>
          <w:sz w:val="22"/>
          <w:szCs w:val="22"/>
        </w:rPr>
        <w:t xml:space="preserve">La Tabla </w:t>
      </w:r>
      <w:r w:rsidR="008F1E35" w:rsidRPr="00117BF8">
        <w:rPr>
          <w:rFonts w:ascii="Arial" w:eastAsia="Calibri" w:hAnsi="Arial" w:cs="Arial"/>
          <w:sz w:val="22"/>
          <w:szCs w:val="22"/>
        </w:rPr>
        <w:t>8</w:t>
      </w:r>
      <w:r w:rsidRPr="00117BF8">
        <w:rPr>
          <w:rFonts w:ascii="Arial" w:eastAsia="Calibri" w:hAnsi="Arial" w:cs="Arial"/>
          <w:sz w:val="22"/>
          <w:szCs w:val="22"/>
        </w:rPr>
        <w:t xml:space="preserve"> detalla la evolución y estructura de los recursos en base a la ejecución presupuestaria. Los ingresos corrientes representaron durante los cuatro años </w:t>
      </w:r>
      <w:r w:rsidR="00AC2AA5" w:rsidRPr="00117BF8">
        <w:rPr>
          <w:rFonts w:ascii="Arial" w:eastAsia="Calibri" w:hAnsi="Arial" w:cs="Arial"/>
          <w:sz w:val="22"/>
          <w:szCs w:val="22"/>
        </w:rPr>
        <w:t>bajo análisis</w:t>
      </w:r>
      <w:r w:rsidRPr="00117BF8">
        <w:rPr>
          <w:rFonts w:ascii="Arial" w:eastAsia="Calibri" w:hAnsi="Arial" w:cs="Arial"/>
          <w:sz w:val="22"/>
          <w:szCs w:val="22"/>
        </w:rPr>
        <w:t xml:space="preserve"> el 98% del total de los recursos y el resto corresponde a los recursos de capital.</w:t>
      </w:r>
    </w:p>
    <w:p w14:paraId="76E0BE05" w14:textId="77777777" w:rsidR="0023184D" w:rsidRPr="00117BF8" w:rsidRDefault="0023184D" w:rsidP="0023184D">
      <w:pPr>
        <w:pStyle w:val="hsa"/>
        <w:rPr>
          <w:rFonts w:ascii="Arial" w:eastAsia="Calibri" w:hAnsi="Arial" w:cs="Arial"/>
          <w:sz w:val="22"/>
          <w:szCs w:val="22"/>
        </w:rPr>
      </w:pPr>
      <w:r w:rsidRPr="00117BF8">
        <w:rPr>
          <w:rFonts w:ascii="Arial" w:eastAsia="Calibri" w:hAnsi="Arial" w:cs="Arial"/>
          <w:sz w:val="22"/>
          <w:szCs w:val="22"/>
        </w:rPr>
        <w:t>Entre los ingresos corrientes se destacan los tributarios que representan el 72%</w:t>
      </w:r>
      <w:r w:rsidR="00695D34" w:rsidRPr="00117BF8">
        <w:rPr>
          <w:rFonts w:ascii="Arial" w:eastAsia="Calibri" w:hAnsi="Arial" w:cs="Arial"/>
          <w:sz w:val="22"/>
          <w:szCs w:val="22"/>
        </w:rPr>
        <w:t xml:space="preserve"> (</w:t>
      </w:r>
      <w:r w:rsidRPr="00117BF8">
        <w:rPr>
          <w:rFonts w:ascii="Arial" w:eastAsia="Calibri" w:hAnsi="Arial" w:cs="Arial"/>
          <w:sz w:val="22"/>
          <w:szCs w:val="22"/>
        </w:rPr>
        <w:t>compuestos por 43% de origen prov</w:t>
      </w:r>
      <w:r w:rsidR="00695D34" w:rsidRPr="00117BF8">
        <w:rPr>
          <w:rFonts w:ascii="Arial" w:eastAsia="Calibri" w:hAnsi="Arial" w:cs="Arial"/>
          <w:sz w:val="22"/>
          <w:szCs w:val="22"/>
        </w:rPr>
        <w:t>incial y 29% de origen nacional),</w:t>
      </w:r>
      <w:r w:rsidRPr="00117BF8">
        <w:rPr>
          <w:rFonts w:ascii="Arial" w:eastAsia="Calibri" w:hAnsi="Arial" w:cs="Arial"/>
          <w:sz w:val="22"/>
          <w:szCs w:val="22"/>
        </w:rPr>
        <w:t xml:space="preserve"> 17% corresponden a los aportes y contribuciones y 6% a las transferencias corrientes. Prácticamente la totalidad de los recursos de capital corresponde a </w:t>
      </w:r>
      <w:r w:rsidR="003E1D13" w:rsidRPr="00117BF8">
        <w:rPr>
          <w:rFonts w:ascii="Arial" w:eastAsia="Calibri" w:hAnsi="Arial" w:cs="Arial"/>
          <w:sz w:val="22"/>
          <w:szCs w:val="22"/>
        </w:rPr>
        <w:t>transferencias de capital.</w:t>
      </w:r>
    </w:p>
    <w:p w14:paraId="26E6ACC5" w14:textId="77777777" w:rsidR="003E1D13" w:rsidRPr="00117BF8" w:rsidRDefault="003E1D13" w:rsidP="0023184D">
      <w:pPr>
        <w:pStyle w:val="hsa"/>
        <w:rPr>
          <w:rFonts w:ascii="Arial" w:eastAsia="Calibri" w:hAnsi="Arial" w:cs="Arial"/>
          <w:sz w:val="22"/>
          <w:szCs w:val="22"/>
        </w:rPr>
      </w:pPr>
      <w:r w:rsidRPr="00117BF8">
        <w:rPr>
          <w:rFonts w:ascii="Arial" w:eastAsia="Calibri" w:hAnsi="Arial" w:cs="Arial"/>
          <w:sz w:val="22"/>
          <w:szCs w:val="22"/>
        </w:rPr>
        <w:t xml:space="preserve">El detalle de los recursos presupuestados (Original y Modificado) y los montos ejecutados se incluyen en </w:t>
      </w:r>
      <w:r w:rsidR="008F1E35" w:rsidRPr="00117BF8">
        <w:rPr>
          <w:rFonts w:ascii="Arial" w:eastAsia="Calibri" w:hAnsi="Arial" w:cs="Arial"/>
          <w:sz w:val="22"/>
          <w:szCs w:val="22"/>
        </w:rPr>
        <w:t>las tablas AIII 2 a 5</w:t>
      </w:r>
      <w:r w:rsidRPr="00117BF8">
        <w:rPr>
          <w:rFonts w:ascii="Arial" w:eastAsia="Calibri" w:hAnsi="Arial" w:cs="Arial"/>
          <w:sz w:val="22"/>
          <w:szCs w:val="22"/>
        </w:rPr>
        <w:t xml:space="preserve">, en los próximos apartados se analizará en detalle los principales </w:t>
      </w:r>
      <w:r w:rsidR="008F1E35" w:rsidRPr="00117BF8">
        <w:rPr>
          <w:rFonts w:ascii="Arial" w:eastAsia="Calibri" w:hAnsi="Arial" w:cs="Arial"/>
          <w:sz w:val="22"/>
          <w:szCs w:val="22"/>
        </w:rPr>
        <w:t>ítems</w:t>
      </w:r>
      <w:r w:rsidRPr="00117BF8">
        <w:rPr>
          <w:rFonts w:ascii="Arial" w:eastAsia="Calibri" w:hAnsi="Arial" w:cs="Arial"/>
          <w:sz w:val="22"/>
          <w:szCs w:val="22"/>
        </w:rPr>
        <w:t xml:space="preserve"> mencionados en el párrafo previo.</w:t>
      </w:r>
    </w:p>
    <w:p w14:paraId="7A7ECB38" w14:textId="77777777" w:rsidR="0023184D" w:rsidRPr="00117BF8" w:rsidRDefault="0023184D" w:rsidP="0023184D">
      <w:pPr>
        <w:pStyle w:val="hsa"/>
        <w:rPr>
          <w:rFonts w:ascii="Arial" w:eastAsia="Calibri" w:hAnsi="Arial" w:cs="Arial"/>
          <w:sz w:val="22"/>
          <w:szCs w:val="22"/>
        </w:rPr>
      </w:pPr>
    </w:p>
    <w:p w14:paraId="7A3EB20C" w14:textId="77777777" w:rsidR="006C3DDD" w:rsidRPr="00117BF8" w:rsidRDefault="006C3DDD" w:rsidP="0023184D">
      <w:pPr>
        <w:pStyle w:val="hsa"/>
        <w:rPr>
          <w:rFonts w:ascii="Arial" w:eastAsia="Calibri" w:hAnsi="Arial" w:cs="Arial"/>
        </w:rPr>
        <w:sectPr w:rsidR="006C3DDD" w:rsidRPr="00117BF8" w:rsidSect="00117BF8">
          <w:pgSz w:w="11907" w:h="16840"/>
          <w:pgMar w:top="1418" w:right="1701" w:bottom="1418" w:left="1701" w:header="851" w:footer="851" w:gutter="0"/>
          <w:pgNumType w:start="0"/>
          <w:cols w:space="720"/>
          <w:docGrid w:linePitch="326"/>
        </w:sectPr>
      </w:pPr>
    </w:p>
    <w:tbl>
      <w:tblPr>
        <w:tblW w:w="14240" w:type="dxa"/>
        <w:tblInd w:w="55" w:type="dxa"/>
        <w:tblCellMar>
          <w:left w:w="70" w:type="dxa"/>
          <w:right w:w="70" w:type="dxa"/>
        </w:tblCellMar>
        <w:tblLook w:val="04A0" w:firstRow="1" w:lastRow="0" w:firstColumn="1" w:lastColumn="0" w:noHBand="0" w:noVBand="1"/>
      </w:tblPr>
      <w:tblGrid>
        <w:gridCol w:w="4200"/>
        <w:gridCol w:w="1090"/>
        <w:gridCol w:w="1090"/>
        <w:gridCol w:w="1090"/>
        <w:gridCol w:w="1090"/>
        <w:gridCol w:w="1120"/>
        <w:gridCol w:w="1120"/>
        <w:gridCol w:w="1120"/>
        <w:gridCol w:w="1120"/>
        <w:gridCol w:w="1200"/>
      </w:tblGrid>
      <w:tr w:rsidR="00781824" w:rsidRPr="00EE32BC" w14:paraId="346E440F" w14:textId="77777777" w:rsidTr="00A5498E">
        <w:tc>
          <w:tcPr>
            <w:tcW w:w="14240" w:type="dxa"/>
            <w:gridSpan w:val="10"/>
            <w:tcBorders>
              <w:top w:val="single" w:sz="4" w:space="0" w:color="auto"/>
              <w:left w:val="single" w:sz="4" w:space="0" w:color="auto"/>
              <w:bottom w:val="single" w:sz="4" w:space="0" w:color="auto"/>
              <w:right w:val="single" w:sz="4" w:space="0" w:color="auto"/>
            </w:tcBorders>
            <w:shd w:val="clear" w:color="auto" w:fill="0070C0"/>
            <w:noWrap/>
            <w:vAlign w:val="center"/>
          </w:tcPr>
          <w:p w14:paraId="52417690" w14:textId="77777777" w:rsidR="00781824" w:rsidRPr="00117BF8" w:rsidRDefault="00781824" w:rsidP="00117BF8">
            <w:pPr>
              <w:pStyle w:val="TablaE"/>
              <w:rPr>
                <w:rFonts w:ascii="Arial" w:hAnsi="Arial" w:cs="Arial"/>
                <w:sz w:val="22"/>
                <w:szCs w:val="22"/>
              </w:rPr>
            </w:pPr>
            <w:bookmarkStart w:id="39" w:name="_Toc493861118"/>
            <w:r w:rsidRPr="00117BF8">
              <w:rPr>
                <w:rFonts w:ascii="Arial" w:hAnsi="Arial" w:cs="Arial"/>
                <w:sz w:val="22"/>
                <w:szCs w:val="22"/>
              </w:rPr>
              <w:t xml:space="preserve">Tabla </w:t>
            </w:r>
            <w:r w:rsidR="008F1E35" w:rsidRPr="00117BF8">
              <w:rPr>
                <w:rFonts w:ascii="Arial" w:hAnsi="Arial" w:cs="Arial"/>
                <w:sz w:val="22"/>
                <w:szCs w:val="22"/>
              </w:rPr>
              <w:t>8</w:t>
            </w:r>
            <w:r w:rsidRPr="00117BF8">
              <w:rPr>
                <w:rFonts w:ascii="Arial" w:hAnsi="Arial" w:cs="Arial"/>
                <w:sz w:val="22"/>
                <w:szCs w:val="22"/>
              </w:rPr>
              <w:t xml:space="preserve"> – Evolución y Estructura de los Recursos – Presupuesto Ejecutado</w:t>
            </w:r>
            <w:bookmarkEnd w:id="39"/>
          </w:p>
        </w:tc>
      </w:tr>
      <w:tr w:rsidR="00781824" w:rsidRPr="00EE32BC" w14:paraId="43894FB0" w14:textId="77777777" w:rsidTr="00A5498E">
        <w:tc>
          <w:tcPr>
            <w:tcW w:w="4200" w:type="dxa"/>
            <w:vMerge w:val="restart"/>
            <w:tcBorders>
              <w:top w:val="single" w:sz="4" w:space="0" w:color="auto"/>
              <w:left w:val="single" w:sz="4" w:space="0" w:color="auto"/>
              <w:right w:val="single" w:sz="4" w:space="0" w:color="auto"/>
            </w:tcBorders>
            <w:shd w:val="clear" w:color="auto" w:fill="0070C0"/>
            <w:noWrap/>
            <w:vAlign w:val="center"/>
          </w:tcPr>
          <w:p w14:paraId="0535D3D0" w14:textId="77777777" w:rsidR="00781824" w:rsidRPr="00117BF8" w:rsidRDefault="00781824" w:rsidP="00781824">
            <w:pPr>
              <w:pStyle w:val="TablaE"/>
              <w:rPr>
                <w:rFonts w:ascii="Arial" w:hAnsi="Arial" w:cs="Arial"/>
                <w:sz w:val="22"/>
                <w:szCs w:val="22"/>
                <w:lang w:val="es-AR" w:eastAsia="es-AR"/>
              </w:rPr>
            </w:pPr>
            <w:r w:rsidRPr="00117BF8">
              <w:rPr>
                <w:rFonts w:ascii="Arial" w:hAnsi="Arial" w:cs="Arial"/>
                <w:sz w:val="22"/>
                <w:szCs w:val="22"/>
              </w:rPr>
              <w:t>CONCEPTO</w:t>
            </w:r>
          </w:p>
        </w:tc>
        <w:tc>
          <w:tcPr>
            <w:tcW w:w="4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7D0B764D"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Millones de Pesos</w:t>
            </w:r>
          </w:p>
        </w:tc>
        <w:tc>
          <w:tcPr>
            <w:tcW w:w="5680" w:type="dxa"/>
            <w:gridSpan w:val="5"/>
            <w:tcBorders>
              <w:top w:val="single" w:sz="4" w:space="0" w:color="auto"/>
              <w:left w:val="single" w:sz="4" w:space="0" w:color="auto"/>
              <w:bottom w:val="single" w:sz="4" w:space="0" w:color="auto"/>
              <w:right w:val="single" w:sz="4" w:space="0" w:color="auto"/>
            </w:tcBorders>
            <w:shd w:val="clear" w:color="auto" w:fill="0070C0"/>
            <w:vAlign w:val="center"/>
          </w:tcPr>
          <w:p w14:paraId="3BC65A77"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Participación Sobre el Total de Recursos</w:t>
            </w:r>
          </w:p>
        </w:tc>
      </w:tr>
      <w:tr w:rsidR="00201E0C" w:rsidRPr="00EE32BC" w14:paraId="60315F58" w14:textId="77777777" w:rsidTr="00A5498E">
        <w:tc>
          <w:tcPr>
            <w:tcW w:w="4200" w:type="dxa"/>
            <w:vMerge/>
            <w:tcBorders>
              <w:left w:val="single" w:sz="4" w:space="0" w:color="auto"/>
              <w:bottom w:val="single" w:sz="4" w:space="0" w:color="auto"/>
              <w:right w:val="single" w:sz="4" w:space="0" w:color="auto"/>
            </w:tcBorders>
            <w:shd w:val="clear" w:color="auto" w:fill="0070C0"/>
            <w:noWrap/>
            <w:vAlign w:val="center"/>
            <w:hideMark/>
          </w:tcPr>
          <w:p w14:paraId="05C2DF38" w14:textId="77777777" w:rsidR="00781824" w:rsidRPr="00117BF8" w:rsidRDefault="00781824" w:rsidP="00781824">
            <w:pPr>
              <w:pStyle w:val="TablaE"/>
              <w:rPr>
                <w:rFonts w:ascii="Arial" w:hAnsi="Arial" w:cs="Arial"/>
                <w:lang w:val="es-AR" w:eastAsia="es-AR"/>
              </w:rPr>
            </w:pPr>
          </w:p>
        </w:tc>
        <w:tc>
          <w:tcPr>
            <w:tcW w:w="109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FFA1760"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2013</w:t>
            </w:r>
          </w:p>
        </w:tc>
        <w:tc>
          <w:tcPr>
            <w:tcW w:w="109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85F81E9"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2014</w:t>
            </w:r>
          </w:p>
        </w:tc>
        <w:tc>
          <w:tcPr>
            <w:tcW w:w="109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3079EC9"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2015</w:t>
            </w:r>
          </w:p>
        </w:tc>
        <w:tc>
          <w:tcPr>
            <w:tcW w:w="109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6636860"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2016</w:t>
            </w:r>
          </w:p>
        </w:tc>
        <w:tc>
          <w:tcPr>
            <w:tcW w:w="112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EA7FF2C"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2013</w:t>
            </w:r>
          </w:p>
        </w:tc>
        <w:tc>
          <w:tcPr>
            <w:tcW w:w="112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DF4FBB9"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2014</w:t>
            </w:r>
          </w:p>
        </w:tc>
        <w:tc>
          <w:tcPr>
            <w:tcW w:w="112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A69BFA6"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2015</w:t>
            </w:r>
          </w:p>
        </w:tc>
        <w:tc>
          <w:tcPr>
            <w:tcW w:w="112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5EA1C2C"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2016</w:t>
            </w:r>
          </w:p>
        </w:tc>
        <w:tc>
          <w:tcPr>
            <w:tcW w:w="120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14787CB" w14:textId="77777777" w:rsidR="00781824" w:rsidRPr="00117BF8" w:rsidRDefault="00781824" w:rsidP="00781824">
            <w:pPr>
              <w:pStyle w:val="TablaE"/>
              <w:rPr>
                <w:rFonts w:ascii="Arial" w:hAnsi="Arial" w:cs="Arial"/>
                <w:sz w:val="22"/>
                <w:szCs w:val="22"/>
              </w:rPr>
            </w:pPr>
            <w:r w:rsidRPr="00117BF8">
              <w:rPr>
                <w:rFonts w:ascii="Arial" w:hAnsi="Arial" w:cs="Arial"/>
                <w:sz w:val="22"/>
                <w:szCs w:val="22"/>
              </w:rPr>
              <w:t>Promedio</w:t>
            </w:r>
          </w:p>
        </w:tc>
      </w:tr>
      <w:tr w:rsidR="00201E0C" w:rsidRPr="004E6455" w14:paraId="3D5CEE67" w14:textId="77777777" w:rsidTr="00201E0C">
        <w:trPr>
          <w:trHeight w:val="300"/>
        </w:trPr>
        <w:tc>
          <w:tcPr>
            <w:tcW w:w="420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6123A2AF" w14:textId="77777777" w:rsidR="006C3DDD" w:rsidRPr="00117BF8" w:rsidRDefault="006C3DDD" w:rsidP="006C3DDD">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INGRESOS CORRIENTES</w:t>
            </w:r>
          </w:p>
        </w:tc>
        <w:tc>
          <w:tcPr>
            <w:tcW w:w="109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2F250D1C"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09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3B74B67A" w14:textId="77777777" w:rsidR="006C3DDD" w:rsidRPr="00117BF8" w:rsidRDefault="006C3DDD" w:rsidP="006C3DDD">
            <w:pPr>
              <w:spacing w:after="0"/>
              <w:jc w:val="left"/>
              <w:rPr>
                <w:rFonts w:ascii="Arial" w:hAnsi="Arial" w:cs="Arial"/>
                <w:color w:val="000000"/>
                <w:sz w:val="18"/>
                <w:szCs w:val="18"/>
                <w:lang w:val="es-AR" w:eastAsia="es-AR"/>
              </w:rPr>
            </w:pPr>
            <w:r w:rsidRPr="00117BF8">
              <w:rPr>
                <w:rFonts w:ascii="Arial" w:hAnsi="Arial" w:cs="Arial"/>
                <w:color w:val="000000"/>
                <w:sz w:val="18"/>
                <w:szCs w:val="18"/>
                <w:lang w:val="es-AR" w:eastAsia="es-AR"/>
              </w:rPr>
              <w:t> </w:t>
            </w:r>
          </w:p>
        </w:tc>
        <w:tc>
          <w:tcPr>
            <w:tcW w:w="109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07892EDB" w14:textId="77777777" w:rsidR="006C3DDD" w:rsidRPr="00117BF8" w:rsidRDefault="006C3DDD" w:rsidP="006C3DDD">
            <w:pPr>
              <w:spacing w:after="0"/>
              <w:jc w:val="left"/>
              <w:rPr>
                <w:rFonts w:ascii="Arial" w:hAnsi="Arial" w:cs="Arial"/>
                <w:color w:val="000000"/>
                <w:sz w:val="18"/>
                <w:szCs w:val="18"/>
                <w:lang w:val="es-AR" w:eastAsia="es-AR"/>
              </w:rPr>
            </w:pPr>
            <w:r w:rsidRPr="00117BF8">
              <w:rPr>
                <w:rFonts w:ascii="Arial" w:hAnsi="Arial" w:cs="Arial"/>
                <w:color w:val="000000"/>
                <w:sz w:val="18"/>
                <w:szCs w:val="18"/>
                <w:lang w:val="es-AR" w:eastAsia="es-AR"/>
              </w:rPr>
              <w:t> </w:t>
            </w:r>
          </w:p>
        </w:tc>
        <w:tc>
          <w:tcPr>
            <w:tcW w:w="109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34D73471"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120" w:type="dxa"/>
            <w:tcBorders>
              <w:top w:val="single" w:sz="4" w:space="0" w:color="auto"/>
              <w:left w:val="single" w:sz="4" w:space="0" w:color="auto"/>
              <w:bottom w:val="dashed" w:sz="4" w:space="0" w:color="auto"/>
              <w:right w:val="single" w:sz="4" w:space="0" w:color="auto"/>
            </w:tcBorders>
            <w:shd w:val="clear" w:color="auto" w:fill="DAEEF3"/>
            <w:noWrap/>
            <w:vAlign w:val="bottom"/>
            <w:hideMark/>
          </w:tcPr>
          <w:p w14:paraId="3F03A553"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120" w:type="dxa"/>
            <w:tcBorders>
              <w:top w:val="single" w:sz="4" w:space="0" w:color="auto"/>
              <w:left w:val="single" w:sz="4" w:space="0" w:color="auto"/>
              <w:bottom w:val="dashed" w:sz="4" w:space="0" w:color="auto"/>
              <w:right w:val="single" w:sz="4" w:space="0" w:color="auto"/>
            </w:tcBorders>
            <w:shd w:val="clear" w:color="auto" w:fill="DAEEF3"/>
            <w:noWrap/>
            <w:vAlign w:val="bottom"/>
            <w:hideMark/>
          </w:tcPr>
          <w:p w14:paraId="09EA2591" w14:textId="77777777" w:rsidR="006C3DDD" w:rsidRPr="00117BF8" w:rsidRDefault="006C3DDD" w:rsidP="006C3DDD">
            <w:pPr>
              <w:spacing w:after="0"/>
              <w:jc w:val="left"/>
              <w:rPr>
                <w:rFonts w:ascii="Arial" w:hAnsi="Arial" w:cs="Arial"/>
                <w:color w:val="000000"/>
                <w:sz w:val="18"/>
                <w:szCs w:val="18"/>
                <w:lang w:val="es-AR" w:eastAsia="es-AR"/>
              </w:rPr>
            </w:pPr>
            <w:r w:rsidRPr="00117BF8">
              <w:rPr>
                <w:rFonts w:ascii="Arial" w:hAnsi="Arial" w:cs="Arial"/>
                <w:color w:val="000000"/>
                <w:sz w:val="18"/>
                <w:szCs w:val="18"/>
                <w:lang w:val="es-AR" w:eastAsia="es-AR"/>
              </w:rPr>
              <w:t> </w:t>
            </w:r>
          </w:p>
        </w:tc>
        <w:tc>
          <w:tcPr>
            <w:tcW w:w="1120" w:type="dxa"/>
            <w:tcBorders>
              <w:top w:val="single" w:sz="4" w:space="0" w:color="auto"/>
              <w:left w:val="single" w:sz="4" w:space="0" w:color="auto"/>
              <w:bottom w:val="dashed" w:sz="4" w:space="0" w:color="auto"/>
              <w:right w:val="single" w:sz="4" w:space="0" w:color="auto"/>
            </w:tcBorders>
            <w:shd w:val="clear" w:color="auto" w:fill="DAEEF3"/>
            <w:noWrap/>
            <w:vAlign w:val="bottom"/>
            <w:hideMark/>
          </w:tcPr>
          <w:p w14:paraId="76AFD8EE" w14:textId="77777777" w:rsidR="006C3DDD" w:rsidRPr="00117BF8" w:rsidRDefault="006C3DDD" w:rsidP="006C3DDD">
            <w:pPr>
              <w:spacing w:after="0"/>
              <w:jc w:val="left"/>
              <w:rPr>
                <w:rFonts w:ascii="Arial" w:hAnsi="Arial" w:cs="Arial"/>
                <w:color w:val="000000"/>
                <w:sz w:val="18"/>
                <w:szCs w:val="18"/>
                <w:lang w:val="es-AR" w:eastAsia="es-AR"/>
              </w:rPr>
            </w:pPr>
            <w:r w:rsidRPr="00117BF8">
              <w:rPr>
                <w:rFonts w:ascii="Arial" w:hAnsi="Arial" w:cs="Arial"/>
                <w:color w:val="000000"/>
                <w:sz w:val="18"/>
                <w:szCs w:val="18"/>
                <w:lang w:val="es-AR" w:eastAsia="es-AR"/>
              </w:rPr>
              <w:t> </w:t>
            </w:r>
          </w:p>
        </w:tc>
        <w:tc>
          <w:tcPr>
            <w:tcW w:w="1120" w:type="dxa"/>
            <w:tcBorders>
              <w:top w:val="single" w:sz="4" w:space="0" w:color="auto"/>
              <w:left w:val="single" w:sz="4" w:space="0" w:color="auto"/>
              <w:bottom w:val="dashed" w:sz="4" w:space="0" w:color="auto"/>
              <w:right w:val="single" w:sz="4" w:space="0" w:color="auto"/>
            </w:tcBorders>
            <w:shd w:val="clear" w:color="auto" w:fill="DAEEF3"/>
            <w:noWrap/>
            <w:vAlign w:val="bottom"/>
            <w:hideMark/>
          </w:tcPr>
          <w:p w14:paraId="53221793"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200" w:type="dxa"/>
            <w:tcBorders>
              <w:top w:val="single" w:sz="4" w:space="0" w:color="auto"/>
              <w:left w:val="single" w:sz="4" w:space="0" w:color="auto"/>
              <w:bottom w:val="dashed" w:sz="4" w:space="0" w:color="auto"/>
              <w:right w:val="single" w:sz="4" w:space="0" w:color="auto"/>
            </w:tcBorders>
            <w:shd w:val="clear" w:color="auto" w:fill="DAEEF3"/>
            <w:noWrap/>
            <w:vAlign w:val="bottom"/>
            <w:hideMark/>
          </w:tcPr>
          <w:p w14:paraId="5DEF38A5" w14:textId="77777777" w:rsidR="006C3DDD" w:rsidRPr="00117BF8" w:rsidRDefault="006C3DDD" w:rsidP="006C3DDD">
            <w:pPr>
              <w:spacing w:after="0"/>
              <w:jc w:val="left"/>
              <w:rPr>
                <w:rFonts w:ascii="Arial" w:hAnsi="Arial" w:cs="Arial"/>
                <w:color w:val="000000"/>
                <w:sz w:val="18"/>
                <w:szCs w:val="18"/>
                <w:lang w:val="es-AR" w:eastAsia="es-AR"/>
              </w:rPr>
            </w:pPr>
          </w:p>
        </w:tc>
      </w:tr>
      <w:tr w:rsidR="00201E0C" w:rsidRPr="004E6455" w14:paraId="4809FD3B" w14:textId="77777777" w:rsidTr="00201E0C">
        <w:trPr>
          <w:trHeight w:val="300"/>
        </w:trPr>
        <w:tc>
          <w:tcPr>
            <w:tcW w:w="4200" w:type="dxa"/>
            <w:tcBorders>
              <w:top w:val="dashed" w:sz="4" w:space="0" w:color="auto"/>
              <w:left w:val="single" w:sz="4" w:space="0" w:color="auto"/>
              <w:bottom w:val="nil"/>
              <w:right w:val="single" w:sz="4" w:space="0" w:color="auto"/>
            </w:tcBorders>
            <w:shd w:val="clear" w:color="auto" w:fill="auto"/>
            <w:noWrap/>
            <w:vAlign w:val="bottom"/>
            <w:hideMark/>
          </w:tcPr>
          <w:p w14:paraId="3132C4CE"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Ingresos Tributarios</w:t>
            </w:r>
          </w:p>
        </w:tc>
        <w:tc>
          <w:tcPr>
            <w:tcW w:w="1090" w:type="dxa"/>
            <w:tcBorders>
              <w:top w:val="dashed" w:sz="4" w:space="0" w:color="auto"/>
              <w:left w:val="single" w:sz="4" w:space="0" w:color="auto"/>
              <w:bottom w:val="nil"/>
              <w:right w:val="single" w:sz="4" w:space="0" w:color="auto"/>
            </w:tcBorders>
            <w:shd w:val="clear" w:color="auto" w:fill="auto"/>
            <w:noWrap/>
            <w:vAlign w:val="bottom"/>
            <w:hideMark/>
          </w:tcPr>
          <w:p w14:paraId="03B4CF1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111.698,1</w:t>
            </w:r>
          </w:p>
        </w:tc>
        <w:tc>
          <w:tcPr>
            <w:tcW w:w="1090" w:type="dxa"/>
            <w:tcBorders>
              <w:top w:val="dashed" w:sz="4" w:space="0" w:color="auto"/>
              <w:left w:val="single" w:sz="4" w:space="0" w:color="auto"/>
              <w:bottom w:val="nil"/>
              <w:right w:val="single" w:sz="4" w:space="0" w:color="auto"/>
            </w:tcBorders>
            <w:shd w:val="clear" w:color="auto" w:fill="auto"/>
            <w:noWrap/>
            <w:vAlign w:val="bottom"/>
            <w:hideMark/>
          </w:tcPr>
          <w:p w14:paraId="4A790D9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148.723,3</w:t>
            </w:r>
          </w:p>
        </w:tc>
        <w:tc>
          <w:tcPr>
            <w:tcW w:w="1090" w:type="dxa"/>
            <w:tcBorders>
              <w:top w:val="dashed" w:sz="4" w:space="0" w:color="auto"/>
              <w:left w:val="single" w:sz="4" w:space="0" w:color="auto"/>
              <w:bottom w:val="nil"/>
              <w:right w:val="single" w:sz="4" w:space="0" w:color="auto"/>
            </w:tcBorders>
            <w:shd w:val="clear" w:color="auto" w:fill="auto"/>
            <w:noWrap/>
            <w:vAlign w:val="bottom"/>
            <w:hideMark/>
          </w:tcPr>
          <w:p w14:paraId="210BB6E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199.040,8</w:t>
            </w:r>
          </w:p>
        </w:tc>
        <w:tc>
          <w:tcPr>
            <w:tcW w:w="1090" w:type="dxa"/>
            <w:tcBorders>
              <w:top w:val="dashed" w:sz="4" w:space="0" w:color="auto"/>
              <w:left w:val="single" w:sz="4" w:space="0" w:color="auto"/>
              <w:bottom w:val="nil"/>
              <w:right w:val="single" w:sz="4" w:space="0" w:color="auto"/>
            </w:tcBorders>
            <w:shd w:val="clear" w:color="auto" w:fill="auto"/>
            <w:noWrap/>
            <w:vAlign w:val="bottom"/>
            <w:hideMark/>
          </w:tcPr>
          <w:p w14:paraId="597442E3"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267.040,7</w:t>
            </w:r>
          </w:p>
        </w:tc>
        <w:tc>
          <w:tcPr>
            <w:tcW w:w="1120" w:type="dxa"/>
            <w:tcBorders>
              <w:top w:val="dashed" w:sz="4" w:space="0" w:color="auto"/>
              <w:left w:val="single" w:sz="4" w:space="0" w:color="auto"/>
              <w:bottom w:val="nil"/>
              <w:right w:val="single" w:sz="4" w:space="0" w:color="auto"/>
            </w:tcBorders>
            <w:shd w:val="clear" w:color="auto" w:fill="DAEEF3"/>
            <w:noWrap/>
            <w:vAlign w:val="bottom"/>
            <w:hideMark/>
          </w:tcPr>
          <w:p w14:paraId="5C36D42E"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74%</w:t>
            </w:r>
          </w:p>
        </w:tc>
        <w:tc>
          <w:tcPr>
            <w:tcW w:w="1120" w:type="dxa"/>
            <w:tcBorders>
              <w:top w:val="dashed" w:sz="4" w:space="0" w:color="auto"/>
              <w:left w:val="single" w:sz="4" w:space="0" w:color="auto"/>
              <w:bottom w:val="nil"/>
              <w:right w:val="single" w:sz="4" w:space="0" w:color="auto"/>
            </w:tcBorders>
            <w:shd w:val="clear" w:color="auto" w:fill="DAEEF3"/>
            <w:noWrap/>
            <w:vAlign w:val="bottom"/>
            <w:hideMark/>
          </w:tcPr>
          <w:p w14:paraId="3E76E11F"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73%</w:t>
            </w:r>
          </w:p>
        </w:tc>
        <w:tc>
          <w:tcPr>
            <w:tcW w:w="1120" w:type="dxa"/>
            <w:tcBorders>
              <w:top w:val="dashed" w:sz="4" w:space="0" w:color="auto"/>
              <w:left w:val="single" w:sz="4" w:space="0" w:color="auto"/>
              <w:bottom w:val="nil"/>
              <w:right w:val="single" w:sz="4" w:space="0" w:color="auto"/>
            </w:tcBorders>
            <w:shd w:val="clear" w:color="auto" w:fill="DAEEF3"/>
            <w:noWrap/>
            <w:vAlign w:val="bottom"/>
            <w:hideMark/>
          </w:tcPr>
          <w:p w14:paraId="71A73820"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73%</w:t>
            </w:r>
          </w:p>
        </w:tc>
        <w:tc>
          <w:tcPr>
            <w:tcW w:w="1120" w:type="dxa"/>
            <w:tcBorders>
              <w:top w:val="dashed" w:sz="4" w:space="0" w:color="auto"/>
              <w:left w:val="single" w:sz="4" w:space="0" w:color="auto"/>
              <w:bottom w:val="nil"/>
              <w:right w:val="single" w:sz="4" w:space="0" w:color="auto"/>
            </w:tcBorders>
            <w:shd w:val="clear" w:color="auto" w:fill="DAEEF3"/>
            <w:noWrap/>
            <w:vAlign w:val="bottom"/>
            <w:hideMark/>
          </w:tcPr>
          <w:p w14:paraId="372129F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68%</w:t>
            </w:r>
          </w:p>
        </w:tc>
        <w:tc>
          <w:tcPr>
            <w:tcW w:w="1200" w:type="dxa"/>
            <w:tcBorders>
              <w:top w:val="dashed" w:sz="4" w:space="0" w:color="auto"/>
              <w:left w:val="single" w:sz="4" w:space="0" w:color="auto"/>
              <w:bottom w:val="nil"/>
              <w:right w:val="single" w:sz="4" w:space="0" w:color="auto"/>
            </w:tcBorders>
            <w:shd w:val="clear" w:color="auto" w:fill="DAEEF3"/>
            <w:noWrap/>
            <w:vAlign w:val="bottom"/>
            <w:hideMark/>
          </w:tcPr>
          <w:p w14:paraId="0E54032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72%</w:t>
            </w:r>
          </w:p>
        </w:tc>
      </w:tr>
      <w:tr w:rsidR="00201E0C" w:rsidRPr="004E6455" w14:paraId="56B5EF3D" w14:textId="77777777" w:rsidTr="00201E0C">
        <w:trPr>
          <w:trHeight w:val="300"/>
        </w:trPr>
        <w:tc>
          <w:tcPr>
            <w:tcW w:w="4200" w:type="dxa"/>
            <w:tcBorders>
              <w:top w:val="nil"/>
              <w:left w:val="single" w:sz="4" w:space="0" w:color="auto"/>
              <w:bottom w:val="nil"/>
              <w:right w:val="single" w:sz="4" w:space="0" w:color="auto"/>
            </w:tcBorders>
            <w:shd w:val="clear" w:color="auto" w:fill="auto"/>
            <w:noWrap/>
            <w:vAlign w:val="bottom"/>
            <w:hideMark/>
          </w:tcPr>
          <w:p w14:paraId="4244A942"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De Origen Provincial</w:t>
            </w:r>
          </w:p>
        </w:tc>
        <w:tc>
          <w:tcPr>
            <w:tcW w:w="1090" w:type="dxa"/>
            <w:tcBorders>
              <w:top w:val="nil"/>
              <w:left w:val="single" w:sz="4" w:space="0" w:color="auto"/>
              <w:bottom w:val="nil"/>
              <w:right w:val="single" w:sz="4" w:space="0" w:color="auto"/>
            </w:tcBorders>
            <w:shd w:val="clear" w:color="auto" w:fill="auto"/>
            <w:noWrap/>
            <w:vAlign w:val="bottom"/>
            <w:hideMark/>
          </w:tcPr>
          <w:p w14:paraId="5F1E273C"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67.632,5</w:t>
            </w:r>
          </w:p>
        </w:tc>
        <w:tc>
          <w:tcPr>
            <w:tcW w:w="1090" w:type="dxa"/>
            <w:tcBorders>
              <w:top w:val="nil"/>
              <w:left w:val="single" w:sz="4" w:space="0" w:color="auto"/>
              <w:bottom w:val="nil"/>
              <w:right w:val="single" w:sz="4" w:space="0" w:color="auto"/>
            </w:tcBorders>
            <w:shd w:val="clear" w:color="auto" w:fill="auto"/>
            <w:noWrap/>
            <w:vAlign w:val="bottom"/>
            <w:hideMark/>
          </w:tcPr>
          <w:p w14:paraId="22D415F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89.532,0</w:t>
            </w:r>
          </w:p>
        </w:tc>
        <w:tc>
          <w:tcPr>
            <w:tcW w:w="1090" w:type="dxa"/>
            <w:tcBorders>
              <w:top w:val="nil"/>
              <w:left w:val="single" w:sz="4" w:space="0" w:color="auto"/>
              <w:bottom w:val="nil"/>
              <w:right w:val="single" w:sz="4" w:space="0" w:color="auto"/>
            </w:tcBorders>
            <w:shd w:val="clear" w:color="auto" w:fill="auto"/>
            <w:noWrap/>
            <w:vAlign w:val="bottom"/>
            <w:hideMark/>
          </w:tcPr>
          <w:p w14:paraId="3D5B978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118.777,7</w:t>
            </w:r>
          </w:p>
        </w:tc>
        <w:tc>
          <w:tcPr>
            <w:tcW w:w="1090" w:type="dxa"/>
            <w:tcBorders>
              <w:top w:val="nil"/>
              <w:left w:val="single" w:sz="4" w:space="0" w:color="auto"/>
              <w:bottom w:val="nil"/>
              <w:right w:val="single" w:sz="4" w:space="0" w:color="auto"/>
            </w:tcBorders>
            <w:shd w:val="clear" w:color="auto" w:fill="auto"/>
            <w:noWrap/>
            <w:vAlign w:val="bottom"/>
            <w:hideMark/>
          </w:tcPr>
          <w:p w14:paraId="7DD0ADA4"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159.221,4</w:t>
            </w:r>
          </w:p>
        </w:tc>
        <w:tc>
          <w:tcPr>
            <w:tcW w:w="1120" w:type="dxa"/>
            <w:tcBorders>
              <w:top w:val="nil"/>
              <w:left w:val="single" w:sz="4" w:space="0" w:color="auto"/>
              <w:bottom w:val="nil"/>
              <w:right w:val="single" w:sz="4" w:space="0" w:color="auto"/>
            </w:tcBorders>
            <w:shd w:val="clear" w:color="auto" w:fill="DAEEF3"/>
            <w:noWrap/>
            <w:vAlign w:val="bottom"/>
            <w:hideMark/>
          </w:tcPr>
          <w:p w14:paraId="49A2751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45%</w:t>
            </w:r>
          </w:p>
        </w:tc>
        <w:tc>
          <w:tcPr>
            <w:tcW w:w="1120" w:type="dxa"/>
            <w:tcBorders>
              <w:top w:val="nil"/>
              <w:left w:val="single" w:sz="4" w:space="0" w:color="auto"/>
              <w:bottom w:val="nil"/>
              <w:right w:val="single" w:sz="4" w:space="0" w:color="auto"/>
            </w:tcBorders>
            <w:shd w:val="clear" w:color="auto" w:fill="DAEEF3"/>
            <w:noWrap/>
            <w:vAlign w:val="bottom"/>
            <w:hideMark/>
          </w:tcPr>
          <w:p w14:paraId="7873181F"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44%</w:t>
            </w:r>
          </w:p>
        </w:tc>
        <w:tc>
          <w:tcPr>
            <w:tcW w:w="1120" w:type="dxa"/>
            <w:tcBorders>
              <w:top w:val="nil"/>
              <w:left w:val="single" w:sz="4" w:space="0" w:color="auto"/>
              <w:bottom w:val="nil"/>
              <w:right w:val="single" w:sz="4" w:space="0" w:color="auto"/>
            </w:tcBorders>
            <w:shd w:val="clear" w:color="auto" w:fill="DAEEF3"/>
            <w:noWrap/>
            <w:vAlign w:val="bottom"/>
            <w:hideMark/>
          </w:tcPr>
          <w:p w14:paraId="72714782"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43%</w:t>
            </w:r>
          </w:p>
        </w:tc>
        <w:tc>
          <w:tcPr>
            <w:tcW w:w="1120" w:type="dxa"/>
            <w:tcBorders>
              <w:top w:val="nil"/>
              <w:left w:val="single" w:sz="4" w:space="0" w:color="auto"/>
              <w:bottom w:val="nil"/>
              <w:right w:val="single" w:sz="4" w:space="0" w:color="auto"/>
            </w:tcBorders>
            <w:shd w:val="clear" w:color="auto" w:fill="DAEEF3"/>
            <w:noWrap/>
            <w:vAlign w:val="bottom"/>
            <w:hideMark/>
          </w:tcPr>
          <w:p w14:paraId="7ED135F1"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40%</w:t>
            </w:r>
          </w:p>
        </w:tc>
        <w:tc>
          <w:tcPr>
            <w:tcW w:w="1200" w:type="dxa"/>
            <w:tcBorders>
              <w:top w:val="nil"/>
              <w:left w:val="single" w:sz="4" w:space="0" w:color="auto"/>
              <w:bottom w:val="nil"/>
              <w:right w:val="single" w:sz="4" w:space="0" w:color="auto"/>
            </w:tcBorders>
            <w:shd w:val="clear" w:color="auto" w:fill="DAEEF3"/>
            <w:noWrap/>
            <w:vAlign w:val="bottom"/>
            <w:hideMark/>
          </w:tcPr>
          <w:p w14:paraId="3B0F582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43%</w:t>
            </w:r>
          </w:p>
        </w:tc>
      </w:tr>
      <w:tr w:rsidR="00201E0C" w:rsidRPr="004E6455" w14:paraId="6077C450" w14:textId="77777777" w:rsidTr="00201E0C">
        <w:trPr>
          <w:trHeight w:val="300"/>
        </w:trPr>
        <w:tc>
          <w:tcPr>
            <w:tcW w:w="4200" w:type="dxa"/>
            <w:tcBorders>
              <w:top w:val="nil"/>
              <w:left w:val="single" w:sz="4" w:space="0" w:color="auto"/>
              <w:bottom w:val="dashed" w:sz="4" w:space="0" w:color="auto"/>
              <w:right w:val="single" w:sz="4" w:space="0" w:color="auto"/>
            </w:tcBorders>
            <w:shd w:val="clear" w:color="auto" w:fill="auto"/>
            <w:noWrap/>
            <w:vAlign w:val="bottom"/>
            <w:hideMark/>
          </w:tcPr>
          <w:p w14:paraId="1CA7E8E7"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De Origen Nacional</w:t>
            </w:r>
          </w:p>
        </w:tc>
        <w:tc>
          <w:tcPr>
            <w:tcW w:w="1090" w:type="dxa"/>
            <w:tcBorders>
              <w:top w:val="nil"/>
              <w:left w:val="single" w:sz="4" w:space="0" w:color="auto"/>
              <w:bottom w:val="dashed" w:sz="4" w:space="0" w:color="auto"/>
              <w:right w:val="single" w:sz="4" w:space="0" w:color="auto"/>
            </w:tcBorders>
            <w:shd w:val="clear" w:color="auto" w:fill="auto"/>
            <w:noWrap/>
            <w:vAlign w:val="bottom"/>
            <w:hideMark/>
          </w:tcPr>
          <w:p w14:paraId="709EB56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44.065,7</w:t>
            </w:r>
          </w:p>
        </w:tc>
        <w:tc>
          <w:tcPr>
            <w:tcW w:w="1090" w:type="dxa"/>
            <w:tcBorders>
              <w:top w:val="nil"/>
              <w:left w:val="single" w:sz="4" w:space="0" w:color="auto"/>
              <w:bottom w:val="dashed" w:sz="4" w:space="0" w:color="auto"/>
              <w:right w:val="single" w:sz="4" w:space="0" w:color="auto"/>
            </w:tcBorders>
            <w:shd w:val="clear" w:color="auto" w:fill="auto"/>
            <w:noWrap/>
            <w:vAlign w:val="bottom"/>
            <w:hideMark/>
          </w:tcPr>
          <w:p w14:paraId="13A29900"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59.191,2</w:t>
            </w:r>
          </w:p>
        </w:tc>
        <w:tc>
          <w:tcPr>
            <w:tcW w:w="1090" w:type="dxa"/>
            <w:tcBorders>
              <w:top w:val="nil"/>
              <w:left w:val="single" w:sz="4" w:space="0" w:color="auto"/>
              <w:bottom w:val="dashed" w:sz="4" w:space="0" w:color="auto"/>
              <w:right w:val="single" w:sz="4" w:space="0" w:color="auto"/>
            </w:tcBorders>
            <w:shd w:val="clear" w:color="auto" w:fill="auto"/>
            <w:noWrap/>
            <w:vAlign w:val="bottom"/>
            <w:hideMark/>
          </w:tcPr>
          <w:p w14:paraId="5FD4414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80.263,1</w:t>
            </w:r>
          </w:p>
        </w:tc>
        <w:tc>
          <w:tcPr>
            <w:tcW w:w="1090" w:type="dxa"/>
            <w:tcBorders>
              <w:top w:val="nil"/>
              <w:left w:val="single" w:sz="4" w:space="0" w:color="auto"/>
              <w:bottom w:val="dashed" w:sz="4" w:space="0" w:color="auto"/>
              <w:right w:val="single" w:sz="4" w:space="0" w:color="auto"/>
            </w:tcBorders>
            <w:shd w:val="clear" w:color="auto" w:fill="auto"/>
            <w:noWrap/>
            <w:vAlign w:val="bottom"/>
            <w:hideMark/>
          </w:tcPr>
          <w:p w14:paraId="6CD94E6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107.819,4</w:t>
            </w:r>
          </w:p>
        </w:tc>
        <w:tc>
          <w:tcPr>
            <w:tcW w:w="1120" w:type="dxa"/>
            <w:tcBorders>
              <w:top w:val="nil"/>
              <w:left w:val="single" w:sz="4" w:space="0" w:color="auto"/>
              <w:bottom w:val="dashed" w:sz="4" w:space="0" w:color="auto"/>
              <w:right w:val="single" w:sz="4" w:space="0" w:color="auto"/>
            </w:tcBorders>
            <w:shd w:val="clear" w:color="auto" w:fill="DAEEF3"/>
            <w:noWrap/>
            <w:vAlign w:val="bottom"/>
            <w:hideMark/>
          </w:tcPr>
          <w:p w14:paraId="67A1D12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29%</w:t>
            </w:r>
          </w:p>
        </w:tc>
        <w:tc>
          <w:tcPr>
            <w:tcW w:w="1120" w:type="dxa"/>
            <w:tcBorders>
              <w:top w:val="nil"/>
              <w:left w:val="single" w:sz="4" w:space="0" w:color="auto"/>
              <w:bottom w:val="dashed" w:sz="4" w:space="0" w:color="auto"/>
              <w:right w:val="single" w:sz="4" w:space="0" w:color="auto"/>
            </w:tcBorders>
            <w:shd w:val="clear" w:color="auto" w:fill="DAEEF3"/>
            <w:noWrap/>
            <w:vAlign w:val="bottom"/>
            <w:hideMark/>
          </w:tcPr>
          <w:p w14:paraId="45E1E29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29%</w:t>
            </w:r>
          </w:p>
        </w:tc>
        <w:tc>
          <w:tcPr>
            <w:tcW w:w="1120" w:type="dxa"/>
            <w:tcBorders>
              <w:top w:val="nil"/>
              <w:left w:val="single" w:sz="4" w:space="0" w:color="auto"/>
              <w:bottom w:val="dashed" w:sz="4" w:space="0" w:color="auto"/>
              <w:right w:val="single" w:sz="4" w:space="0" w:color="auto"/>
            </w:tcBorders>
            <w:shd w:val="clear" w:color="auto" w:fill="DAEEF3"/>
            <w:noWrap/>
            <w:vAlign w:val="bottom"/>
            <w:hideMark/>
          </w:tcPr>
          <w:p w14:paraId="05BEACC0"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29%</w:t>
            </w:r>
          </w:p>
        </w:tc>
        <w:tc>
          <w:tcPr>
            <w:tcW w:w="1120" w:type="dxa"/>
            <w:tcBorders>
              <w:top w:val="nil"/>
              <w:left w:val="single" w:sz="4" w:space="0" w:color="auto"/>
              <w:bottom w:val="dashed" w:sz="4" w:space="0" w:color="auto"/>
              <w:right w:val="single" w:sz="4" w:space="0" w:color="auto"/>
            </w:tcBorders>
            <w:shd w:val="clear" w:color="auto" w:fill="DAEEF3"/>
            <w:noWrap/>
            <w:vAlign w:val="bottom"/>
            <w:hideMark/>
          </w:tcPr>
          <w:p w14:paraId="7EF5F8D2"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27%</w:t>
            </w:r>
          </w:p>
        </w:tc>
        <w:tc>
          <w:tcPr>
            <w:tcW w:w="1200" w:type="dxa"/>
            <w:tcBorders>
              <w:top w:val="nil"/>
              <w:left w:val="single" w:sz="4" w:space="0" w:color="auto"/>
              <w:bottom w:val="dashed" w:sz="4" w:space="0" w:color="auto"/>
              <w:right w:val="single" w:sz="4" w:space="0" w:color="auto"/>
            </w:tcBorders>
            <w:shd w:val="clear" w:color="auto" w:fill="DAEEF3"/>
            <w:noWrap/>
            <w:vAlign w:val="bottom"/>
            <w:hideMark/>
          </w:tcPr>
          <w:p w14:paraId="3D577D8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29%</w:t>
            </w:r>
          </w:p>
        </w:tc>
      </w:tr>
      <w:tr w:rsidR="00201E0C" w:rsidRPr="004E6455" w14:paraId="004C270D" w14:textId="77777777" w:rsidTr="00201E0C">
        <w:trPr>
          <w:trHeight w:val="300"/>
        </w:trPr>
        <w:tc>
          <w:tcPr>
            <w:tcW w:w="420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6DB31F34"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Aportes y Contribuciones</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0BC10E8C"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25.929,7</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0857BFB1"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32.787,4</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2961B0EF"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48.285,9</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23CD8D2E"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66.408,7</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1FADD4B6"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17%</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6AC60A07"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16%</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4A7BAC6C"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18%</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05928B12"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17%</w:t>
            </w:r>
          </w:p>
        </w:tc>
        <w:tc>
          <w:tcPr>
            <w:tcW w:w="120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61EDF13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17%</w:t>
            </w:r>
          </w:p>
        </w:tc>
      </w:tr>
      <w:tr w:rsidR="00201E0C" w:rsidRPr="004E6455" w14:paraId="748B0EC8" w14:textId="77777777" w:rsidTr="00201E0C">
        <w:trPr>
          <w:trHeight w:val="300"/>
        </w:trPr>
        <w:tc>
          <w:tcPr>
            <w:tcW w:w="4200" w:type="dxa"/>
            <w:tcBorders>
              <w:top w:val="dashed" w:sz="4" w:space="0" w:color="auto"/>
              <w:left w:val="single" w:sz="4" w:space="0" w:color="auto"/>
              <w:bottom w:val="nil"/>
              <w:right w:val="single" w:sz="4" w:space="0" w:color="auto"/>
            </w:tcBorders>
            <w:shd w:val="clear" w:color="auto" w:fill="auto"/>
            <w:noWrap/>
            <w:vAlign w:val="bottom"/>
            <w:hideMark/>
          </w:tcPr>
          <w:p w14:paraId="0482BD32"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Ingresos no Tributarios</w:t>
            </w:r>
          </w:p>
        </w:tc>
        <w:tc>
          <w:tcPr>
            <w:tcW w:w="1090" w:type="dxa"/>
            <w:tcBorders>
              <w:top w:val="dashed" w:sz="4" w:space="0" w:color="auto"/>
              <w:left w:val="single" w:sz="4" w:space="0" w:color="auto"/>
              <w:bottom w:val="nil"/>
              <w:right w:val="single" w:sz="4" w:space="0" w:color="auto"/>
            </w:tcBorders>
            <w:shd w:val="clear" w:color="auto" w:fill="auto"/>
            <w:noWrap/>
            <w:vAlign w:val="bottom"/>
            <w:hideMark/>
          </w:tcPr>
          <w:p w14:paraId="26A0E5BC"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2.465,9</w:t>
            </w:r>
          </w:p>
        </w:tc>
        <w:tc>
          <w:tcPr>
            <w:tcW w:w="1090" w:type="dxa"/>
            <w:tcBorders>
              <w:top w:val="dashed" w:sz="4" w:space="0" w:color="auto"/>
              <w:left w:val="single" w:sz="4" w:space="0" w:color="auto"/>
              <w:bottom w:val="nil"/>
              <w:right w:val="single" w:sz="4" w:space="0" w:color="auto"/>
            </w:tcBorders>
            <w:shd w:val="clear" w:color="auto" w:fill="auto"/>
            <w:noWrap/>
            <w:vAlign w:val="bottom"/>
            <w:hideMark/>
          </w:tcPr>
          <w:p w14:paraId="059A127C"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2.831,4</w:t>
            </w:r>
          </w:p>
        </w:tc>
        <w:tc>
          <w:tcPr>
            <w:tcW w:w="1090" w:type="dxa"/>
            <w:tcBorders>
              <w:top w:val="dashed" w:sz="4" w:space="0" w:color="auto"/>
              <w:left w:val="single" w:sz="4" w:space="0" w:color="auto"/>
              <w:bottom w:val="nil"/>
              <w:right w:val="single" w:sz="4" w:space="0" w:color="auto"/>
            </w:tcBorders>
            <w:shd w:val="clear" w:color="auto" w:fill="auto"/>
            <w:noWrap/>
            <w:vAlign w:val="bottom"/>
            <w:hideMark/>
          </w:tcPr>
          <w:p w14:paraId="02C3E0A7"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3.522,5</w:t>
            </w:r>
          </w:p>
        </w:tc>
        <w:tc>
          <w:tcPr>
            <w:tcW w:w="1090" w:type="dxa"/>
            <w:tcBorders>
              <w:top w:val="dashed" w:sz="4" w:space="0" w:color="auto"/>
              <w:left w:val="single" w:sz="4" w:space="0" w:color="auto"/>
              <w:bottom w:val="nil"/>
              <w:right w:val="single" w:sz="4" w:space="0" w:color="auto"/>
            </w:tcBorders>
            <w:shd w:val="clear" w:color="auto" w:fill="auto"/>
            <w:noWrap/>
            <w:vAlign w:val="bottom"/>
            <w:hideMark/>
          </w:tcPr>
          <w:p w14:paraId="2F8E07F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5.053,7</w:t>
            </w:r>
          </w:p>
        </w:tc>
        <w:tc>
          <w:tcPr>
            <w:tcW w:w="1120" w:type="dxa"/>
            <w:tcBorders>
              <w:top w:val="dashed" w:sz="4" w:space="0" w:color="auto"/>
              <w:left w:val="single" w:sz="4" w:space="0" w:color="auto"/>
              <w:bottom w:val="nil"/>
              <w:right w:val="single" w:sz="4" w:space="0" w:color="auto"/>
            </w:tcBorders>
            <w:shd w:val="clear" w:color="auto" w:fill="DAEEF3"/>
            <w:noWrap/>
            <w:vAlign w:val="bottom"/>
            <w:hideMark/>
          </w:tcPr>
          <w:p w14:paraId="76D4BE7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w:t>
            </w:r>
          </w:p>
        </w:tc>
        <w:tc>
          <w:tcPr>
            <w:tcW w:w="1120" w:type="dxa"/>
            <w:tcBorders>
              <w:top w:val="dashed" w:sz="4" w:space="0" w:color="auto"/>
              <w:left w:val="single" w:sz="4" w:space="0" w:color="auto"/>
              <w:bottom w:val="nil"/>
              <w:right w:val="single" w:sz="4" w:space="0" w:color="auto"/>
            </w:tcBorders>
            <w:shd w:val="clear" w:color="auto" w:fill="DAEEF3"/>
            <w:noWrap/>
            <w:vAlign w:val="bottom"/>
            <w:hideMark/>
          </w:tcPr>
          <w:p w14:paraId="5A9C2D71"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120" w:type="dxa"/>
            <w:tcBorders>
              <w:top w:val="dashed" w:sz="4" w:space="0" w:color="auto"/>
              <w:left w:val="single" w:sz="4" w:space="0" w:color="auto"/>
              <w:bottom w:val="nil"/>
              <w:right w:val="single" w:sz="4" w:space="0" w:color="auto"/>
            </w:tcBorders>
            <w:shd w:val="clear" w:color="auto" w:fill="DAEEF3"/>
            <w:noWrap/>
            <w:vAlign w:val="bottom"/>
            <w:hideMark/>
          </w:tcPr>
          <w:p w14:paraId="3488257D"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120" w:type="dxa"/>
            <w:tcBorders>
              <w:top w:val="dashed" w:sz="4" w:space="0" w:color="auto"/>
              <w:left w:val="single" w:sz="4" w:space="0" w:color="auto"/>
              <w:bottom w:val="nil"/>
              <w:right w:val="single" w:sz="4" w:space="0" w:color="auto"/>
            </w:tcBorders>
            <w:shd w:val="clear" w:color="auto" w:fill="DAEEF3"/>
            <w:noWrap/>
            <w:vAlign w:val="bottom"/>
            <w:hideMark/>
          </w:tcPr>
          <w:p w14:paraId="6612F34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200" w:type="dxa"/>
            <w:tcBorders>
              <w:top w:val="dashed" w:sz="4" w:space="0" w:color="auto"/>
              <w:left w:val="single" w:sz="4" w:space="0" w:color="auto"/>
              <w:bottom w:val="nil"/>
              <w:right w:val="single" w:sz="4" w:space="0" w:color="auto"/>
            </w:tcBorders>
            <w:shd w:val="clear" w:color="auto" w:fill="DAEEF3"/>
            <w:noWrap/>
            <w:vAlign w:val="bottom"/>
            <w:hideMark/>
          </w:tcPr>
          <w:p w14:paraId="000C57A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r>
      <w:tr w:rsidR="00201E0C" w:rsidRPr="004E6455" w14:paraId="6CC87686" w14:textId="77777777" w:rsidTr="00201E0C">
        <w:trPr>
          <w:trHeight w:val="300"/>
        </w:trPr>
        <w:tc>
          <w:tcPr>
            <w:tcW w:w="4200" w:type="dxa"/>
            <w:tcBorders>
              <w:top w:val="nil"/>
              <w:left w:val="single" w:sz="4" w:space="0" w:color="auto"/>
              <w:bottom w:val="nil"/>
              <w:right w:val="single" w:sz="4" w:space="0" w:color="auto"/>
            </w:tcBorders>
            <w:shd w:val="clear" w:color="auto" w:fill="auto"/>
            <w:noWrap/>
            <w:vAlign w:val="bottom"/>
            <w:hideMark/>
          </w:tcPr>
          <w:p w14:paraId="15C3178E"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De Origen Provincial</w:t>
            </w:r>
          </w:p>
        </w:tc>
        <w:tc>
          <w:tcPr>
            <w:tcW w:w="1090" w:type="dxa"/>
            <w:tcBorders>
              <w:top w:val="nil"/>
              <w:left w:val="single" w:sz="4" w:space="0" w:color="auto"/>
              <w:bottom w:val="nil"/>
              <w:right w:val="single" w:sz="4" w:space="0" w:color="auto"/>
            </w:tcBorders>
            <w:shd w:val="clear" w:color="auto" w:fill="auto"/>
            <w:noWrap/>
            <w:vAlign w:val="bottom"/>
            <w:hideMark/>
          </w:tcPr>
          <w:p w14:paraId="786B5E4D"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2.465,9</w:t>
            </w:r>
          </w:p>
        </w:tc>
        <w:tc>
          <w:tcPr>
            <w:tcW w:w="1090" w:type="dxa"/>
            <w:tcBorders>
              <w:top w:val="nil"/>
              <w:left w:val="single" w:sz="4" w:space="0" w:color="auto"/>
              <w:bottom w:val="nil"/>
              <w:right w:val="single" w:sz="4" w:space="0" w:color="auto"/>
            </w:tcBorders>
            <w:shd w:val="clear" w:color="auto" w:fill="auto"/>
            <w:noWrap/>
            <w:vAlign w:val="bottom"/>
            <w:hideMark/>
          </w:tcPr>
          <w:p w14:paraId="4A0DA742"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2.831,4</w:t>
            </w:r>
          </w:p>
        </w:tc>
        <w:tc>
          <w:tcPr>
            <w:tcW w:w="1090" w:type="dxa"/>
            <w:tcBorders>
              <w:top w:val="nil"/>
              <w:left w:val="single" w:sz="4" w:space="0" w:color="auto"/>
              <w:bottom w:val="nil"/>
              <w:right w:val="single" w:sz="4" w:space="0" w:color="auto"/>
            </w:tcBorders>
            <w:shd w:val="clear" w:color="auto" w:fill="auto"/>
            <w:noWrap/>
            <w:vAlign w:val="bottom"/>
            <w:hideMark/>
          </w:tcPr>
          <w:p w14:paraId="08D66F6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3.522,5</w:t>
            </w:r>
          </w:p>
        </w:tc>
        <w:tc>
          <w:tcPr>
            <w:tcW w:w="1090" w:type="dxa"/>
            <w:tcBorders>
              <w:top w:val="nil"/>
              <w:left w:val="single" w:sz="4" w:space="0" w:color="auto"/>
              <w:bottom w:val="nil"/>
              <w:right w:val="single" w:sz="4" w:space="0" w:color="auto"/>
            </w:tcBorders>
            <w:shd w:val="clear" w:color="auto" w:fill="auto"/>
            <w:noWrap/>
            <w:vAlign w:val="bottom"/>
            <w:hideMark/>
          </w:tcPr>
          <w:p w14:paraId="257CE03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5.053,7</w:t>
            </w:r>
          </w:p>
        </w:tc>
        <w:tc>
          <w:tcPr>
            <w:tcW w:w="1120" w:type="dxa"/>
            <w:tcBorders>
              <w:top w:val="nil"/>
              <w:left w:val="single" w:sz="4" w:space="0" w:color="auto"/>
              <w:bottom w:val="nil"/>
              <w:right w:val="single" w:sz="4" w:space="0" w:color="auto"/>
            </w:tcBorders>
            <w:shd w:val="clear" w:color="auto" w:fill="DAEEF3"/>
            <w:noWrap/>
            <w:vAlign w:val="bottom"/>
            <w:hideMark/>
          </w:tcPr>
          <w:p w14:paraId="42B28C5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w:t>
            </w:r>
          </w:p>
        </w:tc>
        <w:tc>
          <w:tcPr>
            <w:tcW w:w="1120" w:type="dxa"/>
            <w:tcBorders>
              <w:top w:val="nil"/>
              <w:left w:val="single" w:sz="4" w:space="0" w:color="auto"/>
              <w:bottom w:val="nil"/>
              <w:right w:val="single" w:sz="4" w:space="0" w:color="auto"/>
            </w:tcBorders>
            <w:shd w:val="clear" w:color="auto" w:fill="DAEEF3"/>
            <w:noWrap/>
            <w:vAlign w:val="bottom"/>
            <w:hideMark/>
          </w:tcPr>
          <w:p w14:paraId="56BF2186"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120" w:type="dxa"/>
            <w:tcBorders>
              <w:top w:val="nil"/>
              <w:left w:val="single" w:sz="4" w:space="0" w:color="auto"/>
              <w:bottom w:val="nil"/>
              <w:right w:val="single" w:sz="4" w:space="0" w:color="auto"/>
            </w:tcBorders>
            <w:shd w:val="clear" w:color="auto" w:fill="DAEEF3"/>
            <w:noWrap/>
            <w:vAlign w:val="bottom"/>
            <w:hideMark/>
          </w:tcPr>
          <w:p w14:paraId="7D7600CB"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120" w:type="dxa"/>
            <w:tcBorders>
              <w:top w:val="nil"/>
              <w:left w:val="single" w:sz="4" w:space="0" w:color="auto"/>
              <w:bottom w:val="nil"/>
              <w:right w:val="single" w:sz="4" w:space="0" w:color="auto"/>
            </w:tcBorders>
            <w:shd w:val="clear" w:color="auto" w:fill="DAEEF3"/>
            <w:noWrap/>
            <w:vAlign w:val="bottom"/>
            <w:hideMark/>
          </w:tcPr>
          <w:p w14:paraId="33097A43"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200" w:type="dxa"/>
            <w:tcBorders>
              <w:top w:val="nil"/>
              <w:left w:val="single" w:sz="4" w:space="0" w:color="auto"/>
              <w:bottom w:val="nil"/>
              <w:right w:val="single" w:sz="4" w:space="0" w:color="auto"/>
            </w:tcBorders>
            <w:shd w:val="clear" w:color="auto" w:fill="DAEEF3"/>
            <w:noWrap/>
            <w:vAlign w:val="bottom"/>
            <w:hideMark/>
          </w:tcPr>
          <w:p w14:paraId="0DA42267"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r>
      <w:tr w:rsidR="00201E0C" w:rsidRPr="004E6455" w14:paraId="75701BF4" w14:textId="77777777" w:rsidTr="00201E0C">
        <w:trPr>
          <w:trHeight w:val="300"/>
        </w:trPr>
        <w:tc>
          <w:tcPr>
            <w:tcW w:w="4200" w:type="dxa"/>
            <w:tcBorders>
              <w:top w:val="nil"/>
              <w:left w:val="single" w:sz="4" w:space="0" w:color="auto"/>
              <w:bottom w:val="dashed" w:sz="4" w:space="0" w:color="auto"/>
              <w:right w:val="single" w:sz="4" w:space="0" w:color="auto"/>
            </w:tcBorders>
            <w:shd w:val="clear" w:color="auto" w:fill="auto"/>
            <w:noWrap/>
            <w:vAlign w:val="bottom"/>
            <w:hideMark/>
          </w:tcPr>
          <w:p w14:paraId="6177D9DB"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De Origen Nacional</w:t>
            </w:r>
          </w:p>
        </w:tc>
        <w:tc>
          <w:tcPr>
            <w:tcW w:w="1090" w:type="dxa"/>
            <w:tcBorders>
              <w:top w:val="nil"/>
              <w:left w:val="single" w:sz="4" w:space="0" w:color="auto"/>
              <w:bottom w:val="dashed" w:sz="4" w:space="0" w:color="auto"/>
              <w:right w:val="single" w:sz="4" w:space="0" w:color="auto"/>
            </w:tcBorders>
            <w:shd w:val="clear" w:color="auto" w:fill="auto"/>
            <w:noWrap/>
            <w:vAlign w:val="bottom"/>
            <w:hideMark/>
          </w:tcPr>
          <w:p w14:paraId="4DED850B"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1090" w:type="dxa"/>
            <w:tcBorders>
              <w:top w:val="nil"/>
              <w:left w:val="single" w:sz="4" w:space="0" w:color="auto"/>
              <w:bottom w:val="dashed" w:sz="4" w:space="0" w:color="auto"/>
              <w:right w:val="single" w:sz="4" w:space="0" w:color="auto"/>
            </w:tcBorders>
            <w:shd w:val="clear" w:color="auto" w:fill="auto"/>
            <w:noWrap/>
            <w:vAlign w:val="bottom"/>
            <w:hideMark/>
          </w:tcPr>
          <w:p w14:paraId="2C15D2B6"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1090" w:type="dxa"/>
            <w:tcBorders>
              <w:top w:val="nil"/>
              <w:left w:val="single" w:sz="4" w:space="0" w:color="auto"/>
              <w:bottom w:val="dashed" w:sz="4" w:space="0" w:color="auto"/>
              <w:right w:val="single" w:sz="4" w:space="0" w:color="auto"/>
            </w:tcBorders>
            <w:shd w:val="clear" w:color="auto" w:fill="auto"/>
            <w:noWrap/>
            <w:vAlign w:val="bottom"/>
            <w:hideMark/>
          </w:tcPr>
          <w:p w14:paraId="5C41502E"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1090" w:type="dxa"/>
            <w:tcBorders>
              <w:top w:val="nil"/>
              <w:left w:val="single" w:sz="4" w:space="0" w:color="auto"/>
              <w:bottom w:val="dashed" w:sz="4" w:space="0" w:color="auto"/>
              <w:right w:val="single" w:sz="4" w:space="0" w:color="auto"/>
            </w:tcBorders>
            <w:shd w:val="clear" w:color="auto" w:fill="auto"/>
            <w:noWrap/>
            <w:vAlign w:val="bottom"/>
            <w:hideMark/>
          </w:tcPr>
          <w:p w14:paraId="50ADDA2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1120" w:type="dxa"/>
            <w:tcBorders>
              <w:top w:val="nil"/>
              <w:left w:val="single" w:sz="4" w:space="0" w:color="auto"/>
              <w:bottom w:val="dashed" w:sz="4" w:space="0" w:color="auto"/>
              <w:right w:val="single" w:sz="4" w:space="0" w:color="auto"/>
            </w:tcBorders>
            <w:shd w:val="clear" w:color="auto" w:fill="DAEEF3"/>
            <w:noWrap/>
            <w:vAlign w:val="bottom"/>
            <w:hideMark/>
          </w:tcPr>
          <w:p w14:paraId="389754D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dashed" w:sz="4" w:space="0" w:color="auto"/>
              <w:right w:val="single" w:sz="4" w:space="0" w:color="auto"/>
            </w:tcBorders>
            <w:shd w:val="clear" w:color="auto" w:fill="DAEEF3"/>
            <w:noWrap/>
            <w:vAlign w:val="bottom"/>
            <w:hideMark/>
          </w:tcPr>
          <w:p w14:paraId="209EEFA3"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dashed" w:sz="4" w:space="0" w:color="auto"/>
              <w:right w:val="single" w:sz="4" w:space="0" w:color="auto"/>
            </w:tcBorders>
            <w:shd w:val="clear" w:color="auto" w:fill="DAEEF3"/>
            <w:noWrap/>
            <w:vAlign w:val="bottom"/>
            <w:hideMark/>
          </w:tcPr>
          <w:p w14:paraId="0C5BFBC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dashed" w:sz="4" w:space="0" w:color="auto"/>
              <w:right w:val="single" w:sz="4" w:space="0" w:color="auto"/>
            </w:tcBorders>
            <w:shd w:val="clear" w:color="auto" w:fill="DAEEF3"/>
            <w:noWrap/>
            <w:vAlign w:val="bottom"/>
            <w:hideMark/>
          </w:tcPr>
          <w:p w14:paraId="3FD71101"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200" w:type="dxa"/>
            <w:tcBorders>
              <w:top w:val="nil"/>
              <w:left w:val="single" w:sz="4" w:space="0" w:color="auto"/>
              <w:bottom w:val="dashed" w:sz="4" w:space="0" w:color="auto"/>
              <w:right w:val="single" w:sz="4" w:space="0" w:color="auto"/>
            </w:tcBorders>
            <w:shd w:val="clear" w:color="auto" w:fill="DAEEF3"/>
            <w:noWrap/>
            <w:vAlign w:val="bottom"/>
            <w:hideMark/>
          </w:tcPr>
          <w:p w14:paraId="38B43C0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r>
      <w:tr w:rsidR="00201E0C" w:rsidRPr="004E6455" w14:paraId="3552B7DE" w14:textId="77777777" w:rsidTr="00201E0C">
        <w:trPr>
          <w:trHeight w:val="300"/>
        </w:trPr>
        <w:tc>
          <w:tcPr>
            <w:tcW w:w="420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68ED550D"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Vta de Bienes y Scios de la Adm Pública</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73E4C5D6"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320,0</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2A869516"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377,4</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081227A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453,1</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3B8860D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768,5</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79F8589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476BB16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0981DC1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55E53B1E"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20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5619C2CB"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r>
      <w:tr w:rsidR="00201E0C" w:rsidRPr="004E6455" w14:paraId="49D5CE5A" w14:textId="77777777" w:rsidTr="00201E0C">
        <w:trPr>
          <w:trHeight w:val="300"/>
        </w:trPr>
        <w:tc>
          <w:tcPr>
            <w:tcW w:w="420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41649C7C"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Ingresos de Operación</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4BD41CE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208,7</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2365E4A6"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299,5</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17016B2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361,3</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2C788F83"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499,2</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28264DFD"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608A9BA1"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40815C96"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3DC9ABF4"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20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7CD671B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r>
      <w:tr w:rsidR="00201E0C" w:rsidRPr="004E6455" w14:paraId="6F3413F1" w14:textId="77777777" w:rsidTr="00201E0C">
        <w:trPr>
          <w:trHeight w:val="300"/>
        </w:trPr>
        <w:tc>
          <w:tcPr>
            <w:tcW w:w="420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2A5A2E2F"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Rentas de la Propiedad</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60AA929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1.047,7</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0AC6C30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1.916,3</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063506BE"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2.298,9</w:t>
            </w:r>
          </w:p>
        </w:tc>
        <w:tc>
          <w:tcPr>
            <w:tcW w:w="1090"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3B504BA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5.232,9</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12738BC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75C6350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4FECF7F4"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12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50F11E49"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c>
          <w:tcPr>
            <w:tcW w:w="1200" w:type="dxa"/>
            <w:tcBorders>
              <w:top w:val="dashed" w:sz="4" w:space="0" w:color="auto"/>
              <w:left w:val="single" w:sz="4" w:space="0" w:color="auto"/>
              <w:bottom w:val="dashed" w:sz="4" w:space="0" w:color="auto"/>
              <w:right w:val="single" w:sz="4" w:space="0" w:color="auto"/>
            </w:tcBorders>
            <w:shd w:val="clear" w:color="auto" w:fill="DAEEF3"/>
            <w:noWrap/>
            <w:vAlign w:val="bottom"/>
            <w:hideMark/>
          </w:tcPr>
          <w:p w14:paraId="4D23BDC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w:t>
            </w:r>
          </w:p>
        </w:tc>
      </w:tr>
      <w:tr w:rsidR="00201E0C" w:rsidRPr="004E6455" w14:paraId="2B57210D" w14:textId="77777777" w:rsidTr="00201E0C">
        <w:trPr>
          <w:trHeight w:val="300"/>
        </w:trPr>
        <w:tc>
          <w:tcPr>
            <w:tcW w:w="4200"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3BEDFB8A"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Transferencias Corrientes</w:t>
            </w:r>
          </w:p>
        </w:tc>
        <w:tc>
          <w:tcPr>
            <w:tcW w:w="1090"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33D7A1B1"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4.948,8</w:t>
            </w:r>
          </w:p>
        </w:tc>
        <w:tc>
          <w:tcPr>
            <w:tcW w:w="1090"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7262E4DB"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11.067,0</w:t>
            </w:r>
          </w:p>
        </w:tc>
        <w:tc>
          <w:tcPr>
            <w:tcW w:w="1090"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56F2926E"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14.973,2</w:t>
            </w:r>
          </w:p>
        </w:tc>
        <w:tc>
          <w:tcPr>
            <w:tcW w:w="1090"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32E85CF4"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41.058,1</w:t>
            </w:r>
          </w:p>
        </w:tc>
        <w:tc>
          <w:tcPr>
            <w:tcW w:w="1120" w:type="dxa"/>
            <w:tcBorders>
              <w:top w:val="dashed" w:sz="4" w:space="0" w:color="auto"/>
              <w:left w:val="single" w:sz="4" w:space="0" w:color="auto"/>
              <w:bottom w:val="single" w:sz="4" w:space="0" w:color="auto"/>
              <w:right w:val="single" w:sz="4" w:space="0" w:color="auto"/>
            </w:tcBorders>
            <w:shd w:val="clear" w:color="auto" w:fill="DAEEF3"/>
            <w:noWrap/>
            <w:vAlign w:val="bottom"/>
            <w:hideMark/>
          </w:tcPr>
          <w:p w14:paraId="1742D210"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3%</w:t>
            </w:r>
          </w:p>
        </w:tc>
        <w:tc>
          <w:tcPr>
            <w:tcW w:w="1120" w:type="dxa"/>
            <w:tcBorders>
              <w:top w:val="dashed" w:sz="4" w:space="0" w:color="auto"/>
              <w:left w:val="single" w:sz="4" w:space="0" w:color="auto"/>
              <w:bottom w:val="single" w:sz="4" w:space="0" w:color="auto"/>
              <w:right w:val="single" w:sz="4" w:space="0" w:color="auto"/>
            </w:tcBorders>
            <w:shd w:val="clear" w:color="auto" w:fill="DAEEF3"/>
            <w:noWrap/>
            <w:vAlign w:val="bottom"/>
            <w:hideMark/>
          </w:tcPr>
          <w:p w14:paraId="798165FC"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5%</w:t>
            </w:r>
          </w:p>
        </w:tc>
        <w:tc>
          <w:tcPr>
            <w:tcW w:w="1120" w:type="dxa"/>
            <w:tcBorders>
              <w:top w:val="dashed" w:sz="4" w:space="0" w:color="auto"/>
              <w:left w:val="single" w:sz="4" w:space="0" w:color="auto"/>
              <w:bottom w:val="single" w:sz="4" w:space="0" w:color="auto"/>
              <w:right w:val="single" w:sz="4" w:space="0" w:color="auto"/>
            </w:tcBorders>
            <w:shd w:val="clear" w:color="auto" w:fill="DAEEF3"/>
            <w:noWrap/>
            <w:vAlign w:val="bottom"/>
            <w:hideMark/>
          </w:tcPr>
          <w:p w14:paraId="74325AE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5%</w:t>
            </w:r>
          </w:p>
        </w:tc>
        <w:tc>
          <w:tcPr>
            <w:tcW w:w="1120" w:type="dxa"/>
            <w:tcBorders>
              <w:top w:val="dashed" w:sz="4" w:space="0" w:color="auto"/>
              <w:left w:val="single" w:sz="4" w:space="0" w:color="auto"/>
              <w:bottom w:val="single" w:sz="4" w:space="0" w:color="auto"/>
              <w:right w:val="single" w:sz="4" w:space="0" w:color="auto"/>
            </w:tcBorders>
            <w:shd w:val="clear" w:color="auto" w:fill="DAEEF3"/>
            <w:noWrap/>
            <w:vAlign w:val="bottom"/>
            <w:hideMark/>
          </w:tcPr>
          <w:p w14:paraId="4AD60830"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10%</w:t>
            </w:r>
          </w:p>
        </w:tc>
        <w:tc>
          <w:tcPr>
            <w:tcW w:w="1200" w:type="dxa"/>
            <w:tcBorders>
              <w:top w:val="dashed" w:sz="4" w:space="0" w:color="auto"/>
              <w:left w:val="single" w:sz="4" w:space="0" w:color="auto"/>
              <w:bottom w:val="single" w:sz="4" w:space="0" w:color="auto"/>
              <w:right w:val="single" w:sz="4" w:space="0" w:color="auto"/>
            </w:tcBorders>
            <w:shd w:val="clear" w:color="auto" w:fill="DAEEF3"/>
            <w:noWrap/>
            <w:vAlign w:val="bottom"/>
            <w:hideMark/>
          </w:tcPr>
          <w:p w14:paraId="1005032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6%</w:t>
            </w:r>
          </w:p>
        </w:tc>
      </w:tr>
      <w:tr w:rsidR="00201E0C" w:rsidRPr="004E6455" w14:paraId="13BAE26F" w14:textId="77777777" w:rsidTr="00201E0C">
        <w:trPr>
          <w:trHeight w:val="315"/>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BAB71" w14:textId="77777777" w:rsidR="006C3DDD" w:rsidRPr="00117BF8" w:rsidRDefault="006C3DDD" w:rsidP="006C3DDD">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 TOTAL INGRESOS CORRIENTES</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CDEFA"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146.618,8</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2D6E3"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198.002,3</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AB9E7"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268.935,7</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A9AED"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386.061,9</w:t>
            </w:r>
          </w:p>
        </w:tc>
        <w:tc>
          <w:tcPr>
            <w:tcW w:w="112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5CE63EED"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98%</w:t>
            </w:r>
          </w:p>
        </w:tc>
        <w:tc>
          <w:tcPr>
            <w:tcW w:w="112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0808F938"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98%</w:t>
            </w:r>
          </w:p>
        </w:tc>
        <w:tc>
          <w:tcPr>
            <w:tcW w:w="112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5B4D9B21"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98%</w:t>
            </w:r>
          </w:p>
        </w:tc>
        <w:tc>
          <w:tcPr>
            <w:tcW w:w="112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4B452D42"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98%</w:t>
            </w:r>
          </w:p>
        </w:tc>
        <w:tc>
          <w:tcPr>
            <w:tcW w:w="120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37E628E0"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98%</w:t>
            </w:r>
          </w:p>
        </w:tc>
      </w:tr>
      <w:tr w:rsidR="00201E0C" w:rsidRPr="004E6455" w14:paraId="4D198897" w14:textId="77777777" w:rsidTr="00201E0C">
        <w:trPr>
          <w:trHeight w:val="300"/>
        </w:trPr>
        <w:tc>
          <w:tcPr>
            <w:tcW w:w="4200" w:type="dxa"/>
            <w:tcBorders>
              <w:top w:val="single" w:sz="4" w:space="0" w:color="auto"/>
              <w:left w:val="single" w:sz="4" w:space="0" w:color="auto"/>
              <w:bottom w:val="nil"/>
              <w:right w:val="single" w:sz="4" w:space="0" w:color="auto"/>
            </w:tcBorders>
            <w:shd w:val="clear" w:color="auto" w:fill="auto"/>
            <w:noWrap/>
            <w:vAlign w:val="bottom"/>
            <w:hideMark/>
          </w:tcPr>
          <w:p w14:paraId="038D73A0" w14:textId="77777777" w:rsidR="006C3DDD" w:rsidRPr="00117BF8" w:rsidRDefault="006C3DDD" w:rsidP="006C3DDD">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RECURSOS DE CAPITAL</w:t>
            </w:r>
          </w:p>
        </w:tc>
        <w:tc>
          <w:tcPr>
            <w:tcW w:w="1090" w:type="dxa"/>
            <w:tcBorders>
              <w:top w:val="single" w:sz="4" w:space="0" w:color="auto"/>
              <w:left w:val="single" w:sz="4" w:space="0" w:color="auto"/>
              <w:bottom w:val="nil"/>
              <w:right w:val="single" w:sz="4" w:space="0" w:color="auto"/>
            </w:tcBorders>
            <w:shd w:val="clear" w:color="auto" w:fill="auto"/>
            <w:noWrap/>
            <w:vAlign w:val="bottom"/>
            <w:hideMark/>
          </w:tcPr>
          <w:p w14:paraId="6499768C"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090" w:type="dxa"/>
            <w:tcBorders>
              <w:top w:val="single" w:sz="4" w:space="0" w:color="auto"/>
              <w:left w:val="single" w:sz="4" w:space="0" w:color="auto"/>
              <w:bottom w:val="nil"/>
              <w:right w:val="single" w:sz="4" w:space="0" w:color="auto"/>
            </w:tcBorders>
            <w:shd w:val="clear" w:color="auto" w:fill="auto"/>
            <w:noWrap/>
            <w:vAlign w:val="bottom"/>
            <w:hideMark/>
          </w:tcPr>
          <w:p w14:paraId="6E65C641"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090" w:type="dxa"/>
            <w:tcBorders>
              <w:top w:val="single" w:sz="4" w:space="0" w:color="auto"/>
              <w:left w:val="single" w:sz="4" w:space="0" w:color="auto"/>
              <w:bottom w:val="nil"/>
              <w:right w:val="single" w:sz="4" w:space="0" w:color="auto"/>
            </w:tcBorders>
            <w:shd w:val="clear" w:color="auto" w:fill="auto"/>
            <w:noWrap/>
            <w:vAlign w:val="bottom"/>
            <w:hideMark/>
          </w:tcPr>
          <w:p w14:paraId="51738CF2"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090" w:type="dxa"/>
            <w:tcBorders>
              <w:top w:val="single" w:sz="4" w:space="0" w:color="auto"/>
              <w:left w:val="single" w:sz="4" w:space="0" w:color="auto"/>
              <w:bottom w:val="nil"/>
              <w:right w:val="single" w:sz="4" w:space="0" w:color="auto"/>
            </w:tcBorders>
            <w:shd w:val="clear" w:color="auto" w:fill="auto"/>
            <w:noWrap/>
            <w:vAlign w:val="bottom"/>
            <w:hideMark/>
          </w:tcPr>
          <w:p w14:paraId="58F2F7F4"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120" w:type="dxa"/>
            <w:tcBorders>
              <w:top w:val="single" w:sz="4" w:space="0" w:color="auto"/>
              <w:left w:val="single" w:sz="4" w:space="0" w:color="auto"/>
              <w:bottom w:val="nil"/>
              <w:right w:val="single" w:sz="4" w:space="0" w:color="auto"/>
            </w:tcBorders>
            <w:shd w:val="clear" w:color="auto" w:fill="DAEEF3"/>
            <w:noWrap/>
            <w:vAlign w:val="bottom"/>
            <w:hideMark/>
          </w:tcPr>
          <w:p w14:paraId="7C1F35E3"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120" w:type="dxa"/>
            <w:tcBorders>
              <w:top w:val="single" w:sz="4" w:space="0" w:color="auto"/>
              <w:left w:val="single" w:sz="4" w:space="0" w:color="auto"/>
              <w:bottom w:val="nil"/>
              <w:right w:val="single" w:sz="4" w:space="0" w:color="auto"/>
            </w:tcBorders>
            <w:shd w:val="clear" w:color="auto" w:fill="DAEEF3"/>
            <w:noWrap/>
            <w:vAlign w:val="bottom"/>
            <w:hideMark/>
          </w:tcPr>
          <w:p w14:paraId="54633508"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120" w:type="dxa"/>
            <w:tcBorders>
              <w:top w:val="single" w:sz="4" w:space="0" w:color="auto"/>
              <w:left w:val="single" w:sz="4" w:space="0" w:color="auto"/>
              <w:bottom w:val="nil"/>
              <w:right w:val="single" w:sz="4" w:space="0" w:color="auto"/>
            </w:tcBorders>
            <w:shd w:val="clear" w:color="auto" w:fill="DAEEF3"/>
            <w:noWrap/>
            <w:vAlign w:val="bottom"/>
            <w:hideMark/>
          </w:tcPr>
          <w:p w14:paraId="7CF65F93"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120" w:type="dxa"/>
            <w:tcBorders>
              <w:top w:val="single" w:sz="4" w:space="0" w:color="auto"/>
              <w:left w:val="single" w:sz="4" w:space="0" w:color="auto"/>
              <w:bottom w:val="nil"/>
              <w:right w:val="single" w:sz="4" w:space="0" w:color="auto"/>
            </w:tcBorders>
            <w:shd w:val="clear" w:color="auto" w:fill="DAEEF3"/>
            <w:noWrap/>
            <w:vAlign w:val="bottom"/>
            <w:hideMark/>
          </w:tcPr>
          <w:p w14:paraId="12BD8B48"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1200" w:type="dxa"/>
            <w:tcBorders>
              <w:top w:val="single" w:sz="4" w:space="0" w:color="auto"/>
              <w:left w:val="single" w:sz="4" w:space="0" w:color="auto"/>
              <w:bottom w:val="nil"/>
              <w:right w:val="single" w:sz="4" w:space="0" w:color="auto"/>
            </w:tcBorders>
            <w:shd w:val="clear" w:color="auto" w:fill="DAEEF3"/>
            <w:noWrap/>
            <w:vAlign w:val="bottom"/>
            <w:hideMark/>
          </w:tcPr>
          <w:p w14:paraId="0C950CD2" w14:textId="77777777" w:rsidR="006C3DDD" w:rsidRPr="00117BF8" w:rsidRDefault="006C3DDD" w:rsidP="006C3DDD">
            <w:pPr>
              <w:spacing w:after="0"/>
              <w:jc w:val="left"/>
              <w:rPr>
                <w:rFonts w:ascii="Arial" w:hAnsi="Arial" w:cs="Arial"/>
                <w:color w:val="000000"/>
                <w:sz w:val="18"/>
                <w:szCs w:val="18"/>
                <w:lang w:val="es-AR" w:eastAsia="es-AR"/>
              </w:rPr>
            </w:pPr>
          </w:p>
        </w:tc>
      </w:tr>
      <w:tr w:rsidR="00201E0C" w:rsidRPr="004E6455" w14:paraId="6FE20D1C" w14:textId="77777777" w:rsidTr="00201E0C">
        <w:trPr>
          <w:trHeight w:val="300"/>
        </w:trPr>
        <w:tc>
          <w:tcPr>
            <w:tcW w:w="4200" w:type="dxa"/>
            <w:tcBorders>
              <w:top w:val="nil"/>
              <w:left w:val="single" w:sz="4" w:space="0" w:color="auto"/>
              <w:bottom w:val="nil"/>
              <w:right w:val="single" w:sz="4" w:space="0" w:color="auto"/>
            </w:tcBorders>
            <w:shd w:val="clear" w:color="auto" w:fill="auto"/>
            <w:noWrap/>
            <w:vAlign w:val="bottom"/>
            <w:hideMark/>
          </w:tcPr>
          <w:p w14:paraId="6799DA73"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Recursos Propios de Capital</w:t>
            </w:r>
          </w:p>
        </w:tc>
        <w:tc>
          <w:tcPr>
            <w:tcW w:w="1090" w:type="dxa"/>
            <w:tcBorders>
              <w:top w:val="nil"/>
              <w:left w:val="single" w:sz="4" w:space="0" w:color="auto"/>
              <w:bottom w:val="nil"/>
              <w:right w:val="single" w:sz="4" w:space="0" w:color="auto"/>
            </w:tcBorders>
            <w:shd w:val="clear" w:color="auto" w:fill="auto"/>
            <w:noWrap/>
            <w:vAlign w:val="bottom"/>
            <w:hideMark/>
          </w:tcPr>
          <w:p w14:paraId="145E6691"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1090" w:type="dxa"/>
            <w:tcBorders>
              <w:top w:val="nil"/>
              <w:left w:val="single" w:sz="4" w:space="0" w:color="auto"/>
              <w:bottom w:val="nil"/>
              <w:right w:val="single" w:sz="4" w:space="0" w:color="auto"/>
            </w:tcBorders>
            <w:shd w:val="clear" w:color="auto" w:fill="auto"/>
            <w:noWrap/>
            <w:vAlign w:val="bottom"/>
            <w:hideMark/>
          </w:tcPr>
          <w:p w14:paraId="049174A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1090" w:type="dxa"/>
            <w:tcBorders>
              <w:top w:val="nil"/>
              <w:left w:val="single" w:sz="4" w:space="0" w:color="auto"/>
              <w:bottom w:val="nil"/>
              <w:right w:val="single" w:sz="4" w:space="0" w:color="auto"/>
            </w:tcBorders>
            <w:shd w:val="clear" w:color="auto" w:fill="auto"/>
            <w:noWrap/>
            <w:vAlign w:val="bottom"/>
            <w:hideMark/>
          </w:tcPr>
          <w:p w14:paraId="5B3542C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1090" w:type="dxa"/>
            <w:tcBorders>
              <w:top w:val="nil"/>
              <w:left w:val="single" w:sz="4" w:space="0" w:color="auto"/>
              <w:bottom w:val="nil"/>
              <w:right w:val="single" w:sz="4" w:space="0" w:color="auto"/>
            </w:tcBorders>
            <w:shd w:val="clear" w:color="auto" w:fill="auto"/>
            <w:noWrap/>
            <w:vAlign w:val="bottom"/>
            <w:hideMark/>
          </w:tcPr>
          <w:p w14:paraId="254F756E"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1120" w:type="dxa"/>
            <w:tcBorders>
              <w:top w:val="nil"/>
              <w:left w:val="single" w:sz="4" w:space="0" w:color="auto"/>
              <w:bottom w:val="nil"/>
              <w:right w:val="single" w:sz="4" w:space="0" w:color="auto"/>
            </w:tcBorders>
            <w:shd w:val="clear" w:color="auto" w:fill="DAEEF3"/>
            <w:noWrap/>
            <w:vAlign w:val="bottom"/>
            <w:hideMark/>
          </w:tcPr>
          <w:p w14:paraId="7458CC1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nil"/>
              <w:right w:val="single" w:sz="4" w:space="0" w:color="auto"/>
            </w:tcBorders>
            <w:shd w:val="clear" w:color="auto" w:fill="DAEEF3"/>
            <w:noWrap/>
            <w:vAlign w:val="bottom"/>
            <w:hideMark/>
          </w:tcPr>
          <w:p w14:paraId="0D9A3AA4"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nil"/>
              <w:right w:val="single" w:sz="4" w:space="0" w:color="auto"/>
            </w:tcBorders>
            <w:shd w:val="clear" w:color="auto" w:fill="DAEEF3"/>
            <w:noWrap/>
            <w:vAlign w:val="bottom"/>
            <w:hideMark/>
          </w:tcPr>
          <w:p w14:paraId="70C8668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nil"/>
              <w:right w:val="single" w:sz="4" w:space="0" w:color="auto"/>
            </w:tcBorders>
            <w:shd w:val="clear" w:color="auto" w:fill="DAEEF3"/>
            <w:noWrap/>
            <w:vAlign w:val="bottom"/>
            <w:hideMark/>
          </w:tcPr>
          <w:p w14:paraId="5312A87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200" w:type="dxa"/>
            <w:tcBorders>
              <w:top w:val="nil"/>
              <w:left w:val="single" w:sz="4" w:space="0" w:color="auto"/>
              <w:bottom w:val="nil"/>
              <w:right w:val="single" w:sz="4" w:space="0" w:color="auto"/>
            </w:tcBorders>
            <w:shd w:val="clear" w:color="auto" w:fill="DAEEF3"/>
            <w:noWrap/>
            <w:vAlign w:val="bottom"/>
            <w:hideMark/>
          </w:tcPr>
          <w:p w14:paraId="0DD64357"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r>
      <w:tr w:rsidR="00201E0C" w:rsidRPr="004E6455" w14:paraId="50D6FE7E" w14:textId="77777777" w:rsidTr="00201E0C">
        <w:trPr>
          <w:trHeight w:val="300"/>
        </w:trPr>
        <w:tc>
          <w:tcPr>
            <w:tcW w:w="4200" w:type="dxa"/>
            <w:tcBorders>
              <w:top w:val="nil"/>
              <w:left w:val="single" w:sz="4" w:space="0" w:color="auto"/>
              <w:bottom w:val="nil"/>
              <w:right w:val="single" w:sz="4" w:space="0" w:color="auto"/>
            </w:tcBorders>
            <w:shd w:val="clear" w:color="auto" w:fill="auto"/>
            <w:noWrap/>
            <w:vAlign w:val="bottom"/>
            <w:hideMark/>
          </w:tcPr>
          <w:p w14:paraId="4E1DE754"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Transferencias de Capital</w:t>
            </w:r>
          </w:p>
        </w:tc>
        <w:tc>
          <w:tcPr>
            <w:tcW w:w="1090" w:type="dxa"/>
            <w:tcBorders>
              <w:top w:val="nil"/>
              <w:left w:val="single" w:sz="4" w:space="0" w:color="auto"/>
              <w:bottom w:val="nil"/>
              <w:right w:val="single" w:sz="4" w:space="0" w:color="auto"/>
            </w:tcBorders>
            <w:shd w:val="clear" w:color="auto" w:fill="auto"/>
            <w:noWrap/>
            <w:vAlign w:val="bottom"/>
            <w:hideMark/>
          </w:tcPr>
          <w:p w14:paraId="6C405A9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3.316,2</w:t>
            </w:r>
          </w:p>
        </w:tc>
        <w:tc>
          <w:tcPr>
            <w:tcW w:w="1090" w:type="dxa"/>
            <w:tcBorders>
              <w:top w:val="nil"/>
              <w:left w:val="single" w:sz="4" w:space="0" w:color="auto"/>
              <w:bottom w:val="nil"/>
              <w:right w:val="single" w:sz="4" w:space="0" w:color="auto"/>
            </w:tcBorders>
            <w:shd w:val="clear" w:color="auto" w:fill="auto"/>
            <w:noWrap/>
            <w:vAlign w:val="bottom"/>
            <w:hideMark/>
          </w:tcPr>
          <w:p w14:paraId="7BE0C50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4.825,4</w:t>
            </w:r>
          </w:p>
        </w:tc>
        <w:tc>
          <w:tcPr>
            <w:tcW w:w="1090" w:type="dxa"/>
            <w:tcBorders>
              <w:top w:val="nil"/>
              <w:left w:val="single" w:sz="4" w:space="0" w:color="auto"/>
              <w:bottom w:val="nil"/>
              <w:right w:val="single" w:sz="4" w:space="0" w:color="auto"/>
            </w:tcBorders>
            <w:shd w:val="clear" w:color="auto" w:fill="auto"/>
            <w:noWrap/>
            <w:vAlign w:val="bottom"/>
            <w:hideMark/>
          </w:tcPr>
          <w:p w14:paraId="78F3536A"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5.215,4</w:t>
            </w:r>
          </w:p>
        </w:tc>
        <w:tc>
          <w:tcPr>
            <w:tcW w:w="1090" w:type="dxa"/>
            <w:tcBorders>
              <w:top w:val="nil"/>
              <w:left w:val="single" w:sz="4" w:space="0" w:color="auto"/>
              <w:bottom w:val="nil"/>
              <w:right w:val="single" w:sz="4" w:space="0" w:color="auto"/>
            </w:tcBorders>
            <w:shd w:val="clear" w:color="auto" w:fill="auto"/>
            <w:noWrap/>
            <w:vAlign w:val="bottom"/>
            <w:hideMark/>
          </w:tcPr>
          <w:p w14:paraId="29D3FA6D"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7.825,8</w:t>
            </w:r>
          </w:p>
        </w:tc>
        <w:tc>
          <w:tcPr>
            <w:tcW w:w="1120" w:type="dxa"/>
            <w:tcBorders>
              <w:top w:val="nil"/>
              <w:left w:val="single" w:sz="4" w:space="0" w:color="auto"/>
              <w:bottom w:val="nil"/>
              <w:right w:val="single" w:sz="4" w:space="0" w:color="auto"/>
            </w:tcBorders>
            <w:shd w:val="clear" w:color="auto" w:fill="DAEEF3"/>
            <w:noWrap/>
            <w:vAlign w:val="bottom"/>
            <w:hideMark/>
          </w:tcPr>
          <w:p w14:paraId="443AF73F"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w:t>
            </w:r>
          </w:p>
        </w:tc>
        <w:tc>
          <w:tcPr>
            <w:tcW w:w="1120" w:type="dxa"/>
            <w:tcBorders>
              <w:top w:val="nil"/>
              <w:left w:val="single" w:sz="4" w:space="0" w:color="auto"/>
              <w:bottom w:val="nil"/>
              <w:right w:val="single" w:sz="4" w:space="0" w:color="auto"/>
            </w:tcBorders>
            <w:shd w:val="clear" w:color="auto" w:fill="DAEEF3"/>
            <w:noWrap/>
            <w:vAlign w:val="bottom"/>
            <w:hideMark/>
          </w:tcPr>
          <w:p w14:paraId="252C08F3"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w:t>
            </w:r>
          </w:p>
        </w:tc>
        <w:tc>
          <w:tcPr>
            <w:tcW w:w="1120" w:type="dxa"/>
            <w:tcBorders>
              <w:top w:val="nil"/>
              <w:left w:val="single" w:sz="4" w:space="0" w:color="auto"/>
              <w:bottom w:val="nil"/>
              <w:right w:val="single" w:sz="4" w:space="0" w:color="auto"/>
            </w:tcBorders>
            <w:shd w:val="clear" w:color="auto" w:fill="DAEEF3"/>
            <w:noWrap/>
            <w:vAlign w:val="bottom"/>
            <w:hideMark/>
          </w:tcPr>
          <w:p w14:paraId="25601CAF"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w:t>
            </w:r>
          </w:p>
        </w:tc>
        <w:tc>
          <w:tcPr>
            <w:tcW w:w="1120" w:type="dxa"/>
            <w:tcBorders>
              <w:top w:val="nil"/>
              <w:left w:val="single" w:sz="4" w:space="0" w:color="auto"/>
              <w:bottom w:val="nil"/>
              <w:right w:val="single" w:sz="4" w:space="0" w:color="auto"/>
            </w:tcBorders>
            <w:shd w:val="clear" w:color="auto" w:fill="DAEEF3"/>
            <w:noWrap/>
            <w:vAlign w:val="bottom"/>
            <w:hideMark/>
          </w:tcPr>
          <w:p w14:paraId="73392735"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w:t>
            </w:r>
          </w:p>
        </w:tc>
        <w:tc>
          <w:tcPr>
            <w:tcW w:w="1200" w:type="dxa"/>
            <w:tcBorders>
              <w:top w:val="nil"/>
              <w:left w:val="single" w:sz="4" w:space="0" w:color="auto"/>
              <w:bottom w:val="nil"/>
              <w:right w:val="single" w:sz="4" w:space="0" w:color="auto"/>
            </w:tcBorders>
            <w:shd w:val="clear" w:color="auto" w:fill="DAEEF3"/>
            <w:noWrap/>
            <w:vAlign w:val="bottom"/>
            <w:hideMark/>
          </w:tcPr>
          <w:p w14:paraId="72A220F3"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w:t>
            </w:r>
          </w:p>
        </w:tc>
      </w:tr>
      <w:tr w:rsidR="00201E0C" w:rsidRPr="004E6455" w14:paraId="1BED4E60" w14:textId="77777777" w:rsidTr="00201E0C">
        <w:trPr>
          <w:trHeight w:val="300"/>
        </w:trPr>
        <w:tc>
          <w:tcPr>
            <w:tcW w:w="4200" w:type="dxa"/>
            <w:tcBorders>
              <w:top w:val="nil"/>
              <w:left w:val="single" w:sz="4" w:space="0" w:color="auto"/>
              <w:bottom w:val="single" w:sz="4" w:space="0" w:color="auto"/>
              <w:right w:val="single" w:sz="4" w:space="0" w:color="auto"/>
            </w:tcBorders>
            <w:shd w:val="clear" w:color="auto" w:fill="auto"/>
            <w:noWrap/>
            <w:vAlign w:val="bottom"/>
            <w:hideMark/>
          </w:tcPr>
          <w:p w14:paraId="62EDF71F" w14:textId="77777777" w:rsidR="006C3DDD" w:rsidRPr="00117BF8" w:rsidRDefault="006C3DDD" w:rsidP="006C3DDD">
            <w:pPr>
              <w:spacing w:after="0"/>
              <w:jc w:val="left"/>
              <w:rPr>
                <w:rFonts w:ascii="Arial" w:hAnsi="Arial" w:cs="Arial"/>
                <w:sz w:val="18"/>
                <w:szCs w:val="18"/>
                <w:lang w:val="es-AR" w:eastAsia="es-AR"/>
              </w:rPr>
            </w:pPr>
            <w:r w:rsidRPr="00117BF8">
              <w:rPr>
                <w:rFonts w:ascii="Arial" w:hAnsi="Arial" w:cs="Arial"/>
                <w:sz w:val="18"/>
                <w:szCs w:val="18"/>
                <w:lang w:val="es-AR" w:eastAsia="es-AR"/>
              </w:rPr>
              <w:t>    Disminución de la Inv. Financiera</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5E2E47D0"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117,3</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3085D174"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155,6</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8C10F4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153,5</w:t>
            </w:r>
          </w:p>
        </w:tc>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41740337"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209,6</w:t>
            </w:r>
          </w:p>
        </w:tc>
        <w:tc>
          <w:tcPr>
            <w:tcW w:w="1120" w:type="dxa"/>
            <w:tcBorders>
              <w:top w:val="nil"/>
              <w:left w:val="single" w:sz="4" w:space="0" w:color="auto"/>
              <w:bottom w:val="single" w:sz="4" w:space="0" w:color="auto"/>
              <w:right w:val="single" w:sz="4" w:space="0" w:color="auto"/>
            </w:tcBorders>
            <w:shd w:val="clear" w:color="auto" w:fill="DAEEF3"/>
            <w:noWrap/>
            <w:vAlign w:val="bottom"/>
            <w:hideMark/>
          </w:tcPr>
          <w:p w14:paraId="1AAC2874"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single" w:sz="4" w:space="0" w:color="auto"/>
              <w:right w:val="single" w:sz="4" w:space="0" w:color="auto"/>
            </w:tcBorders>
            <w:shd w:val="clear" w:color="auto" w:fill="DAEEF3"/>
            <w:noWrap/>
            <w:vAlign w:val="bottom"/>
            <w:hideMark/>
          </w:tcPr>
          <w:p w14:paraId="5998AAF4"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single" w:sz="4" w:space="0" w:color="auto"/>
              <w:right w:val="single" w:sz="4" w:space="0" w:color="auto"/>
            </w:tcBorders>
            <w:shd w:val="clear" w:color="auto" w:fill="DAEEF3"/>
            <w:noWrap/>
            <w:vAlign w:val="bottom"/>
            <w:hideMark/>
          </w:tcPr>
          <w:p w14:paraId="50E3310D"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120" w:type="dxa"/>
            <w:tcBorders>
              <w:top w:val="nil"/>
              <w:left w:val="single" w:sz="4" w:space="0" w:color="auto"/>
              <w:bottom w:val="single" w:sz="4" w:space="0" w:color="auto"/>
              <w:right w:val="single" w:sz="4" w:space="0" w:color="auto"/>
            </w:tcBorders>
            <w:shd w:val="clear" w:color="auto" w:fill="DAEEF3"/>
            <w:noWrap/>
            <w:vAlign w:val="bottom"/>
            <w:hideMark/>
          </w:tcPr>
          <w:p w14:paraId="36DD9478"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200" w:type="dxa"/>
            <w:tcBorders>
              <w:top w:val="nil"/>
              <w:left w:val="single" w:sz="4" w:space="0" w:color="auto"/>
              <w:bottom w:val="single" w:sz="4" w:space="0" w:color="auto"/>
              <w:right w:val="single" w:sz="4" w:space="0" w:color="auto"/>
            </w:tcBorders>
            <w:shd w:val="clear" w:color="auto" w:fill="DAEEF3"/>
            <w:noWrap/>
            <w:vAlign w:val="bottom"/>
            <w:hideMark/>
          </w:tcPr>
          <w:p w14:paraId="6D9583C7" w14:textId="77777777" w:rsidR="006C3DDD" w:rsidRPr="00117BF8" w:rsidRDefault="006C3DDD" w:rsidP="006C3DDD">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r>
      <w:tr w:rsidR="00201E0C" w:rsidRPr="004E6455" w14:paraId="639FAEC4" w14:textId="77777777" w:rsidTr="00201E0C">
        <w:trPr>
          <w:trHeight w:val="315"/>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46DB2" w14:textId="77777777" w:rsidR="006C3DDD" w:rsidRPr="00117BF8" w:rsidRDefault="006C3DDD" w:rsidP="006C3DDD">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TOTAL RECURSOS DE CAPITAL</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1480A"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3.433,6</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8393"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4.981,0</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54D01"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5.368,9</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81ED1"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8.035,5</w:t>
            </w:r>
          </w:p>
        </w:tc>
        <w:tc>
          <w:tcPr>
            <w:tcW w:w="112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0BC310B8"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w:t>
            </w:r>
          </w:p>
        </w:tc>
        <w:tc>
          <w:tcPr>
            <w:tcW w:w="112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55651FAF"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w:t>
            </w:r>
          </w:p>
        </w:tc>
        <w:tc>
          <w:tcPr>
            <w:tcW w:w="112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237D694C"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w:t>
            </w:r>
          </w:p>
        </w:tc>
        <w:tc>
          <w:tcPr>
            <w:tcW w:w="112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1D3D5198" w14:textId="77777777" w:rsidR="006C3DDD" w:rsidRPr="00117BF8" w:rsidRDefault="006C3DDD" w:rsidP="006C3DDD">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w:t>
            </w:r>
          </w:p>
        </w:tc>
        <w:tc>
          <w:tcPr>
            <w:tcW w:w="1200" w:type="dxa"/>
            <w:tcBorders>
              <w:top w:val="single" w:sz="4" w:space="0" w:color="auto"/>
              <w:left w:val="single" w:sz="4" w:space="0" w:color="auto"/>
              <w:bottom w:val="single" w:sz="4" w:space="0" w:color="auto"/>
              <w:right w:val="single" w:sz="4" w:space="0" w:color="auto"/>
            </w:tcBorders>
            <w:shd w:val="clear" w:color="auto" w:fill="DAEEF3"/>
            <w:noWrap/>
            <w:vAlign w:val="bottom"/>
            <w:hideMark/>
          </w:tcPr>
          <w:p w14:paraId="546FE48C" w14:textId="77777777" w:rsidR="006C3DDD" w:rsidRPr="00117BF8" w:rsidRDefault="006C3DDD" w:rsidP="006C3DDD">
            <w:pPr>
              <w:spacing w:after="0"/>
              <w:jc w:val="right"/>
              <w:rPr>
                <w:rFonts w:ascii="Arial" w:hAnsi="Arial" w:cs="Arial"/>
                <w:b/>
                <w:sz w:val="18"/>
                <w:szCs w:val="18"/>
                <w:lang w:val="es-AR" w:eastAsia="es-AR"/>
              </w:rPr>
            </w:pPr>
            <w:r w:rsidRPr="00117BF8">
              <w:rPr>
                <w:rFonts w:ascii="Arial" w:hAnsi="Arial" w:cs="Arial"/>
                <w:b/>
                <w:sz w:val="18"/>
                <w:szCs w:val="18"/>
                <w:lang w:val="es-AR" w:eastAsia="es-AR"/>
              </w:rPr>
              <w:t>2%</w:t>
            </w:r>
          </w:p>
        </w:tc>
      </w:tr>
      <w:tr w:rsidR="00201E0C" w:rsidRPr="004E6455" w14:paraId="198642F2" w14:textId="77777777" w:rsidTr="00201E0C">
        <w:trPr>
          <w:trHeight w:val="315"/>
        </w:trPr>
        <w:tc>
          <w:tcPr>
            <w:tcW w:w="420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0000823A" w14:textId="77777777" w:rsidR="00781824" w:rsidRPr="00117BF8" w:rsidRDefault="00781824" w:rsidP="006C3DDD">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TOTAL RECURSOS</w:t>
            </w:r>
          </w:p>
        </w:tc>
        <w:tc>
          <w:tcPr>
            <w:tcW w:w="109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2E90A990" w14:textId="77777777" w:rsidR="00781824" w:rsidRPr="00117BF8" w:rsidRDefault="00781824" w:rsidP="00781824">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150.052,4</w:t>
            </w:r>
          </w:p>
        </w:tc>
        <w:tc>
          <w:tcPr>
            <w:tcW w:w="109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7EC5BF85" w14:textId="77777777" w:rsidR="00781824" w:rsidRPr="00117BF8" w:rsidRDefault="00781824" w:rsidP="00781824">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202.983,3</w:t>
            </w:r>
          </w:p>
        </w:tc>
        <w:tc>
          <w:tcPr>
            <w:tcW w:w="109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03514084" w14:textId="77777777" w:rsidR="00781824" w:rsidRPr="00117BF8" w:rsidRDefault="00781824" w:rsidP="00781824">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274.304,6</w:t>
            </w:r>
          </w:p>
        </w:tc>
        <w:tc>
          <w:tcPr>
            <w:tcW w:w="109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5F24AA58" w14:textId="77777777" w:rsidR="00781824" w:rsidRPr="00117BF8" w:rsidRDefault="00781824" w:rsidP="00781824">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394.097,4</w:t>
            </w:r>
          </w:p>
        </w:tc>
        <w:tc>
          <w:tcPr>
            <w:tcW w:w="112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1CA7DA20" w14:textId="77777777" w:rsidR="00781824" w:rsidRPr="00117BF8" w:rsidRDefault="00781824" w:rsidP="00781824">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w:t>
            </w:r>
          </w:p>
        </w:tc>
        <w:tc>
          <w:tcPr>
            <w:tcW w:w="112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6E67B42C" w14:textId="77777777" w:rsidR="00781824" w:rsidRPr="00117BF8" w:rsidRDefault="00781824" w:rsidP="003C137F">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w:t>
            </w:r>
          </w:p>
        </w:tc>
        <w:tc>
          <w:tcPr>
            <w:tcW w:w="112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1B77DED1" w14:textId="77777777" w:rsidR="00781824" w:rsidRPr="00117BF8" w:rsidRDefault="00781824" w:rsidP="003C137F">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w:t>
            </w:r>
          </w:p>
        </w:tc>
        <w:tc>
          <w:tcPr>
            <w:tcW w:w="112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60ABC1E1" w14:textId="77777777" w:rsidR="00781824" w:rsidRPr="00117BF8" w:rsidRDefault="00781824" w:rsidP="003C137F">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w:t>
            </w:r>
          </w:p>
        </w:tc>
        <w:tc>
          <w:tcPr>
            <w:tcW w:w="1200"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3839B94B" w14:textId="77777777" w:rsidR="00781824" w:rsidRPr="00117BF8" w:rsidRDefault="00781824" w:rsidP="003C137F">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w:t>
            </w:r>
          </w:p>
        </w:tc>
      </w:tr>
    </w:tbl>
    <w:p w14:paraId="4EC30971" w14:textId="77777777" w:rsidR="003E724F" w:rsidRPr="00117BF8" w:rsidRDefault="003E724F" w:rsidP="003E724F">
      <w:pPr>
        <w:pStyle w:val="Hfuente"/>
        <w:rPr>
          <w:rFonts w:ascii="Arial" w:hAnsi="Arial" w:cs="Arial"/>
          <w:sz w:val="18"/>
          <w:szCs w:val="18"/>
        </w:rPr>
      </w:pPr>
      <w:r w:rsidRPr="00117BF8">
        <w:rPr>
          <w:rFonts w:ascii="Arial" w:hAnsi="Arial" w:cs="Arial"/>
          <w:sz w:val="18"/>
          <w:szCs w:val="18"/>
        </w:rPr>
        <w:t>Elaboración propia sobre datos de la CGPBA.</w:t>
      </w:r>
    </w:p>
    <w:p w14:paraId="2B4E117D" w14:textId="77777777" w:rsidR="006C3DDD" w:rsidRPr="00117BF8" w:rsidRDefault="006C3DDD" w:rsidP="002C3683">
      <w:pPr>
        <w:pStyle w:val="hsa"/>
        <w:rPr>
          <w:rFonts w:ascii="Arial" w:eastAsia="Calibri" w:hAnsi="Arial" w:cs="Arial"/>
        </w:rPr>
      </w:pPr>
    </w:p>
    <w:p w14:paraId="510DE757" w14:textId="77777777" w:rsidR="006C3DDD" w:rsidRPr="00117BF8" w:rsidRDefault="006C3DDD" w:rsidP="002C3683">
      <w:pPr>
        <w:pStyle w:val="hsa"/>
        <w:rPr>
          <w:rFonts w:ascii="Arial" w:eastAsia="Calibri" w:hAnsi="Arial" w:cs="Arial"/>
        </w:rPr>
        <w:sectPr w:rsidR="006C3DDD" w:rsidRPr="00117BF8" w:rsidSect="009F594F">
          <w:headerReference w:type="default" r:id="rId27"/>
          <w:footerReference w:type="default" r:id="rId28"/>
          <w:pgSz w:w="16840" w:h="11907" w:orient="landscape"/>
          <w:pgMar w:top="1701" w:right="1418" w:bottom="1701" w:left="1418" w:header="851" w:footer="851" w:gutter="0"/>
          <w:cols w:space="720"/>
          <w:docGrid w:linePitch="326"/>
        </w:sectPr>
      </w:pPr>
    </w:p>
    <w:p w14:paraId="1D70C8AD" w14:textId="77777777" w:rsidR="00194344" w:rsidRPr="00117BF8" w:rsidRDefault="00194344" w:rsidP="002C3683">
      <w:pPr>
        <w:pStyle w:val="hsa"/>
        <w:rPr>
          <w:rFonts w:ascii="Arial" w:eastAsia="Calibri" w:hAnsi="Arial" w:cs="Arial"/>
          <w:sz w:val="22"/>
          <w:szCs w:val="22"/>
        </w:rPr>
      </w:pPr>
      <w:r w:rsidRPr="00117BF8">
        <w:rPr>
          <w:rFonts w:ascii="Arial" w:eastAsia="Calibri" w:hAnsi="Arial" w:cs="Arial"/>
          <w:sz w:val="22"/>
          <w:szCs w:val="22"/>
        </w:rPr>
        <w:t>A lo largo de los últimos 4 años hubo una leve declinación en la participación de los ingresos tributarios de origen provincial que se acentuó en el último año. También en 2016 se redujo la participación de los ingresos tributarios de origen nacional. Estas caídas fueron compensadas por las transferencias corrientes que, en términos relativos se duplicaron durante el último año</w:t>
      </w:r>
      <w:r w:rsidR="000B577C" w:rsidRPr="00117BF8">
        <w:rPr>
          <w:rFonts w:ascii="Arial" w:eastAsia="Calibri" w:hAnsi="Arial" w:cs="Arial"/>
          <w:sz w:val="22"/>
          <w:szCs w:val="22"/>
        </w:rPr>
        <w:t xml:space="preserve">, según se ilustra </w:t>
      </w:r>
      <w:r w:rsidRPr="00117BF8">
        <w:rPr>
          <w:rFonts w:ascii="Arial" w:eastAsia="Calibri" w:hAnsi="Arial" w:cs="Arial"/>
          <w:sz w:val="22"/>
          <w:szCs w:val="22"/>
        </w:rPr>
        <w:t xml:space="preserve">en el gráfico </w:t>
      </w:r>
      <w:r w:rsidR="003E724F" w:rsidRPr="00117BF8">
        <w:rPr>
          <w:rFonts w:ascii="Arial" w:eastAsia="Calibri" w:hAnsi="Arial" w:cs="Arial"/>
          <w:sz w:val="22"/>
          <w:szCs w:val="22"/>
        </w:rPr>
        <w:t>6</w:t>
      </w:r>
      <w:r w:rsidRPr="00117BF8">
        <w:rPr>
          <w:rFonts w:ascii="Arial" w:eastAsia="Calibri" w:hAnsi="Arial" w:cs="Arial"/>
          <w:sz w:val="22"/>
          <w:szCs w:val="22"/>
        </w:rPr>
        <w:t>.</w:t>
      </w:r>
    </w:p>
    <w:p w14:paraId="0ACF670C" w14:textId="77777777" w:rsidR="00601A7A" w:rsidRPr="00117BF8" w:rsidRDefault="00601A7A" w:rsidP="00601A7A">
      <w:pPr>
        <w:pStyle w:val="hsa"/>
        <w:rPr>
          <w:rFonts w:ascii="Arial" w:hAnsi="Arial" w:cs="Arial"/>
          <w:sz w:val="22"/>
          <w:szCs w:val="22"/>
        </w:rPr>
      </w:pPr>
      <w:r w:rsidRPr="00117BF8">
        <w:rPr>
          <w:rFonts w:ascii="Arial" w:eastAsia="Calibri" w:hAnsi="Arial" w:cs="Arial"/>
          <w:sz w:val="22"/>
          <w:szCs w:val="22"/>
        </w:rPr>
        <w:t>La reducción</w:t>
      </w:r>
      <w:r w:rsidR="003F7E75" w:rsidRPr="00117BF8">
        <w:rPr>
          <w:rFonts w:ascii="Arial" w:eastAsia="Calibri" w:hAnsi="Arial" w:cs="Arial"/>
          <w:sz w:val="22"/>
          <w:szCs w:val="22"/>
        </w:rPr>
        <w:t>,</w:t>
      </w:r>
      <w:r w:rsidRPr="00117BF8">
        <w:rPr>
          <w:rFonts w:ascii="Arial" w:eastAsia="Calibri" w:hAnsi="Arial" w:cs="Arial"/>
          <w:sz w:val="22"/>
          <w:szCs w:val="22"/>
        </w:rPr>
        <w:t xml:space="preserve"> </w:t>
      </w:r>
      <w:r w:rsidR="003F7E75" w:rsidRPr="00117BF8">
        <w:rPr>
          <w:rFonts w:ascii="Arial" w:eastAsia="Calibri" w:hAnsi="Arial" w:cs="Arial"/>
          <w:sz w:val="22"/>
          <w:szCs w:val="22"/>
        </w:rPr>
        <w:t xml:space="preserve">en 2016, </w:t>
      </w:r>
      <w:r w:rsidRPr="00117BF8">
        <w:rPr>
          <w:rFonts w:ascii="Arial" w:eastAsia="Calibri" w:hAnsi="Arial" w:cs="Arial"/>
          <w:sz w:val="22"/>
          <w:szCs w:val="22"/>
        </w:rPr>
        <w:t xml:space="preserve">de </w:t>
      </w:r>
      <w:r w:rsidR="003F7E75" w:rsidRPr="00117BF8">
        <w:rPr>
          <w:rFonts w:ascii="Arial" w:eastAsia="Calibri" w:hAnsi="Arial" w:cs="Arial"/>
          <w:sz w:val="22"/>
          <w:szCs w:val="22"/>
        </w:rPr>
        <w:t xml:space="preserve">los </w:t>
      </w:r>
      <w:r w:rsidRPr="00117BF8">
        <w:rPr>
          <w:rFonts w:ascii="Arial" w:eastAsia="Calibri" w:hAnsi="Arial" w:cs="Arial"/>
          <w:sz w:val="22"/>
          <w:szCs w:val="22"/>
        </w:rPr>
        <w:t xml:space="preserve">ingresos tributarios de origen provincial ocurrió a pesar de </w:t>
      </w:r>
      <w:r w:rsidRPr="00117BF8">
        <w:rPr>
          <w:rFonts w:ascii="Arial" w:hAnsi="Arial" w:cs="Arial"/>
          <w:sz w:val="22"/>
          <w:szCs w:val="22"/>
        </w:rPr>
        <w:t>la reforma tributaria de 2015 que dispuso, entre otras modificaciones, incrementos en las alícuotas del Impuesto sobre los Ingresos Brutos, Inmobiliario (Urbano y Rural), Automotor y Sellos, así como aumentos en las valuaciones fiscales y eliminación de las exenciones correspondientes a ciertas actividades.</w:t>
      </w:r>
      <w:r w:rsidRPr="00117BF8">
        <w:rPr>
          <w:rStyle w:val="FootnoteReference"/>
          <w:rFonts w:ascii="Arial" w:hAnsi="Arial" w:cs="Arial"/>
          <w:sz w:val="22"/>
          <w:szCs w:val="22"/>
        </w:rPr>
        <w:footnoteReference w:id="12"/>
      </w:r>
    </w:p>
    <w:p w14:paraId="0CAC3438" w14:textId="77777777" w:rsidR="00601A7A" w:rsidRPr="00117BF8" w:rsidRDefault="00601A7A" w:rsidP="002C3683">
      <w:pPr>
        <w:pStyle w:val="hsa"/>
        <w:rPr>
          <w:rFonts w:ascii="Arial" w:eastAsia="Calibri" w:hAnsi="Arial" w:cs="Arial"/>
        </w:rPr>
      </w:pPr>
    </w:p>
    <w:p w14:paraId="455BF05B" w14:textId="77777777" w:rsidR="00194344" w:rsidRPr="00117BF8" w:rsidRDefault="005F6AD9" w:rsidP="00117BF8">
      <w:pPr>
        <w:pStyle w:val="hsa3"/>
        <w:spacing w:after="120"/>
        <w:jc w:val="center"/>
        <w:rPr>
          <w:rFonts w:ascii="Arial" w:eastAsia="Calibri" w:hAnsi="Arial" w:cs="Arial"/>
          <w:sz w:val="20"/>
        </w:rPr>
      </w:pPr>
      <w:bookmarkStart w:id="40" w:name="_Toc493781697"/>
      <w:r w:rsidRPr="00117BF8">
        <w:rPr>
          <w:rFonts w:ascii="Arial" w:eastAsia="Calibri" w:hAnsi="Arial" w:cs="Arial"/>
          <w:sz w:val="20"/>
        </w:rPr>
        <w:t>Grá</w:t>
      </w:r>
      <w:r w:rsidR="00194344" w:rsidRPr="00117BF8">
        <w:rPr>
          <w:rFonts w:ascii="Arial" w:eastAsia="Calibri" w:hAnsi="Arial" w:cs="Arial"/>
          <w:sz w:val="20"/>
        </w:rPr>
        <w:t xml:space="preserve">fico </w:t>
      </w:r>
      <w:r w:rsidR="003E724F" w:rsidRPr="00117BF8">
        <w:rPr>
          <w:rFonts w:ascii="Arial" w:eastAsia="Calibri" w:hAnsi="Arial" w:cs="Arial"/>
          <w:sz w:val="20"/>
        </w:rPr>
        <w:t>6</w:t>
      </w:r>
      <w:r w:rsidR="00C57D83" w:rsidRPr="00117BF8">
        <w:rPr>
          <w:rFonts w:ascii="Arial" w:eastAsia="Calibri" w:hAnsi="Arial" w:cs="Arial"/>
          <w:sz w:val="20"/>
        </w:rPr>
        <w:t xml:space="preserve"> – Evolución de la Estructura de Ingresos</w:t>
      </w:r>
      <w:bookmarkEnd w:id="40"/>
    </w:p>
    <w:p w14:paraId="561051E2" w14:textId="76E07589" w:rsidR="003E724F" w:rsidRPr="00117BF8" w:rsidRDefault="00117BF8" w:rsidP="00117BF8">
      <w:pPr>
        <w:pStyle w:val="hsa"/>
        <w:rPr>
          <w:rFonts w:ascii="Arial" w:hAnsi="Arial" w:cs="Arial"/>
          <w:sz w:val="18"/>
          <w:szCs w:val="18"/>
        </w:rPr>
      </w:pPr>
      <w:r w:rsidRPr="00117BF8">
        <w:rPr>
          <w:rFonts w:ascii="Arial" w:eastAsia="Calibri" w:hAnsi="Arial" w:cs="Arial"/>
        </w:rPr>
        <w:pict w14:anchorId="2BBC64D5">
          <v:shape id="_x0000_i1036" type="#_x0000_t75" style="width:423.85pt;height:276.75pt">
            <v:imagedata r:id="rId29" o:title=""/>
          </v:shape>
        </w:pict>
      </w:r>
      <w:r w:rsidR="003E724F" w:rsidRPr="00117BF8">
        <w:rPr>
          <w:rFonts w:ascii="Arial" w:hAnsi="Arial" w:cs="Arial"/>
          <w:sz w:val="18"/>
          <w:szCs w:val="18"/>
        </w:rPr>
        <w:t>Elaboración propia sobre datos de la CGPBA.</w:t>
      </w:r>
    </w:p>
    <w:p w14:paraId="4B2227DD" w14:textId="77777777" w:rsidR="003137B3" w:rsidRPr="00117BF8" w:rsidRDefault="003137B3" w:rsidP="002C3683">
      <w:pPr>
        <w:pStyle w:val="hsa"/>
        <w:rPr>
          <w:rFonts w:ascii="Arial" w:eastAsia="Calibri" w:hAnsi="Arial" w:cs="Arial"/>
          <w:sz w:val="22"/>
          <w:szCs w:val="22"/>
        </w:rPr>
      </w:pPr>
      <w:r w:rsidRPr="00117BF8">
        <w:rPr>
          <w:rFonts w:ascii="Arial" w:eastAsia="Calibri" w:hAnsi="Arial" w:cs="Arial"/>
          <w:sz w:val="22"/>
          <w:szCs w:val="22"/>
        </w:rPr>
        <w:t>255 fueron l</w:t>
      </w:r>
      <w:r w:rsidR="009E7BA6" w:rsidRPr="00117BF8">
        <w:rPr>
          <w:rFonts w:ascii="Arial" w:eastAsia="Calibri" w:hAnsi="Arial" w:cs="Arial"/>
          <w:sz w:val="22"/>
          <w:szCs w:val="22"/>
        </w:rPr>
        <w:t xml:space="preserve">os </w:t>
      </w:r>
      <w:r w:rsidR="00FE64BB" w:rsidRPr="00117BF8">
        <w:rPr>
          <w:rFonts w:ascii="Arial" w:eastAsia="Calibri" w:hAnsi="Arial" w:cs="Arial"/>
          <w:sz w:val="22"/>
          <w:szCs w:val="22"/>
        </w:rPr>
        <w:t xml:space="preserve">ítems de </w:t>
      </w:r>
      <w:r w:rsidR="009E7BA6" w:rsidRPr="00117BF8">
        <w:rPr>
          <w:rFonts w:ascii="Arial" w:eastAsia="Calibri" w:hAnsi="Arial" w:cs="Arial"/>
          <w:sz w:val="22"/>
          <w:szCs w:val="22"/>
        </w:rPr>
        <w:t>recursos contemplados en los presupuestos a lo largo de los cuatro años bajo análisis</w:t>
      </w:r>
      <w:r w:rsidRPr="00117BF8">
        <w:rPr>
          <w:rFonts w:ascii="Arial" w:eastAsia="Calibri" w:hAnsi="Arial" w:cs="Arial"/>
          <w:sz w:val="22"/>
          <w:szCs w:val="22"/>
        </w:rPr>
        <w:t>. A</w:t>
      </w:r>
      <w:r w:rsidR="009E7BA6" w:rsidRPr="00117BF8">
        <w:rPr>
          <w:rFonts w:ascii="Arial" w:eastAsia="Calibri" w:hAnsi="Arial" w:cs="Arial"/>
          <w:sz w:val="22"/>
          <w:szCs w:val="22"/>
        </w:rPr>
        <w:t xml:space="preserve">proximadamente 40 no registraron monto. </w:t>
      </w:r>
      <w:r w:rsidRPr="00117BF8">
        <w:rPr>
          <w:rFonts w:ascii="Arial" w:eastAsia="Calibri" w:hAnsi="Arial" w:cs="Arial"/>
          <w:sz w:val="22"/>
          <w:szCs w:val="22"/>
        </w:rPr>
        <w:t>Según el año, e</w:t>
      </w:r>
      <w:r w:rsidR="009E7BA6" w:rsidRPr="00117BF8">
        <w:rPr>
          <w:rFonts w:ascii="Arial" w:eastAsia="Calibri" w:hAnsi="Arial" w:cs="Arial"/>
          <w:sz w:val="22"/>
          <w:szCs w:val="22"/>
        </w:rPr>
        <w:t xml:space="preserve">ntre 2 y 4 rubros </w:t>
      </w:r>
      <w:r w:rsidR="00601A7A" w:rsidRPr="00117BF8">
        <w:rPr>
          <w:rFonts w:ascii="Arial" w:eastAsia="Calibri" w:hAnsi="Arial" w:cs="Arial"/>
          <w:sz w:val="22"/>
          <w:szCs w:val="22"/>
        </w:rPr>
        <w:t>tienen una participación mayor a</w:t>
      </w:r>
      <w:r w:rsidR="009E7BA6" w:rsidRPr="00117BF8">
        <w:rPr>
          <w:rFonts w:ascii="Arial" w:eastAsia="Calibri" w:hAnsi="Arial" w:cs="Arial"/>
          <w:sz w:val="22"/>
          <w:szCs w:val="22"/>
        </w:rPr>
        <w:t xml:space="preserve"> 5%, </w:t>
      </w:r>
      <w:r w:rsidRPr="00117BF8">
        <w:rPr>
          <w:rFonts w:ascii="Arial" w:eastAsia="Calibri" w:hAnsi="Arial" w:cs="Arial"/>
          <w:sz w:val="22"/>
          <w:szCs w:val="22"/>
        </w:rPr>
        <w:t>entre 4 y 6 rubros participaron entre 2% y 5% del total de los recursos. Los ocho rubros que en cada año superaron el 2% de participación totalizaron el 72% de los recursos.</w:t>
      </w:r>
    </w:p>
    <w:tbl>
      <w:tblPr>
        <w:tblW w:w="8505"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439"/>
        <w:gridCol w:w="238"/>
        <w:gridCol w:w="1457"/>
        <w:gridCol w:w="1457"/>
        <w:gridCol w:w="1457"/>
        <w:gridCol w:w="1457"/>
      </w:tblGrid>
      <w:tr w:rsidR="003F38A8" w:rsidRPr="004E6455" w14:paraId="1A729CD6" w14:textId="77777777" w:rsidTr="00C007D0">
        <w:trPr>
          <w:trHeight w:val="300"/>
          <w:jc w:val="center"/>
        </w:trPr>
        <w:tc>
          <w:tcPr>
            <w:tcW w:w="8505" w:type="dxa"/>
            <w:gridSpan w:val="6"/>
            <w:tcBorders>
              <w:top w:val="single" w:sz="8" w:space="0" w:color="7BA0CD"/>
              <w:left w:val="single" w:sz="8" w:space="0" w:color="7BA0CD"/>
              <w:bottom w:val="single" w:sz="8" w:space="0" w:color="7BA0CD"/>
              <w:right w:val="single" w:sz="8" w:space="0" w:color="7BA0CD"/>
            </w:tcBorders>
            <w:shd w:val="clear" w:color="auto" w:fill="0070C0"/>
            <w:noWrap/>
          </w:tcPr>
          <w:p w14:paraId="78601E2D" w14:textId="77777777" w:rsidR="003F38A8" w:rsidRPr="00117BF8" w:rsidRDefault="003F38A8" w:rsidP="00117BF8">
            <w:pPr>
              <w:pStyle w:val="TablaE"/>
              <w:rPr>
                <w:rFonts w:ascii="Arial" w:hAnsi="Arial" w:cs="Arial"/>
                <w:sz w:val="22"/>
                <w:szCs w:val="22"/>
              </w:rPr>
            </w:pPr>
            <w:bookmarkStart w:id="41" w:name="_Toc493861119"/>
            <w:r w:rsidRPr="00117BF8">
              <w:rPr>
                <w:rFonts w:ascii="Arial" w:hAnsi="Arial" w:cs="Arial"/>
                <w:sz w:val="22"/>
                <w:szCs w:val="22"/>
              </w:rPr>
              <w:t xml:space="preserve">Tabla </w:t>
            </w:r>
            <w:r w:rsidR="00601A7A" w:rsidRPr="00117BF8">
              <w:rPr>
                <w:rFonts w:ascii="Arial" w:hAnsi="Arial" w:cs="Arial"/>
                <w:sz w:val="22"/>
                <w:szCs w:val="22"/>
              </w:rPr>
              <w:t>9</w:t>
            </w:r>
            <w:r w:rsidRPr="00117BF8">
              <w:rPr>
                <w:rFonts w:ascii="Arial" w:hAnsi="Arial" w:cs="Arial"/>
                <w:sz w:val="22"/>
                <w:szCs w:val="22"/>
              </w:rPr>
              <w:t xml:space="preserve"> – Significatividad de los Rubros</w:t>
            </w:r>
            <w:bookmarkEnd w:id="41"/>
          </w:p>
        </w:tc>
      </w:tr>
      <w:tr w:rsidR="00C007D0" w:rsidRPr="004E6455" w14:paraId="3A9F5A1B" w14:textId="77777777" w:rsidTr="00C007D0">
        <w:trPr>
          <w:trHeight w:val="300"/>
          <w:jc w:val="center"/>
        </w:trPr>
        <w:tc>
          <w:tcPr>
            <w:tcW w:w="2677" w:type="dxa"/>
            <w:gridSpan w:val="2"/>
            <w:tcBorders>
              <w:right w:val="nil"/>
            </w:tcBorders>
            <w:shd w:val="clear" w:color="auto" w:fill="0070C0"/>
            <w:noWrap/>
          </w:tcPr>
          <w:p w14:paraId="39F77437" w14:textId="77777777" w:rsidR="00C57D83" w:rsidRPr="00117BF8" w:rsidRDefault="003F38A8" w:rsidP="003F38A8">
            <w:pPr>
              <w:pStyle w:val="TablaE"/>
              <w:rPr>
                <w:rFonts w:ascii="Arial" w:hAnsi="Arial" w:cs="Arial"/>
                <w:sz w:val="22"/>
                <w:szCs w:val="22"/>
              </w:rPr>
            </w:pPr>
            <w:r w:rsidRPr="00117BF8">
              <w:rPr>
                <w:rFonts w:ascii="Arial" w:hAnsi="Arial" w:cs="Arial"/>
                <w:sz w:val="22"/>
                <w:szCs w:val="22"/>
              </w:rPr>
              <w:t>Participación del Rubro</w:t>
            </w:r>
          </w:p>
        </w:tc>
        <w:tc>
          <w:tcPr>
            <w:tcW w:w="1457" w:type="dxa"/>
            <w:tcBorders>
              <w:left w:val="nil"/>
              <w:right w:val="nil"/>
            </w:tcBorders>
            <w:shd w:val="clear" w:color="auto" w:fill="0070C0"/>
            <w:noWrap/>
            <w:vAlign w:val="center"/>
          </w:tcPr>
          <w:p w14:paraId="65323DD7" w14:textId="77777777" w:rsidR="00C57D83" w:rsidRPr="00117BF8" w:rsidRDefault="00C57D83" w:rsidP="003F38A8">
            <w:pPr>
              <w:pStyle w:val="TablaE"/>
              <w:rPr>
                <w:rFonts w:ascii="Arial" w:hAnsi="Arial" w:cs="Arial"/>
                <w:sz w:val="22"/>
                <w:szCs w:val="22"/>
              </w:rPr>
            </w:pPr>
            <w:r w:rsidRPr="00117BF8">
              <w:rPr>
                <w:rFonts w:ascii="Arial" w:hAnsi="Arial" w:cs="Arial"/>
                <w:sz w:val="22"/>
                <w:szCs w:val="22"/>
              </w:rPr>
              <w:t>2013</w:t>
            </w:r>
          </w:p>
        </w:tc>
        <w:tc>
          <w:tcPr>
            <w:tcW w:w="1457" w:type="dxa"/>
            <w:tcBorders>
              <w:left w:val="nil"/>
              <w:right w:val="nil"/>
            </w:tcBorders>
            <w:shd w:val="clear" w:color="auto" w:fill="0070C0"/>
            <w:noWrap/>
            <w:vAlign w:val="center"/>
          </w:tcPr>
          <w:p w14:paraId="537B5578" w14:textId="77777777" w:rsidR="00C57D83" w:rsidRPr="00117BF8" w:rsidRDefault="00C57D83" w:rsidP="003F38A8">
            <w:pPr>
              <w:pStyle w:val="TablaE"/>
              <w:rPr>
                <w:rFonts w:ascii="Arial" w:hAnsi="Arial" w:cs="Arial"/>
                <w:sz w:val="22"/>
                <w:szCs w:val="22"/>
              </w:rPr>
            </w:pPr>
            <w:r w:rsidRPr="00117BF8">
              <w:rPr>
                <w:rFonts w:ascii="Arial" w:hAnsi="Arial" w:cs="Arial"/>
                <w:sz w:val="22"/>
                <w:szCs w:val="22"/>
              </w:rPr>
              <w:t>2014</w:t>
            </w:r>
          </w:p>
        </w:tc>
        <w:tc>
          <w:tcPr>
            <w:tcW w:w="1457" w:type="dxa"/>
            <w:tcBorders>
              <w:left w:val="nil"/>
              <w:right w:val="nil"/>
            </w:tcBorders>
            <w:shd w:val="clear" w:color="auto" w:fill="0070C0"/>
            <w:noWrap/>
            <w:vAlign w:val="center"/>
          </w:tcPr>
          <w:p w14:paraId="3D8AB9CE" w14:textId="77777777" w:rsidR="00C57D83" w:rsidRPr="00117BF8" w:rsidRDefault="00C57D83" w:rsidP="003F38A8">
            <w:pPr>
              <w:pStyle w:val="TablaE"/>
              <w:rPr>
                <w:rFonts w:ascii="Arial" w:hAnsi="Arial" w:cs="Arial"/>
                <w:sz w:val="22"/>
                <w:szCs w:val="22"/>
              </w:rPr>
            </w:pPr>
            <w:r w:rsidRPr="00117BF8">
              <w:rPr>
                <w:rFonts w:ascii="Arial" w:hAnsi="Arial" w:cs="Arial"/>
                <w:sz w:val="22"/>
                <w:szCs w:val="22"/>
              </w:rPr>
              <w:t>2015</w:t>
            </w:r>
          </w:p>
        </w:tc>
        <w:tc>
          <w:tcPr>
            <w:tcW w:w="1457" w:type="dxa"/>
            <w:tcBorders>
              <w:left w:val="nil"/>
            </w:tcBorders>
            <w:shd w:val="clear" w:color="auto" w:fill="0070C0"/>
            <w:noWrap/>
            <w:vAlign w:val="center"/>
          </w:tcPr>
          <w:p w14:paraId="0E06EC2E" w14:textId="77777777" w:rsidR="00C57D83" w:rsidRPr="00117BF8" w:rsidRDefault="00C57D83" w:rsidP="003F38A8">
            <w:pPr>
              <w:pStyle w:val="TablaE"/>
              <w:rPr>
                <w:rFonts w:ascii="Arial" w:hAnsi="Arial" w:cs="Arial"/>
                <w:sz w:val="22"/>
                <w:szCs w:val="22"/>
              </w:rPr>
            </w:pPr>
            <w:r w:rsidRPr="00117BF8">
              <w:rPr>
                <w:rFonts w:ascii="Arial" w:hAnsi="Arial" w:cs="Arial"/>
                <w:sz w:val="22"/>
                <w:szCs w:val="22"/>
              </w:rPr>
              <w:t>2016</w:t>
            </w:r>
          </w:p>
        </w:tc>
      </w:tr>
      <w:tr w:rsidR="00C007D0" w:rsidRPr="00EE32BC" w14:paraId="52208D22" w14:textId="77777777" w:rsidTr="00C007D0">
        <w:trPr>
          <w:trHeight w:val="300"/>
          <w:jc w:val="center"/>
        </w:trPr>
        <w:tc>
          <w:tcPr>
            <w:tcW w:w="2677" w:type="dxa"/>
            <w:gridSpan w:val="2"/>
            <w:tcBorders>
              <w:right w:val="nil"/>
            </w:tcBorders>
            <w:shd w:val="clear" w:color="auto" w:fill="auto"/>
            <w:noWrap/>
            <w:hideMark/>
          </w:tcPr>
          <w:p w14:paraId="0E509CE5" w14:textId="77777777" w:rsidR="00C57D83" w:rsidRPr="00117BF8" w:rsidRDefault="00C57D83" w:rsidP="00C007D0">
            <w:pPr>
              <w:pStyle w:val="TablaC"/>
              <w:jc w:val="left"/>
              <w:rPr>
                <w:rFonts w:ascii="Arial" w:hAnsi="Arial" w:cs="Arial"/>
                <w:b/>
                <w:bCs/>
                <w:sz w:val="18"/>
                <w:szCs w:val="18"/>
              </w:rPr>
            </w:pPr>
            <w:r w:rsidRPr="00117BF8">
              <w:rPr>
                <w:rFonts w:ascii="Arial" w:hAnsi="Arial" w:cs="Arial"/>
                <w:b/>
                <w:bCs/>
                <w:sz w:val="18"/>
                <w:szCs w:val="18"/>
              </w:rPr>
              <w:t>Rubros</w:t>
            </w:r>
          </w:p>
        </w:tc>
        <w:tc>
          <w:tcPr>
            <w:tcW w:w="1457" w:type="dxa"/>
            <w:tcBorders>
              <w:left w:val="nil"/>
              <w:right w:val="nil"/>
            </w:tcBorders>
            <w:shd w:val="clear" w:color="auto" w:fill="auto"/>
            <w:noWrap/>
            <w:hideMark/>
          </w:tcPr>
          <w:p w14:paraId="459FC3EC" w14:textId="77777777" w:rsidR="00C57D83" w:rsidRPr="00117BF8" w:rsidRDefault="00C57D83" w:rsidP="00C57D83">
            <w:pPr>
              <w:pStyle w:val="TablaC"/>
              <w:rPr>
                <w:rFonts w:ascii="Arial" w:hAnsi="Arial" w:cs="Arial"/>
                <w:b/>
                <w:sz w:val="18"/>
                <w:szCs w:val="18"/>
              </w:rPr>
            </w:pPr>
            <w:r w:rsidRPr="00117BF8">
              <w:rPr>
                <w:rFonts w:ascii="Arial" w:hAnsi="Arial" w:cs="Arial"/>
                <w:b/>
                <w:sz w:val="18"/>
                <w:szCs w:val="18"/>
              </w:rPr>
              <w:t>255</w:t>
            </w:r>
          </w:p>
        </w:tc>
        <w:tc>
          <w:tcPr>
            <w:tcW w:w="1457" w:type="dxa"/>
            <w:tcBorders>
              <w:left w:val="nil"/>
              <w:right w:val="nil"/>
            </w:tcBorders>
            <w:shd w:val="clear" w:color="auto" w:fill="auto"/>
            <w:noWrap/>
            <w:hideMark/>
          </w:tcPr>
          <w:p w14:paraId="1D2C208F" w14:textId="77777777" w:rsidR="00C57D83" w:rsidRPr="00117BF8" w:rsidRDefault="00C57D83" w:rsidP="00C57D83">
            <w:pPr>
              <w:pStyle w:val="TablaC"/>
              <w:rPr>
                <w:rFonts w:ascii="Arial" w:hAnsi="Arial" w:cs="Arial"/>
                <w:b/>
                <w:sz w:val="18"/>
                <w:szCs w:val="18"/>
              </w:rPr>
            </w:pPr>
            <w:r w:rsidRPr="00117BF8">
              <w:rPr>
                <w:rFonts w:ascii="Arial" w:hAnsi="Arial" w:cs="Arial"/>
                <w:b/>
                <w:sz w:val="18"/>
                <w:szCs w:val="18"/>
              </w:rPr>
              <w:t>255</w:t>
            </w:r>
          </w:p>
        </w:tc>
        <w:tc>
          <w:tcPr>
            <w:tcW w:w="1457" w:type="dxa"/>
            <w:tcBorders>
              <w:left w:val="nil"/>
              <w:right w:val="nil"/>
            </w:tcBorders>
            <w:shd w:val="clear" w:color="auto" w:fill="auto"/>
            <w:noWrap/>
            <w:hideMark/>
          </w:tcPr>
          <w:p w14:paraId="40E9D009" w14:textId="77777777" w:rsidR="00C57D83" w:rsidRPr="00117BF8" w:rsidRDefault="00C57D83" w:rsidP="00C57D83">
            <w:pPr>
              <w:pStyle w:val="TablaC"/>
              <w:rPr>
                <w:rFonts w:ascii="Arial" w:hAnsi="Arial" w:cs="Arial"/>
                <w:b/>
                <w:sz w:val="18"/>
                <w:szCs w:val="18"/>
              </w:rPr>
            </w:pPr>
            <w:r w:rsidRPr="00117BF8">
              <w:rPr>
                <w:rFonts w:ascii="Arial" w:hAnsi="Arial" w:cs="Arial"/>
                <w:b/>
                <w:sz w:val="18"/>
                <w:szCs w:val="18"/>
              </w:rPr>
              <w:t>255</w:t>
            </w:r>
          </w:p>
        </w:tc>
        <w:tc>
          <w:tcPr>
            <w:tcW w:w="1457" w:type="dxa"/>
            <w:tcBorders>
              <w:left w:val="nil"/>
            </w:tcBorders>
            <w:shd w:val="clear" w:color="auto" w:fill="auto"/>
            <w:noWrap/>
            <w:hideMark/>
          </w:tcPr>
          <w:p w14:paraId="64DECB0D" w14:textId="77777777" w:rsidR="00C57D83" w:rsidRPr="00117BF8" w:rsidRDefault="00C57D83" w:rsidP="00C57D83">
            <w:pPr>
              <w:pStyle w:val="TablaC"/>
              <w:rPr>
                <w:rFonts w:ascii="Arial" w:hAnsi="Arial" w:cs="Arial"/>
                <w:b/>
                <w:sz w:val="18"/>
                <w:szCs w:val="18"/>
              </w:rPr>
            </w:pPr>
            <w:r w:rsidRPr="00117BF8">
              <w:rPr>
                <w:rFonts w:ascii="Arial" w:hAnsi="Arial" w:cs="Arial"/>
                <w:b/>
                <w:sz w:val="18"/>
                <w:szCs w:val="18"/>
              </w:rPr>
              <w:t>255</w:t>
            </w:r>
          </w:p>
        </w:tc>
      </w:tr>
      <w:tr w:rsidR="00C007D0" w:rsidRPr="00EE32BC" w14:paraId="21F63F9B" w14:textId="77777777" w:rsidTr="00C007D0">
        <w:trPr>
          <w:trHeight w:val="300"/>
          <w:jc w:val="center"/>
        </w:trPr>
        <w:tc>
          <w:tcPr>
            <w:tcW w:w="2439" w:type="dxa"/>
            <w:shd w:val="clear" w:color="auto" w:fill="D3DFEE"/>
            <w:noWrap/>
            <w:hideMark/>
          </w:tcPr>
          <w:p w14:paraId="45D34245" w14:textId="77777777" w:rsidR="00C57D83" w:rsidRPr="00117BF8" w:rsidRDefault="00C57D83" w:rsidP="00C007D0">
            <w:pPr>
              <w:pStyle w:val="TablaC"/>
              <w:jc w:val="left"/>
              <w:rPr>
                <w:rFonts w:ascii="Arial" w:hAnsi="Arial" w:cs="Arial"/>
                <w:bCs/>
                <w:sz w:val="18"/>
                <w:szCs w:val="18"/>
              </w:rPr>
            </w:pPr>
            <w:r w:rsidRPr="00117BF8">
              <w:rPr>
                <w:rFonts w:ascii="Arial" w:hAnsi="Arial" w:cs="Arial"/>
                <w:bCs/>
                <w:sz w:val="18"/>
                <w:szCs w:val="18"/>
              </w:rPr>
              <w:t>&gt; al 5%</w:t>
            </w:r>
          </w:p>
        </w:tc>
        <w:tc>
          <w:tcPr>
            <w:tcW w:w="238" w:type="dxa"/>
            <w:shd w:val="clear" w:color="auto" w:fill="D3DFEE"/>
            <w:noWrap/>
            <w:hideMark/>
          </w:tcPr>
          <w:p w14:paraId="54A220A4" w14:textId="77777777" w:rsidR="00C57D83" w:rsidRPr="00117BF8" w:rsidRDefault="00C57D83" w:rsidP="00C007D0">
            <w:pPr>
              <w:pStyle w:val="TablaC"/>
              <w:jc w:val="left"/>
              <w:rPr>
                <w:rFonts w:ascii="Arial" w:hAnsi="Arial" w:cs="Arial"/>
                <w:sz w:val="18"/>
                <w:szCs w:val="18"/>
              </w:rPr>
            </w:pPr>
          </w:p>
        </w:tc>
        <w:tc>
          <w:tcPr>
            <w:tcW w:w="1457" w:type="dxa"/>
            <w:shd w:val="clear" w:color="auto" w:fill="D3DFEE"/>
            <w:noWrap/>
            <w:hideMark/>
          </w:tcPr>
          <w:p w14:paraId="6ACB09AB"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w:t>
            </w:r>
          </w:p>
        </w:tc>
        <w:tc>
          <w:tcPr>
            <w:tcW w:w="1457" w:type="dxa"/>
            <w:shd w:val="clear" w:color="auto" w:fill="D3DFEE"/>
            <w:noWrap/>
            <w:hideMark/>
          </w:tcPr>
          <w:p w14:paraId="0A3EDA03"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w:t>
            </w:r>
          </w:p>
        </w:tc>
        <w:tc>
          <w:tcPr>
            <w:tcW w:w="1457" w:type="dxa"/>
            <w:shd w:val="clear" w:color="auto" w:fill="D3DFEE"/>
            <w:noWrap/>
            <w:hideMark/>
          </w:tcPr>
          <w:p w14:paraId="283E665B"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3</w:t>
            </w:r>
          </w:p>
        </w:tc>
        <w:tc>
          <w:tcPr>
            <w:tcW w:w="1457" w:type="dxa"/>
            <w:shd w:val="clear" w:color="auto" w:fill="D3DFEE"/>
            <w:noWrap/>
            <w:hideMark/>
          </w:tcPr>
          <w:p w14:paraId="7CE96C8C"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4</w:t>
            </w:r>
          </w:p>
        </w:tc>
      </w:tr>
      <w:tr w:rsidR="00C007D0" w:rsidRPr="00EE32BC" w14:paraId="7C8F3D52" w14:textId="77777777" w:rsidTr="00C007D0">
        <w:trPr>
          <w:trHeight w:val="300"/>
          <w:jc w:val="center"/>
        </w:trPr>
        <w:tc>
          <w:tcPr>
            <w:tcW w:w="2677" w:type="dxa"/>
            <w:gridSpan w:val="2"/>
            <w:tcBorders>
              <w:right w:val="nil"/>
            </w:tcBorders>
            <w:shd w:val="clear" w:color="auto" w:fill="auto"/>
            <w:noWrap/>
            <w:hideMark/>
          </w:tcPr>
          <w:p w14:paraId="7EF2E3D0" w14:textId="77777777" w:rsidR="00C57D83" w:rsidRPr="00117BF8" w:rsidRDefault="00C57D83" w:rsidP="00C007D0">
            <w:pPr>
              <w:pStyle w:val="TablaC"/>
              <w:jc w:val="left"/>
              <w:rPr>
                <w:rFonts w:ascii="Arial" w:hAnsi="Arial" w:cs="Arial"/>
                <w:bCs/>
                <w:sz w:val="18"/>
                <w:szCs w:val="18"/>
              </w:rPr>
            </w:pPr>
            <w:r w:rsidRPr="00117BF8">
              <w:rPr>
                <w:rFonts w:ascii="Arial" w:hAnsi="Arial" w:cs="Arial"/>
                <w:bCs/>
                <w:sz w:val="18"/>
                <w:szCs w:val="18"/>
              </w:rPr>
              <w:t>&gt; al 2% hasta 5%</w:t>
            </w:r>
          </w:p>
        </w:tc>
        <w:tc>
          <w:tcPr>
            <w:tcW w:w="1457" w:type="dxa"/>
            <w:tcBorders>
              <w:left w:val="nil"/>
              <w:right w:val="nil"/>
            </w:tcBorders>
            <w:shd w:val="clear" w:color="auto" w:fill="auto"/>
            <w:noWrap/>
            <w:hideMark/>
          </w:tcPr>
          <w:p w14:paraId="471A9FD8"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6</w:t>
            </w:r>
          </w:p>
        </w:tc>
        <w:tc>
          <w:tcPr>
            <w:tcW w:w="1457" w:type="dxa"/>
            <w:tcBorders>
              <w:left w:val="nil"/>
              <w:right w:val="nil"/>
            </w:tcBorders>
            <w:shd w:val="clear" w:color="auto" w:fill="auto"/>
            <w:noWrap/>
            <w:hideMark/>
          </w:tcPr>
          <w:p w14:paraId="6372EFEB"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6</w:t>
            </w:r>
          </w:p>
        </w:tc>
        <w:tc>
          <w:tcPr>
            <w:tcW w:w="1457" w:type="dxa"/>
            <w:tcBorders>
              <w:left w:val="nil"/>
              <w:right w:val="nil"/>
            </w:tcBorders>
            <w:shd w:val="clear" w:color="auto" w:fill="auto"/>
            <w:noWrap/>
            <w:hideMark/>
          </w:tcPr>
          <w:p w14:paraId="4B6AEB07"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5</w:t>
            </w:r>
          </w:p>
        </w:tc>
        <w:tc>
          <w:tcPr>
            <w:tcW w:w="1457" w:type="dxa"/>
            <w:tcBorders>
              <w:left w:val="nil"/>
            </w:tcBorders>
            <w:shd w:val="clear" w:color="auto" w:fill="auto"/>
            <w:noWrap/>
            <w:hideMark/>
          </w:tcPr>
          <w:p w14:paraId="5FC75185"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4</w:t>
            </w:r>
          </w:p>
        </w:tc>
      </w:tr>
      <w:tr w:rsidR="00C007D0" w:rsidRPr="00EE32BC" w14:paraId="1D3E615C" w14:textId="77777777" w:rsidTr="00C007D0">
        <w:trPr>
          <w:trHeight w:val="300"/>
          <w:jc w:val="center"/>
        </w:trPr>
        <w:tc>
          <w:tcPr>
            <w:tcW w:w="2677" w:type="dxa"/>
            <w:gridSpan w:val="2"/>
            <w:shd w:val="clear" w:color="auto" w:fill="D3DFEE"/>
            <w:noWrap/>
            <w:hideMark/>
          </w:tcPr>
          <w:p w14:paraId="1E30631C" w14:textId="77777777" w:rsidR="00C57D83" w:rsidRPr="00117BF8" w:rsidRDefault="00C57D83" w:rsidP="00C007D0">
            <w:pPr>
              <w:pStyle w:val="TablaC"/>
              <w:jc w:val="left"/>
              <w:rPr>
                <w:rFonts w:ascii="Arial" w:hAnsi="Arial" w:cs="Arial"/>
                <w:bCs/>
                <w:sz w:val="18"/>
                <w:szCs w:val="18"/>
              </w:rPr>
            </w:pPr>
            <w:r w:rsidRPr="00117BF8">
              <w:rPr>
                <w:rFonts w:ascii="Arial" w:hAnsi="Arial" w:cs="Arial"/>
                <w:bCs/>
                <w:sz w:val="18"/>
                <w:szCs w:val="18"/>
              </w:rPr>
              <w:t>&gt; al 0% hasta 2%</w:t>
            </w:r>
          </w:p>
        </w:tc>
        <w:tc>
          <w:tcPr>
            <w:tcW w:w="1457" w:type="dxa"/>
            <w:shd w:val="clear" w:color="auto" w:fill="D3DFEE"/>
            <w:noWrap/>
            <w:hideMark/>
          </w:tcPr>
          <w:p w14:paraId="4156E770"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207</w:t>
            </w:r>
          </w:p>
        </w:tc>
        <w:tc>
          <w:tcPr>
            <w:tcW w:w="1457" w:type="dxa"/>
            <w:shd w:val="clear" w:color="auto" w:fill="D3DFEE"/>
            <w:noWrap/>
            <w:hideMark/>
          </w:tcPr>
          <w:p w14:paraId="3DF98B5B"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208</w:t>
            </w:r>
          </w:p>
        </w:tc>
        <w:tc>
          <w:tcPr>
            <w:tcW w:w="1457" w:type="dxa"/>
            <w:shd w:val="clear" w:color="auto" w:fill="D3DFEE"/>
            <w:noWrap/>
            <w:hideMark/>
          </w:tcPr>
          <w:p w14:paraId="2963E978"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207</w:t>
            </w:r>
          </w:p>
        </w:tc>
        <w:tc>
          <w:tcPr>
            <w:tcW w:w="1457" w:type="dxa"/>
            <w:shd w:val="clear" w:color="auto" w:fill="D3DFEE"/>
            <w:noWrap/>
            <w:hideMark/>
          </w:tcPr>
          <w:p w14:paraId="7900580A"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205</w:t>
            </w:r>
          </w:p>
        </w:tc>
      </w:tr>
      <w:tr w:rsidR="00C007D0" w:rsidRPr="00EE32BC" w14:paraId="4A02D5EC" w14:textId="77777777" w:rsidTr="00C007D0">
        <w:trPr>
          <w:trHeight w:val="300"/>
          <w:jc w:val="center"/>
        </w:trPr>
        <w:tc>
          <w:tcPr>
            <w:tcW w:w="2439" w:type="dxa"/>
            <w:tcBorders>
              <w:right w:val="nil"/>
            </w:tcBorders>
            <w:shd w:val="clear" w:color="auto" w:fill="auto"/>
            <w:noWrap/>
            <w:hideMark/>
          </w:tcPr>
          <w:p w14:paraId="7D29C549" w14:textId="77777777" w:rsidR="00C57D83" w:rsidRPr="00117BF8" w:rsidRDefault="00C57D83" w:rsidP="00C007D0">
            <w:pPr>
              <w:pStyle w:val="TablaC"/>
              <w:jc w:val="left"/>
              <w:rPr>
                <w:rFonts w:ascii="Arial" w:hAnsi="Arial" w:cs="Arial"/>
                <w:bCs/>
                <w:sz w:val="18"/>
                <w:szCs w:val="18"/>
              </w:rPr>
            </w:pPr>
            <w:r w:rsidRPr="00117BF8">
              <w:rPr>
                <w:rFonts w:ascii="Arial" w:hAnsi="Arial" w:cs="Arial"/>
                <w:bCs/>
                <w:sz w:val="18"/>
                <w:szCs w:val="18"/>
              </w:rPr>
              <w:t>0%</w:t>
            </w:r>
          </w:p>
        </w:tc>
        <w:tc>
          <w:tcPr>
            <w:tcW w:w="238" w:type="dxa"/>
            <w:tcBorders>
              <w:left w:val="nil"/>
              <w:right w:val="nil"/>
            </w:tcBorders>
            <w:shd w:val="clear" w:color="auto" w:fill="auto"/>
            <w:noWrap/>
            <w:hideMark/>
          </w:tcPr>
          <w:p w14:paraId="46826A92" w14:textId="77777777" w:rsidR="00C57D83" w:rsidRPr="00117BF8" w:rsidRDefault="00C57D83" w:rsidP="00C007D0">
            <w:pPr>
              <w:pStyle w:val="TablaC"/>
              <w:jc w:val="left"/>
              <w:rPr>
                <w:rFonts w:ascii="Arial" w:hAnsi="Arial" w:cs="Arial"/>
                <w:sz w:val="18"/>
                <w:szCs w:val="18"/>
              </w:rPr>
            </w:pPr>
          </w:p>
        </w:tc>
        <w:tc>
          <w:tcPr>
            <w:tcW w:w="1457" w:type="dxa"/>
            <w:tcBorders>
              <w:left w:val="nil"/>
              <w:right w:val="nil"/>
            </w:tcBorders>
            <w:shd w:val="clear" w:color="auto" w:fill="auto"/>
            <w:noWrap/>
            <w:hideMark/>
          </w:tcPr>
          <w:p w14:paraId="143F2FFE"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40</w:t>
            </w:r>
          </w:p>
        </w:tc>
        <w:tc>
          <w:tcPr>
            <w:tcW w:w="1457" w:type="dxa"/>
            <w:tcBorders>
              <w:left w:val="nil"/>
              <w:right w:val="nil"/>
            </w:tcBorders>
            <w:shd w:val="clear" w:color="auto" w:fill="auto"/>
            <w:noWrap/>
            <w:hideMark/>
          </w:tcPr>
          <w:p w14:paraId="5720EBA7"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39</w:t>
            </w:r>
          </w:p>
        </w:tc>
        <w:tc>
          <w:tcPr>
            <w:tcW w:w="1457" w:type="dxa"/>
            <w:tcBorders>
              <w:left w:val="nil"/>
              <w:right w:val="nil"/>
            </w:tcBorders>
            <w:shd w:val="clear" w:color="auto" w:fill="auto"/>
            <w:noWrap/>
            <w:hideMark/>
          </w:tcPr>
          <w:p w14:paraId="24FD5158"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40</w:t>
            </w:r>
          </w:p>
        </w:tc>
        <w:tc>
          <w:tcPr>
            <w:tcW w:w="1457" w:type="dxa"/>
            <w:tcBorders>
              <w:left w:val="nil"/>
            </w:tcBorders>
            <w:shd w:val="clear" w:color="auto" w:fill="auto"/>
            <w:noWrap/>
            <w:hideMark/>
          </w:tcPr>
          <w:p w14:paraId="2526511F"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42</w:t>
            </w:r>
          </w:p>
        </w:tc>
      </w:tr>
      <w:tr w:rsidR="00C007D0" w:rsidRPr="00EE32BC" w14:paraId="3FE9A04D" w14:textId="77777777" w:rsidTr="00C007D0">
        <w:trPr>
          <w:trHeight w:val="300"/>
          <w:jc w:val="center"/>
        </w:trPr>
        <w:tc>
          <w:tcPr>
            <w:tcW w:w="2439" w:type="dxa"/>
            <w:shd w:val="clear" w:color="auto" w:fill="D3DFEE"/>
            <w:noWrap/>
            <w:hideMark/>
          </w:tcPr>
          <w:p w14:paraId="69D59965" w14:textId="77777777" w:rsidR="00C57D83" w:rsidRPr="00117BF8" w:rsidRDefault="00C57D83" w:rsidP="00C007D0">
            <w:pPr>
              <w:pStyle w:val="TablaC"/>
              <w:jc w:val="left"/>
              <w:rPr>
                <w:rFonts w:ascii="Arial" w:hAnsi="Arial" w:cs="Arial"/>
                <w:bCs/>
                <w:sz w:val="18"/>
                <w:szCs w:val="18"/>
              </w:rPr>
            </w:pPr>
          </w:p>
        </w:tc>
        <w:tc>
          <w:tcPr>
            <w:tcW w:w="238" w:type="dxa"/>
            <w:shd w:val="clear" w:color="auto" w:fill="D3DFEE"/>
            <w:noWrap/>
            <w:hideMark/>
          </w:tcPr>
          <w:p w14:paraId="426AAFA7" w14:textId="77777777" w:rsidR="00C57D83" w:rsidRPr="00117BF8" w:rsidRDefault="00C57D83" w:rsidP="00C007D0">
            <w:pPr>
              <w:pStyle w:val="TablaC"/>
              <w:jc w:val="left"/>
              <w:rPr>
                <w:rFonts w:ascii="Arial" w:hAnsi="Arial" w:cs="Arial"/>
                <w:sz w:val="18"/>
                <w:szCs w:val="18"/>
              </w:rPr>
            </w:pPr>
          </w:p>
        </w:tc>
        <w:tc>
          <w:tcPr>
            <w:tcW w:w="1457" w:type="dxa"/>
            <w:shd w:val="clear" w:color="auto" w:fill="D3DFEE"/>
            <w:noWrap/>
            <w:hideMark/>
          </w:tcPr>
          <w:p w14:paraId="11E16C18" w14:textId="77777777" w:rsidR="00C57D83" w:rsidRPr="00117BF8" w:rsidRDefault="00C57D83" w:rsidP="00C57D83">
            <w:pPr>
              <w:pStyle w:val="TablaC"/>
              <w:rPr>
                <w:rFonts w:ascii="Arial" w:hAnsi="Arial" w:cs="Arial"/>
                <w:sz w:val="18"/>
                <w:szCs w:val="18"/>
              </w:rPr>
            </w:pPr>
          </w:p>
        </w:tc>
        <w:tc>
          <w:tcPr>
            <w:tcW w:w="1457" w:type="dxa"/>
            <w:shd w:val="clear" w:color="auto" w:fill="D3DFEE"/>
            <w:noWrap/>
            <w:hideMark/>
          </w:tcPr>
          <w:p w14:paraId="0FFC80B4" w14:textId="77777777" w:rsidR="00C57D83" w:rsidRPr="00117BF8" w:rsidRDefault="00C57D83" w:rsidP="00C57D83">
            <w:pPr>
              <w:pStyle w:val="TablaC"/>
              <w:rPr>
                <w:rFonts w:ascii="Arial" w:hAnsi="Arial" w:cs="Arial"/>
                <w:sz w:val="18"/>
                <w:szCs w:val="18"/>
              </w:rPr>
            </w:pPr>
          </w:p>
        </w:tc>
        <w:tc>
          <w:tcPr>
            <w:tcW w:w="1457" w:type="dxa"/>
            <w:shd w:val="clear" w:color="auto" w:fill="D3DFEE"/>
            <w:noWrap/>
            <w:hideMark/>
          </w:tcPr>
          <w:p w14:paraId="64E244C4" w14:textId="77777777" w:rsidR="00C57D83" w:rsidRPr="00117BF8" w:rsidRDefault="00C57D83" w:rsidP="00C57D83">
            <w:pPr>
              <w:pStyle w:val="TablaC"/>
              <w:rPr>
                <w:rFonts w:ascii="Arial" w:hAnsi="Arial" w:cs="Arial"/>
                <w:sz w:val="18"/>
                <w:szCs w:val="18"/>
              </w:rPr>
            </w:pPr>
          </w:p>
        </w:tc>
        <w:tc>
          <w:tcPr>
            <w:tcW w:w="1457" w:type="dxa"/>
            <w:shd w:val="clear" w:color="auto" w:fill="D3DFEE"/>
            <w:noWrap/>
            <w:hideMark/>
          </w:tcPr>
          <w:p w14:paraId="57750910" w14:textId="77777777" w:rsidR="00C57D83" w:rsidRPr="00117BF8" w:rsidRDefault="00C57D83" w:rsidP="00C57D83">
            <w:pPr>
              <w:pStyle w:val="TablaC"/>
              <w:rPr>
                <w:rFonts w:ascii="Arial" w:hAnsi="Arial" w:cs="Arial"/>
                <w:sz w:val="18"/>
                <w:szCs w:val="18"/>
              </w:rPr>
            </w:pPr>
          </w:p>
        </w:tc>
      </w:tr>
      <w:tr w:rsidR="00C007D0" w:rsidRPr="00EE32BC" w14:paraId="2C4E93B4" w14:textId="77777777" w:rsidTr="00C007D0">
        <w:trPr>
          <w:trHeight w:val="300"/>
          <w:jc w:val="center"/>
        </w:trPr>
        <w:tc>
          <w:tcPr>
            <w:tcW w:w="2677" w:type="dxa"/>
            <w:gridSpan w:val="2"/>
            <w:tcBorders>
              <w:right w:val="nil"/>
            </w:tcBorders>
            <w:shd w:val="clear" w:color="auto" w:fill="auto"/>
            <w:noWrap/>
            <w:hideMark/>
          </w:tcPr>
          <w:p w14:paraId="00B77C9F" w14:textId="77777777" w:rsidR="00C57D83" w:rsidRPr="00117BF8" w:rsidRDefault="00C57D83" w:rsidP="00C007D0">
            <w:pPr>
              <w:pStyle w:val="TablaC"/>
              <w:jc w:val="left"/>
              <w:rPr>
                <w:rFonts w:ascii="Arial" w:hAnsi="Arial" w:cs="Arial"/>
                <w:b/>
                <w:bCs/>
                <w:sz w:val="18"/>
                <w:szCs w:val="18"/>
              </w:rPr>
            </w:pPr>
            <w:r w:rsidRPr="00117BF8">
              <w:rPr>
                <w:rFonts w:ascii="Arial" w:hAnsi="Arial" w:cs="Arial"/>
                <w:b/>
                <w:bCs/>
                <w:sz w:val="18"/>
                <w:szCs w:val="18"/>
              </w:rPr>
              <w:t>Rubros</w:t>
            </w:r>
          </w:p>
        </w:tc>
        <w:tc>
          <w:tcPr>
            <w:tcW w:w="1457" w:type="dxa"/>
            <w:tcBorders>
              <w:left w:val="nil"/>
              <w:right w:val="nil"/>
            </w:tcBorders>
            <w:shd w:val="clear" w:color="auto" w:fill="auto"/>
            <w:noWrap/>
            <w:hideMark/>
          </w:tcPr>
          <w:p w14:paraId="1A34A0A7" w14:textId="77777777" w:rsidR="00C57D83" w:rsidRPr="00117BF8" w:rsidRDefault="00C57D83" w:rsidP="00C57D83">
            <w:pPr>
              <w:pStyle w:val="TablaC"/>
              <w:rPr>
                <w:rFonts w:ascii="Arial" w:hAnsi="Arial" w:cs="Arial"/>
                <w:b/>
                <w:sz w:val="18"/>
                <w:szCs w:val="18"/>
              </w:rPr>
            </w:pPr>
            <w:r w:rsidRPr="00117BF8">
              <w:rPr>
                <w:rFonts w:ascii="Arial" w:hAnsi="Arial" w:cs="Arial"/>
                <w:b/>
                <w:sz w:val="18"/>
                <w:szCs w:val="18"/>
              </w:rPr>
              <w:t>100%</w:t>
            </w:r>
          </w:p>
        </w:tc>
        <w:tc>
          <w:tcPr>
            <w:tcW w:w="1457" w:type="dxa"/>
            <w:tcBorders>
              <w:left w:val="nil"/>
              <w:right w:val="nil"/>
            </w:tcBorders>
            <w:shd w:val="clear" w:color="auto" w:fill="auto"/>
            <w:noWrap/>
            <w:hideMark/>
          </w:tcPr>
          <w:p w14:paraId="7003E5AE" w14:textId="77777777" w:rsidR="00C57D83" w:rsidRPr="00117BF8" w:rsidRDefault="00C57D83" w:rsidP="00C57D83">
            <w:pPr>
              <w:pStyle w:val="TablaC"/>
              <w:rPr>
                <w:rFonts w:ascii="Arial" w:hAnsi="Arial" w:cs="Arial"/>
                <w:b/>
                <w:sz w:val="18"/>
                <w:szCs w:val="18"/>
              </w:rPr>
            </w:pPr>
            <w:r w:rsidRPr="00117BF8">
              <w:rPr>
                <w:rFonts w:ascii="Arial" w:hAnsi="Arial" w:cs="Arial"/>
                <w:b/>
                <w:sz w:val="18"/>
                <w:szCs w:val="18"/>
              </w:rPr>
              <w:t>100%</w:t>
            </w:r>
          </w:p>
        </w:tc>
        <w:tc>
          <w:tcPr>
            <w:tcW w:w="1457" w:type="dxa"/>
            <w:tcBorders>
              <w:left w:val="nil"/>
              <w:right w:val="nil"/>
            </w:tcBorders>
            <w:shd w:val="clear" w:color="auto" w:fill="auto"/>
            <w:noWrap/>
            <w:hideMark/>
          </w:tcPr>
          <w:p w14:paraId="608F46B2" w14:textId="77777777" w:rsidR="00C57D83" w:rsidRPr="00117BF8" w:rsidRDefault="00C57D83" w:rsidP="00C57D83">
            <w:pPr>
              <w:pStyle w:val="TablaC"/>
              <w:rPr>
                <w:rFonts w:ascii="Arial" w:hAnsi="Arial" w:cs="Arial"/>
                <w:b/>
                <w:sz w:val="18"/>
                <w:szCs w:val="18"/>
              </w:rPr>
            </w:pPr>
            <w:r w:rsidRPr="00117BF8">
              <w:rPr>
                <w:rFonts w:ascii="Arial" w:hAnsi="Arial" w:cs="Arial"/>
                <w:b/>
                <w:sz w:val="18"/>
                <w:szCs w:val="18"/>
              </w:rPr>
              <w:t>100%</w:t>
            </w:r>
          </w:p>
        </w:tc>
        <w:tc>
          <w:tcPr>
            <w:tcW w:w="1457" w:type="dxa"/>
            <w:tcBorders>
              <w:left w:val="nil"/>
            </w:tcBorders>
            <w:shd w:val="clear" w:color="auto" w:fill="auto"/>
            <w:noWrap/>
            <w:hideMark/>
          </w:tcPr>
          <w:p w14:paraId="73981445" w14:textId="77777777" w:rsidR="00C57D83" w:rsidRPr="00117BF8" w:rsidRDefault="00C57D83" w:rsidP="00C57D83">
            <w:pPr>
              <w:pStyle w:val="TablaC"/>
              <w:rPr>
                <w:rFonts w:ascii="Arial" w:hAnsi="Arial" w:cs="Arial"/>
                <w:b/>
                <w:sz w:val="18"/>
                <w:szCs w:val="18"/>
              </w:rPr>
            </w:pPr>
            <w:r w:rsidRPr="00117BF8">
              <w:rPr>
                <w:rFonts w:ascii="Arial" w:hAnsi="Arial" w:cs="Arial"/>
                <w:b/>
                <w:sz w:val="18"/>
                <w:szCs w:val="18"/>
              </w:rPr>
              <w:t>100%</w:t>
            </w:r>
          </w:p>
        </w:tc>
      </w:tr>
      <w:tr w:rsidR="00C007D0" w:rsidRPr="00EE32BC" w14:paraId="46C77C24" w14:textId="77777777" w:rsidTr="00C007D0">
        <w:trPr>
          <w:trHeight w:val="300"/>
          <w:jc w:val="center"/>
        </w:trPr>
        <w:tc>
          <w:tcPr>
            <w:tcW w:w="2439" w:type="dxa"/>
            <w:shd w:val="clear" w:color="auto" w:fill="D3DFEE"/>
            <w:noWrap/>
            <w:hideMark/>
          </w:tcPr>
          <w:p w14:paraId="5D8524F3" w14:textId="77777777" w:rsidR="00C57D83" w:rsidRPr="00117BF8" w:rsidRDefault="00C57D83" w:rsidP="00C007D0">
            <w:pPr>
              <w:pStyle w:val="TablaC"/>
              <w:jc w:val="left"/>
              <w:rPr>
                <w:rFonts w:ascii="Arial" w:hAnsi="Arial" w:cs="Arial"/>
                <w:bCs/>
                <w:sz w:val="18"/>
                <w:szCs w:val="18"/>
              </w:rPr>
            </w:pPr>
            <w:r w:rsidRPr="00117BF8">
              <w:rPr>
                <w:rFonts w:ascii="Arial" w:hAnsi="Arial" w:cs="Arial"/>
                <w:bCs/>
                <w:sz w:val="18"/>
                <w:szCs w:val="18"/>
              </w:rPr>
              <w:t>&gt; al 5%</w:t>
            </w:r>
          </w:p>
        </w:tc>
        <w:tc>
          <w:tcPr>
            <w:tcW w:w="238" w:type="dxa"/>
            <w:shd w:val="clear" w:color="auto" w:fill="D3DFEE"/>
            <w:noWrap/>
            <w:hideMark/>
          </w:tcPr>
          <w:p w14:paraId="57E75FD5" w14:textId="77777777" w:rsidR="00C57D83" w:rsidRPr="00117BF8" w:rsidRDefault="00C57D83" w:rsidP="00C007D0">
            <w:pPr>
              <w:pStyle w:val="TablaC"/>
              <w:jc w:val="left"/>
              <w:rPr>
                <w:rFonts w:ascii="Arial" w:hAnsi="Arial" w:cs="Arial"/>
                <w:sz w:val="18"/>
                <w:szCs w:val="18"/>
              </w:rPr>
            </w:pPr>
          </w:p>
        </w:tc>
        <w:tc>
          <w:tcPr>
            <w:tcW w:w="1457" w:type="dxa"/>
            <w:shd w:val="clear" w:color="auto" w:fill="D3DFEE"/>
            <w:noWrap/>
            <w:hideMark/>
          </w:tcPr>
          <w:p w14:paraId="62545B3F"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53%</w:t>
            </w:r>
          </w:p>
        </w:tc>
        <w:tc>
          <w:tcPr>
            <w:tcW w:w="1457" w:type="dxa"/>
            <w:shd w:val="clear" w:color="auto" w:fill="D3DFEE"/>
            <w:noWrap/>
            <w:hideMark/>
          </w:tcPr>
          <w:p w14:paraId="593D7D2A"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53%</w:t>
            </w:r>
          </w:p>
        </w:tc>
        <w:tc>
          <w:tcPr>
            <w:tcW w:w="1457" w:type="dxa"/>
            <w:shd w:val="clear" w:color="auto" w:fill="D3DFEE"/>
            <w:noWrap/>
            <w:hideMark/>
          </w:tcPr>
          <w:p w14:paraId="26F7A913"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57%</w:t>
            </w:r>
          </w:p>
        </w:tc>
        <w:tc>
          <w:tcPr>
            <w:tcW w:w="1457" w:type="dxa"/>
            <w:shd w:val="clear" w:color="auto" w:fill="D3DFEE"/>
            <w:noWrap/>
            <w:hideMark/>
          </w:tcPr>
          <w:p w14:paraId="061DF833"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59%</w:t>
            </w:r>
          </w:p>
        </w:tc>
      </w:tr>
      <w:tr w:rsidR="00C007D0" w:rsidRPr="00EE32BC" w14:paraId="03467163" w14:textId="77777777" w:rsidTr="00C007D0">
        <w:trPr>
          <w:trHeight w:val="300"/>
          <w:jc w:val="center"/>
        </w:trPr>
        <w:tc>
          <w:tcPr>
            <w:tcW w:w="2677" w:type="dxa"/>
            <w:gridSpan w:val="2"/>
            <w:tcBorders>
              <w:right w:val="nil"/>
            </w:tcBorders>
            <w:shd w:val="clear" w:color="auto" w:fill="auto"/>
            <w:noWrap/>
            <w:hideMark/>
          </w:tcPr>
          <w:p w14:paraId="6DF25315" w14:textId="77777777" w:rsidR="00C57D83" w:rsidRPr="00117BF8" w:rsidRDefault="00C57D83" w:rsidP="00C007D0">
            <w:pPr>
              <w:pStyle w:val="TablaC"/>
              <w:jc w:val="left"/>
              <w:rPr>
                <w:rFonts w:ascii="Arial" w:hAnsi="Arial" w:cs="Arial"/>
                <w:bCs/>
                <w:sz w:val="18"/>
                <w:szCs w:val="18"/>
              </w:rPr>
            </w:pPr>
            <w:r w:rsidRPr="00117BF8">
              <w:rPr>
                <w:rFonts w:ascii="Arial" w:hAnsi="Arial" w:cs="Arial"/>
                <w:bCs/>
                <w:sz w:val="18"/>
                <w:szCs w:val="18"/>
              </w:rPr>
              <w:t>&gt; al 2% hasta 5%</w:t>
            </w:r>
          </w:p>
        </w:tc>
        <w:tc>
          <w:tcPr>
            <w:tcW w:w="1457" w:type="dxa"/>
            <w:tcBorders>
              <w:left w:val="nil"/>
              <w:right w:val="nil"/>
            </w:tcBorders>
            <w:shd w:val="clear" w:color="auto" w:fill="auto"/>
            <w:noWrap/>
            <w:hideMark/>
          </w:tcPr>
          <w:p w14:paraId="046A3CF3"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19%</w:t>
            </w:r>
          </w:p>
        </w:tc>
        <w:tc>
          <w:tcPr>
            <w:tcW w:w="1457" w:type="dxa"/>
            <w:tcBorders>
              <w:left w:val="nil"/>
              <w:right w:val="nil"/>
            </w:tcBorders>
            <w:shd w:val="clear" w:color="auto" w:fill="auto"/>
            <w:noWrap/>
            <w:hideMark/>
          </w:tcPr>
          <w:p w14:paraId="7AB0F48A"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18%</w:t>
            </w:r>
          </w:p>
        </w:tc>
        <w:tc>
          <w:tcPr>
            <w:tcW w:w="1457" w:type="dxa"/>
            <w:tcBorders>
              <w:left w:val="nil"/>
              <w:right w:val="nil"/>
            </w:tcBorders>
            <w:shd w:val="clear" w:color="auto" w:fill="auto"/>
            <w:noWrap/>
            <w:hideMark/>
          </w:tcPr>
          <w:p w14:paraId="71A25029"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15%</w:t>
            </w:r>
          </w:p>
        </w:tc>
        <w:tc>
          <w:tcPr>
            <w:tcW w:w="1457" w:type="dxa"/>
            <w:tcBorders>
              <w:left w:val="nil"/>
            </w:tcBorders>
            <w:shd w:val="clear" w:color="auto" w:fill="auto"/>
            <w:noWrap/>
            <w:hideMark/>
          </w:tcPr>
          <w:p w14:paraId="7AEA22D0"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12%</w:t>
            </w:r>
          </w:p>
        </w:tc>
      </w:tr>
      <w:tr w:rsidR="00C007D0" w:rsidRPr="00EE32BC" w14:paraId="70179F87" w14:textId="77777777" w:rsidTr="00C007D0">
        <w:trPr>
          <w:trHeight w:val="300"/>
          <w:jc w:val="center"/>
        </w:trPr>
        <w:tc>
          <w:tcPr>
            <w:tcW w:w="2677" w:type="dxa"/>
            <w:gridSpan w:val="2"/>
            <w:shd w:val="clear" w:color="auto" w:fill="D3DFEE"/>
            <w:noWrap/>
            <w:hideMark/>
          </w:tcPr>
          <w:p w14:paraId="4078A520" w14:textId="77777777" w:rsidR="00C57D83" w:rsidRPr="00117BF8" w:rsidRDefault="00C57D83" w:rsidP="00C007D0">
            <w:pPr>
              <w:pStyle w:val="TablaC"/>
              <w:jc w:val="left"/>
              <w:rPr>
                <w:rFonts w:ascii="Arial" w:hAnsi="Arial" w:cs="Arial"/>
                <w:bCs/>
                <w:sz w:val="18"/>
                <w:szCs w:val="18"/>
              </w:rPr>
            </w:pPr>
            <w:r w:rsidRPr="00117BF8">
              <w:rPr>
                <w:rFonts w:ascii="Arial" w:hAnsi="Arial" w:cs="Arial"/>
                <w:bCs/>
                <w:sz w:val="18"/>
                <w:szCs w:val="18"/>
              </w:rPr>
              <w:t>&gt; al 0% hasta 2%</w:t>
            </w:r>
          </w:p>
        </w:tc>
        <w:tc>
          <w:tcPr>
            <w:tcW w:w="1457" w:type="dxa"/>
            <w:shd w:val="clear" w:color="auto" w:fill="D3DFEE"/>
            <w:noWrap/>
            <w:hideMark/>
          </w:tcPr>
          <w:p w14:paraId="6F63A560"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28%</w:t>
            </w:r>
          </w:p>
        </w:tc>
        <w:tc>
          <w:tcPr>
            <w:tcW w:w="1457" w:type="dxa"/>
            <w:shd w:val="clear" w:color="auto" w:fill="D3DFEE"/>
            <w:noWrap/>
            <w:hideMark/>
          </w:tcPr>
          <w:p w14:paraId="5CCC422B"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28%</w:t>
            </w:r>
          </w:p>
        </w:tc>
        <w:tc>
          <w:tcPr>
            <w:tcW w:w="1457" w:type="dxa"/>
            <w:shd w:val="clear" w:color="auto" w:fill="D3DFEE"/>
            <w:noWrap/>
            <w:hideMark/>
          </w:tcPr>
          <w:p w14:paraId="231353D9"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28%</w:t>
            </w:r>
          </w:p>
        </w:tc>
        <w:tc>
          <w:tcPr>
            <w:tcW w:w="1457" w:type="dxa"/>
            <w:shd w:val="clear" w:color="auto" w:fill="D3DFEE"/>
            <w:noWrap/>
            <w:hideMark/>
          </w:tcPr>
          <w:p w14:paraId="378478B6"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29%</w:t>
            </w:r>
          </w:p>
        </w:tc>
      </w:tr>
      <w:tr w:rsidR="00C007D0" w:rsidRPr="00EE32BC" w14:paraId="740FB4DD" w14:textId="77777777" w:rsidTr="00C007D0">
        <w:trPr>
          <w:trHeight w:val="300"/>
          <w:jc w:val="center"/>
        </w:trPr>
        <w:tc>
          <w:tcPr>
            <w:tcW w:w="2439" w:type="dxa"/>
            <w:tcBorders>
              <w:right w:val="nil"/>
            </w:tcBorders>
            <w:shd w:val="clear" w:color="auto" w:fill="auto"/>
            <w:noWrap/>
            <w:hideMark/>
          </w:tcPr>
          <w:p w14:paraId="554FEDD6" w14:textId="77777777" w:rsidR="00C57D83" w:rsidRPr="00117BF8" w:rsidRDefault="00C57D83" w:rsidP="00C007D0">
            <w:pPr>
              <w:pStyle w:val="TablaC"/>
              <w:jc w:val="left"/>
              <w:rPr>
                <w:rFonts w:ascii="Arial" w:hAnsi="Arial" w:cs="Arial"/>
                <w:bCs/>
                <w:sz w:val="18"/>
                <w:szCs w:val="18"/>
              </w:rPr>
            </w:pPr>
            <w:r w:rsidRPr="00117BF8">
              <w:rPr>
                <w:rFonts w:ascii="Arial" w:hAnsi="Arial" w:cs="Arial"/>
                <w:bCs/>
                <w:sz w:val="18"/>
                <w:szCs w:val="18"/>
              </w:rPr>
              <w:t>0%</w:t>
            </w:r>
          </w:p>
        </w:tc>
        <w:tc>
          <w:tcPr>
            <w:tcW w:w="238" w:type="dxa"/>
            <w:tcBorders>
              <w:left w:val="nil"/>
              <w:right w:val="nil"/>
            </w:tcBorders>
            <w:shd w:val="clear" w:color="auto" w:fill="auto"/>
            <w:noWrap/>
            <w:hideMark/>
          </w:tcPr>
          <w:p w14:paraId="766404E1" w14:textId="77777777" w:rsidR="00C57D83" w:rsidRPr="00117BF8" w:rsidRDefault="00C57D83" w:rsidP="00C007D0">
            <w:pPr>
              <w:pStyle w:val="TablaC"/>
              <w:jc w:val="left"/>
              <w:rPr>
                <w:rFonts w:ascii="Arial" w:hAnsi="Arial" w:cs="Arial"/>
                <w:sz w:val="18"/>
                <w:szCs w:val="18"/>
              </w:rPr>
            </w:pPr>
          </w:p>
        </w:tc>
        <w:tc>
          <w:tcPr>
            <w:tcW w:w="1457" w:type="dxa"/>
            <w:tcBorders>
              <w:left w:val="nil"/>
              <w:right w:val="nil"/>
            </w:tcBorders>
            <w:shd w:val="clear" w:color="auto" w:fill="auto"/>
            <w:noWrap/>
            <w:hideMark/>
          </w:tcPr>
          <w:p w14:paraId="761C1948"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0%</w:t>
            </w:r>
          </w:p>
        </w:tc>
        <w:tc>
          <w:tcPr>
            <w:tcW w:w="1457" w:type="dxa"/>
            <w:tcBorders>
              <w:left w:val="nil"/>
              <w:right w:val="nil"/>
            </w:tcBorders>
            <w:shd w:val="clear" w:color="auto" w:fill="auto"/>
            <w:noWrap/>
            <w:hideMark/>
          </w:tcPr>
          <w:p w14:paraId="2F02CE93"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0%</w:t>
            </w:r>
          </w:p>
        </w:tc>
        <w:tc>
          <w:tcPr>
            <w:tcW w:w="1457" w:type="dxa"/>
            <w:tcBorders>
              <w:left w:val="nil"/>
              <w:right w:val="nil"/>
            </w:tcBorders>
            <w:shd w:val="clear" w:color="auto" w:fill="auto"/>
            <w:noWrap/>
            <w:hideMark/>
          </w:tcPr>
          <w:p w14:paraId="19BBBB24"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0%</w:t>
            </w:r>
          </w:p>
        </w:tc>
        <w:tc>
          <w:tcPr>
            <w:tcW w:w="1457" w:type="dxa"/>
            <w:tcBorders>
              <w:left w:val="nil"/>
            </w:tcBorders>
            <w:shd w:val="clear" w:color="auto" w:fill="auto"/>
            <w:noWrap/>
            <w:hideMark/>
          </w:tcPr>
          <w:p w14:paraId="52071078" w14:textId="77777777" w:rsidR="00C57D83" w:rsidRPr="00117BF8" w:rsidRDefault="00C57D83" w:rsidP="00C57D83">
            <w:pPr>
              <w:pStyle w:val="TablaC"/>
              <w:rPr>
                <w:rFonts w:ascii="Arial" w:hAnsi="Arial" w:cs="Arial"/>
                <w:sz w:val="18"/>
                <w:szCs w:val="18"/>
              </w:rPr>
            </w:pPr>
            <w:r w:rsidRPr="00117BF8">
              <w:rPr>
                <w:rFonts w:ascii="Arial" w:hAnsi="Arial" w:cs="Arial"/>
                <w:sz w:val="18"/>
                <w:szCs w:val="18"/>
              </w:rPr>
              <w:t>0%</w:t>
            </w:r>
          </w:p>
        </w:tc>
      </w:tr>
    </w:tbl>
    <w:p w14:paraId="199A8A5C" w14:textId="77777777" w:rsidR="00601A7A" w:rsidRPr="00117BF8" w:rsidRDefault="00601A7A" w:rsidP="00601A7A">
      <w:pPr>
        <w:pStyle w:val="Hfuente"/>
        <w:rPr>
          <w:rFonts w:ascii="Arial" w:hAnsi="Arial" w:cs="Arial"/>
          <w:sz w:val="18"/>
          <w:szCs w:val="18"/>
        </w:rPr>
      </w:pPr>
      <w:r w:rsidRPr="00117BF8">
        <w:rPr>
          <w:rFonts w:ascii="Arial" w:hAnsi="Arial" w:cs="Arial"/>
          <w:sz w:val="18"/>
          <w:szCs w:val="18"/>
        </w:rPr>
        <w:t>Elaboración propia sobre datos de la CGPBA.</w:t>
      </w:r>
    </w:p>
    <w:p w14:paraId="58BA9980" w14:textId="77777777" w:rsidR="009E7BA6" w:rsidRPr="00117BF8" w:rsidRDefault="009E7BA6" w:rsidP="002C3683">
      <w:pPr>
        <w:pStyle w:val="hsa"/>
        <w:rPr>
          <w:rFonts w:ascii="Arial" w:eastAsia="Calibri" w:hAnsi="Arial" w:cs="Arial"/>
          <w:sz w:val="22"/>
          <w:szCs w:val="22"/>
        </w:rPr>
      </w:pPr>
      <w:r w:rsidRPr="00117BF8">
        <w:rPr>
          <w:rFonts w:ascii="Arial" w:eastAsia="Calibri" w:hAnsi="Arial" w:cs="Arial"/>
          <w:sz w:val="22"/>
          <w:szCs w:val="22"/>
        </w:rPr>
        <w:t xml:space="preserve">En la tabla </w:t>
      </w:r>
      <w:r w:rsidR="00601A7A" w:rsidRPr="00117BF8">
        <w:rPr>
          <w:rFonts w:ascii="Arial" w:eastAsia="Calibri" w:hAnsi="Arial" w:cs="Arial"/>
          <w:sz w:val="22"/>
          <w:szCs w:val="22"/>
        </w:rPr>
        <w:t xml:space="preserve">10 se analizan </w:t>
      </w:r>
      <w:r w:rsidR="003137B3" w:rsidRPr="00117BF8">
        <w:rPr>
          <w:rFonts w:ascii="Arial" w:eastAsia="Calibri" w:hAnsi="Arial" w:cs="Arial"/>
          <w:sz w:val="22"/>
          <w:szCs w:val="22"/>
        </w:rPr>
        <w:t xml:space="preserve">los rubros </w:t>
      </w:r>
      <w:r w:rsidRPr="00117BF8">
        <w:rPr>
          <w:rFonts w:ascii="Arial" w:eastAsia="Calibri" w:hAnsi="Arial" w:cs="Arial"/>
          <w:sz w:val="22"/>
          <w:szCs w:val="22"/>
        </w:rPr>
        <w:t>de ingresos que en alguno de los años bajo análisis superaron el 2%</w:t>
      </w:r>
      <w:r w:rsidR="00FE64BB" w:rsidRPr="00117BF8">
        <w:rPr>
          <w:rFonts w:ascii="Arial" w:eastAsia="Calibri" w:hAnsi="Arial" w:cs="Arial"/>
          <w:sz w:val="22"/>
          <w:szCs w:val="22"/>
        </w:rPr>
        <w:t xml:space="preserve"> sobre el total de los recursos</w:t>
      </w:r>
      <w:r w:rsidR="003137B3" w:rsidRPr="00117BF8">
        <w:rPr>
          <w:rFonts w:ascii="Arial" w:eastAsia="Calibri" w:hAnsi="Arial" w:cs="Arial"/>
          <w:sz w:val="22"/>
          <w:szCs w:val="22"/>
        </w:rPr>
        <w:t>.</w:t>
      </w:r>
    </w:p>
    <w:p w14:paraId="099FB88B" w14:textId="77777777" w:rsidR="00F816E5" w:rsidRPr="00117BF8" w:rsidRDefault="00157180" w:rsidP="002C3683">
      <w:pPr>
        <w:pStyle w:val="hsa"/>
        <w:rPr>
          <w:rFonts w:ascii="Arial" w:eastAsia="Calibri" w:hAnsi="Arial" w:cs="Arial"/>
          <w:sz w:val="22"/>
          <w:szCs w:val="22"/>
        </w:rPr>
      </w:pPr>
      <w:r w:rsidRPr="00117BF8">
        <w:rPr>
          <w:rFonts w:ascii="Arial" w:eastAsia="Calibri" w:hAnsi="Arial" w:cs="Arial"/>
          <w:sz w:val="22"/>
          <w:szCs w:val="22"/>
        </w:rPr>
        <w:t>Ingresos Brutos, el impuesto provincial de mayor significación, explica en gran</w:t>
      </w:r>
      <w:r w:rsidR="009312C3" w:rsidRPr="00117BF8">
        <w:rPr>
          <w:rFonts w:ascii="Arial" w:eastAsia="Calibri" w:hAnsi="Arial" w:cs="Arial"/>
          <w:sz w:val="22"/>
          <w:szCs w:val="22"/>
        </w:rPr>
        <w:t xml:space="preserve"> </w:t>
      </w:r>
      <w:r w:rsidRPr="00117BF8">
        <w:rPr>
          <w:rFonts w:ascii="Arial" w:eastAsia="Calibri" w:hAnsi="Arial" w:cs="Arial"/>
          <w:sz w:val="22"/>
          <w:szCs w:val="22"/>
        </w:rPr>
        <w:t>medida la caída en los ingresos tributarios de origen provincial</w:t>
      </w:r>
      <w:r w:rsidR="009312C3" w:rsidRPr="00117BF8">
        <w:rPr>
          <w:rFonts w:ascii="Arial" w:eastAsia="Calibri" w:hAnsi="Arial" w:cs="Arial"/>
          <w:sz w:val="22"/>
          <w:szCs w:val="22"/>
        </w:rPr>
        <w:t>. La caída en la actividad económica</w:t>
      </w:r>
      <w:r w:rsidR="00FE64BB" w:rsidRPr="00117BF8">
        <w:rPr>
          <w:rFonts w:ascii="Arial" w:eastAsia="Calibri" w:hAnsi="Arial" w:cs="Arial"/>
          <w:sz w:val="22"/>
          <w:szCs w:val="22"/>
        </w:rPr>
        <w:t xml:space="preserve"> durante 2016</w:t>
      </w:r>
      <w:r w:rsidR="00F14271" w:rsidRPr="00117BF8">
        <w:rPr>
          <w:rFonts w:ascii="Arial" w:eastAsia="Calibri" w:hAnsi="Arial" w:cs="Arial"/>
          <w:sz w:val="22"/>
          <w:szCs w:val="22"/>
        </w:rPr>
        <w:t>,</w:t>
      </w:r>
      <w:r w:rsidR="00692FF6" w:rsidRPr="00117BF8">
        <w:rPr>
          <w:rStyle w:val="FootnoteReference"/>
          <w:rFonts w:ascii="Arial" w:eastAsia="Calibri" w:hAnsi="Arial" w:cs="Arial"/>
          <w:sz w:val="22"/>
          <w:szCs w:val="22"/>
        </w:rPr>
        <w:footnoteReference w:id="13"/>
      </w:r>
      <w:r w:rsidR="009312C3" w:rsidRPr="00117BF8">
        <w:rPr>
          <w:rFonts w:ascii="Arial" w:eastAsia="Calibri" w:hAnsi="Arial" w:cs="Arial"/>
          <w:sz w:val="22"/>
          <w:szCs w:val="22"/>
        </w:rPr>
        <w:t xml:space="preserve"> seguramente</w:t>
      </w:r>
      <w:r w:rsidR="00F14271" w:rsidRPr="00117BF8">
        <w:rPr>
          <w:rFonts w:ascii="Arial" w:eastAsia="Calibri" w:hAnsi="Arial" w:cs="Arial"/>
          <w:sz w:val="22"/>
          <w:szCs w:val="22"/>
        </w:rPr>
        <w:t>,</w:t>
      </w:r>
      <w:r w:rsidR="009312C3" w:rsidRPr="00117BF8">
        <w:rPr>
          <w:rFonts w:ascii="Arial" w:eastAsia="Calibri" w:hAnsi="Arial" w:cs="Arial"/>
          <w:sz w:val="22"/>
          <w:szCs w:val="22"/>
        </w:rPr>
        <w:t xml:space="preserve"> es la principal razón de la pérdida de significación </w:t>
      </w:r>
      <w:r w:rsidR="003137B3" w:rsidRPr="00117BF8">
        <w:rPr>
          <w:rFonts w:ascii="Arial" w:eastAsia="Calibri" w:hAnsi="Arial" w:cs="Arial"/>
          <w:sz w:val="22"/>
          <w:szCs w:val="22"/>
        </w:rPr>
        <w:t>de este impuesto</w:t>
      </w:r>
      <w:r w:rsidR="009312C3" w:rsidRPr="00117BF8">
        <w:rPr>
          <w:rFonts w:ascii="Arial" w:eastAsia="Calibri" w:hAnsi="Arial" w:cs="Arial"/>
          <w:sz w:val="22"/>
          <w:szCs w:val="22"/>
        </w:rPr>
        <w:t>.</w:t>
      </w:r>
      <w:r w:rsidR="00F14271" w:rsidRPr="00117BF8">
        <w:rPr>
          <w:rFonts w:ascii="Arial" w:eastAsia="Calibri" w:hAnsi="Arial" w:cs="Arial"/>
          <w:sz w:val="22"/>
          <w:szCs w:val="22"/>
        </w:rPr>
        <w:t xml:space="preserve"> Los impuestos inmobiliarios relacionados con las valuaciones de los bienes y su stock más que con el nivel de actividad han tenido un desempeño más constante.</w:t>
      </w:r>
    </w:p>
    <w:p w14:paraId="3011777F" w14:textId="77777777" w:rsidR="00FE64BB" w:rsidRPr="00117BF8" w:rsidRDefault="00372863" w:rsidP="00372863">
      <w:pPr>
        <w:pStyle w:val="hsa"/>
        <w:rPr>
          <w:rFonts w:ascii="Arial" w:hAnsi="Arial" w:cs="Arial"/>
          <w:sz w:val="22"/>
          <w:szCs w:val="22"/>
        </w:rPr>
      </w:pPr>
      <w:r w:rsidRPr="00117BF8">
        <w:rPr>
          <w:rFonts w:ascii="Arial" w:hAnsi="Arial" w:cs="Arial"/>
          <w:sz w:val="22"/>
          <w:szCs w:val="22"/>
        </w:rPr>
        <w:t>Los dos principales conceptos originados en la coparticipación provincial de impuestos nacionales</w:t>
      </w:r>
      <w:r w:rsidR="00841B0B" w:rsidRPr="00117BF8">
        <w:rPr>
          <w:rStyle w:val="FootnoteReference"/>
          <w:rFonts w:ascii="Arial" w:hAnsi="Arial" w:cs="Arial"/>
          <w:sz w:val="22"/>
          <w:szCs w:val="22"/>
        </w:rPr>
        <w:footnoteReference w:id="14"/>
      </w:r>
      <w:r w:rsidRPr="00117BF8">
        <w:rPr>
          <w:rFonts w:ascii="Arial" w:hAnsi="Arial" w:cs="Arial"/>
          <w:sz w:val="22"/>
          <w:szCs w:val="22"/>
        </w:rPr>
        <w:t xml:space="preserve"> son los identificados en la tabla </w:t>
      </w:r>
      <w:r w:rsidR="00FE64BB" w:rsidRPr="00117BF8">
        <w:rPr>
          <w:rFonts w:ascii="Arial" w:hAnsi="Arial" w:cs="Arial"/>
          <w:sz w:val="22"/>
          <w:szCs w:val="22"/>
        </w:rPr>
        <w:t>10</w:t>
      </w:r>
      <w:r w:rsidRPr="00117BF8">
        <w:rPr>
          <w:rFonts w:ascii="Arial" w:hAnsi="Arial" w:cs="Arial"/>
          <w:sz w:val="22"/>
          <w:szCs w:val="22"/>
        </w:rPr>
        <w:t xml:space="preserve"> como Distribución Secundaria y </w:t>
      </w:r>
      <w:r w:rsidR="00CF6C9A" w:rsidRPr="00117BF8">
        <w:rPr>
          <w:rFonts w:ascii="Arial" w:hAnsi="Arial" w:cs="Arial"/>
          <w:sz w:val="22"/>
          <w:szCs w:val="22"/>
        </w:rPr>
        <w:t>Ley de Financiamiento Educativo</w:t>
      </w:r>
      <w:r w:rsidRPr="00117BF8">
        <w:rPr>
          <w:rFonts w:ascii="Arial" w:hAnsi="Arial" w:cs="Arial"/>
          <w:sz w:val="22"/>
          <w:szCs w:val="22"/>
        </w:rPr>
        <w:t xml:space="preserve"> (LFE). En conjunto han representado durante los tres primeros años bajo análisis un 25% de los recursos, en el 2016 caen al 23%, posiblemente </w:t>
      </w:r>
      <w:r w:rsidR="00FE64BB" w:rsidRPr="00117BF8">
        <w:rPr>
          <w:rFonts w:ascii="Arial" w:hAnsi="Arial" w:cs="Arial"/>
          <w:sz w:val="22"/>
          <w:szCs w:val="22"/>
        </w:rPr>
        <w:t>por las mismas razones que ocasionaron la baja en el Impuesto sobre los Ingresos Brutos.</w:t>
      </w:r>
    </w:p>
    <w:p w14:paraId="186326AC" w14:textId="77777777" w:rsidR="003137B3" w:rsidRPr="00117BF8" w:rsidRDefault="00372863" w:rsidP="00372863">
      <w:pPr>
        <w:pStyle w:val="hsa"/>
        <w:rPr>
          <w:rFonts w:ascii="Arial" w:hAnsi="Arial" w:cs="Arial"/>
          <w:sz w:val="22"/>
          <w:szCs w:val="22"/>
        </w:rPr>
      </w:pPr>
      <w:r w:rsidRPr="00117BF8">
        <w:rPr>
          <w:rFonts w:ascii="Arial" w:hAnsi="Arial" w:cs="Arial"/>
          <w:sz w:val="22"/>
          <w:szCs w:val="22"/>
        </w:rPr>
        <w:t>A partir de 2015</w:t>
      </w:r>
      <w:r w:rsidR="00A90280" w:rsidRPr="00117BF8">
        <w:rPr>
          <w:rFonts w:ascii="Arial" w:hAnsi="Arial" w:cs="Arial"/>
          <w:sz w:val="22"/>
          <w:szCs w:val="22"/>
        </w:rPr>
        <w:t>,</w:t>
      </w:r>
      <w:r w:rsidRPr="00117BF8">
        <w:rPr>
          <w:rFonts w:ascii="Arial" w:hAnsi="Arial" w:cs="Arial"/>
          <w:sz w:val="22"/>
          <w:szCs w:val="22"/>
        </w:rPr>
        <w:t xml:space="preserve"> los recursos de la coparticipación tuvieron una modificación en su mix originada en</w:t>
      </w:r>
      <w:r w:rsidR="00CF6C9A" w:rsidRPr="00117BF8">
        <w:rPr>
          <w:rFonts w:ascii="Arial" w:hAnsi="Arial" w:cs="Arial"/>
          <w:sz w:val="22"/>
          <w:szCs w:val="22"/>
        </w:rPr>
        <w:t xml:space="preserve"> la reasignación parcial hacia el área de educación de los recursos coparticipados de “libre disponibilidad” </w:t>
      </w:r>
      <w:r w:rsidR="00FE64BB" w:rsidRPr="00117BF8">
        <w:rPr>
          <w:rFonts w:ascii="Arial" w:hAnsi="Arial" w:cs="Arial"/>
          <w:sz w:val="22"/>
          <w:szCs w:val="22"/>
        </w:rPr>
        <w:t>transf</w:t>
      </w:r>
      <w:r w:rsidR="003137B3" w:rsidRPr="00117BF8">
        <w:rPr>
          <w:rFonts w:ascii="Arial" w:hAnsi="Arial" w:cs="Arial"/>
          <w:sz w:val="22"/>
          <w:szCs w:val="22"/>
        </w:rPr>
        <w:t>eridos por</w:t>
      </w:r>
      <w:r w:rsidR="00CF6C9A" w:rsidRPr="00117BF8">
        <w:rPr>
          <w:rFonts w:ascii="Arial" w:hAnsi="Arial" w:cs="Arial"/>
          <w:sz w:val="22"/>
          <w:szCs w:val="22"/>
        </w:rPr>
        <w:t xml:space="preserve"> </w:t>
      </w:r>
      <w:r w:rsidR="003137B3" w:rsidRPr="00117BF8">
        <w:rPr>
          <w:rFonts w:ascii="Arial" w:hAnsi="Arial" w:cs="Arial"/>
          <w:sz w:val="22"/>
          <w:szCs w:val="22"/>
        </w:rPr>
        <w:t xml:space="preserve">Gobierno Nacional </w:t>
      </w:r>
      <w:r w:rsidR="00CF6C9A" w:rsidRPr="00117BF8">
        <w:rPr>
          <w:rFonts w:ascii="Arial" w:hAnsi="Arial" w:cs="Arial"/>
          <w:sz w:val="22"/>
          <w:szCs w:val="22"/>
        </w:rPr>
        <w:t xml:space="preserve">a las provincias. </w:t>
      </w:r>
      <w:r w:rsidR="00FE64BB" w:rsidRPr="00117BF8">
        <w:rPr>
          <w:rFonts w:ascii="Arial" w:hAnsi="Arial" w:cs="Arial"/>
          <w:sz w:val="22"/>
          <w:szCs w:val="22"/>
        </w:rPr>
        <w:t>L</w:t>
      </w:r>
      <w:r w:rsidR="00CF6C9A" w:rsidRPr="00117BF8">
        <w:rPr>
          <w:rFonts w:ascii="Arial" w:hAnsi="Arial" w:cs="Arial"/>
          <w:sz w:val="22"/>
          <w:szCs w:val="22"/>
        </w:rPr>
        <w:t xml:space="preserve">a LFE </w:t>
      </w:r>
      <w:r w:rsidRPr="00117BF8">
        <w:rPr>
          <w:rFonts w:ascii="Arial" w:hAnsi="Arial" w:cs="Arial"/>
          <w:sz w:val="22"/>
          <w:szCs w:val="22"/>
        </w:rPr>
        <w:t xml:space="preserve">dispone </w:t>
      </w:r>
      <w:r w:rsidR="00CF6C9A" w:rsidRPr="00117BF8">
        <w:rPr>
          <w:rFonts w:ascii="Arial" w:hAnsi="Arial" w:cs="Arial"/>
          <w:sz w:val="22"/>
          <w:szCs w:val="22"/>
        </w:rPr>
        <w:t xml:space="preserve">alcanzar una inversión de 6% del </w:t>
      </w:r>
      <w:r w:rsidR="00497C60" w:rsidRPr="00117BF8">
        <w:rPr>
          <w:rFonts w:ascii="Arial" w:hAnsi="Arial" w:cs="Arial"/>
          <w:sz w:val="22"/>
          <w:szCs w:val="22"/>
        </w:rPr>
        <w:t>PIB</w:t>
      </w:r>
      <w:r w:rsidRPr="00117BF8">
        <w:rPr>
          <w:rFonts w:ascii="Arial" w:hAnsi="Arial" w:cs="Arial"/>
          <w:sz w:val="22"/>
          <w:szCs w:val="22"/>
        </w:rPr>
        <w:t xml:space="preserve"> en educación por medio de afectar parte del incremento en los recursos coparticipables a</w:t>
      </w:r>
      <w:r w:rsidR="003137B3" w:rsidRPr="00117BF8">
        <w:rPr>
          <w:rFonts w:ascii="Arial" w:hAnsi="Arial" w:cs="Arial"/>
          <w:sz w:val="22"/>
          <w:szCs w:val="22"/>
        </w:rPr>
        <w:t xml:space="preserve"> ese </w:t>
      </w:r>
      <w:r w:rsidRPr="00117BF8">
        <w:rPr>
          <w:rFonts w:ascii="Arial" w:hAnsi="Arial" w:cs="Arial"/>
          <w:sz w:val="22"/>
          <w:szCs w:val="22"/>
        </w:rPr>
        <w:t>sector</w:t>
      </w:r>
      <w:r w:rsidR="003137B3" w:rsidRPr="00117BF8">
        <w:rPr>
          <w:rFonts w:ascii="Arial" w:hAnsi="Arial" w:cs="Arial"/>
          <w:sz w:val="22"/>
          <w:szCs w:val="22"/>
        </w:rPr>
        <w:t>.</w:t>
      </w:r>
    </w:p>
    <w:p w14:paraId="2ECF6196" w14:textId="77777777" w:rsidR="00FF683A" w:rsidRPr="00117BF8" w:rsidRDefault="00FF683A" w:rsidP="00372863">
      <w:pPr>
        <w:pStyle w:val="hsa"/>
        <w:rPr>
          <w:rFonts w:ascii="Arial" w:hAnsi="Arial" w:cs="Arial"/>
          <w:sz w:val="22"/>
          <w:szCs w:val="22"/>
        </w:rPr>
      </w:pPr>
      <w:r w:rsidRPr="00117BF8">
        <w:rPr>
          <w:rFonts w:ascii="Arial" w:hAnsi="Arial" w:cs="Arial"/>
          <w:sz w:val="22"/>
          <w:szCs w:val="22"/>
        </w:rPr>
        <w:t>Los aportes y contribuciones a la Seguridad Social</w:t>
      </w:r>
      <w:r w:rsidRPr="00117BF8">
        <w:rPr>
          <w:rStyle w:val="FootnoteReference"/>
          <w:rFonts w:ascii="Arial" w:hAnsi="Arial" w:cs="Arial"/>
          <w:sz w:val="22"/>
          <w:szCs w:val="22"/>
        </w:rPr>
        <w:footnoteReference w:id="15"/>
      </w:r>
      <w:r w:rsidRPr="00117BF8">
        <w:rPr>
          <w:rFonts w:ascii="Arial" w:hAnsi="Arial" w:cs="Arial"/>
          <w:sz w:val="22"/>
          <w:szCs w:val="22"/>
        </w:rPr>
        <w:t xml:space="preserve"> han representado el 17% de los recursos en promedio y en niveles estables. De este 17%, 13% corresponde al Instituto de Previsión Social y 4% a otras entidades. En la tabla </w:t>
      </w:r>
      <w:r w:rsidR="00FE64BB" w:rsidRPr="00117BF8">
        <w:rPr>
          <w:rFonts w:ascii="Arial" w:hAnsi="Arial" w:cs="Arial"/>
          <w:sz w:val="22"/>
          <w:szCs w:val="22"/>
        </w:rPr>
        <w:t>10</w:t>
      </w:r>
      <w:r w:rsidRPr="00117BF8">
        <w:rPr>
          <w:rFonts w:ascii="Arial" w:hAnsi="Arial" w:cs="Arial"/>
          <w:sz w:val="22"/>
          <w:szCs w:val="22"/>
        </w:rPr>
        <w:t xml:space="preserve"> se observa que </w:t>
      </w:r>
      <w:r w:rsidR="004B5629" w:rsidRPr="00117BF8">
        <w:rPr>
          <w:rFonts w:ascii="Arial" w:hAnsi="Arial" w:cs="Arial"/>
          <w:sz w:val="22"/>
          <w:szCs w:val="22"/>
        </w:rPr>
        <w:t>las principales cuenta</w:t>
      </w:r>
      <w:r w:rsidR="003137B3" w:rsidRPr="00117BF8">
        <w:rPr>
          <w:rFonts w:ascii="Arial" w:hAnsi="Arial" w:cs="Arial"/>
          <w:sz w:val="22"/>
          <w:szCs w:val="22"/>
        </w:rPr>
        <w:t xml:space="preserve">s de </w:t>
      </w:r>
      <w:r w:rsidR="004B5629" w:rsidRPr="00117BF8">
        <w:rPr>
          <w:rFonts w:ascii="Arial" w:hAnsi="Arial" w:cs="Arial"/>
          <w:sz w:val="22"/>
          <w:szCs w:val="22"/>
        </w:rPr>
        <w:t>estos recursos corresponden a los aportes y contribuciones de la “Dirección Gral. De Cultura y Educación (Docentes)</w:t>
      </w:r>
      <w:r w:rsidR="00FE64BB" w:rsidRPr="00117BF8">
        <w:rPr>
          <w:rFonts w:ascii="Arial" w:hAnsi="Arial" w:cs="Arial"/>
          <w:sz w:val="22"/>
          <w:szCs w:val="22"/>
        </w:rPr>
        <w:t>”</w:t>
      </w:r>
      <w:r w:rsidR="004B5629" w:rsidRPr="00117BF8">
        <w:rPr>
          <w:rFonts w:ascii="Arial" w:hAnsi="Arial" w:cs="Arial"/>
          <w:sz w:val="22"/>
          <w:szCs w:val="22"/>
        </w:rPr>
        <w:t>. Esto se altera en 2014, aunque parece ser consecuencia de un error de imputación.</w:t>
      </w:r>
    </w:p>
    <w:p w14:paraId="6F5021A0" w14:textId="77777777" w:rsidR="00692FF6" w:rsidRPr="00117BF8" w:rsidRDefault="007E1C54" w:rsidP="002C3683">
      <w:pPr>
        <w:pStyle w:val="hsa"/>
        <w:rPr>
          <w:rFonts w:ascii="Arial" w:eastAsia="Calibri" w:hAnsi="Arial" w:cs="Arial"/>
          <w:sz w:val="22"/>
          <w:szCs w:val="22"/>
        </w:rPr>
      </w:pPr>
      <w:r w:rsidRPr="00117BF8">
        <w:rPr>
          <w:rFonts w:ascii="Arial" w:eastAsia="Calibri" w:hAnsi="Arial" w:cs="Arial"/>
          <w:sz w:val="22"/>
          <w:szCs w:val="22"/>
        </w:rPr>
        <w:t>Finalmente, otro rubro significativo es el correspondiente a las transferencias corrientes del Tesoro Nacional.</w:t>
      </w:r>
      <w:r w:rsidR="004B73A2" w:rsidRPr="00117BF8">
        <w:rPr>
          <w:rStyle w:val="FootnoteReference"/>
          <w:rFonts w:ascii="Arial" w:eastAsia="Calibri" w:hAnsi="Arial" w:cs="Arial"/>
          <w:sz w:val="22"/>
          <w:szCs w:val="22"/>
        </w:rPr>
        <w:footnoteReference w:id="16"/>
      </w:r>
      <w:r w:rsidRPr="00117BF8">
        <w:rPr>
          <w:rFonts w:ascii="Arial" w:eastAsia="Calibri" w:hAnsi="Arial" w:cs="Arial"/>
          <w:sz w:val="22"/>
          <w:szCs w:val="22"/>
        </w:rPr>
        <w:t xml:space="preserve"> Este rubro tuvo un incremento significativo en su participación durante el año 2016, de alguna manera por medio de estas transferencias el Estado Nacional compensó la caída en los ingresos por recursos tributarios.</w:t>
      </w:r>
    </w:p>
    <w:tbl>
      <w:tblPr>
        <w:tblW w:w="8546"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977"/>
        <w:gridCol w:w="893"/>
        <w:gridCol w:w="892"/>
        <w:gridCol w:w="892"/>
        <w:gridCol w:w="892"/>
      </w:tblGrid>
      <w:tr w:rsidR="00B1577A" w:rsidRPr="004E6455" w14:paraId="03F15D92" w14:textId="77777777" w:rsidTr="00197371">
        <w:trPr>
          <w:trHeight w:val="315"/>
          <w:tblHeader/>
          <w:jc w:val="center"/>
        </w:trPr>
        <w:tc>
          <w:tcPr>
            <w:tcW w:w="8546" w:type="dxa"/>
            <w:gridSpan w:val="5"/>
            <w:tcBorders>
              <w:top w:val="single" w:sz="8" w:space="0" w:color="7BA0CD"/>
              <w:left w:val="single" w:sz="8" w:space="0" w:color="7BA0CD"/>
              <w:bottom w:val="single" w:sz="8" w:space="0" w:color="7BA0CD"/>
              <w:right w:val="single" w:sz="8" w:space="0" w:color="7BA0CD"/>
            </w:tcBorders>
            <w:shd w:val="clear" w:color="auto" w:fill="0070C0"/>
            <w:noWrap/>
          </w:tcPr>
          <w:p w14:paraId="2221C0E2" w14:textId="77777777" w:rsidR="00B1577A" w:rsidRPr="00117BF8" w:rsidRDefault="00B1577A" w:rsidP="00117BF8">
            <w:pPr>
              <w:pStyle w:val="TablaE"/>
              <w:rPr>
                <w:rFonts w:ascii="Arial" w:hAnsi="Arial" w:cs="Arial"/>
                <w:sz w:val="22"/>
                <w:szCs w:val="22"/>
              </w:rPr>
            </w:pPr>
            <w:bookmarkStart w:id="42" w:name="_Toc493861120"/>
            <w:r w:rsidRPr="00117BF8">
              <w:rPr>
                <w:rFonts w:ascii="Arial" w:hAnsi="Arial" w:cs="Arial"/>
                <w:sz w:val="22"/>
                <w:szCs w:val="22"/>
              </w:rPr>
              <w:t xml:space="preserve">Tabla </w:t>
            </w:r>
            <w:r w:rsidR="00601A7A" w:rsidRPr="00117BF8">
              <w:rPr>
                <w:rFonts w:ascii="Arial" w:hAnsi="Arial" w:cs="Arial"/>
                <w:sz w:val="22"/>
                <w:szCs w:val="22"/>
              </w:rPr>
              <w:t xml:space="preserve">10 </w:t>
            </w:r>
            <w:r w:rsidRPr="00117BF8">
              <w:rPr>
                <w:rFonts w:ascii="Arial" w:hAnsi="Arial" w:cs="Arial"/>
                <w:sz w:val="22"/>
                <w:szCs w:val="22"/>
              </w:rPr>
              <w:t>– Principales Recursos - Participación</w:t>
            </w:r>
            <w:bookmarkEnd w:id="42"/>
          </w:p>
        </w:tc>
      </w:tr>
      <w:tr w:rsidR="00C007D0" w:rsidRPr="004E6455" w14:paraId="5F88588F" w14:textId="77777777" w:rsidTr="00197371">
        <w:trPr>
          <w:trHeight w:val="315"/>
          <w:tblHeader/>
          <w:jc w:val="center"/>
        </w:trPr>
        <w:tc>
          <w:tcPr>
            <w:tcW w:w="4977" w:type="dxa"/>
            <w:tcBorders>
              <w:right w:val="nil"/>
            </w:tcBorders>
            <w:shd w:val="clear" w:color="auto" w:fill="0070C0"/>
            <w:noWrap/>
            <w:hideMark/>
          </w:tcPr>
          <w:p w14:paraId="5D9F57BE" w14:textId="77777777" w:rsidR="000B577C" w:rsidRPr="00117BF8" w:rsidRDefault="00B6136C" w:rsidP="00FA40DC">
            <w:pPr>
              <w:pStyle w:val="TablaE"/>
              <w:rPr>
                <w:rFonts w:ascii="Arial" w:hAnsi="Arial" w:cs="Arial"/>
                <w:sz w:val="22"/>
                <w:szCs w:val="22"/>
              </w:rPr>
            </w:pPr>
            <w:r w:rsidRPr="00117BF8">
              <w:rPr>
                <w:rFonts w:ascii="Arial" w:hAnsi="Arial" w:cs="Arial"/>
                <w:sz w:val="22"/>
                <w:szCs w:val="22"/>
              </w:rPr>
              <w:t>Concepto</w:t>
            </w:r>
          </w:p>
        </w:tc>
        <w:tc>
          <w:tcPr>
            <w:tcW w:w="893" w:type="dxa"/>
            <w:tcBorders>
              <w:left w:val="nil"/>
              <w:right w:val="nil"/>
            </w:tcBorders>
            <w:shd w:val="clear" w:color="auto" w:fill="0070C0"/>
            <w:noWrap/>
            <w:hideMark/>
          </w:tcPr>
          <w:p w14:paraId="44F60C95" w14:textId="77777777" w:rsidR="000B577C" w:rsidRPr="00117BF8" w:rsidRDefault="000B577C" w:rsidP="00FA40DC">
            <w:pPr>
              <w:pStyle w:val="TablaE"/>
              <w:rPr>
                <w:rFonts w:ascii="Arial" w:hAnsi="Arial" w:cs="Arial"/>
                <w:sz w:val="22"/>
                <w:szCs w:val="22"/>
              </w:rPr>
            </w:pPr>
            <w:r w:rsidRPr="00117BF8">
              <w:rPr>
                <w:rFonts w:ascii="Arial" w:hAnsi="Arial" w:cs="Arial"/>
                <w:sz w:val="22"/>
                <w:szCs w:val="22"/>
              </w:rPr>
              <w:t>2013</w:t>
            </w:r>
          </w:p>
        </w:tc>
        <w:tc>
          <w:tcPr>
            <w:tcW w:w="892" w:type="dxa"/>
            <w:tcBorders>
              <w:left w:val="nil"/>
              <w:right w:val="nil"/>
            </w:tcBorders>
            <w:shd w:val="clear" w:color="auto" w:fill="0070C0"/>
            <w:noWrap/>
            <w:hideMark/>
          </w:tcPr>
          <w:p w14:paraId="2E4D93EF" w14:textId="77777777" w:rsidR="000B577C" w:rsidRPr="00117BF8" w:rsidRDefault="000B577C" w:rsidP="00FA40DC">
            <w:pPr>
              <w:pStyle w:val="TablaE"/>
              <w:rPr>
                <w:rFonts w:ascii="Arial" w:hAnsi="Arial" w:cs="Arial"/>
                <w:sz w:val="22"/>
                <w:szCs w:val="22"/>
              </w:rPr>
            </w:pPr>
            <w:r w:rsidRPr="00117BF8">
              <w:rPr>
                <w:rFonts w:ascii="Arial" w:hAnsi="Arial" w:cs="Arial"/>
                <w:sz w:val="22"/>
                <w:szCs w:val="22"/>
              </w:rPr>
              <w:t>2014</w:t>
            </w:r>
          </w:p>
        </w:tc>
        <w:tc>
          <w:tcPr>
            <w:tcW w:w="892" w:type="dxa"/>
            <w:tcBorders>
              <w:left w:val="nil"/>
              <w:right w:val="nil"/>
            </w:tcBorders>
            <w:shd w:val="clear" w:color="auto" w:fill="0070C0"/>
            <w:noWrap/>
            <w:hideMark/>
          </w:tcPr>
          <w:p w14:paraId="71310F90" w14:textId="77777777" w:rsidR="000B577C" w:rsidRPr="00117BF8" w:rsidRDefault="000B577C" w:rsidP="00FA40DC">
            <w:pPr>
              <w:pStyle w:val="TablaE"/>
              <w:rPr>
                <w:rFonts w:ascii="Arial" w:hAnsi="Arial" w:cs="Arial"/>
                <w:sz w:val="22"/>
                <w:szCs w:val="22"/>
              </w:rPr>
            </w:pPr>
            <w:r w:rsidRPr="00117BF8">
              <w:rPr>
                <w:rFonts w:ascii="Arial" w:hAnsi="Arial" w:cs="Arial"/>
                <w:sz w:val="22"/>
                <w:szCs w:val="22"/>
              </w:rPr>
              <w:t>2015</w:t>
            </w:r>
          </w:p>
        </w:tc>
        <w:tc>
          <w:tcPr>
            <w:tcW w:w="892" w:type="dxa"/>
            <w:tcBorders>
              <w:left w:val="nil"/>
            </w:tcBorders>
            <w:shd w:val="clear" w:color="auto" w:fill="0070C0"/>
            <w:noWrap/>
            <w:hideMark/>
          </w:tcPr>
          <w:p w14:paraId="022EFC0E" w14:textId="77777777" w:rsidR="000B577C" w:rsidRPr="00117BF8" w:rsidRDefault="000B577C" w:rsidP="00FA40DC">
            <w:pPr>
              <w:pStyle w:val="TablaE"/>
              <w:rPr>
                <w:rFonts w:ascii="Arial" w:hAnsi="Arial" w:cs="Arial"/>
                <w:sz w:val="22"/>
                <w:szCs w:val="22"/>
              </w:rPr>
            </w:pPr>
            <w:r w:rsidRPr="00117BF8">
              <w:rPr>
                <w:rFonts w:ascii="Arial" w:hAnsi="Arial" w:cs="Arial"/>
                <w:sz w:val="22"/>
                <w:szCs w:val="22"/>
              </w:rPr>
              <w:t>2016</w:t>
            </w:r>
          </w:p>
        </w:tc>
      </w:tr>
      <w:tr w:rsidR="00C007D0" w:rsidRPr="003C4F96" w14:paraId="7DD0B454" w14:textId="77777777" w:rsidTr="00197371">
        <w:trPr>
          <w:trHeight w:val="300"/>
          <w:jc w:val="center"/>
        </w:trPr>
        <w:tc>
          <w:tcPr>
            <w:tcW w:w="4977" w:type="dxa"/>
            <w:shd w:val="clear" w:color="auto" w:fill="C6D9F1"/>
            <w:noWrap/>
          </w:tcPr>
          <w:p w14:paraId="0CBA5DFD" w14:textId="77777777" w:rsidR="00F816E5" w:rsidRPr="00117BF8" w:rsidRDefault="00F816E5" w:rsidP="00C007D0">
            <w:pPr>
              <w:pStyle w:val="TablaC"/>
              <w:jc w:val="left"/>
              <w:rPr>
                <w:rFonts w:ascii="Arial" w:hAnsi="Arial" w:cs="Arial"/>
                <w:bCs/>
                <w:sz w:val="18"/>
                <w:szCs w:val="18"/>
              </w:rPr>
            </w:pPr>
            <w:r w:rsidRPr="00117BF8">
              <w:rPr>
                <w:rFonts w:ascii="Arial" w:hAnsi="Arial" w:cs="Arial"/>
                <w:bCs/>
                <w:sz w:val="18"/>
                <w:szCs w:val="18"/>
              </w:rPr>
              <w:t>Principales Tributos Provinciales</w:t>
            </w:r>
          </w:p>
        </w:tc>
        <w:tc>
          <w:tcPr>
            <w:tcW w:w="893" w:type="dxa"/>
            <w:shd w:val="clear" w:color="auto" w:fill="C6D9F1"/>
            <w:noWrap/>
          </w:tcPr>
          <w:p w14:paraId="64B47CF0" w14:textId="77777777" w:rsidR="00F816E5" w:rsidRPr="00117BF8" w:rsidRDefault="00F816E5" w:rsidP="000B577C">
            <w:pPr>
              <w:pStyle w:val="TablaC"/>
              <w:rPr>
                <w:rFonts w:ascii="Arial" w:hAnsi="Arial" w:cs="Arial"/>
                <w:b/>
                <w:sz w:val="18"/>
                <w:szCs w:val="18"/>
              </w:rPr>
            </w:pPr>
          </w:p>
        </w:tc>
        <w:tc>
          <w:tcPr>
            <w:tcW w:w="892" w:type="dxa"/>
            <w:shd w:val="clear" w:color="auto" w:fill="C6D9F1"/>
            <w:noWrap/>
          </w:tcPr>
          <w:p w14:paraId="7B29EEB5" w14:textId="77777777" w:rsidR="00F816E5" w:rsidRPr="00117BF8" w:rsidRDefault="00F816E5" w:rsidP="000B577C">
            <w:pPr>
              <w:pStyle w:val="TablaC"/>
              <w:rPr>
                <w:rFonts w:ascii="Arial" w:hAnsi="Arial" w:cs="Arial"/>
                <w:b/>
                <w:sz w:val="18"/>
                <w:szCs w:val="18"/>
              </w:rPr>
            </w:pPr>
          </w:p>
        </w:tc>
        <w:tc>
          <w:tcPr>
            <w:tcW w:w="892" w:type="dxa"/>
            <w:shd w:val="clear" w:color="auto" w:fill="C6D9F1"/>
            <w:noWrap/>
          </w:tcPr>
          <w:p w14:paraId="12B788B2" w14:textId="77777777" w:rsidR="00F816E5" w:rsidRPr="00117BF8" w:rsidRDefault="00F816E5" w:rsidP="000B577C">
            <w:pPr>
              <w:pStyle w:val="TablaC"/>
              <w:rPr>
                <w:rFonts w:ascii="Arial" w:hAnsi="Arial" w:cs="Arial"/>
                <w:b/>
                <w:sz w:val="18"/>
                <w:szCs w:val="18"/>
              </w:rPr>
            </w:pPr>
          </w:p>
        </w:tc>
        <w:tc>
          <w:tcPr>
            <w:tcW w:w="892" w:type="dxa"/>
            <w:shd w:val="clear" w:color="auto" w:fill="C6D9F1"/>
            <w:noWrap/>
          </w:tcPr>
          <w:p w14:paraId="2603E0B8" w14:textId="77777777" w:rsidR="00F816E5" w:rsidRPr="00117BF8" w:rsidRDefault="00F816E5" w:rsidP="000B577C">
            <w:pPr>
              <w:pStyle w:val="TablaC"/>
              <w:rPr>
                <w:rFonts w:ascii="Arial" w:hAnsi="Arial" w:cs="Arial"/>
                <w:b/>
                <w:sz w:val="18"/>
                <w:szCs w:val="18"/>
              </w:rPr>
            </w:pPr>
          </w:p>
        </w:tc>
      </w:tr>
      <w:tr w:rsidR="00C007D0" w:rsidRPr="003C4F96" w14:paraId="2BB91A82" w14:textId="77777777" w:rsidTr="00197371">
        <w:trPr>
          <w:trHeight w:val="300"/>
          <w:jc w:val="center"/>
        </w:trPr>
        <w:tc>
          <w:tcPr>
            <w:tcW w:w="4977" w:type="dxa"/>
            <w:shd w:val="clear" w:color="auto" w:fill="C6D9F1"/>
            <w:noWrap/>
            <w:hideMark/>
          </w:tcPr>
          <w:p w14:paraId="4AA2F147" w14:textId="77777777" w:rsidR="000B577C" w:rsidRPr="00117BF8" w:rsidRDefault="000B577C" w:rsidP="00C007D0">
            <w:pPr>
              <w:pStyle w:val="TablaC"/>
              <w:jc w:val="left"/>
              <w:rPr>
                <w:rFonts w:ascii="Arial" w:hAnsi="Arial" w:cs="Arial"/>
                <w:bCs/>
                <w:sz w:val="18"/>
                <w:szCs w:val="18"/>
              </w:rPr>
            </w:pPr>
            <w:r w:rsidRPr="00117BF8">
              <w:rPr>
                <w:rFonts w:ascii="Arial" w:hAnsi="Arial" w:cs="Arial"/>
                <w:bCs/>
                <w:sz w:val="18"/>
                <w:szCs w:val="18"/>
              </w:rPr>
              <w:t>Impuesto Inmobiliario Urbano </w:t>
            </w:r>
          </w:p>
        </w:tc>
        <w:tc>
          <w:tcPr>
            <w:tcW w:w="893" w:type="dxa"/>
            <w:shd w:val="clear" w:color="auto" w:fill="C6D9F1"/>
            <w:noWrap/>
            <w:hideMark/>
          </w:tcPr>
          <w:p w14:paraId="680F06E2"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2,3%</w:t>
            </w:r>
          </w:p>
        </w:tc>
        <w:tc>
          <w:tcPr>
            <w:tcW w:w="892" w:type="dxa"/>
            <w:shd w:val="clear" w:color="auto" w:fill="C6D9F1"/>
            <w:noWrap/>
            <w:hideMark/>
          </w:tcPr>
          <w:p w14:paraId="238800FE"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1,7%</w:t>
            </w:r>
          </w:p>
        </w:tc>
        <w:tc>
          <w:tcPr>
            <w:tcW w:w="892" w:type="dxa"/>
            <w:shd w:val="clear" w:color="auto" w:fill="C6D9F1"/>
            <w:noWrap/>
            <w:hideMark/>
          </w:tcPr>
          <w:p w14:paraId="339AD189"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1,6%</w:t>
            </w:r>
          </w:p>
        </w:tc>
        <w:tc>
          <w:tcPr>
            <w:tcW w:w="892" w:type="dxa"/>
            <w:shd w:val="clear" w:color="auto" w:fill="C6D9F1"/>
            <w:noWrap/>
            <w:hideMark/>
          </w:tcPr>
          <w:p w14:paraId="556556A0"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1,6%</w:t>
            </w:r>
          </w:p>
        </w:tc>
      </w:tr>
      <w:tr w:rsidR="00C007D0" w:rsidRPr="003C4F96" w14:paraId="4B5B5B2D" w14:textId="77777777" w:rsidTr="00197371">
        <w:trPr>
          <w:trHeight w:val="300"/>
          <w:jc w:val="center"/>
        </w:trPr>
        <w:tc>
          <w:tcPr>
            <w:tcW w:w="4977" w:type="dxa"/>
            <w:shd w:val="clear" w:color="auto" w:fill="C6D9F1"/>
            <w:noWrap/>
            <w:hideMark/>
          </w:tcPr>
          <w:p w14:paraId="773AB3A8" w14:textId="77777777" w:rsidR="000B577C" w:rsidRPr="00117BF8" w:rsidRDefault="000B577C" w:rsidP="00C007D0">
            <w:pPr>
              <w:pStyle w:val="TablaC"/>
              <w:jc w:val="left"/>
              <w:rPr>
                <w:rFonts w:ascii="Arial" w:hAnsi="Arial" w:cs="Arial"/>
                <w:bCs/>
                <w:sz w:val="18"/>
                <w:szCs w:val="18"/>
              </w:rPr>
            </w:pPr>
            <w:r w:rsidRPr="00117BF8">
              <w:rPr>
                <w:rFonts w:ascii="Arial" w:hAnsi="Arial" w:cs="Arial"/>
                <w:bCs/>
                <w:sz w:val="18"/>
                <w:szCs w:val="18"/>
              </w:rPr>
              <w:t>Impuesto Automotores</w:t>
            </w:r>
          </w:p>
        </w:tc>
        <w:tc>
          <w:tcPr>
            <w:tcW w:w="893" w:type="dxa"/>
            <w:shd w:val="clear" w:color="auto" w:fill="C6D9F1"/>
            <w:noWrap/>
            <w:hideMark/>
          </w:tcPr>
          <w:p w14:paraId="220B2A58"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2,7%</w:t>
            </w:r>
          </w:p>
        </w:tc>
        <w:tc>
          <w:tcPr>
            <w:tcW w:w="892" w:type="dxa"/>
            <w:shd w:val="clear" w:color="auto" w:fill="C6D9F1"/>
            <w:noWrap/>
            <w:hideMark/>
          </w:tcPr>
          <w:p w14:paraId="2164449E"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2,6%</w:t>
            </w:r>
          </w:p>
        </w:tc>
        <w:tc>
          <w:tcPr>
            <w:tcW w:w="892" w:type="dxa"/>
            <w:shd w:val="clear" w:color="auto" w:fill="C6D9F1"/>
            <w:noWrap/>
            <w:hideMark/>
          </w:tcPr>
          <w:p w14:paraId="1EA9224A"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3,0%</w:t>
            </w:r>
          </w:p>
        </w:tc>
        <w:tc>
          <w:tcPr>
            <w:tcW w:w="892" w:type="dxa"/>
            <w:shd w:val="clear" w:color="auto" w:fill="C6D9F1"/>
            <w:noWrap/>
            <w:hideMark/>
          </w:tcPr>
          <w:p w14:paraId="59952FE5"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3,1%</w:t>
            </w:r>
          </w:p>
        </w:tc>
      </w:tr>
      <w:tr w:rsidR="00C007D0" w:rsidRPr="003C4F96" w14:paraId="4AD2932F" w14:textId="77777777" w:rsidTr="00197371">
        <w:trPr>
          <w:trHeight w:val="300"/>
          <w:jc w:val="center"/>
        </w:trPr>
        <w:tc>
          <w:tcPr>
            <w:tcW w:w="4977" w:type="dxa"/>
            <w:shd w:val="clear" w:color="auto" w:fill="C6D9F1"/>
            <w:noWrap/>
            <w:hideMark/>
          </w:tcPr>
          <w:p w14:paraId="0AC5B846" w14:textId="77777777" w:rsidR="000B577C" w:rsidRPr="00117BF8" w:rsidRDefault="000B577C" w:rsidP="00C007D0">
            <w:pPr>
              <w:pStyle w:val="TablaC"/>
              <w:jc w:val="left"/>
              <w:rPr>
                <w:rFonts w:ascii="Arial" w:hAnsi="Arial" w:cs="Arial"/>
                <w:bCs/>
                <w:sz w:val="18"/>
                <w:szCs w:val="18"/>
              </w:rPr>
            </w:pPr>
            <w:r w:rsidRPr="00117BF8">
              <w:rPr>
                <w:rFonts w:ascii="Arial" w:hAnsi="Arial" w:cs="Arial"/>
                <w:bCs/>
                <w:sz w:val="18"/>
                <w:szCs w:val="18"/>
              </w:rPr>
              <w:t>Impuesto Ingresos Brutos</w:t>
            </w:r>
          </w:p>
        </w:tc>
        <w:tc>
          <w:tcPr>
            <w:tcW w:w="893" w:type="dxa"/>
            <w:shd w:val="clear" w:color="auto" w:fill="C6D9F1"/>
            <w:noWrap/>
            <w:hideMark/>
          </w:tcPr>
          <w:p w14:paraId="5E3B109F"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32,4%</w:t>
            </w:r>
          </w:p>
        </w:tc>
        <w:tc>
          <w:tcPr>
            <w:tcW w:w="892" w:type="dxa"/>
            <w:shd w:val="clear" w:color="auto" w:fill="C6D9F1"/>
            <w:noWrap/>
            <w:hideMark/>
          </w:tcPr>
          <w:p w14:paraId="1AF990A3"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32,5%</w:t>
            </w:r>
          </w:p>
        </w:tc>
        <w:tc>
          <w:tcPr>
            <w:tcW w:w="892" w:type="dxa"/>
            <w:shd w:val="clear" w:color="auto" w:fill="C6D9F1"/>
            <w:noWrap/>
            <w:hideMark/>
          </w:tcPr>
          <w:p w14:paraId="732E6DC4"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31,4%</w:t>
            </w:r>
          </w:p>
        </w:tc>
        <w:tc>
          <w:tcPr>
            <w:tcW w:w="892" w:type="dxa"/>
            <w:shd w:val="clear" w:color="auto" w:fill="C6D9F1"/>
            <w:noWrap/>
            <w:hideMark/>
          </w:tcPr>
          <w:p w14:paraId="5735ED04"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28,7%</w:t>
            </w:r>
          </w:p>
        </w:tc>
      </w:tr>
      <w:tr w:rsidR="00C007D0" w:rsidRPr="003C4F96" w14:paraId="6ECBB9C7" w14:textId="77777777" w:rsidTr="00197371">
        <w:trPr>
          <w:trHeight w:val="300"/>
          <w:jc w:val="center"/>
        </w:trPr>
        <w:tc>
          <w:tcPr>
            <w:tcW w:w="4977" w:type="dxa"/>
            <w:shd w:val="clear" w:color="auto" w:fill="C6D9F1"/>
            <w:noWrap/>
            <w:hideMark/>
          </w:tcPr>
          <w:p w14:paraId="0B655F06" w14:textId="77777777" w:rsidR="000B577C" w:rsidRPr="00117BF8" w:rsidRDefault="000B577C" w:rsidP="00C007D0">
            <w:pPr>
              <w:pStyle w:val="TablaC"/>
              <w:jc w:val="left"/>
              <w:rPr>
                <w:rFonts w:ascii="Arial" w:hAnsi="Arial" w:cs="Arial"/>
                <w:bCs/>
                <w:sz w:val="18"/>
                <w:szCs w:val="18"/>
              </w:rPr>
            </w:pPr>
            <w:r w:rsidRPr="00117BF8">
              <w:rPr>
                <w:rFonts w:ascii="Arial" w:hAnsi="Arial" w:cs="Arial"/>
                <w:bCs/>
                <w:sz w:val="18"/>
                <w:szCs w:val="18"/>
              </w:rPr>
              <w:t>Impuesto Sellos</w:t>
            </w:r>
          </w:p>
        </w:tc>
        <w:tc>
          <w:tcPr>
            <w:tcW w:w="893" w:type="dxa"/>
            <w:shd w:val="clear" w:color="auto" w:fill="C6D9F1"/>
            <w:noWrap/>
            <w:hideMark/>
          </w:tcPr>
          <w:p w14:paraId="4AFB20B4"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3,5%</w:t>
            </w:r>
          </w:p>
        </w:tc>
        <w:tc>
          <w:tcPr>
            <w:tcW w:w="892" w:type="dxa"/>
            <w:shd w:val="clear" w:color="auto" w:fill="C6D9F1"/>
            <w:noWrap/>
            <w:hideMark/>
          </w:tcPr>
          <w:p w14:paraId="1F2263B9"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3,2%</w:t>
            </w:r>
          </w:p>
        </w:tc>
        <w:tc>
          <w:tcPr>
            <w:tcW w:w="892" w:type="dxa"/>
            <w:shd w:val="clear" w:color="auto" w:fill="C6D9F1"/>
            <w:noWrap/>
            <w:hideMark/>
          </w:tcPr>
          <w:p w14:paraId="05586AE1"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3,4%</w:t>
            </w:r>
          </w:p>
        </w:tc>
        <w:tc>
          <w:tcPr>
            <w:tcW w:w="892" w:type="dxa"/>
            <w:shd w:val="clear" w:color="auto" w:fill="C6D9F1"/>
            <w:noWrap/>
            <w:hideMark/>
          </w:tcPr>
          <w:p w14:paraId="2C08F5D5"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3,3%</w:t>
            </w:r>
          </w:p>
        </w:tc>
      </w:tr>
      <w:tr w:rsidR="00C007D0" w:rsidRPr="003C4F96" w14:paraId="5A6A4A13" w14:textId="77777777" w:rsidTr="00197371">
        <w:trPr>
          <w:trHeight w:val="300"/>
          <w:jc w:val="center"/>
        </w:trPr>
        <w:tc>
          <w:tcPr>
            <w:tcW w:w="4977" w:type="dxa"/>
            <w:shd w:val="clear" w:color="auto" w:fill="FFFFFF"/>
            <w:noWrap/>
          </w:tcPr>
          <w:p w14:paraId="18A2F97D" w14:textId="77777777" w:rsidR="00F816E5" w:rsidRPr="00117BF8" w:rsidRDefault="00F816E5" w:rsidP="00C007D0">
            <w:pPr>
              <w:pStyle w:val="TablaC"/>
              <w:jc w:val="left"/>
              <w:rPr>
                <w:rFonts w:ascii="Arial" w:hAnsi="Arial" w:cs="Arial"/>
                <w:bCs/>
                <w:sz w:val="18"/>
                <w:szCs w:val="18"/>
              </w:rPr>
            </w:pPr>
            <w:r w:rsidRPr="00117BF8">
              <w:rPr>
                <w:rFonts w:ascii="Arial" w:hAnsi="Arial" w:cs="Arial"/>
                <w:bCs/>
                <w:sz w:val="18"/>
                <w:szCs w:val="18"/>
              </w:rPr>
              <w:t>Principales Ingresos Tributarios Nacionales</w:t>
            </w:r>
          </w:p>
        </w:tc>
        <w:tc>
          <w:tcPr>
            <w:tcW w:w="893" w:type="dxa"/>
            <w:shd w:val="clear" w:color="auto" w:fill="FFFFFF"/>
            <w:noWrap/>
          </w:tcPr>
          <w:p w14:paraId="3F49DCFE" w14:textId="77777777" w:rsidR="00F816E5" w:rsidRPr="00117BF8" w:rsidRDefault="00F816E5" w:rsidP="000B577C">
            <w:pPr>
              <w:pStyle w:val="TablaC"/>
              <w:rPr>
                <w:rFonts w:ascii="Arial" w:hAnsi="Arial" w:cs="Arial"/>
                <w:b/>
                <w:sz w:val="18"/>
                <w:szCs w:val="18"/>
              </w:rPr>
            </w:pPr>
          </w:p>
        </w:tc>
        <w:tc>
          <w:tcPr>
            <w:tcW w:w="892" w:type="dxa"/>
            <w:shd w:val="clear" w:color="auto" w:fill="FFFFFF"/>
            <w:noWrap/>
          </w:tcPr>
          <w:p w14:paraId="0FAFD90A" w14:textId="77777777" w:rsidR="00F816E5" w:rsidRPr="00117BF8" w:rsidRDefault="00F816E5" w:rsidP="000B577C">
            <w:pPr>
              <w:pStyle w:val="TablaC"/>
              <w:rPr>
                <w:rFonts w:ascii="Arial" w:hAnsi="Arial" w:cs="Arial"/>
                <w:b/>
                <w:sz w:val="18"/>
                <w:szCs w:val="18"/>
              </w:rPr>
            </w:pPr>
          </w:p>
        </w:tc>
        <w:tc>
          <w:tcPr>
            <w:tcW w:w="892" w:type="dxa"/>
            <w:shd w:val="clear" w:color="auto" w:fill="FFFFFF"/>
            <w:noWrap/>
          </w:tcPr>
          <w:p w14:paraId="68260329" w14:textId="77777777" w:rsidR="00F816E5" w:rsidRPr="00117BF8" w:rsidRDefault="00F816E5" w:rsidP="000B577C">
            <w:pPr>
              <w:pStyle w:val="TablaC"/>
              <w:rPr>
                <w:rFonts w:ascii="Arial" w:hAnsi="Arial" w:cs="Arial"/>
                <w:b/>
                <w:sz w:val="18"/>
                <w:szCs w:val="18"/>
              </w:rPr>
            </w:pPr>
          </w:p>
        </w:tc>
        <w:tc>
          <w:tcPr>
            <w:tcW w:w="892" w:type="dxa"/>
            <w:shd w:val="clear" w:color="auto" w:fill="FFFFFF"/>
            <w:noWrap/>
          </w:tcPr>
          <w:p w14:paraId="15543462" w14:textId="77777777" w:rsidR="00F816E5" w:rsidRPr="00117BF8" w:rsidRDefault="00F816E5" w:rsidP="000B577C">
            <w:pPr>
              <w:pStyle w:val="TablaC"/>
              <w:rPr>
                <w:rFonts w:ascii="Arial" w:hAnsi="Arial" w:cs="Arial"/>
                <w:b/>
                <w:sz w:val="18"/>
                <w:szCs w:val="18"/>
              </w:rPr>
            </w:pPr>
          </w:p>
        </w:tc>
      </w:tr>
      <w:tr w:rsidR="00C007D0" w:rsidRPr="003C4F96" w14:paraId="72963F60" w14:textId="77777777" w:rsidTr="00197371">
        <w:trPr>
          <w:trHeight w:val="300"/>
          <w:jc w:val="center"/>
        </w:trPr>
        <w:tc>
          <w:tcPr>
            <w:tcW w:w="4977" w:type="dxa"/>
            <w:shd w:val="clear" w:color="auto" w:fill="FFFFFF"/>
            <w:noWrap/>
            <w:hideMark/>
          </w:tcPr>
          <w:p w14:paraId="3AA896C4" w14:textId="77777777" w:rsidR="000B577C" w:rsidRPr="00117BF8" w:rsidRDefault="000B577C" w:rsidP="00C007D0">
            <w:pPr>
              <w:pStyle w:val="TablaC"/>
              <w:jc w:val="left"/>
              <w:rPr>
                <w:rFonts w:ascii="Arial" w:hAnsi="Arial" w:cs="Arial"/>
                <w:bCs/>
                <w:sz w:val="18"/>
                <w:szCs w:val="18"/>
              </w:rPr>
            </w:pPr>
            <w:r w:rsidRPr="00117BF8">
              <w:rPr>
                <w:rFonts w:ascii="Arial" w:hAnsi="Arial" w:cs="Arial"/>
                <w:bCs/>
                <w:sz w:val="18"/>
                <w:szCs w:val="18"/>
              </w:rPr>
              <w:t>Copart. Fed. Distribución Secundaria</w:t>
            </w:r>
          </w:p>
        </w:tc>
        <w:tc>
          <w:tcPr>
            <w:tcW w:w="893" w:type="dxa"/>
            <w:shd w:val="clear" w:color="auto" w:fill="FFFFFF"/>
            <w:noWrap/>
            <w:hideMark/>
          </w:tcPr>
          <w:p w14:paraId="70ACAB33"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20,2%</w:t>
            </w:r>
          </w:p>
        </w:tc>
        <w:tc>
          <w:tcPr>
            <w:tcW w:w="892" w:type="dxa"/>
            <w:shd w:val="clear" w:color="auto" w:fill="FFFFFF"/>
            <w:noWrap/>
            <w:hideMark/>
          </w:tcPr>
          <w:p w14:paraId="2B30C71A"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20,7%</w:t>
            </w:r>
          </w:p>
        </w:tc>
        <w:tc>
          <w:tcPr>
            <w:tcW w:w="892" w:type="dxa"/>
            <w:shd w:val="clear" w:color="auto" w:fill="FFFFFF"/>
            <w:noWrap/>
            <w:hideMark/>
          </w:tcPr>
          <w:p w14:paraId="095308CA"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17,5%</w:t>
            </w:r>
          </w:p>
        </w:tc>
        <w:tc>
          <w:tcPr>
            <w:tcW w:w="892" w:type="dxa"/>
            <w:shd w:val="clear" w:color="auto" w:fill="FFFFFF"/>
            <w:noWrap/>
            <w:hideMark/>
          </w:tcPr>
          <w:p w14:paraId="5184E6C7"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16,1%</w:t>
            </w:r>
          </w:p>
        </w:tc>
      </w:tr>
      <w:tr w:rsidR="00C007D0" w:rsidRPr="003C4F96" w14:paraId="5F10E060" w14:textId="77777777" w:rsidTr="00197371">
        <w:trPr>
          <w:trHeight w:val="300"/>
          <w:jc w:val="center"/>
        </w:trPr>
        <w:tc>
          <w:tcPr>
            <w:tcW w:w="4977" w:type="dxa"/>
            <w:shd w:val="clear" w:color="auto" w:fill="FFFFFF"/>
            <w:noWrap/>
            <w:hideMark/>
          </w:tcPr>
          <w:p w14:paraId="090A32F9" w14:textId="77777777" w:rsidR="000B577C" w:rsidRPr="00117BF8" w:rsidRDefault="000B577C" w:rsidP="00443F74">
            <w:pPr>
              <w:pStyle w:val="TablaC"/>
              <w:keepNext w:val="0"/>
              <w:jc w:val="left"/>
              <w:rPr>
                <w:rFonts w:ascii="Arial" w:hAnsi="Arial" w:cs="Arial"/>
                <w:bCs/>
                <w:sz w:val="18"/>
                <w:szCs w:val="18"/>
              </w:rPr>
            </w:pPr>
            <w:r w:rsidRPr="00117BF8">
              <w:rPr>
                <w:rFonts w:ascii="Arial" w:hAnsi="Arial" w:cs="Arial"/>
                <w:bCs/>
                <w:sz w:val="18"/>
                <w:szCs w:val="18"/>
              </w:rPr>
              <w:t>Copart. Ley 26075 - Financiamiento Educativo </w:t>
            </w:r>
          </w:p>
        </w:tc>
        <w:tc>
          <w:tcPr>
            <w:tcW w:w="893" w:type="dxa"/>
            <w:shd w:val="clear" w:color="auto" w:fill="FFFFFF"/>
            <w:noWrap/>
            <w:hideMark/>
          </w:tcPr>
          <w:p w14:paraId="67523FEA" w14:textId="77777777" w:rsidR="000B577C" w:rsidRPr="00117BF8" w:rsidRDefault="000B577C" w:rsidP="00443F74">
            <w:pPr>
              <w:pStyle w:val="TablaC"/>
              <w:keepNext w:val="0"/>
              <w:rPr>
                <w:rFonts w:ascii="Arial" w:hAnsi="Arial" w:cs="Arial"/>
                <w:sz w:val="18"/>
                <w:szCs w:val="18"/>
              </w:rPr>
            </w:pPr>
            <w:r w:rsidRPr="00117BF8">
              <w:rPr>
                <w:rFonts w:ascii="Arial" w:hAnsi="Arial" w:cs="Arial"/>
                <w:sz w:val="18"/>
                <w:szCs w:val="18"/>
              </w:rPr>
              <w:t>4,7%</w:t>
            </w:r>
          </w:p>
        </w:tc>
        <w:tc>
          <w:tcPr>
            <w:tcW w:w="892" w:type="dxa"/>
            <w:shd w:val="clear" w:color="auto" w:fill="FFFFFF"/>
            <w:noWrap/>
            <w:hideMark/>
          </w:tcPr>
          <w:p w14:paraId="596ADC75" w14:textId="77777777" w:rsidR="000B577C" w:rsidRPr="00117BF8" w:rsidRDefault="000B577C" w:rsidP="00443F74">
            <w:pPr>
              <w:pStyle w:val="TablaC"/>
              <w:keepNext w:val="0"/>
              <w:rPr>
                <w:rFonts w:ascii="Arial" w:hAnsi="Arial" w:cs="Arial"/>
                <w:sz w:val="18"/>
                <w:szCs w:val="18"/>
              </w:rPr>
            </w:pPr>
            <w:r w:rsidRPr="00117BF8">
              <w:rPr>
                <w:rFonts w:ascii="Arial" w:hAnsi="Arial" w:cs="Arial"/>
                <w:sz w:val="18"/>
                <w:szCs w:val="18"/>
              </w:rPr>
              <w:t>4,4%</w:t>
            </w:r>
          </w:p>
        </w:tc>
        <w:tc>
          <w:tcPr>
            <w:tcW w:w="892" w:type="dxa"/>
            <w:shd w:val="clear" w:color="auto" w:fill="FFFFFF"/>
            <w:noWrap/>
            <w:hideMark/>
          </w:tcPr>
          <w:p w14:paraId="73985648" w14:textId="77777777" w:rsidR="000B577C" w:rsidRPr="00117BF8" w:rsidRDefault="000B577C" w:rsidP="00443F74">
            <w:pPr>
              <w:pStyle w:val="TablaC"/>
              <w:keepNext w:val="0"/>
              <w:rPr>
                <w:rFonts w:ascii="Arial" w:hAnsi="Arial" w:cs="Arial"/>
                <w:sz w:val="18"/>
                <w:szCs w:val="18"/>
              </w:rPr>
            </w:pPr>
            <w:r w:rsidRPr="00117BF8">
              <w:rPr>
                <w:rFonts w:ascii="Arial" w:hAnsi="Arial" w:cs="Arial"/>
                <w:sz w:val="18"/>
                <w:szCs w:val="18"/>
              </w:rPr>
              <w:t>7,9%</w:t>
            </w:r>
          </w:p>
        </w:tc>
        <w:tc>
          <w:tcPr>
            <w:tcW w:w="892" w:type="dxa"/>
            <w:shd w:val="clear" w:color="auto" w:fill="FFFFFF"/>
            <w:noWrap/>
            <w:hideMark/>
          </w:tcPr>
          <w:p w14:paraId="363309EF" w14:textId="77777777" w:rsidR="000B577C" w:rsidRPr="00117BF8" w:rsidRDefault="000B577C" w:rsidP="00443F74">
            <w:pPr>
              <w:pStyle w:val="TablaC"/>
              <w:keepNext w:val="0"/>
              <w:rPr>
                <w:rFonts w:ascii="Arial" w:hAnsi="Arial" w:cs="Arial"/>
                <w:sz w:val="18"/>
                <w:szCs w:val="18"/>
              </w:rPr>
            </w:pPr>
            <w:r w:rsidRPr="00117BF8">
              <w:rPr>
                <w:rFonts w:ascii="Arial" w:hAnsi="Arial" w:cs="Arial"/>
                <w:sz w:val="18"/>
                <w:szCs w:val="18"/>
              </w:rPr>
              <w:t>7,2%</w:t>
            </w:r>
          </w:p>
        </w:tc>
      </w:tr>
      <w:tr w:rsidR="00C007D0" w:rsidRPr="003C4F96" w14:paraId="1DFD707D" w14:textId="77777777" w:rsidTr="00197371">
        <w:trPr>
          <w:trHeight w:val="300"/>
          <w:jc w:val="center"/>
        </w:trPr>
        <w:tc>
          <w:tcPr>
            <w:tcW w:w="4977" w:type="dxa"/>
            <w:shd w:val="clear" w:color="auto" w:fill="C6D9F1"/>
            <w:noWrap/>
          </w:tcPr>
          <w:p w14:paraId="257CB8D0" w14:textId="77777777" w:rsidR="00F816E5" w:rsidRPr="00117BF8" w:rsidRDefault="00F816E5" w:rsidP="00C007D0">
            <w:pPr>
              <w:pStyle w:val="TablaC"/>
              <w:jc w:val="left"/>
              <w:rPr>
                <w:rFonts w:ascii="Arial" w:hAnsi="Arial" w:cs="Arial"/>
                <w:bCs/>
                <w:sz w:val="18"/>
                <w:szCs w:val="18"/>
              </w:rPr>
            </w:pPr>
            <w:r w:rsidRPr="00117BF8">
              <w:rPr>
                <w:rFonts w:ascii="Arial" w:hAnsi="Arial" w:cs="Arial"/>
                <w:bCs/>
                <w:sz w:val="18"/>
                <w:szCs w:val="18"/>
              </w:rPr>
              <w:t>Principales Aportes y Contribuciones</w:t>
            </w:r>
          </w:p>
        </w:tc>
        <w:tc>
          <w:tcPr>
            <w:tcW w:w="893" w:type="dxa"/>
            <w:shd w:val="clear" w:color="auto" w:fill="C6D9F1"/>
            <w:noWrap/>
          </w:tcPr>
          <w:p w14:paraId="3CCAD9A8" w14:textId="77777777" w:rsidR="00F816E5" w:rsidRPr="00117BF8" w:rsidRDefault="00F816E5" w:rsidP="000B577C">
            <w:pPr>
              <w:pStyle w:val="TablaC"/>
              <w:rPr>
                <w:rFonts w:ascii="Arial" w:hAnsi="Arial" w:cs="Arial"/>
                <w:b/>
                <w:sz w:val="18"/>
                <w:szCs w:val="18"/>
              </w:rPr>
            </w:pPr>
          </w:p>
        </w:tc>
        <w:tc>
          <w:tcPr>
            <w:tcW w:w="892" w:type="dxa"/>
            <w:shd w:val="clear" w:color="auto" w:fill="C6D9F1"/>
            <w:noWrap/>
          </w:tcPr>
          <w:p w14:paraId="4D0CD08E" w14:textId="77777777" w:rsidR="00F816E5" w:rsidRPr="00117BF8" w:rsidRDefault="00F816E5" w:rsidP="000B577C">
            <w:pPr>
              <w:pStyle w:val="TablaC"/>
              <w:rPr>
                <w:rFonts w:ascii="Arial" w:hAnsi="Arial" w:cs="Arial"/>
                <w:b/>
                <w:sz w:val="18"/>
                <w:szCs w:val="18"/>
              </w:rPr>
            </w:pPr>
          </w:p>
        </w:tc>
        <w:tc>
          <w:tcPr>
            <w:tcW w:w="892" w:type="dxa"/>
            <w:shd w:val="clear" w:color="auto" w:fill="C6D9F1"/>
            <w:noWrap/>
          </w:tcPr>
          <w:p w14:paraId="7FA9BF35" w14:textId="77777777" w:rsidR="00F816E5" w:rsidRPr="00117BF8" w:rsidRDefault="00F816E5" w:rsidP="000B577C">
            <w:pPr>
              <w:pStyle w:val="TablaC"/>
              <w:rPr>
                <w:rFonts w:ascii="Arial" w:hAnsi="Arial" w:cs="Arial"/>
                <w:b/>
                <w:sz w:val="18"/>
                <w:szCs w:val="18"/>
              </w:rPr>
            </w:pPr>
          </w:p>
        </w:tc>
        <w:tc>
          <w:tcPr>
            <w:tcW w:w="892" w:type="dxa"/>
            <w:shd w:val="clear" w:color="auto" w:fill="C6D9F1"/>
            <w:noWrap/>
          </w:tcPr>
          <w:p w14:paraId="2E195C7A" w14:textId="77777777" w:rsidR="00F816E5" w:rsidRPr="00117BF8" w:rsidRDefault="00F816E5" w:rsidP="000B577C">
            <w:pPr>
              <w:pStyle w:val="TablaC"/>
              <w:rPr>
                <w:rFonts w:ascii="Arial" w:hAnsi="Arial" w:cs="Arial"/>
                <w:b/>
                <w:sz w:val="18"/>
                <w:szCs w:val="18"/>
              </w:rPr>
            </w:pPr>
          </w:p>
        </w:tc>
      </w:tr>
      <w:tr w:rsidR="00C007D0" w:rsidRPr="003C4F96" w14:paraId="404B0896" w14:textId="77777777" w:rsidTr="00197371">
        <w:trPr>
          <w:trHeight w:val="300"/>
          <w:jc w:val="center"/>
        </w:trPr>
        <w:tc>
          <w:tcPr>
            <w:tcW w:w="4977" w:type="dxa"/>
            <w:shd w:val="clear" w:color="auto" w:fill="C6D9F1"/>
            <w:noWrap/>
            <w:hideMark/>
          </w:tcPr>
          <w:p w14:paraId="1ED13FC8" w14:textId="77777777" w:rsidR="000B577C" w:rsidRPr="00117BF8" w:rsidRDefault="000B577C"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Aportes Ley de Policía y Servicio Penitenciario</w:t>
            </w:r>
          </w:p>
        </w:tc>
        <w:tc>
          <w:tcPr>
            <w:tcW w:w="893" w:type="dxa"/>
            <w:shd w:val="clear" w:color="auto" w:fill="C6D9F1"/>
            <w:noWrap/>
            <w:hideMark/>
          </w:tcPr>
          <w:p w14:paraId="5C88A35C"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0,2%</w:t>
            </w:r>
          </w:p>
        </w:tc>
        <w:tc>
          <w:tcPr>
            <w:tcW w:w="892" w:type="dxa"/>
            <w:shd w:val="clear" w:color="auto" w:fill="C6D9F1"/>
            <w:noWrap/>
            <w:hideMark/>
          </w:tcPr>
          <w:p w14:paraId="00EFFA1C"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3,1%</w:t>
            </w:r>
          </w:p>
        </w:tc>
        <w:tc>
          <w:tcPr>
            <w:tcW w:w="892" w:type="dxa"/>
            <w:shd w:val="clear" w:color="auto" w:fill="C6D9F1"/>
            <w:noWrap/>
            <w:hideMark/>
          </w:tcPr>
          <w:p w14:paraId="115AB70D"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0,1%</w:t>
            </w:r>
          </w:p>
        </w:tc>
        <w:tc>
          <w:tcPr>
            <w:tcW w:w="892" w:type="dxa"/>
            <w:shd w:val="clear" w:color="auto" w:fill="C6D9F1"/>
            <w:noWrap/>
            <w:hideMark/>
          </w:tcPr>
          <w:p w14:paraId="602D2E03"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0,1%</w:t>
            </w:r>
          </w:p>
        </w:tc>
      </w:tr>
      <w:tr w:rsidR="00C007D0" w:rsidRPr="003C4F96" w14:paraId="03FF7E9B" w14:textId="77777777" w:rsidTr="00197371">
        <w:trPr>
          <w:trHeight w:val="300"/>
          <w:jc w:val="center"/>
        </w:trPr>
        <w:tc>
          <w:tcPr>
            <w:tcW w:w="4977" w:type="dxa"/>
            <w:shd w:val="clear" w:color="auto" w:fill="C6D9F1"/>
            <w:noWrap/>
            <w:hideMark/>
          </w:tcPr>
          <w:p w14:paraId="19953C69" w14:textId="77777777" w:rsidR="000B577C" w:rsidRPr="00117BF8" w:rsidRDefault="000B577C"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Aportes Dción. Gral. Cultura y Educación - Docentes</w:t>
            </w:r>
          </w:p>
        </w:tc>
        <w:tc>
          <w:tcPr>
            <w:tcW w:w="893" w:type="dxa"/>
            <w:shd w:val="clear" w:color="auto" w:fill="C6D9F1"/>
            <w:noWrap/>
            <w:hideMark/>
          </w:tcPr>
          <w:p w14:paraId="0D3B3A6D"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3,0%</w:t>
            </w:r>
          </w:p>
        </w:tc>
        <w:tc>
          <w:tcPr>
            <w:tcW w:w="892" w:type="dxa"/>
            <w:shd w:val="clear" w:color="auto" w:fill="C6D9F1"/>
            <w:noWrap/>
            <w:hideMark/>
          </w:tcPr>
          <w:p w14:paraId="343D1681"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0,2%</w:t>
            </w:r>
          </w:p>
        </w:tc>
        <w:tc>
          <w:tcPr>
            <w:tcW w:w="892" w:type="dxa"/>
            <w:shd w:val="clear" w:color="auto" w:fill="C6D9F1"/>
            <w:noWrap/>
            <w:hideMark/>
          </w:tcPr>
          <w:p w14:paraId="26952177"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3,5%</w:t>
            </w:r>
          </w:p>
        </w:tc>
        <w:tc>
          <w:tcPr>
            <w:tcW w:w="892" w:type="dxa"/>
            <w:shd w:val="clear" w:color="auto" w:fill="C6D9F1"/>
            <w:noWrap/>
            <w:hideMark/>
          </w:tcPr>
          <w:p w14:paraId="42319A76"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2,9%</w:t>
            </w:r>
          </w:p>
        </w:tc>
      </w:tr>
      <w:tr w:rsidR="00C007D0" w:rsidRPr="003C4F96" w14:paraId="23056C28" w14:textId="77777777" w:rsidTr="00197371">
        <w:trPr>
          <w:trHeight w:val="300"/>
          <w:jc w:val="center"/>
        </w:trPr>
        <w:tc>
          <w:tcPr>
            <w:tcW w:w="4977" w:type="dxa"/>
            <w:shd w:val="clear" w:color="auto" w:fill="C6D9F1"/>
            <w:noWrap/>
            <w:hideMark/>
          </w:tcPr>
          <w:p w14:paraId="7BA8BCB3" w14:textId="77777777" w:rsidR="000B577C" w:rsidRPr="00117BF8" w:rsidRDefault="000B577C"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Contrib. Ley de Policía y Servicio Penitenciario</w:t>
            </w:r>
          </w:p>
        </w:tc>
        <w:tc>
          <w:tcPr>
            <w:tcW w:w="893" w:type="dxa"/>
            <w:shd w:val="clear" w:color="auto" w:fill="C6D9F1"/>
            <w:noWrap/>
            <w:hideMark/>
          </w:tcPr>
          <w:p w14:paraId="135C084E"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0,1%</w:t>
            </w:r>
          </w:p>
        </w:tc>
        <w:tc>
          <w:tcPr>
            <w:tcW w:w="892" w:type="dxa"/>
            <w:shd w:val="clear" w:color="auto" w:fill="C6D9F1"/>
            <w:noWrap/>
            <w:hideMark/>
          </w:tcPr>
          <w:p w14:paraId="4CB753C1"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2,2%</w:t>
            </w:r>
          </w:p>
        </w:tc>
        <w:tc>
          <w:tcPr>
            <w:tcW w:w="892" w:type="dxa"/>
            <w:shd w:val="clear" w:color="auto" w:fill="C6D9F1"/>
            <w:noWrap/>
            <w:hideMark/>
          </w:tcPr>
          <w:p w14:paraId="3014EE87"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0,1%</w:t>
            </w:r>
          </w:p>
        </w:tc>
        <w:tc>
          <w:tcPr>
            <w:tcW w:w="892" w:type="dxa"/>
            <w:shd w:val="clear" w:color="auto" w:fill="C6D9F1"/>
            <w:noWrap/>
            <w:hideMark/>
          </w:tcPr>
          <w:p w14:paraId="2E0F7B99"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0,1%</w:t>
            </w:r>
          </w:p>
        </w:tc>
      </w:tr>
      <w:tr w:rsidR="00C007D0" w:rsidRPr="003C4F96" w14:paraId="3F9483A2" w14:textId="77777777" w:rsidTr="00197371">
        <w:trPr>
          <w:trHeight w:val="300"/>
          <w:jc w:val="center"/>
        </w:trPr>
        <w:tc>
          <w:tcPr>
            <w:tcW w:w="4977" w:type="dxa"/>
            <w:shd w:val="clear" w:color="auto" w:fill="C6D9F1"/>
            <w:noWrap/>
            <w:hideMark/>
          </w:tcPr>
          <w:p w14:paraId="221310A0" w14:textId="77777777" w:rsidR="000B577C" w:rsidRPr="00117BF8" w:rsidRDefault="000B577C" w:rsidP="00443F74">
            <w:pPr>
              <w:pStyle w:val="TablaC"/>
              <w:keepNext w:val="0"/>
              <w:jc w:val="left"/>
              <w:rPr>
                <w:rFonts w:ascii="Arial" w:hAnsi="Arial" w:cs="Arial"/>
                <w:bCs/>
                <w:sz w:val="18"/>
                <w:szCs w:val="18"/>
                <w:lang w:val="es-ES_tradnl"/>
              </w:rPr>
            </w:pPr>
            <w:r w:rsidRPr="00117BF8">
              <w:rPr>
                <w:rFonts w:ascii="Arial" w:hAnsi="Arial" w:cs="Arial"/>
                <w:bCs/>
                <w:sz w:val="18"/>
                <w:szCs w:val="18"/>
                <w:lang w:val="es-ES_tradnl"/>
              </w:rPr>
              <w:t xml:space="preserve">Contrib.  Dción. Gral. Cultura y Educación </w:t>
            </w:r>
            <w:r w:rsidR="001D5546" w:rsidRPr="00117BF8">
              <w:rPr>
                <w:rFonts w:ascii="Arial" w:hAnsi="Arial" w:cs="Arial"/>
                <w:bCs/>
                <w:sz w:val="18"/>
                <w:szCs w:val="18"/>
                <w:lang w:val="es-ES_tradnl"/>
              </w:rPr>
              <w:t>–</w:t>
            </w:r>
            <w:r w:rsidRPr="00117BF8">
              <w:rPr>
                <w:rFonts w:ascii="Arial" w:hAnsi="Arial" w:cs="Arial"/>
                <w:bCs/>
                <w:sz w:val="18"/>
                <w:szCs w:val="18"/>
                <w:lang w:val="es-ES_tradnl"/>
              </w:rPr>
              <w:t xml:space="preserve"> Docentes</w:t>
            </w:r>
          </w:p>
        </w:tc>
        <w:tc>
          <w:tcPr>
            <w:tcW w:w="893" w:type="dxa"/>
            <w:shd w:val="clear" w:color="auto" w:fill="C6D9F1"/>
            <w:noWrap/>
            <w:hideMark/>
          </w:tcPr>
          <w:p w14:paraId="507198A6" w14:textId="77777777" w:rsidR="000B577C" w:rsidRPr="00117BF8" w:rsidRDefault="000B577C" w:rsidP="00443F74">
            <w:pPr>
              <w:pStyle w:val="TablaC"/>
              <w:keepNext w:val="0"/>
              <w:rPr>
                <w:rFonts w:ascii="Arial" w:hAnsi="Arial" w:cs="Arial"/>
                <w:sz w:val="18"/>
                <w:szCs w:val="18"/>
              </w:rPr>
            </w:pPr>
            <w:r w:rsidRPr="00117BF8">
              <w:rPr>
                <w:rFonts w:ascii="Arial" w:hAnsi="Arial" w:cs="Arial"/>
                <w:sz w:val="18"/>
                <w:szCs w:val="18"/>
              </w:rPr>
              <w:t>2,7%</w:t>
            </w:r>
          </w:p>
        </w:tc>
        <w:tc>
          <w:tcPr>
            <w:tcW w:w="892" w:type="dxa"/>
            <w:shd w:val="clear" w:color="auto" w:fill="C6D9F1"/>
            <w:noWrap/>
            <w:hideMark/>
          </w:tcPr>
          <w:p w14:paraId="30F9FFEF" w14:textId="77777777" w:rsidR="000B577C" w:rsidRPr="00117BF8" w:rsidRDefault="000B577C" w:rsidP="00443F74">
            <w:pPr>
              <w:pStyle w:val="TablaC"/>
              <w:keepNext w:val="0"/>
              <w:rPr>
                <w:rFonts w:ascii="Arial" w:hAnsi="Arial" w:cs="Arial"/>
                <w:sz w:val="18"/>
                <w:szCs w:val="18"/>
              </w:rPr>
            </w:pPr>
            <w:r w:rsidRPr="00117BF8">
              <w:rPr>
                <w:rFonts w:ascii="Arial" w:hAnsi="Arial" w:cs="Arial"/>
                <w:sz w:val="18"/>
                <w:szCs w:val="18"/>
              </w:rPr>
              <w:t>0,1%</w:t>
            </w:r>
          </w:p>
        </w:tc>
        <w:tc>
          <w:tcPr>
            <w:tcW w:w="892" w:type="dxa"/>
            <w:shd w:val="clear" w:color="auto" w:fill="C6D9F1"/>
            <w:noWrap/>
            <w:hideMark/>
          </w:tcPr>
          <w:p w14:paraId="01DC2F52" w14:textId="77777777" w:rsidR="000B577C" w:rsidRPr="00117BF8" w:rsidRDefault="000B577C" w:rsidP="00443F74">
            <w:pPr>
              <w:pStyle w:val="TablaC"/>
              <w:keepNext w:val="0"/>
              <w:rPr>
                <w:rFonts w:ascii="Arial" w:hAnsi="Arial" w:cs="Arial"/>
                <w:sz w:val="18"/>
                <w:szCs w:val="18"/>
              </w:rPr>
            </w:pPr>
            <w:r w:rsidRPr="00117BF8">
              <w:rPr>
                <w:rFonts w:ascii="Arial" w:hAnsi="Arial" w:cs="Arial"/>
                <w:sz w:val="18"/>
                <w:szCs w:val="18"/>
              </w:rPr>
              <w:t>2,3%</w:t>
            </w:r>
          </w:p>
        </w:tc>
        <w:tc>
          <w:tcPr>
            <w:tcW w:w="892" w:type="dxa"/>
            <w:shd w:val="clear" w:color="auto" w:fill="C6D9F1"/>
            <w:noWrap/>
            <w:hideMark/>
          </w:tcPr>
          <w:p w14:paraId="771018CE" w14:textId="77777777" w:rsidR="000B577C" w:rsidRPr="00117BF8" w:rsidRDefault="000B577C" w:rsidP="00443F74">
            <w:pPr>
              <w:pStyle w:val="TablaC"/>
              <w:keepNext w:val="0"/>
              <w:rPr>
                <w:rFonts w:ascii="Arial" w:hAnsi="Arial" w:cs="Arial"/>
                <w:sz w:val="18"/>
                <w:szCs w:val="18"/>
              </w:rPr>
            </w:pPr>
            <w:r w:rsidRPr="00117BF8">
              <w:rPr>
                <w:rFonts w:ascii="Arial" w:hAnsi="Arial" w:cs="Arial"/>
                <w:sz w:val="18"/>
                <w:szCs w:val="18"/>
              </w:rPr>
              <w:t>2,3%</w:t>
            </w:r>
          </w:p>
        </w:tc>
      </w:tr>
      <w:tr w:rsidR="00C007D0" w:rsidRPr="003C4F96" w14:paraId="2149FF67" w14:textId="77777777" w:rsidTr="00197371">
        <w:trPr>
          <w:trHeight w:val="300"/>
          <w:jc w:val="center"/>
        </w:trPr>
        <w:tc>
          <w:tcPr>
            <w:tcW w:w="4977" w:type="dxa"/>
            <w:shd w:val="clear" w:color="auto" w:fill="FFFFFF"/>
            <w:noWrap/>
          </w:tcPr>
          <w:p w14:paraId="3F8AC4E1" w14:textId="77777777" w:rsidR="00F816E5" w:rsidRPr="00117BF8" w:rsidRDefault="00F816E5" w:rsidP="00C007D0">
            <w:pPr>
              <w:pStyle w:val="TablaC"/>
              <w:jc w:val="left"/>
              <w:rPr>
                <w:rFonts w:ascii="Arial" w:hAnsi="Arial" w:cs="Arial"/>
                <w:bCs/>
                <w:sz w:val="18"/>
                <w:szCs w:val="18"/>
              </w:rPr>
            </w:pPr>
            <w:r w:rsidRPr="00117BF8">
              <w:rPr>
                <w:rFonts w:ascii="Arial" w:hAnsi="Arial" w:cs="Arial"/>
                <w:bCs/>
                <w:sz w:val="18"/>
                <w:szCs w:val="18"/>
              </w:rPr>
              <w:t>Principales Transferencias Corrientes</w:t>
            </w:r>
          </w:p>
        </w:tc>
        <w:tc>
          <w:tcPr>
            <w:tcW w:w="893" w:type="dxa"/>
            <w:shd w:val="clear" w:color="auto" w:fill="FFFFFF"/>
            <w:noWrap/>
          </w:tcPr>
          <w:p w14:paraId="49AFBC36" w14:textId="77777777" w:rsidR="00F816E5" w:rsidRPr="00117BF8" w:rsidRDefault="00F816E5" w:rsidP="000B577C">
            <w:pPr>
              <w:pStyle w:val="TablaC"/>
              <w:rPr>
                <w:rFonts w:ascii="Arial" w:hAnsi="Arial" w:cs="Arial"/>
                <w:b/>
                <w:sz w:val="18"/>
                <w:szCs w:val="18"/>
              </w:rPr>
            </w:pPr>
          </w:p>
        </w:tc>
        <w:tc>
          <w:tcPr>
            <w:tcW w:w="892" w:type="dxa"/>
            <w:shd w:val="clear" w:color="auto" w:fill="FFFFFF"/>
            <w:noWrap/>
          </w:tcPr>
          <w:p w14:paraId="75D4409A" w14:textId="77777777" w:rsidR="00F816E5" w:rsidRPr="00117BF8" w:rsidRDefault="00F816E5" w:rsidP="000B577C">
            <w:pPr>
              <w:pStyle w:val="TablaC"/>
              <w:rPr>
                <w:rFonts w:ascii="Arial" w:hAnsi="Arial" w:cs="Arial"/>
                <w:b/>
                <w:sz w:val="18"/>
                <w:szCs w:val="18"/>
              </w:rPr>
            </w:pPr>
          </w:p>
        </w:tc>
        <w:tc>
          <w:tcPr>
            <w:tcW w:w="892" w:type="dxa"/>
            <w:shd w:val="clear" w:color="auto" w:fill="FFFFFF"/>
            <w:noWrap/>
          </w:tcPr>
          <w:p w14:paraId="6ABF3DBE" w14:textId="77777777" w:rsidR="00F816E5" w:rsidRPr="00117BF8" w:rsidRDefault="00F816E5" w:rsidP="000B577C">
            <w:pPr>
              <w:pStyle w:val="TablaC"/>
              <w:rPr>
                <w:rFonts w:ascii="Arial" w:hAnsi="Arial" w:cs="Arial"/>
                <w:b/>
                <w:sz w:val="18"/>
                <w:szCs w:val="18"/>
              </w:rPr>
            </w:pPr>
          </w:p>
        </w:tc>
        <w:tc>
          <w:tcPr>
            <w:tcW w:w="892" w:type="dxa"/>
            <w:shd w:val="clear" w:color="auto" w:fill="FFFFFF"/>
            <w:noWrap/>
          </w:tcPr>
          <w:p w14:paraId="45B08E25" w14:textId="77777777" w:rsidR="00F816E5" w:rsidRPr="00117BF8" w:rsidRDefault="00F816E5" w:rsidP="000B577C">
            <w:pPr>
              <w:pStyle w:val="TablaC"/>
              <w:rPr>
                <w:rFonts w:ascii="Arial" w:hAnsi="Arial" w:cs="Arial"/>
                <w:b/>
                <w:sz w:val="18"/>
                <w:szCs w:val="18"/>
              </w:rPr>
            </w:pPr>
          </w:p>
        </w:tc>
      </w:tr>
      <w:tr w:rsidR="00C007D0" w:rsidRPr="003C4F96" w14:paraId="661A1A83" w14:textId="77777777" w:rsidTr="00197371">
        <w:trPr>
          <w:trHeight w:val="300"/>
          <w:jc w:val="center"/>
        </w:trPr>
        <w:tc>
          <w:tcPr>
            <w:tcW w:w="4977" w:type="dxa"/>
            <w:shd w:val="clear" w:color="auto" w:fill="FFFFFF"/>
            <w:noWrap/>
            <w:hideMark/>
          </w:tcPr>
          <w:p w14:paraId="2ED7E3B7" w14:textId="77777777" w:rsidR="000B577C" w:rsidRPr="00117BF8" w:rsidRDefault="000B577C" w:rsidP="00C007D0">
            <w:pPr>
              <w:pStyle w:val="TablaC"/>
              <w:jc w:val="left"/>
              <w:rPr>
                <w:rFonts w:ascii="Arial" w:hAnsi="Arial" w:cs="Arial"/>
                <w:bCs/>
                <w:sz w:val="18"/>
                <w:szCs w:val="18"/>
              </w:rPr>
            </w:pPr>
            <w:r w:rsidRPr="00117BF8">
              <w:rPr>
                <w:rFonts w:ascii="Arial" w:hAnsi="Arial" w:cs="Arial"/>
                <w:bCs/>
                <w:sz w:val="18"/>
                <w:szCs w:val="18"/>
              </w:rPr>
              <w:t>Tesoro Nacional</w:t>
            </w:r>
          </w:p>
        </w:tc>
        <w:tc>
          <w:tcPr>
            <w:tcW w:w="893" w:type="dxa"/>
            <w:shd w:val="clear" w:color="auto" w:fill="FFFFFF"/>
            <w:noWrap/>
            <w:hideMark/>
          </w:tcPr>
          <w:p w14:paraId="2B47C065"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0,4%</w:t>
            </w:r>
          </w:p>
        </w:tc>
        <w:tc>
          <w:tcPr>
            <w:tcW w:w="892" w:type="dxa"/>
            <w:shd w:val="clear" w:color="auto" w:fill="FFFFFF"/>
            <w:noWrap/>
            <w:hideMark/>
          </w:tcPr>
          <w:p w14:paraId="7AAC9F28"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2,6%</w:t>
            </w:r>
          </w:p>
        </w:tc>
        <w:tc>
          <w:tcPr>
            <w:tcW w:w="892" w:type="dxa"/>
            <w:shd w:val="clear" w:color="auto" w:fill="FFFFFF"/>
            <w:noWrap/>
            <w:hideMark/>
          </w:tcPr>
          <w:p w14:paraId="4B62B1C6"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2,8%</w:t>
            </w:r>
          </w:p>
        </w:tc>
        <w:tc>
          <w:tcPr>
            <w:tcW w:w="892" w:type="dxa"/>
            <w:shd w:val="clear" w:color="auto" w:fill="FFFFFF"/>
            <w:noWrap/>
            <w:hideMark/>
          </w:tcPr>
          <w:p w14:paraId="244AD6AB" w14:textId="77777777" w:rsidR="000B577C" w:rsidRPr="00117BF8" w:rsidRDefault="000B577C" w:rsidP="000B577C">
            <w:pPr>
              <w:pStyle w:val="TablaC"/>
              <w:rPr>
                <w:rFonts w:ascii="Arial" w:hAnsi="Arial" w:cs="Arial"/>
                <w:sz w:val="18"/>
                <w:szCs w:val="18"/>
              </w:rPr>
            </w:pPr>
            <w:r w:rsidRPr="00117BF8">
              <w:rPr>
                <w:rFonts w:ascii="Arial" w:hAnsi="Arial" w:cs="Arial"/>
                <w:sz w:val="18"/>
                <w:szCs w:val="18"/>
              </w:rPr>
              <w:t>6,7%</w:t>
            </w:r>
          </w:p>
        </w:tc>
      </w:tr>
      <w:tr w:rsidR="00C007D0" w:rsidRPr="003C4F96" w14:paraId="19CD6292" w14:textId="77777777" w:rsidTr="00197371">
        <w:trPr>
          <w:trHeight w:val="300"/>
          <w:jc w:val="center"/>
        </w:trPr>
        <w:tc>
          <w:tcPr>
            <w:tcW w:w="4977" w:type="dxa"/>
            <w:shd w:val="clear" w:color="auto" w:fill="FFFFFF"/>
            <w:noWrap/>
          </w:tcPr>
          <w:p w14:paraId="1277FCDE" w14:textId="77777777" w:rsidR="009E7BA6" w:rsidRPr="00117BF8" w:rsidRDefault="009E7BA6" w:rsidP="00C007D0">
            <w:pPr>
              <w:pStyle w:val="TablaC"/>
              <w:jc w:val="left"/>
              <w:rPr>
                <w:rFonts w:ascii="Arial" w:hAnsi="Arial" w:cs="Arial"/>
                <w:bCs/>
                <w:sz w:val="18"/>
                <w:szCs w:val="18"/>
              </w:rPr>
            </w:pPr>
            <w:r w:rsidRPr="00117BF8">
              <w:rPr>
                <w:rFonts w:ascii="Arial" w:hAnsi="Arial" w:cs="Arial"/>
                <w:bCs/>
                <w:sz w:val="18"/>
                <w:szCs w:val="18"/>
              </w:rPr>
              <w:t>Total Rubros Principales</w:t>
            </w:r>
          </w:p>
        </w:tc>
        <w:tc>
          <w:tcPr>
            <w:tcW w:w="893" w:type="dxa"/>
            <w:shd w:val="clear" w:color="auto" w:fill="FFFFFF"/>
            <w:noWrap/>
          </w:tcPr>
          <w:p w14:paraId="202C8BFE" w14:textId="77777777" w:rsidR="009E7BA6" w:rsidRPr="00117BF8" w:rsidRDefault="009E7BA6" w:rsidP="009E7BA6">
            <w:pPr>
              <w:pStyle w:val="TablaC"/>
              <w:rPr>
                <w:rFonts w:ascii="Arial" w:hAnsi="Arial" w:cs="Arial"/>
                <w:sz w:val="18"/>
                <w:szCs w:val="18"/>
              </w:rPr>
            </w:pPr>
            <w:r w:rsidRPr="00117BF8">
              <w:rPr>
                <w:rFonts w:ascii="Arial" w:hAnsi="Arial" w:cs="Arial"/>
                <w:sz w:val="18"/>
                <w:szCs w:val="18"/>
              </w:rPr>
              <w:t>72,3%</w:t>
            </w:r>
          </w:p>
        </w:tc>
        <w:tc>
          <w:tcPr>
            <w:tcW w:w="892" w:type="dxa"/>
            <w:shd w:val="clear" w:color="auto" w:fill="FFFFFF"/>
            <w:noWrap/>
          </w:tcPr>
          <w:p w14:paraId="680363B7" w14:textId="77777777" w:rsidR="009E7BA6" w:rsidRPr="00117BF8" w:rsidRDefault="009E7BA6" w:rsidP="009E7BA6">
            <w:pPr>
              <w:pStyle w:val="TablaC"/>
              <w:rPr>
                <w:rFonts w:ascii="Arial" w:hAnsi="Arial" w:cs="Arial"/>
                <w:sz w:val="18"/>
                <w:szCs w:val="18"/>
              </w:rPr>
            </w:pPr>
            <w:r w:rsidRPr="00117BF8">
              <w:rPr>
                <w:rFonts w:ascii="Arial" w:hAnsi="Arial" w:cs="Arial"/>
                <w:sz w:val="18"/>
                <w:szCs w:val="18"/>
              </w:rPr>
              <w:t>73,2%</w:t>
            </w:r>
          </w:p>
        </w:tc>
        <w:tc>
          <w:tcPr>
            <w:tcW w:w="892" w:type="dxa"/>
            <w:shd w:val="clear" w:color="auto" w:fill="FFFFFF"/>
            <w:noWrap/>
          </w:tcPr>
          <w:p w14:paraId="65155884" w14:textId="77777777" w:rsidR="009E7BA6" w:rsidRPr="00117BF8" w:rsidRDefault="009E7BA6" w:rsidP="009E7BA6">
            <w:pPr>
              <w:pStyle w:val="TablaC"/>
              <w:rPr>
                <w:rFonts w:ascii="Arial" w:hAnsi="Arial" w:cs="Arial"/>
                <w:sz w:val="18"/>
                <w:szCs w:val="18"/>
              </w:rPr>
            </w:pPr>
            <w:r w:rsidRPr="00117BF8">
              <w:rPr>
                <w:rFonts w:ascii="Arial" w:hAnsi="Arial" w:cs="Arial"/>
                <w:sz w:val="18"/>
                <w:szCs w:val="18"/>
              </w:rPr>
              <w:t>73,6%</w:t>
            </w:r>
          </w:p>
        </w:tc>
        <w:tc>
          <w:tcPr>
            <w:tcW w:w="892" w:type="dxa"/>
            <w:shd w:val="clear" w:color="auto" w:fill="FFFFFF"/>
            <w:noWrap/>
          </w:tcPr>
          <w:p w14:paraId="7EF1B583" w14:textId="77777777" w:rsidR="009E7BA6" w:rsidRPr="00117BF8" w:rsidRDefault="009E7BA6" w:rsidP="009E7BA6">
            <w:pPr>
              <w:pStyle w:val="TablaC"/>
              <w:rPr>
                <w:rFonts w:ascii="Arial" w:hAnsi="Arial" w:cs="Arial"/>
                <w:sz w:val="18"/>
                <w:szCs w:val="18"/>
              </w:rPr>
            </w:pPr>
            <w:r w:rsidRPr="00117BF8">
              <w:rPr>
                <w:rFonts w:ascii="Arial" w:hAnsi="Arial" w:cs="Arial"/>
                <w:sz w:val="18"/>
                <w:szCs w:val="18"/>
              </w:rPr>
              <w:t>72,3%</w:t>
            </w:r>
          </w:p>
        </w:tc>
      </w:tr>
    </w:tbl>
    <w:p w14:paraId="774B37CE" w14:textId="77777777" w:rsidR="00952785" w:rsidRPr="00117BF8" w:rsidRDefault="00952785" w:rsidP="00952785">
      <w:pPr>
        <w:pStyle w:val="Hfuente"/>
        <w:rPr>
          <w:rFonts w:ascii="Arial" w:hAnsi="Arial" w:cs="Arial"/>
          <w:sz w:val="18"/>
          <w:szCs w:val="18"/>
        </w:rPr>
      </w:pPr>
      <w:r w:rsidRPr="00117BF8">
        <w:rPr>
          <w:rFonts w:ascii="Arial" w:hAnsi="Arial" w:cs="Arial"/>
          <w:sz w:val="18"/>
          <w:szCs w:val="18"/>
        </w:rPr>
        <w:t>Elaboración propia sobre datos de la CGPBA.</w:t>
      </w:r>
    </w:p>
    <w:p w14:paraId="1BA8BF97" w14:textId="77777777" w:rsidR="007E1C54" w:rsidRPr="00117BF8" w:rsidRDefault="0094524C" w:rsidP="002C3683">
      <w:pPr>
        <w:pStyle w:val="hsa"/>
        <w:rPr>
          <w:rFonts w:ascii="Arial" w:eastAsia="Calibri" w:hAnsi="Arial" w:cs="Arial"/>
          <w:sz w:val="22"/>
          <w:szCs w:val="22"/>
        </w:rPr>
      </w:pPr>
      <w:r w:rsidRPr="00117BF8">
        <w:rPr>
          <w:rFonts w:ascii="Arial" w:eastAsia="Calibri" w:hAnsi="Arial" w:cs="Arial"/>
          <w:sz w:val="22"/>
          <w:szCs w:val="22"/>
        </w:rPr>
        <w:t xml:space="preserve">En la tabla </w:t>
      </w:r>
      <w:r w:rsidR="00952785" w:rsidRPr="00117BF8">
        <w:rPr>
          <w:rFonts w:ascii="Arial" w:eastAsia="Calibri" w:hAnsi="Arial" w:cs="Arial"/>
          <w:sz w:val="22"/>
          <w:szCs w:val="22"/>
        </w:rPr>
        <w:t>11</w:t>
      </w:r>
      <w:r w:rsidRPr="00117BF8">
        <w:rPr>
          <w:rFonts w:ascii="Arial" w:eastAsia="Calibri" w:hAnsi="Arial" w:cs="Arial"/>
          <w:sz w:val="22"/>
          <w:szCs w:val="22"/>
        </w:rPr>
        <w:t xml:space="preserve"> se relacionan los recursos recaudados con </w:t>
      </w:r>
      <w:r w:rsidR="00952785" w:rsidRPr="00117BF8">
        <w:rPr>
          <w:rFonts w:ascii="Arial" w:eastAsia="Calibri" w:hAnsi="Arial" w:cs="Arial"/>
          <w:sz w:val="22"/>
          <w:szCs w:val="22"/>
        </w:rPr>
        <w:t>el presupuesto original</w:t>
      </w:r>
      <w:r w:rsidRPr="00117BF8">
        <w:rPr>
          <w:rFonts w:ascii="Arial" w:eastAsia="Calibri" w:hAnsi="Arial" w:cs="Arial"/>
          <w:sz w:val="22"/>
          <w:szCs w:val="22"/>
        </w:rPr>
        <w:t xml:space="preserve">, si bien los porcentajes de desvío son variables el análisis </w:t>
      </w:r>
      <w:r w:rsidR="00952785" w:rsidRPr="00117BF8">
        <w:rPr>
          <w:rFonts w:ascii="Arial" w:eastAsia="Calibri" w:hAnsi="Arial" w:cs="Arial"/>
          <w:sz w:val="22"/>
          <w:szCs w:val="22"/>
        </w:rPr>
        <w:t>se</w:t>
      </w:r>
      <w:r w:rsidRPr="00117BF8">
        <w:rPr>
          <w:rFonts w:ascii="Arial" w:eastAsia="Calibri" w:hAnsi="Arial" w:cs="Arial"/>
          <w:sz w:val="22"/>
          <w:szCs w:val="22"/>
        </w:rPr>
        <w:t xml:space="preserve"> centra en los de mayor representatividad (Ver última columna de la tabla)</w:t>
      </w:r>
      <w:r w:rsidR="002E0458" w:rsidRPr="00117BF8">
        <w:rPr>
          <w:rFonts w:ascii="Arial" w:eastAsia="Calibri" w:hAnsi="Arial" w:cs="Arial"/>
          <w:sz w:val="22"/>
          <w:szCs w:val="22"/>
        </w:rPr>
        <w:t>.</w:t>
      </w:r>
    </w:p>
    <w:p w14:paraId="33CAD11C" w14:textId="77777777" w:rsidR="002E0458" w:rsidRPr="00117BF8" w:rsidRDefault="002E0458" w:rsidP="002C3683">
      <w:pPr>
        <w:pStyle w:val="hsa"/>
        <w:rPr>
          <w:rFonts w:ascii="Arial" w:eastAsia="Calibri" w:hAnsi="Arial" w:cs="Arial"/>
          <w:sz w:val="22"/>
          <w:szCs w:val="22"/>
        </w:rPr>
      </w:pPr>
      <w:r w:rsidRPr="00117BF8">
        <w:rPr>
          <w:rFonts w:ascii="Arial" w:eastAsia="Calibri" w:hAnsi="Arial" w:cs="Arial"/>
          <w:sz w:val="22"/>
          <w:szCs w:val="22"/>
        </w:rPr>
        <w:t xml:space="preserve">Durante los años 2013 a 2015 se recaudó en conceptos de ingresos corrientes aproximadamente 12% más que lo calculado originalmente en el presupuesto, en el 2016 el desvío </w:t>
      </w:r>
      <w:r w:rsidR="002F1C82" w:rsidRPr="00117BF8">
        <w:rPr>
          <w:rFonts w:ascii="Arial" w:eastAsia="Calibri" w:hAnsi="Arial" w:cs="Arial"/>
          <w:sz w:val="22"/>
          <w:szCs w:val="22"/>
        </w:rPr>
        <w:t>subió</w:t>
      </w:r>
      <w:r w:rsidRPr="00117BF8">
        <w:rPr>
          <w:rFonts w:ascii="Arial" w:eastAsia="Calibri" w:hAnsi="Arial" w:cs="Arial"/>
          <w:sz w:val="22"/>
          <w:szCs w:val="22"/>
        </w:rPr>
        <w:t xml:space="preserve"> al 16%.</w:t>
      </w:r>
      <w:r w:rsidR="002F1C82" w:rsidRPr="00117BF8">
        <w:rPr>
          <w:rFonts w:ascii="Arial" w:eastAsia="Calibri" w:hAnsi="Arial" w:cs="Arial"/>
          <w:sz w:val="22"/>
          <w:szCs w:val="22"/>
        </w:rPr>
        <w:t xml:space="preserve"> Las principales razones de estos desvíos han sido comentadas previamente, en las próximas líneas se hace eje en los desvíos por rubro.</w:t>
      </w:r>
    </w:p>
    <w:tbl>
      <w:tblPr>
        <w:tblW w:w="8443" w:type="dxa"/>
        <w:jc w:val="center"/>
        <w:tblCellMar>
          <w:left w:w="70" w:type="dxa"/>
          <w:right w:w="70" w:type="dxa"/>
        </w:tblCellMar>
        <w:tblLook w:val="04A0" w:firstRow="1" w:lastRow="0" w:firstColumn="1" w:lastColumn="0" w:noHBand="0" w:noVBand="1"/>
      </w:tblPr>
      <w:tblGrid>
        <w:gridCol w:w="3417"/>
        <w:gridCol w:w="983"/>
        <w:gridCol w:w="983"/>
        <w:gridCol w:w="983"/>
        <w:gridCol w:w="983"/>
        <w:gridCol w:w="1143"/>
      </w:tblGrid>
      <w:tr w:rsidR="00B1577A" w:rsidRPr="004E6455" w14:paraId="49618A00" w14:textId="77777777" w:rsidTr="00197371">
        <w:trPr>
          <w:tblHeader/>
          <w:jc w:val="center"/>
        </w:trPr>
        <w:tc>
          <w:tcPr>
            <w:tcW w:w="8443" w:type="dxa"/>
            <w:gridSpan w:val="6"/>
            <w:tcBorders>
              <w:top w:val="single" w:sz="4" w:space="0" w:color="auto"/>
              <w:left w:val="single" w:sz="4" w:space="0" w:color="auto"/>
              <w:right w:val="single" w:sz="4" w:space="0" w:color="auto"/>
            </w:tcBorders>
            <w:shd w:val="clear" w:color="auto" w:fill="0070C0"/>
            <w:noWrap/>
            <w:vAlign w:val="center"/>
          </w:tcPr>
          <w:p w14:paraId="06C4DD11" w14:textId="77777777" w:rsidR="00B1577A" w:rsidRPr="00117BF8" w:rsidRDefault="00B1577A" w:rsidP="00117BF8">
            <w:pPr>
              <w:pStyle w:val="TablaE"/>
              <w:rPr>
                <w:rFonts w:ascii="Arial" w:hAnsi="Arial" w:cs="Arial"/>
                <w:sz w:val="22"/>
                <w:szCs w:val="22"/>
              </w:rPr>
            </w:pPr>
            <w:bookmarkStart w:id="43" w:name="_Toc493861121"/>
            <w:r w:rsidRPr="00117BF8">
              <w:rPr>
                <w:rFonts w:ascii="Arial" w:hAnsi="Arial" w:cs="Arial"/>
                <w:sz w:val="22"/>
                <w:szCs w:val="22"/>
              </w:rPr>
              <w:t xml:space="preserve">Tabla </w:t>
            </w:r>
            <w:r w:rsidR="00952785" w:rsidRPr="00117BF8">
              <w:rPr>
                <w:rFonts w:ascii="Arial" w:hAnsi="Arial" w:cs="Arial"/>
                <w:sz w:val="22"/>
                <w:szCs w:val="22"/>
              </w:rPr>
              <w:t>11</w:t>
            </w:r>
            <w:r w:rsidRPr="00117BF8">
              <w:rPr>
                <w:rFonts w:ascii="Arial" w:hAnsi="Arial" w:cs="Arial"/>
                <w:sz w:val="22"/>
                <w:szCs w:val="22"/>
              </w:rPr>
              <w:t xml:space="preserve"> – Recursos Ejecución</w:t>
            </w:r>
            <w:bookmarkEnd w:id="43"/>
          </w:p>
        </w:tc>
      </w:tr>
      <w:tr w:rsidR="0094524C" w:rsidRPr="004E6455" w14:paraId="4E9F34D4" w14:textId="77777777" w:rsidTr="00197371">
        <w:trPr>
          <w:tblHeader/>
          <w:jc w:val="center"/>
        </w:trPr>
        <w:tc>
          <w:tcPr>
            <w:tcW w:w="3417" w:type="dxa"/>
            <w:vMerge w:val="restart"/>
            <w:tcBorders>
              <w:top w:val="single" w:sz="4" w:space="0" w:color="auto"/>
              <w:left w:val="single" w:sz="4" w:space="0" w:color="auto"/>
              <w:right w:val="single" w:sz="4" w:space="0" w:color="auto"/>
            </w:tcBorders>
            <w:shd w:val="clear" w:color="auto" w:fill="0070C0"/>
            <w:noWrap/>
            <w:vAlign w:val="center"/>
          </w:tcPr>
          <w:p w14:paraId="3DF7FE03" w14:textId="77777777" w:rsidR="0094524C" w:rsidRPr="00117BF8" w:rsidRDefault="00FA40DC" w:rsidP="00B1577A">
            <w:pPr>
              <w:pStyle w:val="TablaE"/>
              <w:rPr>
                <w:rFonts w:ascii="Arial" w:hAnsi="Arial" w:cs="Arial"/>
              </w:rPr>
            </w:pPr>
            <w:r w:rsidRPr="00117BF8">
              <w:rPr>
                <w:rFonts w:ascii="Arial" w:hAnsi="Arial" w:cs="Arial"/>
                <w:sz w:val="22"/>
                <w:szCs w:val="22"/>
              </w:rPr>
              <w:t>Concepto</w:t>
            </w:r>
          </w:p>
        </w:tc>
        <w:tc>
          <w:tcPr>
            <w:tcW w:w="3932"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6DD89506" w14:textId="77777777" w:rsidR="0094524C" w:rsidRPr="00117BF8" w:rsidRDefault="0094524C" w:rsidP="00B1577A">
            <w:pPr>
              <w:pStyle w:val="TablaE"/>
              <w:rPr>
                <w:rFonts w:ascii="Arial" w:hAnsi="Arial" w:cs="Arial"/>
                <w:sz w:val="22"/>
                <w:szCs w:val="22"/>
              </w:rPr>
            </w:pPr>
            <w:r w:rsidRPr="00117BF8">
              <w:rPr>
                <w:rFonts w:ascii="Arial" w:hAnsi="Arial" w:cs="Arial"/>
                <w:sz w:val="22"/>
                <w:szCs w:val="22"/>
              </w:rPr>
              <w:t>Ejecutado/Presupuestado</w:t>
            </w:r>
          </w:p>
        </w:tc>
        <w:tc>
          <w:tcPr>
            <w:tcW w:w="1094" w:type="dxa"/>
            <w:vMerge w:val="restart"/>
            <w:tcBorders>
              <w:top w:val="single" w:sz="4" w:space="0" w:color="auto"/>
              <w:left w:val="single" w:sz="4" w:space="0" w:color="auto"/>
              <w:right w:val="single" w:sz="4" w:space="0" w:color="auto"/>
            </w:tcBorders>
            <w:shd w:val="clear" w:color="auto" w:fill="0070C0"/>
          </w:tcPr>
          <w:p w14:paraId="28DA0283" w14:textId="77777777" w:rsidR="0094524C" w:rsidRPr="00117BF8" w:rsidRDefault="0094524C" w:rsidP="00B1577A">
            <w:pPr>
              <w:pStyle w:val="TablaE"/>
              <w:rPr>
                <w:rFonts w:ascii="Arial" w:hAnsi="Arial" w:cs="Arial"/>
                <w:sz w:val="22"/>
                <w:szCs w:val="22"/>
              </w:rPr>
            </w:pPr>
            <w:r w:rsidRPr="00117BF8">
              <w:rPr>
                <w:rFonts w:ascii="Arial" w:hAnsi="Arial" w:cs="Arial"/>
                <w:sz w:val="22"/>
                <w:szCs w:val="22"/>
              </w:rPr>
              <w:t>Participa-ción / Recursos Totales</w:t>
            </w:r>
          </w:p>
        </w:tc>
      </w:tr>
      <w:tr w:rsidR="0094524C" w:rsidRPr="004E6455" w14:paraId="6AFF1A0B" w14:textId="77777777" w:rsidTr="00197371">
        <w:trPr>
          <w:tblHeader/>
          <w:jc w:val="center"/>
        </w:trPr>
        <w:tc>
          <w:tcPr>
            <w:tcW w:w="3417" w:type="dxa"/>
            <w:vMerge/>
            <w:tcBorders>
              <w:left w:val="single" w:sz="4" w:space="0" w:color="auto"/>
              <w:bottom w:val="single" w:sz="4" w:space="0" w:color="auto"/>
              <w:right w:val="single" w:sz="4" w:space="0" w:color="auto"/>
            </w:tcBorders>
            <w:shd w:val="clear" w:color="auto" w:fill="auto"/>
            <w:noWrap/>
            <w:vAlign w:val="center"/>
            <w:hideMark/>
          </w:tcPr>
          <w:p w14:paraId="4CBA8FAB" w14:textId="77777777" w:rsidR="0094524C" w:rsidRPr="00117BF8" w:rsidRDefault="0094524C" w:rsidP="001D5546">
            <w:pPr>
              <w:pStyle w:val="TablaE"/>
              <w:rPr>
                <w:rFonts w:ascii="Arial" w:hAnsi="Arial" w:cs="Arial"/>
                <w:lang w:val="es-AR" w:eastAsia="es-AR"/>
              </w:rPr>
            </w:pPr>
          </w:p>
        </w:tc>
        <w:tc>
          <w:tcPr>
            <w:tcW w:w="98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26671E" w14:textId="77777777" w:rsidR="0094524C" w:rsidRPr="00117BF8" w:rsidRDefault="0094524C" w:rsidP="001D5546">
            <w:pPr>
              <w:pStyle w:val="TablaE"/>
              <w:rPr>
                <w:rFonts w:ascii="Arial" w:hAnsi="Arial" w:cs="Arial"/>
                <w:sz w:val="22"/>
                <w:szCs w:val="22"/>
                <w:lang w:val="es-AR" w:eastAsia="es-AR"/>
              </w:rPr>
            </w:pPr>
            <w:r w:rsidRPr="00117BF8">
              <w:rPr>
                <w:rFonts w:ascii="Arial" w:hAnsi="Arial" w:cs="Arial"/>
                <w:sz w:val="22"/>
                <w:szCs w:val="22"/>
                <w:lang w:val="es-AR" w:eastAsia="es-AR"/>
              </w:rPr>
              <w:t>2013</w:t>
            </w:r>
          </w:p>
        </w:tc>
        <w:tc>
          <w:tcPr>
            <w:tcW w:w="98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84EB520" w14:textId="77777777" w:rsidR="0094524C" w:rsidRPr="00117BF8" w:rsidRDefault="0094524C" w:rsidP="001D5546">
            <w:pPr>
              <w:pStyle w:val="TablaE"/>
              <w:rPr>
                <w:rFonts w:ascii="Arial" w:hAnsi="Arial" w:cs="Arial"/>
                <w:sz w:val="22"/>
                <w:szCs w:val="22"/>
                <w:lang w:val="es-AR" w:eastAsia="es-AR"/>
              </w:rPr>
            </w:pPr>
            <w:r w:rsidRPr="00117BF8">
              <w:rPr>
                <w:rFonts w:ascii="Arial" w:hAnsi="Arial" w:cs="Arial"/>
                <w:sz w:val="22"/>
                <w:szCs w:val="22"/>
                <w:lang w:val="es-AR" w:eastAsia="es-AR"/>
              </w:rPr>
              <w:t>2014</w:t>
            </w:r>
          </w:p>
        </w:tc>
        <w:tc>
          <w:tcPr>
            <w:tcW w:w="98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E87748D" w14:textId="77777777" w:rsidR="0094524C" w:rsidRPr="00117BF8" w:rsidRDefault="0094524C" w:rsidP="001D5546">
            <w:pPr>
              <w:pStyle w:val="TablaE"/>
              <w:rPr>
                <w:rFonts w:ascii="Arial" w:hAnsi="Arial" w:cs="Arial"/>
                <w:sz w:val="22"/>
                <w:szCs w:val="22"/>
                <w:lang w:val="es-AR" w:eastAsia="es-AR"/>
              </w:rPr>
            </w:pPr>
            <w:r w:rsidRPr="00117BF8">
              <w:rPr>
                <w:rFonts w:ascii="Arial" w:hAnsi="Arial" w:cs="Arial"/>
                <w:sz w:val="22"/>
                <w:szCs w:val="22"/>
                <w:lang w:val="es-AR" w:eastAsia="es-AR"/>
              </w:rPr>
              <w:t>2015</w:t>
            </w:r>
          </w:p>
        </w:tc>
        <w:tc>
          <w:tcPr>
            <w:tcW w:w="98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D8F1C98" w14:textId="77777777" w:rsidR="0094524C" w:rsidRPr="00117BF8" w:rsidRDefault="0094524C" w:rsidP="001D5546">
            <w:pPr>
              <w:pStyle w:val="TablaE"/>
              <w:rPr>
                <w:rFonts w:ascii="Arial" w:hAnsi="Arial" w:cs="Arial"/>
                <w:sz w:val="22"/>
                <w:szCs w:val="22"/>
                <w:lang w:val="es-AR" w:eastAsia="es-AR"/>
              </w:rPr>
            </w:pPr>
            <w:r w:rsidRPr="00117BF8">
              <w:rPr>
                <w:rFonts w:ascii="Arial" w:hAnsi="Arial" w:cs="Arial"/>
                <w:sz w:val="22"/>
                <w:szCs w:val="22"/>
              </w:rPr>
              <w:t>2016</w:t>
            </w:r>
          </w:p>
        </w:tc>
        <w:tc>
          <w:tcPr>
            <w:tcW w:w="1094" w:type="dxa"/>
            <w:vMerge/>
            <w:tcBorders>
              <w:left w:val="single" w:sz="4" w:space="0" w:color="auto"/>
              <w:bottom w:val="single" w:sz="4" w:space="0" w:color="auto"/>
              <w:right w:val="single" w:sz="4" w:space="0" w:color="auto"/>
            </w:tcBorders>
            <w:shd w:val="clear" w:color="auto" w:fill="92CDDC"/>
          </w:tcPr>
          <w:p w14:paraId="46489EC1" w14:textId="77777777" w:rsidR="0094524C" w:rsidRPr="00117BF8" w:rsidRDefault="0094524C" w:rsidP="001D5546">
            <w:pPr>
              <w:pStyle w:val="TablaE"/>
              <w:rPr>
                <w:rFonts w:ascii="Arial" w:hAnsi="Arial" w:cs="Arial"/>
                <w:lang w:val="es-AR" w:eastAsia="es-AR"/>
              </w:rPr>
            </w:pPr>
          </w:p>
        </w:tc>
      </w:tr>
      <w:tr w:rsidR="00DA3942" w:rsidRPr="003C4F96" w14:paraId="2232E6B5" w14:textId="77777777" w:rsidTr="00197371">
        <w:trPr>
          <w:trHeight w:val="300"/>
          <w:jc w:val="center"/>
        </w:trPr>
        <w:tc>
          <w:tcPr>
            <w:tcW w:w="3417"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57970038"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INGRESOS CORRIENTES</w:t>
            </w:r>
          </w:p>
        </w:tc>
        <w:tc>
          <w:tcPr>
            <w:tcW w:w="98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56F057A8"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 </w:t>
            </w:r>
          </w:p>
        </w:tc>
        <w:tc>
          <w:tcPr>
            <w:tcW w:w="98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5D5FB6C6"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 </w:t>
            </w:r>
          </w:p>
        </w:tc>
        <w:tc>
          <w:tcPr>
            <w:tcW w:w="98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3BF3B59A"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 </w:t>
            </w:r>
          </w:p>
        </w:tc>
        <w:tc>
          <w:tcPr>
            <w:tcW w:w="983"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14:paraId="0F8AAF76"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 </w:t>
            </w:r>
          </w:p>
        </w:tc>
        <w:tc>
          <w:tcPr>
            <w:tcW w:w="1094" w:type="dxa"/>
            <w:tcBorders>
              <w:top w:val="single" w:sz="4" w:space="0" w:color="auto"/>
              <w:left w:val="single" w:sz="4" w:space="0" w:color="auto"/>
              <w:bottom w:val="dashed" w:sz="4" w:space="0" w:color="auto"/>
              <w:right w:val="single" w:sz="4" w:space="0" w:color="auto"/>
            </w:tcBorders>
            <w:shd w:val="clear" w:color="auto" w:fill="92CDDC"/>
          </w:tcPr>
          <w:p w14:paraId="567A0587" w14:textId="77777777" w:rsidR="00DA3942" w:rsidRPr="00117BF8" w:rsidRDefault="00DA3942" w:rsidP="00B1577A">
            <w:pPr>
              <w:pStyle w:val="TablaC"/>
              <w:rPr>
                <w:rFonts w:ascii="Arial" w:hAnsi="Arial" w:cs="Arial"/>
                <w:sz w:val="18"/>
                <w:szCs w:val="18"/>
              </w:rPr>
            </w:pPr>
          </w:p>
        </w:tc>
      </w:tr>
      <w:tr w:rsidR="00DA3942" w:rsidRPr="003C4F96" w14:paraId="2B4CEF32" w14:textId="77777777" w:rsidTr="00197371">
        <w:trPr>
          <w:trHeight w:val="300"/>
          <w:jc w:val="center"/>
        </w:trPr>
        <w:tc>
          <w:tcPr>
            <w:tcW w:w="3417" w:type="dxa"/>
            <w:tcBorders>
              <w:top w:val="dashed" w:sz="4" w:space="0" w:color="auto"/>
              <w:left w:val="single" w:sz="4" w:space="0" w:color="auto"/>
              <w:bottom w:val="nil"/>
              <w:right w:val="single" w:sz="4" w:space="0" w:color="auto"/>
            </w:tcBorders>
            <w:shd w:val="clear" w:color="auto" w:fill="auto"/>
            <w:noWrap/>
            <w:vAlign w:val="bottom"/>
            <w:hideMark/>
          </w:tcPr>
          <w:p w14:paraId="15C97F5B"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Ingresos Tributarios</w:t>
            </w:r>
          </w:p>
        </w:tc>
        <w:tc>
          <w:tcPr>
            <w:tcW w:w="983" w:type="dxa"/>
            <w:tcBorders>
              <w:top w:val="dashed" w:sz="4" w:space="0" w:color="auto"/>
              <w:left w:val="single" w:sz="4" w:space="0" w:color="auto"/>
              <w:bottom w:val="nil"/>
              <w:right w:val="single" w:sz="4" w:space="0" w:color="auto"/>
            </w:tcBorders>
            <w:shd w:val="clear" w:color="auto" w:fill="auto"/>
            <w:noWrap/>
            <w:vAlign w:val="bottom"/>
            <w:hideMark/>
          </w:tcPr>
          <w:p w14:paraId="6E27721D"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9%</w:t>
            </w:r>
          </w:p>
        </w:tc>
        <w:tc>
          <w:tcPr>
            <w:tcW w:w="983" w:type="dxa"/>
            <w:tcBorders>
              <w:top w:val="dashed" w:sz="4" w:space="0" w:color="auto"/>
              <w:left w:val="single" w:sz="4" w:space="0" w:color="auto"/>
              <w:bottom w:val="nil"/>
              <w:right w:val="single" w:sz="4" w:space="0" w:color="auto"/>
            </w:tcBorders>
            <w:shd w:val="clear" w:color="auto" w:fill="auto"/>
            <w:noWrap/>
            <w:vAlign w:val="bottom"/>
            <w:hideMark/>
          </w:tcPr>
          <w:p w14:paraId="7A51BB3E"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5%</w:t>
            </w:r>
          </w:p>
        </w:tc>
        <w:tc>
          <w:tcPr>
            <w:tcW w:w="983" w:type="dxa"/>
            <w:tcBorders>
              <w:top w:val="dashed" w:sz="4" w:space="0" w:color="auto"/>
              <w:left w:val="single" w:sz="4" w:space="0" w:color="auto"/>
              <w:bottom w:val="nil"/>
              <w:right w:val="single" w:sz="4" w:space="0" w:color="auto"/>
            </w:tcBorders>
            <w:shd w:val="clear" w:color="auto" w:fill="auto"/>
            <w:noWrap/>
            <w:vAlign w:val="bottom"/>
            <w:hideMark/>
          </w:tcPr>
          <w:p w14:paraId="2C892B57"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4%</w:t>
            </w:r>
          </w:p>
        </w:tc>
        <w:tc>
          <w:tcPr>
            <w:tcW w:w="983" w:type="dxa"/>
            <w:tcBorders>
              <w:top w:val="dashed" w:sz="4" w:space="0" w:color="auto"/>
              <w:left w:val="single" w:sz="4" w:space="0" w:color="auto"/>
              <w:bottom w:val="nil"/>
              <w:right w:val="single" w:sz="4" w:space="0" w:color="auto"/>
            </w:tcBorders>
            <w:shd w:val="clear" w:color="auto" w:fill="auto"/>
            <w:noWrap/>
            <w:vAlign w:val="bottom"/>
            <w:hideMark/>
          </w:tcPr>
          <w:p w14:paraId="25507F26"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8%</w:t>
            </w:r>
          </w:p>
        </w:tc>
        <w:tc>
          <w:tcPr>
            <w:tcW w:w="1094" w:type="dxa"/>
            <w:tcBorders>
              <w:top w:val="dashed" w:sz="4" w:space="0" w:color="auto"/>
              <w:left w:val="single" w:sz="4" w:space="0" w:color="auto"/>
              <w:bottom w:val="nil"/>
              <w:right w:val="single" w:sz="4" w:space="0" w:color="auto"/>
            </w:tcBorders>
            <w:shd w:val="clear" w:color="auto" w:fill="92CDDC"/>
            <w:vAlign w:val="bottom"/>
          </w:tcPr>
          <w:p w14:paraId="1C2AA6C7"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72%</w:t>
            </w:r>
          </w:p>
        </w:tc>
      </w:tr>
      <w:tr w:rsidR="00DA3942" w:rsidRPr="003C4F96" w14:paraId="5C80916C" w14:textId="77777777" w:rsidTr="00197371">
        <w:trPr>
          <w:trHeight w:val="300"/>
          <w:jc w:val="center"/>
        </w:trPr>
        <w:tc>
          <w:tcPr>
            <w:tcW w:w="3417" w:type="dxa"/>
            <w:tcBorders>
              <w:top w:val="nil"/>
              <w:left w:val="single" w:sz="4" w:space="0" w:color="auto"/>
              <w:bottom w:val="nil"/>
              <w:right w:val="single" w:sz="4" w:space="0" w:color="auto"/>
            </w:tcBorders>
            <w:shd w:val="clear" w:color="auto" w:fill="auto"/>
            <w:noWrap/>
            <w:vAlign w:val="bottom"/>
            <w:hideMark/>
          </w:tcPr>
          <w:p w14:paraId="41810EE8"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De Origen Provincial</w:t>
            </w:r>
          </w:p>
        </w:tc>
        <w:tc>
          <w:tcPr>
            <w:tcW w:w="983" w:type="dxa"/>
            <w:tcBorders>
              <w:top w:val="nil"/>
              <w:left w:val="single" w:sz="4" w:space="0" w:color="auto"/>
              <w:bottom w:val="nil"/>
              <w:right w:val="single" w:sz="4" w:space="0" w:color="auto"/>
            </w:tcBorders>
            <w:shd w:val="clear" w:color="auto" w:fill="auto"/>
            <w:noWrap/>
            <w:vAlign w:val="bottom"/>
            <w:hideMark/>
          </w:tcPr>
          <w:p w14:paraId="0F25A789"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10%</w:t>
            </w:r>
          </w:p>
        </w:tc>
        <w:tc>
          <w:tcPr>
            <w:tcW w:w="983" w:type="dxa"/>
            <w:tcBorders>
              <w:top w:val="nil"/>
              <w:left w:val="single" w:sz="4" w:space="0" w:color="auto"/>
              <w:bottom w:val="nil"/>
              <w:right w:val="single" w:sz="4" w:space="0" w:color="auto"/>
            </w:tcBorders>
            <w:shd w:val="clear" w:color="auto" w:fill="auto"/>
            <w:noWrap/>
            <w:vAlign w:val="bottom"/>
            <w:hideMark/>
          </w:tcPr>
          <w:p w14:paraId="3298F0A9"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3%</w:t>
            </w:r>
          </w:p>
        </w:tc>
        <w:tc>
          <w:tcPr>
            <w:tcW w:w="983" w:type="dxa"/>
            <w:tcBorders>
              <w:top w:val="nil"/>
              <w:left w:val="single" w:sz="4" w:space="0" w:color="auto"/>
              <w:bottom w:val="nil"/>
              <w:right w:val="single" w:sz="4" w:space="0" w:color="auto"/>
            </w:tcBorders>
            <w:shd w:val="clear" w:color="auto" w:fill="auto"/>
            <w:noWrap/>
            <w:vAlign w:val="bottom"/>
            <w:hideMark/>
          </w:tcPr>
          <w:p w14:paraId="30555E95"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w:t>
            </w:r>
          </w:p>
        </w:tc>
        <w:tc>
          <w:tcPr>
            <w:tcW w:w="983" w:type="dxa"/>
            <w:tcBorders>
              <w:top w:val="nil"/>
              <w:left w:val="single" w:sz="4" w:space="0" w:color="auto"/>
              <w:bottom w:val="nil"/>
              <w:right w:val="single" w:sz="4" w:space="0" w:color="auto"/>
            </w:tcBorders>
            <w:shd w:val="clear" w:color="auto" w:fill="auto"/>
            <w:noWrap/>
            <w:vAlign w:val="bottom"/>
            <w:hideMark/>
          </w:tcPr>
          <w:p w14:paraId="561A5624"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8%</w:t>
            </w:r>
          </w:p>
        </w:tc>
        <w:tc>
          <w:tcPr>
            <w:tcW w:w="1094" w:type="dxa"/>
            <w:tcBorders>
              <w:top w:val="nil"/>
              <w:left w:val="single" w:sz="4" w:space="0" w:color="auto"/>
              <w:bottom w:val="nil"/>
              <w:right w:val="single" w:sz="4" w:space="0" w:color="auto"/>
            </w:tcBorders>
            <w:shd w:val="clear" w:color="auto" w:fill="92CDDC"/>
            <w:vAlign w:val="bottom"/>
          </w:tcPr>
          <w:p w14:paraId="4B677F04"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43%</w:t>
            </w:r>
          </w:p>
        </w:tc>
      </w:tr>
      <w:tr w:rsidR="00DA3942" w:rsidRPr="003C4F96" w14:paraId="3BAF0EC3" w14:textId="77777777" w:rsidTr="00197371">
        <w:trPr>
          <w:trHeight w:val="300"/>
          <w:jc w:val="center"/>
        </w:trPr>
        <w:tc>
          <w:tcPr>
            <w:tcW w:w="3417" w:type="dxa"/>
            <w:tcBorders>
              <w:top w:val="nil"/>
              <w:left w:val="single" w:sz="4" w:space="0" w:color="auto"/>
              <w:bottom w:val="dashed" w:sz="4" w:space="0" w:color="auto"/>
              <w:right w:val="single" w:sz="4" w:space="0" w:color="auto"/>
            </w:tcBorders>
            <w:shd w:val="clear" w:color="auto" w:fill="auto"/>
            <w:noWrap/>
            <w:vAlign w:val="bottom"/>
            <w:hideMark/>
          </w:tcPr>
          <w:p w14:paraId="4B57B553"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De Origen Nacional</w:t>
            </w:r>
          </w:p>
        </w:tc>
        <w:tc>
          <w:tcPr>
            <w:tcW w:w="983" w:type="dxa"/>
            <w:tcBorders>
              <w:top w:val="nil"/>
              <w:left w:val="single" w:sz="4" w:space="0" w:color="auto"/>
              <w:bottom w:val="dashed" w:sz="4" w:space="0" w:color="auto"/>
              <w:right w:val="single" w:sz="4" w:space="0" w:color="auto"/>
            </w:tcBorders>
            <w:shd w:val="clear" w:color="auto" w:fill="auto"/>
            <w:noWrap/>
            <w:vAlign w:val="bottom"/>
            <w:hideMark/>
          </w:tcPr>
          <w:p w14:paraId="7ED409DD"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8%</w:t>
            </w:r>
          </w:p>
        </w:tc>
        <w:tc>
          <w:tcPr>
            <w:tcW w:w="983" w:type="dxa"/>
            <w:tcBorders>
              <w:top w:val="nil"/>
              <w:left w:val="single" w:sz="4" w:space="0" w:color="auto"/>
              <w:bottom w:val="dashed" w:sz="4" w:space="0" w:color="auto"/>
              <w:right w:val="single" w:sz="4" w:space="0" w:color="auto"/>
            </w:tcBorders>
            <w:shd w:val="clear" w:color="auto" w:fill="auto"/>
            <w:noWrap/>
            <w:vAlign w:val="bottom"/>
            <w:hideMark/>
          </w:tcPr>
          <w:p w14:paraId="278B65E3"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9%</w:t>
            </w:r>
          </w:p>
        </w:tc>
        <w:tc>
          <w:tcPr>
            <w:tcW w:w="983" w:type="dxa"/>
            <w:tcBorders>
              <w:top w:val="nil"/>
              <w:left w:val="single" w:sz="4" w:space="0" w:color="auto"/>
              <w:bottom w:val="dashed" w:sz="4" w:space="0" w:color="auto"/>
              <w:right w:val="single" w:sz="4" w:space="0" w:color="auto"/>
            </w:tcBorders>
            <w:shd w:val="clear" w:color="auto" w:fill="auto"/>
            <w:noWrap/>
            <w:vAlign w:val="bottom"/>
            <w:hideMark/>
          </w:tcPr>
          <w:p w14:paraId="29D08005"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8%</w:t>
            </w:r>
          </w:p>
        </w:tc>
        <w:tc>
          <w:tcPr>
            <w:tcW w:w="983" w:type="dxa"/>
            <w:tcBorders>
              <w:top w:val="nil"/>
              <w:left w:val="single" w:sz="4" w:space="0" w:color="auto"/>
              <w:bottom w:val="dashed" w:sz="4" w:space="0" w:color="auto"/>
              <w:right w:val="single" w:sz="4" w:space="0" w:color="auto"/>
            </w:tcBorders>
            <w:shd w:val="clear" w:color="auto" w:fill="auto"/>
            <w:noWrap/>
            <w:vAlign w:val="bottom"/>
            <w:hideMark/>
          </w:tcPr>
          <w:p w14:paraId="3ECC0F64"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8%</w:t>
            </w:r>
          </w:p>
        </w:tc>
        <w:tc>
          <w:tcPr>
            <w:tcW w:w="1094" w:type="dxa"/>
            <w:tcBorders>
              <w:top w:val="nil"/>
              <w:left w:val="single" w:sz="4" w:space="0" w:color="auto"/>
              <w:bottom w:val="dashed" w:sz="4" w:space="0" w:color="auto"/>
              <w:right w:val="single" w:sz="4" w:space="0" w:color="auto"/>
            </w:tcBorders>
            <w:shd w:val="clear" w:color="auto" w:fill="92CDDC"/>
            <w:vAlign w:val="bottom"/>
          </w:tcPr>
          <w:p w14:paraId="3577456C"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29%</w:t>
            </w:r>
          </w:p>
        </w:tc>
      </w:tr>
      <w:tr w:rsidR="00DA3942" w:rsidRPr="003C4F96" w14:paraId="169D0E73" w14:textId="77777777" w:rsidTr="00197371">
        <w:trPr>
          <w:trHeight w:val="300"/>
          <w:jc w:val="center"/>
        </w:trPr>
        <w:tc>
          <w:tcPr>
            <w:tcW w:w="3417"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45D6101A"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Aportes y Contribuciones</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4034974D"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24%</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3C9D475B"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30%</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78C7347D"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40%</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0D3595BA"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19%</w:t>
            </w:r>
          </w:p>
        </w:tc>
        <w:tc>
          <w:tcPr>
            <w:tcW w:w="1094" w:type="dxa"/>
            <w:tcBorders>
              <w:top w:val="dashed" w:sz="4" w:space="0" w:color="auto"/>
              <w:left w:val="single" w:sz="4" w:space="0" w:color="auto"/>
              <w:bottom w:val="dashed" w:sz="4" w:space="0" w:color="auto"/>
              <w:right w:val="single" w:sz="4" w:space="0" w:color="auto"/>
            </w:tcBorders>
            <w:shd w:val="clear" w:color="auto" w:fill="92CDDC"/>
            <w:vAlign w:val="bottom"/>
          </w:tcPr>
          <w:p w14:paraId="5BBDACDA"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17%</w:t>
            </w:r>
          </w:p>
        </w:tc>
      </w:tr>
      <w:tr w:rsidR="00DA3942" w:rsidRPr="003C4F96" w14:paraId="1998F362" w14:textId="77777777" w:rsidTr="00197371">
        <w:trPr>
          <w:trHeight w:val="300"/>
          <w:jc w:val="center"/>
        </w:trPr>
        <w:tc>
          <w:tcPr>
            <w:tcW w:w="3417" w:type="dxa"/>
            <w:tcBorders>
              <w:top w:val="dashed" w:sz="4" w:space="0" w:color="auto"/>
              <w:left w:val="single" w:sz="4" w:space="0" w:color="auto"/>
              <w:bottom w:val="nil"/>
              <w:right w:val="single" w:sz="4" w:space="0" w:color="auto"/>
            </w:tcBorders>
            <w:shd w:val="clear" w:color="auto" w:fill="auto"/>
            <w:noWrap/>
            <w:vAlign w:val="bottom"/>
            <w:hideMark/>
          </w:tcPr>
          <w:p w14:paraId="224010CB"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Ingresos no Tributarios</w:t>
            </w:r>
          </w:p>
        </w:tc>
        <w:tc>
          <w:tcPr>
            <w:tcW w:w="983" w:type="dxa"/>
            <w:tcBorders>
              <w:top w:val="dashed" w:sz="4" w:space="0" w:color="auto"/>
              <w:left w:val="single" w:sz="4" w:space="0" w:color="auto"/>
              <w:bottom w:val="nil"/>
              <w:right w:val="single" w:sz="4" w:space="0" w:color="auto"/>
            </w:tcBorders>
            <w:shd w:val="clear" w:color="auto" w:fill="auto"/>
            <w:noWrap/>
            <w:vAlign w:val="bottom"/>
            <w:hideMark/>
          </w:tcPr>
          <w:p w14:paraId="0ED10C5F"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78%</w:t>
            </w:r>
          </w:p>
        </w:tc>
        <w:tc>
          <w:tcPr>
            <w:tcW w:w="983" w:type="dxa"/>
            <w:tcBorders>
              <w:top w:val="dashed" w:sz="4" w:space="0" w:color="auto"/>
              <w:left w:val="single" w:sz="4" w:space="0" w:color="auto"/>
              <w:bottom w:val="nil"/>
              <w:right w:val="single" w:sz="4" w:space="0" w:color="auto"/>
            </w:tcBorders>
            <w:shd w:val="clear" w:color="auto" w:fill="auto"/>
            <w:noWrap/>
            <w:vAlign w:val="bottom"/>
            <w:hideMark/>
          </w:tcPr>
          <w:p w14:paraId="04D45D13"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41%</w:t>
            </w:r>
          </w:p>
        </w:tc>
        <w:tc>
          <w:tcPr>
            <w:tcW w:w="983" w:type="dxa"/>
            <w:tcBorders>
              <w:top w:val="dashed" w:sz="4" w:space="0" w:color="auto"/>
              <w:left w:val="single" w:sz="4" w:space="0" w:color="auto"/>
              <w:bottom w:val="nil"/>
              <w:right w:val="single" w:sz="4" w:space="0" w:color="auto"/>
            </w:tcBorders>
            <w:shd w:val="clear" w:color="auto" w:fill="auto"/>
            <w:noWrap/>
            <w:vAlign w:val="bottom"/>
            <w:hideMark/>
          </w:tcPr>
          <w:p w14:paraId="62035D18"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53%</w:t>
            </w:r>
          </w:p>
        </w:tc>
        <w:tc>
          <w:tcPr>
            <w:tcW w:w="983" w:type="dxa"/>
            <w:tcBorders>
              <w:top w:val="dashed" w:sz="4" w:space="0" w:color="auto"/>
              <w:left w:val="single" w:sz="4" w:space="0" w:color="auto"/>
              <w:bottom w:val="nil"/>
              <w:right w:val="single" w:sz="4" w:space="0" w:color="auto"/>
            </w:tcBorders>
            <w:shd w:val="clear" w:color="auto" w:fill="auto"/>
            <w:noWrap/>
            <w:vAlign w:val="bottom"/>
            <w:hideMark/>
          </w:tcPr>
          <w:p w14:paraId="36174E97"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90%</w:t>
            </w:r>
          </w:p>
        </w:tc>
        <w:tc>
          <w:tcPr>
            <w:tcW w:w="1094" w:type="dxa"/>
            <w:tcBorders>
              <w:top w:val="dashed" w:sz="4" w:space="0" w:color="auto"/>
              <w:left w:val="single" w:sz="4" w:space="0" w:color="auto"/>
              <w:bottom w:val="nil"/>
              <w:right w:val="single" w:sz="4" w:space="0" w:color="auto"/>
            </w:tcBorders>
            <w:shd w:val="clear" w:color="auto" w:fill="92CDDC"/>
            <w:vAlign w:val="bottom"/>
          </w:tcPr>
          <w:p w14:paraId="372ECDC6"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w:t>
            </w:r>
          </w:p>
        </w:tc>
      </w:tr>
      <w:tr w:rsidR="00DA3942" w:rsidRPr="003C4F96" w14:paraId="084D3242" w14:textId="77777777" w:rsidTr="00197371">
        <w:trPr>
          <w:trHeight w:val="300"/>
          <w:jc w:val="center"/>
        </w:trPr>
        <w:tc>
          <w:tcPr>
            <w:tcW w:w="3417" w:type="dxa"/>
            <w:tcBorders>
              <w:top w:val="nil"/>
              <w:left w:val="single" w:sz="4" w:space="0" w:color="auto"/>
              <w:bottom w:val="nil"/>
              <w:right w:val="single" w:sz="4" w:space="0" w:color="auto"/>
            </w:tcBorders>
            <w:shd w:val="clear" w:color="auto" w:fill="auto"/>
            <w:noWrap/>
            <w:vAlign w:val="bottom"/>
            <w:hideMark/>
          </w:tcPr>
          <w:p w14:paraId="1BBDB0E6"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De Origen Provincial</w:t>
            </w:r>
          </w:p>
        </w:tc>
        <w:tc>
          <w:tcPr>
            <w:tcW w:w="983" w:type="dxa"/>
            <w:tcBorders>
              <w:top w:val="nil"/>
              <w:left w:val="single" w:sz="4" w:space="0" w:color="auto"/>
              <w:bottom w:val="nil"/>
              <w:right w:val="single" w:sz="4" w:space="0" w:color="auto"/>
            </w:tcBorders>
            <w:shd w:val="clear" w:color="auto" w:fill="auto"/>
            <w:noWrap/>
            <w:vAlign w:val="bottom"/>
            <w:hideMark/>
          </w:tcPr>
          <w:p w14:paraId="5738272B"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78%</w:t>
            </w:r>
          </w:p>
        </w:tc>
        <w:tc>
          <w:tcPr>
            <w:tcW w:w="983" w:type="dxa"/>
            <w:tcBorders>
              <w:top w:val="nil"/>
              <w:left w:val="single" w:sz="4" w:space="0" w:color="auto"/>
              <w:bottom w:val="nil"/>
              <w:right w:val="single" w:sz="4" w:space="0" w:color="auto"/>
            </w:tcBorders>
            <w:shd w:val="clear" w:color="auto" w:fill="auto"/>
            <w:noWrap/>
            <w:vAlign w:val="bottom"/>
            <w:hideMark/>
          </w:tcPr>
          <w:p w14:paraId="20437EA1"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41%</w:t>
            </w:r>
          </w:p>
        </w:tc>
        <w:tc>
          <w:tcPr>
            <w:tcW w:w="983" w:type="dxa"/>
            <w:tcBorders>
              <w:top w:val="nil"/>
              <w:left w:val="single" w:sz="4" w:space="0" w:color="auto"/>
              <w:bottom w:val="nil"/>
              <w:right w:val="single" w:sz="4" w:space="0" w:color="auto"/>
            </w:tcBorders>
            <w:shd w:val="clear" w:color="auto" w:fill="auto"/>
            <w:noWrap/>
            <w:vAlign w:val="bottom"/>
            <w:hideMark/>
          </w:tcPr>
          <w:p w14:paraId="585DB071"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53%</w:t>
            </w:r>
          </w:p>
        </w:tc>
        <w:tc>
          <w:tcPr>
            <w:tcW w:w="983" w:type="dxa"/>
            <w:tcBorders>
              <w:top w:val="nil"/>
              <w:left w:val="single" w:sz="4" w:space="0" w:color="auto"/>
              <w:bottom w:val="nil"/>
              <w:right w:val="single" w:sz="4" w:space="0" w:color="auto"/>
            </w:tcBorders>
            <w:shd w:val="clear" w:color="auto" w:fill="auto"/>
            <w:noWrap/>
            <w:vAlign w:val="bottom"/>
            <w:hideMark/>
          </w:tcPr>
          <w:p w14:paraId="1D46C39B"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90%</w:t>
            </w:r>
          </w:p>
        </w:tc>
        <w:tc>
          <w:tcPr>
            <w:tcW w:w="1094" w:type="dxa"/>
            <w:tcBorders>
              <w:top w:val="nil"/>
              <w:left w:val="single" w:sz="4" w:space="0" w:color="auto"/>
              <w:bottom w:val="nil"/>
              <w:right w:val="single" w:sz="4" w:space="0" w:color="auto"/>
            </w:tcBorders>
            <w:shd w:val="clear" w:color="auto" w:fill="92CDDC"/>
            <w:vAlign w:val="bottom"/>
          </w:tcPr>
          <w:p w14:paraId="3ECAE202"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w:t>
            </w:r>
          </w:p>
        </w:tc>
      </w:tr>
      <w:tr w:rsidR="00DA3942" w:rsidRPr="003C4F96" w14:paraId="600413EE" w14:textId="77777777" w:rsidTr="00197371">
        <w:trPr>
          <w:trHeight w:val="300"/>
          <w:jc w:val="center"/>
        </w:trPr>
        <w:tc>
          <w:tcPr>
            <w:tcW w:w="3417" w:type="dxa"/>
            <w:tcBorders>
              <w:top w:val="nil"/>
              <w:left w:val="single" w:sz="4" w:space="0" w:color="auto"/>
              <w:bottom w:val="dashed" w:sz="4" w:space="0" w:color="auto"/>
              <w:right w:val="single" w:sz="4" w:space="0" w:color="auto"/>
            </w:tcBorders>
            <w:shd w:val="clear" w:color="auto" w:fill="auto"/>
            <w:noWrap/>
            <w:vAlign w:val="bottom"/>
            <w:hideMark/>
          </w:tcPr>
          <w:p w14:paraId="148DC50D"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De Origen Nacional</w:t>
            </w:r>
          </w:p>
        </w:tc>
        <w:tc>
          <w:tcPr>
            <w:tcW w:w="983" w:type="dxa"/>
            <w:tcBorders>
              <w:top w:val="nil"/>
              <w:left w:val="single" w:sz="4" w:space="0" w:color="auto"/>
              <w:bottom w:val="dashed" w:sz="4" w:space="0" w:color="auto"/>
              <w:right w:val="single" w:sz="4" w:space="0" w:color="auto"/>
            </w:tcBorders>
            <w:shd w:val="clear" w:color="auto" w:fill="auto"/>
            <w:noWrap/>
            <w:vAlign w:val="bottom"/>
          </w:tcPr>
          <w:p w14:paraId="1DCD4A9B" w14:textId="77777777" w:rsidR="00DA3942" w:rsidRPr="00117BF8" w:rsidRDefault="00DA3942" w:rsidP="00B1577A">
            <w:pPr>
              <w:pStyle w:val="TablaC"/>
              <w:rPr>
                <w:rFonts w:ascii="Arial" w:hAnsi="Arial" w:cs="Arial"/>
                <w:sz w:val="18"/>
                <w:szCs w:val="18"/>
              </w:rPr>
            </w:pPr>
          </w:p>
        </w:tc>
        <w:tc>
          <w:tcPr>
            <w:tcW w:w="983" w:type="dxa"/>
            <w:tcBorders>
              <w:top w:val="nil"/>
              <w:left w:val="single" w:sz="4" w:space="0" w:color="auto"/>
              <w:bottom w:val="dashed" w:sz="4" w:space="0" w:color="auto"/>
              <w:right w:val="single" w:sz="4" w:space="0" w:color="auto"/>
            </w:tcBorders>
            <w:shd w:val="clear" w:color="auto" w:fill="auto"/>
            <w:noWrap/>
            <w:vAlign w:val="bottom"/>
          </w:tcPr>
          <w:p w14:paraId="67B3EFB4" w14:textId="77777777" w:rsidR="00DA3942" w:rsidRPr="00117BF8" w:rsidRDefault="00DA3942" w:rsidP="00B1577A">
            <w:pPr>
              <w:pStyle w:val="TablaC"/>
              <w:rPr>
                <w:rFonts w:ascii="Arial" w:hAnsi="Arial" w:cs="Arial"/>
                <w:sz w:val="18"/>
                <w:szCs w:val="18"/>
              </w:rPr>
            </w:pPr>
          </w:p>
        </w:tc>
        <w:tc>
          <w:tcPr>
            <w:tcW w:w="983" w:type="dxa"/>
            <w:tcBorders>
              <w:top w:val="nil"/>
              <w:left w:val="single" w:sz="4" w:space="0" w:color="auto"/>
              <w:bottom w:val="dashed" w:sz="4" w:space="0" w:color="auto"/>
              <w:right w:val="single" w:sz="4" w:space="0" w:color="auto"/>
            </w:tcBorders>
            <w:shd w:val="clear" w:color="auto" w:fill="auto"/>
            <w:noWrap/>
            <w:vAlign w:val="bottom"/>
          </w:tcPr>
          <w:p w14:paraId="7CFFAC98" w14:textId="77777777" w:rsidR="00DA3942" w:rsidRPr="00117BF8" w:rsidRDefault="00DA3942" w:rsidP="00B1577A">
            <w:pPr>
              <w:pStyle w:val="TablaC"/>
              <w:rPr>
                <w:rFonts w:ascii="Arial" w:hAnsi="Arial" w:cs="Arial"/>
                <w:sz w:val="18"/>
                <w:szCs w:val="18"/>
              </w:rPr>
            </w:pPr>
          </w:p>
        </w:tc>
        <w:tc>
          <w:tcPr>
            <w:tcW w:w="983" w:type="dxa"/>
            <w:tcBorders>
              <w:top w:val="nil"/>
              <w:left w:val="single" w:sz="4" w:space="0" w:color="auto"/>
              <w:bottom w:val="dashed" w:sz="4" w:space="0" w:color="auto"/>
              <w:right w:val="single" w:sz="4" w:space="0" w:color="auto"/>
            </w:tcBorders>
            <w:shd w:val="clear" w:color="auto" w:fill="auto"/>
            <w:noWrap/>
            <w:vAlign w:val="bottom"/>
          </w:tcPr>
          <w:p w14:paraId="778D4C1C" w14:textId="77777777" w:rsidR="00DA3942" w:rsidRPr="00117BF8" w:rsidRDefault="00DA3942" w:rsidP="00B1577A">
            <w:pPr>
              <w:pStyle w:val="TablaC"/>
              <w:rPr>
                <w:rFonts w:ascii="Arial" w:hAnsi="Arial" w:cs="Arial"/>
                <w:sz w:val="18"/>
                <w:szCs w:val="18"/>
              </w:rPr>
            </w:pPr>
          </w:p>
        </w:tc>
        <w:tc>
          <w:tcPr>
            <w:tcW w:w="1094" w:type="dxa"/>
            <w:tcBorders>
              <w:top w:val="nil"/>
              <w:left w:val="single" w:sz="4" w:space="0" w:color="auto"/>
              <w:bottom w:val="dashed" w:sz="4" w:space="0" w:color="auto"/>
              <w:right w:val="single" w:sz="4" w:space="0" w:color="auto"/>
            </w:tcBorders>
            <w:shd w:val="clear" w:color="auto" w:fill="92CDDC"/>
            <w:vAlign w:val="bottom"/>
          </w:tcPr>
          <w:p w14:paraId="02ADC8FC"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0%</w:t>
            </w:r>
          </w:p>
        </w:tc>
      </w:tr>
      <w:tr w:rsidR="00DA3942" w:rsidRPr="003C4F96" w14:paraId="666BD68E" w14:textId="77777777" w:rsidTr="00197371">
        <w:trPr>
          <w:trHeight w:val="300"/>
          <w:jc w:val="center"/>
        </w:trPr>
        <w:tc>
          <w:tcPr>
            <w:tcW w:w="3417"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69C465AF" w14:textId="77777777" w:rsidR="003C4F96" w:rsidRDefault="00DA3942" w:rsidP="00B1577A">
            <w:pPr>
              <w:pStyle w:val="TablaC"/>
              <w:jc w:val="left"/>
              <w:rPr>
                <w:rFonts w:ascii="Arial" w:hAnsi="Arial" w:cs="Arial"/>
                <w:sz w:val="18"/>
                <w:szCs w:val="18"/>
                <w:lang w:val="es-ES_tradnl"/>
              </w:rPr>
            </w:pPr>
            <w:r w:rsidRPr="00117BF8">
              <w:rPr>
                <w:rFonts w:ascii="Arial" w:hAnsi="Arial" w:cs="Arial"/>
                <w:sz w:val="18"/>
                <w:szCs w:val="18"/>
                <w:lang w:val="es-ES_tradnl"/>
              </w:rPr>
              <w:t xml:space="preserve">    Vta de Bienes y Scios de la Adm </w:t>
            </w:r>
            <w:r w:rsidR="003C4F96">
              <w:rPr>
                <w:rFonts w:ascii="Arial" w:hAnsi="Arial" w:cs="Arial"/>
                <w:sz w:val="18"/>
                <w:szCs w:val="18"/>
                <w:lang w:val="es-ES_tradnl"/>
              </w:rPr>
              <w:t xml:space="preserve">    </w:t>
            </w:r>
          </w:p>
          <w:p w14:paraId="177D8DFF" w14:textId="3E96E7E1" w:rsidR="00DA3942" w:rsidRPr="00117BF8" w:rsidRDefault="003C4F96" w:rsidP="00B1577A">
            <w:pPr>
              <w:pStyle w:val="TablaC"/>
              <w:jc w:val="left"/>
              <w:rPr>
                <w:rFonts w:ascii="Arial" w:hAnsi="Arial" w:cs="Arial"/>
                <w:sz w:val="18"/>
                <w:szCs w:val="18"/>
                <w:lang w:val="es-ES_tradnl"/>
              </w:rPr>
            </w:pPr>
            <w:r>
              <w:rPr>
                <w:rFonts w:ascii="Arial" w:hAnsi="Arial" w:cs="Arial"/>
                <w:sz w:val="18"/>
                <w:szCs w:val="18"/>
                <w:lang w:val="es-ES_tradnl"/>
              </w:rPr>
              <w:t xml:space="preserve">    </w:t>
            </w:r>
            <w:r w:rsidR="00DA3942" w:rsidRPr="00117BF8">
              <w:rPr>
                <w:rFonts w:ascii="Arial" w:hAnsi="Arial" w:cs="Arial"/>
                <w:sz w:val="18"/>
                <w:szCs w:val="18"/>
                <w:lang w:val="es-ES_tradnl"/>
              </w:rPr>
              <w:t>Pública</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46BD35C5"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76%</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63C4A101"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28%</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0961866C"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3%</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7D6E95A7"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27%</w:t>
            </w:r>
          </w:p>
        </w:tc>
        <w:tc>
          <w:tcPr>
            <w:tcW w:w="1094" w:type="dxa"/>
            <w:tcBorders>
              <w:top w:val="dashed" w:sz="4" w:space="0" w:color="auto"/>
              <w:left w:val="single" w:sz="4" w:space="0" w:color="auto"/>
              <w:bottom w:val="dashed" w:sz="4" w:space="0" w:color="auto"/>
              <w:right w:val="single" w:sz="4" w:space="0" w:color="auto"/>
            </w:tcBorders>
            <w:shd w:val="clear" w:color="auto" w:fill="92CDDC"/>
            <w:vAlign w:val="bottom"/>
          </w:tcPr>
          <w:p w14:paraId="16701F42"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0%</w:t>
            </w:r>
          </w:p>
        </w:tc>
      </w:tr>
      <w:tr w:rsidR="00DA3942" w:rsidRPr="003C4F96" w14:paraId="064A2ED1" w14:textId="77777777" w:rsidTr="00197371">
        <w:trPr>
          <w:trHeight w:val="300"/>
          <w:jc w:val="center"/>
        </w:trPr>
        <w:tc>
          <w:tcPr>
            <w:tcW w:w="3417"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5212EC89"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Ingresos de Operación</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3B0933A3"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6B0ED552"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26%</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331A9437"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11%</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1DB4CB56"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22%</w:t>
            </w:r>
          </w:p>
        </w:tc>
        <w:tc>
          <w:tcPr>
            <w:tcW w:w="1094" w:type="dxa"/>
            <w:tcBorders>
              <w:top w:val="dashed" w:sz="4" w:space="0" w:color="auto"/>
              <w:left w:val="single" w:sz="4" w:space="0" w:color="auto"/>
              <w:bottom w:val="dashed" w:sz="4" w:space="0" w:color="auto"/>
              <w:right w:val="single" w:sz="4" w:space="0" w:color="auto"/>
            </w:tcBorders>
            <w:shd w:val="clear" w:color="auto" w:fill="92CDDC"/>
            <w:vAlign w:val="bottom"/>
          </w:tcPr>
          <w:p w14:paraId="3BE9756A"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0%</w:t>
            </w:r>
          </w:p>
        </w:tc>
      </w:tr>
      <w:tr w:rsidR="00DA3942" w:rsidRPr="003C4F96" w14:paraId="5294A1A0" w14:textId="77777777" w:rsidTr="00197371">
        <w:trPr>
          <w:trHeight w:val="300"/>
          <w:jc w:val="center"/>
        </w:trPr>
        <w:tc>
          <w:tcPr>
            <w:tcW w:w="3417"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66F2AA17"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Rentas de la Propiedad</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06742DF8"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144%</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32142F01"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199%</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4B5BFDC6"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93%</w:t>
            </w:r>
          </w:p>
        </w:tc>
        <w:tc>
          <w:tcPr>
            <w:tcW w:w="983" w:type="dxa"/>
            <w:tcBorders>
              <w:top w:val="dashed" w:sz="4" w:space="0" w:color="auto"/>
              <w:left w:val="single" w:sz="4" w:space="0" w:color="auto"/>
              <w:bottom w:val="dashed" w:sz="4" w:space="0" w:color="auto"/>
              <w:right w:val="single" w:sz="4" w:space="0" w:color="auto"/>
            </w:tcBorders>
            <w:shd w:val="clear" w:color="auto" w:fill="auto"/>
            <w:noWrap/>
            <w:vAlign w:val="bottom"/>
            <w:hideMark/>
          </w:tcPr>
          <w:p w14:paraId="2323688D"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230%</w:t>
            </w:r>
          </w:p>
        </w:tc>
        <w:tc>
          <w:tcPr>
            <w:tcW w:w="1094" w:type="dxa"/>
            <w:tcBorders>
              <w:top w:val="dashed" w:sz="4" w:space="0" w:color="auto"/>
              <w:left w:val="single" w:sz="4" w:space="0" w:color="auto"/>
              <w:bottom w:val="dashed" w:sz="4" w:space="0" w:color="auto"/>
              <w:right w:val="single" w:sz="4" w:space="0" w:color="auto"/>
            </w:tcBorders>
            <w:shd w:val="clear" w:color="auto" w:fill="92CDDC"/>
            <w:vAlign w:val="bottom"/>
          </w:tcPr>
          <w:p w14:paraId="206EB7F9"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w:t>
            </w:r>
          </w:p>
        </w:tc>
      </w:tr>
      <w:tr w:rsidR="00DA3942" w:rsidRPr="003C4F96" w14:paraId="73241768" w14:textId="77777777" w:rsidTr="00197371">
        <w:trPr>
          <w:trHeight w:val="300"/>
          <w:jc w:val="center"/>
        </w:trPr>
        <w:tc>
          <w:tcPr>
            <w:tcW w:w="3417"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2B094C9F"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Transferencias Corrientes</w:t>
            </w:r>
          </w:p>
        </w:tc>
        <w:tc>
          <w:tcPr>
            <w:tcW w:w="983"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1ECD2CE8"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-23%</w:t>
            </w:r>
          </w:p>
        </w:tc>
        <w:tc>
          <w:tcPr>
            <w:tcW w:w="983"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40407C26"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67%</w:t>
            </w:r>
          </w:p>
        </w:tc>
        <w:tc>
          <w:tcPr>
            <w:tcW w:w="983"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04E79CAB"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65%</w:t>
            </w:r>
          </w:p>
        </w:tc>
        <w:tc>
          <w:tcPr>
            <w:tcW w:w="983"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4471FDF3"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74%</w:t>
            </w:r>
          </w:p>
        </w:tc>
        <w:tc>
          <w:tcPr>
            <w:tcW w:w="1094" w:type="dxa"/>
            <w:tcBorders>
              <w:top w:val="dashed" w:sz="4" w:space="0" w:color="auto"/>
              <w:left w:val="single" w:sz="4" w:space="0" w:color="auto"/>
              <w:bottom w:val="single" w:sz="4" w:space="0" w:color="auto"/>
              <w:right w:val="single" w:sz="4" w:space="0" w:color="auto"/>
            </w:tcBorders>
            <w:shd w:val="clear" w:color="auto" w:fill="92CDDC"/>
            <w:vAlign w:val="bottom"/>
          </w:tcPr>
          <w:p w14:paraId="64282519"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6%</w:t>
            </w:r>
          </w:p>
        </w:tc>
      </w:tr>
      <w:tr w:rsidR="00DA3942" w:rsidRPr="003C4F96" w14:paraId="04C6EDBE" w14:textId="77777777" w:rsidTr="00197371">
        <w:trPr>
          <w:trHeight w:val="315"/>
          <w:jc w:val="cent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DD21" w14:textId="42E96ACC" w:rsidR="00DA3942" w:rsidRPr="00117BF8" w:rsidRDefault="00DA3942" w:rsidP="00443F74">
            <w:pPr>
              <w:pStyle w:val="TablaC"/>
              <w:keepNext w:val="0"/>
              <w:jc w:val="left"/>
              <w:rPr>
                <w:rFonts w:ascii="Arial" w:hAnsi="Arial" w:cs="Arial"/>
                <w:sz w:val="18"/>
                <w:szCs w:val="18"/>
              </w:rPr>
            </w:pPr>
            <w:r w:rsidRPr="00117BF8">
              <w:rPr>
                <w:rFonts w:ascii="Arial" w:hAnsi="Arial" w:cs="Arial"/>
                <w:sz w:val="18"/>
                <w:szCs w:val="18"/>
              </w:rPr>
              <w:t>TOTAL INGRESOS CORRIENTES</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A07A3" w14:textId="77777777" w:rsidR="00DA3942" w:rsidRPr="00117BF8" w:rsidRDefault="00DA3942" w:rsidP="00443F74">
            <w:pPr>
              <w:pStyle w:val="TablaC"/>
              <w:keepNext w:val="0"/>
              <w:rPr>
                <w:rFonts w:ascii="Arial" w:hAnsi="Arial" w:cs="Arial"/>
                <w:sz w:val="18"/>
                <w:szCs w:val="18"/>
              </w:rPr>
            </w:pPr>
            <w:r w:rsidRPr="00117BF8">
              <w:rPr>
                <w:rFonts w:ascii="Arial" w:hAnsi="Arial" w:cs="Arial"/>
                <w:sz w:val="18"/>
                <w:szCs w:val="18"/>
              </w:rPr>
              <w:t>11%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3F173" w14:textId="77777777" w:rsidR="00DA3942" w:rsidRPr="00117BF8" w:rsidRDefault="00DA3942" w:rsidP="00443F74">
            <w:pPr>
              <w:pStyle w:val="TablaC"/>
              <w:keepNext w:val="0"/>
              <w:rPr>
                <w:rFonts w:ascii="Arial" w:hAnsi="Arial" w:cs="Arial"/>
                <w:sz w:val="18"/>
                <w:szCs w:val="18"/>
              </w:rPr>
            </w:pPr>
            <w:r w:rsidRPr="00117BF8">
              <w:rPr>
                <w:rFonts w:ascii="Arial" w:hAnsi="Arial" w:cs="Arial"/>
                <w:sz w:val="18"/>
                <w:szCs w:val="18"/>
              </w:rPr>
              <w:t>12%</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29E91" w14:textId="77777777" w:rsidR="00DA3942" w:rsidRPr="00117BF8" w:rsidRDefault="00DA3942" w:rsidP="00443F74">
            <w:pPr>
              <w:pStyle w:val="TablaC"/>
              <w:keepNext w:val="0"/>
              <w:rPr>
                <w:rFonts w:ascii="Arial" w:hAnsi="Arial" w:cs="Arial"/>
                <w:sz w:val="18"/>
                <w:szCs w:val="18"/>
              </w:rPr>
            </w:pPr>
            <w:r w:rsidRPr="00117BF8">
              <w:rPr>
                <w:rFonts w:ascii="Arial" w:hAnsi="Arial" w:cs="Arial"/>
                <w:sz w:val="18"/>
                <w:szCs w:val="18"/>
              </w:rPr>
              <w:t>12%</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A200F" w14:textId="77777777" w:rsidR="00DA3942" w:rsidRPr="00117BF8" w:rsidRDefault="00DA3942" w:rsidP="00443F74">
            <w:pPr>
              <w:pStyle w:val="TablaC"/>
              <w:keepNext w:val="0"/>
              <w:rPr>
                <w:rFonts w:ascii="Arial" w:hAnsi="Arial" w:cs="Arial"/>
                <w:sz w:val="18"/>
                <w:szCs w:val="18"/>
              </w:rPr>
            </w:pPr>
            <w:r w:rsidRPr="00117BF8">
              <w:rPr>
                <w:rFonts w:ascii="Arial" w:hAnsi="Arial" w:cs="Arial"/>
                <w:sz w:val="18"/>
                <w:szCs w:val="18"/>
              </w:rPr>
              <w:t>16%</w:t>
            </w:r>
          </w:p>
        </w:tc>
        <w:tc>
          <w:tcPr>
            <w:tcW w:w="1094" w:type="dxa"/>
            <w:tcBorders>
              <w:top w:val="single" w:sz="4" w:space="0" w:color="auto"/>
              <w:left w:val="single" w:sz="4" w:space="0" w:color="auto"/>
              <w:bottom w:val="single" w:sz="4" w:space="0" w:color="auto"/>
              <w:right w:val="single" w:sz="4" w:space="0" w:color="auto"/>
            </w:tcBorders>
            <w:shd w:val="clear" w:color="auto" w:fill="92CDDC"/>
            <w:vAlign w:val="bottom"/>
          </w:tcPr>
          <w:p w14:paraId="01DC8AD6" w14:textId="77777777" w:rsidR="00DA3942" w:rsidRPr="00117BF8" w:rsidRDefault="00DA3942" w:rsidP="00443F74">
            <w:pPr>
              <w:pStyle w:val="TablaC"/>
              <w:keepNext w:val="0"/>
              <w:rPr>
                <w:rFonts w:ascii="Arial" w:hAnsi="Arial" w:cs="Arial"/>
                <w:sz w:val="18"/>
                <w:szCs w:val="18"/>
              </w:rPr>
            </w:pPr>
            <w:r w:rsidRPr="00117BF8">
              <w:rPr>
                <w:rFonts w:ascii="Arial" w:hAnsi="Arial" w:cs="Arial"/>
                <w:sz w:val="18"/>
                <w:szCs w:val="18"/>
              </w:rPr>
              <w:t>98%</w:t>
            </w:r>
          </w:p>
        </w:tc>
      </w:tr>
      <w:tr w:rsidR="00DA3942" w:rsidRPr="003C4F96" w14:paraId="3D085476" w14:textId="77777777" w:rsidTr="00197371">
        <w:trPr>
          <w:trHeight w:val="300"/>
          <w:jc w:val="center"/>
        </w:trPr>
        <w:tc>
          <w:tcPr>
            <w:tcW w:w="3417" w:type="dxa"/>
            <w:tcBorders>
              <w:top w:val="single" w:sz="4" w:space="0" w:color="auto"/>
              <w:left w:val="single" w:sz="4" w:space="0" w:color="auto"/>
              <w:bottom w:val="nil"/>
              <w:right w:val="single" w:sz="4" w:space="0" w:color="auto"/>
            </w:tcBorders>
            <w:shd w:val="clear" w:color="auto" w:fill="auto"/>
            <w:noWrap/>
            <w:vAlign w:val="bottom"/>
            <w:hideMark/>
          </w:tcPr>
          <w:p w14:paraId="5E9B35C4"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RECURSOS DE CAPITAL</w:t>
            </w:r>
          </w:p>
        </w:tc>
        <w:tc>
          <w:tcPr>
            <w:tcW w:w="983" w:type="dxa"/>
            <w:tcBorders>
              <w:top w:val="single" w:sz="4" w:space="0" w:color="auto"/>
              <w:left w:val="single" w:sz="4" w:space="0" w:color="auto"/>
              <w:bottom w:val="nil"/>
              <w:right w:val="single" w:sz="4" w:space="0" w:color="auto"/>
            </w:tcBorders>
            <w:shd w:val="clear" w:color="auto" w:fill="auto"/>
            <w:noWrap/>
            <w:vAlign w:val="bottom"/>
            <w:hideMark/>
          </w:tcPr>
          <w:p w14:paraId="036A8354"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 </w:t>
            </w:r>
          </w:p>
        </w:tc>
        <w:tc>
          <w:tcPr>
            <w:tcW w:w="983" w:type="dxa"/>
            <w:tcBorders>
              <w:top w:val="single" w:sz="4" w:space="0" w:color="auto"/>
              <w:left w:val="single" w:sz="4" w:space="0" w:color="auto"/>
              <w:bottom w:val="nil"/>
              <w:right w:val="single" w:sz="4" w:space="0" w:color="auto"/>
            </w:tcBorders>
            <w:shd w:val="clear" w:color="auto" w:fill="auto"/>
            <w:noWrap/>
            <w:vAlign w:val="bottom"/>
            <w:hideMark/>
          </w:tcPr>
          <w:p w14:paraId="283CDD9F"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 </w:t>
            </w:r>
          </w:p>
        </w:tc>
        <w:tc>
          <w:tcPr>
            <w:tcW w:w="983" w:type="dxa"/>
            <w:tcBorders>
              <w:top w:val="single" w:sz="4" w:space="0" w:color="auto"/>
              <w:left w:val="single" w:sz="4" w:space="0" w:color="auto"/>
              <w:bottom w:val="nil"/>
              <w:right w:val="single" w:sz="4" w:space="0" w:color="auto"/>
            </w:tcBorders>
            <w:shd w:val="clear" w:color="auto" w:fill="auto"/>
            <w:noWrap/>
            <w:vAlign w:val="bottom"/>
            <w:hideMark/>
          </w:tcPr>
          <w:p w14:paraId="420EE7C4"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 </w:t>
            </w:r>
          </w:p>
        </w:tc>
        <w:tc>
          <w:tcPr>
            <w:tcW w:w="983" w:type="dxa"/>
            <w:tcBorders>
              <w:top w:val="single" w:sz="4" w:space="0" w:color="auto"/>
              <w:left w:val="single" w:sz="4" w:space="0" w:color="auto"/>
              <w:bottom w:val="nil"/>
              <w:right w:val="single" w:sz="4" w:space="0" w:color="auto"/>
            </w:tcBorders>
            <w:shd w:val="clear" w:color="auto" w:fill="auto"/>
            <w:noWrap/>
            <w:vAlign w:val="bottom"/>
            <w:hideMark/>
          </w:tcPr>
          <w:p w14:paraId="50DE1D39"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 </w:t>
            </w:r>
          </w:p>
        </w:tc>
        <w:tc>
          <w:tcPr>
            <w:tcW w:w="1094" w:type="dxa"/>
            <w:tcBorders>
              <w:top w:val="single" w:sz="4" w:space="0" w:color="auto"/>
              <w:left w:val="single" w:sz="4" w:space="0" w:color="auto"/>
              <w:bottom w:val="nil"/>
              <w:right w:val="single" w:sz="4" w:space="0" w:color="auto"/>
            </w:tcBorders>
            <w:shd w:val="clear" w:color="auto" w:fill="92CDDC"/>
            <w:vAlign w:val="bottom"/>
          </w:tcPr>
          <w:p w14:paraId="7413F76F" w14:textId="77777777" w:rsidR="00DA3942" w:rsidRPr="00117BF8" w:rsidRDefault="00DA3942" w:rsidP="00B1577A">
            <w:pPr>
              <w:pStyle w:val="TablaC"/>
              <w:rPr>
                <w:rFonts w:ascii="Arial" w:hAnsi="Arial" w:cs="Arial"/>
                <w:sz w:val="18"/>
                <w:szCs w:val="18"/>
              </w:rPr>
            </w:pPr>
          </w:p>
        </w:tc>
      </w:tr>
      <w:tr w:rsidR="00DA3942" w:rsidRPr="003C4F96" w14:paraId="4EBD4718" w14:textId="77777777" w:rsidTr="00197371">
        <w:trPr>
          <w:trHeight w:val="300"/>
          <w:jc w:val="center"/>
        </w:trPr>
        <w:tc>
          <w:tcPr>
            <w:tcW w:w="3417" w:type="dxa"/>
            <w:tcBorders>
              <w:top w:val="nil"/>
              <w:left w:val="single" w:sz="4" w:space="0" w:color="auto"/>
              <w:bottom w:val="nil"/>
              <w:right w:val="single" w:sz="4" w:space="0" w:color="auto"/>
            </w:tcBorders>
            <w:shd w:val="clear" w:color="auto" w:fill="auto"/>
            <w:noWrap/>
            <w:vAlign w:val="bottom"/>
            <w:hideMark/>
          </w:tcPr>
          <w:p w14:paraId="039D0584"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Recursos Propios de Capital</w:t>
            </w:r>
          </w:p>
        </w:tc>
        <w:tc>
          <w:tcPr>
            <w:tcW w:w="983" w:type="dxa"/>
            <w:tcBorders>
              <w:top w:val="nil"/>
              <w:left w:val="single" w:sz="4" w:space="0" w:color="auto"/>
              <w:bottom w:val="nil"/>
              <w:right w:val="single" w:sz="4" w:space="0" w:color="auto"/>
            </w:tcBorders>
            <w:shd w:val="clear" w:color="auto" w:fill="auto"/>
            <w:noWrap/>
            <w:vAlign w:val="bottom"/>
          </w:tcPr>
          <w:p w14:paraId="39E959D7" w14:textId="77777777" w:rsidR="00DA3942" w:rsidRPr="00117BF8" w:rsidRDefault="00DA3942" w:rsidP="00B1577A">
            <w:pPr>
              <w:pStyle w:val="TablaC"/>
              <w:rPr>
                <w:rFonts w:ascii="Arial" w:hAnsi="Arial" w:cs="Arial"/>
                <w:sz w:val="18"/>
                <w:szCs w:val="18"/>
              </w:rPr>
            </w:pPr>
          </w:p>
        </w:tc>
        <w:tc>
          <w:tcPr>
            <w:tcW w:w="983" w:type="dxa"/>
            <w:tcBorders>
              <w:top w:val="nil"/>
              <w:left w:val="single" w:sz="4" w:space="0" w:color="auto"/>
              <w:bottom w:val="nil"/>
              <w:right w:val="single" w:sz="4" w:space="0" w:color="auto"/>
            </w:tcBorders>
            <w:shd w:val="clear" w:color="auto" w:fill="auto"/>
            <w:noWrap/>
            <w:vAlign w:val="bottom"/>
          </w:tcPr>
          <w:p w14:paraId="4828727C" w14:textId="77777777" w:rsidR="00DA3942" w:rsidRPr="00117BF8" w:rsidRDefault="00DA3942" w:rsidP="00B1577A">
            <w:pPr>
              <w:pStyle w:val="TablaC"/>
              <w:rPr>
                <w:rFonts w:ascii="Arial" w:hAnsi="Arial" w:cs="Arial"/>
                <w:sz w:val="18"/>
                <w:szCs w:val="18"/>
              </w:rPr>
            </w:pPr>
          </w:p>
        </w:tc>
        <w:tc>
          <w:tcPr>
            <w:tcW w:w="983" w:type="dxa"/>
            <w:tcBorders>
              <w:top w:val="nil"/>
              <w:left w:val="single" w:sz="4" w:space="0" w:color="auto"/>
              <w:bottom w:val="nil"/>
              <w:right w:val="single" w:sz="4" w:space="0" w:color="auto"/>
            </w:tcBorders>
            <w:shd w:val="clear" w:color="auto" w:fill="auto"/>
            <w:noWrap/>
            <w:vAlign w:val="bottom"/>
          </w:tcPr>
          <w:p w14:paraId="52BCCFAB" w14:textId="77777777" w:rsidR="00DA3942" w:rsidRPr="00117BF8" w:rsidRDefault="00DA3942" w:rsidP="00B1577A">
            <w:pPr>
              <w:pStyle w:val="TablaC"/>
              <w:rPr>
                <w:rFonts w:ascii="Arial" w:hAnsi="Arial" w:cs="Arial"/>
                <w:sz w:val="18"/>
                <w:szCs w:val="18"/>
              </w:rPr>
            </w:pPr>
          </w:p>
        </w:tc>
        <w:tc>
          <w:tcPr>
            <w:tcW w:w="983" w:type="dxa"/>
            <w:tcBorders>
              <w:top w:val="nil"/>
              <w:left w:val="single" w:sz="4" w:space="0" w:color="auto"/>
              <w:bottom w:val="nil"/>
              <w:right w:val="single" w:sz="4" w:space="0" w:color="auto"/>
            </w:tcBorders>
            <w:shd w:val="clear" w:color="auto" w:fill="auto"/>
            <w:noWrap/>
            <w:vAlign w:val="bottom"/>
          </w:tcPr>
          <w:p w14:paraId="3077BE0C" w14:textId="77777777" w:rsidR="00DA3942" w:rsidRPr="00117BF8" w:rsidRDefault="00DA3942" w:rsidP="00B1577A">
            <w:pPr>
              <w:pStyle w:val="TablaC"/>
              <w:rPr>
                <w:rFonts w:ascii="Arial" w:hAnsi="Arial" w:cs="Arial"/>
                <w:sz w:val="18"/>
                <w:szCs w:val="18"/>
              </w:rPr>
            </w:pPr>
          </w:p>
        </w:tc>
        <w:tc>
          <w:tcPr>
            <w:tcW w:w="1094" w:type="dxa"/>
            <w:tcBorders>
              <w:top w:val="nil"/>
              <w:left w:val="single" w:sz="4" w:space="0" w:color="auto"/>
              <w:bottom w:val="nil"/>
              <w:right w:val="single" w:sz="4" w:space="0" w:color="auto"/>
            </w:tcBorders>
            <w:shd w:val="clear" w:color="auto" w:fill="92CDDC"/>
            <w:vAlign w:val="bottom"/>
          </w:tcPr>
          <w:p w14:paraId="7CC28D8D"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0%</w:t>
            </w:r>
          </w:p>
        </w:tc>
      </w:tr>
      <w:tr w:rsidR="00DA3942" w:rsidRPr="003C4F96" w14:paraId="3F28B557" w14:textId="77777777" w:rsidTr="00197371">
        <w:trPr>
          <w:trHeight w:val="300"/>
          <w:jc w:val="center"/>
        </w:trPr>
        <w:tc>
          <w:tcPr>
            <w:tcW w:w="3417" w:type="dxa"/>
            <w:tcBorders>
              <w:top w:val="nil"/>
              <w:left w:val="single" w:sz="4" w:space="0" w:color="auto"/>
              <w:bottom w:val="nil"/>
              <w:right w:val="single" w:sz="4" w:space="0" w:color="auto"/>
            </w:tcBorders>
            <w:shd w:val="clear" w:color="auto" w:fill="auto"/>
            <w:noWrap/>
            <w:vAlign w:val="bottom"/>
            <w:hideMark/>
          </w:tcPr>
          <w:p w14:paraId="4E5D3AB6"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    Transferencias de Capital</w:t>
            </w:r>
          </w:p>
        </w:tc>
        <w:tc>
          <w:tcPr>
            <w:tcW w:w="983" w:type="dxa"/>
            <w:tcBorders>
              <w:top w:val="nil"/>
              <w:left w:val="single" w:sz="4" w:space="0" w:color="auto"/>
              <w:bottom w:val="nil"/>
              <w:right w:val="single" w:sz="4" w:space="0" w:color="auto"/>
            </w:tcBorders>
            <w:shd w:val="clear" w:color="auto" w:fill="auto"/>
            <w:noWrap/>
            <w:vAlign w:val="bottom"/>
            <w:hideMark/>
          </w:tcPr>
          <w:p w14:paraId="69A22D89"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-3%</w:t>
            </w:r>
          </w:p>
        </w:tc>
        <w:tc>
          <w:tcPr>
            <w:tcW w:w="983" w:type="dxa"/>
            <w:tcBorders>
              <w:top w:val="nil"/>
              <w:left w:val="single" w:sz="4" w:space="0" w:color="auto"/>
              <w:bottom w:val="nil"/>
              <w:right w:val="single" w:sz="4" w:space="0" w:color="auto"/>
            </w:tcBorders>
            <w:shd w:val="clear" w:color="auto" w:fill="auto"/>
            <w:noWrap/>
            <w:vAlign w:val="bottom"/>
            <w:hideMark/>
          </w:tcPr>
          <w:p w14:paraId="0DB9BD4F"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21%</w:t>
            </w:r>
          </w:p>
        </w:tc>
        <w:tc>
          <w:tcPr>
            <w:tcW w:w="983" w:type="dxa"/>
            <w:tcBorders>
              <w:top w:val="nil"/>
              <w:left w:val="single" w:sz="4" w:space="0" w:color="auto"/>
              <w:bottom w:val="nil"/>
              <w:right w:val="single" w:sz="4" w:space="0" w:color="auto"/>
            </w:tcBorders>
            <w:shd w:val="clear" w:color="auto" w:fill="auto"/>
            <w:noWrap/>
            <w:vAlign w:val="bottom"/>
            <w:hideMark/>
          </w:tcPr>
          <w:p w14:paraId="29A03FB1"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-24%</w:t>
            </w:r>
          </w:p>
        </w:tc>
        <w:tc>
          <w:tcPr>
            <w:tcW w:w="983" w:type="dxa"/>
            <w:tcBorders>
              <w:top w:val="nil"/>
              <w:left w:val="single" w:sz="4" w:space="0" w:color="auto"/>
              <w:bottom w:val="nil"/>
              <w:right w:val="single" w:sz="4" w:space="0" w:color="auto"/>
            </w:tcBorders>
            <w:shd w:val="clear" w:color="auto" w:fill="auto"/>
            <w:noWrap/>
            <w:vAlign w:val="bottom"/>
            <w:hideMark/>
          </w:tcPr>
          <w:p w14:paraId="03B8216D"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30%</w:t>
            </w:r>
          </w:p>
        </w:tc>
        <w:tc>
          <w:tcPr>
            <w:tcW w:w="1094" w:type="dxa"/>
            <w:tcBorders>
              <w:top w:val="nil"/>
              <w:left w:val="single" w:sz="4" w:space="0" w:color="auto"/>
              <w:bottom w:val="nil"/>
              <w:right w:val="single" w:sz="4" w:space="0" w:color="auto"/>
            </w:tcBorders>
            <w:shd w:val="clear" w:color="auto" w:fill="92CDDC"/>
            <w:vAlign w:val="bottom"/>
          </w:tcPr>
          <w:p w14:paraId="49E707F2"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w:t>
            </w:r>
          </w:p>
        </w:tc>
      </w:tr>
      <w:tr w:rsidR="00DA3942" w:rsidRPr="003C4F96" w14:paraId="2028CF10" w14:textId="77777777" w:rsidTr="00197371">
        <w:trPr>
          <w:trHeight w:val="300"/>
          <w:jc w:val="center"/>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7C1B010" w14:textId="77777777" w:rsidR="00DA3942" w:rsidRPr="00117BF8" w:rsidRDefault="00DA3942" w:rsidP="00B1577A">
            <w:pPr>
              <w:pStyle w:val="TablaC"/>
              <w:jc w:val="left"/>
              <w:rPr>
                <w:rFonts w:ascii="Arial" w:hAnsi="Arial" w:cs="Arial"/>
                <w:sz w:val="18"/>
                <w:szCs w:val="18"/>
                <w:lang w:val="es-ES_tradnl"/>
              </w:rPr>
            </w:pPr>
            <w:r w:rsidRPr="00117BF8">
              <w:rPr>
                <w:rFonts w:ascii="Arial" w:hAnsi="Arial" w:cs="Arial"/>
                <w:sz w:val="18"/>
                <w:szCs w:val="18"/>
                <w:lang w:val="es-ES_tradnl"/>
              </w:rPr>
              <w:t>    Disminución de la Inv. Financiera</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C8C0709"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-50%</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2F6F170"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-43%</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6991141"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-47%</w:t>
            </w:r>
          </w:p>
        </w:tc>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937D3F6"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-33%</w:t>
            </w:r>
          </w:p>
        </w:tc>
        <w:tc>
          <w:tcPr>
            <w:tcW w:w="1094" w:type="dxa"/>
            <w:tcBorders>
              <w:top w:val="nil"/>
              <w:left w:val="single" w:sz="4" w:space="0" w:color="auto"/>
              <w:bottom w:val="single" w:sz="4" w:space="0" w:color="auto"/>
              <w:right w:val="single" w:sz="4" w:space="0" w:color="auto"/>
            </w:tcBorders>
            <w:shd w:val="clear" w:color="auto" w:fill="92CDDC"/>
            <w:vAlign w:val="bottom"/>
          </w:tcPr>
          <w:p w14:paraId="1DCB6D32"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0%</w:t>
            </w:r>
          </w:p>
        </w:tc>
      </w:tr>
      <w:tr w:rsidR="00DA3942" w:rsidRPr="003C4F96" w14:paraId="34DF3FC2" w14:textId="77777777" w:rsidTr="00197371">
        <w:trPr>
          <w:trHeight w:val="315"/>
          <w:jc w:val="center"/>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C5F9E"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TOTAL RECURSOS DE CAPITAL</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D2331"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-6%</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BCCC4"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17%</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B5D5C"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-25%</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98151"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27%</w:t>
            </w:r>
          </w:p>
        </w:tc>
        <w:tc>
          <w:tcPr>
            <w:tcW w:w="1094" w:type="dxa"/>
            <w:tcBorders>
              <w:top w:val="single" w:sz="4" w:space="0" w:color="auto"/>
              <w:left w:val="single" w:sz="4" w:space="0" w:color="auto"/>
              <w:bottom w:val="single" w:sz="4" w:space="0" w:color="auto"/>
              <w:right w:val="single" w:sz="4" w:space="0" w:color="auto"/>
            </w:tcBorders>
            <w:shd w:val="clear" w:color="auto" w:fill="92CDDC"/>
            <w:vAlign w:val="bottom"/>
          </w:tcPr>
          <w:p w14:paraId="4CE2D3AC"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2%</w:t>
            </w:r>
          </w:p>
        </w:tc>
      </w:tr>
      <w:tr w:rsidR="00DA3942" w:rsidRPr="003C4F96" w14:paraId="6E946AFA" w14:textId="77777777" w:rsidTr="00197371">
        <w:trPr>
          <w:trHeight w:val="315"/>
          <w:jc w:val="center"/>
        </w:trPr>
        <w:tc>
          <w:tcPr>
            <w:tcW w:w="3417"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739DB9E2" w14:textId="77777777" w:rsidR="00DA3942" w:rsidRPr="00117BF8" w:rsidRDefault="00DA3942" w:rsidP="00B1577A">
            <w:pPr>
              <w:pStyle w:val="TablaC"/>
              <w:jc w:val="left"/>
              <w:rPr>
                <w:rFonts w:ascii="Arial" w:hAnsi="Arial" w:cs="Arial"/>
                <w:sz w:val="18"/>
                <w:szCs w:val="18"/>
              </w:rPr>
            </w:pPr>
            <w:r w:rsidRPr="00117BF8">
              <w:rPr>
                <w:rFonts w:ascii="Arial" w:hAnsi="Arial" w:cs="Arial"/>
                <w:sz w:val="18"/>
                <w:szCs w:val="18"/>
              </w:rPr>
              <w:t>TOTAL RECURSOS</w:t>
            </w:r>
          </w:p>
        </w:tc>
        <w:tc>
          <w:tcPr>
            <w:tcW w:w="983"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04F10D17"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11%</w:t>
            </w:r>
          </w:p>
        </w:tc>
        <w:tc>
          <w:tcPr>
            <w:tcW w:w="983"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2E8FD3BE"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12%</w:t>
            </w:r>
          </w:p>
        </w:tc>
        <w:tc>
          <w:tcPr>
            <w:tcW w:w="983"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5EBAF630"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11%</w:t>
            </w:r>
          </w:p>
        </w:tc>
        <w:tc>
          <w:tcPr>
            <w:tcW w:w="983" w:type="dxa"/>
            <w:tcBorders>
              <w:top w:val="single" w:sz="4" w:space="0" w:color="auto"/>
              <w:left w:val="single" w:sz="4" w:space="0" w:color="auto"/>
              <w:bottom w:val="single" w:sz="4" w:space="0" w:color="auto"/>
              <w:right w:val="single" w:sz="4" w:space="0" w:color="auto"/>
            </w:tcBorders>
            <w:shd w:val="clear" w:color="auto" w:fill="92CDDC"/>
            <w:noWrap/>
            <w:vAlign w:val="bottom"/>
          </w:tcPr>
          <w:p w14:paraId="45838B4B"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16%</w:t>
            </w:r>
          </w:p>
        </w:tc>
        <w:tc>
          <w:tcPr>
            <w:tcW w:w="1094" w:type="dxa"/>
            <w:tcBorders>
              <w:top w:val="single" w:sz="4" w:space="0" w:color="auto"/>
              <w:left w:val="single" w:sz="4" w:space="0" w:color="auto"/>
              <w:bottom w:val="single" w:sz="4" w:space="0" w:color="auto"/>
              <w:right w:val="single" w:sz="4" w:space="0" w:color="auto"/>
            </w:tcBorders>
            <w:shd w:val="clear" w:color="auto" w:fill="92CDDC"/>
            <w:vAlign w:val="bottom"/>
          </w:tcPr>
          <w:p w14:paraId="62839FC0" w14:textId="77777777" w:rsidR="00DA3942" w:rsidRPr="00117BF8" w:rsidRDefault="00DA3942" w:rsidP="00B1577A">
            <w:pPr>
              <w:pStyle w:val="TablaC"/>
              <w:rPr>
                <w:rFonts w:ascii="Arial" w:hAnsi="Arial" w:cs="Arial"/>
                <w:sz w:val="18"/>
                <w:szCs w:val="18"/>
              </w:rPr>
            </w:pPr>
            <w:r w:rsidRPr="00117BF8">
              <w:rPr>
                <w:rFonts w:ascii="Arial" w:hAnsi="Arial" w:cs="Arial"/>
                <w:sz w:val="18"/>
                <w:szCs w:val="18"/>
              </w:rPr>
              <w:t>100%</w:t>
            </w:r>
          </w:p>
        </w:tc>
      </w:tr>
    </w:tbl>
    <w:p w14:paraId="4ED8FE0B" w14:textId="77777777" w:rsidR="00952785" w:rsidRPr="00117BF8" w:rsidRDefault="00952785" w:rsidP="00952785">
      <w:pPr>
        <w:pStyle w:val="Hfuente"/>
        <w:rPr>
          <w:rFonts w:ascii="Arial" w:hAnsi="Arial" w:cs="Arial"/>
          <w:sz w:val="18"/>
          <w:szCs w:val="18"/>
        </w:rPr>
      </w:pPr>
      <w:r w:rsidRPr="00117BF8">
        <w:rPr>
          <w:rFonts w:ascii="Arial" w:hAnsi="Arial" w:cs="Arial"/>
          <w:sz w:val="18"/>
          <w:szCs w:val="18"/>
        </w:rPr>
        <w:t>Elaboración propia sobre datos de la CGPBA.</w:t>
      </w:r>
    </w:p>
    <w:p w14:paraId="7596C455" w14:textId="0FB2EE8D" w:rsidR="00984C35" w:rsidRPr="00117BF8" w:rsidRDefault="005C6F47" w:rsidP="002C3683">
      <w:pPr>
        <w:pStyle w:val="hsa"/>
        <w:rPr>
          <w:rFonts w:ascii="Arial" w:eastAsia="Calibri" w:hAnsi="Arial" w:cs="Arial"/>
          <w:sz w:val="22"/>
          <w:szCs w:val="22"/>
        </w:rPr>
      </w:pPr>
      <w:r w:rsidRPr="00117BF8">
        <w:rPr>
          <w:rFonts w:ascii="Arial" w:eastAsia="Calibri" w:hAnsi="Arial" w:cs="Arial"/>
          <w:sz w:val="22"/>
          <w:szCs w:val="22"/>
        </w:rPr>
        <w:t>L</w:t>
      </w:r>
      <w:r w:rsidR="00A25D8F" w:rsidRPr="00117BF8">
        <w:rPr>
          <w:rFonts w:ascii="Arial" w:eastAsia="Calibri" w:hAnsi="Arial" w:cs="Arial"/>
          <w:sz w:val="22"/>
          <w:szCs w:val="22"/>
        </w:rPr>
        <w:t xml:space="preserve">a tabla </w:t>
      </w:r>
      <w:r w:rsidR="00952785" w:rsidRPr="00117BF8">
        <w:rPr>
          <w:rFonts w:ascii="Arial" w:eastAsia="Calibri" w:hAnsi="Arial" w:cs="Arial"/>
          <w:sz w:val="22"/>
          <w:szCs w:val="22"/>
        </w:rPr>
        <w:t>12</w:t>
      </w:r>
      <w:r w:rsidR="00A25D8F" w:rsidRPr="00117BF8">
        <w:rPr>
          <w:rFonts w:ascii="Arial" w:eastAsia="Calibri" w:hAnsi="Arial" w:cs="Arial"/>
          <w:sz w:val="22"/>
          <w:szCs w:val="22"/>
        </w:rPr>
        <w:t xml:space="preserve"> detalla el crédito original y los desvíos en los ingresos que representan más del 72% de los recursos.</w:t>
      </w:r>
      <w:r w:rsidRPr="00117BF8">
        <w:rPr>
          <w:rFonts w:ascii="Arial" w:eastAsia="Calibri" w:hAnsi="Arial" w:cs="Arial"/>
          <w:sz w:val="22"/>
          <w:szCs w:val="22"/>
        </w:rPr>
        <w:t xml:space="preserve"> </w:t>
      </w:r>
      <w:r w:rsidR="00984C35" w:rsidRPr="00117BF8">
        <w:rPr>
          <w:rFonts w:ascii="Arial" w:eastAsia="Calibri" w:hAnsi="Arial" w:cs="Arial"/>
          <w:sz w:val="22"/>
          <w:szCs w:val="22"/>
        </w:rPr>
        <w:t xml:space="preserve">Los ingresos tributarios de origen provincial han tenido </w:t>
      </w:r>
      <w:r w:rsidR="00A25D8F" w:rsidRPr="00117BF8">
        <w:rPr>
          <w:rFonts w:ascii="Arial" w:eastAsia="Calibri" w:hAnsi="Arial" w:cs="Arial"/>
          <w:sz w:val="22"/>
          <w:szCs w:val="22"/>
        </w:rPr>
        <w:t xml:space="preserve">desvíos variados. </w:t>
      </w:r>
      <w:r w:rsidR="00952785" w:rsidRPr="00117BF8">
        <w:rPr>
          <w:rFonts w:ascii="Arial" w:eastAsia="Calibri" w:hAnsi="Arial" w:cs="Arial"/>
          <w:sz w:val="22"/>
          <w:szCs w:val="22"/>
        </w:rPr>
        <w:t xml:space="preserve">En </w:t>
      </w:r>
      <w:r w:rsidR="00A25D8F" w:rsidRPr="00117BF8">
        <w:rPr>
          <w:rFonts w:ascii="Arial" w:eastAsia="Calibri" w:hAnsi="Arial" w:cs="Arial"/>
          <w:sz w:val="22"/>
          <w:szCs w:val="22"/>
        </w:rPr>
        <w:t>los principales impuestos</w:t>
      </w:r>
      <w:r w:rsidR="00952785" w:rsidRPr="00117BF8">
        <w:rPr>
          <w:rFonts w:ascii="Arial" w:eastAsia="Calibri" w:hAnsi="Arial" w:cs="Arial"/>
          <w:sz w:val="22"/>
          <w:szCs w:val="22"/>
        </w:rPr>
        <w:t>,</w:t>
      </w:r>
      <w:r w:rsidR="00A25D8F" w:rsidRPr="00117BF8">
        <w:rPr>
          <w:rFonts w:ascii="Arial" w:eastAsia="Calibri" w:hAnsi="Arial" w:cs="Arial"/>
          <w:sz w:val="22"/>
          <w:szCs w:val="22"/>
        </w:rPr>
        <w:t xml:space="preserve"> </w:t>
      </w:r>
      <w:r w:rsidR="00BA143D" w:rsidRPr="00117BF8">
        <w:rPr>
          <w:rFonts w:ascii="Arial" w:eastAsia="Calibri" w:hAnsi="Arial" w:cs="Arial"/>
          <w:sz w:val="22"/>
          <w:szCs w:val="22"/>
        </w:rPr>
        <w:t>en general</w:t>
      </w:r>
      <w:r w:rsidR="00952785" w:rsidRPr="00117BF8">
        <w:rPr>
          <w:rFonts w:ascii="Arial" w:eastAsia="Calibri" w:hAnsi="Arial" w:cs="Arial"/>
          <w:sz w:val="22"/>
          <w:szCs w:val="22"/>
        </w:rPr>
        <w:t>,</w:t>
      </w:r>
      <w:r w:rsidR="00BA143D" w:rsidRPr="00117BF8">
        <w:rPr>
          <w:rFonts w:ascii="Arial" w:eastAsia="Calibri" w:hAnsi="Arial" w:cs="Arial"/>
          <w:sz w:val="22"/>
          <w:szCs w:val="22"/>
        </w:rPr>
        <w:t xml:space="preserve"> se recaudó más que lo </w:t>
      </w:r>
      <w:r w:rsidR="0003477B">
        <w:rPr>
          <w:rFonts w:ascii="Arial" w:eastAsia="Calibri" w:hAnsi="Arial" w:cs="Arial"/>
          <w:sz w:val="22"/>
          <w:szCs w:val="22"/>
        </w:rPr>
        <w:t>presupuestado</w:t>
      </w:r>
      <w:r w:rsidR="00BA143D" w:rsidRPr="00117BF8">
        <w:rPr>
          <w:rFonts w:ascii="Arial" w:eastAsia="Calibri" w:hAnsi="Arial" w:cs="Arial"/>
          <w:sz w:val="22"/>
          <w:szCs w:val="22"/>
        </w:rPr>
        <w:t xml:space="preserve"> pero</w:t>
      </w:r>
      <w:r w:rsidR="00952785" w:rsidRPr="00117BF8">
        <w:rPr>
          <w:rFonts w:ascii="Arial" w:eastAsia="Calibri" w:hAnsi="Arial" w:cs="Arial"/>
          <w:sz w:val="22"/>
          <w:szCs w:val="22"/>
        </w:rPr>
        <w:t>, por obvia razones,</w:t>
      </w:r>
      <w:r w:rsidR="00BA143D" w:rsidRPr="00117BF8">
        <w:rPr>
          <w:rFonts w:ascii="Arial" w:eastAsia="Calibri" w:hAnsi="Arial" w:cs="Arial"/>
          <w:sz w:val="22"/>
          <w:szCs w:val="22"/>
        </w:rPr>
        <w:t xml:space="preserve"> los principales impuestos </w:t>
      </w:r>
      <w:r w:rsidR="00952785" w:rsidRPr="00117BF8">
        <w:rPr>
          <w:rFonts w:ascii="Arial" w:eastAsia="Calibri" w:hAnsi="Arial" w:cs="Arial"/>
          <w:sz w:val="22"/>
          <w:szCs w:val="22"/>
        </w:rPr>
        <w:t xml:space="preserve">no </w:t>
      </w:r>
      <w:r w:rsidR="00BA143D" w:rsidRPr="00117BF8">
        <w:rPr>
          <w:rFonts w:ascii="Arial" w:eastAsia="Calibri" w:hAnsi="Arial" w:cs="Arial"/>
          <w:sz w:val="22"/>
          <w:szCs w:val="22"/>
        </w:rPr>
        <w:t>han tenido un desvío superior al pr</w:t>
      </w:r>
      <w:r w:rsidR="00196273" w:rsidRPr="00117BF8">
        <w:rPr>
          <w:rFonts w:ascii="Arial" w:eastAsia="Calibri" w:hAnsi="Arial" w:cs="Arial"/>
          <w:sz w:val="22"/>
          <w:szCs w:val="22"/>
        </w:rPr>
        <w:t>om</w:t>
      </w:r>
      <w:r w:rsidR="00BA143D" w:rsidRPr="00117BF8">
        <w:rPr>
          <w:rFonts w:ascii="Arial" w:eastAsia="Calibri" w:hAnsi="Arial" w:cs="Arial"/>
          <w:sz w:val="22"/>
          <w:szCs w:val="22"/>
        </w:rPr>
        <w:t>edio de los recursos corrientes.</w:t>
      </w:r>
    </w:p>
    <w:p w14:paraId="33F6F700" w14:textId="77777777" w:rsidR="00BA143D" w:rsidRPr="00117BF8" w:rsidRDefault="00952785" w:rsidP="002C3683">
      <w:pPr>
        <w:pStyle w:val="hsa"/>
        <w:rPr>
          <w:rFonts w:ascii="Arial" w:eastAsia="Calibri" w:hAnsi="Arial" w:cs="Arial"/>
          <w:sz w:val="22"/>
          <w:szCs w:val="22"/>
        </w:rPr>
      </w:pPr>
      <w:r w:rsidRPr="00117BF8">
        <w:rPr>
          <w:rFonts w:ascii="Arial" w:eastAsia="Calibri" w:hAnsi="Arial" w:cs="Arial"/>
          <w:sz w:val="22"/>
          <w:szCs w:val="22"/>
        </w:rPr>
        <w:t>L</w:t>
      </w:r>
      <w:r w:rsidR="00BA143D" w:rsidRPr="00117BF8">
        <w:rPr>
          <w:rFonts w:ascii="Arial" w:eastAsia="Calibri" w:hAnsi="Arial" w:cs="Arial"/>
          <w:sz w:val="22"/>
          <w:szCs w:val="22"/>
        </w:rPr>
        <w:t>os ingresos tri</w:t>
      </w:r>
      <w:r w:rsidR="005C6F47" w:rsidRPr="00117BF8">
        <w:rPr>
          <w:rFonts w:ascii="Arial" w:eastAsia="Calibri" w:hAnsi="Arial" w:cs="Arial"/>
          <w:sz w:val="22"/>
          <w:szCs w:val="22"/>
        </w:rPr>
        <w:t xml:space="preserve">butarios de origen nacional </w:t>
      </w:r>
      <w:r w:rsidR="00BA143D" w:rsidRPr="00117BF8">
        <w:rPr>
          <w:rFonts w:ascii="Arial" w:eastAsia="Calibri" w:hAnsi="Arial" w:cs="Arial"/>
          <w:sz w:val="22"/>
          <w:szCs w:val="22"/>
        </w:rPr>
        <w:t xml:space="preserve">superaron en todos los años entre 8% y 9% lo presupuestado, </w:t>
      </w:r>
      <w:r w:rsidRPr="00117BF8">
        <w:rPr>
          <w:rFonts w:ascii="Arial" w:eastAsia="Calibri" w:hAnsi="Arial" w:cs="Arial"/>
          <w:sz w:val="22"/>
          <w:szCs w:val="22"/>
        </w:rPr>
        <w:t xml:space="preserve">al desagregar </w:t>
      </w:r>
      <w:r w:rsidR="00BA143D" w:rsidRPr="00117BF8">
        <w:rPr>
          <w:rFonts w:ascii="Arial" w:eastAsia="Calibri" w:hAnsi="Arial" w:cs="Arial"/>
          <w:sz w:val="22"/>
          <w:szCs w:val="22"/>
        </w:rPr>
        <w:t>el análisis entre las dos fuentes principales de estos recursos se observa desvíos muy variables que se compensan entre sí.</w:t>
      </w:r>
    </w:p>
    <w:p w14:paraId="246E9A3C" w14:textId="77777777" w:rsidR="00A25D8F" w:rsidRPr="00117BF8" w:rsidRDefault="00A25D8F" w:rsidP="002C3683">
      <w:pPr>
        <w:pStyle w:val="hsa"/>
        <w:rPr>
          <w:rFonts w:ascii="Arial" w:eastAsia="Calibri" w:hAnsi="Arial" w:cs="Arial"/>
        </w:rPr>
      </w:pPr>
    </w:p>
    <w:p w14:paraId="5BA491A3" w14:textId="77777777" w:rsidR="00A25D8F" w:rsidRPr="00117BF8" w:rsidRDefault="00A25D8F" w:rsidP="002C3683">
      <w:pPr>
        <w:pStyle w:val="hsa"/>
        <w:rPr>
          <w:rFonts w:ascii="Arial" w:eastAsia="Calibri" w:hAnsi="Arial" w:cs="Arial"/>
        </w:rPr>
        <w:sectPr w:rsidR="00A25D8F" w:rsidRPr="00117BF8" w:rsidSect="009F594F">
          <w:headerReference w:type="default" r:id="rId30"/>
          <w:footerReference w:type="default" r:id="rId31"/>
          <w:pgSz w:w="11907" w:h="16840"/>
          <w:pgMar w:top="1418" w:right="1701" w:bottom="1418" w:left="1701" w:header="851" w:footer="851" w:gutter="0"/>
          <w:cols w:space="720"/>
          <w:docGrid w:linePitch="326"/>
        </w:sectPr>
      </w:pPr>
    </w:p>
    <w:tbl>
      <w:tblPr>
        <w:tblW w:w="14241" w:type="dxa"/>
        <w:tblInd w:w="55" w:type="dxa"/>
        <w:tblCellMar>
          <w:left w:w="70" w:type="dxa"/>
          <w:right w:w="70" w:type="dxa"/>
        </w:tblCellMar>
        <w:tblLook w:val="04A0" w:firstRow="1" w:lastRow="0" w:firstColumn="1" w:lastColumn="0" w:noHBand="0" w:noVBand="1"/>
      </w:tblPr>
      <w:tblGrid>
        <w:gridCol w:w="4591"/>
        <w:gridCol w:w="1198"/>
        <w:gridCol w:w="1198"/>
        <w:gridCol w:w="1198"/>
        <w:gridCol w:w="1198"/>
        <w:gridCol w:w="1198"/>
        <w:gridCol w:w="1264"/>
        <w:gridCol w:w="1198"/>
        <w:gridCol w:w="1198"/>
      </w:tblGrid>
      <w:tr w:rsidR="007951C2" w:rsidRPr="004E6455" w14:paraId="2321665B" w14:textId="77777777" w:rsidTr="00117BF8">
        <w:trPr>
          <w:trHeight w:val="315"/>
        </w:trPr>
        <w:tc>
          <w:tcPr>
            <w:tcW w:w="14241" w:type="dxa"/>
            <w:gridSpan w:val="9"/>
            <w:tcBorders>
              <w:top w:val="single" w:sz="4" w:space="0" w:color="auto"/>
              <w:left w:val="single" w:sz="4" w:space="0" w:color="auto"/>
              <w:bottom w:val="single" w:sz="4" w:space="0" w:color="auto"/>
              <w:right w:val="single" w:sz="4" w:space="0" w:color="auto"/>
            </w:tcBorders>
            <w:shd w:val="clear" w:color="auto" w:fill="0070C0"/>
            <w:noWrap/>
            <w:vAlign w:val="bottom"/>
          </w:tcPr>
          <w:p w14:paraId="5373F8EC" w14:textId="77777777" w:rsidR="007951C2" w:rsidRPr="00117BF8" w:rsidRDefault="007951C2" w:rsidP="00F36A02">
            <w:pPr>
              <w:pStyle w:val="TablaT"/>
              <w:rPr>
                <w:rFonts w:ascii="Arial" w:hAnsi="Arial" w:cs="Arial"/>
                <w:sz w:val="22"/>
                <w:szCs w:val="22"/>
                <w:lang w:val="es-ES_tradnl"/>
              </w:rPr>
            </w:pPr>
            <w:bookmarkStart w:id="44" w:name="_Toc493861122"/>
            <w:r w:rsidRPr="00117BF8">
              <w:rPr>
                <w:rFonts w:ascii="Arial" w:hAnsi="Arial" w:cs="Arial"/>
                <w:sz w:val="22"/>
                <w:szCs w:val="22"/>
                <w:lang w:val="es-ES_tradnl"/>
              </w:rPr>
              <w:t xml:space="preserve">Tabla </w:t>
            </w:r>
            <w:r w:rsidR="00952785" w:rsidRPr="00117BF8">
              <w:rPr>
                <w:rFonts w:ascii="Arial" w:hAnsi="Arial" w:cs="Arial"/>
                <w:sz w:val="22"/>
                <w:szCs w:val="22"/>
                <w:lang w:val="es-ES_tradnl"/>
              </w:rPr>
              <w:t>12</w:t>
            </w:r>
            <w:r w:rsidRPr="00117BF8">
              <w:rPr>
                <w:rFonts w:ascii="Arial" w:hAnsi="Arial" w:cs="Arial"/>
                <w:sz w:val="22"/>
                <w:szCs w:val="22"/>
                <w:lang w:val="es-ES_tradnl"/>
              </w:rPr>
              <w:t xml:space="preserve"> – Principales Recursos – Desvíos Presupuestarios</w:t>
            </w:r>
            <w:bookmarkEnd w:id="44"/>
          </w:p>
        </w:tc>
      </w:tr>
      <w:tr w:rsidR="007951C2" w:rsidRPr="004E6455" w14:paraId="186A2AE3" w14:textId="77777777" w:rsidTr="00117BF8">
        <w:trPr>
          <w:trHeight w:val="315"/>
        </w:trPr>
        <w:tc>
          <w:tcPr>
            <w:tcW w:w="4591"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36064C2" w14:textId="77777777" w:rsidR="007951C2" w:rsidRPr="00117BF8" w:rsidRDefault="007951C2" w:rsidP="007951C2">
            <w:pPr>
              <w:pStyle w:val="TablaE"/>
              <w:rPr>
                <w:rFonts w:ascii="Arial" w:hAnsi="Arial" w:cs="Arial"/>
                <w:bCs/>
                <w:lang w:val="es-AR" w:eastAsia="es-AR"/>
              </w:rPr>
            </w:pPr>
            <w:r w:rsidRPr="00117BF8">
              <w:rPr>
                <w:rFonts w:ascii="Arial" w:hAnsi="Arial" w:cs="Arial"/>
                <w:bCs/>
                <w:lang w:val="es-AR" w:eastAsia="es-AR"/>
              </w:rPr>
              <w:t> </w:t>
            </w:r>
          </w:p>
        </w:tc>
        <w:tc>
          <w:tcPr>
            <w:tcW w:w="4792" w:type="dxa"/>
            <w:gridSpan w:val="4"/>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4064D0E" w14:textId="77777777" w:rsidR="007951C2" w:rsidRPr="00117BF8" w:rsidRDefault="007951C2"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Crédito Original</w:t>
            </w:r>
          </w:p>
        </w:tc>
        <w:tc>
          <w:tcPr>
            <w:tcW w:w="4858" w:type="dxa"/>
            <w:gridSpan w:val="4"/>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0C6DF1C" w14:textId="77777777" w:rsidR="007951C2" w:rsidRPr="00117BF8" w:rsidRDefault="007951C2"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Desvío Presupuesto sobre Crédito Original</w:t>
            </w:r>
          </w:p>
        </w:tc>
      </w:tr>
      <w:tr w:rsidR="00A25D8F" w:rsidRPr="004E6455" w14:paraId="35A46ED4" w14:textId="77777777" w:rsidTr="00117BF8">
        <w:trPr>
          <w:trHeight w:val="315"/>
        </w:trPr>
        <w:tc>
          <w:tcPr>
            <w:tcW w:w="4591"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BFC07BA" w14:textId="77777777" w:rsidR="00A25D8F" w:rsidRPr="00117BF8" w:rsidRDefault="00FA40DC" w:rsidP="007951C2">
            <w:pPr>
              <w:pStyle w:val="TablaE"/>
              <w:rPr>
                <w:rFonts w:ascii="Arial" w:hAnsi="Arial" w:cs="Arial"/>
                <w:bCs/>
                <w:lang w:val="es-AR" w:eastAsia="es-AR"/>
              </w:rPr>
            </w:pPr>
            <w:r w:rsidRPr="00117BF8">
              <w:rPr>
                <w:rFonts w:ascii="Arial" w:hAnsi="Arial" w:cs="Arial"/>
                <w:bCs/>
                <w:sz w:val="22"/>
                <w:szCs w:val="22"/>
                <w:lang w:val="es-AR" w:eastAsia="es-AR"/>
              </w:rPr>
              <w:t>Concepto</w:t>
            </w:r>
          </w:p>
        </w:tc>
        <w:tc>
          <w:tcPr>
            <w:tcW w:w="119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EC14C6D" w14:textId="77777777" w:rsidR="00A25D8F" w:rsidRPr="00117BF8" w:rsidRDefault="00A25D8F"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2013</w:t>
            </w:r>
          </w:p>
        </w:tc>
        <w:tc>
          <w:tcPr>
            <w:tcW w:w="119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89DD3FA" w14:textId="77777777" w:rsidR="00A25D8F" w:rsidRPr="00117BF8" w:rsidRDefault="00A25D8F"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2014</w:t>
            </w:r>
          </w:p>
        </w:tc>
        <w:tc>
          <w:tcPr>
            <w:tcW w:w="119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9DA0A9F" w14:textId="77777777" w:rsidR="00A25D8F" w:rsidRPr="00117BF8" w:rsidRDefault="00A25D8F"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19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CD61F5A" w14:textId="77777777" w:rsidR="00A25D8F" w:rsidRPr="00117BF8" w:rsidRDefault="00A25D8F"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c>
          <w:tcPr>
            <w:tcW w:w="119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D7D6BE8" w14:textId="77777777" w:rsidR="00A25D8F" w:rsidRPr="00117BF8" w:rsidRDefault="00A25D8F"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2013</w:t>
            </w:r>
          </w:p>
        </w:tc>
        <w:tc>
          <w:tcPr>
            <w:tcW w:w="1264"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FA15D34" w14:textId="77777777" w:rsidR="00A25D8F" w:rsidRPr="00117BF8" w:rsidRDefault="00A25D8F"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2014</w:t>
            </w:r>
          </w:p>
        </w:tc>
        <w:tc>
          <w:tcPr>
            <w:tcW w:w="119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C815708" w14:textId="77777777" w:rsidR="00A25D8F" w:rsidRPr="00117BF8" w:rsidRDefault="00A25D8F"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19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8F477CA" w14:textId="77777777" w:rsidR="00A25D8F" w:rsidRPr="00117BF8" w:rsidRDefault="00A25D8F" w:rsidP="007951C2">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r>
      <w:tr w:rsidR="00B253E0" w:rsidRPr="0003477B" w14:paraId="1B412190"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C8AD2" w14:textId="77777777" w:rsidR="00B253E0" w:rsidRPr="00117BF8" w:rsidRDefault="00B253E0" w:rsidP="00AA3986">
            <w:pPr>
              <w:pStyle w:val="TablaC"/>
              <w:jc w:val="left"/>
              <w:rPr>
                <w:rFonts w:ascii="Arial" w:hAnsi="Arial" w:cs="Arial"/>
                <w:b/>
                <w:sz w:val="18"/>
                <w:szCs w:val="18"/>
              </w:rPr>
            </w:pPr>
            <w:r w:rsidRPr="00117BF8">
              <w:rPr>
                <w:rFonts w:ascii="Arial" w:hAnsi="Arial" w:cs="Arial"/>
                <w:b/>
                <w:sz w:val="18"/>
                <w:szCs w:val="18"/>
              </w:rPr>
              <w:t>Principales Tributos Provinciales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63890"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4AE79"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64F17"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51E37"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4FD4C"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613DE"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4FB86"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20F49"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 </w:t>
            </w:r>
          </w:p>
        </w:tc>
      </w:tr>
      <w:tr w:rsidR="00A25D8F" w:rsidRPr="0003477B" w14:paraId="5AA7A322"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15414" w14:textId="77777777" w:rsidR="00A25D8F" w:rsidRPr="00117BF8" w:rsidRDefault="00A25D8F" w:rsidP="00A25D8F">
            <w:pPr>
              <w:spacing w:after="0"/>
              <w:jc w:val="left"/>
              <w:rPr>
                <w:rFonts w:ascii="Arial" w:hAnsi="Arial" w:cs="Arial"/>
                <w:sz w:val="18"/>
                <w:szCs w:val="18"/>
                <w:lang w:val="es-AR" w:eastAsia="es-AR"/>
              </w:rPr>
            </w:pPr>
            <w:r w:rsidRPr="00117BF8">
              <w:rPr>
                <w:rFonts w:ascii="Arial" w:hAnsi="Arial" w:cs="Arial"/>
                <w:sz w:val="18"/>
                <w:szCs w:val="18"/>
                <w:lang w:val="es-AR" w:eastAsia="es-AR"/>
              </w:rPr>
              <w:t>Inmobiliario Urbano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347AD"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3.396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18B77"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3.350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04958"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4.474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A8B37"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5.551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B7315"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2,2%</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AA5A7"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2,7%</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1B3E9"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-0,8%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FCCFB"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16,0%</w:t>
            </w:r>
          </w:p>
        </w:tc>
      </w:tr>
      <w:tr w:rsidR="00A25D8F" w:rsidRPr="0003477B" w14:paraId="7B73FD69"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A2332" w14:textId="77777777" w:rsidR="00A25D8F" w:rsidRPr="00117BF8" w:rsidRDefault="00A25D8F" w:rsidP="00A25D8F">
            <w:pPr>
              <w:spacing w:after="0"/>
              <w:jc w:val="left"/>
              <w:rPr>
                <w:rFonts w:ascii="Arial" w:hAnsi="Arial" w:cs="Arial"/>
                <w:sz w:val="18"/>
                <w:szCs w:val="18"/>
                <w:lang w:val="es-AR" w:eastAsia="es-AR"/>
              </w:rPr>
            </w:pPr>
            <w:r w:rsidRPr="00117BF8">
              <w:rPr>
                <w:rFonts w:ascii="Arial" w:hAnsi="Arial" w:cs="Arial"/>
                <w:sz w:val="18"/>
                <w:szCs w:val="18"/>
                <w:lang w:val="es-AR" w:eastAsia="es-AR"/>
              </w:rPr>
              <w:t>Automotores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518D2"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4.053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5FA3F"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5.268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E0114"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6.880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C2CF8"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9.898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5CB42"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1,7%</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3806A"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22964"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21,2%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B4BA"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24,6%</w:t>
            </w:r>
          </w:p>
        </w:tc>
      </w:tr>
      <w:tr w:rsidR="00A25D8F" w:rsidRPr="0003477B" w14:paraId="723D7613"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DAE0A" w14:textId="77777777" w:rsidR="00A25D8F" w:rsidRPr="00117BF8" w:rsidRDefault="00A25D8F" w:rsidP="00A25D8F">
            <w:pPr>
              <w:spacing w:after="0"/>
              <w:jc w:val="left"/>
              <w:rPr>
                <w:rFonts w:ascii="Arial" w:hAnsi="Arial" w:cs="Arial"/>
                <w:sz w:val="18"/>
                <w:szCs w:val="18"/>
                <w:lang w:val="es-AR" w:eastAsia="es-AR"/>
              </w:rPr>
            </w:pPr>
            <w:r w:rsidRPr="00117BF8">
              <w:rPr>
                <w:rFonts w:ascii="Arial" w:hAnsi="Arial" w:cs="Arial"/>
                <w:sz w:val="18"/>
                <w:szCs w:val="18"/>
                <w:lang w:val="es-AR" w:eastAsia="es-AR"/>
              </w:rPr>
              <w:t>Ingresos Brutos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A8A15"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43.555</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FEFF1"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63.111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4BFC0"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87.583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D025D"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107.849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08CEA"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11,7%</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D2C2"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4,6%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44FF1"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BA6DF"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5,0%</w:t>
            </w:r>
          </w:p>
        </w:tc>
      </w:tr>
      <w:tr w:rsidR="00A25D8F" w:rsidRPr="0003477B" w14:paraId="5DD9C022"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7B887" w14:textId="77777777" w:rsidR="00A25D8F" w:rsidRPr="00117BF8" w:rsidRDefault="00A25D8F" w:rsidP="00A25D8F">
            <w:pPr>
              <w:spacing w:after="0"/>
              <w:jc w:val="left"/>
              <w:rPr>
                <w:rFonts w:ascii="Arial" w:hAnsi="Arial" w:cs="Arial"/>
                <w:sz w:val="18"/>
                <w:szCs w:val="18"/>
                <w:lang w:val="es-AR" w:eastAsia="es-AR"/>
              </w:rPr>
            </w:pPr>
            <w:r w:rsidRPr="00117BF8">
              <w:rPr>
                <w:rFonts w:ascii="Arial" w:hAnsi="Arial" w:cs="Arial"/>
                <w:sz w:val="18"/>
                <w:szCs w:val="18"/>
                <w:lang w:val="es-AR" w:eastAsia="es-AR"/>
              </w:rPr>
              <w:t>Sellos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EF62C"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5.274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6DBBC"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6.877</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8AEC3"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8.412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5453B"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11.283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DD2D5"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0,9%</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E0C84"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-7,0%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32DAC"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10,9%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BF3ED" w14:textId="77777777" w:rsidR="00A25D8F" w:rsidRPr="00117BF8" w:rsidRDefault="00A25D8F" w:rsidP="008D0595">
            <w:pPr>
              <w:pStyle w:val="TablaC"/>
              <w:rPr>
                <w:rFonts w:ascii="Arial" w:hAnsi="Arial" w:cs="Arial"/>
                <w:sz w:val="18"/>
                <w:szCs w:val="18"/>
              </w:rPr>
            </w:pPr>
            <w:r w:rsidRPr="00117BF8">
              <w:rPr>
                <w:rFonts w:ascii="Arial" w:hAnsi="Arial" w:cs="Arial"/>
                <w:sz w:val="18"/>
                <w:szCs w:val="18"/>
              </w:rPr>
              <w:t>14,4%</w:t>
            </w:r>
          </w:p>
        </w:tc>
      </w:tr>
      <w:tr w:rsidR="00B253E0" w:rsidRPr="0003477B" w14:paraId="06C6F682"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CCDEB" w14:textId="77777777" w:rsidR="00B253E0" w:rsidRPr="00117BF8" w:rsidRDefault="00B253E0" w:rsidP="00AA3986">
            <w:pPr>
              <w:pStyle w:val="TablaC"/>
              <w:jc w:val="left"/>
              <w:rPr>
                <w:rFonts w:ascii="Arial" w:hAnsi="Arial" w:cs="Arial"/>
                <w:b/>
                <w:sz w:val="18"/>
                <w:szCs w:val="18"/>
              </w:rPr>
            </w:pPr>
            <w:r w:rsidRPr="00117BF8">
              <w:rPr>
                <w:rFonts w:ascii="Arial" w:hAnsi="Arial" w:cs="Arial"/>
                <w:b/>
                <w:sz w:val="18"/>
                <w:szCs w:val="18"/>
              </w:rPr>
              <w:t>Principales Ingresos Tributarios Nacionales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4639F"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EADE5"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1E995"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AC63B"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39BC1" w14:textId="77777777" w:rsidR="00B253E0" w:rsidRPr="00117BF8" w:rsidRDefault="00B253E0" w:rsidP="008D0595">
            <w:pPr>
              <w:pStyle w:val="TablaC"/>
              <w:rPr>
                <w:rFonts w:ascii="Arial" w:hAnsi="Arial" w:cs="Arial"/>
                <w:sz w:val="18"/>
                <w:szCs w:val="18"/>
              </w:rPr>
            </w:pP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AF82F"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FD7FA"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D4E70" w14:textId="77777777" w:rsidR="00B253E0" w:rsidRPr="00117BF8" w:rsidRDefault="00B253E0" w:rsidP="008D0595">
            <w:pPr>
              <w:pStyle w:val="TablaC"/>
              <w:rPr>
                <w:rFonts w:ascii="Arial" w:hAnsi="Arial" w:cs="Arial"/>
                <w:sz w:val="18"/>
                <w:szCs w:val="18"/>
              </w:rPr>
            </w:pPr>
          </w:p>
        </w:tc>
      </w:tr>
      <w:tr w:rsidR="00B253E0" w:rsidRPr="0003477B" w14:paraId="6535E320"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B8836" w14:textId="77777777" w:rsidR="00B253E0" w:rsidRPr="00117BF8" w:rsidRDefault="00B253E0" w:rsidP="00AA3986">
            <w:pPr>
              <w:pStyle w:val="TablaC"/>
              <w:jc w:val="left"/>
              <w:rPr>
                <w:rFonts w:ascii="Arial" w:hAnsi="Arial" w:cs="Arial"/>
                <w:sz w:val="18"/>
                <w:szCs w:val="18"/>
              </w:rPr>
            </w:pPr>
            <w:r w:rsidRPr="00117BF8">
              <w:rPr>
                <w:rFonts w:ascii="Arial" w:hAnsi="Arial" w:cs="Arial"/>
                <w:sz w:val="18"/>
                <w:szCs w:val="18"/>
              </w:rPr>
              <w:t>Copart. Fed. Distribución Secundaria</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52ED2"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27.441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218C3"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38.046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CCF07"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51.591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EFF62"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59.224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82327"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10,4%</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95B25"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10,4%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A7B53"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-6,8%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9F3AB"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7,3%</w:t>
            </w:r>
          </w:p>
        </w:tc>
      </w:tr>
      <w:tr w:rsidR="00B253E0" w:rsidRPr="0003477B" w14:paraId="493B4916"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73424" w14:textId="77777777" w:rsidR="00B253E0" w:rsidRPr="00117BF8" w:rsidRDefault="00B253E0" w:rsidP="00AA3986">
            <w:pPr>
              <w:pStyle w:val="TablaC"/>
              <w:jc w:val="left"/>
              <w:rPr>
                <w:rFonts w:ascii="Arial" w:hAnsi="Arial" w:cs="Arial"/>
                <w:sz w:val="18"/>
                <w:szCs w:val="18"/>
              </w:rPr>
            </w:pPr>
            <w:r w:rsidRPr="00117BF8">
              <w:rPr>
                <w:rFonts w:ascii="Arial" w:hAnsi="Arial" w:cs="Arial"/>
                <w:sz w:val="18"/>
                <w:szCs w:val="18"/>
              </w:rPr>
              <w:t>Copart. Ley 26075 - Financiamiento Educativo </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82A09"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6.965</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176C2"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8.879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5C1FF"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13.709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04574"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28.357</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5499D"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0,3%</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5B0AD"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0,9%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7AFDD"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57,6%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2BB61"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0,0%</w:t>
            </w:r>
          </w:p>
        </w:tc>
      </w:tr>
      <w:tr w:rsidR="00B253E0" w:rsidRPr="0003477B" w14:paraId="7691A7B8"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6FAA76" w14:textId="77777777" w:rsidR="00B253E0" w:rsidRPr="00117BF8" w:rsidRDefault="00B253E0" w:rsidP="00AA3986">
            <w:pPr>
              <w:pStyle w:val="TablaC"/>
              <w:jc w:val="left"/>
              <w:rPr>
                <w:rFonts w:ascii="Arial" w:hAnsi="Arial" w:cs="Arial"/>
                <w:b/>
                <w:sz w:val="18"/>
                <w:szCs w:val="18"/>
              </w:rPr>
            </w:pPr>
            <w:r w:rsidRPr="00117BF8">
              <w:rPr>
                <w:rFonts w:ascii="Arial" w:hAnsi="Arial" w:cs="Arial"/>
                <w:b/>
                <w:sz w:val="18"/>
                <w:szCs w:val="18"/>
              </w:rPr>
              <w:t>Principales Aportes y Contribuciones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B1FB3"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BDDAA"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37FC0"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8BD0C"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93619" w14:textId="77777777" w:rsidR="00B253E0" w:rsidRPr="00117BF8" w:rsidRDefault="00B253E0" w:rsidP="008D0595">
            <w:pPr>
              <w:pStyle w:val="TablaC"/>
              <w:rPr>
                <w:rFonts w:ascii="Arial" w:hAnsi="Arial" w:cs="Arial"/>
                <w:sz w:val="18"/>
                <w:szCs w:val="18"/>
              </w:rPr>
            </w:pP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D3486"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4D18C"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7ABAC" w14:textId="77777777" w:rsidR="00B253E0" w:rsidRPr="00117BF8" w:rsidRDefault="00B253E0" w:rsidP="008D0595">
            <w:pPr>
              <w:pStyle w:val="TablaC"/>
              <w:rPr>
                <w:rFonts w:ascii="Arial" w:hAnsi="Arial" w:cs="Arial"/>
                <w:sz w:val="18"/>
                <w:szCs w:val="18"/>
              </w:rPr>
            </w:pPr>
          </w:p>
        </w:tc>
      </w:tr>
      <w:tr w:rsidR="00B253E0" w:rsidRPr="0003477B" w14:paraId="217FCD9E"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C2D90" w14:textId="77777777" w:rsidR="00B253E0" w:rsidRPr="00117BF8" w:rsidRDefault="00B253E0" w:rsidP="00AA3986">
            <w:pPr>
              <w:pStyle w:val="TablaC"/>
              <w:jc w:val="left"/>
              <w:rPr>
                <w:rFonts w:ascii="Arial" w:hAnsi="Arial" w:cs="Arial"/>
                <w:sz w:val="18"/>
                <w:szCs w:val="18"/>
                <w:lang w:val="es-ES_tradnl"/>
              </w:rPr>
            </w:pPr>
            <w:r w:rsidRPr="00117BF8">
              <w:rPr>
                <w:rFonts w:ascii="Arial" w:hAnsi="Arial" w:cs="Arial"/>
                <w:sz w:val="18"/>
                <w:szCs w:val="18"/>
                <w:lang w:val="es-ES_tradnl"/>
              </w:rPr>
              <w:t>Aportes Ley de Policía y Servicio Penitenciario</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CC08F"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115</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0039"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147</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94F1E"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232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D0585"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299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98E11"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108,8%</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BF857"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4126,9%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31D77"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23,2%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E1B72"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24,7%</w:t>
            </w:r>
          </w:p>
        </w:tc>
      </w:tr>
      <w:tr w:rsidR="00B253E0" w:rsidRPr="0003477B" w14:paraId="2BB75D1D"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FDAC6" w14:textId="77777777" w:rsidR="00B253E0" w:rsidRPr="00117BF8" w:rsidRDefault="00B253E0" w:rsidP="00AA3986">
            <w:pPr>
              <w:pStyle w:val="TablaC"/>
              <w:jc w:val="left"/>
              <w:rPr>
                <w:rFonts w:ascii="Arial" w:hAnsi="Arial" w:cs="Arial"/>
                <w:sz w:val="18"/>
                <w:szCs w:val="18"/>
                <w:lang w:val="es-ES_tradnl"/>
              </w:rPr>
            </w:pPr>
            <w:r w:rsidRPr="00117BF8">
              <w:rPr>
                <w:rFonts w:ascii="Arial" w:hAnsi="Arial" w:cs="Arial"/>
                <w:sz w:val="18"/>
                <w:szCs w:val="18"/>
                <w:lang w:val="es-ES_tradnl"/>
              </w:rPr>
              <w:t>Aportes Dción. Gral. Cultura y Educación - Docentes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8B67E"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3.467</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DF470"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4.379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73F7C"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5.972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B46DE"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10.489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AB625"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30,4%</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AA141"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-92,6%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8FF19"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59,1%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F3CAC"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10,3%</w:t>
            </w:r>
          </w:p>
        </w:tc>
      </w:tr>
      <w:tr w:rsidR="00B253E0" w:rsidRPr="0003477B" w14:paraId="7741EDA1"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BF814" w14:textId="77777777" w:rsidR="00B253E0" w:rsidRPr="00117BF8" w:rsidRDefault="00B253E0" w:rsidP="00AA3986">
            <w:pPr>
              <w:pStyle w:val="TablaC"/>
              <w:jc w:val="left"/>
              <w:rPr>
                <w:rFonts w:ascii="Arial" w:hAnsi="Arial" w:cs="Arial"/>
                <w:sz w:val="18"/>
                <w:szCs w:val="18"/>
                <w:lang w:val="es-ES_tradnl"/>
              </w:rPr>
            </w:pPr>
            <w:r w:rsidRPr="00117BF8">
              <w:rPr>
                <w:rFonts w:ascii="Arial" w:hAnsi="Arial" w:cs="Arial"/>
                <w:sz w:val="18"/>
                <w:szCs w:val="18"/>
                <w:lang w:val="es-ES_tradnl"/>
              </w:rPr>
              <w:t>Contrib. Ley de Policía y Servicio Penitenciario</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8E93E"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156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89810"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158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E5B8D"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263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B23D6"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568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AACFF"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21,6%</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B8DD2"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2745,4%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B3AB"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0,0%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55CB1"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0,0%</w:t>
            </w:r>
          </w:p>
        </w:tc>
      </w:tr>
      <w:tr w:rsidR="00B253E0" w:rsidRPr="0003477B" w14:paraId="219A03AB"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638F1" w14:textId="77777777" w:rsidR="00B253E0" w:rsidRPr="00117BF8" w:rsidRDefault="00B253E0" w:rsidP="00AA3986">
            <w:pPr>
              <w:pStyle w:val="TablaC"/>
              <w:jc w:val="left"/>
              <w:rPr>
                <w:rFonts w:ascii="Arial" w:hAnsi="Arial" w:cs="Arial"/>
                <w:sz w:val="18"/>
                <w:szCs w:val="18"/>
                <w:lang w:val="es-ES_tradnl"/>
              </w:rPr>
            </w:pPr>
            <w:r w:rsidRPr="00117BF8">
              <w:rPr>
                <w:rFonts w:ascii="Arial" w:hAnsi="Arial" w:cs="Arial"/>
                <w:sz w:val="18"/>
                <w:szCs w:val="18"/>
                <w:lang w:val="es-ES_tradnl"/>
              </w:rPr>
              <w:t>Contrib.  Dción. Gral. Cultura y Educación – Docentes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34E58"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2.592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142CF"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3.263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CEBEB"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4.331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385B6"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7.989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D9452"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56,6%</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FFBA3"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-92,3%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55AC8"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42,5%</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77D5"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14,4%</w:t>
            </w:r>
          </w:p>
        </w:tc>
      </w:tr>
      <w:tr w:rsidR="00B253E0" w:rsidRPr="0003477B" w14:paraId="00F2589B"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B7011" w14:textId="77777777" w:rsidR="00B253E0" w:rsidRPr="00117BF8" w:rsidRDefault="00B253E0" w:rsidP="00AA3986">
            <w:pPr>
              <w:pStyle w:val="TablaC"/>
              <w:jc w:val="left"/>
              <w:rPr>
                <w:rFonts w:ascii="Arial" w:hAnsi="Arial" w:cs="Arial"/>
                <w:b/>
                <w:sz w:val="18"/>
                <w:szCs w:val="18"/>
              </w:rPr>
            </w:pPr>
            <w:r w:rsidRPr="00117BF8">
              <w:rPr>
                <w:rFonts w:ascii="Arial" w:hAnsi="Arial" w:cs="Arial"/>
                <w:b/>
                <w:sz w:val="18"/>
                <w:szCs w:val="18"/>
              </w:rPr>
              <w:t>Principales Transferencias Corrientes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717CF"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96606"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BB78B"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D0E49"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9E89A" w14:textId="77777777" w:rsidR="00B253E0" w:rsidRPr="00117BF8" w:rsidRDefault="00B253E0" w:rsidP="008D0595">
            <w:pPr>
              <w:pStyle w:val="TablaC"/>
              <w:rPr>
                <w:rFonts w:ascii="Arial" w:hAnsi="Arial" w:cs="Arial"/>
                <w:sz w:val="18"/>
                <w:szCs w:val="18"/>
              </w:rPr>
            </w:pP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2CF2"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200F4" w14:textId="77777777" w:rsidR="00B253E0" w:rsidRPr="00117BF8" w:rsidRDefault="00B253E0" w:rsidP="008D0595">
            <w:pPr>
              <w:pStyle w:val="TablaC"/>
              <w:rPr>
                <w:rFonts w:ascii="Arial" w:hAnsi="Arial" w:cs="Arial"/>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B5D98" w14:textId="77777777" w:rsidR="00B253E0" w:rsidRPr="00117BF8" w:rsidRDefault="00B253E0" w:rsidP="008D0595">
            <w:pPr>
              <w:pStyle w:val="TablaC"/>
              <w:rPr>
                <w:rFonts w:ascii="Arial" w:hAnsi="Arial" w:cs="Arial"/>
                <w:sz w:val="18"/>
                <w:szCs w:val="18"/>
              </w:rPr>
            </w:pPr>
          </w:p>
        </w:tc>
      </w:tr>
      <w:tr w:rsidR="00B253E0" w:rsidRPr="0003477B" w14:paraId="06570BB8"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DD140" w14:textId="77777777" w:rsidR="00B253E0" w:rsidRPr="00117BF8" w:rsidRDefault="00B253E0" w:rsidP="00AA3986">
            <w:pPr>
              <w:pStyle w:val="TablaC"/>
              <w:jc w:val="left"/>
              <w:rPr>
                <w:rFonts w:ascii="Arial" w:hAnsi="Arial" w:cs="Arial"/>
                <w:sz w:val="18"/>
                <w:szCs w:val="18"/>
              </w:rPr>
            </w:pPr>
            <w:r w:rsidRPr="00117BF8">
              <w:rPr>
                <w:rFonts w:ascii="Arial" w:hAnsi="Arial" w:cs="Arial"/>
                <w:sz w:val="18"/>
                <w:szCs w:val="18"/>
              </w:rPr>
              <w:t>Tesoro Nacional</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18521"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D1230"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F950E"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5F6DB"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BEEF3"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69139,4%</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AAD61"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3330332,4%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A388F"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#¡DIV/0!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88303" w14:textId="77777777" w:rsidR="00B253E0" w:rsidRPr="00117BF8" w:rsidRDefault="00B253E0" w:rsidP="008D0595">
            <w:pPr>
              <w:pStyle w:val="TablaC"/>
              <w:rPr>
                <w:rFonts w:ascii="Arial" w:hAnsi="Arial" w:cs="Arial"/>
                <w:sz w:val="18"/>
                <w:szCs w:val="18"/>
              </w:rPr>
            </w:pPr>
            <w:r w:rsidRPr="00117BF8">
              <w:rPr>
                <w:rFonts w:ascii="Arial" w:hAnsi="Arial" w:cs="Arial"/>
                <w:sz w:val="18"/>
                <w:szCs w:val="18"/>
              </w:rPr>
              <w:t>#¡DIV/0!</w:t>
            </w:r>
          </w:p>
        </w:tc>
      </w:tr>
      <w:tr w:rsidR="00B253E0" w:rsidRPr="0003477B" w14:paraId="7F2AE8AA" w14:textId="77777777" w:rsidTr="00117BF8">
        <w:trPr>
          <w:trHeight w:val="300"/>
        </w:trPr>
        <w:tc>
          <w:tcPr>
            <w:tcW w:w="45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94E9C" w14:textId="77777777" w:rsidR="00B253E0" w:rsidRPr="00117BF8" w:rsidRDefault="00B253E0" w:rsidP="00AA3986">
            <w:pPr>
              <w:pStyle w:val="TablaC"/>
              <w:jc w:val="left"/>
              <w:rPr>
                <w:rFonts w:ascii="Arial" w:hAnsi="Arial" w:cs="Arial"/>
                <w:b/>
                <w:sz w:val="18"/>
                <w:szCs w:val="18"/>
              </w:rPr>
            </w:pPr>
            <w:r w:rsidRPr="00117BF8">
              <w:rPr>
                <w:rFonts w:ascii="Arial" w:hAnsi="Arial" w:cs="Arial"/>
                <w:b/>
                <w:sz w:val="18"/>
                <w:szCs w:val="18"/>
              </w:rPr>
              <w:t>Total rubros seleccionados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99C6C" w14:textId="77777777" w:rsidR="00B253E0" w:rsidRPr="00117BF8" w:rsidRDefault="00B253E0" w:rsidP="008D0595">
            <w:pPr>
              <w:pStyle w:val="TablaC"/>
              <w:rPr>
                <w:rFonts w:ascii="Arial" w:hAnsi="Arial" w:cs="Arial"/>
                <w:b/>
                <w:sz w:val="18"/>
                <w:szCs w:val="18"/>
              </w:rPr>
            </w:pPr>
            <w:r w:rsidRPr="00117BF8">
              <w:rPr>
                <w:rFonts w:ascii="Arial" w:hAnsi="Arial" w:cs="Arial"/>
                <w:b/>
                <w:sz w:val="18"/>
                <w:szCs w:val="18"/>
              </w:rPr>
              <w:t>97.015</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2CEB4" w14:textId="77777777" w:rsidR="00B253E0" w:rsidRPr="00117BF8" w:rsidRDefault="00B253E0" w:rsidP="008D0595">
            <w:pPr>
              <w:pStyle w:val="TablaC"/>
              <w:rPr>
                <w:rFonts w:ascii="Arial" w:hAnsi="Arial" w:cs="Arial"/>
                <w:b/>
                <w:sz w:val="18"/>
                <w:szCs w:val="18"/>
              </w:rPr>
            </w:pPr>
            <w:r w:rsidRPr="00117BF8">
              <w:rPr>
                <w:rFonts w:ascii="Arial" w:hAnsi="Arial" w:cs="Arial"/>
                <w:b/>
                <w:sz w:val="18"/>
                <w:szCs w:val="18"/>
              </w:rPr>
              <w:t>133.478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07F58" w14:textId="77777777" w:rsidR="00B253E0" w:rsidRPr="00117BF8" w:rsidRDefault="00B253E0" w:rsidP="008D0595">
            <w:pPr>
              <w:pStyle w:val="TablaC"/>
              <w:rPr>
                <w:rFonts w:ascii="Arial" w:hAnsi="Arial" w:cs="Arial"/>
                <w:b/>
                <w:sz w:val="18"/>
                <w:szCs w:val="18"/>
              </w:rPr>
            </w:pPr>
            <w:r w:rsidRPr="00117BF8">
              <w:rPr>
                <w:rFonts w:ascii="Arial" w:hAnsi="Arial" w:cs="Arial"/>
                <w:b/>
                <w:sz w:val="18"/>
                <w:szCs w:val="18"/>
              </w:rPr>
              <w:t>183.448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523667" w14:textId="77777777" w:rsidR="00B253E0" w:rsidRPr="00117BF8" w:rsidRDefault="00B253E0" w:rsidP="008D0595">
            <w:pPr>
              <w:pStyle w:val="TablaC"/>
              <w:rPr>
                <w:rFonts w:ascii="Arial" w:hAnsi="Arial" w:cs="Arial"/>
                <w:b/>
                <w:sz w:val="18"/>
                <w:szCs w:val="18"/>
              </w:rPr>
            </w:pPr>
            <w:r w:rsidRPr="00117BF8">
              <w:rPr>
                <w:rFonts w:ascii="Arial" w:hAnsi="Arial" w:cs="Arial"/>
                <w:b/>
                <w:sz w:val="18"/>
                <w:szCs w:val="18"/>
              </w:rPr>
              <w:t>241.506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DC251" w14:textId="77777777" w:rsidR="00B253E0" w:rsidRPr="00117BF8" w:rsidRDefault="00B253E0" w:rsidP="008D0595">
            <w:pPr>
              <w:pStyle w:val="TablaC"/>
              <w:rPr>
                <w:rFonts w:ascii="Arial" w:hAnsi="Arial" w:cs="Arial"/>
                <w:b/>
                <w:sz w:val="18"/>
                <w:szCs w:val="18"/>
              </w:rPr>
            </w:pPr>
            <w:r w:rsidRPr="00117BF8">
              <w:rPr>
                <w:rFonts w:ascii="Arial" w:hAnsi="Arial" w:cs="Arial"/>
                <w:b/>
                <w:sz w:val="18"/>
                <w:szCs w:val="18"/>
              </w:rPr>
              <w:t>11,9%</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48067" w14:textId="77777777" w:rsidR="00B253E0" w:rsidRPr="00117BF8" w:rsidRDefault="00B253E0" w:rsidP="008D0595">
            <w:pPr>
              <w:pStyle w:val="TablaC"/>
              <w:rPr>
                <w:rFonts w:ascii="Arial" w:hAnsi="Arial" w:cs="Arial"/>
                <w:b/>
                <w:sz w:val="18"/>
                <w:szCs w:val="18"/>
              </w:rPr>
            </w:pPr>
            <w:r w:rsidRPr="00117BF8">
              <w:rPr>
                <w:rFonts w:ascii="Arial" w:hAnsi="Arial" w:cs="Arial"/>
                <w:b/>
                <w:sz w:val="18"/>
                <w:szCs w:val="18"/>
              </w:rPr>
              <w:t>11,3%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EED98" w14:textId="77777777" w:rsidR="00B253E0" w:rsidRPr="00117BF8" w:rsidRDefault="00B253E0" w:rsidP="008D0595">
            <w:pPr>
              <w:pStyle w:val="TablaC"/>
              <w:rPr>
                <w:rFonts w:ascii="Arial" w:hAnsi="Arial" w:cs="Arial"/>
                <w:b/>
                <w:sz w:val="18"/>
                <w:szCs w:val="18"/>
              </w:rPr>
            </w:pPr>
            <w:r w:rsidRPr="00117BF8">
              <w:rPr>
                <w:rFonts w:ascii="Arial" w:hAnsi="Arial" w:cs="Arial"/>
                <w:b/>
                <w:sz w:val="18"/>
                <w:szCs w:val="18"/>
              </w:rPr>
              <w:t>10,1%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DDBED" w14:textId="77777777" w:rsidR="00B253E0" w:rsidRPr="00117BF8" w:rsidRDefault="00B253E0" w:rsidP="008D0595">
            <w:pPr>
              <w:pStyle w:val="TablaC"/>
              <w:rPr>
                <w:rFonts w:ascii="Arial" w:hAnsi="Arial" w:cs="Arial"/>
                <w:b/>
                <w:sz w:val="18"/>
                <w:szCs w:val="18"/>
              </w:rPr>
            </w:pPr>
            <w:r w:rsidRPr="00117BF8">
              <w:rPr>
                <w:rFonts w:ascii="Arial" w:hAnsi="Arial" w:cs="Arial"/>
                <w:b/>
                <w:sz w:val="18"/>
                <w:szCs w:val="18"/>
              </w:rPr>
              <w:t>17,9%</w:t>
            </w:r>
          </w:p>
        </w:tc>
      </w:tr>
    </w:tbl>
    <w:p w14:paraId="2C2CAC3C" w14:textId="77777777" w:rsidR="00952785" w:rsidRPr="00117BF8" w:rsidRDefault="00952785" w:rsidP="00952785">
      <w:pPr>
        <w:pStyle w:val="Hfuente"/>
        <w:rPr>
          <w:rFonts w:ascii="Arial" w:hAnsi="Arial" w:cs="Arial"/>
          <w:sz w:val="18"/>
          <w:szCs w:val="18"/>
        </w:rPr>
      </w:pPr>
      <w:r w:rsidRPr="00117BF8">
        <w:rPr>
          <w:rFonts w:ascii="Arial" w:hAnsi="Arial" w:cs="Arial"/>
          <w:sz w:val="18"/>
          <w:szCs w:val="18"/>
        </w:rPr>
        <w:t>Elaboración propia sobre datos de la CGPBA.</w:t>
      </w:r>
    </w:p>
    <w:p w14:paraId="48D8319E" w14:textId="77777777" w:rsidR="00A25D8F" w:rsidRPr="00117BF8" w:rsidRDefault="00A25D8F" w:rsidP="002C3683">
      <w:pPr>
        <w:pStyle w:val="hsa"/>
        <w:rPr>
          <w:rFonts w:ascii="Arial" w:eastAsia="Calibri" w:hAnsi="Arial" w:cs="Arial"/>
        </w:rPr>
      </w:pPr>
    </w:p>
    <w:p w14:paraId="2D006C00" w14:textId="77777777" w:rsidR="00A25D8F" w:rsidRPr="00117BF8" w:rsidRDefault="00A25D8F" w:rsidP="002C3683">
      <w:pPr>
        <w:pStyle w:val="hsa"/>
        <w:rPr>
          <w:rFonts w:ascii="Arial" w:eastAsia="Calibri" w:hAnsi="Arial" w:cs="Arial"/>
        </w:rPr>
        <w:sectPr w:rsidR="00A25D8F" w:rsidRPr="00117BF8" w:rsidSect="009F594F">
          <w:headerReference w:type="default" r:id="rId32"/>
          <w:footerReference w:type="default" r:id="rId33"/>
          <w:pgSz w:w="16840" w:h="11907" w:orient="landscape"/>
          <w:pgMar w:top="1701" w:right="1418" w:bottom="1701" w:left="1418" w:header="851" w:footer="851" w:gutter="0"/>
          <w:cols w:space="720"/>
          <w:docGrid w:linePitch="326"/>
        </w:sectPr>
      </w:pPr>
    </w:p>
    <w:p w14:paraId="043C18D7" w14:textId="382F077A" w:rsidR="00952785" w:rsidRPr="00117BF8" w:rsidRDefault="00952785" w:rsidP="00952785">
      <w:pPr>
        <w:pStyle w:val="hsa"/>
        <w:rPr>
          <w:rFonts w:ascii="Arial" w:eastAsia="Calibri" w:hAnsi="Arial" w:cs="Arial"/>
          <w:sz w:val="22"/>
          <w:szCs w:val="22"/>
        </w:rPr>
      </w:pPr>
      <w:r w:rsidRPr="00117BF8">
        <w:rPr>
          <w:rFonts w:ascii="Arial" w:eastAsia="Calibri" w:hAnsi="Arial" w:cs="Arial"/>
          <w:sz w:val="22"/>
          <w:szCs w:val="22"/>
        </w:rPr>
        <w:t xml:space="preserve">Los aportes y contribuciones son los de mayor desvío entre los rubros más relevantes, estos ingresos están relacionados con la remuneración al personal, en la medida que son un porcentaje de estas. La evolución anual de los ingresos por aportes y </w:t>
      </w:r>
      <w:r w:rsidR="0003477B" w:rsidRPr="003C4F96">
        <w:rPr>
          <w:rFonts w:ascii="Arial" w:eastAsia="Calibri" w:hAnsi="Arial" w:cs="Arial"/>
          <w:sz w:val="22"/>
          <w:szCs w:val="22"/>
        </w:rPr>
        <w:t>contribuciones</w:t>
      </w:r>
      <w:r w:rsidRPr="00117BF8">
        <w:rPr>
          <w:rFonts w:ascii="Arial" w:eastAsia="Calibri" w:hAnsi="Arial" w:cs="Arial"/>
          <w:sz w:val="22"/>
          <w:szCs w:val="22"/>
        </w:rPr>
        <w:t xml:space="preserve"> es similar a las remuneraciones del personal, en particular durante los dos últimos años. Respecto a la composición de este rubro se ha mencionado que entre sus componentes parece haber un error de imputación entre los aportes y contribuciones originados en educación y los policiales durante el año 2014.</w:t>
      </w:r>
    </w:p>
    <w:tbl>
      <w:tblPr>
        <w:tblW w:w="7431"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651"/>
        <w:gridCol w:w="1260"/>
        <w:gridCol w:w="1260"/>
        <w:gridCol w:w="1260"/>
      </w:tblGrid>
      <w:tr w:rsidR="00952785" w:rsidRPr="004E6455" w14:paraId="748B28E8" w14:textId="77777777" w:rsidTr="00A0330E">
        <w:trPr>
          <w:trHeight w:val="315"/>
          <w:jc w:val="center"/>
        </w:trPr>
        <w:tc>
          <w:tcPr>
            <w:tcW w:w="7431" w:type="dxa"/>
            <w:gridSpan w:val="4"/>
            <w:tcBorders>
              <w:top w:val="single" w:sz="8" w:space="0" w:color="7BA0CD"/>
              <w:left w:val="single" w:sz="8" w:space="0" w:color="7BA0CD"/>
              <w:bottom w:val="single" w:sz="8" w:space="0" w:color="7BA0CD"/>
              <w:right w:val="single" w:sz="8" w:space="0" w:color="7BA0CD"/>
            </w:tcBorders>
            <w:shd w:val="clear" w:color="auto" w:fill="0070C0"/>
            <w:noWrap/>
          </w:tcPr>
          <w:p w14:paraId="1091A59C" w14:textId="77777777" w:rsidR="00952785" w:rsidRPr="00117BF8" w:rsidRDefault="00952785" w:rsidP="00F36A02">
            <w:pPr>
              <w:pStyle w:val="TablaT"/>
              <w:rPr>
                <w:rFonts w:ascii="Arial" w:hAnsi="Arial" w:cs="Arial"/>
                <w:bCs/>
                <w:sz w:val="22"/>
                <w:szCs w:val="22"/>
                <w:lang w:val="es-ES_tradnl"/>
              </w:rPr>
            </w:pPr>
            <w:bookmarkStart w:id="45" w:name="_Toc493861123"/>
            <w:r w:rsidRPr="00117BF8">
              <w:rPr>
                <w:rFonts w:ascii="Arial" w:hAnsi="Arial" w:cs="Arial"/>
                <w:bCs/>
                <w:sz w:val="22"/>
                <w:szCs w:val="22"/>
                <w:lang w:val="es-ES_tradnl"/>
              </w:rPr>
              <w:t>Tabla 13 – Aportes, Contribuciones y Remuneración</w:t>
            </w:r>
            <w:bookmarkEnd w:id="45"/>
          </w:p>
          <w:p w14:paraId="3E8AF94F" w14:textId="77777777" w:rsidR="00952785" w:rsidRPr="00117BF8" w:rsidRDefault="00952785" w:rsidP="001B7969">
            <w:pPr>
              <w:pStyle w:val="TablaC"/>
              <w:rPr>
                <w:rFonts w:ascii="Arial" w:hAnsi="Arial" w:cs="Arial"/>
                <w:b/>
                <w:bCs/>
                <w:color w:val="FFFFFF"/>
                <w:szCs w:val="22"/>
                <w:lang w:val="es-ES_tradnl"/>
              </w:rPr>
            </w:pPr>
            <w:r w:rsidRPr="00117BF8">
              <w:rPr>
                <w:rFonts w:ascii="Arial" w:hAnsi="Arial" w:cs="Arial"/>
                <w:b/>
                <w:bCs/>
                <w:color w:val="FFFFFF"/>
                <w:szCs w:val="22"/>
                <w:lang w:val="es-ES_tradnl"/>
              </w:rPr>
              <w:t>Variación respecto del año previo</w:t>
            </w:r>
          </w:p>
        </w:tc>
      </w:tr>
      <w:tr w:rsidR="00952785" w:rsidRPr="004E6455" w14:paraId="3CD120C1" w14:textId="77777777" w:rsidTr="00A0330E">
        <w:trPr>
          <w:trHeight w:val="315"/>
          <w:jc w:val="center"/>
        </w:trPr>
        <w:tc>
          <w:tcPr>
            <w:tcW w:w="3651" w:type="dxa"/>
            <w:tcBorders>
              <w:right w:val="nil"/>
            </w:tcBorders>
            <w:shd w:val="clear" w:color="auto" w:fill="0070C0"/>
            <w:noWrap/>
            <w:hideMark/>
          </w:tcPr>
          <w:p w14:paraId="19AD4AFD" w14:textId="77777777" w:rsidR="00952785" w:rsidRPr="00117BF8" w:rsidRDefault="00952785" w:rsidP="001B7969">
            <w:pPr>
              <w:pStyle w:val="TablaE"/>
              <w:rPr>
                <w:rFonts w:ascii="Arial" w:hAnsi="Arial" w:cs="Arial"/>
                <w:b w:val="0"/>
              </w:rPr>
            </w:pPr>
          </w:p>
        </w:tc>
        <w:tc>
          <w:tcPr>
            <w:tcW w:w="1260" w:type="dxa"/>
            <w:tcBorders>
              <w:left w:val="nil"/>
              <w:right w:val="nil"/>
            </w:tcBorders>
            <w:shd w:val="clear" w:color="auto" w:fill="0070C0"/>
            <w:noWrap/>
            <w:hideMark/>
          </w:tcPr>
          <w:p w14:paraId="28228562" w14:textId="77777777" w:rsidR="00952785" w:rsidRPr="00117BF8" w:rsidRDefault="00952785" w:rsidP="001B7969">
            <w:pPr>
              <w:pStyle w:val="TablaE"/>
              <w:rPr>
                <w:rFonts w:ascii="Arial" w:hAnsi="Arial" w:cs="Arial"/>
                <w:bCs/>
                <w:sz w:val="22"/>
                <w:szCs w:val="22"/>
              </w:rPr>
            </w:pPr>
            <w:r w:rsidRPr="00117BF8">
              <w:rPr>
                <w:rFonts w:ascii="Arial" w:hAnsi="Arial" w:cs="Arial"/>
                <w:bCs/>
                <w:sz w:val="22"/>
                <w:szCs w:val="22"/>
              </w:rPr>
              <w:t>2014</w:t>
            </w:r>
          </w:p>
        </w:tc>
        <w:tc>
          <w:tcPr>
            <w:tcW w:w="1260" w:type="dxa"/>
            <w:tcBorders>
              <w:left w:val="nil"/>
              <w:right w:val="nil"/>
            </w:tcBorders>
            <w:shd w:val="clear" w:color="auto" w:fill="0070C0"/>
            <w:noWrap/>
            <w:hideMark/>
          </w:tcPr>
          <w:p w14:paraId="4F63C04A" w14:textId="77777777" w:rsidR="00952785" w:rsidRPr="00117BF8" w:rsidRDefault="00952785" w:rsidP="001B7969">
            <w:pPr>
              <w:pStyle w:val="TablaE"/>
              <w:rPr>
                <w:rFonts w:ascii="Arial" w:hAnsi="Arial" w:cs="Arial"/>
                <w:bCs/>
                <w:sz w:val="22"/>
                <w:szCs w:val="22"/>
              </w:rPr>
            </w:pPr>
            <w:r w:rsidRPr="00117BF8">
              <w:rPr>
                <w:rFonts w:ascii="Arial" w:hAnsi="Arial" w:cs="Arial"/>
                <w:bCs/>
                <w:sz w:val="22"/>
                <w:szCs w:val="22"/>
              </w:rPr>
              <w:t>2015</w:t>
            </w:r>
          </w:p>
        </w:tc>
        <w:tc>
          <w:tcPr>
            <w:tcW w:w="1260" w:type="dxa"/>
            <w:tcBorders>
              <w:left w:val="nil"/>
            </w:tcBorders>
            <w:shd w:val="clear" w:color="auto" w:fill="0070C0"/>
            <w:noWrap/>
            <w:hideMark/>
          </w:tcPr>
          <w:p w14:paraId="40D4BFDC" w14:textId="77777777" w:rsidR="00952785" w:rsidRPr="00117BF8" w:rsidRDefault="00952785" w:rsidP="001B7969">
            <w:pPr>
              <w:pStyle w:val="TablaE"/>
              <w:rPr>
                <w:rFonts w:ascii="Arial" w:hAnsi="Arial" w:cs="Arial"/>
                <w:bCs/>
                <w:sz w:val="22"/>
                <w:szCs w:val="22"/>
              </w:rPr>
            </w:pPr>
            <w:r w:rsidRPr="00117BF8">
              <w:rPr>
                <w:rFonts w:ascii="Arial" w:hAnsi="Arial" w:cs="Arial"/>
                <w:bCs/>
                <w:sz w:val="22"/>
                <w:szCs w:val="22"/>
              </w:rPr>
              <w:t>2016</w:t>
            </w:r>
          </w:p>
        </w:tc>
      </w:tr>
      <w:tr w:rsidR="00952785" w:rsidRPr="004E6455" w14:paraId="2AAB3984" w14:textId="77777777" w:rsidTr="00A0330E">
        <w:trPr>
          <w:trHeight w:val="300"/>
          <w:jc w:val="center"/>
        </w:trPr>
        <w:tc>
          <w:tcPr>
            <w:tcW w:w="3651" w:type="dxa"/>
            <w:tcBorders>
              <w:right w:val="nil"/>
            </w:tcBorders>
            <w:shd w:val="clear" w:color="auto" w:fill="auto"/>
            <w:noWrap/>
            <w:hideMark/>
          </w:tcPr>
          <w:p w14:paraId="3DE2710B" w14:textId="77777777" w:rsidR="00952785" w:rsidRPr="00117BF8" w:rsidRDefault="00A0330E" w:rsidP="001B7969">
            <w:pPr>
              <w:pStyle w:val="TablaC"/>
              <w:jc w:val="left"/>
              <w:rPr>
                <w:rFonts w:ascii="Arial" w:hAnsi="Arial" w:cs="Arial"/>
                <w:bCs/>
                <w:sz w:val="18"/>
                <w:szCs w:val="18"/>
                <w:lang w:val="es-ES_tradnl"/>
              </w:rPr>
            </w:pPr>
            <w:r w:rsidRPr="00117BF8">
              <w:rPr>
                <w:rFonts w:ascii="Arial" w:hAnsi="Arial" w:cs="Arial"/>
                <w:bCs/>
                <w:sz w:val="18"/>
                <w:szCs w:val="18"/>
                <w:lang w:val="es-ES_tradnl"/>
              </w:rPr>
              <w:t xml:space="preserve">Ingresos por </w:t>
            </w:r>
            <w:r w:rsidR="00952785" w:rsidRPr="00117BF8">
              <w:rPr>
                <w:rFonts w:ascii="Arial" w:hAnsi="Arial" w:cs="Arial"/>
                <w:bCs/>
                <w:sz w:val="18"/>
                <w:szCs w:val="18"/>
                <w:lang w:val="es-ES_tradnl"/>
              </w:rPr>
              <w:t>Aportes y Contribuciones</w:t>
            </w:r>
          </w:p>
        </w:tc>
        <w:tc>
          <w:tcPr>
            <w:tcW w:w="1260" w:type="dxa"/>
            <w:tcBorders>
              <w:left w:val="nil"/>
              <w:right w:val="nil"/>
            </w:tcBorders>
            <w:shd w:val="clear" w:color="auto" w:fill="auto"/>
            <w:noWrap/>
            <w:hideMark/>
          </w:tcPr>
          <w:p w14:paraId="3317802C" w14:textId="77777777" w:rsidR="00952785" w:rsidRPr="00117BF8" w:rsidRDefault="00952785" w:rsidP="001B7969">
            <w:pPr>
              <w:pStyle w:val="TablaC"/>
              <w:rPr>
                <w:rFonts w:ascii="Arial" w:hAnsi="Arial" w:cs="Arial"/>
                <w:sz w:val="18"/>
                <w:szCs w:val="18"/>
              </w:rPr>
            </w:pPr>
            <w:r w:rsidRPr="00117BF8">
              <w:rPr>
                <w:rFonts w:ascii="Arial" w:hAnsi="Arial" w:cs="Arial"/>
                <w:sz w:val="18"/>
                <w:szCs w:val="18"/>
              </w:rPr>
              <w:t>26%</w:t>
            </w:r>
          </w:p>
        </w:tc>
        <w:tc>
          <w:tcPr>
            <w:tcW w:w="1260" w:type="dxa"/>
            <w:tcBorders>
              <w:left w:val="nil"/>
              <w:right w:val="nil"/>
            </w:tcBorders>
            <w:shd w:val="clear" w:color="auto" w:fill="auto"/>
            <w:noWrap/>
            <w:hideMark/>
          </w:tcPr>
          <w:p w14:paraId="279CF546" w14:textId="77777777" w:rsidR="00952785" w:rsidRPr="00117BF8" w:rsidRDefault="00952785" w:rsidP="001B7969">
            <w:pPr>
              <w:pStyle w:val="TablaC"/>
              <w:rPr>
                <w:rFonts w:ascii="Arial" w:hAnsi="Arial" w:cs="Arial"/>
                <w:sz w:val="18"/>
                <w:szCs w:val="18"/>
              </w:rPr>
            </w:pPr>
            <w:r w:rsidRPr="00117BF8">
              <w:rPr>
                <w:rFonts w:ascii="Arial" w:hAnsi="Arial" w:cs="Arial"/>
                <w:sz w:val="18"/>
                <w:szCs w:val="18"/>
              </w:rPr>
              <w:t>47%</w:t>
            </w:r>
          </w:p>
        </w:tc>
        <w:tc>
          <w:tcPr>
            <w:tcW w:w="1260" w:type="dxa"/>
            <w:tcBorders>
              <w:left w:val="nil"/>
            </w:tcBorders>
            <w:shd w:val="clear" w:color="auto" w:fill="auto"/>
            <w:noWrap/>
            <w:hideMark/>
          </w:tcPr>
          <w:p w14:paraId="4B7A3760" w14:textId="77777777" w:rsidR="00952785" w:rsidRPr="00117BF8" w:rsidRDefault="00952785" w:rsidP="001B7969">
            <w:pPr>
              <w:pStyle w:val="TablaC"/>
              <w:rPr>
                <w:rFonts w:ascii="Arial" w:hAnsi="Arial" w:cs="Arial"/>
                <w:sz w:val="18"/>
                <w:szCs w:val="18"/>
              </w:rPr>
            </w:pPr>
            <w:r w:rsidRPr="00117BF8">
              <w:rPr>
                <w:rFonts w:ascii="Arial" w:hAnsi="Arial" w:cs="Arial"/>
                <w:sz w:val="18"/>
                <w:szCs w:val="18"/>
              </w:rPr>
              <w:t>38%</w:t>
            </w:r>
          </w:p>
        </w:tc>
      </w:tr>
      <w:tr w:rsidR="00952785" w:rsidRPr="004E6455" w14:paraId="39C1332E" w14:textId="77777777" w:rsidTr="00A0330E">
        <w:trPr>
          <w:trHeight w:val="300"/>
          <w:jc w:val="center"/>
        </w:trPr>
        <w:tc>
          <w:tcPr>
            <w:tcW w:w="3651" w:type="dxa"/>
            <w:shd w:val="clear" w:color="auto" w:fill="D3DFEE"/>
            <w:noWrap/>
            <w:hideMark/>
          </w:tcPr>
          <w:p w14:paraId="05CA360D" w14:textId="77777777" w:rsidR="00952785" w:rsidRPr="00117BF8" w:rsidRDefault="00952785" w:rsidP="001B7969">
            <w:pPr>
              <w:pStyle w:val="TablaC"/>
              <w:jc w:val="left"/>
              <w:rPr>
                <w:rFonts w:ascii="Arial" w:hAnsi="Arial" w:cs="Arial"/>
                <w:bCs/>
                <w:sz w:val="18"/>
                <w:szCs w:val="18"/>
              </w:rPr>
            </w:pPr>
            <w:r w:rsidRPr="00117BF8">
              <w:rPr>
                <w:rFonts w:ascii="Arial" w:hAnsi="Arial" w:cs="Arial"/>
                <w:bCs/>
                <w:sz w:val="18"/>
                <w:szCs w:val="18"/>
              </w:rPr>
              <w:t>Remuneraciones</w:t>
            </w:r>
          </w:p>
        </w:tc>
        <w:tc>
          <w:tcPr>
            <w:tcW w:w="1260" w:type="dxa"/>
            <w:shd w:val="clear" w:color="auto" w:fill="D3DFEE"/>
            <w:noWrap/>
            <w:hideMark/>
          </w:tcPr>
          <w:p w14:paraId="398853EF" w14:textId="77777777" w:rsidR="00952785" w:rsidRPr="00117BF8" w:rsidRDefault="00952785" w:rsidP="001B7969">
            <w:pPr>
              <w:pStyle w:val="TablaC"/>
              <w:rPr>
                <w:rFonts w:ascii="Arial" w:hAnsi="Arial" w:cs="Arial"/>
                <w:sz w:val="18"/>
                <w:szCs w:val="18"/>
              </w:rPr>
            </w:pPr>
            <w:r w:rsidRPr="00117BF8">
              <w:rPr>
                <w:rFonts w:ascii="Arial" w:hAnsi="Arial" w:cs="Arial"/>
                <w:sz w:val="18"/>
                <w:szCs w:val="18"/>
              </w:rPr>
              <w:t>35%</w:t>
            </w:r>
          </w:p>
        </w:tc>
        <w:tc>
          <w:tcPr>
            <w:tcW w:w="1260" w:type="dxa"/>
            <w:shd w:val="clear" w:color="auto" w:fill="D3DFEE"/>
            <w:noWrap/>
            <w:hideMark/>
          </w:tcPr>
          <w:p w14:paraId="3E08CF0B" w14:textId="77777777" w:rsidR="00952785" w:rsidRPr="00117BF8" w:rsidRDefault="00952785" w:rsidP="001B7969">
            <w:pPr>
              <w:pStyle w:val="TablaC"/>
              <w:rPr>
                <w:rFonts w:ascii="Arial" w:hAnsi="Arial" w:cs="Arial"/>
                <w:sz w:val="18"/>
                <w:szCs w:val="18"/>
              </w:rPr>
            </w:pPr>
            <w:r w:rsidRPr="00117BF8">
              <w:rPr>
                <w:rFonts w:ascii="Arial" w:hAnsi="Arial" w:cs="Arial"/>
                <w:sz w:val="18"/>
                <w:szCs w:val="18"/>
              </w:rPr>
              <w:t>50%</w:t>
            </w:r>
          </w:p>
        </w:tc>
        <w:tc>
          <w:tcPr>
            <w:tcW w:w="1260" w:type="dxa"/>
            <w:shd w:val="clear" w:color="auto" w:fill="D3DFEE"/>
            <w:noWrap/>
            <w:hideMark/>
          </w:tcPr>
          <w:p w14:paraId="72FB9CF4" w14:textId="77777777" w:rsidR="00952785" w:rsidRPr="00117BF8" w:rsidRDefault="00952785" w:rsidP="001B7969">
            <w:pPr>
              <w:pStyle w:val="TablaC"/>
              <w:rPr>
                <w:rFonts w:ascii="Arial" w:hAnsi="Arial" w:cs="Arial"/>
                <w:sz w:val="18"/>
                <w:szCs w:val="18"/>
              </w:rPr>
            </w:pPr>
            <w:r w:rsidRPr="00117BF8">
              <w:rPr>
                <w:rFonts w:ascii="Arial" w:hAnsi="Arial" w:cs="Arial"/>
                <w:sz w:val="18"/>
                <w:szCs w:val="18"/>
              </w:rPr>
              <w:t>34%</w:t>
            </w:r>
          </w:p>
        </w:tc>
      </w:tr>
    </w:tbl>
    <w:p w14:paraId="43D52CF9" w14:textId="77777777" w:rsidR="00952785" w:rsidRPr="00117BF8" w:rsidRDefault="00952785" w:rsidP="00117BF8">
      <w:pPr>
        <w:pStyle w:val="Hfuente"/>
        <w:ind w:firstLine="708"/>
        <w:rPr>
          <w:rFonts w:ascii="Arial" w:hAnsi="Arial" w:cs="Arial"/>
          <w:sz w:val="18"/>
          <w:szCs w:val="18"/>
        </w:rPr>
      </w:pPr>
      <w:r w:rsidRPr="00117BF8">
        <w:rPr>
          <w:rFonts w:ascii="Arial" w:hAnsi="Arial" w:cs="Arial"/>
          <w:sz w:val="18"/>
          <w:szCs w:val="18"/>
        </w:rPr>
        <w:t>Elaboración propia sobre datos de la CGPBA.</w:t>
      </w:r>
    </w:p>
    <w:p w14:paraId="642B2E50" w14:textId="77777777" w:rsidR="00952785" w:rsidRPr="00117BF8" w:rsidRDefault="00952785" w:rsidP="00952785">
      <w:pPr>
        <w:pStyle w:val="hsa"/>
        <w:rPr>
          <w:rFonts w:ascii="Arial" w:eastAsia="Calibri" w:hAnsi="Arial" w:cs="Arial"/>
          <w:sz w:val="22"/>
          <w:szCs w:val="22"/>
        </w:rPr>
      </w:pPr>
      <w:r w:rsidRPr="00117BF8">
        <w:rPr>
          <w:rFonts w:ascii="Arial" w:eastAsia="Calibri" w:hAnsi="Arial" w:cs="Arial"/>
          <w:sz w:val="22"/>
          <w:szCs w:val="22"/>
        </w:rPr>
        <w:t>Los aportes del Tesoro Nacional poseen desvíos muy elevados como consecuencia que por este concepto no se ha presupuestado o se hizo por valores irrelevantes. Estos recursos en realidad</w:t>
      </w:r>
      <w:r w:rsidR="00444D7C" w:rsidRPr="00117BF8">
        <w:rPr>
          <w:rFonts w:ascii="Arial" w:eastAsia="Calibri" w:hAnsi="Arial" w:cs="Arial"/>
          <w:sz w:val="22"/>
          <w:szCs w:val="22"/>
        </w:rPr>
        <w:t xml:space="preserve"> han operado como</w:t>
      </w:r>
      <w:r w:rsidRPr="00117BF8">
        <w:rPr>
          <w:rFonts w:ascii="Arial" w:eastAsia="Calibri" w:hAnsi="Arial" w:cs="Arial"/>
          <w:sz w:val="22"/>
          <w:szCs w:val="22"/>
        </w:rPr>
        <w:t xml:space="preserve"> un auxilio para los desfasajes presupuestarios.</w:t>
      </w:r>
    </w:p>
    <w:p w14:paraId="679C9571" w14:textId="77777777" w:rsidR="00E951B4" w:rsidRPr="00117BF8" w:rsidRDefault="00E951B4" w:rsidP="00117BF8">
      <w:pPr>
        <w:pStyle w:val="Heading2"/>
        <w:spacing w:before="0" w:after="180"/>
        <w:rPr>
          <w:rFonts w:ascii="Arial" w:eastAsia="Calibri" w:hAnsi="Arial" w:cs="Arial"/>
          <w:sz w:val="22"/>
          <w:szCs w:val="22"/>
        </w:rPr>
      </w:pPr>
      <w:bookmarkStart w:id="46" w:name="_Toc494040316"/>
      <w:r w:rsidRPr="00117BF8">
        <w:rPr>
          <w:rFonts w:ascii="Arial" w:eastAsia="Calibri" w:hAnsi="Arial" w:cs="Arial"/>
          <w:sz w:val="22"/>
          <w:szCs w:val="22"/>
        </w:rPr>
        <w:t>Desglose y descripción de gastos corrientes y gastos de capital</w:t>
      </w:r>
      <w:r w:rsidR="000901E5" w:rsidRPr="00117BF8">
        <w:rPr>
          <w:rFonts w:ascii="Arial" w:eastAsia="Calibri" w:hAnsi="Arial" w:cs="Arial"/>
          <w:sz w:val="22"/>
          <w:szCs w:val="22"/>
        </w:rPr>
        <w:t>,</w:t>
      </w:r>
      <w:r w:rsidRPr="00117BF8">
        <w:rPr>
          <w:rFonts w:ascii="Arial" w:eastAsia="Calibri" w:hAnsi="Arial" w:cs="Arial"/>
          <w:sz w:val="22"/>
          <w:szCs w:val="22"/>
        </w:rPr>
        <w:t xml:space="preserve"> tanto presupuestados como realizados.</w:t>
      </w:r>
      <w:bookmarkEnd w:id="46"/>
    </w:p>
    <w:p w14:paraId="7D1DFCD8" w14:textId="77777777" w:rsidR="001B7969" w:rsidRPr="00117BF8" w:rsidRDefault="001B7969" w:rsidP="001B7969">
      <w:pPr>
        <w:pStyle w:val="hsa"/>
        <w:rPr>
          <w:rFonts w:ascii="Arial" w:eastAsia="Calibri" w:hAnsi="Arial" w:cs="Arial"/>
          <w:sz w:val="22"/>
          <w:szCs w:val="22"/>
        </w:rPr>
      </w:pPr>
      <w:r w:rsidRPr="00117BF8">
        <w:rPr>
          <w:rFonts w:ascii="Arial" w:eastAsia="Calibri" w:hAnsi="Arial" w:cs="Arial"/>
          <w:sz w:val="22"/>
          <w:szCs w:val="22"/>
        </w:rPr>
        <w:t>En los próximos subtítulos se analiza el gasto y sus desvíos sobre el presupuesto considerando diferentes clasificaciones.</w:t>
      </w:r>
    </w:p>
    <w:p w14:paraId="0279E0C9" w14:textId="77777777" w:rsidR="006E0974" w:rsidRPr="0003477B" w:rsidRDefault="006E0974">
      <w:pPr>
        <w:pStyle w:val="Heading3"/>
      </w:pPr>
      <w:bookmarkStart w:id="47" w:name="_Toc494040317"/>
      <w:r w:rsidRPr="0003477B">
        <w:t>Clasificación por Objeto</w:t>
      </w:r>
      <w:bookmarkEnd w:id="47"/>
    </w:p>
    <w:p w14:paraId="18B12B4E" w14:textId="77777777" w:rsidR="00A06DF1" w:rsidRPr="00117BF8" w:rsidRDefault="00A06DF1" w:rsidP="00A06DF1">
      <w:pPr>
        <w:pStyle w:val="hsa"/>
        <w:rPr>
          <w:rFonts w:ascii="Arial" w:eastAsia="Calibri" w:hAnsi="Arial" w:cs="Arial"/>
          <w:sz w:val="22"/>
          <w:szCs w:val="22"/>
        </w:rPr>
      </w:pPr>
      <w:r w:rsidRPr="00117BF8">
        <w:rPr>
          <w:rFonts w:ascii="Arial" w:eastAsia="Calibri" w:hAnsi="Arial" w:cs="Arial"/>
          <w:sz w:val="22"/>
          <w:szCs w:val="22"/>
        </w:rPr>
        <w:t xml:space="preserve">En la tabla </w:t>
      </w:r>
      <w:r w:rsidR="002D4D86" w:rsidRPr="00117BF8">
        <w:rPr>
          <w:rFonts w:ascii="Arial" w:eastAsia="Calibri" w:hAnsi="Arial" w:cs="Arial"/>
          <w:sz w:val="22"/>
          <w:szCs w:val="22"/>
        </w:rPr>
        <w:t>14</w:t>
      </w:r>
      <w:r w:rsidRPr="00117BF8">
        <w:rPr>
          <w:rFonts w:ascii="Arial" w:eastAsia="Calibri" w:hAnsi="Arial" w:cs="Arial"/>
          <w:sz w:val="22"/>
          <w:szCs w:val="22"/>
        </w:rPr>
        <w:t xml:space="preserve"> los </w:t>
      </w:r>
      <w:r w:rsidR="009642DB" w:rsidRPr="00117BF8">
        <w:rPr>
          <w:rFonts w:ascii="Arial" w:eastAsia="Calibri" w:hAnsi="Arial" w:cs="Arial"/>
          <w:sz w:val="22"/>
          <w:szCs w:val="22"/>
        </w:rPr>
        <w:t>gastos ejecutados se clasifican por objeto</w:t>
      </w:r>
      <w:r w:rsidRPr="00117BF8">
        <w:rPr>
          <w:rFonts w:ascii="Arial" w:eastAsia="Calibri" w:hAnsi="Arial" w:cs="Arial"/>
          <w:sz w:val="22"/>
          <w:szCs w:val="22"/>
        </w:rPr>
        <w:t>, el monto total equivale</w:t>
      </w:r>
      <w:r w:rsidR="006122B8" w:rsidRPr="00117BF8">
        <w:rPr>
          <w:rFonts w:ascii="Arial" w:eastAsia="Calibri" w:hAnsi="Arial" w:cs="Arial"/>
          <w:sz w:val="22"/>
          <w:szCs w:val="22"/>
        </w:rPr>
        <w:t xml:space="preserve"> a</w:t>
      </w:r>
      <w:r w:rsidRPr="00117BF8">
        <w:rPr>
          <w:rFonts w:ascii="Arial" w:eastAsia="Calibri" w:hAnsi="Arial" w:cs="Arial"/>
          <w:sz w:val="22"/>
          <w:szCs w:val="22"/>
        </w:rPr>
        <w:t xml:space="preserve"> la suma de gastos corrientes, de capital, inversión financiera y amortización de la deuda y disminución de otros pasivos (</w:t>
      </w:r>
      <w:r w:rsidR="00F674B2" w:rsidRPr="00117BF8">
        <w:rPr>
          <w:rFonts w:ascii="Arial" w:eastAsia="Calibri" w:hAnsi="Arial" w:cs="Arial"/>
          <w:sz w:val="22"/>
          <w:szCs w:val="22"/>
        </w:rPr>
        <w:t xml:space="preserve">En la tabla A III – 6 </w:t>
      </w:r>
      <w:r w:rsidRPr="00117BF8">
        <w:rPr>
          <w:rFonts w:ascii="Arial" w:eastAsia="Calibri" w:hAnsi="Arial" w:cs="Arial"/>
          <w:sz w:val="22"/>
          <w:szCs w:val="22"/>
        </w:rPr>
        <w:t>se agregan los créditos original y modificado).</w:t>
      </w:r>
    </w:p>
    <w:p w14:paraId="5FD71039" w14:textId="77777777" w:rsidR="007C7F33" w:rsidRPr="00117BF8" w:rsidRDefault="00A732ED" w:rsidP="007C7F33">
      <w:pPr>
        <w:pStyle w:val="hsa"/>
        <w:rPr>
          <w:rFonts w:ascii="Arial" w:eastAsia="Calibri" w:hAnsi="Arial" w:cs="Arial"/>
          <w:sz w:val="22"/>
          <w:szCs w:val="22"/>
        </w:rPr>
      </w:pPr>
      <w:r w:rsidRPr="00117BF8">
        <w:rPr>
          <w:rFonts w:ascii="Arial" w:eastAsia="Calibri" w:hAnsi="Arial" w:cs="Arial"/>
          <w:sz w:val="22"/>
          <w:szCs w:val="22"/>
        </w:rPr>
        <w:t xml:space="preserve">El monto </w:t>
      </w:r>
      <w:r w:rsidR="00597000" w:rsidRPr="00117BF8">
        <w:rPr>
          <w:rFonts w:ascii="Arial" w:eastAsia="Calibri" w:hAnsi="Arial" w:cs="Arial"/>
          <w:sz w:val="22"/>
          <w:szCs w:val="22"/>
        </w:rPr>
        <w:t>ejecutado</w:t>
      </w:r>
      <w:r w:rsidRPr="00117BF8">
        <w:rPr>
          <w:rFonts w:ascii="Arial" w:eastAsia="Calibri" w:hAnsi="Arial" w:cs="Arial"/>
          <w:sz w:val="22"/>
          <w:szCs w:val="22"/>
        </w:rPr>
        <w:t xml:space="preserve"> evolucionó de la siguiente manera (en millones de pesos): 2013: 160.689, 2014: 214.548, 2015: 317.831, 2016: 450.550</w:t>
      </w:r>
      <w:r w:rsidR="00F674B2" w:rsidRPr="00117BF8">
        <w:rPr>
          <w:rFonts w:ascii="Arial" w:eastAsia="Calibri" w:hAnsi="Arial" w:cs="Arial"/>
          <w:sz w:val="22"/>
          <w:szCs w:val="22"/>
        </w:rPr>
        <w:t xml:space="preserve"> (detalle en Tabla </w:t>
      </w:r>
      <w:r w:rsidR="002D4D86" w:rsidRPr="00117BF8">
        <w:rPr>
          <w:rFonts w:ascii="Arial" w:eastAsia="Calibri" w:hAnsi="Arial" w:cs="Arial"/>
          <w:sz w:val="22"/>
          <w:szCs w:val="22"/>
        </w:rPr>
        <w:t>14</w:t>
      </w:r>
      <w:r w:rsidR="00F674B2" w:rsidRPr="00117BF8">
        <w:rPr>
          <w:rFonts w:ascii="Arial" w:eastAsia="Calibri" w:hAnsi="Arial" w:cs="Arial"/>
          <w:sz w:val="22"/>
          <w:szCs w:val="22"/>
        </w:rPr>
        <w:t>)</w:t>
      </w:r>
      <w:r w:rsidRPr="00117BF8">
        <w:rPr>
          <w:rFonts w:ascii="Arial" w:eastAsia="Calibri" w:hAnsi="Arial" w:cs="Arial"/>
          <w:sz w:val="22"/>
          <w:szCs w:val="22"/>
        </w:rPr>
        <w:t>. Los desvíos respecto del crédito original</w:t>
      </w:r>
      <w:r w:rsidR="00AC65C7" w:rsidRPr="00117BF8">
        <w:rPr>
          <w:rFonts w:ascii="Arial" w:eastAsia="Calibri" w:hAnsi="Arial" w:cs="Arial"/>
          <w:sz w:val="22"/>
          <w:szCs w:val="22"/>
        </w:rPr>
        <w:t xml:space="preserve"> se indican en la tabla </w:t>
      </w:r>
      <w:r w:rsidR="002D4D86" w:rsidRPr="00117BF8">
        <w:rPr>
          <w:rFonts w:ascii="Arial" w:eastAsia="Calibri" w:hAnsi="Arial" w:cs="Arial"/>
          <w:sz w:val="22"/>
          <w:szCs w:val="22"/>
        </w:rPr>
        <w:t>15</w:t>
      </w:r>
      <w:r w:rsidR="00AC65C7" w:rsidRPr="00117BF8">
        <w:rPr>
          <w:rFonts w:ascii="Arial" w:eastAsia="Calibri" w:hAnsi="Arial" w:cs="Arial"/>
          <w:sz w:val="22"/>
          <w:szCs w:val="22"/>
        </w:rPr>
        <w:t xml:space="preserve"> y para el total</w:t>
      </w:r>
      <w:r w:rsidRPr="00117BF8">
        <w:rPr>
          <w:rFonts w:ascii="Arial" w:eastAsia="Calibri" w:hAnsi="Arial" w:cs="Arial"/>
          <w:sz w:val="22"/>
          <w:szCs w:val="22"/>
        </w:rPr>
        <w:t xml:space="preserve"> fueron </w:t>
      </w:r>
      <w:r w:rsidR="007C7F33" w:rsidRPr="00117BF8">
        <w:rPr>
          <w:rFonts w:ascii="Arial" w:eastAsia="Calibri" w:hAnsi="Arial" w:cs="Arial"/>
          <w:sz w:val="22"/>
          <w:szCs w:val="22"/>
        </w:rPr>
        <w:t>6%, 10%, 16%, 11% respectivamente.</w:t>
      </w:r>
    </w:p>
    <w:p w14:paraId="58965716" w14:textId="62A48D61" w:rsidR="00A06DF1" w:rsidRPr="00117BF8" w:rsidRDefault="00A06DF1" w:rsidP="007C7F33">
      <w:pPr>
        <w:pStyle w:val="hsa"/>
        <w:rPr>
          <w:rFonts w:ascii="Arial" w:eastAsia="Calibri" w:hAnsi="Arial" w:cs="Arial"/>
          <w:sz w:val="22"/>
          <w:szCs w:val="22"/>
        </w:rPr>
      </w:pPr>
      <w:r w:rsidRPr="00117BF8">
        <w:rPr>
          <w:rFonts w:ascii="Arial" w:eastAsia="Calibri" w:hAnsi="Arial" w:cs="Arial"/>
          <w:sz w:val="22"/>
          <w:szCs w:val="22"/>
        </w:rPr>
        <w:t>Los gastos en personal, transferencias y servicio de la deuda explican el 90% del gasto, el resto de los gastos poseen poca significación. En el título “Clasificación por Finalidad/Función y Objeto del Gasto” profundizará el análisis en los gastos en personal y las transferencias. El</w:t>
      </w:r>
      <w:r w:rsidR="002D4D86" w:rsidRPr="00117BF8">
        <w:rPr>
          <w:rFonts w:ascii="Arial" w:eastAsia="Calibri" w:hAnsi="Arial" w:cs="Arial"/>
          <w:sz w:val="22"/>
          <w:szCs w:val="22"/>
        </w:rPr>
        <w:t xml:space="preserve"> servicio de la deuda se trata</w:t>
      </w:r>
      <w:r w:rsidRPr="00117BF8">
        <w:rPr>
          <w:rFonts w:ascii="Arial" w:eastAsia="Calibri" w:hAnsi="Arial" w:cs="Arial"/>
          <w:sz w:val="22"/>
          <w:szCs w:val="22"/>
        </w:rPr>
        <w:t xml:space="preserve"> en el título respectivo.</w:t>
      </w:r>
    </w:p>
    <w:tbl>
      <w:tblPr>
        <w:tblW w:w="8505"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273"/>
        <w:gridCol w:w="1058"/>
        <w:gridCol w:w="1058"/>
        <w:gridCol w:w="1058"/>
        <w:gridCol w:w="1058"/>
      </w:tblGrid>
      <w:tr w:rsidR="004A2007" w:rsidRPr="004E6455" w14:paraId="39FA0FCF" w14:textId="77777777" w:rsidTr="00197371">
        <w:trPr>
          <w:trHeight w:val="301"/>
          <w:jc w:val="center"/>
        </w:trPr>
        <w:tc>
          <w:tcPr>
            <w:tcW w:w="8505" w:type="dxa"/>
            <w:gridSpan w:val="5"/>
            <w:tcBorders>
              <w:top w:val="single" w:sz="8" w:space="0" w:color="4BACC6"/>
              <w:left w:val="single" w:sz="8" w:space="0" w:color="4BACC6"/>
              <w:bottom w:val="single" w:sz="18" w:space="0" w:color="4BACC6"/>
              <w:right w:val="single" w:sz="8" w:space="0" w:color="4BACC6"/>
            </w:tcBorders>
            <w:shd w:val="clear" w:color="auto" w:fill="0070C0"/>
            <w:noWrap/>
          </w:tcPr>
          <w:p w14:paraId="1A97D4EA" w14:textId="77777777" w:rsidR="004A2007" w:rsidRPr="00117BF8" w:rsidRDefault="00A06DF1" w:rsidP="001B7969">
            <w:pPr>
              <w:pStyle w:val="TablaT"/>
              <w:rPr>
                <w:rFonts w:ascii="Arial" w:hAnsi="Arial" w:cs="Arial"/>
                <w:bCs/>
                <w:sz w:val="22"/>
                <w:szCs w:val="22"/>
                <w:lang w:val="es-ES_tradnl"/>
              </w:rPr>
            </w:pPr>
            <w:bookmarkStart w:id="48" w:name="_Toc493861124"/>
            <w:r w:rsidRPr="00117BF8">
              <w:rPr>
                <w:rFonts w:ascii="Arial" w:hAnsi="Arial" w:cs="Arial"/>
                <w:bCs/>
                <w:sz w:val="22"/>
                <w:szCs w:val="22"/>
                <w:lang w:val="es-ES_tradnl"/>
              </w:rPr>
              <w:t xml:space="preserve">Tabla </w:t>
            </w:r>
            <w:r w:rsidR="002D4D86" w:rsidRPr="00117BF8">
              <w:rPr>
                <w:rFonts w:ascii="Arial" w:hAnsi="Arial" w:cs="Arial"/>
                <w:bCs/>
                <w:sz w:val="22"/>
                <w:szCs w:val="22"/>
                <w:lang w:val="es-ES_tradnl"/>
              </w:rPr>
              <w:t>14</w:t>
            </w:r>
            <w:r w:rsidRPr="00117BF8">
              <w:rPr>
                <w:rFonts w:ascii="Arial" w:hAnsi="Arial" w:cs="Arial"/>
                <w:bCs/>
                <w:sz w:val="22"/>
                <w:szCs w:val="22"/>
                <w:lang w:val="es-ES_tradnl"/>
              </w:rPr>
              <w:t xml:space="preserve"> -</w:t>
            </w:r>
            <w:r w:rsidR="001B7969" w:rsidRPr="00117BF8">
              <w:rPr>
                <w:rFonts w:ascii="Arial" w:hAnsi="Arial" w:cs="Arial"/>
                <w:bCs/>
                <w:sz w:val="22"/>
                <w:szCs w:val="22"/>
                <w:lang w:val="es-ES_tradnl"/>
              </w:rPr>
              <w:t xml:space="preserve"> </w:t>
            </w:r>
            <w:r w:rsidRPr="00117BF8">
              <w:rPr>
                <w:rFonts w:ascii="Arial" w:hAnsi="Arial" w:cs="Arial"/>
                <w:bCs/>
                <w:sz w:val="22"/>
                <w:szCs w:val="22"/>
                <w:lang w:val="es-ES_tradnl"/>
              </w:rPr>
              <w:t>Clasificación por Objeto del Gasto – Ejecución Presupuestaria</w:t>
            </w:r>
            <w:bookmarkEnd w:id="48"/>
          </w:p>
          <w:p w14:paraId="4DCFDA64" w14:textId="77777777" w:rsidR="004A2007" w:rsidRPr="00117BF8" w:rsidRDefault="004A2007" w:rsidP="004A2007">
            <w:pPr>
              <w:pStyle w:val="TablaC"/>
              <w:rPr>
                <w:rFonts w:ascii="Arial" w:hAnsi="Arial" w:cs="Arial"/>
                <w:bCs/>
                <w:color w:val="FFFFFF"/>
                <w:szCs w:val="22"/>
              </w:rPr>
            </w:pPr>
            <w:r w:rsidRPr="00117BF8">
              <w:rPr>
                <w:rFonts w:ascii="Arial" w:hAnsi="Arial" w:cs="Arial"/>
                <w:bCs/>
                <w:color w:val="FFFFFF"/>
                <w:szCs w:val="22"/>
              </w:rPr>
              <w:t>Millones de pesos</w:t>
            </w:r>
          </w:p>
        </w:tc>
      </w:tr>
      <w:tr w:rsidR="00FD20E8" w:rsidRPr="004E6455" w14:paraId="5E49F11F" w14:textId="77777777" w:rsidTr="00197371">
        <w:trPr>
          <w:trHeight w:val="301"/>
          <w:jc w:val="center"/>
        </w:trPr>
        <w:tc>
          <w:tcPr>
            <w:tcW w:w="4273" w:type="dxa"/>
            <w:vMerge w:val="restart"/>
            <w:tcBorders>
              <w:top w:val="single" w:sz="8" w:space="0" w:color="4BACC6"/>
              <w:left w:val="single" w:sz="8" w:space="0" w:color="4BACC6"/>
              <w:bottom w:val="single" w:sz="8" w:space="0" w:color="4BACC6"/>
              <w:right w:val="single" w:sz="8" w:space="0" w:color="4BACC6"/>
            </w:tcBorders>
            <w:shd w:val="clear" w:color="auto" w:fill="0070C0"/>
            <w:noWrap/>
          </w:tcPr>
          <w:p w14:paraId="493D5E1A" w14:textId="77777777" w:rsidR="004A2007" w:rsidRPr="00117BF8" w:rsidRDefault="001B7969" w:rsidP="004A2007">
            <w:pPr>
              <w:pStyle w:val="TablaE"/>
              <w:rPr>
                <w:rFonts w:ascii="Arial" w:hAnsi="Arial" w:cs="Arial"/>
                <w:b w:val="0"/>
                <w:bCs/>
                <w:sz w:val="20"/>
                <w:lang w:val="es-AR" w:eastAsia="es-AR"/>
              </w:rPr>
            </w:pPr>
            <w:r w:rsidRPr="00117BF8">
              <w:rPr>
                <w:rFonts w:ascii="Arial" w:hAnsi="Arial" w:cs="Arial"/>
                <w:b w:val="0"/>
                <w:bCs/>
                <w:sz w:val="22"/>
                <w:szCs w:val="22"/>
                <w:lang w:val="es-AR" w:eastAsia="es-AR"/>
              </w:rPr>
              <w:t>Concepto</w:t>
            </w:r>
          </w:p>
        </w:tc>
        <w:tc>
          <w:tcPr>
            <w:tcW w:w="4232" w:type="dxa"/>
            <w:gridSpan w:val="4"/>
            <w:tcBorders>
              <w:top w:val="single" w:sz="8" w:space="0" w:color="4BACC6"/>
              <w:left w:val="single" w:sz="8" w:space="0" w:color="4BACC6"/>
              <w:bottom w:val="single" w:sz="8" w:space="0" w:color="4BACC6"/>
              <w:right w:val="single" w:sz="8" w:space="0" w:color="4BACC6"/>
            </w:tcBorders>
            <w:shd w:val="clear" w:color="auto" w:fill="0070C0"/>
            <w:noWrap/>
          </w:tcPr>
          <w:p w14:paraId="524FE67B" w14:textId="77777777" w:rsidR="004A2007" w:rsidRPr="00117BF8" w:rsidRDefault="004A2007" w:rsidP="004A2007">
            <w:pPr>
              <w:pStyle w:val="TablaE"/>
              <w:rPr>
                <w:rFonts w:ascii="Arial" w:hAnsi="Arial" w:cs="Arial"/>
                <w:sz w:val="22"/>
                <w:szCs w:val="22"/>
              </w:rPr>
            </w:pPr>
            <w:r w:rsidRPr="00117BF8">
              <w:rPr>
                <w:rFonts w:ascii="Arial" w:hAnsi="Arial" w:cs="Arial"/>
                <w:sz w:val="22"/>
                <w:szCs w:val="22"/>
              </w:rPr>
              <w:t>Devengado</w:t>
            </w:r>
          </w:p>
        </w:tc>
      </w:tr>
      <w:tr w:rsidR="00FD20E8" w:rsidRPr="004E6455" w14:paraId="3700BC0E" w14:textId="77777777" w:rsidTr="00197371">
        <w:trPr>
          <w:trHeight w:val="301"/>
          <w:jc w:val="center"/>
        </w:trPr>
        <w:tc>
          <w:tcPr>
            <w:tcW w:w="4273" w:type="dxa"/>
            <w:vMerge/>
            <w:tcBorders>
              <w:top w:val="single" w:sz="8" w:space="0" w:color="4BACC6"/>
              <w:left w:val="single" w:sz="8" w:space="0" w:color="4BACC6"/>
              <w:bottom w:val="single" w:sz="8" w:space="0" w:color="4BACC6"/>
              <w:right w:val="single" w:sz="8" w:space="0" w:color="4BACC6"/>
            </w:tcBorders>
            <w:shd w:val="clear" w:color="auto" w:fill="0070C0"/>
            <w:noWrap/>
          </w:tcPr>
          <w:p w14:paraId="55B41671" w14:textId="77777777" w:rsidR="004A2007" w:rsidRPr="00117BF8" w:rsidRDefault="004A2007" w:rsidP="004A2007">
            <w:pPr>
              <w:pStyle w:val="TablaE"/>
              <w:rPr>
                <w:rFonts w:ascii="Arial" w:hAnsi="Arial" w:cs="Arial"/>
                <w:b w:val="0"/>
                <w:bCs/>
                <w:sz w:val="20"/>
                <w:lang w:val="es-AR" w:eastAsia="es-AR"/>
              </w:rPr>
            </w:pPr>
          </w:p>
        </w:tc>
        <w:tc>
          <w:tcPr>
            <w:tcW w:w="1058" w:type="dxa"/>
            <w:tcBorders>
              <w:top w:val="single" w:sz="8" w:space="0" w:color="4BACC6"/>
              <w:left w:val="single" w:sz="8" w:space="0" w:color="4BACC6"/>
              <w:bottom w:val="single" w:sz="8" w:space="0" w:color="4BACC6"/>
              <w:right w:val="single" w:sz="8" w:space="0" w:color="4BACC6"/>
            </w:tcBorders>
            <w:shd w:val="clear" w:color="auto" w:fill="0070C0"/>
            <w:noWrap/>
          </w:tcPr>
          <w:p w14:paraId="78CDC144" w14:textId="77777777" w:rsidR="004A2007" w:rsidRPr="00117BF8" w:rsidRDefault="004A2007" w:rsidP="004A2007">
            <w:pPr>
              <w:pStyle w:val="TablaE"/>
              <w:rPr>
                <w:rFonts w:ascii="Arial" w:hAnsi="Arial" w:cs="Arial"/>
                <w:sz w:val="22"/>
                <w:szCs w:val="22"/>
              </w:rPr>
            </w:pPr>
            <w:r w:rsidRPr="00117BF8">
              <w:rPr>
                <w:rFonts w:ascii="Arial" w:hAnsi="Arial" w:cs="Arial"/>
                <w:sz w:val="22"/>
                <w:szCs w:val="22"/>
              </w:rPr>
              <w:t>2013</w:t>
            </w:r>
          </w:p>
        </w:tc>
        <w:tc>
          <w:tcPr>
            <w:tcW w:w="1058" w:type="dxa"/>
            <w:tcBorders>
              <w:top w:val="single" w:sz="8" w:space="0" w:color="4BACC6"/>
              <w:left w:val="single" w:sz="8" w:space="0" w:color="4BACC6"/>
              <w:bottom w:val="single" w:sz="8" w:space="0" w:color="4BACC6"/>
              <w:right w:val="single" w:sz="8" w:space="0" w:color="4BACC6"/>
            </w:tcBorders>
            <w:shd w:val="clear" w:color="auto" w:fill="0070C0"/>
            <w:noWrap/>
          </w:tcPr>
          <w:p w14:paraId="087C5434" w14:textId="77777777" w:rsidR="004A2007" w:rsidRPr="00117BF8" w:rsidRDefault="004A2007" w:rsidP="004A2007">
            <w:pPr>
              <w:pStyle w:val="TablaE"/>
              <w:rPr>
                <w:rFonts w:ascii="Arial" w:hAnsi="Arial" w:cs="Arial"/>
                <w:sz w:val="22"/>
                <w:szCs w:val="22"/>
              </w:rPr>
            </w:pPr>
            <w:r w:rsidRPr="00117BF8">
              <w:rPr>
                <w:rFonts w:ascii="Arial" w:hAnsi="Arial" w:cs="Arial"/>
                <w:sz w:val="22"/>
                <w:szCs w:val="22"/>
              </w:rPr>
              <w:t>2014</w:t>
            </w:r>
          </w:p>
        </w:tc>
        <w:tc>
          <w:tcPr>
            <w:tcW w:w="1058" w:type="dxa"/>
            <w:tcBorders>
              <w:top w:val="single" w:sz="8" w:space="0" w:color="4BACC6"/>
              <w:left w:val="single" w:sz="8" w:space="0" w:color="4BACC6"/>
              <w:bottom w:val="single" w:sz="8" w:space="0" w:color="4BACC6"/>
              <w:right w:val="single" w:sz="8" w:space="0" w:color="4BACC6"/>
            </w:tcBorders>
            <w:shd w:val="clear" w:color="auto" w:fill="0070C0"/>
            <w:noWrap/>
          </w:tcPr>
          <w:p w14:paraId="24B7042B" w14:textId="77777777" w:rsidR="004A2007" w:rsidRPr="00117BF8" w:rsidRDefault="004A2007" w:rsidP="004A2007">
            <w:pPr>
              <w:pStyle w:val="TablaE"/>
              <w:rPr>
                <w:rFonts w:ascii="Arial" w:hAnsi="Arial" w:cs="Arial"/>
                <w:sz w:val="22"/>
                <w:szCs w:val="22"/>
              </w:rPr>
            </w:pPr>
            <w:r w:rsidRPr="00117BF8">
              <w:rPr>
                <w:rFonts w:ascii="Arial" w:hAnsi="Arial" w:cs="Arial"/>
                <w:sz w:val="22"/>
                <w:szCs w:val="22"/>
              </w:rPr>
              <w:t>2015</w:t>
            </w:r>
          </w:p>
        </w:tc>
        <w:tc>
          <w:tcPr>
            <w:tcW w:w="1058" w:type="dxa"/>
            <w:tcBorders>
              <w:top w:val="single" w:sz="8" w:space="0" w:color="4BACC6"/>
              <w:left w:val="single" w:sz="8" w:space="0" w:color="4BACC6"/>
              <w:bottom w:val="single" w:sz="8" w:space="0" w:color="4BACC6"/>
              <w:right w:val="single" w:sz="8" w:space="0" w:color="4BACC6"/>
            </w:tcBorders>
            <w:shd w:val="clear" w:color="auto" w:fill="0070C0"/>
            <w:noWrap/>
          </w:tcPr>
          <w:p w14:paraId="1C279EB8" w14:textId="77777777" w:rsidR="004A2007" w:rsidRPr="00117BF8" w:rsidRDefault="004A2007" w:rsidP="004A2007">
            <w:pPr>
              <w:pStyle w:val="TablaE"/>
              <w:rPr>
                <w:rFonts w:ascii="Arial" w:hAnsi="Arial" w:cs="Arial"/>
                <w:sz w:val="22"/>
                <w:szCs w:val="22"/>
              </w:rPr>
            </w:pPr>
            <w:r w:rsidRPr="00117BF8">
              <w:rPr>
                <w:rFonts w:ascii="Arial" w:hAnsi="Arial" w:cs="Arial"/>
                <w:sz w:val="22"/>
                <w:szCs w:val="22"/>
              </w:rPr>
              <w:t>2016</w:t>
            </w:r>
          </w:p>
        </w:tc>
      </w:tr>
      <w:tr w:rsidR="00FD20E8" w:rsidRPr="004E6455" w14:paraId="6C861CB0"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323B3C4E" w14:textId="77777777" w:rsidR="004A2007" w:rsidRPr="00117BF8" w:rsidRDefault="004A2007" w:rsidP="00FD20E8">
            <w:pPr>
              <w:pStyle w:val="TablaC"/>
              <w:jc w:val="left"/>
              <w:rPr>
                <w:rFonts w:ascii="Arial" w:hAnsi="Arial" w:cs="Arial"/>
                <w:bCs/>
                <w:sz w:val="18"/>
                <w:szCs w:val="18"/>
              </w:rPr>
            </w:pPr>
            <w:r w:rsidRPr="00117BF8">
              <w:rPr>
                <w:rFonts w:ascii="Arial" w:hAnsi="Arial" w:cs="Arial"/>
                <w:bCs/>
                <w:sz w:val="18"/>
                <w:szCs w:val="18"/>
              </w:rPr>
              <w:t>Gastos en personal</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2585404C"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72.908</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040073C9"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98.236</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2066A722"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147.830</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1D269746"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198.343</w:t>
            </w:r>
          </w:p>
        </w:tc>
      </w:tr>
      <w:tr w:rsidR="00FD20E8" w:rsidRPr="004E6455" w14:paraId="00D4D373"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auto"/>
            <w:noWrap/>
            <w:hideMark/>
          </w:tcPr>
          <w:p w14:paraId="700777FB" w14:textId="77777777" w:rsidR="004A2007" w:rsidRPr="00117BF8" w:rsidRDefault="004A2007" w:rsidP="00FD20E8">
            <w:pPr>
              <w:pStyle w:val="TablaC"/>
              <w:jc w:val="left"/>
              <w:rPr>
                <w:rFonts w:ascii="Arial" w:hAnsi="Arial" w:cs="Arial"/>
                <w:bCs/>
                <w:sz w:val="18"/>
                <w:szCs w:val="18"/>
              </w:rPr>
            </w:pPr>
            <w:r w:rsidRPr="00117BF8">
              <w:rPr>
                <w:rFonts w:ascii="Arial" w:hAnsi="Arial" w:cs="Arial"/>
                <w:bCs/>
                <w:sz w:val="18"/>
                <w:szCs w:val="18"/>
              </w:rPr>
              <w:t>Bienes de consumo</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6992D5B0"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1.827</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411CA45E"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2.643</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02DA856A"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4.206</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143CF021"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5.226</w:t>
            </w:r>
          </w:p>
        </w:tc>
      </w:tr>
      <w:tr w:rsidR="00FD20E8" w:rsidRPr="004E6455" w14:paraId="3F861867"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7FC08265" w14:textId="77777777" w:rsidR="004A2007" w:rsidRPr="00117BF8" w:rsidRDefault="004A2007" w:rsidP="00FD20E8">
            <w:pPr>
              <w:pStyle w:val="TablaC"/>
              <w:jc w:val="left"/>
              <w:rPr>
                <w:rFonts w:ascii="Arial" w:hAnsi="Arial" w:cs="Arial"/>
                <w:bCs/>
                <w:sz w:val="18"/>
                <w:szCs w:val="18"/>
              </w:rPr>
            </w:pPr>
            <w:r w:rsidRPr="00117BF8">
              <w:rPr>
                <w:rFonts w:ascii="Arial" w:hAnsi="Arial" w:cs="Arial"/>
                <w:bCs/>
                <w:sz w:val="18"/>
                <w:szCs w:val="18"/>
              </w:rPr>
              <w:t>Servicios no personales</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17574F8F"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5.204</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0B93F180"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7.729</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45A47917"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13.266</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51C64D08"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13.859</w:t>
            </w:r>
          </w:p>
        </w:tc>
      </w:tr>
      <w:tr w:rsidR="00FD20E8" w:rsidRPr="004E6455" w14:paraId="1A451840"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auto"/>
            <w:noWrap/>
            <w:hideMark/>
          </w:tcPr>
          <w:p w14:paraId="166301DC" w14:textId="77777777" w:rsidR="004A2007" w:rsidRPr="00117BF8" w:rsidRDefault="004A2007" w:rsidP="00FD20E8">
            <w:pPr>
              <w:pStyle w:val="TablaC"/>
              <w:jc w:val="left"/>
              <w:rPr>
                <w:rFonts w:ascii="Arial" w:hAnsi="Arial" w:cs="Arial"/>
                <w:bCs/>
                <w:sz w:val="18"/>
                <w:szCs w:val="18"/>
              </w:rPr>
            </w:pPr>
            <w:r w:rsidRPr="00117BF8">
              <w:rPr>
                <w:rFonts w:ascii="Arial" w:hAnsi="Arial" w:cs="Arial"/>
                <w:bCs/>
                <w:sz w:val="18"/>
                <w:szCs w:val="18"/>
              </w:rPr>
              <w:t>Bienes de uso</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6F4B119C"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2.002</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2DEF92D2"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3.870</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5AE05396"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5.240</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6AF37E67"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8.678</w:t>
            </w:r>
          </w:p>
        </w:tc>
      </w:tr>
      <w:tr w:rsidR="00FD20E8" w:rsidRPr="004E6455" w14:paraId="58617B22"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67C01934" w14:textId="77777777" w:rsidR="004A2007" w:rsidRPr="00117BF8" w:rsidRDefault="004A2007" w:rsidP="00FD20E8">
            <w:pPr>
              <w:pStyle w:val="TablaC"/>
              <w:jc w:val="left"/>
              <w:rPr>
                <w:rFonts w:ascii="Arial" w:hAnsi="Arial" w:cs="Arial"/>
                <w:bCs/>
                <w:sz w:val="18"/>
                <w:szCs w:val="18"/>
              </w:rPr>
            </w:pPr>
            <w:r w:rsidRPr="00117BF8">
              <w:rPr>
                <w:rFonts w:ascii="Arial" w:hAnsi="Arial" w:cs="Arial"/>
                <w:bCs/>
                <w:sz w:val="18"/>
                <w:szCs w:val="18"/>
              </w:rPr>
              <w:t>Transferencias</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4F93C472"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63.692</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72E41A1C"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81.904</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33CA9610"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112.603</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7DEBC13F"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177.856</w:t>
            </w:r>
          </w:p>
        </w:tc>
      </w:tr>
      <w:tr w:rsidR="00FD20E8" w:rsidRPr="004E6455" w14:paraId="240A374E"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auto"/>
            <w:noWrap/>
            <w:hideMark/>
          </w:tcPr>
          <w:p w14:paraId="2EBD9AE6" w14:textId="77777777" w:rsidR="004A2007" w:rsidRPr="00117BF8" w:rsidRDefault="004A2007" w:rsidP="00FD20E8">
            <w:pPr>
              <w:pStyle w:val="TablaC"/>
              <w:jc w:val="left"/>
              <w:rPr>
                <w:rFonts w:ascii="Arial" w:hAnsi="Arial" w:cs="Arial"/>
                <w:bCs/>
                <w:sz w:val="18"/>
                <w:szCs w:val="18"/>
              </w:rPr>
            </w:pPr>
            <w:r w:rsidRPr="00117BF8">
              <w:rPr>
                <w:rFonts w:ascii="Arial" w:hAnsi="Arial" w:cs="Arial"/>
                <w:bCs/>
                <w:sz w:val="18"/>
                <w:szCs w:val="18"/>
              </w:rPr>
              <w:t>Activos financieros</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3AEC3156"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2.707</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122D8A89"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2.765</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78285886"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4.901</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3ED8F3B5"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14.233</w:t>
            </w:r>
          </w:p>
        </w:tc>
      </w:tr>
      <w:tr w:rsidR="00FD20E8" w:rsidRPr="004E6455" w14:paraId="1639C3F1"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36F868EE" w14:textId="77777777" w:rsidR="004A2007" w:rsidRPr="00117BF8" w:rsidRDefault="004A2007" w:rsidP="00FD20E8">
            <w:pPr>
              <w:pStyle w:val="TablaC"/>
              <w:jc w:val="left"/>
              <w:rPr>
                <w:rFonts w:ascii="Arial" w:hAnsi="Arial" w:cs="Arial"/>
                <w:bCs/>
                <w:sz w:val="18"/>
                <w:szCs w:val="18"/>
                <w:lang w:val="es-ES_tradnl"/>
              </w:rPr>
            </w:pPr>
            <w:r w:rsidRPr="00117BF8">
              <w:rPr>
                <w:rFonts w:ascii="Arial" w:hAnsi="Arial" w:cs="Arial"/>
                <w:bCs/>
                <w:sz w:val="18"/>
                <w:szCs w:val="18"/>
                <w:lang w:val="es-ES_tradnl"/>
              </w:rPr>
              <w:t>Scio. de la deuda y dismin. de otros pasivos</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72DE31C6"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12.182</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5128656D"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17.374</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15C7E10A"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29.759</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3010F953"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32.288</w:t>
            </w:r>
          </w:p>
        </w:tc>
      </w:tr>
      <w:tr w:rsidR="00FD20E8" w:rsidRPr="004E6455" w14:paraId="1FF4993F"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auto"/>
            <w:noWrap/>
            <w:hideMark/>
          </w:tcPr>
          <w:p w14:paraId="411E9F69" w14:textId="77777777" w:rsidR="004A2007" w:rsidRPr="00117BF8" w:rsidRDefault="004A2007" w:rsidP="00FD20E8">
            <w:pPr>
              <w:pStyle w:val="TablaC"/>
              <w:jc w:val="left"/>
              <w:rPr>
                <w:rFonts w:ascii="Arial" w:hAnsi="Arial" w:cs="Arial"/>
                <w:bCs/>
                <w:sz w:val="18"/>
                <w:szCs w:val="18"/>
              </w:rPr>
            </w:pPr>
            <w:r w:rsidRPr="00117BF8">
              <w:rPr>
                <w:rFonts w:ascii="Arial" w:hAnsi="Arial" w:cs="Arial"/>
                <w:bCs/>
                <w:sz w:val="18"/>
                <w:szCs w:val="18"/>
              </w:rPr>
              <w:t>Otros gastos</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4ED65516"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166</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0F8B13F2"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27</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6588F46B"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26</w:t>
            </w:r>
          </w:p>
        </w:tc>
        <w:tc>
          <w:tcPr>
            <w:tcW w:w="1058" w:type="dxa"/>
            <w:tcBorders>
              <w:top w:val="single" w:sz="8" w:space="0" w:color="4BACC6"/>
              <w:left w:val="single" w:sz="8" w:space="0" w:color="4BACC6"/>
              <w:bottom w:val="single" w:sz="8" w:space="0" w:color="4BACC6"/>
              <w:right w:val="single" w:sz="8" w:space="0" w:color="4BACC6"/>
            </w:tcBorders>
            <w:shd w:val="clear" w:color="auto" w:fill="auto"/>
            <w:noWrap/>
            <w:hideMark/>
          </w:tcPr>
          <w:p w14:paraId="52158DFA" w14:textId="77777777" w:rsidR="004A2007" w:rsidRPr="00117BF8" w:rsidRDefault="004A2007" w:rsidP="004A2007">
            <w:pPr>
              <w:pStyle w:val="TablaC"/>
              <w:rPr>
                <w:rFonts w:ascii="Arial" w:hAnsi="Arial" w:cs="Arial"/>
                <w:sz w:val="18"/>
                <w:szCs w:val="18"/>
              </w:rPr>
            </w:pPr>
            <w:r w:rsidRPr="00117BF8">
              <w:rPr>
                <w:rFonts w:ascii="Arial" w:hAnsi="Arial" w:cs="Arial"/>
                <w:sz w:val="18"/>
                <w:szCs w:val="18"/>
              </w:rPr>
              <w:t>67</w:t>
            </w:r>
          </w:p>
        </w:tc>
      </w:tr>
      <w:tr w:rsidR="00FD20E8" w:rsidRPr="003C4F96" w14:paraId="2C36E9E1" w14:textId="77777777" w:rsidTr="00197371">
        <w:trPr>
          <w:trHeight w:val="301"/>
          <w:jc w:val="center"/>
        </w:trPr>
        <w:tc>
          <w:tcPr>
            <w:tcW w:w="4273"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05A7CF2C" w14:textId="77777777" w:rsidR="004A2007" w:rsidRPr="00117BF8" w:rsidRDefault="004A2007" w:rsidP="00FD20E8">
            <w:pPr>
              <w:pStyle w:val="TablaC"/>
              <w:jc w:val="left"/>
              <w:rPr>
                <w:rFonts w:ascii="Arial" w:hAnsi="Arial" w:cs="Arial"/>
                <w:b/>
                <w:sz w:val="18"/>
                <w:szCs w:val="18"/>
              </w:rPr>
            </w:pPr>
            <w:r w:rsidRPr="00117BF8">
              <w:rPr>
                <w:rFonts w:ascii="Arial" w:hAnsi="Arial" w:cs="Arial"/>
                <w:b/>
                <w:sz w:val="18"/>
                <w:szCs w:val="18"/>
              </w:rPr>
              <w:t>Total</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11C370D4" w14:textId="77777777" w:rsidR="004A2007" w:rsidRPr="00117BF8" w:rsidRDefault="004A2007" w:rsidP="004A2007">
            <w:pPr>
              <w:pStyle w:val="TablaC"/>
              <w:rPr>
                <w:rFonts w:ascii="Arial" w:hAnsi="Arial" w:cs="Arial"/>
                <w:b/>
                <w:bCs/>
                <w:sz w:val="18"/>
                <w:szCs w:val="18"/>
              </w:rPr>
            </w:pPr>
            <w:r w:rsidRPr="00117BF8">
              <w:rPr>
                <w:rFonts w:ascii="Arial" w:hAnsi="Arial" w:cs="Arial"/>
                <w:b/>
                <w:bCs/>
                <w:sz w:val="18"/>
                <w:szCs w:val="18"/>
              </w:rPr>
              <w:t>160.689</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11CC1E14" w14:textId="77777777" w:rsidR="004A2007" w:rsidRPr="00117BF8" w:rsidRDefault="004A2007" w:rsidP="004A2007">
            <w:pPr>
              <w:pStyle w:val="TablaC"/>
              <w:rPr>
                <w:rFonts w:ascii="Arial" w:hAnsi="Arial" w:cs="Arial"/>
                <w:b/>
                <w:bCs/>
                <w:sz w:val="18"/>
                <w:szCs w:val="18"/>
              </w:rPr>
            </w:pPr>
            <w:r w:rsidRPr="00117BF8">
              <w:rPr>
                <w:rFonts w:ascii="Arial" w:hAnsi="Arial" w:cs="Arial"/>
                <w:b/>
                <w:bCs/>
                <w:sz w:val="18"/>
                <w:szCs w:val="18"/>
              </w:rPr>
              <w:t>214.548</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5EAAAD6C" w14:textId="77777777" w:rsidR="004A2007" w:rsidRPr="00117BF8" w:rsidRDefault="004A2007" w:rsidP="004A2007">
            <w:pPr>
              <w:pStyle w:val="TablaC"/>
              <w:rPr>
                <w:rFonts w:ascii="Arial" w:hAnsi="Arial" w:cs="Arial"/>
                <w:b/>
                <w:bCs/>
                <w:sz w:val="18"/>
                <w:szCs w:val="18"/>
              </w:rPr>
            </w:pPr>
            <w:r w:rsidRPr="00117BF8">
              <w:rPr>
                <w:rFonts w:ascii="Arial" w:hAnsi="Arial" w:cs="Arial"/>
                <w:b/>
                <w:bCs/>
                <w:sz w:val="18"/>
                <w:szCs w:val="18"/>
              </w:rPr>
              <w:t>317.831</w:t>
            </w:r>
          </w:p>
        </w:tc>
        <w:tc>
          <w:tcPr>
            <w:tcW w:w="1058" w:type="dxa"/>
            <w:tcBorders>
              <w:top w:val="single" w:sz="8" w:space="0" w:color="4BACC6"/>
              <w:left w:val="single" w:sz="8" w:space="0" w:color="4BACC6"/>
              <w:bottom w:val="single" w:sz="8" w:space="0" w:color="4BACC6"/>
              <w:right w:val="single" w:sz="8" w:space="0" w:color="4BACC6"/>
            </w:tcBorders>
            <w:shd w:val="clear" w:color="auto" w:fill="D2EAF1"/>
            <w:noWrap/>
            <w:hideMark/>
          </w:tcPr>
          <w:p w14:paraId="54CBDF00" w14:textId="77777777" w:rsidR="004A2007" w:rsidRPr="00117BF8" w:rsidRDefault="004A2007" w:rsidP="004A2007">
            <w:pPr>
              <w:pStyle w:val="TablaC"/>
              <w:rPr>
                <w:rFonts w:ascii="Arial" w:hAnsi="Arial" w:cs="Arial"/>
                <w:b/>
                <w:bCs/>
                <w:sz w:val="18"/>
                <w:szCs w:val="18"/>
              </w:rPr>
            </w:pPr>
            <w:r w:rsidRPr="00117BF8">
              <w:rPr>
                <w:rFonts w:ascii="Arial" w:hAnsi="Arial" w:cs="Arial"/>
                <w:b/>
                <w:bCs/>
                <w:sz w:val="18"/>
                <w:szCs w:val="18"/>
              </w:rPr>
              <w:t>450.550</w:t>
            </w:r>
          </w:p>
        </w:tc>
      </w:tr>
    </w:tbl>
    <w:p w14:paraId="51B71F46" w14:textId="77777777" w:rsidR="00F674B2" w:rsidRPr="00117BF8" w:rsidRDefault="00F674B2" w:rsidP="00F674B2">
      <w:pPr>
        <w:pStyle w:val="Hfuente"/>
        <w:rPr>
          <w:rFonts w:ascii="Arial" w:hAnsi="Arial" w:cs="Arial"/>
          <w:sz w:val="18"/>
          <w:szCs w:val="18"/>
        </w:rPr>
      </w:pPr>
      <w:r w:rsidRPr="00117BF8">
        <w:rPr>
          <w:rFonts w:ascii="Arial" w:hAnsi="Arial" w:cs="Arial"/>
          <w:sz w:val="18"/>
          <w:szCs w:val="18"/>
        </w:rPr>
        <w:t>Fuente: 2013 a 2016 CGPBA.</w:t>
      </w:r>
    </w:p>
    <w:p w14:paraId="7937A5A8" w14:textId="77777777" w:rsidR="002D4D86" w:rsidRPr="00117BF8" w:rsidRDefault="002D4D86" w:rsidP="002D4D86">
      <w:pPr>
        <w:pStyle w:val="hsa"/>
        <w:rPr>
          <w:rFonts w:ascii="Arial" w:eastAsia="Calibri" w:hAnsi="Arial" w:cs="Arial"/>
          <w:sz w:val="22"/>
          <w:szCs w:val="22"/>
        </w:rPr>
      </w:pPr>
      <w:r w:rsidRPr="00117BF8">
        <w:rPr>
          <w:rFonts w:ascii="Arial" w:eastAsia="Calibri" w:hAnsi="Arial" w:cs="Arial"/>
          <w:sz w:val="22"/>
          <w:szCs w:val="22"/>
        </w:rPr>
        <w:t>En los cuatro ejercicios analizados el Gastos en Personal y Transferencias tuvieron una ejecución superior al crédito original, Servicio de la Deuda en los dos primeros años tuvo un comportamiento equilibrado y en los siguientes un desvío creciente (Más 36% en 2016). También en tres de los cuatro años el desvío fue positivo en Servicios no Personales.</w:t>
      </w:r>
    </w:p>
    <w:p w14:paraId="66DB0714" w14:textId="77777777" w:rsidR="002D4D86" w:rsidRPr="00117BF8" w:rsidRDefault="002D4D86" w:rsidP="002D4D86">
      <w:pPr>
        <w:pStyle w:val="hsa"/>
        <w:rPr>
          <w:rFonts w:ascii="Arial" w:eastAsia="Calibri" w:hAnsi="Arial" w:cs="Arial"/>
          <w:sz w:val="22"/>
          <w:szCs w:val="22"/>
        </w:rPr>
      </w:pPr>
      <w:r w:rsidRPr="00117BF8">
        <w:rPr>
          <w:rFonts w:ascii="Arial" w:eastAsia="Calibri" w:hAnsi="Arial" w:cs="Arial"/>
          <w:sz w:val="22"/>
          <w:szCs w:val="22"/>
        </w:rPr>
        <w:t>El desvío en los rubros citados precedentemente fue compensado parcialmente por una menor ejecución del crédito original en: Bienes de Consumo y Uso y Activos Financieros.</w:t>
      </w:r>
    </w:p>
    <w:p w14:paraId="7BAB7D94" w14:textId="77777777" w:rsidR="002D4D86" w:rsidRPr="00117BF8" w:rsidRDefault="002D4D86" w:rsidP="002D4D86">
      <w:pPr>
        <w:pStyle w:val="hsa"/>
        <w:rPr>
          <w:rFonts w:ascii="Arial" w:hAnsi="Arial" w:cs="Arial"/>
          <w:sz w:val="22"/>
          <w:szCs w:val="22"/>
        </w:rPr>
      </w:pPr>
      <w:r w:rsidRPr="00117BF8">
        <w:rPr>
          <w:rFonts w:ascii="Arial" w:eastAsia="Calibri" w:hAnsi="Arial" w:cs="Arial"/>
          <w:sz w:val="22"/>
          <w:szCs w:val="22"/>
        </w:rPr>
        <w:t>Durante cada uno de los ejercicios las partidas fueron modificadas, de esta manera la comparación del ejecutado con el presupuesto modificado determina desvíos muy inferiores a los señalados en la tabla 15 (Ver Anexo III -7).</w:t>
      </w:r>
    </w:p>
    <w:tbl>
      <w:tblPr>
        <w:tblW w:w="8505"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273"/>
        <w:gridCol w:w="1058"/>
        <w:gridCol w:w="1058"/>
        <w:gridCol w:w="1058"/>
        <w:gridCol w:w="1058"/>
      </w:tblGrid>
      <w:tr w:rsidR="00597000" w:rsidRPr="004E6455" w14:paraId="24F7B80D" w14:textId="77777777" w:rsidTr="00197371">
        <w:trPr>
          <w:trHeight w:val="301"/>
          <w:jc w:val="center"/>
        </w:trPr>
        <w:tc>
          <w:tcPr>
            <w:tcW w:w="8505" w:type="dxa"/>
            <w:gridSpan w:val="5"/>
            <w:tcBorders>
              <w:top w:val="single" w:sz="8" w:space="0" w:color="7BA0CD"/>
              <w:left w:val="single" w:sz="8" w:space="0" w:color="7BA0CD"/>
              <w:bottom w:val="single" w:sz="8" w:space="0" w:color="7BA0CD"/>
              <w:right w:val="single" w:sz="8" w:space="0" w:color="7BA0CD"/>
            </w:tcBorders>
            <w:shd w:val="clear" w:color="auto" w:fill="0070C0"/>
            <w:noWrap/>
          </w:tcPr>
          <w:p w14:paraId="7CFD8582" w14:textId="77777777" w:rsidR="00597000" w:rsidRPr="00117BF8" w:rsidRDefault="00597000" w:rsidP="00237844">
            <w:pPr>
              <w:pStyle w:val="TablaT"/>
              <w:rPr>
                <w:rFonts w:ascii="Arial" w:hAnsi="Arial" w:cs="Arial"/>
                <w:sz w:val="22"/>
                <w:szCs w:val="22"/>
                <w:lang w:val="es-ES_tradnl"/>
              </w:rPr>
            </w:pPr>
            <w:bookmarkStart w:id="49" w:name="_Toc493861125"/>
            <w:r w:rsidRPr="00117BF8">
              <w:rPr>
                <w:rFonts w:ascii="Arial" w:hAnsi="Arial" w:cs="Arial"/>
                <w:sz w:val="22"/>
                <w:szCs w:val="22"/>
                <w:lang w:val="es-ES_tradnl"/>
              </w:rPr>
              <w:t xml:space="preserve">Tabla </w:t>
            </w:r>
            <w:r w:rsidR="002D4D86" w:rsidRPr="00117BF8">
              <w:rPr>
                <w:rFonts w:ascii="Arial" w:hAnsi="Arial" w:cs="Arial"/>
                <w:sz w:val="22"/>
                <w:szCs w:val="22"/>
                <w:lang w:val="es-ES_tradnl"/>
              </w:rPr>
              <w:t>15</w:t>
            </w:r>
            <w:r w:rsidRPr="00117BF8">
              <w:rPr>
                <w:rFonts w:ascii="Arial" w:hAnsi="Arial" w:cs="Arial"/>
                <w:sz w:val="22"/>
                <w:szCs w:val="22"/>
                <w:lang w:val="es-ES_tradnl"/>
              </w:rPr>
              <w:t xml:space="preserve"> - </w:t>
            </w:r>
            <w:r w:rsidR="00A06DF1" w:rsidRPr="00117BF8">
              <w:rPr>
                <w:rFonts w:ascii="Arial" w:hAnsi="Arial" w:cs="Arial"/>
                <w:sz w:val="22"/>
                <w:szCs w:val="22"/>
                <w:lang w:val="es-ES_tradnl"/>
              </w:rPr>
              <w:t xml:space="preserve">Clasificación por Objeto del Gasto - </w:t>
            </w:r>
            <w:r w:rsidR="00695D34" w:rsidRPr="00117BF8">
              <w:rPr>
                <w:rFonts w:ascii="Arial" w:hAnsi="Arial" w:cs="Arial"/>
                <w:sz w:val="22"/>
                <w:szCs w:val="22"/>
                <w:lang w:val="es-ES_tradnl"/>
              </w:rPr>
              <w:t>Desvío</w:t>
            </w:r>
            <w:r w:rsidR="00A06DF1" w:rsidRPr="00117BF8">
              <w:rPr>
                <w:rFonts w:ascii="Arial" w:hAnsi="Arial" w:cs="Arial"/>
                <w:sz w:val="22"/>
                <w:szCs w:val="22"/>
                <w:lang w:val="es-ES_tradnl"/>
              </w:rPr>
              <w:t xml:space="preserve"> Presupuestario</w:t>
            </w:r>
            <w:bookmarkEnd w:id="49"/>
          </w:p>
        </w:tc>
      </w:tr>
      <w:tr w:rsidR="00597000" w:rsidRPr="004E6455" w14:paraId="3A955C7D" w14:textId="77777777" w:rsidTr="00197371">
        <w:trPr>
          <w:trHeight w:val="301"/>
          <w:jc w:val="center"/>
        </w:trPr>
        <w:tc>
          <w:tcPr>
            <w:tcW w:w="4273" w:type="dxa"/>
            <w:vMerge w:val="restart"/>
            <w:tcBorders>
              <w:right w:val="nil"/>
            </w:tcBorders>
            <w:shd w:val="clear" w:color="auto" w:fill="0070C0"/>
            <w:noWrap/>
          </w:tcPr>
          <w:p w14:paraId="4E5C8CE2" w14:textId="77777777" w:rsidR="00597000" w:rsidRPr="00117BF8" w:rsidRDefault="00F674B2" w:rsidP="00F36A02">
            <w:pPr>
              <w:pStyle w:val="TablaE"/>
              <w:rPr>
                <w:rFonts w:ascii="Arial" w:hAnsi="Arial" w:cs="Arial"/>
                <w:b w:val="0"/>
                <w:bCs/>
                <w:lang w:val="es-AR" w:eastAsia="es-AR"/>
              </w:rPr>
            </w:pPr>
            <w:r w:rsidRPr="00117BF8">
              <w:rPr>
                <w:rFonts w:ascii="Arial" w:hAnsi="Arial" w:cs="Arial"/>
                <w:b w:val="0"/>
                <w:bCs/>
                <w:sz w:val="22"/>
                <w:szCs w:val="22"/>
                <w:lang w:val="es-AR" w:eastAsia="es-AR"/>
              </w:rPr>
              <w:t>Concepto</w:t>
            </w:r>
          </w:p>
        </w:tc>
        <w:tc>
          <w:tcPr>
            <w:tcW w:w="4232" w:type="dxa"/>
            <w:gridSpan w:val="4"/>
            <w:tcBorders>
              <w:left w:val="nil"/>
            </w:tcBorders>
            <w:shd w:val="clear" w:color="auto" w:fill="0070C0"/>
            <w:noWrap/>
          </w:tcPr>
          <w:p w14:paraId="4F95A2DA" w14:textId="77777777" w:rsidR="00597000" w:rsidRPr="00117BF8" w:rsidRDefault="00695D34" w:rsidP="00597000">
            <w:pPr>
              <w:pStyle w:val="TablaE"/>
              <w:rPr>
                <w:rFonts w:ascii="Arial" w:hAnsi="Arial" w:cs="Arial"/>
                <w:sz w:val="22"/>
                <w:szCs w:val="22"/>
              </w:rPr>
            </w:pPr>
            <w:r w:rsidRPr="00117BF8">
              <w:rPr>
                <w:rFonts w:ascii="Arial" w:hAnsi="Arial" w:cs="Arial"/>
                <w:sz w:val="22"/>
                <w:szCs w:val="22"/>
              </w:rPr>
              <w:t>Desvío</w:t>
            </w:r>
            <w:r w:rsidR="00597000" w:rsidRPr="00117BF8">
              <w:rPr>
                <w:rFonts w:ascii="Arial" w:hAnsi="Arial" w:cs="Arial"/>
                <w:sz w:val="22"/>
                <w:szCs w:val="22"/>
              </w:rPr>
              <w:t xml:space="preserve"> Devengado / Crédito Original</w:t>
            </w:r>
          </w:p>
        </w:tc>
      </w:tr>
      <w:tr w:rsidR="00FD20E8" w:rsidRPr="004E6455" w14:paraId="748EFABE" w14:textId="77777777" w:rsidTr="00197371">
        <w:trPr>
          <w:trHeight w:val="301"/>
          <w:jc w:val="center"/>
        </w:trPr>
        <w:tc>
          <w:tcPr>
            <w:tcW w:w="4273" w:type="dxa"/>
            <w:vMerge/>
            <w:tcBorders>
              <w:right w:val="nil"/>
            </w:tcBorders>
            <w:shd w:val="clear" w:color="auto" w:fill="0070C0"/>
            <w:noWrap/>
          </w:tcPr>
          <w:p w14:paraId="0F09F257" w14:textId="77777777" w:rsidR="00597000" w:rsidRPr="00117BF8" w:rsidRDefault="00597000" w:rsidP="0071571E">
            <w:pPr>
              <w:pStyle w:val="TablaE"/>
              <w:rPr>
                <w:rFonts w:ascii="Arial" w:hAnsi="Arial" w:cs="Arial"/>
                <w:b w:val="0"/>
                <w:bCs/>
                <w:sz w:val="20"/>
                <w:lang w:val="es-AR" w:eastAsia="es-AR"/>
              </w:rPr>
            </w:pPr>
          </w:p>
        </w:tc>
        <w:tc>
          <w:tcPr>
            <w:tcW w:w="1058" w:type="dxa"/>
            <w:tcBorders>
              <w:left w:val="nil"/>
              <w:right w:val="nil"/>
            </w:tcBorders>
            <w:shd w:val="clear" w:color="auto" w:fill="0070C0"/>
            <w:noWrap/>
          </w:tcPr>
          <w:p w14:paraId="0BA2BFA9" w14:textId="77777777" w:rsidR="00597000" w:rsidRPr="00117BF8" w:rsidRDefault="00597000" w:rsidP="0071571E">
            <w:pPr>
              <w:pStyle w:val="TablaE"/>
              <w:rPr>
                <w:rFonts w:ascii="Arial" w:hAnsi="Arial" w:cs="Arial"/>
                <w:sz w:val="22"/>
                <w:szCs w:val="22"/>
              </w:rPr>
            </w:pPr>
            <w:r w:rsidRPr="00117BF8">
              <w:rPr>
                <w:rFonts w:ascii="Arial" w:hAnsi="Arial" w:cs="Arial"/>
                <w:sz w:val="22"/>
                <w:szCs w:val="22"/>
              </w:rPr>
              <w:t>2013</w:t>
            </w:r>
          </w:p>
        </w:tc>
        <w:tc>
          <w:tcPr>
            <w:tcW w:w="1058" w:type="dxa"/>
            <w:tcBorders>
              <w:left w:val="nil"/>
              <w:right w:val="nil"/>
            </w:tcBorders>
            <w:shd w:val="clear" w:color="auto" w:fill="0070C0"/>
            <w:noWrap/>
          </w:tcPr>
          <w:p w14:paraId="7D9F77E1" w14:textId="77777777" w:rsidR="00597000" w:rsidRPr="00117BF8" w:rsidRDefault="00597000" w:rsidP="0071571E">
            <w:pPr>
              <w:pStyle w:val="TablaE"/>
              <w:rPr>
                <w:rFonts w:ascii="Arial" w:hAnsi="Arial" w:cs="Arial"/>
                <w:sz w:val="22"/>
                <w:szCs w:val="22"/>
              </w:rPr>
            </w:pPr>
            <w:r w:rsidRPr="00117BF8">
              <w:rPr>
                <w:rFonts w:ascii="Arial" w:hAnsi="Arial" w:cs="Arial"/>
                <w:sz w:val="22"/>
                <w:szCs w:val="22"/>
              </w:rPr>
              <w:t>2014</w:t>
            </w:r>
          </w:p>
        </w:tc>
        <w:tc>
          <w:tcPr>
            <w:tcW w:w="1058" w:type="dxa"/>
            <w:tcBorders>
              <w:left w:val="nil"/>
              <w:right w:val="nil"/>
            </w:tcBorders>
            <w:shd w:val="clear" w:color="auto" w:fill="0070C0"/>
            <w:noWrap/>
          </w:tcPr>
          <w:p w14:paraId="69C6E97F" w14:textId="77777777" w:rsidR="00597000" w:rsidRPr="00117BF8" w:rsidRDefault="00597000" w:rsidP="0071571E">
            <w:pPr>
              <w:pStyle w:val="TablaE"/>
              <w:rPr>
                <w:rFonts w:ascii="Arial" w:hAnsi="Arial" w:cs="Arial"/>
                <w:sz w:val="22"/>
                <w:szCs w:val="22"/>
              </w:rPr>
            </w:pPr>
            <w:r w:rsidRPr="00117BF8">
              <w:rPr>
                <w:rFonts w:ascii="Arial" w:hAnsi="Arial" w:cs="Arial"/>
                <w:sz w:val="22"/>
                <w:szCs w:val="22"/>
              </w:rPr>
              <w:t>2015</w:t>
            </w:r>
          </w:p>
        </w:tc>
        <w:tc>
          <w:tcPr>
            <w:tcW w:w="1058" w:type="dxa"/>
            <w:tcBorders>
              <w:left w:val="nil"/>
            </w:tcBorders>
            <w:shd w:val="clear" w:color="auto" w:fill="0070C0"/>
            <w:noWrap/>
          </w:tcPr>
          <w:p w14:paraId="0EF8A999" w14:textId="77777777" w:rsidR="00597000" w:rsidRPr="00117BF8" w:rsidRDefault="00597000" w:rsidP="0071571E">
            <w:pPr>
              <w:pStyle w:val="TablaE"/>
              <w:rPr>
                <w:rFonts w:ascii="Arial" w:hAnsi="Arial" w:cs="Arial"/>
                <w:sz w:val="22"/>
                <w:szCs w:val="22"/>
              </w:rPr>
            </w:pPr>
            <w:r w:rsidRPr="00117BF8">
              <w:rPr>
                <w:rFonts w:ascii="Arial" w:hAnsi="Arial" w:cs="Arial"/>
                <w:sz w:val="22"/>
                <w:szCs w:val="22"/>
              </w:rPr>
              <w:t>2016</w:t>
            </w:r>
          </w:p>
        </w:tc>
      </w:tr>
      <w:tr w:rsidR="00FD20E8" w:rsidRPr="003C4F96" w14:paraId="49E54FC2" w14:textId="77777777" w:rsidTr="00197371">
        <w:trPr>
          <w:trHeight w:val="301"/>
          <w:jc w:val="center"/>
        </w:trPr>
        <w:tc>
          <w:tcPr>
            <w:tcW w:w="4273" w:type="dxa"/>
            <w:tcBorders>
              <w:right w:val="nil"/>
            </w:tcBorders>
            <w:shd w:val="clear" w:color="auto" w:fill="D3DFEE"/>
            <w:noWrap/>
            <w:hideMark/>
          </w:tcPr>
          <w:p w14:paraId="2C3632A7" w14:textId="77777777" w:rsidR="00597000" w:rsidRPr="00117BF8" w:rsidRDefault="00597000" w:rsidP="00FD20E8">
            <w:pPr>
              <w:pStyle w:val="TablaC"/>
              <w:jc w:val="left"/>
              <w:rPr>
                <w:rFonts w:ascii="Arial" w:hAnsi="Arial" w:cs="Arial"/>
                <w:bCs/>
                <w:sz w:val="18"/>
                <w:szCs w:val="18"/>
              </w:rPr>
            </w:pPr>
            <w:r w:rsidRPr="00117BF8">
              <w:rPr>
                <w:rFonts w:ascii="Arial" w:hAnsi="Arial" w:cs="Arial"/>
                <w:bCs/>
                <w:sz w:val="18"/>
                <w:szCs w:val="18"/>
              </w:rPr>
              <w:t>Gastos en personal</w:t>
            </w:r>
          </w:p>
        </w:tc>
        <w:tc>
          <w:tcPr>
            <w:tcW w:w="1058" w:type="dxa"/>
            <w:tcBorders>
              <w:left w:val="nil"/>
              <w:right w:val="nil"/>
            </w:tcBorders>
            <w:shd w:val="clear" w:color="auto" w:fill="D3DFEE"/>
            <w:noWrap/>
            <w:hideMark/>
          </w:tcPr>
          <w:p w14:paraId="3641EC3D"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13%</w:t>
            </w:r>
          </w:p>
        </w:tc>
        <w:tc>
          <w:tcPr>
            <w:tcW w:w="1058" w:type="dxa"/>
            <w:tcBorders>
              <w:left w:val="nil"/>
              <w:right w:val="nil"/>
            </w:tcBorders>
            <w:shd w:val="clear" w:color="auto" w:fill="D3DFEE"/>
            <w:noWrap/>
            <w:hideMark/>
          </w:tcPr>
          <w:p w14:paraId="1A10A326"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18%</w:t>
            </w:r>
          </w:p>
        </w:tc>
        <w:tc>
          <w:tcPr>
            <w:tcW w:w="1058" w:type="dxa"/>
            <w:tcBorders>
              <w:left w:val="nil"/>
              <w:right w:val="nil"/>
            </w:tcBorders>
            <w:shd w:val="clear" w:color="auto" w:fill="D3DFEE"/>
            <w:noWrap/>
            <w:hideMark/>
          </w:tcPr>
          <w:p w14:paraId="0B4FAB1F"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28%</w:t>
            </w:r>
          </w:p>
        </w:tc>
        <w:tc>
          <w:tcPr>
            <w:tcW w:w="1058" w:type="dxa"/>
            <w:tcBorders>
              <w:left w:val="nil"/>
            </w:tcBorders>
            <w:shd w:val="clear" w:color="auto" w:fill="D3DFEE"/>
            <w:noWrap/>
            <w:hideMark/>
          </w:tcPr>
          <w:p w14:paraId="0A646E3A"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18%</w:t>
            </w:r>
          </w:p>
        </w:tc>
      </w:tr>
      <w:tr w:rsidR="00FD20E8" w:rsidRPr="003C4F96" w14:paraId="0D6D43C6" w14:textId="77777777" w:rsidTr="00197371">
        <w:trPr>
          <w:trHeight w:val="301"/>
          <w:jc w:val="center"/>
        </w:trPr>
        <w:tc>
          <w:tcPr>
            <w:tcW w:w="4273" w:type="dxa"/>
            <w:tcBorders>
              <w:right w:val="nil"/>
            </w:tcBorders>
            <w:shd w:val="clear" w:color="auto" w:fill="auto"/>
            <w:noWrap/>
            <w:hideMark/>
          </w:tcPr>
          <w:p w14:paraId="7D319127" w14:textId="77777777" w:rsidR="00597000" w:rsidRPr="00117BF8" w:rsidRDefault="00597000" w:rsidP="00FD20E8">
            <w:pPr>
              <w:pStyle w:val="TablaC"/>
              <w:jc w:val="left"/>
              <w:rPr>
                <w:rFonts w:ascii="Arial" w:hAnsi="Arial" w:cs="Arial"/>
                <w:bCs/>
                <w:sz w:val="18"/>
                <w:szCs w:val="18"/>
              </w:rPr>
            </w:pPr>
            <w:r w:rsidRPr="00117BF8">
              <w:rPr>
                <w:rFonts w:ascii="Arial" w:hAnsi="Arial" w:cs="Arial"/>
                <w:bCs/>
                <w:sz w:val="18"/>
                <w:szCs w:val="18"/>
              </w:rPr>
              <w:t xml:space="preserve">Bienes de </w:t>
            </w:r>
            <w:r w:rsidR="00B54766" w:rsidRPr="00117BF8">
              <w:rPr>
                <w:rFonts w:ascii="Arial" w:hAnsi="Arial" w:cs="Arial"/>
                <w:bCs/>
                <w:sz w:val="18"/>
                <w:szCs w:val="18"/>
              </w:rPr>
              <w:t>consum</w:t>
            </w:r>
            <w:r w:rsidR="001C28B2" w:rsidRPr="00117BF8">
              <w:rPr>
                <w:rFonts w:ascii="Arial" w:hAnsi="Arial" w:cs="Arial"/>
                <w:bCs/>
                <w:sz w:val="18"/>
                <w:szCs w:val="18"/>
              </w:rPr>
              <w:t>o</w:t>
            </w:r>
          </w:p>
        </w:tc>
        <w:tc>
          <w:tcPr>
            <w:tcW w:w="1058" w:type="dxa"/>
            <w:tcBorders>
              <w:left w:val="nil"/>
              <w:right w:val="nil"/>
            </w:tcBorders>
            <w:shd w:val="clear" w:color="auto" w:fill="auto"/>
            <w:noWrap/>
            <w:hideMark/>
          </w:tcPr>
          <w:p w14:paraId="719A708A"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-22%</w:t>
            </w:r>
          </w:p>
        </w:tc>
        <w:tc>
          <w:tcPr>
            <w:tcW w:w="1058" w:type="dxa"/>
            <w:tcBorders>
              <w:left w:val="nil"/>
              <w:right w:val="nil"/>
            </w:tcBorders>
            <w:shd w:val="clear" w:color="auto" w:fill="auto"/>
            <w:noWrap/>
            <w:hideMark/>
          </w:tcPr>
          <w:p w14:paraId="4CDC4336"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-8%</w:t>
            </w:r>
          </w:p>
        </w:tc>
        <w:tc>
          <w:tcPr>
            <w:tcW w:w="1058" w:type="dxa"/>
            <w:tcBorders>
              <w:left w:val="nil"/>
              <w:right w:val="nil"/>
            </w:tcBorders>
            <w:shd w:val="clear" w:color="auto" w:fill="auto"/>
            <w:noWrap/>
            <w:hideMark/>
          </w:tcPr>
          <w:p w14:paraId="390B49CE"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w:t>
            </w:r>
          </w:p>
        </w:tc>
        <w:tc>
          <w:tcPr>
            <w:tcW w:w="1058" w:type="dxa"/>
            <w:tcBorders>
              <w:left w:val="nil"/>
            </w:tcBorders>
            <w:shd w:val="clear" w:color="auto" w:fill="auto"/>
            <w:noWrap/>
            <w:hideMark/>
          </w:tcPr>
          <w:p w14:paraId="011B3FDA"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-5%</w:t>
            </w:r>
          </w:p>
        </w:tc>
      </w:tr>
      <w:tr w:rsidR="00FD20E8" w:rsidRPr="003C4F96" w14:paraId="160F8E75" w14:textId="77777777" w:rsidTr="00197371">
        <w:trPr>
          <w:trHeight w:val="301"/>
          <w:jc w:val="center"/>
        </w:trPr>
        <w:tc>
          <w:tcPr>
            <w:tcW w:w="4273" w:type="dxa"/>
            <w:tcBorders>
              <w:right w:val="nil"/>
            </w:tcBorders>
            <w:shd w:val="clear" w:color="auto" w:fill="D3DFEE"/>
            <w:noWrap/>
            <w:hideMark/>
          </w:tcPr>
          <w:p w14:paraId="33CDB18A" w14:textId="77777777" w:rsidR="00597000" w:rsidRPr="00117BF8" w:rsidRDefault="00597000" w:rsidP="00FD20E8">
            <w:pPr>
              <w:pStyle w:val="TablaC"/>
              <w:jc w:val="left"/>
              <w:rPr>
                <w:rFonts w:ascii="Arial" w:hAnsi="Arial" w:cs="Arial"/>
                <w:bCs/>
                <w:sz w:val="18"/>
                <w:szCs w:val="18"/>
              </w:rPr>
            </w:pPr>
            <w:r w:rsidRPr="00117BF8">
              <w:rPr>
                <w:rFonts w:ascii="Arial" w:hAnsi="Arial" w:cs="Arial"/>
                <w:bCs/>
                <w:sz w:val="18"/>
                <w:szCs w:val="18"/>
              </w:rPr>
              <w:t>Servicios no personales</w:t>
            </w:r>
          </w:p>
        </w:tc>
        <w:tc>
          <w:tcPr>
            <w:tcW w:w="1058" w:type="dxa"/>
            <w:tcBorders>
              <w:left w:val="nil"/>
              <w:right w:val="nil"/>
            </w:tcBorders>
            <w:shd w:val="clear" w:color="auto" w:fill="D3DFEE"/>
            <w:noWrap/>
            <w:hideMark/>
          </w:tcPr>
          <w:p w14:paraId="7520B95C"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-13%</w:t>
            </w:r>
          </w:p>
        </w:tc>
        <w:tc>
          <w:tcPr>
            <w:tcW w:w="1058" w:type="dxa"/>
            <w:tcBorders>
              <w:left w:val="nil"/>
              <w:right w:val="nil"/>
            </w:tcBorders>
            <w:shd w:val="clear" w:color="auto" w:fill="D3DFEE"/>
            <w:noWrap/>
            <w:hideMark/>
          </w:tcPr>
          <w:p w14:paraId="0373E5CA"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16%</w:t>
            </w:r>
          </w:p>
        </w:tc>
        <w:tc>
          <w:tcPr>
            <w:tcW w:w="1058" w:type="dxa"/>
            <w:tcBorders>
              <w:left w:val="nil"/>
              <w:right w:val="nil"/>
            </w:tcBorders>
            <w:shd w:val="clear" w:color="auto" w:fill="D3DFEE"/>
            <w:noWrap/>
            <w:hideMark/>
          </w:tcPr>
          <w:p w14:paraId="10432CB6"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31%</w:t>
            </w:r>
          </w:p>
        </w:tc>
        <w:tc>
          <w:tcPr>
            <w:tcW w:w="1058" w:type="dxa"/>
            <w:tcBorders>
              <w:left w:val="nil"/>
            </w:tcBorders>
            <w:shd w:val="clear" w:color="auto" w:fill="D3DFEE"/>
            <w:noWrap/>
            <w:hideMark/>
          </w:tcPr>
          <w:p w14:paraId="7C16E9AD"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2%</w:t>
            </w:r>
          </w:p>
        </w:tc>
      </w:tr>
      <w:tr w:rsidR="00FD20E8" w:rsidRPr="003C4F96" w14:paraId="71DEB769" w14:textId="77777777" w:rsidTr="00197371">
        <w:trPr>
          <w:trHeight w:val="301"/>
          <w:jc w:val="center"/>
        </w:trPr>
        <w:tc>
          <w:tcPr>
            <w:tcW w:w="4273" w:type="dxa"/>
            <w:tcBorders>
              <w:right w:val="nil"/>
            </w:tcBorders>
            <w:shd w:val="clear" w:color="auto" w:fill="auto"/>
            <w:noWrap/>
            <w:hideMark/>
          </w:tcPr>
          <w:p w14:paraId="6DD8D4AD" w14:textId="77777777" w:rsidR="00597000" w:rsidRPr="00117BF8" w:rsidRDefault="00597000" w:rsidP="00FD20E8">
            <w:pPr>
              <w:pStyle w:val="TablaC"/>
              <w:jc w:val="left"/>
              <w:rPr>
                <w:rFonts w:ascii="Arial" w:hAnsi="Arial" w:cs="Arial"/>
                <w:bCs/>
                <w:sz w:val="18"/>
                <w:szCs w:val="18"/>
              </w:rPr>
            </w:pPr>
            <w:r w:rsidRPr="00117BF8">
              <w:rPr>
                <w:rFonts w:ascii="Arial" w:hAnsi="Arial" w:cs="Arial"/>
                <w:bCs/>
                <w:sz w:val="18"/>
                <w:szCs w:val="18"/>
              </w:rPr>
              <w:t>Bienes de uso</w:t>
            </w:r>
          </w:p>
        </w:tc>
        <w:tc>
          <w:tcPr>
            <w:tcW w:w="1058" w:type="dxa"/>
            <w:tcBorders>
              <w:left w:val="nil"/>
              <w:right w:val="nil"/>
            </w:tcBorders>
            <w:shd w:val="clear" w:color="auto" w:fill="auto"/>
            <w:noWrap/>
            <w:hideMark/>
          </w:tcPr>
          <w:p w14:paraId="3263D733"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-57%</w:t>
            </w:r>
          </w:p>
        </w:tc>
        <w:tc>
          <w:tcPr>
            <w:tcW w:w="1058" w:type="dxa"/>
            <w:tcBorders>
              <w:left w:val="nil"/>
              <w:right w:val="nil"/>
            </w:tcBorders>
            <w:shd w:val="clear" w:color="auto" w:fill="auto"/>
            <w:noWrap/>
            <w:hideMark/>
          </w:tcPr>
          <w:p w14:paraId="3B439E2A"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-35%</w:t>
            </w:r>
          </w:p>
        </w:tc>
        <w:tc>
          <w:tcPr>
            <w:tcW w:w="1058" w:type="dxa"/>
            <w:tcBorders>
              <w:left w:val="nil"/>
              <w:right w:val="nil"/>
            </w:tcBorders>
            <w:shd w:val="clear" w:color="auto" w:fill="auto"/>
            <w:noWrap/>
            <w:hideMark/>
          </w:tcPr>
          <w:p w14:paraId="2C17748C"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-37%</w:t>
            </w:r>
          </w:p>
        </w:tc>
        <w:tc>
          <w:tcPr>
            <w:tcW w:w="1058" w:type="dxa"/>
            <w:tcBorders>
              <w:left w:val="nil"/>
            </w:tcBorders>
            <w:shd w:val="clear" w:color="auto" w:fill="auto"/>
            <w:noWrap/>
            <w:hideMark/>
          </w:tcPr>
          <w:p w14:paraId="1ADED6AF"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-50%</w:t>
            </w:r>
          </w:p>
        </w:tc>
      </w:tr>
      <w:tr w:rsidR="00FD20E8" w:rsidRPr="003C4F96" w14:paraId="4A4DFD5F" w14:textId="77777777" w:rsidTr="00197371">
        <w:trPr>
          <w:trHeight w:val="301"/>
          <w:jc w:val="center"/>
        </w:trPr>
        <w:tc>
          <w:tcPr>
            <w:tcW w:w="4273" w:type="dxa"/>
            <w:tcBorders>
              <w:right w:val="nil"/>
            </w:tcBorders>
            <w:shd w:val="clear" w:color="auto" w:fill="D3DFEE"/>
            <w:noWrap/>
            <w:hideMark/>
          </w:tcPr>
          <w:p w14:paraId="082F2E0F" w14:textId="77777777" w:rsidR="00597000" w:rsidRPr="00117BF8" w:rsidRDefault="00597000" w:rsidP="00FD20E8">
            <w:pPr>
              <w:pStyle w:val="TablaC"/>
              <w:jc w:val="left"/>
              <w:rPr>
                <w:rFonts w:ascii="Arial" w:hAnsi="Arial" w:cs="Arial"/>
                <w:bCs/>
                <w:sz w:val="18"/>
                <w:szCs w:val="18"/>
              </w:rPr>
            </w:pPr>
            <w:r w:rsidRPr="00117BF8">
              <w:rPr>
                <w:rFonts w:ascii="Arial" w:hAnsi="Arial" w:cs="Arial"/>
                <w:bCs/>
                <w:sz w:val="18"/>
                <w:szCs w:val="18"/>
              </w:rPr>
              <w:t>Transferencias</w:t>
            </w:r>
          </w:p>
        </w:tc>
        <w:tc>
          <w:tcPr>
            <w:tcW w:w="1058" w:type="dxa"/>
            <w:tcBorders>
              <w:left w:val="nil"/>
              <w:right w:val="nil"/>
            </w:tcBorders>
            <w:shd w:val="clear" w:color="auto" w:fill="D3DFEE"/>
            <w:noWrap/>
            <w:hideMark/>
          </w:tcPr>
          <w:p w14:paraId="1506B31E"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9%</w:t>
            </w:r>
          </w:p>
        </w:tc>
        <w:tc>
          <w:tcPr>
            <w:tcW w:w="1058" w:type="dxa"/>
            <w:tcBorders>
              <w:left w:val="nil"/>
              <w:right w:val="nil"/>
            </w:tcBorders>
            <w:shd w:val="clear" w:color="auto" w:fill="D3DFEE"/>
            <w:noWrap/>
            <w:hideMark/>
          </w:tcPr>
          <w:p w14:paraId="3D124C2F"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9%</w:t>
            </w:r>
          </w:p>
        </w:tc>
        <w:tc>
          <w:tcPr>
            <w:tcW w:w="1058" w:type="dxa"/>
            <w:tcBorders>
              <w:left w:val="nil"/>
              <w:right w:val="nil"/>
            </w:tcBorders>
            <w:shd w:val="clear" w:color="auto" w:fill="D3DFEE"/>
            <w:noWrap/>
            <w:hideMark/>
          </w:tcPr>
          <w:p w14:paraId="02016917"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12%</w:t>
            </w:r>
          </w:p>
        </w:tc>
        <w:tc>
          <w:tcPr>
            <w:tcW w:w="1058" w:type="dxa"/>
            <w:tcBorders>
              <w:left w:val="nil"/>
            </w:tcBorders>
            <w:shd w:val="clear" w:color="auto" w:fill="D3DFEE"/>
            <w:noWrap/>
            <w:hideMark/>
          </w:tcPr>
          <w:p w14:paraId="0B294BCF"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27%</w:t>
            </w:r>
          </w:p>
        </w:tc>
      </w:tr>
      <w:tr w:rsidR="00FD20E8" w:rsidRPr="003C4F96" w14:paraId="60CFF707" w14:textId="77777777" w:rsidTr="00197371">
        <w:trPr>
          <w:trHeight w:val="301"/>
          <w:jc w:val="center"/>
        </w:trPr>
        <w:tc>
          <w:tcPr>
            <w:tcW w:w="4273" w:type="dxa"/>
            <w:tcBorders>
              <w:right w:val="nil"/>
            </w:tcBorders>
            <w:shd w:val="clear" w:color="auto" w:fill="auto"/>
            <w:noWrap/>
            <w:hideMark/>
          </w:tcPr>
          <w:p w14:paraId="2CFE06B0" w14:textId="77777777" w:rsidR="00597000" w:rsidRPr="00117BF8" w:rsidRDefault="00597000" w:rsidP="00FD20E8">
            <w:pPr>
              <w:pStyle w:val="TablaC"/>
              <w:jc w:val="left"/>
              <w:rPr>
                <w:rFonts w:ascii="Arial" w:hAnsi="Arial" w:cs="Arial"/>
                <w:bCs/>
                <w:sz w:val="18"/>
                <w:szCs w:val="18"/>
              </w:rPr>
            </w:pPr>
            <w:r w:rsidRPr="00117BF8">
              <w:rPr>
                <w:rFonts w:ascii="Arial" w:hAnsi="Arial" w:cs="Arial"/>
                <w:bCs/>
                <w:sz w:val="18"/>
                <w:szCs w:val="18"/>
              </w:rPr>
              <w:t>Activos financieros</w:t>
            </w:r>
          </w:p>
        </w:tc>
        <w:tc>
          <w:tcPr>
            <w:tcW w:w="1058" w:type="dxa"/>
            <w:tcBorders>
              <w:left w:val="nil"/>
              <w:right w:val="nil"/>
            </w:tcBorders>
            <w:shd w:val="clear" w:color="auto" w:fill="auto"/>
            <w:noWrap/>
            <w:hideMark/>
          </w:tcPr>
          <w:p w14:paraId="285348AF"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-13%</w:t>
            </w:r>
          </w:p>
        </w:tc>
        <w:tc>
          <w:tcPr>
            <w:tcW w:w="1058" w:type="dxa"/>
            <w:tcBorders>
              <w:left w:val="nil"/>
              <w:right w:val="nil"/>
            </w:tcBorders>
            <w:shd w:val="clear" w:color="auto" w:fill="auto"/>
            <w:noWrap/>
            <w:hideMark/>
          </w:tcPr>
          <w:p w14:paraId="1E1824A3"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-28%</w:t>
            </w:r>
          </w:p>
        </w:tc>
        <w:tc>
          <w:tcPr>
            <w:tcW w:w="1058" w:type="dxa"/>
            <w:tcBorders>
              <w:left w:val="nil"/>
              <w:right w:val="nil"/>
            </w:tcBorders>
            <w:shd w:val="clear" w:color="auto" w:fill="auto"/>
            <w:noWrap/>
            <w:hideMark/>
          </w:tcPr>
          <w:p w14:paraId="1F424A7F"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-7%</w:t>
            </w:r>
          </w:p>
        </w:tc>
        <w:tc>
          <w:tcPr>
            <w:tcW w:w="1058" w:type="dxa"/>
            <w:tcBorders>
              <w:left w:val="nil"/>
            </w:tcBorders>
            <w:shd w:val="clear" w:color="auto" w:fill="auto"/>
            <w:noWrap/>
            <w:hideMark/>
          </w:tcPr>
          <w:p w14:paraId="4D30B657"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-63%</w:t>
            </w:r>
          </w:p>
        </w:tc>
      </w:tr>
      <w:tr w:rsidR="00FD20E8" w:rsidRPr="003C4F96" w14:paraId="654576E8" w14:textId="77777777" w:rsidTr="00197371">
        <w:trPr>
          <w:trHeight w:val="301"/>
          <w:jc w:val="center"/>
        </w:trPr>
        <w:tc>
          <w:tcPr>
            <w:tcW w:w="4273" w:type="dxa"/>
            <w:tcBorders>
              <w:right w:val="nil"/>
            </w:tcBorders>
            <w:shd w:val="clear" w:color="auto" w:fill="D3DFEE"/>
            <w:noWrap/>
            <w:hideMark/>
          </w:tcPr>
          <w:p w14:paraId="2544B610" w14:textId="77777777" w:rsidR="00597000" w:rsidRPr="00117BF8" w:rsidRDefault="00597000" w:rsidP="00FD20E8">
            <w:pPr>
              <w:pStyle w:val="TablaC"/>
              <w:jc w:val="left"/>
              <w:rPr>
                <w:rFonts w:ascii="Arial" w:hAnsi="Arial" w:cs="Arial"/>
                <w:bCs/>
                <w:sz w:val="18"/>
                <w:szCs w:val="18"/>
                <w:lang w:val="es-ES_tradnl"/>
              </w:rPr>
            </w:pPr>
            <w:r w:rsidRPr="00117BF8">
              <w:rPr>
                <w:rFonts w:ascii="Arial" w:hAnsi="Arial" w:cs="Arial"/>
                <w:bCs/>
                <w:sz w:val="18"/>
                <w:szCs w:val="18"/>
                <w:lang w:val="es-ES_tradnl"/>
              </w:rPr>
              <w:t>Scio. de la deuda y dismin. de otros pasivos</w:t>
            </w:r>
          </w:p>
        </w:tc>
        <w:tc>
          <w:tcPr>
            <w:tcW w:w="1058" w:type="dxa"/>
            <w:tcBorders>
              <w:left w:val="nil"/>
              <w:right w:val="nil"/>
            </w:tcBorders>
            <w:shd w:val="clear" w:color="auto" w:fill="D3DFEE"/>
            <w:noWrap/>
            <w:hideMark/>
          </w:tcPr>
          <w:p w14:paraId="58095A94"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0%</w:t>
            </w:r>
          </w:p>
        </w:tc>
        <w:tc>
          <w:tcPr>
            <w:tcW w:w="1058" w:type="dxa"/>
            <w:tcBorders>
              <w:left w:val="nil"/>
              <w:right w:val="nil"/>
            </w:tcBorders>
            <w:shd w:val="clear" w:color="auto" w:fill="D3DFEE"/>
            <w:noWrap/>
            <w:hideMark/>
          </w:tcPr>
          <w:p w14:paraId="79E4C6A4"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-1%</w:t>
            </w:r>
          </w:p>
        </w:tc>
        <w:tc>
          <w:tcPr>
            <w:tcW w:w="1058" w:type="dxa"/>
            <w:tcBorders>
              <w:left w:val="nil"/>
              <w:right w:val="nil"/>
            </w:tcBorders>
            <w:shd w:val="clear" w:color="auto" w:fill="D3DFEE"/>
            <w:noWrap/>
            <w:hideMark/>
          </w:tcPr>
          <w:p w14:paraId="58A56A7A"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5%</w:t>
            </w:r>
          </w:p>
        </w:tc>
        <w:tc>
          <w:tcPr>
            <w:tcW w:w="1058" w:type="dxa"/>
            <w:tcBorders>
              <w:left w:val="nil"/>
            </w:tcBorders>
            <w:shd w:val="clear" w:color="auto" w:fill="D3DFEE"/>
            <w:noWrap/>
            <w:hideMark/>
          </w:tcPr>
          <w:p w14:paraId="5CF2AF8C"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36%</w:t>
            </w:r>
          </w:p>
        </w:tc>
      </w:tr>
      <w:tr w:rsidR="00FD20E8" w:rsidRPr="003C4F96" w14:paraId="114EF816" w14:textId="77777777" w:rsidTr="00197371">
        <w:trPr>
          <w:trHeight w:val="301"/>
          <w:jc w:val="center"/>
        </w:trPr>
        <w:tc>
          <w:tcPr>
            <w:tcW w:w="4273" w:type="dxa"/>
            <w:tcBorders>
              <w:right w:val="nil"/>
            </w:tcBorders>
            <w:shd w:val="clear" w:color="auto" w:fill="auto"/>
            <w:noWrap/>
            <w:hideMark/>
          </w:tcPr>
          <w:p w14:paraId="34EF9572" w14:textId="77777777" w:rsidR="00597000" w:rsidRPr="00117BF8" w:rsidRDefault="00597000" w:rsidP="00FD20E8">
            <w:pPr>
              <w:pStyle w:val="TablaC"/>
              <w:jc w:val="left"/>
              <w:rPr>
                <w:rFonts w:ascii="Arial" w:hAnsi="Arial" w:cs="Arial"/>
                <w:bCs/>
                <w:sz w:val="18"/>
                <w:szCs w:val="18"/>
              </w:rPr>
            </w:pPr>
            <w:r w:rsidRPr="00117BF8">
              <w:rPr>
                <w:rFonts w:ascii="Arial" w:hAnsi="Arial" w:cs="Arial"/>
                <w:bCs/>
                <w:sz w:val="18"/>
                <w:szCs w:val="18"/>
              </w:rPr>
              <w:t>Otros gastos</w:t>
            </w:r>
          </w:p>
        </w:tc>
        <w:tc>
          <w:tcPr>
            <w:tcW w:w="1058" w:type="dxa"/>
            <w:tcBorders>
              <w:left w:val="nil"/>
              <w:right w:val="nil"/>
            </w:tcBorders>
            <w:shd w:val="clear" w:color="auto" w:fill="auto"/>
            <w:noWrap/>
            <w:hideMark/>
          </w:tcPr>
          <w:p w14:paraId="66451738"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27%</w:t>
            </w:r>
          </w:p>
        </w:tc>
        <w:tc>
          <w:tcPr>
            <w:tcW w:w="1058" w:type="dxa"/>
            <w:tcBorders>
              <w:left w:val="nil"/>
              <w:right w:val="nil"/>
            </w:tcBorders>
            <w:shd w:val="clear" w:color="auto" w:fill="auto"/>
            <w:noWrap/>
            <w:hideMark/>
          </w:tcPr>
          <w:p w14:paraId="0398B343"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-64%</w:t>
            </w:r>
          </w:p>
        </w:tc>
        <w:tc>
          <w:tcPr>
            <w:tcW w:w="1058" w:type="dxa"/>
            <w:tcBorders>
              <w:left w:val="nil"/>
              <w:right w:val="nil"/>
            </w:tcBorders>
            <w:shd w:val="clear" w:color="auto" w:fill="auto"/>
            <w:noWrap/>
            <w:hideMark/>
          </w:tcPr>
          <w:p w14:paraId="1421C4BE"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-95%</w:t>
            </w:r>
          </w:p>
        </w:tc>
        <w:tc>
          <w:tcPr>
            <w:tcW w:w="1058" w:type="dxa"/>
            <w:tcBorders>
              <w:left w:val="nil"/>
            </w:tcBorders>
            <w:shd w:val="clear" w:color="auto" w:fill="auto"/>
            <w:noWrap/>
            <w:hideMark/>
          </w:tcPr>
          <w:p w14:paraId="6E8577B9" w14:textId="77777777" w:rsidR="00597000" w:rsidRPr="00117BF8" w:rsidRDefault="00597000" w:rsidP="00597000">
            <w:pPr>
              <w:pStyle w:val="TablaC"/>
              <w:rPr>
                <w:rFonts w:ascii="Arial" w:hAnsi="Arial" w:cs="Arial"/>
                <w:sz w:val="18"/>
                <w:szCs w:val="18"/>
              </w:rPr>
            </w:pPr>
            <w:r w:rsidRPr="00117BF8">
              <w:rPr>
                <w:rFonts w:ascii="Arial" w:hAnsi="Arial" w:cs="Arial"/>
                <w:sz w:val="18"/>
                <w:szCs w:val="18"/>
              </w:rPr>
              <w:t>-88%</w:t>
            </w:r>
          </w:p>
        </w:tc>
      </w:tr>
      <w:tr w:rsidR="00FD20E8" w:rsidRPr="003C4F96" w14:paraId="38A3FE12" w14:textId="77777777" w:rsidTr="00197371">
        <w:trPr>
          <w:trHeight w:val="301"/>
          <w:jc w:val="center"/>
        </w:trPr>
        <w:tc>
          <w:tcPr>
            <w:tcW w:w="4273" w:type="dxa"/>
            <w:tcBorders>
              <w:right w:val="nil"/>
            </w:tcBorders>
            <w:shd w:val="clear" w:color="auto" w:fill="D3DFEE"/>
            <w:noWrap/>
            <w:hideMark/>
          </w:tcPr>
          <w:p w14:paraId="1D900B7B" w14:textId="77777777" w:rsidR="00597000" w:rsidRPr="00117BF8" w:rsidRDefault="00597000" w:rsidP="00FD20E8">
            <w:pPr>
              <w:pStyle w:val="TablaC"/>
              <w:jc w:val="left"/>
              <w:rPr>
                <w:rFonts w:ascii="Arial" w:hAnsi="Arial" w:cs="Arial"/>
                <w:b/>
                <w:bCs/>
                <w:sz w:val="18"/>
                <w:szCs w:val="18"/>
              </w:rPr>
            </w:pPr>
            <w:r w:rsidRPr="00117BF8">
              <w:rPr>
                <w:rFonts w:ascii="Arial" w:hAnsi="Arial" w:cs="Arial"/>
                <w:b/>
                <w:bCs/>
                <w:sz w:val="18"/>
                <w:szCs w:val="18"/>
              </w:rPr>
              <w:t>Total</w:t>
            </w:r>
          </w:p>
        </w:tc>
        <w:tc>
          <w:tcPr>
            <w:tcW w:w="1058" w:type="dxa"/>
            <w:tcBorders>
              <w:left w:val="nil"/>
              <w:right w:val="nil"/>
            </w:tcBorders>
            <w:shd w:val="clear" w:color="auto" w:fill="D3DFEE"/>
            <w:noWrap/>
            <w:hideMark/>
          </w:tcPr>
          <w:p w14:paraId="3A153CF5" w14:textId="77777777" w:rsidR="00597000" w:rsidRPr="00117BF8" w:rsidRDefault="00597000" w:rsidP="00597000">
            <w:pPr>
              <w:pStyle w:val="TablaC"/>
              <w:rPr>
                <w:rFonts w:ascii="Arial" w:hAnsi="Arial" w:cs="Arial"/>
                <w:b/>
                <w:sz w:val="18"/>
                <w:szCs w:val="18"/>
              </w:rPr>
            </w:pPr>
            <w:r w:rsidRPr="00117BF8">
              <w:rPr>
                <w:rFonts w:ascii="Arial" w:hAnsi="Arial" w:cs="Arial"/>
                <w:b/>
                <w:sz w:val="18"/>
                <w:szCs w:val="18"/>
              </w:rPr>
              <w:t>6%</w:t>
            </w:r>
          </w:p>
        </w:tc>
        <w:tc>
          <w:tcPr>
            <w:tcW w:w="1058" w:type="dxa"/>
            <w:tcBorders>
              <w:left w:val="nil"/>
              <w:right w:val="nil"/>
            </w:tcBorders>
            <w:shd w:val="clear" w:color="auto" w:fill="D3DFEE"/>
            <w:noWrap/>
            <w:hideMark/>
          </w:tcPr>
          <w:p w14:paraId="5BD06396" w14:textId="77777777" w:rsidR="00597000" w:rsidRPr="00117BF8" w:rsidRDefault="00597000" w:rsidP="00597000">
            <w:pPr>
              <w:pStyle w:val="TablaC"/>
              <w:rPr>
                <w:rFonts w:ascii="Arial" w:hAnsi="Arial" w:cs="Arial"/>
                <w:b/>
                <w:sz w:val="18"/>
                <w:szCs w:val="18"/>
              </w:rPr>
            </w:pPr>
            <w:r w:rsidRPr="00117BF8">
              <w:rPr>
                <w:rFonts w:ascii="Arial" w:hAnsi="Arial" w:cs="Arial"/>
                <w:b/>
                <w:sz w:val="18"/>
                <w:szCs w:val="18"/>
              </w:rPr>
              <w:t>10%</w:t>
            </w:r>
          </w:p>
        </w:tc>
        <w:tc>
          <w:tcPr>
            <w:tcW w:w="1058" w:type="dxa"/>
            <w:tcBorders>
              <w:left w:val="nil"/>
              <w:right w:val="nil"/>
            </w:tcBorders>
            <w:shd w:val="clear" w:color="auto" w:fill="D3DFEE"/>
            <w:noWrap/>
            <w:hideMark/>
          </w:tcPr>
          <w:p w14:paraId="64895080" w14:textId="77777777" w:rsidR="00597000" w:rsidRPr="00117BF8" w:rsidRDefault="00597000" w:rsidP="00597000">
            <w:pPr>
              <w:pStyle w:val="TablaC"/>
              <w:rPr>
                <w:rFonts w:ascii="Arial" w:hAnsi="Arial" w:cs="Arial"/>
                <w:b/>
                <w:sz w:val="18"/>
                <w:szCs w:val="18"/>
              </w:rPr>
            </w:pPr>
            <w:r w:rsidRPr="00117BF8">
              <w:rPr>
                <w:rFonts w:ascii="Arial" w:hAnsi="Arial" w:cs="Arial"/>
                <w:b/>
                <w:sz w:val="18"/>
                <w:szCs w:val="18"/>
              </w:rPr>
              <w:t>16%</w:t>
            </w:r>
          </w:p>
        </w:tc>
        <w:tc>
          <w:tcPr>
            <w:tcW w:w="1058" w:type="dxa"/>
            <w:tcBorders>
              <w:left w:val="nil"/>
            </w:tcBorders>
            <w:shd w:val="clear" w:color="auto" w:fill="D3DFEE"/>
            <w:noWrap/>
            <w:hideMark/>
          </w:tcPr>
          <w:p w14:paraId="02E224A2" w14:textId="77777777" w:rsidR="00597000" w:rsidRPr="00117BF8" w:rsidRDefault="00597000" w:rsidP="00597000">
            <w:pPr>
              <w:pStyle w:val="TablaC"/>
              <w:rPr>
                <w:rFonts w:ascii="Arial" w:hAnsi="Arial" w:cs="Arial"/>
                <w:b/>
                <w:sz w:val="18"/>
                <w:szCs w:val="18"/>
              </w:rPr>
            </w:pPr>
            <w:r w:rsidRPr="00117BF8">
              <w:rPr>
                <w:rFonts w:ascii="Arial" w:hAnsi="Arial" w:cs="Arial"/>
                <w:b/>
                <w:sz w:val="18"/>
                <w:szCs w:val="18"/>
              </w:rPr>
              <w:t>11%</w:t>
            </w:r>
          </w:p>
        </w:tc>
      </w:tr>
    </w:tbl>
    <w:p w14:paraId="0656BA42" w14:textId="77777777" w:rsidR="002D4D86" w:rsidRPr="00117BF8" w:rsidRDefault="002D4D86" w:rsidP="002D4D86">
      <w:pPr>
        <w:pStyle w:val="Hfuente"/>
        <w:rPr>
          <w:rFonts w:ascii="Arial" w:hAnsi="Arial" w:cs="Arial"/>
          <w:sz w:val="18"/>
          <w:szCs w:val="18"/>
        </w:rPr>
      </w:pPr>
      <w:r w:rsidRPr="00117BF8">
        <w:rPr>
          <w:rFonts w:ascii="Arial" w:hAnsi="Arial" w:cs="Arial"/>
          <w:sz w:val="18"/>
          <w:szCs w:val="18"/>
        </w:rPr>
        <w:t>Elaboración propia sobre datos de la CGPBA.</w:t>
      </w:r>
    </w:p>
    <w:p w14:paraId="4834258E" w14:textId="56D046AA" w:rsidR="004C072B" w:rsidRPr="00117BF8" w:rsidRDefault="004C072B" w:rsidP="00A06DF1">
      <w:pPr>
        <w:pStyle w:val="hsa"/>
        <w:rPr>
          <w:rFonts w:ascii="Arial" w:eastAsia="Calibri" w:hAnsi="Arial" w:cs="Arial"/>
          <w:sz w:val="22"/>
          <w:szCs w:val="22"/>
        </w:rPr>
      </w:pPr>
      <w:r w:rsidRPr="00117BF8">
        <w:rPr>
          <w:rFonts w:ascii="Arial" w:eastAsia="Calibri" w:hAnsi="Arial" w:cs="Arial"/>
          <w:sz w:val="22"/>
          <w:szCs w:val="22"/>
        </w:rPr>
        <w:t>L</w:t>
      </w:r>
      <w:r w:rsidR="00A06DF1" w:rsidRPr="00117BF8">
        <w:rPr>
          <w:rFonts w:ascii="Arial" w:eastAsia="Calibri" w:hAnsi="Arial" w:cs="Arial"/>
          <w:sz w:val="22"/>
          <w:szCs w:val="22"/>
        </w:rPr>
        <w:t xml:space="preserve">os gastos </w:t>
      </w:r>
      <w:r w:rsidRPr="00117BF8">
        <w:rPr>
          <w:rFonts w:ascii="Arial" w:eastAsia="Calibri" w:hAnsi="Arial" w:cs="Arial"/>
          <w:sz w:val="22"/>
          <w:szCs w:val="22"/>
        </w:rPr>
        <w:t>crecieron</w:t>
      </w:r>
      <w:r w:rsidR="00A06DF1" w:rsidRPr="00117BF8">
        <w:rPr>
          <w:rFonts w:ascii="Arial" w:eastAsia="Calibri" w:hAnsi="Arial" w:cs="Arial"/>
          <w:sz w:val="22"/>
          <w:szCs w:val="22"/>
        </w:rPr>
        <w:t xml:space="preserve"> de manera </w:t>
      </w:r>
      <w:r w:rsidRPr="00117BF8">
        <w:rPr>
          <w:rFonts w:ascii="Arial" w:eastAsia="Calibri" w:hAnsi="Arial" w:cs="Arial"/>
          <w:sz w:val="22"/>
          <w:szCs w:val="22"/>
        </w:rPr>
        <w:t xml:space="preserve">significativa </w:t>
      </w:r>
      <w:r w:rsidR="00A06DF1" w:rsidRPr="00117BF8">
        <w:rPr>
          <w:rFonts w:ascii="Arial" w:eastAsia="Calibri" w:hAnsi="Arial" w:cs="Arial"/>
          <w:sz w:val="22"/>
          <w:szCs w:val="22"/>
        </w:rPr>
        <w:t xml:space="preserve">en términos nominales como consecuencia de la </w:t>
      </w:r>
      <w:r w:rsidR="0003477B" w:rsidRPr="003C4F96">
        <w:rPr>
          <w:rFonts w:ascii="Arial" w:eastAsia="Calibri" w:hAnsi="Arial" w:cs="Arial"/>
          <w:sz w:val="22"/>
          <w:szCs w:val="22"/>
        </w:rPr>
        <w:t>inflación,</w:t>
      </w:r>
      <w:r w:rsidR="00A06DF1" w:rsidRPr="00117BF8">
        <w:rPr>
          <w:rFonts w:ascii="Arial" w:eastAsia="Calibri" w:hAnsi="Arial" w:cs="Arial"/>
          <w:sz w:val="22"/>
          <w:szCs w:val="22"/>
        </w:rPr>
        <w:t xml:space="preserve"> pero también </w:t>
      </w:r>
      <w:r w:rsidRPr="00117BF8">
        <w:rPr>
          <w:rFonts w:ascii="Arial" w:eastAsia="Calibri" w:hAnsi="Arial" w:cs="Arial"/>
          <w:sz w:val="22"/>
          <w:szCs w:val="22"/>
        </w:rPr>
        <w:t>lo hicieron a precios constantes</w:t>
      </w:r>
      <w:r w:rsidR="00A06DF1" w:rsidRPr="00117BF8">
        <w:rPr>
          <w:rFonts w:ascii="Arial" w:eastAsia="Calibri" w:hAnsi="Arial" w:cs="Arial"/>
          <w:sz w:val="22"/>
          <w:szCs w:val="22"/>
        </w:rPr>
        <w:t>. Aunque no todos lo han hecho de igual manera d</w:t>
      </w:r>
      <w:r w:rsidRPr="00117BF8">
        <w:rPr>
          <w:rFonts w:ascii="Arial" w:eastAsia="Calibri" w:hAnsi="Arial" w:cs="Arial"/>
          <w:sz w:val="22"/>
          <w:szCs w:val="22"/>
        </w:rPr>
        <w:t xml:space="preserve">urante los últimos cuatro años, modificándose la participación de los rubros (Tabla </w:t>
      </w:r>
      <w:r w:rsidR="00F36A02" w:rsidRPr="00117BF8">
        <w:rPr>
          <w:rFonts w:ascii="Arial" w:eastAsia="Calibri" w:hAnsi="Arial" w:cs="Arial"/>
          <w:sz w:val="22"/>
          <w:szCs w:val="22"/>
        </w:rPr>
        <w:t>16</w:t>
      </w:r>
      <w:r w:rsidRPr="00117BF8">
        <w:rPr>
          <w:rFonts w:ascii="Arial" w:eastAsia="Calibri" w:hAnsi="Arial" w:cs="Arial"/>
          <w:sz w:val="22"/>
          <w:szCs w:val="22"/>
        </w:rPr>
        <w:t>).</w:t>
      </w:r>
    </w:p>
    <w:p w14:paraId="13919F8A" w14:textId="77777777" w:rsidR="004C072B" w:rsidRPr="00117BF8" w:rsidRDefault="004C072B" w:rsidP="00A06DF1">
      <w:pPr>
        <w:pStyle w:val="hsa"/>
        <w:rPr>
          <w:rFonts w:ascii="Arial" w:eastAsia="Calibri" w:hAnsi="Arial" w:cs="Arial"/>
          <w:sz w:val="22"/>
          <w:szCs w:val="22"/>
        </w:rPr>
      </w:pPr>
      <w:r w:rsidRPr="00117BF8">
        <w:rPr>
          <w:rFonts w:ascii="Arial" w:eastAsia="Calibri" w:hAnsi="Arial" w:cs="Arial"/>
          <w:sz w:val="22"/>
          <w:szCs w:val="22"/>
        </w:rPr>
        <w:t xml:space="preserve">Los gastos en personal crecieron en participación, a razón del 1% anual, entre 2013 y 2015, </w:t>
      </w:r>
      <w:r w:rsidR="009642DB" w:rsidRPr="00117BF8">
        <w:rPr>
          <w:rFonts w:ascii="Arial" w:eastAsia="Calibri" w:hAnsi="Arial" w:cs="Arial"/>
          <w:sz w:val="22"/>
          <w:szCs w:val="22"/>
        </w:rPr>
        <w:t>pero</w:t>
      </w:r>
      <w:r w:rsidRPr="00117BF8">
        <w:rPr>
          <w:rFonts w:ascii="Arial" w:eastAsia="Calibri" w:hAnsi="Arial" w:cs="Arial"/>
          <w:sz w:val="22"/>
          <w:szCs w:val="22"/>
        </w:rPr>
        <w:t xml:space="preserve"> en 2016 se produjo una reducción </w:t>
      </w:r>
      <w:r w:rsidR="009642DB" w:rsidRPr="00117BF8">
        <w:rPr>
          <w:rFonts w:ascii="Arial" w:eastAsia="Calibri" w:hAnsi="Arial" w:cs="Arial"/>
          <w:sz w:val="22"/>
          <w:szCs w:val="22"/>
        </w:rPr>
        <w:t>de 3%, representando e</w:t>
      </w:r>
      <w:r w:rsidRPr="00117BF8">
        <w:rPr>
          <w:rFonts w:ascii="Arial" w:eastAsia="Calibri" w:hAnsi="Arial" w:cs="Arial"/>
          <w:sz w:val="22"/>
          <w:szCs w:val="22"/>
        </w:rPr>
        <w:t>l 44% del total.</w:t>
      </w:r>
    </w:p>
    <w:p w14:paraId="54A23AA3" w14:textId="77777777" w:rsidR="004C072B" w:rsidRPr="00117BF8" w:rsidRDefault="004C072B" w:rsidP="004C072B">
      <w:pPr>
        <w:pStyle w:val="hsa"/>
        <w:rPr>
          <w:rFonts w:ascii="Arial" w:eastAsia="Calibri" w:hAnsi="Arial" w:cs="Arial"/>
          <w:sz w:val="22"/>
          <w:szCs w:val="22"/>
        </w:rPr>
      </w:pPr>
      <w:r w:rsidRPr="00117BF8">
        <w:rPr>
          <w:rFonts w:ascii="Arial" w:eastAsia="Calibri" w:hAnsi="Arial" w:cs="Arial"/>
          <w:sz w:val="22"/>
          <w:szCs w:val="22"/>
        </w:rPr>
        <w:t>La evolución de las transferencias fue inversa a la del gasto en personal</w:t>
      </w:r>
      <w:r w:rsidR="00B519F3" w:rsidRPr="00117BF8">
        <w:rPr>
          <w:rFonts w:ascii="Arial" w:eastAsia="Calibri" w:hAnsi="Arial" w:cs="Arial"/>
          <w:sz w:val="22"/>
          <w:szCs w:val="22"/>
        </w:rPr>
        <w:t>,</w:t>
      </w:r>
      <w:r w:rsidRPr="00117BF8">
        <w:rPr>
          <w:rFonts w:ascii="Arial" w:eastAsia="Calibri" w:hAnsi="Arial" w:cs="Arial"/>
          <w:sz w:val="22"/>
          <w:szCs w:val="22"/>
        </w:rPr>
        <w:t xml:space="preserve"> durante los primeros años decreció su participación y en el año 2016 tuvieron un importante incremento.</w:t>
      </w:r>
    </w:p>
    <w:p w14:paraId="6EB06052" w14:textId="77777777" w:rsidR="004C072B" w:rsidRPr="00117BF8" w:rsidRDefault="004C072B" w:rsidP="004C072B">
      <w:pPr>
        <w:pStyle w:val="hsa"/>
        <w:rPr>
          <w:rFonts w:ascii="Arial" w:eastAsia="Calibri" w:hAnsi="Arial" w:cs="Arial"/>
          <w:sz w:val="22"/>
          <w:szCs w:val="22"/>
        </w:rPr>
      </w:pPr>
      <w:r w:rsidRPr="00117BF8">
        <w:rPr>
          <w:rFonts w:ascii="Arial" w:eastAsia="Calibri" w:hAnsi="Arial" w:cs="Arial"/>
          <w:sz w:val="22"/>
          <w:szCs w:val="22"/>
        </w:rPr>
        <w:t>El servicio de la deuda se mantuvo en niveles aproximados al 8%</w:t>
      </w:r>
      <w:r w:rsidR="009642DB" w:rsidRPr="00117BF8">
        <w:rPr>
          <w:rFonts w:ascii="Arial" w:eastAsia="Calibri" w:hAnsi="Arial" w:cs="Arial"/>
          <w:sz w:val="22"/>
          <w:szCs w:val="22"/>
        </w:rPr>
        <w:t xml:space="preserve"> sobre el total</w:t>
      </w:r>
      <w:r w:rsidRPr="00117BF8">
        <w:rPr>
          <w:rFonts w:ascii="Arial" w:eastAsia="Calibri" w:hAnsi="Arial" w:cs="Arial"/>
          <w:sz w:val="22"/>
          <w:szCs w:val="22"/>
        </w:rPr>
        <w:t>.</w:t>
      </w:r>
    </w:p>
    <w:tbl>
      <w:tblPr>
        <w:tblW w:w="8505"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4273"/>
        <w:gridCol w:w="1058"/>
        <w:gridCol w:w="1058"/>
        <w:gridCol w:w="1058"/>
        <w:gridCol w:w="1058"/>
      </w:tblGrid>
      <w:tr w:rsidR="00A06DF1" w:rsidRPr="004E6455" w14:paraId="7029EE55" w14:textId="77777777" w:rsidTr="00197371">
        <w:trPr>
          <w:trHeight w:val="301"/>
          <w:jc w:val="center"/>
        </w:trPr>
        <w:tc>
          <w:tcPr>
            <w:tcW w:w="8505" w:type="dxa"/>
            <w:gridSpan w:val="5"/>
            <w:tcBorders>
              <w:top w:val="single" w:sz="8" w:space="0" w:color="7BA0CD"/>
              <w:left w:val="single" w:sz="8" w:space="0" w:color="7BA0CD"/>
              <w:bottom w:val="single" w:sz="8" w:space="0" w:color="7BA0CD"/>
              <w:right w:val="single" w:sz="8" w:space="0" w:color="7BA0CD"/>
            </w:tcBorders>
            <w:shd w:val="clear" w:color="auto" w:fill="0070C0"/>
            <w:noWrap/>
          </w:tcPr>
          <w:p w14:paraId="7F6C1336" w14:textId="77777777" w:rsidR="00A06DF1" w:rsidRPr="00117BF8" w:rsidRDefault="00A06DF1" w:rsidP="00237844">
            <w:pPr>
              <w:pStyle w:val="TablaT"/>
              <w:rPr>
                <w:rFonts w:ascii="Arial" w:hAnsi="Arial" w:cs="Arial"/>
                <w:sz w:val="22"/>
                <w:szCs w:val="22"/>
                <w:lang w:val="es-ES_tradnl"/>
              </w:rPr>
            </w:pPr>
            <w:bookmarkStart w:id="50" w:name="_Toc493861126"/>
            <w:r w:rsidRPr="00117BF8">
              <w:rPr>
                <w:rFonts w:ascii="Arial" w:hAnsi="Arial" w:cs="Arial"/>
                <w:sz w:val="22"/>
                <w:szCs w:val="22"/>
                <w:lang w:val="es-ES_tradnl"/>
              </w:rPr>
              <w:t xml:space="preserve">Tabla </w:t>
            </w:r>
            <w:r w:rsidR="00F36A02" w:rsidRPr="00117BF8">
              <w:rPr>
                <w:rFonts w:ascii="Arial" w:hAnsi="Arial" w:cs="Arial"/>
                <w:sz w:val="22"/>
                <w:szCs w:val="22"/>
                <w:lang w:val="es-ES_tradnl"/>
              </w:rPr>
              <w:t>16</w:t>
            </w:r>
            <w:r w:rsidRPr="00117BF8">
              <w:rPr>
                <w:rFonts w:ascii="Arial" w:hAnsi="Arial" w:cs="Arial"/>
                <w:sz w:val="22"/>
                <w:szCs w:val="22"/>
                <w:lang w:val="es-ES_tradnl"/>
              </w:rPr>
              <w:t xml:space="preserve"> - Clasificación por Objeto del Gasto - Ejecución Presupuestaria – Evolución de la </w:t>
            </w:r>
            <w:r w:rsidR="00695D34" w:rsidRPr="00117BF8">
              <w:rPr>
                <w:rFonts w:ascii="Arial" w:hAnsi="Arial" w:cs="Arial"/>
                <w:sz w:val="22"/>
                <w:szCs w:val="22"/>
                <w:lang w:val="es-ES_tradnl"/>
              </w:rPr>
              <w:t>Participación</w:t>
            </w:r>
            <w:bookmarkEnd w:id="50"/>
          </w:p>
        </w:tc>
      </w:tr>
      <w:tr w:rsidR="00FD20E8" w:rsidRPr="004E6455" w14:paraId="0343830D" w14:textId="77777777" w:rsidTr="00197371">
        <w:trPr>
          <w:trHeight w:val="301"/>
          <w:jc w:val="center"/>
        </w:trPr>
        <w:tc>
          <w:tcPr>
            <w:tcW w:w="4273" w:type="dxa"/>
            <w:tcBorders>
              <w:right w:val="nil"/>
            </w:tcBorders>
            <w:shd w:val="clear" w:color="auto" w:fill="0070C0"/>
            <w:noWrap/>
          </w:tcPr>
          <w:p w14:paraId="13A92C7E" w14:textId="77777777" w:rsidR="00F36A02" w:rsidRPr="00117BF8" w:rsidRDefault="00F36A02" w:rsidP="008B6C99">
            <w:pPr>
              <w:pStyle w:val="TablaE"/>
              <w:rPr>
                <w:rFonts w:ascii="Arial" w:hAnsi="Arial" w:cs="Arial"/>
                <w:sz w:val="22"/>
                <w:szCs w:val="22"/>
              </w:rPr>
            </w:pPr>
            <w:r w:rsidRPr="00117BF8">
              <w:rPr>
                <w:rFonts w:ascii="Arial" w:hAnsi="Arial" w:cs="Arial"/>
                <w:sz w:val="22"/>
                <w:szCs w:val="22"/>
              </w:rPr>
              <w:t>Concepto</w:t>
            </w:r>
          </w:p>
        </w:tc>
        <w:tc>
          <w:tcPr>
            <w:tcW w:w="1058" w:type="dxa"/>
            <w:tcBorders>
              <w:left w:val="nil"/>
              <w:right w:val="nil"/>
            </w:tcBorders>
            <w:shd w:val="clear" w:color="auto" w:fill="0070C0"/>
            <w:noWrap/>
          </w:tcPr>
          <w:p w14:paraId="5C1C89C1" w14:textId="77777777" w:rsidR="00F36A02" w:rsidRPr="00117BF8" w:rsidRDefault="00F36A02" w:rsidP="008B6C99">
            <w:pPr>
              <w:pStyle w:val="TablaE"/>
              <w:rPr>
                <w:rFonts w:ascii="Arial" w:hAnsi="Arial" w:cs="Arial"/>
                <w:sz w:val="22"/>
                <w:szCs w:val="22"/>
              </w:rPr>
            </w:pPr>
            <w:r w:rsidRPr="00117BF8">
              <w:rPr>
                <w:rFonts w:ascii="Arial" w:hAnsi="Arial" w:cs="Arial"/>
                <w:sz w:val="22"/>
                <w:szCs w:val="22"/>
              </w:rPr>
              <w:t>2013</w:t>
            </w:r>
          </w:p>
        </w:tc>
        <w:tc>
          <w:tcPr>
            <w:tcW w:w="1058" w:type="dxa"/>
            <w:tcBorders>
              <w:left w:val="nil"/>
              <w:right w:val="nil"/>
            </w:tcBorders>
            <w:shd w:val="clear" w:color="auto" w:fill="0070C0"/>
            <w:noWrap/>
          </w:tcPr>
          <w:p w14:paraId="4DDDA2DB" w14:textId="77777777" w:rsidR="00F36A02" w:rsidRPr="00117BF8" w:rsidRDefault="00F36A02" w:rsidP="008B6C99">
            <w:pPr>
              <w:pStyle w:val="TablaE"/>
              <w:rPr>
                <w:rFonts w:ascii="Arial" w:hAnsi="Arial" w:cs="Arial"/>
                <w:sz w:val="22"/>
                <w:szCs w:val="22"/>
              </w:rPr>
            </w:pPr>
            <w:r w:rsidRPr="00117BF8">
              <w:rPr>
                <w:rFonts w:ascii="Arial" w:hAnsi="Arial" w:cs="Arial"/>
                <w:sz w:val="22"/>
                <w:szCs w:val="22"/>
              </w:rPr>
              <w:t>2014</w:t>
            </w:r>
          </w:p>
        </w:tc>
        <w:tc>
          <w:tcPr>
            <w:tcW w:w="1058" w:type="dxa"/>
            <w:tcBorders>
              <w:left w:val="nil"/>
              <w:right w:val="nil"/>
            </w:tcBorders>
            <w:shd w:val="clear" w:color="auto" w:fill="0070C0"/>
            <w:noWrap/>
          </w:tcPr>
          <w:p w14:paraId="4ABD7B0F" w14:textId="77777777" w:rsidR="00F36A02" w:rsidRPr="00117BF8" w:rsidRDefault="00F36A02" w:rsidP="008B6C99">
            <w:pPr>
              <w:pStyle w:val="TablaE"/>
              <w:rPr>
                <w:rFonts w:ascii="Arial" w:hAnsi="Arial" w:cs="Arial"/>
                <w:sz w:val="22"/>
                <w:szCs w:val="22"/>
              </w:rPr>
            </w:pPr>
            <w:r w:rsidRPr="00117BF8">
              <w:rPr>
                <w:rFonts w:ascii="Arial" w:hAnsi="Arial" w:cs="Arial"/>
                <w:sz w:val="22"/>
                <w:szCs w:val="22"/>
              </w:rPr>
              <w:t>2015</w:t>
            </w:r>
          </w:p>
        </w:tc>
        <w:tc>
          <w:tcPr>
            <w:tcW w:w="1058" w:type="dxa"/>
            <w:tcBorders>
              <w:left w:val="nil"/>
            </w:tcBorders>
            <w:shd w:val="clear" w:color="auto" w:fill="0070C0"/>
            <w:noWrap/>
          </w:tcPr>
          <w:p w14:paraId="6226BD92" w14:textId="77777777" w:rsidR="00F36A02" w:rsidRPr="00117BF8" w:rsidRDefault="00F36A02" w:rsidP="008B6C99">
            <w:pPr>
              <w:pStyle w:val="TablaE"/>
              <w:rPr>
                <w:rFonts w:ascii="Arial" w:hAnsi="Arial" w:cs="Arial"/>
                <w:sz w:val="22"/>
                <w:szCs w:val="22"/>
              </w:rPr>
            </w:pPr>
            <w:r w:rsidRPr="00117BF8">
              <w:rPr>
                <w:rFonts w:ascii="Arial" w:hAnsi="Arial" w:cs="Arial"/>
                <w:sz w:val="22"/>
                <w:szCs w:val="22"/>
              </w:rPr>
              <w:t>2016</w:t>
            </w:r>
          </w:p>
        </w:tc>
      </w:tr>
      <w:tr w:rsidR="00FD20E8" w:rsidRPr="003C4F96" w14:paraId="64B007B8" w14:textId="77777777" w:rsidTr="00197371">
        <w:trPr>
          <w:trHeight w:val="301"/>
          <w:jc w:val="center"/>
        </w:trPr>
        <w:tc>
          <w:tcPr>
            <w:tcW w:w="4273" w:type="dxa"/>
            <w:tcBorders>
              <w:right w:val="nil"/>
            </w:tcBorders>
            <w:shd w:val="clear" w:color="auto" w:fill="auto"/>
            <w:noWrap/>
            <w:hideMark/>
          </w:tcPr>
          <w:p w14:paraId="50074A9C" w14:textId="77777777" w:rsidR="00A06DF1" w:rsidRPr="00117BF8" w:rsidRDefault="00A06DF1" w:rsidP="00FD20E8">
            <w:pPr>
              <w:pStyle w:val="TablaC"/>
              <w:jc w:val="left"/>
              <w:rPr>
                <w:rFonts w:ascii="Arial" w:hAnsi="Arial" w:cs="Arial"/>
                <w:bCs/>
                <w:sz w:val="18"/>
                <w:szCs w:val="18"/>
              </w:rPr>
            </w:pPr>
            <w:r w:rsidRPr="00117BF8">
              <w:rPr>
                <w:rFonts w:ascii="Arial" w:hAnsi="Arial" w:cs="Arial"/>
                <w:bCs/>
                <w:sz w:val="18"/>
                <w:szCs w:val="18"/>
              </w:rPr>
              <w:t>Gastos en personal</w:t>
            </w:r>
          </w:p>
        </w:tc>
        <w:tc>
          <w:tcPr>
            <w:tcW w:w="1058" w:type="dxa"/>
            <w:tcBorders>
              <w:left w:val="nil"/>
              <w:right w:val="nil"/>
            </w:tcBorders>
            <w:shd w:val="clear" w:color="auto" w:fill="auto"/>
            <w:noWrap/>
            <w:hideMark/>
          </w:tcPr>
          <w:p w14:paraId="42C6280D"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45%</w:t>
            </w:r>
          </w:p>
        </w:tc>
        <w:tc>
          <w:tcPr>
            <w:tcW w:w="1058" w:type="dxa"/>
            <w:tcBorders>
              <w:left w:val="nil"/>
              <w:right w:val="nil"/>
            </w:tcBorders>
            <w:shd w:val="clear" w:color="auto" w:fill="auto"/>
            <w:noWrap/>
            <w:hideMark/>
          </w:tcPr>
          <w:p w14:paraId="46FB6259"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46%</w:t>
            </w:r>
          </w:p>
        </w:tc>
        <w:tc>
          <w:tcPr>
            <w:tcW w:w="1058" w:type="dxa"/>
            <w:tcBorders>
              <w:left w:val="nil"/>
              <w:right w:val="nil"/>
            </w:tcBorders>
            <w:shd w:val="clear" w:color="auto" w:fill="auto"/>
            <w:noWrap/>
            <w:hideMark/>
          </w:tcPr>
          <w:p w14:paraId="34F8D230"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47%</w:t>
            </w:r>
          </w:p>
        </w:tc>
        <w:tc>
          <w:tcPr>
            <w:tcW w:w="1058" w:type="dxa"/>
            <w:tcBorders>
              <w:left w:val="nil"/>
            </w:tcBorders>
            <w:shd w:val="clear" w:color="auto" w:fill="auto"/>
            <w:noWrap/>
            <w:hideMark/>
          </w:tcPr>
          <w:p w14:paraId="48A45DD1"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44%</w:t>
            </w:r>
          </w:p>
        </w:tc>
      </w:tr>
      <w:tr w:rsidR="00FD20E8" w:rsidRPr="003C4F96" w14:paraId="75371676" w14:textId="77777777" w:rsidTr="00197371">
        <w:trPr>
          <w:trHeight w:val="301"/>
          <w:jc w:val="center"/>
        </w:trPr>
        <w:tc>
          <w:tcPr>
            <w:tcW w:w="4273" w:type="dxa"/>
            <w:tcBorders>
              <w:right w:val="nil"/>
            </w:tcBorders>
            <w:shd w:val="clear" w:color="auto" w:fill="D3DFEE"/>
            <w:noWrap/>
            <w:hideMark/>
          </w:tcPr>
          <w:p w14:paraId="50251428" w14:textId="77777777" w:rsidR="00A06DF1" w:rsidRPr="00117BF8" w:rsidRDefault="00A06DF1" w:rsidP="00FD20E8">
            <w:pPr>
              <w:pStyle w:val="TablaC"/>
              <w:jc w:val="left"/>
              <w:rPr>
                <w:rFonts w:ascii="Arial" w:hAnsi="Arial" w:cs="Arial"/>
                <w:bCs/>
                <w:sz w:val="18"/>
                <w:szCs w:val="18"/>
              </w:rPr>
            </w:pPr>
            <w:r w:rsidRPr="00117BF8">
              <w:rPr>
                <w:rFonts w:ascii="Arial" w:hAnsi="Arial" w:cs="Arial"/>
                <w:bCs/>
                <w:sz w:val="18"/>
                <w:szCs w:val="18"/>
              </w:rPr>
              <w:t xml:space="preserve">Bienes de </w:t>
            </w:r>
            <w:r w:rsidR="004B01DE" w:rsidRPr="00117BF8">
              <w:rPr>
                <w:rFonts w:ascii="Arial" w:hAnsi="Arial" w:cs="Arial"/>
                <w:bCs/>
                <w:sz w:val="18"/>
                <w:szCs w:val="18"/>
              </w:rPr>
              <w:t>consumo</w:t>
            </w:r>
          </w:p>
        </w:tc>
        <w:tc>
          <w:tcPr>
            <w:tcW w:w="1058" w:type="dxa"/>
            <w:tcBorders>
              <w:left w:val="nil"/>
              <w:right w:val="nil"/>
            </w:tcBorders>
            <w:shd w:val="clear" w:color="auto" w:fill="D3DFEE"/>
            <w:noWrap/>
            <w:hideMark/>
          </w:tcPr>
          <w:p w14:paraId="3983151A"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1%</w:t>
            </w:r>
          </w:p>
        </w:tc>
        <w:tc>
          <w:tcPr>
            <w:tcW w:w="1058" w:type="dxa"/>
            <w:tcBorders>
              <w:left w:val="nil"/>
              <w:right w:val="nil"/>
            </w:tcBorders>
            <w:shd w:val="clear" w:color="auto" w:fill="D3DFEE"/>
            <w:noWrap/>
            <w:hideMark/>
          </w:tcPr>
          <w:p w14:paraId="74CD66BA"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1%</w:t>
            </w:r>
          </w:p>
        </w:tc>
        <w:tc>
          <w:tcPr>
            <w:tcW w:w="1058" w:type="dxa"/>
            <w:tcBorders>
              <w:left w:val="nil"/>
              <w:right w:val="nil"/>
            </w:tcBorders>
            <w:shd w:val="clear" w:color="auto" w:fill="D3DFEE"/>
            <w:noWrap/>
            <w:hideMark/>
          </w:tcPr>
          <w:p w14:paraId="06EAD713"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1%</w:t>
            </w:r>
          </w:p>
        </w:tc>
        <w:tc>
          <w:tcPr>
            <w:tcW w:w="1058" w:type="dxa"/>
            <w:tcBorders>
              <w:left w:val="nil"/>
            </w:tcBorders>
            <w:shd w:val="clear" w:color="auto" w:fill="D3DFEE"/>
            <w:noWrap/>
            <w:hideMark/>
          </w:tcPr>
          <w:p w14:paraId="7A499DC9"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1%</w:t>
            </w:r>
          </w:p>
        </w:tc>
      </w:tr>
      <w:tr w:rsidR="00FD20E8" w:rsidRPr="003C4F96" w14:paraId="65B8BE63" w14:textId="77777777" w:rsidTr="00197371">
        <w:trPr>
          <w:trHeight w:val="301"/>
          <w:jc w:val="center"/>
        </w:trPr>
        <w:tc>
          <w:tcPr>
            <w:tcW w:w="4273" w:type="dxa"/>
            <w:tcBorders>
              <w:right w:val="nil"/>
            </w:tcBorders>
            <w:shd w:val="clear" w:color="auto" w:fill="auto"/>
            <w:noWrap/>
            <w:hideMark/>
          </w:tcPr>
          <w:p w14:paraId="5D65A32D" w14:textId="77777777" w:rsidR="00A06DF1" w:rsidRPr="00117BF8" w:rsidRDefault="00A06DF1" w:rsidP="00FD20E8">
            <w:pPr>
              <w:pStyle w:val="TablaC"/>
              <w:jc w:val="left"/>
              <w:rPr>
                <w:rFonts w:ascii="Arial" w:hAnsi="Arial" w:cs="Arial"/>
                <w:bCs/>
                <w:sz w:val="18"/>
                <w:szCs w:val="18"/>
              </w:rPr>
            </w:pPr>
            <w:r w:rsidRPr="00117BF8">
              <w:rPr>
                <w:rFonts w:ascii="Arial" w:hAnsi="Arial" w:cs="Arial"/>
                <w:bCs/>
                <w:sz w:val="18"/>
                <w:szCs w:val="18"/>
              </w:rPr>
              <w:t>Servicios no personales</w:t>
            </w:r>
          </w:p>
        </w:tc>
        <w:tc>
          <w:tcPr>
            <w:tcW w:w="1058" w:type="dxa"/>
            <w:tcBorders>
              <w:left w:val="nil"/>
              <w:right w:val="nil"/>
            </w:tcBorders>
            <w:shd w:val="clear" w:color="auto" w:fill="auto"/>
            <w:noWrap/>
            <w:hideMark/>
          </w:tcPr>
          <w:p w14:paraId="1F31EE5C"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3%</w:t>
            </w:r>
          </w:p>
        </w:tc>
        <w:tc>
          <w:tcPr>
            <w:tcW w:w="1058" w:type="dxa"/>
            <w:tcBorders>
              <w:left w:val="nil"/>
              <w:right w:val="nil"/>
            </w:tcBorders>
            <w:shd w:val="clear" w:color="auto" w:fill="auto"/>
            <w:noWrap/>
            <w:hideMark/>
          </w:tcPr>
          <w:p w14:paraId="5992004F"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4%</w:t>
            </w:r>
          </w:p>
        </w:tc>
        <w:tc>
          <w:tcPr>
            <w:tcW w:w="1058" w:type="dxa"/>
            <w:tcBorders>
              <w:left w:val="nil"/>
              <w:right w:val="nil"/>
            </w:tcBorders>
            <w:shd w:val="clear" w:color="auto" w:fill="auto"/>
            <w:noWrap/>
            <w:hideMark/>
          </w:tcPr>
          <w:p w14:paraId="5122BC14"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4%</w:t>
            </w:r>
          </w:p>
        </w:tc>
        <w:tc>
          <w:tcPr>
            <w:tcW w:w="1058" w:type="dxa"/>
            <w:tcBorders>
              <w:left w:val="nil"/>
            </w:tcBorders>
            <w:shd w:val="clear" w:color="auto" w:fill="auto"/>
            <w:noWrap/>
            <w:hideMark/>
          </w:tcPr>
          <w:p w14:paraId="3C961BE4"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3%</w:t>
            </w:r>
          </w:p>
        </w:tc>
      </w:tr>
      <w:tr w:rsidR="00FD20E8" w:rsidRPr="003C4F96" w14:paraId="7AF8C848" w14:textId="77777777" w:rsidTr="00197371">
        <w:trPr>
          <w:trHeight w:val="301"/>
          <w:jc w:val="center"/>
        </w:trPr>
        <w:tc>
          <w:tcPr>
            <w:tcW w:w="4273" w:type="dxa"/>
            <w:tcBorders>
              <w:right w:val="nil"/>
            </w:tcBorders>
            <w:shd w:val="clear" w:color="auto" w:fill="D3DFEE"/>
            <w:noWrap/>
            <w:hideMark/>
          </w:tcPr>
          <w:p w14:paraId="7B6CBD85" w14:textId="77777777" w:rsidR="00A06DF1" w:rsidRPr="00117BF8" w:rsidRDefault="00A06DF1" w:rsidP="00FD20E8">
            <w:pPr>
              <w:pStyle w:val="TablaC"/>
              <w:jc w:val="left"/>
              <w:rPr>
                <w:rFonts w:ascii="Arial" w:hAnsi="Arial" w:cs="Arial"/>
                <w:bCs/>
                <w:sz w:val="18"/>
                <w:szCs w:val="18"/>
              </w:rPr>
            </w:pPr>
            <w:r w:rsidRPr="00117BF8">
              <w:rPr>
                <w:rFonts w:ascii="Arial" w:hAnsi="Arial" w:cs="Arial"/>
                <w:bCs/>
                <w:sz w:val="18"/>
                <w:szCs w:val="18"/>
              </w:rPr>
              <w:t>Bienes de uso</w:t>
            </w:r>
          </w:p>
        </w:tc>
        <w:tc>
          <w:tcPr>
            <w:tcW w:w="1058" w:type="dxa"/>
            <w:tcBorders>
              <w:left w:val="nil"/>
              <w:right w:val="nil"/>
            </w:tcBorders>
            <w:shd w:val="clear" w:color="auto" w:fill="D3DFEE"/>
            <w:noWrap/>
            <w:hideMark/>
          </w:tcPr>
          <w:p w14:paraId="15AF8431"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1%</w:t>
            </w:r>
          </w:p>
        </w:tc>
        <w:tc>
          <w:tcPr>
            <w:tcW w:w="1058" w:type="dxa"/>
            <w:tcBorders>
              <w:left w:val="nil"/>
              <w:right w:val="nil"/>
            </w:tcBorders>
            <w:shd w:val="clear" w:color="auto" w:fill="D3DFEE"/>
            <w:noWrap/>
            <w:hideMark/>
          </w:tcPr>
          <w:p w14:paraId="096EFC6F"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2%</w:t>
            </w:r>
          </w:p>
        </w:tc>
        <w:tc>
          <w:tcPr>
            <w:tcW w:w="1058" w:type="dxa"/>
            <w:tcBorders>
              <w:left w:val="nil"/>
              <w:right w:val="nil"/>
            </w:tcBorders>
            <w:shd w:val="clear" w:color="auto" w:fill="D3DFEE"/>
            <w:noWrap/>
            <w:hideMark/>
          </w:tcPr>
          <w:p w14:paraId="01D6DD62"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2%</w:t>
            </w:r>
          </w:p>
        </w:tc>
        <w:tc>
          <w:tcPr>
            <w:tcW w:w="1058" w:type="dxa"/>
            <w:tcBorders>
              <w:left w:val="nil"/>
            </w:tcBorders>
            <w:shd w:val="clear" w:color="auto" w:fill="D3DFEE"/>
            <w:noWrap/>
            <w:hideMark/>
          </w:tcPr>
          <w:p w14:paraId="2AF7AEC7"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2%</w:t>
            </w:r>
          </w:p>
        </w:tc>
      </w:tr>
      <w:tr w:rsidR="00FD20E8" w:rsidRPr="003C4F96" w14:paraId="6D34E46C" w14:textId="77777777" w:rsidTr="00197371">
        <w:trPr>
          <w:trHeight w:val="301"/>
          <w:jc w:val="center"/>
        </w:trPr>
        <w:tc>
          <w:tcPr>
            <w:tcW w:w="4273" w:type="dxa"/>
            <w:tcBorders>
              <w:right w:val="nil"/>
            </w:tcBorders>
            <w:shd w:val="clear" w:color="auto" w:fill="auto"/>
            <w:noWrap/>
            <w:hideMark/>
          </w:tcPr>
          <w:p w14:paraId="352867A5" w14:textId="77777777" w:rsidR="00A06DF1" w:rsidRPr="00117BF8" w:rsidRDefault="00A06DF1" w:rsidP="00FD20E8">
            <w:pPr>
              <w:pStyle w:val="TablaC"/>
              <w:jc w:val="left"/>
              <w:rPr>
                <w:rFonts w:ascii="Arial" w:hAnsi="Arial" w:cs="Arial"/>
                <w:bCs/>
                <w:sz w:val="18"/>
                <w:szCs w:val="18"/>
              </w:rPr>
            </w:pPr>
            <w:r w:rsidRPr="00117BF8">
              <w:rPr>
                <w:rFonts w:ascii="Arial" w:hAnsi="Arial" w:cs="Arial"/>
                <w:bCs/>
                <w:sz w:val="18"/>
                <w:szCs w:val="18"/>
              </w:rPr>
              <w:t>Transferencias</w:t>
            </w:r>
          </w:p>
        </w:tc>
        <w:tc>
          <w:tcPr>
            <w:tcW w:w="1058" w:type="dxa"/>
            <w:tcBorders>
              <w:left w:val="nil"/>
              <w:right w:val="nil"/>
            </w:tcBorders>
            <w:shd w:val="clear" w:color="auto" w:fill="auto"/>
            <w:noWrap/>
            <w:hideMark/>
          </w:tcPr>
          <w:p w14:paraId="6A1CF796"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40%</w:t>
            </w:r>
          </w:p>
        </w:tc>
        <w:tc>
          <w:tcPr>
            <w:tcW w:w="1058" w:type="dxa"/>
            <w:tcBorders>
              <w:left w:val="nil"/>
              <w:right w:val="nil"/>
            </w:tcBorders>
            <w:shd w:val="clear" w:color="auto" w:fill="auto"/>
            <w:noWrap/>
            <w:hideMark/>
          </w:tcPr>
          <w:p w14:paraId="74531CBE"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38%</w:t>
            </w:r>
          </w:p>
        </w:tc>
        <w:tc>
          <w:tcPr>
            <w:tcW w:w="1058" w:type="dxa"/>
            <w:tcBorders>
              <w:left w:val="nil"/>
              <w:right w:val="nil"/>
            </w:tcBorders>
            <w:shd w:val="clear" w:color="auto" w:fill="auto"/>
            <w:noWrap/>
            <w:hideMark/>
          </w:tcPr>
          <w:p w14:paraId="33828A67"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35%</w:t>
            </w:r>
          </w:p>
        </w:tc>
        <w:tc>
          <w:tcPr>
            <w:tcW w:w="1058" w:type="dxa"/>
            <w:tcBorders>
              <w:left w:val="nil"/>
            </w:tcBorders>
            <w:shd w:val="clear" w:color="auto" w:fill="auto"/>
            <w:noWrap/>
            <w:hideMark/>
          </w:tcPr>
          <w:p w14:paraId="3204621E"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39%</w:t>
            </w:r>
          </w:p>
        </w:tc>
      </w:tr>
      <w:tr w:rsidR="00FD20E8" w:rsidRPr="003C4F96" w14:paraId="458EC692" w14:textId="77777777" w:rsidTr="00197371">
        <w:trPr>
          <w:trHeight w:val="301"/>
          <w:jc w:val="center"/>
        </w:trPr>
        <w:tc>
          <w:tcPr>
            <w:tcW w:w="4273" w:type="dxa"/>
            <w:tcBorders>
              <w:right w:val="nil"/>
            </w:tcBorders>
            <w:shd w:val="clear" w:color="auto" w:fill="D3DFEE"/>
            <w:noWrap/>
            <w:hideMark/>
          </w:tcPr>
          <w:p w14:paraId="212C0709" w14:textId="77777777" w:rsidR="00A06DF1" w:rsidRPr="00117BF8" w:rsidRDefault="00A06DF1" w:rsidP="00FD20E8">
            <w:pPr>
              <w:pStyle w:val="TablaC"/>
              <w:jc w:val="left"/>
              <w:rPr>
                <w:rFonts w:ascii="Arial" w:hAnsi="Arial" w:cs="Arial"/>
                <w:bCs/>
                <w:sz w:val="18"/>
                <w:szCs w:val="18"/>
              </w:rPr>
            </w:pPr>
            <w:r w:rsidRPr="00117BF8">
              <w:rPr>
                <w:rFonts w:ascii="Arial" w:hAnsi="Arial" w:cs="Arial"/>
                <w:bCs/>
                <w:sz w:val="18"/>
                <w:szCs w:val="18"/>
              </w:rPr>
              <w:t>Activos financieros</w:t>
            </w:r>
          </w:p>
        </w:tc>
        <w:tc>
          <w:tcPr>
            <w:tcW w:w="1058" w:type="dxa"/>
            <w:tcBorders>
              <w:left w:val="nil"/>
              <w:right w:val="nil"/>
            </w:tcBorders>
            <w:shd w:val="clear" w:color="auto" w:fill="D3DFEE"/>
            <w:noWrap/>
            <w:hideMark/>
          </w:tcPr>
          <w:p w14:paraId="3116AB3A"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2%</w:t>
            </w:r>
          </w:p>
        </w:tc>
        <w:tc>
          <w:tcPr>
            <w:tcW w:w="1058" w:type="dxa"/>
            <w:tcBorders>
              <w:left w:val="nil"/>
              <w:right w:val="nil"/>
            </w:tcBorders>
            <w:shd w:val="clear" w:color="auto" w:fill="D3DFEE"/>
            <w:noWrap/>
            <w:hideMark/>
          </w:tcPr>
          <w:p w14:paraId="4DB3AA6F"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1%</w:t>
            </w:r>
          </w:p>
        </w:tc>
        <w:tc>
          <w:tcPr>
            <w:tcW w:w="1058" w:type="dxa"/>
            <w:tcBorders>
              <w:left w:val="nil"/>
              <w:right w:val="nil"/>
            </w:tcBorders>
            <w:shd w:val="clear" w:color="auto" w:fill="D3DFEE"/>
            <w:noWrap/>
            <w:hideMark/>
          </w:tcPr>
          <w:p w14:paraId="009E406A"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2%</w:t>
            </w:r>
          </w:p>
        </w:tc>
        <w:tc>
          <w:tcPr>
            <w:tcW w:w="1058" w:type="dxa"/>
            <w:tcBorders>
              <w:left w:val="nil"/>
            </w:tcBorders>
            <w:shd w:val="clear" w:color="auto" w:fill="D3DFEE"/>
            <w:noWrap/>
            <w:hideMark/>
          </w:tcPr>
          <w:p w14:paraId="5219DF0D"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3%</w:t>
            </w:r>
          </w:p>
        </w:tc>
      </w:tr>
      <w:tr w:rsidR="00FD20E8" w:rsidRPr="003C4F96" w14:paraId="289E3789" w14:textId="77777777" w:rsidTr="00197371">
        <w:trPr>
          <w:trHeight w:val="301"/>
          <w:jc w:val="center"/>
        </w:trPr>
        <w:tc>
          <w:tcPr>
            <w:tcW w:w="4273" w:type="dxa"/>
            <w:tcBorders>
              <w:right w:val="nil"/>
            </w:tcBorders>
            <w:shd w:val="clear" w:color="auto" w:fill="auto"/>
            <w:noWrap/>
            <w:hideMark/>
          </w:tcPr>
          <w:p w14:paraId="1164B3F8" w14:textId="77777777" w:rsidR="00A06DF1" w:rsidRPr="00117BF8" w:rsidRDefault="00A06DF1" w:rsidP="00FD20E8">
            <w:pPr>
              <w:pStyle w:val="TablaC"/>
              <w:jc w:val="left"/>
              <w:rPr>
                <w:rFonts w:ascii="Arial" w:hAnsi="Arial" w:cs="Arial"/>
                <w:bCs/>
                <w:sz w:val="18"/>
                <w:szCs w:val="18"/>
                <w:lang w:val="es-ES_tradnl"/>
              </w:rPr>
            </w:pPr>
            <w:r w:rsidRPr="00117BF8">
              <w:rPr>
                <w:rFonts w:ascii="Arial" w:hAnsi="Arial" w:cs="Arial"/>
                <w:bCs/>
                <w:sz w:val="18"/>
                <w:szCs w:val="18"/>
                <w:lang w:val="es-ES_tradnl"/>
              </w:rPr>
              <w:t>Scio. de la deuda y dismin. de otros pasivos</w:t>
            </w:r>
          </w:p>
        </w:tc>
        <w:tc>
          <w:tcPr>
            <w:tcW w:w="1058" w:type="dxa"/>
            <w:tcBorders>
              <w:left w:val="nil"/>
              <w:right w:val="nil"/>
            </w:tcBorders>
            <w:shd w:val="clear" w:color="auto" w:fill="auto"/>
            <w:noWrap/>
            <w:hideMark/>
          </w:tcPr>
          <w:p w14:paraId="5F58FE45"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8%</w:t>
            </w:r>
          </w:p>
        </w:tc>
        <w:tc>
          <w:tcPr>
            <w:tcW w:w="1058" w:type="dxa"/>
            <w:tcBorders>
              <w:left w:val="nil"/>
              <w:right w:val="nil"/>
            </w:tcBorders>
            <w:shd w:val="clear" w:color="auto" w:fill="auto"/>
            <w:noWrap/>
            <w:hideMark/>
          </w:tcPr>
          <w:p w14:paraId="741F7A59"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8%</w:t>
            </w:r>
          </w:p>
        </w:tc>
        <w:tc>
          <w:tcPr>
            <w:tcW w:w="1058" w:type="dxa"/>
            <w:tcBorders>
              <w:left w:val="nil"/>
              <w:right w:val="nil"/>
            </w:tcBorders>
            <w:shd w:val="clear" w:color="auto" w:fill="auto"/>
            <w:noWrap/>
            <w:hideMark/>
          </w:tcPr>
          <w:p w14:paraId="76A5AE00"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9%</w:t>
            </w:r>
          </w:p>
        </w:tc>
        <w:tc>
          <w:tcPr>
            <w:tcW w:w="1058" w:type="dxa"/>
            <w:tcBorders>
              <w:left w:val="nil"/>
            </w:tcBorders>
            <w:shd w:val="clear" w:color="auto" w:fill="auto"/>
            <w:noWrap/>
            <w:hideMark/>
          </w:tcPr>
          <w:p w14:paraId="4D113800"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7%</w:t>
            </w:r>
          </w:p>
        </w:tc>
      </w:tr>
      <w:tr w:rsidR="00FD20E8" w:rsidRPr="003C4F96" w14:paraId="6EA0A1FA" w14:textId="77777777" w:rsidTr="00197371">
        <w:trPr>
          <w:trHeight w:val="301"/>
          <w:jc w:val="center"/>
        </w:trPr>
        <w:tc>
          <w:tcPr>
            <w:tcW w:w="4273" w:type="dxa"/>
            <w:tcBorders>
              <w:right w:val="nil"/>
            </w:tcBorders>
            <w:shd w:val="clear" w:color="auto" w:fill="D3DFEE"/>
            <w:noWrap/>
            <w:hideMark/>
          </w:tcPr>
          <w:p w14:paraId="58C54CF3" w14:textId="77777777" w:rsidR="00A06DF1" w:rsidRPr="00117BF8" w:rsidRDefault="00A06DF1" w:rsidP="00FD20E8">
            <w:pPr>
              <w:pStyle w:val="TablaC"/>
              <w:jc w:val="left"/>
              <w:rPr>
                <w:rFonts w:ascii="Arial" w:hAnsi="Arial" w:cs="Arial"/>
                <w:bCs/>
                <w:sz w:val="18"/>
                <w:szCs w:val="18"/>
              </w:rPr>
            </w:pPr>
            <w:r w:rsidRPr="00117BF8">
              <w:rPr>
                <w:rFonts w:ascii="Arial" w:hAnsi="Arial" w:cs="Arial"/>
                <w:bCs/>
                <w:sz w:val="18"/>
                <w:szCs w:val="18"/>
              </w:rPr>
              <w:t>Otros gastos</w:t>
            </w:r>
          </w:p>
        </w:tc>
        <w:tc>
          <w:tcPr>
            <w:tcW w:w="1058" w:type="dxa"/>
            <w:tcBorders>
              <w:left w:val="nil"/>
              <w:right w:val="nil"/>
            </w:tcBorders>
            <w:shd w:val="clear" w:color="auto" w:fill="D3DFEE"/>
            <w:noWrap/>
            <w:hideMark/>
          </w:tcPr>
          <w:p w14:paraId="2425D960"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0%</w:t>
            </w:r>
          </w:p>
        </w:tc>
        <w:tc>
          <w:tcPr>
            <w:tcW w:w="1058" w:type="dxa"/>
            <w:tcBorders>
              <w:left w:val="nil"/>
              <w:right w:val="nil"/>
            </w:tcBorders>
            <w:shd w:val="clear" w:color="auto" w:fill="D3DFEE"/>
            <w:noWrap/>
            <w:hideMark/>
          </w:tcPr>
          <w:p w14:paraId="5B10FC35"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0%</w:t>
            </w:r>
          </w:p>
        </w:tc>
        <w:tc>
          <w:tcPr>
            <w:tcW w:w="1058" w:type="dxa"/>
            <w:tcBorders>
              <w:left w:val="nil"/>
              <w:right w:val="nil"/>
            </w:tcBorders>
            <w:shd w:val="clear" w:color="auto" w:fill="D3DFEE"/>
            <w:noWrap/>
            <w:hideMark/>
          </w:tcPr>
          <w:p w14:paraId="35A87045"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0%</w:t>
            </w:r>
          </w:p>
        </w:tc>
        <w:tc>
          <w:tcPr>
            <w:tcW w:w="1058" w:type="dxa"/>
            <w:tcBorders>
              <w:left w:val="nil"/>
            </w:tcBorders>
            <w:shd w:val="clear" w:color="auto" w:fill="D3DFEE"/>
            <w:noWrap/>
            <w:hideMark/>
          </w:tcPr>
          <w:p w14:paraId="19E7D9F1" w14:textId="77777777" w:rsidR="00A06DF1" w:rsidRPr="00117BF8" w:rsidRDefault="00A06DF1" w:rsidP="00A06DF1">
            <w:pPr>
              <w:pStyle w:val="TablaC"/>
              <w:rPr>
                <w:rFonts w:ascii="Arial" w:hAnsi="Arial" w:cs="Arial"/>
                <w:sz w:val="18"/>
                <w:szCs w:val="18"/>
              </w:rPr>
            </w:pPr>
            <w:r w:rsidRPr="00117BF8">
              <w:rPr>
                <w:rFonts w:ascii="Arial" w:hAnsi="Arial" w:cs="Arial"/>
                <w:sz w:val="18"/>
                <w:szCs w:val="18"/>
              </w:rPr>
              <w:t>0%</w:t>
            </w:r>
          </w:p>
        </w:tc>
      </w:tr>
      <w:tr w:rsidR="00FD20E8" w:rsidRPr="003C4F96" w14:paraId="5FAE4675" w14:textId="77777777" w:rsidTr="00197371">
        <w:trPr>
          <w:trHeight w:val="301"/>
          <w:jc w:val="center"/>
        </w:trPr>
        <w:tc>
          <w:tcPr>
            <w:tcW w:w="4273" w:type="dxa"/>
            <w:tcBorders>
              <w:right w:val="nil"/>
            </w:tcBorders>
            <w:shd w:val="clear" w:color="auto" w:fill="auto"/>
            <w:noWrap/>
            <w:hideMark/>
          </w:tcPr>
          <w:p w14:paraId="2372F333" w14:textId="77777777" w:rsidR="00A06DF1" w:rsidRPr="00117BF8" w:rsidRDefault="00A06DF1" w:rsidP="00FD20E8">
            <w:pPr>
              <w:pStyle w:val="TablaC"/>
              <w:jc w:val="left"/>
              <w:rPr>
                <w:rFonts w:ascii="Arial" w:hAnsi="Arial" w:cs="Arial"/>
                <w:b/>
                <w:bCs/>
                <w:sz w:val="18"/>
                <w:szCs w:val="18"/>
              </w:rPr>
            </w:pPr>
            <w:r w:rsidRPr="00117BF8">
              <w:rPr>
                <w:rFonts w:ascii="Arial" w:hAnsi="Arial" w:cs="Arial"/>
                <w:b/>
                <w:bCs/>
                <w:sz w:val="18"/>
                <w:szCs w:val="18"/>
              </w:rPr>
              <w:t>Total</w:t>
            </w:r>
          </w:p>
        </w:tc>
        <w:tc>
          <w:tcPr>
            <w:tcW w:w="1058" w:type="dxa"/>
            <w:tcBorders>
              <w:left w:val="nil"/>
              <w:right w:val="nil"/>
            </w:tcBorders>
            <w:shd w:val="clear" w:color="auto" w:fill="auto"/>
            <w:noWrap/>
            <w:hideMark/>
          </w:tcPr>
          <w:p w14:paraId="0BE8BD47" w14:textId="77777777" w:rsidR="00A06DF1" w:rsidRPr="00117BF8" w:rsidRDefault="00A06DF1" w:rsidP="00A06DF1">
            <w:pPr>
              <w:pStyle w:val="TablaC"/>
              <w:rPr>
                <w:rFonts w:ascii="Arial" w:hAnsi="Arial" w:cs="Arial"/>
                <w:b/>
                <w:sz w:val="18"/>
                <w:szCs w:val="18"/>
              </w:rPr>
            </w:pPr>
            <w:r w:rsidRPr="00117BF8">
              <w:rPr>
                <w:rFonts w:ascii="Arial" w:hAnsi="Arial" w:cs="Arial"/>
                <w:b/>
                <w:sz w:val="18"/>
                <w:szCs w:val="18"/>
              </w:rPr>
              <w:t>100%</w:t>
            </w:r>
          </w:p>
        </w:tc>
        <w:tc>
          <w:tcPr>
            <w:tcW w:w="1058" w:type="dxa"/>
            <w:tcBorders>
              <w:left w:val="nil"/>
              <w:right w:val="nil"/>
            </w:tcBorders>
            <w:shd w:val="clear" w:color="auto" w:fill="auto"/>
            <w:noWrap/>
            <w:hideMark/>
          </w:tcPr>
          <w:p w14:paraId="7AB206C9" w14:textId="77777777" w:rsidR="00A06DF1" w:rsidRPr="00117BF8" w:rsidRDefault="00A06DF1" w:rsidP="00A06DF1">
            <w:pPr>
              <w:pStyle w:val="TablaC"/>
              <w:rPr>
                <w:rFonts w:ascii="Arial" w:hAnsi="Arial" w:cs="Arial"/>
                <w:b/>
                <w:sz w:val="18"/>
                <w:szCs w:val="18"/>
              </w:rPr>
            </w:pPr>
            <w:r w:rsidRPr="00117BF8">
              <w:rPr>
                <w:rFonts w:ascii="Arial" w:hAnsi="Arial" w:cs="Arial"/>
                <w:b/>
                <w:sz w:val="18"/>
                <w:szCs w:val="18"/>
              </w:rPr>
              <w:t>100%</w:t>
            </w:r>
          </w:p>
        </w:tc>
        <w:tc>
          <w:tcPr>
            <w:tcW w:w="1058" w:type="dxa"/>
            <w:tcBorders>
              <w:left w:val="nil"/>
              <w:right w:val="nil"/>
            </w:tcBorders>
            <w:shd w:val="clear" w:color="auto" w:fill="auto"/>
            <w:noWrap/>
            <w:hideMark/>
          </w:tcPr>
          <w:p w14:paraId="1ABB3D7D" w14:textId="77777777" w:rsidR="00A06DF1" w:rsidRPr="00117BF8" w:rsidRDefault="00A06DF1" w:rsidP="00A06DF1">
            <w:pPr>
              <w:pStyle w:val="TablaC"/>
              <w:rPr>
                <w:rFonts w:ascii="Arial" w:hAnsi="Arial" w:cs="Arial"/>
                <w:b/>
                <w:sz w:val="18"/>
                <w:szCs w:val="18"/>
              </w:rPr>
            </w:pPr>
            <w:r w:rsidRPr="00117BF8">
              <w:rPr>
                <w:rFonts w:ascii="Arial" w:hAnsi="Arial" w:cs="Arial"/>
                <w:b/>
                <w:sz w:val="18"/>
                <w:szCs w:val="18"/>
              </w:rPr>
              <w:t>100%</w:t>
            </w:r>
          </w:p>
        </w:tc>
        <w:tc>
          <w:tcPr>
            <w:tcW w:w="1058" w:type="dxa"/>
            <w:tcBorders>
              <w:left w:val="nil"/>
            </w:tcBorders>
            <w:shd w:val="clear" w:color="auto" w:fill="auto"/>
            <w:noWrap/>
            <w:hideMark/>
          </w:tcPr>
          <w:p w14:paraId="1C32B09D" w14:textId="77777777" w:rsidR="00A06DF1" w:rsidRPr="00117BF8" w:rsidRDefault="00A06DF1" w:rsidP="00A06DF1">
            <w:pPr>
              <w:pStyle w:val="TablaC"/>
              <w:rPr>
                <w:rFonts w:ascii="Arial" w:hAnsi="Arial" w:cs="Arial"/>
                <w:b/>
                <w:sz w:val="18"/>
                <w:szCs w:val="18"/>
              </w:rPr>
            </w:pPr>
            <w:r w:rsidRPr="00117BF8">
              <w:rPr>
                <w:rFonts w:ascii="Arial" w:hAnsi="Arial" w:cs="Arial"/>
                <w:b/>
                <w:sz w:val="18"/>
                <w:szCs w:val="18"/>
              </w:rPr>
              <w:t>100%</w:t>
            </w:r>
          </w:p>
        </w:tc>
      </w:tr>
    </w:tbl>
    <w:p w14:paraId="3BD1E506" w14:textId="77777777" w:rsidR="001B357A" w:rsidRPr="00117BF8" w:rsidRDefault="001B357A" w:rsidP="001B357A">
      <w:pPr>
        <w:pStyle w:val="Hfuente"/>
        <w:rPr>
          <w:rFonts w:ascii="Arial" w:hAnsi="Arial" w:cs="Arial"/>
          <w:sz w:val="18"/>
          <w:szCs w:val="18"/>
        </w:rPr>
      </w:pPr>
      <w:r w:rsidRPr="00117BF8">
        <w:rPr>
          <w:rFonts w:ascii="Arial" w:hAnsi="Arial" w:cs="Arial"/>
          <w:sz w:val="18"/>
          <w:szCs w:val="18"/>
        </w:rPr>
        <w:t>Elaboración propia sobre datos de la CGPBA.</w:t>
      </w:r>
    </w:p>
    <w:p w14:paraId="7E4BEDF1" w14:textId="77777777" w:rsidR="004C072B" w:rsidRPr="00117BF8" w:rsidRDefault="004C072B" w:rsidP="004C072B">
      <w:pPr>
        <w:pStyle w:val="hsa"/>
        <w:rPr>
          <w:rFonts w:ascii="Arial" w:eastAsia="Calibri" w:hAnsi="Arial" w:cs="Arial"/>
          <w:sz w:val="22"/>
          <w:szCs w:val="22"/>
        </w:rPr>
      </w:pPr>
      <w:r w:rsidRPr="00117BF8">
        <w:rPr>
          <w:rFonts w:ascii="Arial" w:eastAsia="Calibri" w:hAnsi="Arial" w:cs="Arial"/>
          <w:sz w:val="22"/>
          <w:szCs w:val="22"/>
        </w:rPr>
        <w:t>Entre el 2103 y 2016 el ga</w:t>
      </w:r>
      <w:r w:rsidR="006E0974" w:rsidRPr="00117BF8">
        <w:rPr>
          <w:rFonts w:ascii="Arial" w:eastAsia="Calibri" w:hAnsi="Arial" w:cs="Arial"/>
          <w:sz w:val="22"/>
          <w:szCs w:val="22"/>
        </w:rPr>
        <w:t>s</w:t>
      </w:r>
      <w:r w:rsidRPr="00117BF8">
        <w:rPr>
          <w:rFonts w:ascii="Arial" w:eastAsia="Calibri" w:hAnsi="Arial" w:cs="Arial"/>
          <w:sz w:val="22"/>
          <w:szCs w:val="22"/>
        </w:rPr>
        <w:t xml:space="preserve">to total se incrementó en 180%, los principales rubros del gasto lo hicieron levemente por debajo de este porcentaje (Personal 173%, Transferencias 179% y Servicio de la deuda 165%), muy por encima del crecimiento promedio lo hicieron Activos Financieros 426% y Bienes de Uso 334%. El gráfico </w:t>
      </w:r>
      <w:r w:rsidR="00B519F3" w:rsidRPr="00117BF8">
        <w:rPr>
          <w:rFonts w:ascii="Arial" w:eastAsia="Calibri" w:hAnsi="Arial" w:cs="Arial"/>
          <w:sz w:val="22"/>
          <w:szCs w:val="22"/>
        </w:rPr>
        <w:t>7</w:t>
      </w:r>
      <w:r w:rsidRPr="00117BF8">
        <w:rPr>
          <w:rFonts w:ascii="Arial" w:eastAsia="Calibri" w:hAnsi="Arial" w:cs="Arial"/>
          <w:sz w:val="22"/>
          <w:szCs w:val="22"/>
        </w:rPr>
        <w:t xml:space="preserve"> ilustra esta evolución.</w:t>
      </w:r>
    </w:p>
    <w:p w14:paraId="41F443CA" w14:textId="77777777" w:rsidR="007951C2" w:rsidRPr="00117BF8" w:rsidRDefault="007951C2" w:rsidP="00117BF8">
      <w:pPr>
        <w:pStyle w:val="hsa3"/>
        <w:spacing w:after="120"/>
        <w:jc w:val="center"/>
        <w:rPr>
          <w:rFonts w:ascii="Arial" w:eastAsia="Calibri" w:hAnsi="Arial" w:cs="Arial"/>
          <w:sz w:val="20"/>
        </w:rPr>
      </w:pPr>
      <w:bookmarkStart w:id="51" w:name="_Toc493781698"/>
      <w:r w:rsidRPr="00117BF8">
        <w:rPr>
          <w:rFonts w:ascii="Arial" w:eastAsia="Calibri" w:hAnsi="Arial" w:cs="Arial"/>
          <w:sz w:val="20"/>
        </w:rPr>
        <w:t xml:space="preserve">Gráfico </w:t>
      </w:r>
      <w:r w:rsidR="00B519F3" w:rsidRPr="00117BF8">
        <w:rPr>
          <w:rFonts w:ascii="Arial" w:eastAsia="Calibri" w:hAnsi="Arial" w:cs="Arial"/>
          <w:sz w:val="20"/>
        </w:rPr>
        <w:t>7</w:t>
      </w:r>
      <w:r w:rsidRPr="00117BF8">
        <w:rPr>
          <w:rFonts w:ascii="Arial" w:eastAsia="Calibri" w:hAnsi="Arial" w:cs="Arial"/>
          <w:sz w:val="20"/>
        </w:rPr>
        <w:t xml:space="preserve"> – Evolución de los Componentes del Gasto – 2013 = 100</w:t>
      </w:r>
      <w:bookmarkEnd w:id="51"/>
    </w:p>
    <w:p w14:paraId="38FB92A4" w14:textId="12E76668" w:rsidR="001B357A" w:rsidRPr="00117BF8" w:rsidRDefault="00117BF8" w:rsidP="00117BF8">
      <w:pPr>
        <w:pStyle w:val="hsa"/>
        <w:jc w:val="left"/>
        <w:rPr>
          <w:rFonts w:ascii="Arial" w:hAnsi="Arial" w:cs="Arial"/>
          <w:sz w:val="18"/>
          <w:szCs w:val="18"/>
        </w:rPr>
      </w:pPr>
      <w:r w:rsidRPr="00117BF8">
        <w:rPr>
          <w:rFonts w:ascii="Arial" w:eastAsia="Calibri" w:hAnsi="Arial" w:cs="Arial"/>
        </w:rPr>
        <w:pict w14:anchorId="2BBC64D6">
          <v:shape id="_x0000_i1037" type="#_x0000_t75" style="width:424.5pt;height:276.75pt">
            <v:imagedata r:id="rId34" o:title=""/>
          </v:shape>
        </w:pict>
      </w:r>
      <w:r w:rsidR="001B357A" w:rsidRPr="00117BF8">
        <w:rPr>
          <w:rFonts w:ascii="Arial" w:hAnsi="Arial" w:cs="Arial"/>
          <w:sz w:val="18"/>
          <w:szCs w:val="18"/>
        </w:rPr>
        <w:t>Elaboración propia sobre datos de la CGPBA.</w:t>
      </w:r>
    </w:p>
    <w:p w14:paraId="263578C5" w14:textId="77777777" w:rsidR="00180E36" w:rsidRPr="004E6455" w:rsidRDefault="00180E36">
      <w:pPr>
        <w:pStyle w:val="Heading3"/>
      </w:pPr>
      <w:bookmarkStart w:id="52" w:name="_Toc494040318"/>
      <w:r w:rsidRPr="004E6455">
        <w:t>Clasificación por Finalidad y Función</w:t>
      </w:r>
      <w:bookmarkEnd w:id="52"/>
    </w:p>
    <w:p w14:paraId="6C66D336" w14:textId="399C1BF0" w:rsidR="00180E36" w:rsidRPr="00117BF8" w:rsidRDefault="00180E36" w:rsidP="00180E36">
      <w:pPr>
        <w:pStyle w:val="hsa"/>
        <w:rPr>
          <w:rFonts w:ascii="Arial" w:eastAsia="Calibri" w:hAnsi="Arial" w:cs="Arial"/>
          <w:sz w:val="22"/>
          <w:szCs w:val="22"/>
        </w:rPr>
      </w:pPr>
      <w:r w:rsidRPr="00117BF8">
        <w:rPr>
          <w:rFonts w:ascii="Arial" w:eastAsia="Calibri" w:hAnsi="Arial" w:cs="Arial"/>
          <w:sz w:val="22"/>
          <w:szCs w:val="22"/>
        </w:rPr>
        <w:t xml:space="preserve">Los gastos, su evolución y participación por finalidad y función se detallan en </w:t>
      </w:r>
      <w:r w:rsidR="00D2709C" w:rsidRPr="00117BF8">
        <w:rPr>
          <w:rFonts w:ascii="Arial" w:eastAsia="Calibri" w:hAnsi="Arial" w:cs="Arial"/>
          <w:sz w:val="22"/>
          <w:szCs w:val="22"/>
        </w:rPr>
        <w:t xml:space="preserve">la Tabla A III – 8. </w:t>
      </w:r>
      <w:r w:rsidRPr="00117BF8">
        <w:rPr>
          <w:rFonts w:ascii="Arial" w:eastAsia="Calibri" w:hAnsi="Arial" w:cs="Arial"/>
          <w:sz w:val="22"/>
          <w:szCs w:val="22"/>
        </w:rPr>
        <w:t xml:space="preserve">El promedio de participación por finalidad de los últimos cuatro años se </w:t>
      </w:r>
      <w:r w:rsidR="00D2709C" w:rsidRPr="00117BF8">
        <w:rPr>
          <w:rFonts w:ascii="Arial" w:eastAsia="Calibri" w:hAnsi="Arial" w:cs="Arial"/>
          <w:sz w:val="22"/>
          <w:szCs w:val="22"/>
        </w:rPr>
        <w:t xml:space="preserve">indica </w:t>
      </w:r>
      <w:r w:rsidRPr="00117BF8">
        <w:rPr>
          <w:rFonts w:ascii="Arial" w:eastAsia="Calibri" w:hAnsi="Arial" w:cs="Arial"/>
          <w:sz w:val="22"/>
          <w:szCs w:val="22"/>
        </w:rPr>
        <w:t xml:space="preserve">en la tabla </w:t>
      </w:r>
      <w:r w:rsidR="00D2709C" w:rsidRPr="00117BF8">
        <w:rPr>
          <w:rFonts w:ascii="Arial" w:eastAsia="Calibri" w:hAnsi="Arial" w:cs="Arial"/>
          <w:sz w:val="22"/>
          <w:szCs w:val="22"/>
        </w:rPr>
        <w:t>17</w:t>
      </w:r>
      <w:r w:rsidRPr="00117BF8">
        <w:rPr>
          <w:rFonts w:ascii="Arial" w:eastAsia="Calibri" w:hAnsi="Arial" w:cs="Arial"/>
          <w:sz w:val="22"/>
          <w:szCs w:val="22"/>
        </w:rPr>
        <w:t>. El principal componente del gasto es Servicio</w:t>
      </w:r>
      <w:r w:rsidR="00B811F7" w:rsidRPr="00117BF8">
        <w:rPr>
          <w:rFonts w:ascii="Arial" w:eastAsia="Calibri" w:hAnsi="Arial" w:cs="Arial"/>
          <w:sz w:val="22"/>
          <w:szCs w:val="22"/>
        </w:rPr>
        <w:t xml:space="preserve"> Sociales que ha tenido una leve</w:t>
      </w:r>
      <w:r w:rsidRPr="00117BF8">
        <w:rPr>
          <w:rFonts w:ascii="Arial" w:eastAsia="Calibri" w:hAnsi="Arial" w:cs="Arial"/>
          <w:sz w:val="22"/>
          <w:szCs w:val="22"/>
        </w:rPr>
        <w:t xml:space="preserve"> declinación (2013: 59%, 2016: 56%), la Administración Gubernamental ha oscilado en valores similares al 21%, en tercer </w:t>
      </w:r>
      <w:r w:rsidR="00375461" w:rsidRPr="003C4F96">
        <w:rPr>
          <w:rFonts w:ascii="Arial" w:eastAsia="Calibri" w:hAnsi="Arial" w:cs="Arial"/>
          <w:sz w:val="22"/>
          <w:szCs w:val="22"/>
        </w:rPr>
        <w:t>lugar,</w:t>
      </w:r>
      <w:r w:rsidRPr="00117BF8">
        <w:rPr>
          <w:rFonts w:ascii="Arial" w:eastAsia="Calibri" w:hAnsi="Arial" w:cs="Arial"/>
          <w:sz w:val="22"/>
          <w:szCs w:val="22"/>
        </w:rPr>
        <w:t xml:space="preserve"> se ubican los Servicios de Seguridad (11% en promedio) con tendencia creciente del 9 al 12%. Deuda </w:t>
      </w:r>
      <w:r w:rsidR="006E0974" w:rsidRPr="00117BF8">
        <w:rPr>
          <w:rFonts w:ascii="Arial" w:eastAsia="Calibri" w:hAnsi="Arial" w:cs="Arial"/>
          <w:sz w:val="22"/>
          <w:szCs w:val="22"/>
        </w:rPr>
        <w:t>pública 8% y Servicios Económico</w:t>
      </w:r>
      <w:r w:rsidRPr="00117BF8">
        <w:rPr>
          <w:rFonts w:ascii="Arial" w:eastAsia="Calibri" w:hAnsi="Arial" w:cs="Arial"/>
          <w:sz w:val="22"/>
          <w:szCs w:val="22"/>
        </w:rPr>
        <w:t xml:space="preserve">s 3% </w:t>
      </w:r>
      <w:r w:rsidR="000E2F2E" w:rsidRPr="00117BF8">
        <w:rPr>
          <w:rFonts w:ascii="Arial" w:eastAsia="Calibri" w:hAnsi="Arial" w:cs="Arial"/>
          <w:sz w:val="22"/>
          <w:szCs w:val="22"/>
        </w:rPr>
        <w:t>han tenido un comportamiento estable.</w:t>
      </w:r>
    </w:p>
    <w:tbl>
      <w:tblPr>
        <w:tblW w:w="520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602"/>
        <w:gridCol w:w="1598"/>
      </w:tblGrid>
      <w:tr w:rsidR="002363E0" w:rsidRPr="003C4F96" w14:paraId="7738DE90" w14:textId="77777777" w:rsidTr="00C007D0">
        <w:trPr>
          <w:trHeight w:val="300"/>
          <w:jc w:val="center"/>
        </w:trPr>
        <w:tc>
          <w:tcPr>
            <w:tcW w:w="5200" w:type="dxa"/>
            <w:gridSpan w:val="2"/>
            <w:tcBorders>
              <w:top w:val="single" w:sz="8" w:space="0" w:color="7BA0CD"/>
              <w:left w:val="single" w:sz="8" w:space="0" w:color="7BA0CD"/>
              <w:bottom w:val="single" w:sz="8" w:space="0" w:color="7BA0CD"/>
              <w:right w:val="single" w:sz="8" w:space="0" w:color="7BA0CD"/>
            </w:tcBorders>
            <w:shd w:val="clear" w:color="auto" w:fill="0070C0"/>
          </w:tcPr>
          <w:p w14:paraId="3FC1C0EB" w14:textId="77777777" w:rsidR="002363E0" w:rsidRPr="00117BF8" w:rsidRDefault="002363E0" w:rsidP="001B357A">
            <w:pPr>
              <w:pStyle w:val="TablaT"/>
              <w:rPr>
                <w:rFonts w:ascii="Arial" w:hAnsi="Arial" w:cs="Arial"/>
                <w:bCs/>
                <w:sz w:val="22"/>
                <w:szCs w:val="22"/>
                <w:lang w:val="es-ES_tradnl"/>
              </w:rPr>
            </w:pPr>
            <w:bookmarkStart w:id="53" w:name="_Toc493861127"/>
            <w:r w:rsidRPr="00117BF8">
              <w:rPr>
                <w:rFonts w:ascii="Arial" w:hAnsi="Arial" w:cs="Arial"/>
                <w:bCs/>
                <w:sz w:val="22"/>
                <w:szCs w:val="22"/>
                <w:lang w:val="es-ES_tradnl"/>
              </w:rPr>
              <w:t xml:space="preserve">Tabla </w:t>
            </w:r>
            <w:r w:rsidR="001B357A" w:rsidRPr="00117BF8">
              <w:rPr>
                <w:rFonts w:ascii="Arial" w:hAnsi="Arial" w:cs="Arial"/>
                <w:bCs/>
                <w:sz w:val="22"/>
                <w:szCs w:val="22"/>
                <w:lang w:val="es-ES_tradnl"/>
              </w:rPr>
              <w:t>17</w:t>
            </w:r>
            <w:r w:rsidRPr="00117BF8">
              <w:rPr>
                <w:rFonts w:ascii="Arial" w:hAnsi="Arial" w:cs="Arial"/>
                <w:bCs/>
                <w:sz w:val="22"/>
                <w:szCs w:val="22"/>
                <w:lang w:val="es-ES_tradnl"/>
              </w:rPr>
              <w:t xml:space="preserve"> – Participación en el Gasto por Finalidad</w:t>
            </w:r>
            <w:bookmarkEnd w:id="53"/>
          </w:p>
          <w:p w14:paraId="0712CC6B" w14:textId="77777777" w:rsidR="002363E0" w:rsidRPr="00117BF8" w:rsidRDefault="002363E0" w:rsidP="002363E0">
            <w:pPr>
              <w:pStyle w:val="TablaC"/>
              <w:rPr>
                <w:rFonts w:ascii="Arial" w:hAnsi="Arial" w:cs="Arial"/>
                <w:bCs/>
                <w:color w:val="FFFFFF"/>
                <w:szCs w:val="22"/>
              </w:rPr>
            </w:pPr>
            <w:r w:rsidRPr="00117BF8">
              <w:rPr>
                <w:rFonts w:ascii="Arial" w:hAnsi="Arial" w:cs="Arial"/>
                <w:bCs/>
                <w:color w:val="FFFFFF"/>
                <w:szCs w:val="22"/>
              </w:rPr>
              <w:t>Promedio 2013/2016</w:t>
            </w:r>
          </w:p>
        </w:tc>
      </w:tr>
      <w:tr w:rsidR="00180E36" w:rsidRPr="003C4F96" w14:paraId="226ADE0A" w14:textId="77777777" w:rsidTr="00C007D0">
        <w:trPr>
          <w:trHeight w:val="300"/>
          <w:jc w:val="center"/>
        </w:trPr>
        <w:tc>
          <w:tcPr>
            <w:tcW w:w="3686" w:type="dxa"/>
            <w:tcBorders>
              <w:right w:val="nil"/>
            </w:tcBorders>
            <w:shd w:val="clear" w:color="auto" w:fill="0070C0"/>
            <w:hideMark/>
          </w:tcPr>
          <w:p w14:paraId="5BBF3545" w14:textId="77777777" w:rsidR="00180E36" w:rsidRPr="00117BF8" w:rsidRDefault="002363E0" w:rsidP="002363E0">
            <w:pPr>
              <w:pStyle w:val="TablaE"/>
              <w:rPr>
                <w:rFonts w:ascii="Arial" w:hAnsi="Arial" w:cs="Arial"/>
                <w:bCs/>
              </w:rPr>
            </w:pPr>
            <w:r w:rsidRPr="00117BF8">
              <w:rPr>
                <w:rFonts w:ascii="Arial" w:hAnsi="Arial" w:cs="Arial"/>
                <w:bCs/>
                <w:sz w:val="22"/>
                <w:szCs w:val="22"/>
              </w:rPr>
              <w:t>Finalidad</w:t>
            </w:r>
          </w:p>
        </w:tc>
        <w:tc>
          <w:tcPr>
            <w:tcW w:w="1514" w:type="dxa"/>
            <w:tcBorders>
              <w:left w:val="nil"/>
            </w:tcBorders>
            <w:shd w:val="clear" w:color="auto" w:fill="0070C0"/>
            <w:noWrap/>
            <w:hideMark/>
          </w:tcPr>
          <w:p w14:paraId="516B74C1" w14:textId="77777777" w:rsidR="00180E36" w:rsidRPr="00117BF8" w:rsidRDefault="002363E0" w:rsidP="002363E0">
            <w:pPr>
              <w:pStyle w:val="TablaE"/>
              <w:rPr>
                <w:rFonts w:ascii="Arial" w:hAnsi="Arial" w:cs="Arial"/>
                <w:bCs/>
                <w:sz w:val="22"/>
                <w:szCs w:val="22"/>
              </w:rPr>
            </w:pPr>
            <w:r w:rsidRPr="00117BF8">
              <w:rPr>
                <w:rFonts w:ascii="Arial" w:hAnsi="Arial" w:cs="Arial"/>
                <w:bCs/>
                <w:sz w:val="22"/>
                <w:szCs w:val="22"/>
              </w:rPr>
              <w:t>Participación</w:t>
            </w:r>
          </w:p>
        </w:tc>
      </w:tr>
      <w:tr w:rsidR="00180E36" w:rsidRPr="003C4F96" w14:paraId="40C09D47" w14:textId="77777777" w:rsidTr="00C007D0">
        <w:trPr>
          <w:trHeight w:val="450"/>
          <w:jc w:val="center"/>
        </w:trPr>
        <w:tc>
          <w:tcPr>
            <w:tcW w:w="3686" w:type="dxa"/>
            <w:tcBorders>
              <w:right w:val="nil"/>
            </w:tcBorders>
            <w:shd w:val="clear" w:color="auto" w:fill="auto"/>
            <w:hideMark/>
          </w:tcPr>
          <w:p w14:paraId="78D4FBDF" w14:textId="77777777" w:rsidR="00180E36" w:rsidRPr="00117BF8" w:rsidRDefault="002363E0" w:rsidP="00C007D0">
            <w:pPr>
              <w:pStyle w:val="TablaC"/>
              <w:jc w:val="left"/>
              <w:rPr>
                <w:rFonts w:ascii="Arial" w:hAnsi="Arial" w:cs="Arial"/>
                <w:bCs/>
                <w:sz w:val="18"/>
                <w:szCs w:val="18"/>
              </w:rPr>
            </w:pPr>
            <w:r w:rsidRPr="00117BF8">
              <w:rPr>
                <w:rFonts w:ascii="Arial" w:hAnsi="Arial" w:cs="Arial"/>
                <w:bCs/>
                <w:sz w:val="18"/>
                <w:szCs w:val="18"/>
              </w:rPr>
              <w:t>Administración Gubernamental</w:t>
            </w:r>
          </w:p>
        </w:tc>
        <w:tc>
          <w:tcPr>
            <w:tcW w:w="1514" w:type="dxa"/>
            <w:tcBorders>
              <w:left w:val="nil"/>
            </w:tcBorders>
            <w:shd w:val="clear" w:color="auto" w:fill="auto"/>
            <w:noWrap/>
            <w:hideMark/>
          </w:tcPr>
          <w:p w14:paraId="1DCF9CD7" w14:textId="77777777" w:rsidR="00180E36" w:rsidRPr="00117BF8" w:rsidRDefault="00180E36" w:rsidP="002363E0">
            <w:pPr>
              <w:pStyle w:val="TablaC"/>
              <w:rPr>
                <w:rFonts w:ascii="Arial" w:hAnsi="Arial" w:cs="Arial"/>
                <w:color w:val="000000"/>
                <w:sz w:val="18"/>
                <w:szCs w:val="18"/>
              </w:rPr>
            </w:pPr>
            <w:r w:rsidRPr="00117BF8">
              <w:rPr>
                <w:rFonts w:ascii="Arial" w:hAnsi="Arial" w:cs="Arial"/>
                <w:color w:val="000000"/>
                <w:sz w:val="18"/>
                <w:szCs w:val="18"/>
              </w:rPr>
              <w:t>21%</w:t>
            </w:r>
          </w:p>
        </w:tc>
      </w:tr>
      <w:tr w:rsidR="00C007D0" w:rsidRPr="003C4F96" w14:paraId="76D368EB" w14:textId="77777777" w:rsidTr="00C007D0">
        <w:trPr>
          <w:trHeight w:val="450"/>
          <w:jc w:val="center"/>
        </w:trPr>
        <w:tc>
          <w:tcPr>
            <w:tcW w:w="3686" w:type="dxa"/>
            <w:shd w:val="clear" w:color="auto" w:fill="D3DFEE"/>
            <w:hideMark/>
          </w:tcPr>
          <w:p w14:paraId="385E76F9" w14:textId="77777777" w:rsidR="00180E36" w:rsidRPr="00117BF8" w:rsidRDefault="002363E0" w:rsidP="00C007D0">
            <w:pPr>
              <w:pStyle w:val="TablaC"/>
              <w:jc w:val="left"/>
              <w:rPr>
                <w:rFonts w:ascii="Arial" w:hAnsi="Arial" w:cs="Arial"/>
                <w:bCs/>
                <w:sz w:val="18"/>
                <w:szCs w:val="18"/>
              </w:rPr>
            </w:pPr>
            <w:r w:rsidRPr="00117BF8">
              <w:rPr>
                <w:rFonts w:ascii="Arial" w:hAnsi="Arial" w:cs="Arial"/>
                <w:bCs/>
                <w:sz w:val="18"/>
                <w:szCs w:val="18"/>
              </w:rPr>
              <w:t>Servicios de Seguridad</w:t>
            </w:r>
          </w:p>
        </w:tc>
        <w:tc>
          <w:tcPr>
            <w:tcW w:w="1514" w:type="dxa"/>
            <w:shd w:val="clear" w:color="auto" w:fill="D3DFEE"/>
            <w:noWrap/>
            <w:hideMark/>
          </w:tcPr>
          <w:p w14:paraId="1B07018E" w14:textId="77777777" w:rsidR="00180E36" w:rsidRPr="00117BF8" w:rsidRDefault="00180E36" w:rsidP="002363E0">
            <w:pPr>
              <w:pStyle w:val="TablaC"/>
              <w:rPr>
                <w:rFonts w:ascii="Arial" w:hAnsi="Arial" w:cs="Arial"/>
                <w:color w:val="000000"/>
                <w:sz w:val="18"/>
                <w:szCs w:val="18"/>
              </w:rPr>
            </w:pPr>
            <w:r w:rsidRPr="00117BF8">
              <w:rPr>
                <w:rFonts w:ascii="Arial" w:hAnsi="Arial" w:cs="Arial"/>
                <w:color w:val="000000"/>
                <w:sz w:val="18"/>
                <w:szCs w:val="18"/>
              </w:rPr>
              <w:t>11%</w:t>
            </w:r>
          </w:p>
        </w:tc>
      </w:tr>
      <w:tr w:rsidR="00180E36" w:rsidRPr="003C4F96" w14:paraId="005FD169" w14:textId="77777777" w:rsidTr="00C007D0">
        <w:trPr>
          <w:trHeight w:val="300"/>
          <w:jc w:val="center"/>
        </w:trPr>
        <w:tc>
          <w:tcPr>
            <w:tcW w:w="3686" w:type="dxa"/>
            <w:tcBorders>
              <w:right w:val="nil"/>
            </w:tcBorders>
            <w:shd w:val="clear" w:color="auto" w:fill="auto"/>
            <w:hideMark/>
          </w:tcPr>
          <w:p w14:paraId="276CF263" w14:textId="77777777" w:rsidR="00180E36" w:rsidRPr="00117BF8" w:rsidRDefault="002363E0" w:rsidP="00C007D0">
            <w:pPr>
              <w:pStyle w:val="TablaC"/>
              <w:jc w:val="left"/>
              <w:rPr>
                <w:rFonts w:ascii="Arial" w:hAnsi="Arial" w:cs="Arial"/>
                <w:bCs/>
                <w:sz w:val="18"/>
                <w:szCs w:val="18"/>
              </w:rPr>
            </w:pPr>
            <w:r w:rsidRPr="00117BF8">
              <w:rPr>
                <w:rFonts w:ascii="Arial" w:hAnsi="Arial" w:cs="Arial"/>
                <w:bCs/>
                <w:sz w:val="18"/>
                <w:szCs w:val="18"/>
              </w:rPr>
              <w:t>Servicios Sociales</w:t>
            </w:r>
          </w:p>
        </w:tc>
        <w:tc>
          <w:tcPr>
            <w:tcW w:w="1514" w:type="dxa"/>
            <w:tcBorders>
              <w:left w:val="nil"/>
            </w:tcBorders>
            <w:shd w:val="clear" w:color="auto" w:fill="auto"/>
            <w:noWrap/>
            <w:hideMark/>
          </w:tcPr>
          <w:p w14:paraId="199B92EA" w14:textId="77777777" w:rsidR="00180E36" w:rsidRPr="00117BF8" w:rsidRDefault="00180E36" w:rsidP="002363E0">
            <w:pPr>
              <w:pStyle w:val="TablaC"/>
              <w:rPr>
                <w:rFonts w:ascii="Arial" w:hAnsi="Arial" w:cs="Arial"/>
                <w:color w:val="000000"/>
                <w:sz w:val="18"/>
                <w:szCs w:val="18"/>
              </w:rPr>
            </w:pPr>
            <w:r w:rsidRPr="00117BF8">
              <w:rPr>
                <w:rFonts w:ascii="Arial" w:hAnsi="Arial" w:cs="Arial"/>
                <w:color w:val="000000"/>
                <w:sz w:val="18"/>
                <w:szCs w:val="18"/>
              </w:rPr>
              <w:t>57%</w:t>
            </w:r>
          </w:p>
        </w:tc>
      </w:tr>
      <w:tr w:rsidR="00C007D0" w:rsidRPr="003C4F96" w14:paraId="32316A51" w14:textId="77777777" w:rsidTr="00C007D0">
        <w:trPr>
          <w:trHeight w:val="450"/>
          <w:jc w:val="center"/>
        </w:trPr>
        <w:tc>
          <w:tcPr>
            <w:tcW w:w="3686" w:type="dxa"/>
            <w:shd w:val="clear" w:color="auto" w:fill="D3DFEE"/>
            <w:hideMark/>
          </w:tcPr>
          <w:p w14:paraId="76F157AC" w14:textId="77777777" w:rsidR="00180E36" w:rsidRPr="00117BF8" w:rsidRDefault="002363E0" w:rsidP="00C007D0">
            <w:pPr>
              <w:pStyle w:val="TablaC"/>
              <w:jc w:val="left"/>
              <w:rPr>
                <w:rFonts w:ascii="Arial" w:hAnsi="Arial" w:cs="Arial"/>
                <w:bCs/>
                <w:sz w:val="18"/>
                <w:szCs w:val="18"/>
              </w:rPr>
            </w:pPr>
            <w:r w:rsidRPr="00117BF8">
              <w:rPr>
                <w:rFonts w:ascii="Arial" w:hAnsi="Arial" w:cs="Arial"/>
                <w:bCs/>
                <w:sz w:val="18"/>
                <w:szCs w:val="18"/>
              </w:rPr>
              <w:t>Servicios Económicos</w:t>
            </w:r>
          </w:p>
        </w:tc>
        <w:tc>
          <w:tcPr>
            <w:tcW w:w="1514" w:type="dxa"/>
            <w:shd w:val="clear" w:color="auto" w:fill="D3DFEE"/>
            <w:noWrap/>
            <w:hideMark/>
          </w:tcPr>
          <w:p w14:paraId="23BD59F9" w14:textId="77777777" w:rsidR="00180E36" w:rsidRPr="00117BF8" w:rsidRDefault="00180E36" w:rsidP="002363E0">
            <w:pPr>
              <w:pStyle w:val="TablaC"/>
              <w:rPr>
                <w:rFonts w:ascii="Arial" w:hAnsi="Arial" w:cs="Arial"/>
                <w:color w:val="000000"/>
                <w:sz w:val="18"/>
                <w:szCs w:val="18"/>
              </w:rPr>
            </w:pPr>
            <w:r w:rsidRPr="00117BF8">
              <w:rPr>
                <w:rFonts w:ascii="Arial" w:hAnsi="Arial" w:cs="Arial"/>
                <w:color w:val="000000"/>
                <w:sz w:val="18"/>
                <w:szCs w:val="18"/>
              </w:rPr>
              <w:t>3%</w:t>
            </w:r>
          </w:p>
        </w:tc>
      </w:tr>
      <w:tr w:rsidR="00180E36" w:rsidRPr="003C4F96" w14:paraId="5CC45F4F" w14:textId="77777777" w:rsidTr="00C007D0">
        <w:trPr>
          <w:trHeight w:val="315"/>
          <w:jc w:val="center"/>
        </w:trPr>
        <w:tc>
          <w:tcPr>
            <w:tcW w:w="3686" w:type="dxa"/>
            <w:tcBorders>
              <w:right w:val="nil"/>
            </w:tcBorders>
            <w:shd w:val="clear" w:color="auto" w:fill="auto"/>
            <w:hideMark/>
          </w:tcPr>
          <w:p w14:paraId="2CC87C7E" w14:textId="77777777" w:rsidR="00180E36" w:rsidRPr="00117BF8" w:rsidRDefault="002363E0" w:rsidP="00C007D0">
            <w:pPr>
              <w:pStyle w:val="TablaC"/>
              <w:jc w:val="left"/>
              <w:rPr>
                <w:rFonts w:ascii="Arial" w:hAnsi="Arial" w:cs="Arial"/>
                <w:bCs/>
                <w:sz w:val="18"/>
                <w:szCs w:val="18"/>
              </w:rPr>
            </w:pPr>
            <w:r w:rsidRPr="00117BF8">
              <w:rPr>
                <w:rFonts w:ascii="Arial" w:hAnsi="Arial" w:cs="Arial"/>
                <w:bCs/>
                <w:sz w:val="18"/>
                <w:szCs w:val="18"/>
              </w:rPr>
              <w:t>Deuda Pública</w:t>
            </w:r>
          </w:p>
        </w:tc>
        <w:tc>
          <w:tcPr>
            <w:tcW w:w="1514" w:type="dxa"/>
            <w:tcBorders>
              <w:left w:val="nil"/>
            </w:tcBorders>
            <w:shd w:val="clear" w:color="auto" w:fill="auto"/>
            <w:noWrap/>
            <w:hideMark/>
          </w:tcPr>
          <w:p w14:paraId="225CCA2A" w14:textId="77777777" w:rsidR="00180E36" w:rsidRPr="00117BF8" w:rsidRDefault="00180E36" w:rsidP="002363E0">
            <w:pPr>
              <w:pStyle w:val="TablaC"/>
              <w:rPr>
                <w:rFonts w:ascii="Arial" w:hAnsi="Arial" w:cs="Arial"/>
                <w:color w:val="000000"/>
                <w:sz w:val="18"/>
                <w:szCs w:val="18"/>
              </w:rPr>
            </w:pPr>
            <w:r w:rsidRPr="00117BF8">
              <w:rPr>
                <w:rFonts w:ascii="Arial" w:hAnsi="Arial" w:cs="Arial"/>
                <w:color w:val="000000"/>
                <w:sz w:val="18"/>
                <w:szCs w:val="18"/>
              </w:rPr>
              <w:t>8%</w:t>
            </w:r>
          </w:p>
        </w:tc>
      </w:tr>
      <w:tr w:rsidR="00C007D0" w:rsidRPr="003C4F96" w14:paraId="5DE00B91" w14:textId="77777777" w:rsidTr="00C007D0">
        <w:trPr>
          <w:trHeight w:val="300"/>
          <w:jc w:val="center"/>
        </w:trPr>
        <w:tc>
          <w:tcPr>
            <w:tcW w:w="3686" w:type="dxa"/>
            <w:shd w:val="clear" w:color="auto" w:fill="D3DFEE"/>
            <w:hideMark/>
          </w:tcPr>
          <w:p w14:paraId="7489406C" w14:textId="77777777" w:rsidR="00180E36" w:rsidRPr="00117BF8" w:rsidRDefault="002363E0" w:rsidP="00C007D0">
            <w:pPr>
              <w:pStyle w:val="TablaC"/>
              <w:jc w:val="left"/>
              <w:rPr>
                <w:rFonts w:ascii="Arial" w:hAnsi="Arial" w:cs="Arial"/>
                <w:b/>
                <w:bCs/>
                <w:sz w:val="18"/>
                <w:szCs w:val="18"/>
              </w:rPr>
            </w:pPr>
            <w:r w:rsidRPr="00117BF8">
              <w:rPr>
                <w:rFonts w:ascii="Arial" w:hAnsi="Arial" w:cs="Arial"/>
                <w:b/>
                <w:bCs/>
                <w:sz w:val="18"/>
                <w:szCs w:val="18"/>
              </w:rPr>
              <w:t>Total General</w:t>
            </w:r>
          </w:p>
        </w:tc>
        <w:tc>
          <w:tcPr>
            <w:tcW w:w="1514" w:type="dxa"/>
            <w:shd w:val="clear" w:color="auto" w:fill="D3DFEE"/>
            <w:noWrap/>
            <w:hideMark/>
          </w:tcPr>
          <w:p w14:paraId="5079708F" w14:textId="77777777" w:rsidR="00180E36" w:rsidRPr="00117BF8" w:rsidRDefault="00180E36" w:rsidP="002363E0">
            <w:pPr>
              <w:pStyle w:val="TablaC"/>
              <w:rPr>
                <w:rFonts w:ascii="Arial" w:hAnsi="Arial" w:cs="Arial"/>
                <w:b/>
                <w:color w:val="000000"/>
                <w:sz w:val="18"/>
                <w:szCs w:val="18"/>
              </w:rPr>
            </w:pPr>
            <w:r w:rsidRPr="00117BF8">
              <w:rPr>
                <w:rFonts w:ascii="Arial" w:hAnsi="Arial" w:cs="Arial"/>
                <w:b/>
                <w:color w:val="000000"/>
                <w:sz w:val="18"/>
                <w:szCs w:val="18"/>
              </w:rPr>
              <w:t>100%</w:t>
            </w:r>
          </w:p>
        </w:tc>
      </w:tr>
    </w:tbl>
    <w:p w14:paraId="7728AFE9" w14:textId="77777777" w:rsidR="001B357A" w:rsidRPr="00117BF8" w:rsidRDefault="001B357A" w:rsidP="00117BF8">
      <w:pPr>
        <w:pStyle w:val="Hfuente"/>
        <w:ind w:left="1710"/>
        <w:rPr>
          <w:rFonts w:ascii="Arial" w:hAnsi="Arial" w:cs="Arial"/>
          <w:sz w:val="18"/>
          <w:szCs w:val="18"/>
        </w:rPr>
      </w:pPr>
      <w:r w:rsidRPr="00117BF8">
        <w:rPr>
          <w:rFonts w:ascii="Arial" w:hAnsi="Arial" w:cs="Arial"/>
          <w:sz w:val="18"/>
          <w:szCs w:val="18"/>
        </w:rPr>
        <w:t>Elaboración propia sobre datos de la CGPBA.</w:t>
      </w:r>
    </w:p>
    <w:p w14:paraId="6EF16F9C" w14:textId="77777777" w:rsidR="00FE0F5C" w:rsidRPr="003C4F96" w:rsidRDefault="00261A59">
      <w:pPr>
        <w:pStyle w:val="Heading3"/>
      </w:pPr>
      <w:bookmarkStart w:id="54" w:name="_Ref493177509"/>
      <w:bookmarkStart w:id="55" w:name="_Ref493177523"/>
      <w:bookmarkStart w:id="56" w:name="_Ref493177537"/>
      <w:bookmarkStart w:id="57" w:name="_Toc494040319"/>
      <w:r w:rsidRPr="003C4F96">
        <w:t>Clasificación por Finalidad/Función y Objeto del Gasto</w:t>
      </w:r>
      <w:bookmarkEnd w:id="54"/>
      <w:bookmarkEnd w:id="55"/>
      <w:bookmarkEnd w:id="56"/>
      <w:bookmarkEnd w:id="57"/>
    </w:p>
    <w:p w14:paraId="3F539827" w14:textId="77777777" w:rsidR="00E528A1" w:rsidRPr="00117BF8" w:rsidRDefault="0083755D" w:rsidP="00E528A1">
      <w:pPr>
        <w:pStyle w:val="hsa"/>
        <w:rPr>
          <w:rFonts w:ascii="Arial" w:eastAsia="Calibri" w:hAnsi="Arial" w:cs="Arial"/>
          <w:sz w:val="22"/>
          <w:szCs w:val="22"/>
        </w:rPr>
      </w:pPr>
      <w:r w:rsidRPr="00117BF8">
        <w:rPr>
          <w:rFonts w:ascii="Arial" w:eastAsia="Calibri" w:hAnsi="Arial" w:cs="Arial"/>
          <w:sz w:val="22"/>
          <w:szCs w:val="22"/>
        </w:rPr>
        <w:t xml:space="preserve">Los principales rubros de gastos son Gastos en Personal y Transferencias, en conjunto explican más del 80% del gasto. En este título el análisis se centra en estos dos rubros y los últimos años. En </w:t>
      </w:r>
      <w:r w:rsidR="001B357A" w:rsidRPr="00117BF8">
        <w:rPr>
          <w:rFonts w:ascii="Arial" w:eastAsia="Calibri" w:hAnsi="Arial" w:cs="Arial"/>
          <w:sz w:val="22"/>
          <w:szCs w:val="22"/>
        </w:rPr>
        <w:t xml:space="preserve">la Tabla A III - </w:t>
      </w:r>
      <w:r w:rsidR="00F57CA6" w:rsidRPr="00117BF8">
        <w:rPr>
          <w:rFonts w:ascii="Arial" w:eastAsia="Calibri" w:hAnsi="Arial" w:cs="Arial"/>
          <w:sz w:val="22"/>
          <w:szCs w:val="22"/>
        </w:rPr>
        <w:t>9</w:t>
      </w:r>
      <w:r w:rsidR="006E0974" w:rsidRPr="00117BF8">
        <w:rPr>
          <w:rFonts w:ascii="Arial" w:eastAsia="Calibri" w:hAnsi="Arial" w:cs="Arial"/>
          <w:sz w:val="22"/>
          <w:szCs w:val="22"/>
        </w:rPr>
        <w:t xml:space="preserve"> </w:t>
      </w:r>
      <w:r w:rsidRPr="00117BF8">
        <w:rPr>
          <w:rFonts w:ascii="Arial" w:eastAsia="Calibri" w:hAnsi="Arial" w:cs="Arial"/>
          <w:sz w:val="22"/>
          <w:szCs w:val="22"/>
        </w:rPr>
        <w:t>se distribuy</w:t>
      </w:r>
      <w:r w:rsidR="006E0974" w:rsidRPr="00117BF8">
        <w:rPr>
          <w:rFonts w:ascii="Arial" w:eastAsia="Calibri" w:hAnsi="Arial" w:cs="Arial"/>
          <w:sz w:val="22"/>
          <w:szCs w:val="22"/>
        </w:rPr>
        <w:t>en</w:t>
      </w:r>
      <w:r w:rsidRPr="00117BF8">
        <w:rPr>
          <w:rFonts w:ascii="Arial" w:eastAsia="Calibri" w:hAnsi="Arial" w:cs="Arial"/>
          <w:sz w:val="22"/>
          <w:szCs w:val="22"/>
        </w:rPr>
        <w:t xml:space="preserve"> estos gastos por finalidad y función.</w:t>
      </w:r>
    </w:p>
    <w:p w14:paraId="0500D9FA" w14:textId="77777777" w:rsidR="007752B5" w:rsidRPr="00117BF8" w:rsidRDefault="007752B5" w:rsidP="007752B5">
      <w:pPr>
        <w:pStyle w:val="hsa"/>
        <w:rPr>
          <w:rFonts w:ascii="Arial" w:eastAsia="Calibri" w:hAnsi="Arial" w:cs="Arial"/>
          <w:sz w:val="22"/>
          <w:szCs w:val="22"/>
        </w:rPr>
      </w:pPr>
      <w:r w:rsidRPr="00117BF8">
        <w:rPr>
          <w:rFonts w:ascii="Arial" w:eastAsia="Calibri" w:hAnsi="Arial" w:cs="Arial"/>
          <w:sz w:val="22"/>
          <w:szCs w:val="22"/>
        </w:rPr>
        <w:t>Salvo en el servicio de deuda, el gasto en personal se distribuye en todas las funciones</w:t>
      </w:r>
      <w:r w:rsidR="00A03977" w:rsidRPr="00117BF8">
        <w:rPr>
          <w:rFonts w:ascii="Arial" w:eastAsia="Calibri" w:hAnsi="Arial" w:cs="Arial"/>
          <w:sz w:val="22"/>
          <w:szCs w:val="22"/>
        </w:rPr>
        <w:t>, pero sólo</w:t>
      </w:r>
      <w:r w:rsidRPr="00117BF8">
        <w:rPr>
          <w:rFonts w:ascii="Arial" w:eastAsia="Calibri" w:hAnsi="Arial" w:cs="Arial"/>
          <w:sz w:val="22"/>
          <w:szCs w:val="22"/>
        </w:rPr>
        <w:t xml:space="preserve"> cuatro explicaron el 86% de este rubro en los dos últimos años, en orden de importancia fueron: Educación y Cultura, Seguridad, Judicial y Salud.</w:t>
      </w:r>
    </w:p>
    <w:tbl>
      <w:tblPr>
        <w:tblW w:w="6761"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361"/>
        <w:gridCol w:w="1200"/>
        <w:gridCol w:w="1200"/>
      </w:tblGrid>
      <w:tr w:rsidR="00E4023E" w:rsidRPr="004E6455" w14:paraId="5BDE523F" w14:textId="77777777" w:rsidTr="00C007D0">
        <w:trPr>
          <w:trHeight w:val="465"/>
          <w:jc w:val="center"/>
        </w:trPr>
        <w:tc>
          <w:tcPr>
            <w:tcW w:w="6761" w:type="dxa"/>
            <w:gridSpan w:val="3"/>
            <w:tcBorders>
              <w:top w:val="single" w:sz="8" w:space="0" w:color="7BA0CD"/>
              <w:left w:val="single" w:sz="8" w:space="0" w:color="7BA0CD"/>
              <w:bottom w:val="single" w:sz="8" w:space="0" w:color="7BA0CD"/>
              <w:right w:val="single" w:sz="8" w:space="0" w:color="7BA0CD"/>
            </w:tcBorders>
            <w:shd w:val="clear" w:color="auto" w:fill="0070C0"/>
            <w:noWrap/>
          </w:tcPr>
          <w:p w14:paraId="0CB6FC14" w14:textId="77777777" w:rsidR="00E4023E" w:rsidRPr="00117BF8" w:rsidRDefault="00E4023E" w:rsidP="001B357A">
            <w:pPr>
              <w:pStyle w:val="TablaT"/>
              <w:rPr>
                <w:rFonts w:ascii="Arial" w:hAnsi="Arial" w:cs="Arial"/>
                <w:bCs/>
                <w:sz w:val="22"/>
                <w:szCs w:val="22"/>
                <w:lang w:val="es-ES_tradnl"/>
              </w:rPr>
            </w:pPr>
            <w:bookmarkStart w:id="58" w:name="_Toc493861128"/>
            <w:r w:rsidRPr="00117BF8">
              <w:rPr>
                <w:rFonts w:ascii="Arial" w:hAnsi="Arial" w:cs="Arial"/>
                <w:bCs/>
                <w:sz w:val="22"/>
                <w:szCs w:val="22"/>
                <w:lang w:val="es-ES_tradnl"/>
              </w:rPr>
              <w:t xml:space="preserve">Tabla </w:t>
            </w:r>
            <w:r w:rsidR="00A03977" w:rsidRPr="00117BF8">
              <w:rPr>
                <w:rFonts w:ascii="Arial" w:hAnsi="Arial" w:cs="Arial"/>
                <w:bCs/>
                <w:sz w:val="22"/>
                <w:szCs w:val="22"/>
                <w:lang w:val="es-ES_tradnl"/>
              </w:rPr>
              <w:t>18</w:t>
            </w:r>
            <w:r w:rsidRPr="00117BF8">
              <w:rPr>
                <w:rFonts w:ascii="Arial" w:hAnsi="Arial" w:cs="Arial"/>
                <w:bCs/>
                <w:sz w:val="22"/>
                <w:szCs w:val="22"/>
                <w:lang w:val="es-ES_tradnl"/>
              </w:rPr>
              <w:t xml:space="preserve"> - Gastos en Personal por Finalidad y Función</w:t>
            </w:r>
            <w:bookmarkEnd w:id="58"/>
          </w:p>
          <w:p w14:paraId="62F13DD7" w14:textId="77777777" w:rsidR="00E4023E" w:rsidRPr="00117BF8" w:rsidRDefault="00E4023E" w:rsidP="00E4023E">
            <w:pPr>
              <w:pStyle w:val="TablaC"/>
              <w:rPr>
                <w:rFonts w:ascii="Arial" w:hAnsi="Arial" w:cs="Arial"/>
                <w:b/>
                <w:bCs/>
                <w:color w:val="FFFFFF"/>
                <w:szCs w:val="22"/>
              </w:rPr>
            </w:pPr>
            <w:r w:rsidRPr="00117BF8">
              <w:rPr>
                <w:rFonts w:ascii="Arial" w:hAnsi="Arial" w:cs="Arial"/>
                <w:b/>
                <w:bCs/>
                <w:color w:val="FFFFFF"/>
                <w:szCs w:val="22"/>
              </w:rPr>
              <w:t>Participación</w:t>
            </w:r>
          </w:p>
        </w:tc>
      </w:tr>
      <w:tr w:rsidR="00C007D0" w:rsidRPr="004E6455" w14:paraId="1F1F7007" w14:textId="77777777" w:rsidTr="00C007D0">
        <w:trPr>
          <w:trHeight w:val="465"/>
          <w:jc w:val="center"/>
        </w:trPr>
        <w:tc>
          <w:tcPr>
            <w:tcW w:w="4361" w:type="dxa"/>
            <w:tcBorders>
              <w:right w:val="nil"/>
            </w:tcBorders>
            <w:shd w:val="clear" w:color="auto" w:fill="0070C0"/>
            <w:hideMark/>
          </w:tcPr>
          <w:p w14:paraId="7B061F5D" w14:textId="77777777" w:rsidR="0094732D" w:rsidRPr="00117BF8" w:rsidRDefault="00E4023E" w:rsidP="00E4023E">
            <w:pPr>
              <w:pStyle w:val="TablaE"/>
              <w:rPr>
                <w:rFonts w:ascii="Arial" w:hAnsi="Arial" w:cs="Arial"/>
                <w:bCs/>
                <w:sz w:val="22"/>
                <w:szCs w:val="22"/>
                <w:lang w:val="es-AR" w:eastAsia="es-AR"/>
              </w:rPr>
            </w:pPr>
            <w:r w:rsidRPr="00117BF8">
              <w:rPr>
                <w:rFonts w:ascii="Arial" w:hAnsi="Arial" w:cs="Arial"/>
                <w:bCs/>
                <w:sz w:val="22"/>
                <w:szCs w:val="22"/>
                <w:lang w:val="es-AR" w:eastAsia="es-AR"/>
              </w:rPr>
              <w:t>Finalidad/Función</w:t>
            </w:r>
          </w:p>
        </w:tc>
        <w:tc>
          <w:tcPr>
            <w:tcW w:w="1200" w:type="dxa"/>
            <w:tcBorders>
              <w:left w:val="nil"/>
              <w:right w:val="nil"/>
            </w:tcBorders>
            <w:shd w:val="clear" w:color="auto" w:fill="0070C0"/>
            <w:hideMark/>
          </w:tcPr>
          <w:p w14:paraId="34EE22E1" w14:textId="77777777" w:rsidR="0094732D" w:rsidRPr="00117BF8" w:rsidRDefault="0094732D" w:rsidP="00E4023E">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200" w:type="dxa"/>
            <w:tcBorders>
              <w:left w:val="nil"/>
            </w:tcBorders>
            <w:shd w:val="clear" w:color="auto" w:fill="0070C0"/>
            <w:hideMark/>
          </w:tcPr>
          <w:p w14:paraId="2EBCE163" w14:textId="77777777" w:rsidR="0094732D" w:rsidRPr="00117BF8" w:rsidRDefault="0094732D" w:rsidP="00E4023E">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r>
      <w:tr w:rsidR="00C007D0" w:rsidRPr="004E6455" w14:paraId="1B8731BF" w14:textId="77777777" w:rsidTr="00C007D0">
        <w:trPr>
          <w:trHeight w:val="300"/>
          <w:jc w:val="center"/>
        </w:trPr>
        <w:tc>
          <w:tcPr>
            <w:tcW w:w="4361" w:type="dxa"/>
            <w:tcBorders>
              <w:right w:val="nil"/>
            </w:tcBorders>
            <w:shd w:val="clear" w:color="auto" w:fill="auto"/>
            <w:hideMark/>
          </w:tcPr>
          <w:p w14:paraId="141986F3" w14:textId="77777777" w:rsidR="0094732D" w:rsidRPr="00117BF8" w:rsidRDefault="006E0974" w:rsidP="00C007D0">
            <w:pPr>
              <w:pStyle w:val="TablaC"/>
              <w:jc w:val="left"/>
              <w:rPr>
                <w:rFonts w:ascii="Arial" w:hAnsi="Arial" w:cs="Arial"/>
                <w:bCs/>
                <w:sz w:val="18"/>
                <w:szCs w:val="18"/>
              </w:rPr>
            </w:pPr>
            <w:r w:rsidRPr="00117BF8">
              <w:rPr>
                <w:rFonts w:ascii="Arial" w:hAnsi="Arial" w:cs="Arial"/>
                <w:bCs/>
                <w:sz w:val="18"/>
                <w:szCs w:val="18"/>
              </w:rPr>
              <w:t xml:space="preserve">Administración Gubernamental - </w:t>
            </w:r>
            <w:r w:rsidR="0094732D" w:rsidRPr="00117BF8">
              <w:rPr>
                <w:rFonts w:ascii="Arial" w:hAnsi="Arial" w:cs="Arial"/>
                <w:bCs/>
                <w:sz w:val="18"/>
                <w:szCs w:val="18"/>
              </w:rPr>
              <w:t>Judicial</w:t>
            </w:r>
          </w:p>
        </w:tc>
        <w:tc>
          <w:tcPr>
            <w:tcW w:w="1200" w:type="dxa"/>
            <w:tcBorders>
              <w:left w:val="nil"/>
              <w:right w:val="nil"/>
            </w:tcBorders>
            <w:shd w:val="clear" w:color="auto" w:fill="auto"/>
            <w:hideMark/>
          </w:tcPr>
          <w:p w14:paraId="325AD9EA" w14:textId="77777777" w:rsidR="0094732D" w:rsidRPr="00117BF8" w:rsidRDefault="0094732D" w:rsidP="00E4023E">
            <w:pPr>
              <w:pStyle w:val="TablaC"/>
              <w:rPr>
                <w:rFonts w:ascii="Arial" w:hAnsi="Arial" w:cs="Arial"/>
                <w:sz w:val="18"/>
                <w:szCs w:val="18"/>
              </w:rPr>
            </w:pPr>
            <w:r w:rsidRPr="00117BF8">
              <w:rPr>
                <w:rFonts w:ascii="Arial" w:hAnsi="Arial" w:cs="Arial"/>
                <w:sz w:val="18"/>
                <w:szCs w:val="18"/>
              </w:rPr>
              <w:t>8,8%</w:t>
            </w:r>
          </w:p>
        </w:tc>
        <w:tc>
          <w:tcPr>
            <w:tcW w:w="1200" w:type="dxa"/>
            <w:tcBorders>
              <w:left w:val="nil"/>
            </w:tcBorders>
            <w:shd w:val="clear" w:color="auto" w:fill="auto"/>
            <w:hideMark/>
          </w:tcPr>
          <w:p w14:paraId="6266C457" w14:textId="77777777" w:rsidR="0094732D" w:rsidRPr="00117BF8" w:rsidRDefault="0094732D" w:rsidP="00E4023E">
            <w:pPr>
              <w:pStyle w:val="TablaC"/>
              <w:rPr>
                <w:rFonts w:ascii="Arial" w:hAnsi="Arial" w:cs="Arial"/>
                <w:sz w:val="18"/>
                <w:szCs w:val="18"/>
              </w:rPr>
            </w:pPr>
            <w:r w:rsidRPr="00117BF8">
              <w:rPr>
                <w:rFonts w:ascii="Arial" w:hAnsi="Arial" w:cs="Arial"/>
                <w:sz w:val="18"/>
                <w:szCs w:val="18"/>
              </w:rPr>
              <w:t>9,1%</w:t>
            </w:r>
          </w:p>
        </w:tc>
      </w:tr>
      <w:tr w:rsidR="00C007D0" w:rsidRPr="004E6455" w14:paraId="61D49B49" w14:textId="77777777" w:rsidTr="00C007D0">
        <w:trPr>
          <w:trHeight w:val="300"/>
          <w:jc w:val="center"/>
        </w:trPr>
        <w:tc>
          <w:tcPr>
            <w:tcW w:w="4361" w:type="dxa"/>
            <w:shd w:val="clear" w:color="auto" w:fill="D3DFEE"/>
            <w:hideMark/>
          </w:tcPr>
          <w:p w14:paraId="2C8C34B2" w14:textId="77777777" w:rsidR="0094732D" w:rsidRPr="00117BF8" w:rsidRDefault="006E0974" w:rsidP="00C007D0">
            <w:pPr>
              <w:pStyle w:val="TablaC"/>
              <w:jc w:val="left"/>
              <w:rPr>
                <w:rFonts w:ascii="Arial" w:hAnsi="Arial" w:cs="Arial"/>
                <w:bCs/>
                <w:sz w:val="18"/>
                <w:szCs w:val="18"/>
              </w:rPr>
            </w:pPr>
            <w:r w:rsidRPr="00117BF8">
              <w:rPr>
                <w:rFonts w:ascii="Arial" w:hAnsi="Arial" w:cs="Arial"/>
                <w:bCs/>
                <w:sz w:val="18"/>
                <w:szCs w:val="18"/>
              </w:rPr>
              <w:t xml:space="preserve">Servicios de Seguridad - </w:t>
            </w:r>
            <w:r w:rsidR="0094732D" w:rsidRPr="00117BF8">
              <w:rPr>
                <w:rFonts w:ascii="Arial" w:hAnsi="Arial" w:cs="Arial"/>
                <w:bCs/>
                <w:sz w:val="18"/>
                <w:szCs w:val="18"/>
              </w:rPr>
              <w:t>Seguridad</w:t>
            </w:r>
          </w:p>
        </w:tc>
        <w:tc>
          <w:tcPr>
            <w:tcW w:w="1200" w:type="dxa"/>
            <w:shd w:val="clear" w:color="auto" w:fill="D3DFEE"/>
            <w:hideMark/>
          </w:tcPr>
          <w:p w14:paraId="19CE4F02" w14:textId="77777777" w:rsidR="0094732D" w:rsidRPr="00117BF8" w:rsidRDefault="0094732D" w:rsidP="00E4023E">
            <w:pPr>
              <w:pStyle w:val="TablaC"/>
              <w:rPr>
                <w:rFonts w:ascii="Arial" w:hAnsi="Arial" w:cs="Arial"/>
                <w:sz w:val="18"/>
                <w:szCs w:val="18"/>
              </w:rPr>
            </w:pPr>
            <w:r w:rsidRPr="00117BF8">
              <w:rPr>
                <w:rFonts w:ascii="Arial" w:hAnsi="Arial" w:cs="Arial"/>
                <w:sz w:val="18"/>
                <w:szCs w:val="18"/>
              </w:rPr>
              <w:t>17,9%</w:t>
            </w:r>
          </w:p>
        </w:tc>
        <w:tc>
          <w:tcPr>
            <w:tcW w:w="1200" w:type="dxa"/>
            <w:shd w:val="clear" w:color="auto" w:fill="D3DFEE"/>
            <w:hideMark/>
          </w:tcPr>
          <w:p w14:paraId="1AB9B800" w14:textId="77777777" w:rsidR="0094732D" w:rsidRPr="00117BF8" w:rsidRDefault="0094732D" w:rsidP="00E4023E">
            <w:pPr>
              <w:pStyle w:val="TablaC"/>
              <w:rPr>
                <w:rFonts w:ascii="Arial" w:hAnsi="Arial" w:cs="Arial"/>
                <w:sz w:val="18"/>
                <w:szCs w:val="18"/>
              </w:rPr>
            </w:pPr>
            <w:r w:rsidRPr="00117BF8">
              <w:rPr>
                <w:rFonts w:ascii="Arial" w:hAnsi="Arial" w:cs="Arial"/>
                <w:sz w:val="18"/>
                <w:szCs w:val="18"/>
              </w:rPr>
              <w:t>18,8%</w:t>
            </w:r>
          </w:p>
        </w:tc>
      </w:tr>
      <w:tr w:rsidR="00C007D0" w:rsidRPr="004E6455" w14:paraId="15C9C629" w14:textId="77777777" w:rsidTr="00C007D0">
        <w:trPr>
          <w:trHeight w:val="300"/>
          <w:jc w:val="center"/>
        </w:trPr>
        <w:tc>
          <w:tcPr>
            <w:tcW w:w="4361" w:type="dxa"/>
            <w:tcBorders>
              <w:right w:val="nil"/>
            </w:tcBorders>
            <w:shd w:val="clear" w:color="auto" w:fill="auto"/>
            <w:hideMark/>
          </w:tcPr>
          <w:p w14:paraId="34561DB5" w14:textId="77777777" w:rsidR="0094732D" w:rsidRPr="00117BF8" w:rsidRDefault="006E0974" w:rsidP="00C007D0">
            <w:pPr>
              <w:pStyle w:val="TablaC"/>
              <w:jc w:val="left"/>
              <w:rPr>
                <w:rFonts w:ascii="Arial" w:hAnsi="Arial" w:cs="Arial"/>
                <w:bCs/>
                <w:sz w:val="18"/>
                <w:szCs w:val="18"/>
              </w:rPr>
            </w:pPr>
            <w:r w:rsidRPr="00117BF8">
              <w:rPr>
                <w:rFonts w:ascii="Arial" w:hAnsi="Arial" w:cs="Arial"/>
                <w:bCs/>
                <w:sz w:val="18"/>
                <w:szCs w:val="18"/>
              </w:rPr>
              <w:t xml:space="preserve">Servicios Sociales - </w:t>
            </w:r>
            <w:r w:rsidR="0094732D" w:rsidRPr="00117BF8">
              <w:rPr>
                <w:rFonts w:ascii="Arial" w:hAnsi="Arial" w:cs="Arial"/>
                <w:bCs/>
                <w:sz w:val="18"/>
                <w:szCs w:val="18"/>
              </w:rPr>
              <w:t>Salud</w:t>
            </w:r>
          </w:p>
        </w:tc>
        <w:tc>
          <w:tcPr>
            <w:tcW w:w="1200" w:type="dxa"/>
            <w:tcBorders>
              <w:left w:val="nil"/>
              <w:right w:val="nil"/>
            </w:tcBorders>
            <w:shd w:val="clear" w:color="auto" w:fill="auto"/>
            <w:hideMark/>
          </w:tcPr>
          <w:p w14:paraId="66BE6897" w14:textId="77777777" w:rsidR="0094732D" w:rsidRPr="00117BF8" w:rsidRDefault="0094732D" w:rsidP="00E4023E">
            <w:pPr>
              <w:pStyle w:val="TablaC"/>
              <w:rPr>
                <w:rFonts w:ascii="Arial" w:hAnsi="Arial" w:cs="Arial"/>
                <w:sz w:val="18"/>
                <w:szCs w:val="18"/>
              </w:rPr>
            </w:pPr>
            <w:r w:rsidRPr="00117BF8">
              <w:rPr>
                <w:rFonts w:ascii="Arial" w:hAnsi="Arial" w:cs="Arial"/>
                <w:sz w:val="18"/>
                <w:szCs w:val="18"/>
              </w:rPr>
              <w:t>7,3%</w:t>
            </w:r>
          </w:p>
        </w:tc>
        <w:tc>
          <w:tcPr>
            <w:tcW w:w="1200" w:type="dxa"/>
            <w:tcBorders>
              <w:left w:val="nil"/>
            </w:tcBorders>
            <w:shd w:val="clear" w:color="auto" w:fill="auto"/>
            <w:hideMark/>
          </w:tcPr>
          <w:p w14:paraId="31BF5FC5" w14:textId="77777777" w:rsidR="0094732D" w:rsidRPr="00117BF8" w:rsidRDefault="0094732D" w:rsidP="00E4023E">
            <w:pPr>
              <w:pStyle w:val="TablaC"/>
              <w:rPr>
                <w:rFonts w:ascii="Arial" w:hAnsi="Arial" w:cs="Arial"/>
                <w:sz w:val="18"/>
                <w:szCs w:val="18"/>
              </w:rPr>
            </w:pPr>
            <w:r w:rsidRPr="00117BF8">
              <w:rPr>
                <w:rFonts w:ascii="Arial" w:hAnsi="Arial" w:cs="Arial"/>
                <w:sz w:val="18"/>
                <w:szCs w:val="18"/>
              </w:rPr>
              <w:t>7,9%</w:t>
            </w:r>
          </w:p>
        </w:tc>
      </w:tr>
      <w:tr w:rsidR="00C007D0" w:rsidRPr="004E6455" w14:paraId="2260D37F" w14:textId="77777777" w:rsidTr="00C007D0">
        <w:trPr>
          <w:trHeight w:val="300"/>
          <w:jc w:val="center"/>
        </w:trPr>
        <w:tc>
          <w:tcPr>
            <w:tcW w:w="4361" w:type="dxa"/>
            <w:shd w:val="clear" w:color="auto" w:fill="D3DFEE"/>
            <w:hideMark/>
          </w:tcPr>
          <w:p w14:paraId="78C3D235" w14:textId="77777777" w:rsidR="0094732D" w:rsidRPr="00117BF8" w:rsidRDefault="006E0974"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 xml:space="preserve">Servicios Sociales - </w:t>
            </w:r>
            <w:r w:rsidR="0094732D" w:rsidRPr="00117BF8">
              <w:rPr>
                <w:rFonts w:ascii="Arial" w:hAnsi="Arial" w:cs="Arial"/>
                <w:bCs/>
                <w:sz w:val="18"/>
                <w:szCs w:val="18"/>
                <w:lang w:val="es-ES_tradnl"/>
              </w:rPr>
              <w:t>Educación y Cultura</w:t>
            </w:r>
          </w:p>
        </w:tc>
        <w:tc>
          <w:tcPr>
            <w:tcW w:w="1200" w:type="dxa"/>
            <w:shd w:val="clear" w:color="auto" w:fill="D3DFEE"/>
            <w:hideMark/>
          </w:tcPr>
          <w:p w14:paraId="0B6427C1" w14:textId="77777777" w:rsidR="0094732D" w:rsidRPr="00117BF8" w:rsidRDefault="0094732D" w:rsidP="00E4023E">
            <w:pPr>
              <w:pStyle w:val="TablaC"/>
              <w:rPr>
                <w:rFonts w:ascii="Arial" w:hAnsi="Arial" w:cs="Arial"/>
                <w:sz w:val="18"/>
                <w:szCs w:val="18"/>
              </w:rPr>
            </w:pPr>
            <w:r w:rsidRPr="00117BF8">
              <w:rPr>
                <w:rFonts w:ascii="Arial" w:hAnsi="Arial" w:cs="Arial"/>
                <w:sz w:val="18"/>
                <w:szCs w:val="18"/>
              </w:rPr>
              <w:t>51,6%</w:t>
            </w:r>
          </w:p>
        </w:tc>
        <w:tc>
          <w:tcPr>
            <w:tcW w:w="1200" w:type="dxa"/>
            <w:shd w:val="clear" w:color="auto" w:fill="D3DFEE"/>
            <w:hideMark/>
          </w:tcPr>
          <w:p w14:paraId="1C55CB31" w14:textId="77777777" w:rsidR="0094732D" w:rsidRPr="00117BF8" w:rsidRDefault="0094732D" w:rsidP="00E4023E">
            <w:pPr>
              <w:pStyle w:val="TablaC"/>
              <w:rPr>
                <w:rFonts w:ascii="Arial" w:hAnsi="Arial" w:cs="Arial"/>
                <w:sz w:val="18"/>
                <w:szCs w:val="18"/>
              </w:rPr>
            </w:pPr>
            <w:r w:rsidRPr="00117BF8">
              <w:rPr>
                <w:rFonts w:ascii="Arial" w:hAnsi="Arial" w:cs="Arial"/>
                <w:sz w:val="18"/>
                <w:szCs w:val="18"/>
              </w:rPr>
              <w:t>49,9%</w:t>
            </w:r>
          </w:p>
        </w:tc>
      </w:tr>
      <w:tr w:rsidR="00C007D0" w:rsidRPr="004E6455" w14:paraId="66637E0C" w14:textId="77777777" w:rsidTr="00C007D0">
        <w:trPr>
          <w:trHeight w:val="315"/>
          <w:jc w:val="center"/>
        </w:trPr>
        <w:tc>
          <w:tcPr>
            <w:tcW w:w="4361" w:type="dxa"/>
            <w:tcBorders>
              <w:right w:val="nil"/>
            </w:tcBorders>
            <w:shd w:val="clear" w:color="auto" w:fill="auto"/>
            <w:hideMark/>
          </w:tcPr>
          <w:p w14:paraId="779E678E" w14:textId="77777777" w:rsidR="0094732D" w:rsidRPr="00117BF8" w:rsidRDefault="0094732D" w:rsidP="00C007D0">
            <w:pPr>
              <w:pStyle w:val="TablaC"/>
              <w:jc w:val="left"/>
              <w:rPr>
                <w:rFonts w:ascii="Arial" w:hAnsi="Arial" w:cs="Arial"/>
                <w:b/>
                <w:bCs/>
                <w:sz w:val="18"/>
                <w:szCs w:val="18"/>
              </w:rPr>
            </w:pPr>
            <w:r w:rsidRPr="00117BF8">
              <w:rPr>
                <w:rFonts w:ascii="Arial" w:hAnsi="Arial" w:cs="Arial"/>
                <w:b/>
                <w:bCs/>
                <w:sz w:val="18"/>
                <w:szCs w:val="18"/>
              </w:rPr>
              <w:t>Total Seleccionados</w:t>
            </w:r>
          </w:p>
        </w:tc>
        <w:tc>
          <w:tcPr>
            <w:tcW w:w="1200" w:type="dxa"/>
            <w:tcBorders>
              <w:left w:val="nil"/>
              <w:right w:val="nil"/>
            </w:tcBorders>
            <w:shd w:val="clear" w:color="auto" w:fill="auto"/>
            <w:hideMark/>
          </w:tcPr>
          <w:p w14:paraId="12F7AA2D" w14:textId="77777777" w:rsidR="0094732D" w:rsidRPr="00117BF8" w:rsidRDefault="0094732D" w:rsidP="00E4023E">
            <w:pPr>
              <w:pStyle w:val="TablaC"/>
              <w:rPr>
                <w:rFonts w:ascii="Arial" w:hAnsi="Arial" w:cs="Arial"/>
                <w:b/>
                <w:sz w:val="18"/>
                <w:szCs w:val="18"/>
              </w:rPr>
            </w:pPr>
            <w:r w:rsidRPr="00117BF8">
              <w:rPr>
                <w:rFonts w:ascii="Arial" w:hAnsi="Arial" w:cs="Arial"/>
                <w:b/>
                <w:sz w:val="18"/>
                <w:szCs w:val="18"/>
              </w:rPr>
              <w:t>85,7%</w:t>
            </w:r>
          </w:p>
        </w:tc>
        <w:tc>
          <w:tcPr>
            <w:tcW w:w="1200" w:type="dxa"/>
            <w:tcBorders>
              <w:left w:val="nil"/>
            </w:tcBorders>
            <w:shd w:val="clear" w:color="auto" w:fill="auto"/>
            <w:hideMark/>
          </w:tcPr>
          <w:p w14:paraId="42482FED" w14:textId="77777777" w:rsidR="0094732D" w:rsidRPr="00117BF8" w:rsidRDefault="0094732D" w:rsidP="00E4023E">
            <w:pPr>
              <w:pStyle w:val="TablaC"/>
              <w:rPr>
                <w:rFonts w:ascii="Arial" w:hAnsi="Arial" w:cs="Arial"/>
                <w:b/>
                <w:sz w:val="18"/>
                <w:szCs w:val="18"/>
              </w:rPr>
            </w:pPr>
            <w:r w:rsidRPr="00117BF8">
              <w:rPr>
                <w:rFonts w:ascii="Arial" w:hAnsi="Arial" w:cs="Arial"/>
                <w:b/>
                <w:sz w:val="18"/>
                <w:szCs w:val="18"/>
              </w:rPr>
              <w:t>85,8%</w:t>
            </w:r>
          </w:p>
        </w:tc>
      </w:tr>
    </w:tbl>
    <w:p w14:paraId="11E7823B" w14:textId="77777777" w:rsidR="00A03977" w:rsidRPr="00117BF8" w:rsidRDefault="00A03977" w:rsidP="00A03977">
      <w:pPr>
        <w:pStyle w:val="Hfuente"/>
        <w:rPr>
          <w:rFonts w:ascii="Arial" w:hAnsi="Arial" w:cs="Arial"/>
        </w:rPr>
      </w:pPr>
      <w:r w:rsidRPr="00117BF8">
        <w:rPr>
          <w:rFonts w:ascii="Arial" w:hAnsi="Arial" w:cs="Arial"/>
          <w:sz w:val="18"/>
          <w:szCs w:val="18"/>
        </w:rPr>
        <w:t>Elaboración propia sobre datos de la CGPBA</w:t>
      </w:r>
      <w:r w:rsidRPr="00117BF8">
        <w:rPr>
          <w:rFonts w:ascii="Arial" w:hAnsi="Arial" w:cs="Arial"/>
        </w:rPr>
        <w:t>.</w:t>
      </w:r>
    </w:p>
    <w:p w14:paraId="797BCC2D" w14:textId="77777777" w:rsidR="007752B5" w:rsidRPr="00117BF8" w:rsidRDefault="007752B5" w:rsidP="007752B5">
      <w:pPr>
        <w:pStyle w:val="hsa"/>
        <w:rPr>
          <w:rFonts w:ascii="Arial" w:eastAsia="Calibri" w:hAnsi="Arial" w:cs="Arial"/>
          <w:sz w:val="22"/>
          <w:szCs w:val="22"/>
        </w:rPr>
      </w:pPr>
      <w:r w:rsidRPr="00117BF8">
        <w:rPr>
          <w:rFonts w:ascii="Arial" w:eastAsia="Calibri" w:hAnsi="Arial" w:cs="Arial"/>
          <w:sz w:val="22"/>
          <w:szCs w:val="22"/>
        </w:rPr>
        <w:t>Respecto al año previo, el gasto en personal en 2015 aumentó 50,5% (Judicial 43%, Seguridad 63%, Salud 39% y Educación y Cultura 52%) y en el 2016 34% (Judicial 39%, Seguridad 41%, Salud 45% y Educación y Cultura 30%).</w:t>
      </w:r>
    </w:p>
    <w:p w14:paraId="1D54C3C6" w14:textId="77777777" w:rsidR="007752B5" w:rsidRPr="00117BF8" w:rsidRDefault="007752B5" w:rsidP="007752B5">
      <w:pPr>
        <w:pStyle w:val="hsa"/>
        <w:rPr>
          <w:rFonts w:ascii="Arial" w:eastAsia="Calibri" w:hAnsi="Arial" w:cs="Arial"/>
          <w:sz w:val="22"/>
          <w:szCs w:val="22"/>
        </w:rPr>
      </w:pPr>
      <w:r w:rsidRPr="00117BF8">
        <w:rPr>
          <w:rFonts w:ascii="Arial" w:eastAsia="Calibri" w:hAnsi="Arial" w:cs="Arial"/>
          <w:sz w:val="22"/>
          <w:szCs w:val="22"/>
        </w:rPr>
        <w:t xml:space="preserve">No se dispone de la evolución de la planta de personal, se cuentan con las previsiones presupuestarias que de alguna manera indican el crecimiento previsto </w:t>
      </w:r>
      <w:r w:rsidR="006E0974" w:rsidRPr="00117BF8">
        <w:rPr>
          <w:rFonts w:ascii="Arial" w:eastAsia="Calibri" w:hAnsi="Arial" w:cs="Arial"/>
          <w:sz w:val="22"/>
          <w:szCs w:val="22"/>
        </w:rPr>
        <w:t>para el presupuesto o consolidan</w:t>
      </w:r>
      <w:r w:rsidRPr="00117BF8">
        <w:rPr>
          <w:rFonts w:ascii="Arial" w:eastAsia="Calibri" w:hAnsi="Arial" w:cs="Arial"/>
          <w:sz w:val="22"/>
          <w:szCs w:val="22"/>
        </w:rPr>
        <w:t xml:space="preserve"> el ocurrido. Entre los presupuestos 2014 y 2016 se observa un incremento </w:t>
      </w:r>
      <w:r w:rsidR="00F37402" w:rsidRPr="00117BF8">
        <w:rPr>
          <w:rFonts w:ascii="Arial" w:eastAsia="Calibri" w:hAnsi="Arial" w:cs="Arial"/>
          <w:sz w:val="22"/>
          <w:szCs w:val="22"/>
        </w:rPr>
        <w:t>de casi el 12% en la</w:t>
      </w:r>
      <w:r w:rsidRPr="00117BF8">
        <w:rPr>
          <w:rFonts w:ascii="Arial" w:eastAsia="Calibri" w:hAnsi="Arial" w:cs="Arial"/>
          <w:sz w:val="22"/>
          <w:szCs w:val="22"/>
        </w:rPr>
        <w:t xml:space="preserve"> planta de personal.</w:t>
      </w:r>
    </w:p>
    <w:tbl>
      <w:tblPr>
        <w:tblW w:w="8658"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518"/>
        <w:gridCol w:w="1270"/>
        <w:gridCol w:w="1270"/>
        <w:gridCol w:w="1200"/>
        <w:gridCol w:w="1200"/>
        <w:gridCol w:w="1200"/>
      </w:tblGrid>
      <w:tr w:rsidR="0020654C" w:rsidRPr="004E6455" w14:paraId="5F665FB0" w14:textId="77777777" w:rsidTr="00197371">
        <w:trPr>
          <w:trHeight w:val="300"/>
          <w:jc w:val="center"/>
        </w:trPr>
        <w:tc>
          <w:tcPr>
            <w:tcW w:w="8658" w:type="dxa"/>
            <w:gridSpan w:val="6"/>
            <w:tcBorders>
              <w:top w:val="single" w:sz="8" w:space="0" w:color="7BA0CD"/>
              <w:left w:val="single" w:sz="8" w:space="0" w:color="7BA0CD"/>
              <w:bottom w:val="single" w:sz="8" w:space="0" w:color="7BA0CD"/>
              <w:right w:val="single" w:sz="8" w:space="0" w:color="7BA0CD"/>
            </w:tcBorders>
            <w:shd w:val="clear" w:color="auto" w:fill="0070C0"/>
            <w:noWrap/>
          </w:tcPr>
          <w:p w14:paraId="57E74C49" w14:textId="77777777" w:rsidR="0020654C" w:rsidRPr="00117BF8" w:rsidRDefault="0020654C" w:rsidP="00A03977">
            <w:pPr>
              <w:pStyle w:val="TablaT"/>
              <w:rPr>
                <w:rFonts w:ascii="Arial" w:hAnsi="Arial" w:cs="Arial"/>
                <w:bCs/>
                <w:sz w:val="22"/>
                <w:szCs w:val="22"/>
                <w:lang w:val="es-ES_tradnl"/>
              </w:rPr>
            </w:pPr>
            <w:bookmarkStart w:id="59" w:name="_Toc493861129"/>
            <w:r w:rsidRPr="00117BF8">
              <w:rPr>
                <w:rFonts w:ascii="Arial" w:hAnsi="Arial" w:cs="Arial"/>
                <w:bCs/>
                <w:sz w:val="22"/>
                <w:szCs w:val="22"/>
                <w:lang w:val="es-ES_tradnl"/>
              </w:rPr>
              <w:t xml:space="preserve">Tabla </w:t>
            </w:r>
            <w:r w:rsidR="00A03977" w:rsidRPr="00117BF8">
              <w:rPr>
                <w:rFonts w:ascii="Arial" w:hAnsi="Arial" w:cs="Arial"/>
                <w:bCs/>
                <w:sz w:val="22"/>
                <w:szCs w:val="22"/>
                <w:lang w:val="es-ES_tradnl"/>
              </w:rPr>
              <w:t>19</w:t>
            </w:r>
            <w:r w:rsidRPr="00117BF8">
              <w:rPr>
                <w:rFonts w:ascii="Arial" w:hAnsi="Arial" w:cs="Arial"/>
                <w:bCs/>
                <w:sz w:val="22"/>
                <w:szCs w:val="22"/>
                <w:lang w:val="es-ES_tradnl"/>
              </w:rPr>
              <w:t xml:space="preserve"> – Planta de Personal según Presupuesto*</w:t>
            </w:r>
            <w:bookmarkEnd w:id="59"/>
          </w:p>
        </w:tc>
      </w:tr>
      <w:tr w:rsidR="00C007D0" w:rsidRPr="004E6455" w14:paraId="1879EFCD" w14:textId="77777777" w:rsidTr="00197371">
        <w:trPr>
          <w:trHeight w:val="300"/>
          <w:jc w:val="center"/>
        </w:trPr>
        <w:tc>
          <w:tcPr>
            <w:tcW w:w="2518" w:type="dxa"/>
            <w:tcBorders>
              <w:right w:val="nil"/>
            </w:tcBorders>
            <w:shd w:val="clear" w:color="auto" w:fill="0070C0"/>
            <w:noWrap/>
            <w:hideMark/>
          </w:tcPr>
          <w:p w14:paraId="7571D49A" w14:textId="77777777" w:rsidR="00F37402" w:rsidRPr="00117BF8" w:rsidRDefault="00F37402" w:rsidP="0020654C">
            <w:pPr>
              <w:pStyle w:val="TablaE"/>
              <w:rPr>
                <w:rFonts w:ascii="Arial" w:hAnsi="Arial" w:cs="Arial"/>
                <w:bCs/>
                <w:sz w:val="22"/>
                <w:szCs w:val="22"/>
                <w:lang w:val="es-AR" w:eastAsia="es-AR"/>
              </w:rPr>
            </w:pPr>
          </w:p>
        </w:tc>
        <w:tc>
          <w:tcPr>
            <w:tcW w:w="1270" w:type="dxa"/>
            <w:tcBorders>
              <w:left w:val="nil"/>
              <w:right w:val="nil"/>
            </w:tcBorders>
            <w:shd w:val="clear" w:color="auto" w:fill="0070C0"/>
            <w:noWrap/>
            <w:hideMark/>
          </w:tcPr>
          <w:p w14:paraId="2AF606D7" w14:textId="77777777" w:rsidR="00F37402" w:rsidRPr="00117BF8" w:rsidRDefault="00F37402" w:rsidP="0020654C">
            <w:pPr>
              <w:pStyle w:val="TablaE"/>
              <w:rPr>
                <w:rFonts w:ascii="Arial" w:hAnsi="Arial" w:cs="Arial"/>
                <w:bCs/>
                <w:sz w:val="22"/>
                <w:szCs w:val="22"/>
                <w:lang w:val="es-AR" w:eastAsia="es-AR"/>
              </w:rPr>
            </w:pPr>
            <w:r w:rsidRPr="00117BF8">
              <w:rPr>
                <w:rFonts w:ascii="Arial" w:hAnsi="Arial" w:cs="Arial"/>
                <w:bCs/>
                <w:sz w:val="22"/>
                <w:szCs w:val="22"/>
                <w:lang w:val="es-AR" w:eastAsia="es-AR"/>
              </w:rPr>
              <w:t>2013</w:t>
            </w:r>
          </w:p>
        </w:tc>
        <w:tc>
          <w:tcPr>
            <w:tcW w:w="1270" w:type="dxa"/>
            <w:tcBorders>
              <w:left w:val="nil"/>
              <w:right w:val="nil"/>
            </w:tcBorders>
            <w:shd w:val="clear" w:color="auto" w:fill="0070C0"/>
            <w:noWrap/>
            <w:hideMark/>
          </w:tcPr>
          <w:p w14:paraId="3B71395A" w14:textId="77777777" w:rsidR="00F37402" w:rsidRPr="00117BF8" w:rsidRDefault="00F37402" w:rsidP="0020654C">
            <w:pPr>
              <w:pStyle w:val="TablaE"/>
              <w:rPr>
                <w:rFonts w:ascii="Arial" w:hAnsi="Arial" w:cs="Arial"/>
                <w:bCs/>
                <w:sz w:val="22"/>
                <w:szCs w:val="22"/>
                <w:lang w:val="es-AR" w:eastAsia="es-AR"/>
              </w:rPr>
            </w:pPr>
            <w:r w:rsidRPr="00117BF8">
              <w:rPr>
                <w:rFonts w:ascii="Arial" w:hAnsi="Arial" w:cs="Arial"/>
                <w:bCs/>
                <w:sz w:val="22"/>
                <w:szCs w:val="22"/>
                <w:lang w:val="es-AR" w:eastAsia="es-AR"/>
              </w:rPr>
              <w:t>2014</w:t>
            </w:r>
          </w:p>
        </w:tc>
        <w:tc>
          <w:tcPr>
            <w:tcW w:w="1200" w:type="dxa"/>
            <w:tcBorders>
              <w:left w:val="nil"/>
              <w:right w:val="nil"/>
            </w:tcBorders>
            <w:shd w:val="clear" w:color="auto" w:fill="0070C0"/>
            <w:noWrap/>
            <w:hideMark/>
          </w:tcPr>
          <w:p w14:paraId="01B203F9" w14:textId="77777777" w:rsidR="00F37402" w:rsidRPr="00117BF8" w:rsidRDefault="00F37402" w:rsidP="0020654C">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200" w:type="dxa"/>
            <w:tcBorders>
              <w:left w:val="nil"/>
              <w:right w:val="nil"/>
            </w:tcBorders>
            <w:shd w:val="clear" w:color="auto" w:fill="0070C0"/>
            <w:noWrap/>
            <w:hideMark/>
          </w:tcPr>
          <w:p w14:paraId="254F0581" w14:textId="77777777" w:rsidR="00F37402" w:rsidRPr="00117BF8" w:rsidRDefault="00F37402" w:rsidP="0020654C">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c>
          <w:tcPr>
            <w:tcW w:w="1200" w:type="dxa"/>
            <w:tcBorders>
              <w:left w:val="nil"/>
            </w:tcBorders>
            <w:shd w:val="clear" w:color="auto" w:fill="0070C0"/>
            <w:noWrap/>
            <w:hideMark/>
          </w:tcPr>
          <w:p w14:paraId="6392F97C" w14:textId="77777777" w:rsidR="00F37402" w:rsidRPr="00117BF8" w:rsidRDefault="00F37402" w:rsidP="0020654C">
            <w:pPr>
              <w:pStyle w:val="TablaE"/>
              <w:rPr>
                <w:rFonts w:ascii="Arial" w:hAnsi="Arial" w:cs="Arial"/>
                <w:bCs/>
                <w:sz w:val="22"/>
                <w:szCs w:val="22"/>
                <w:lang w:val="es-AR" w:eastAsia="es-AR"/>
              </w:rPr>
            </w:pPr>
            <w:r w:rsidRPr="00117BF8">
              <w:rPr>
                <w:rFonts w:ascii="Arial" w:hAnsi="Arial" w:cs="Arial"/>
                <w:bCs/>
                <w:sz w:val="22"/>
                <w:szCs w:val="22"/>
                <w:lang w:val="es-AR" w:eastAsia="es-AR"/>
              </w:rPr>
              <w:t>2017</w:t>
            </w:r>
          </w:p>
        </w:tc>
      </w:tr>
      <w:tr w:rsidR="00C007D0" w:rsidRPr="004E6455" w14:paraId="67D162BE" w14:textId="77777777" w:rsidTr="00197371">
        <w:trPr>
          <w:trHeight w:val="300"/>
          <w:jc w:val="center"/>
        </w:trPr>
        <w:tc>
          <w:tcPr>
            <w:tcW w:w="2518" w:type="dxa"/>
            <w:tcBorders>
              <w:right w:val="nil"/>
            </w:tcBorders>
            <w:shd w:val="clear" w:color="auto" w:fill="auto"/>
            <w:noWrap/>
            <w:hideMark/>
          </w:tcPr>
          <w:p w14:paraId="18F15894" w14:textId="77777777" w:rsidR="00F37402" w:rsidRPr="00117BF8" w:rsidRDefault="00F37402" w:rsidP="00C007D0">
            <w:pPr>
              <w:pStyle w:val="TablaC"/>
              <w:jc w:val="left"/>
              <w:rPr>
                <w:rFonts w:ascii="Arial" w:hAnsi="Arial" w:cs="Arial"/>
                <w:bCs/>
                <w:sz w:val="18"/>
                <w:szCs w:val="18"/>
              </w:rPr>
            </w:pPr>
            <w:r w:rsidRPr="00117BF8">
              <w:rPr>
                <w:rFonts w:ascii="Arial" w:hAnsi="Arial" w:cs="Arial"/>
                <w:bCs/>
                <w:sz w:val="18"/>
                <w:szCs w:val="18"/>
              </w:rPr>
              <w:t>Planta s/Presupuesto</w:t>
            </w:r>
          </w:p>
        </w:tc>
        <w:tc>
          <w:tcPr>
            <w:tcW w:w="1270" w:type="dxa"/>
            <w:tcBorders>
              <w:left w:val="nil"/>
              <w:right w:val="nil"/>
            </w:tcBorders>
            <w:shd w:val="clear" w:color="auto" w:fill="auto"/>
            <w:noWrap/>
            <w:hideMark/>
          </w:tcPr>
          <w:p w14:paraId="7DDFD5B7"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524.382</w:t>
            </w:r>
          </w:p>
        </w:tc>
        <w:tc>
          <w:tcPr>
            <w:tcW w:w="1270" w:type="dxa"/>
            <w:tcBorders>
              <w:left w:val="nil"/>
              <w:right w:val="nil"/>
            </w:tcBorders>
            <w:shd w:val="clear" w:color="auto" w:fill="auto"/>
            <w:noWrap/>
            <w:hideMark/>
          </w:tcPr>
          <w:p w14:paraId="0F16D747"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524.370</w:t>
            </w:r>
          </w:p>
        </w:tc>
        <w:tc>
          <w:tcPr>
            <w:tcW w:w="1200" w:type="dxa"/>
            <w:tcBorders>
              <w:left w:val="nil"/>
              <w:right w:val="nil"/>
            </w:tcBorders>
            <w:shd w:val="clear" w:color="auto" w:fill="auto"/>
            <w:noWrap/>
            <w:hideMark/>
          </w:tcPr>
          <w:p w14:paraId="7A4D73C4"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537.893</w:t>
            </w:r>
          </w:p>
        </w:tc>
        <w:tc>
          <w:tcPr>
            <w:tcW w:w="1200" w:type="dxa"/>
            <w:tcBorders>
              <w:left w:val="nil"/>
              <w:right w:val="nil"/>
            </w:tcBorders>
            <w:shd w:val="clear" w:color="auto" w:fill="auto"/>
            <w:noWrap/>
            <w:hideMark/>
          </w:tcPr>
          <w:p w14:paraId="085F1028"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586.468</w:t>
            </w:r>
          </w:p>
        </w:tc>
        <w:tc>
          <w:tcPr>
            <w:tcW w:w="1200" w:type="dxa"/>
            <w:tcBorders>
              <w:left w:val="nil"/>
            </w:tcBorders>
            <w:shd w:val="clear" w:color="auto" w:fill="auto"/>
            <w:noWrap/>
            <w:hideMark/>
          </w:tcPr>
          <w:p w14:paraId="41FB7C03"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587.115</w:t>
            </w:r>
          </w:p>
        </w:tc>
      </w:tr>
      <w:tr w:rsidR="00C007D0" w:rsidRPr="004E6455" w14:paraId="769367DA" w14:textId="77777777" w:rsidTr="00197371">
        <w:trPr>
          <w:trHeight w:val="300"/>
          <w:jc w:val="center"/>
        </w:trPr>
        <w:tc>
          <w:tcPr>
            <w:tcW w:w="2518" w:type="dxa"/>
            <w:shd w:val="clear" w:color="auto" w:fill="D3DFEE"/>
            <w:noWrap/>
            <w:hideMark/>
          </w:tcPr>
          <w:p w14:paraId="66C60330" w14:textId="77777777" w:rsidR="00F37402" w:rsidRPr="00117BF8" w:rsidRDefault="00F37402" w:rsidP="00C007D0">
            <w:pPr>
              <w:pStyle w:val="TablaC"/>
              <w:jc w:val="left"/>
              <w:rPr>
                <w:rFonts w:ascii="Arial" w:hAnsi="Arial" w:cs="Arial"/>
                <w:bCs/>
                <w:sz w:val="18"/>
                <w:szCs w:val="18"/>
              </w:rPr>
            </w:pPr>
            <w:r w:rsidRPr="00117BF8">
              <w:rPr>
                <w:rFonts w:ascii="Arial" w:hAnsi="Arial" w:cs="Arial"/>
                <w:bCs/>
                <w:sz w:val="18"/>
                <w:szCs w:val="18"/>
              </w:rPr>
              <w:t>Variación a/a</w:t>
            </w:r>
          </w:p>
        </w:tc>
        <w:tc>
          <w:tcPr>
            <w:tcW w:w="1270" w:type="dxa"/>
            <w:shd w:val="clear" w:color="auto" w:fill="D3DFEE"/>
            <w:noWrap/>
            <w:hideMark/>
          </w:tcPr>
          <w:p w14:paraId="5575456B"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3,05%</w:t>
            </w:r>
          </w:p>
        </w:tc>
        <w:tc>
          <w:tcPr>
            <w:tcW w:w="1270" w:type="dxa"/>
            <w:shd w:val="clear" w:color="auto" w:fill="D3DFEE"/>
            <w:noWrap/>
            <w:hideMark/>
          </w:tcPr>
          <w:p w14:paraId="0EF4F2D0"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0,00%</w:t>
            </w:r>
          </w:p>
        </w:tc>
        <w:tc>
          <w:tcPr>
            <w:tcW w:w="1200" w:type="dxa"/>
            <w:shd w:val="clear" w:color="auto" w:fill="D3DFEE"/>
            <w:noWrap/>
            <w:hideMark/>
          </w:tcPr>
          <w:p w14:paraId="6613E057"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2,58%</w:t>
            </w:r>
          </w:p>
        </w:tc>
        <w:tc>
          <w:tcPr>
            <w:tcW w:w="1200" w:type="dxa"/>
            <w:shd w:val="clear" w:color="auto" w:fill="D3DFEE"/>
            <w:noWrap/>
            <w:hideMark/>
          </w:tcPr>
          <w:p w14:paraId="23924E16"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9,03%</w:t>
            </w:r>
          </w:p>
        </w:tc>
        <w:tc>
          <w:tcPr>
            <w:tcW w:w="1200" w:type="dxa"/>
            <w:shd w:val="clear" w:color="auto" w:fill="D3DFEE"/>
            <w:noWrap/>
            <w:hideMark/>
          </w:tcPr>
          <w:p w14:paraId="3ECA6BB9" w14:textId="77777777" w:rsidR="00F37402" w:rsidRPr="00117BF8" w:rsidRDefault="00F37402" w:rsidP="0020654C">
            <w:pPr>
              <w:pStyle w:val="TablaC"/>
              <w:rPr>
                <w:rFonts w:ascii="Arial" w:hAnsi="Arial" w:cs="Arial"/>
                <w:sz w:val="18"/>
                <w:szCs w:val="18"/>
              </w:rPr>
            </w:pPr>
            <w:r w:rsidRPr="00117BF8">
              <w:rPr>
                <w:rFonts w:ascii="Arial" w:hAnsi="Arial" w:cs="Arial"/>
                <w:sz w:val="18"/>
                <w:szCs w:val="18"/>
              </w:rPr>
              <w:t>0,11%</w:t>
            </w:r>
          </w:p>
        </w:tc>
      </w:tr>
    </w:tbl>
    <w:p w14:paraId="1004199F" w14:textId="77777777" w:rsidR="00F37402" w:rsidRPr="00117BF8" w:rsidRDefault="00F37402" w:rsidP="00F37402">
      <w:pPr>
        <w:pStyle w:val="hsa"/>
        <w:spacing w:after="0" w:line="240" w:lineRule="auto"/>
        <w:rPr>
          <w:rFonts w:ascii="Arial" w:eastAsia="Calibri" w:hAnsi="Arial" w:cs="Arial"/>
          <w:sz w:val="18"/>
          <w:szCs w:val="18"/>
        </w:rPr>
      </w:pPr>
      <w:r w:rsidRPr="00117BF8">
        <w:rPr>
          <w:rFonts w:ascii="Arial" w:eastAsia="Calibri" w:hAnsi="Arial" w:cs="Arial"/>
          <w:sz w:val="18"/>
          <w:szCs w:val="18"/>
        </w:rPr>
        <w:t xml:space="preserve">*Se corresponde con los cargos autorizados por la Ley de Presupuesto vigente para cada ejercicio y no con cargos efectivamente ocupados. Los datos provienen de las planillas anexas “Resumen del número de cargos” y “Resumen de horas cátedra” que forman parte de las leyes de presupuesto de cada año </w:t>
      </w:r>
    </w:p>
    <w:p w14:paraId="0857B352" w14:textId="77777777" w:rsidR="00F37402" w:rsidRPr="00117BF8" w:rsidRDefault="00F37402" w:rsidP="00F37402">
      <w:pPr>
        <w:pStyle w:val="hsa"/>
        <w:spacing w:after="0" w:line="240" w:lineRule="auto"/>
        <w:rPr>
          <w:rFonts w:ascii="Arial" w:eastAsia="Calibri" w:hAnsi="Arial" w:cs="Arial"/>
          <w:sz w:val="18"/>
          <w:szCs w:val="18"/>
        </w:rPr>
      </w:pPr>
      <w:r w:rsidRPr="00117BF8">
        <w:rPr>
          <w:rFonts w:ascii="Arial" w:eastAsia="Calibri" w:hAnsi="Arial" w:cs="Arial"/>
          <w:sz w:val="18"/>
          <w:szCs w:val="18"/>
        </w:rPr>
        <w:t>Fuente: Ministerio de Economía de la Provincia.</w:t>
      </w:r>
    </w:p>
    <w:p w14:paraId="2786FA00" w14:textId="77777777" w:rsidR="00F37402" w:rsidRPr="00117BF8" w:rsidRDefault="00F37402" w:rsidP="00F37402">
      <w:pPr>
        <w:pStyle w:val="hsa"/>
        <w:spacing w:after="0" w:line="240" w:lineRule="auto"/>
        <w:rPr>
          <w:rFonts w:ascii="Arial" w:eastAsia="Calibri" w:hAnsi="Arial" w:cs="Arial"/>
          <w:sz w:val="20"/>
        </w:rPr>
      </w:pPr>
    </w:p>
    <w:p w14:paraId="0031A819" w14:textId="77777777" w:rsidR="007752B5" w:rsidRPr="00117BF8" w:rsidRDefault="007752B5" w:rsidP="007752B5">
      <w:pPr>
        <w:pStyle w:val="hsa"/>
        <w:rPr>
          <w:rFonts w:ascii="Arial" w:eastAsia="Calibri" w:hAnsi="Arial" w:cs="Arial"/>
          <w:sz w:val="22"/>
          <w:szCs w:val="22"/>
        </w:rPr>
      </w:pPr>
      <w:r w:rsidRPr="00117BF8">
        <w:rPr>
          <w:rFonts w:ascii="Arial" w:eastAsia="Calibri" w:hAnsi="Arial" w:cs="Arial"/>
          <w:sz w:val="22"/>
          <w:szCs w:val="22"/>
        </w:rPr>
        <w:t xml:space="preserve">Según el informe presupuestario del año 2015 el incremento del </w:t>
      </w:r>
      <w:r w:rsidR="00F57CA6" w:rsidRPr="00117BF8">
        <w:rPr>
          <w:rFonts w:ascii="Arial" w:eastAsia="Calibri" w:hAnsi="Arial" w:cs="Arial"/>
          <w:sz w:val="22"/>
          <w:szCs w:val="22"/>
        </w:rPr>
        <w:t xml:space="preserve">gasto en </w:t>
      </w:r>
      <w:r w:rsidRPr="00117BF8">
        <w:rPr>
          <w:rFonts w:ascii="Arial" w:eastAsia="Calibri" w:hAnsi="Arial" w:cs="Arial"/>
          <w:sz w:val="22"/>
          <w:szCs w:val="22"/>
        </w:rPr>
        <w:t>personal se debió a un</w:t>
      </w:r>
      <w:r w:rsidR="00F57CA6" w:rsidRPr="00117BF8">
        <w:rPr>
          <w:rFonts w:ascii="Arial" w:eastAsia="Calibri" w:hAnsi="Arial" w:cs="Arial"/>
          <w:sz w:val="22"/>
          <w:szCs w:val="22"/>
        </w:rPr>
        <w:t xml:space="preserve">a variación </w:t>
      </w:r>
      <w:r w:rsidRPr="00117BF8">
        <w:rPr>
          <w:rFonts w:ascii="Arial" w:eastAsia="Calibri" w:hAnsi="Arial" w:cs="Arial"/>
          <w:sz w:val="22"/>
          <w:szCs w:val="22"/>
        </w:rPr>
        <w:t xml:space="preserve">promedio del 35% en los salarios y al aumento de la planta de personal en el Ministerio de Seguridad, esto </w:t>
      </w:r>
      <w:r w:rsidR="006E0974" w:rsidRPr="00117BF8">
        <w:rPr>
          <w:rFonts w:ascii="Arial" w:eastAsia="Calibri" w:hAnsi="Arial" w:cs="Arial"/>
          <w:sz w:val="22"/>
          <w:szCs w:val="22"/>
        </w:rPr>
        <w:t xml:space="preserve">de alguna manera explica </w:t>
      </w:r>
      <w:r w:rsidRPr="00117BF8">
        <w:rPr>
          <w:rFonts w:ascii="Arial" w:eastAsia="Calibri" w:hAnsi="Arial" w:cs="Arial"/>
          <w:sz w:val="22"/>
          <w:szCs w:val="22"/>
        </w:rPr>
        <w:t>el incremento del 63% del gasto en personal en esa área.</w:t>
      </w:r>
      <w:r w:rsidR="00083D5C" w:rsidRPr="00117BF8">
        <w:rPr>
          <w:rStyle w:val="FootnoteReference"/>
          <w:rFonts w:ascii="Arial" w:eastAsia="Calibri" w:hAnsi="Arial" w:cs="Arial"/>
          <w:sz w:val="22"/>
          <w:szCs w:val="22"/>
        </w:rPr>
        <w:footnoteReference w:id="17"/>
      </w:r>
      <w:r w:rsidRPr="00117BF8">
        <w:rPr>
          <w:rFonts w:ascii="Arial" w:eastAsia="Calibri" w:hAnsi="Arial" w:cs="Arial"/>
          <w:sz w:val="22"/>
          <w:szCs w:val="22"/>
        </w:rPr>
        <w:t xml:space="preserve"> Debe tenerse presente que los porcentajes de incremento salarial no son homogéneos para todas las áreas.</w:t>
      </w:r>
    </w:p>
    <w:p w14:paraId="075A8528" w14:textId="77777777" w:rsidR="007752B5" w:rsidRPr="00117BF8" w:rsidRDefault="007752B5" w:rsidP="00E528A1">
      <w:pPr>
        <w:pStyle w:val="hsa"/>
        <w:rPr>
          <w:rFonts w:ascii="Arial" w:eastAsia="Calibri" w:hAnsi="Arial" w:cs="Arial"/>
          <w:sz w:val="22"/>
          <w:szCs w:val="22"/>
        </w:rPr>
      </w:pPr>
      <w:r w:rsidRPr="00117BF8">
        <w:rPr>
          <w:rFonts w:ascii="Arial" w:eastAsia="Calibri" w:hAnsi="Arial" w:cs="Arial"/>
          <w:sz w:val="22"/>
          <w:szCs w:val="22"/>
        </w:rPr>
        <w:t xml:space="preserve">Para el año 2016, el informe de ejecución presupuestaria atribuye el incremento del rubro </w:t>
      </w:r>
      <w:r w:rsidR="00C80FB9" w:rsidRPr="00117BF8">
        <w:rPr>
          <w:rFonts w:ascii="Arial" w:eastAsia="Calibri" w:hAnsi="Arial" w:cs="Arial"/>
          <w:sz w:val="22"/>
          <w:szCs w:val="22"/>
        </w:rPr>
        <w:t>a la evolución del salario</w:t>
      </w:r>
      <w:r w:rsidRPr="00117BF8">
        <w:rPr>
          <w:rFonts w:ascii="Arial" w:eastAsia="Calibri" w:hAnsi="Arial" w:cs="Arial"/>
          <w:sz w:val="22"/>
          <w:szCs w:val="22"/>
        </w:rPr>
        <w:t>.</w:t>
      </w:r>
    </w:p>
    <w:p w14:paraId="36B2F30A" w14:textId="77777777" w:rsidR="007752B5" w:rsidRPr="00117BF8" w:rsidRDefault="007752B5" w:rsidP="00E528A1">
      <w:pPr>
        <w:pStyle w:val="hsa"/>
        <w:rPr>
          <w:rFonts w:ascii="Arial" w:eastAsia="Calibri" w:hAnsi="Arial" w:cs="Arial"/>
          <w:sz w:val="22"/>
          <w:szCs w:val="22"/>
        </w:rPr>
      </w:pPr>
      <w:r w:rsidRPr="00117BF8">
        <w:rPr>
          <w:rFonts w:ascii="Arial" w:eastAsia="Calibri" w:hAnsi="Arial" w:cs="Arial"/>
          <w:sz w:val="22"/>
          <w:szCs w:val="22"/>
        </w:rPr>
        <w:t>El 89% de las transferencias se explica por tres finalidades, con la siguiente participación:</w:t>
      </w:r>
    </w:p>
    <w:tbl>
      <w:tblPr>
        <w:tblW w:w="7488"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088"/>
        <w:gridCol w:w="1200"/>
        <w:gridCol w:w="1200"/>
      </w:tblGrid>
      <w:tr w:rsidR="0020654C" w:rsidRPr="004E6455" w14:paraId="45C3F169" w14:textId="77777777" w:rsidTr="00C007D0">
        <w:trPr>
          <w:trHeight w:val="465"/>
          <w:jc w:val="center"/>
        </w:trPr>
        <w:tc>
          <w:tcPr>
            <w:tcW w:w="7488" w:type="dxa"/>
            <w:gridSpan w:val="3"/>
            <w:tcBorders>
              <w:top w:val="single" w:sz="8" w:space="0" w:color="7BA0CD"/>
              <w:left w:val="single" w:sz="8" w:space="0" w:color="7BA0CD"/>
              <w:bottom w:val="single" w:sz="8" w:space="0" w:color="7BA0CD"/>
              <w:right w:val="single" w:sz="8" w:space="0" w:color="7BA0CD"/>
            </w:tcBorders>
            <w:shd w:val="clear" w:color="auto" w:fill="0070C0"/>
            <w:noWrap/>
          </w:tcPr>
          <w:p w14:paraId="0A2294F7" w14:textId="77777777" w:rsidR="0020654C" w:rsidRPr="00117BF8" w:rsidRDefault="0020654C" w:rsidP="00A03977">
            <w:pPr>
              <w:pStyle w:val="TablaT"/>
              <w:rPr>
                <w:rFonts w:ascii="Arial" w:hAnsi="Arial" w:cs="Arial"/>
                <w:bCs/>
                <w:sz w:val="22"/>
                <w:szCs w:val="22"/>
                <w:lang w:val="es-ES_tradnl"/>
              </w:rPr>
            </w:pPr>
            <w:bookmarkStart w:id="60" w:name="_Toc493861130"/>
            <w:r w:rsidRPr="00117BF8">
              <w:rPr>
                <w:rFonts w:ascii="Arial" w:hAnsi="Arial" w:cs="Arial"/>
                <w:bCs/>
                <w:sz w:val="22"/>
                <w:szCs w:val="22"/>
                <w:lang w:val="es-ES_tradnl"/>
              </w:rPr>
              <w:t xml:space="preserve">Tabla </w:t>
            </w:r>
            <w:r w:rsidR="00A03977" w:rsidRPr="00117BF8">
              <w:rPr>
                <w:rFonts w:ascii="Arial" w:hAnsi="Arial" w:cs="Arial"/>
                <w:bCs/>
                <w:sz w:val="22"/>
                <w:szCs w:val="22"/>
                <w:lang w:val="es-ES_tradnl"/>
              </w:rPr>
              <w:t>20</w:t>
            </w:r>
            <w:r w:rsidRPr="00117BF8">
              <w:rPr>
                <w:rFonts w:ascii="Arial" w:hAnsi="Arial" w:cs="Arial"/>
                <w:bCs/>
                <w:sz w:val="22"/>
                <w:szCs w:val="22"/>
                <w:lang w:val="es-ES_tradnl"/>
              </w:rPr>
              <w:t xml:space="preserve"> - </w:t>
            </w:r>
            <w:r w:rsidR="00813A48" w:rsidRPr="00117BF8">
              <w:rPr>
                <w:rFonts w:ascii="Arial" w:hAnsi="Arial" w:cs="Arial"/>
                <w:bCs/>
                <w:sz w:val="22"/>
                <w:szCs w:val="22"/>
                <w:lang w:val="es-ES_tradnl"/>
              </w:rPr>
              <w:t>Transferencias</w:t>
            </w:r>
            <w:r w:rsidRPr="00117BF8">
              <w:rPr>
                <w:rFonts w:ascii="Arial" w:hAnsi="Arial" w:cs="Arial"/>
                <w:bCs/>
                <w:sz w:val="22"/>
                <w:szCs w:val="22"/>
                <w:lang w:val="es-ES_tradnl"/>
              </w:rPr>
              <w:t xml:space="preserve"> por Finalidad y Función</w:t>
            </w:r>
            <w:bookmarkEnd w:id="60"/>
          </w:p>
          <w:p w14:paraId="6BB97B81" w14:textId="77777777" w:rsidR="0020654C" w:rsidRPr="00117BF8" w:rsidRDefault="0020654C" w:rsidP="003B04A8">
            <w:pPr>
              <w:pStyle w:val="TablaC"/>
              <w:rPr>
                <w:rFonts w:ascii="Arial" w:hAnsi="Arial" w:cs="Arial"/>
                <w:bCs/>
                <w:color w:val="FFFFFF"/>
                <w:szCs w:val="22"/>
              </w:rPr>
            </w:pPr>
            <w:r w:rsidRPr="00117BF8">
              <w:rPr>
                <w:rFonts w:ascii="Arial" w:hAnsi="Arial" w:cs="Arial"/>
                <w:bCs/>
                <w:color w:val="FFFFFF"/>
                <w:szCs w:val="22"/>
              </w:rPr>
              <w:t>Participación</w:t>
            </w:r>
          </w:p>
        </w:tc>
      </w:tr>
      <w:tr w:rsidR="00C007D0" w:rsidRPr="004E6455" w14:paraId="29C59D2E" w14:textId="77777777" w:rsidTr="00C007D0">
        <w:trPr>
          <w:trHeight w:val="465"/>
          <w:jc w:val="center"/>
        </w:trPr>
        <w:tc>
          <w:tcPr>
            <w:tcW w:w="5088" w:type="dxa"/>
            <w:tcBorders>
              <w:right w:val="nil"/>
            </w:tcBorders>
            <w:shd w:val="clear" w:color="auto" w:fill="0070C0"/>
            <w:hideMark/>
          </w:tcPr>
          <w:p w14:paraId="09111234" w14:textId="77777777" w:rsidR="0020654C" w:rsidRPr="00117BF8" w:rsidRDefault="0020654C" w:rsidP="003B04A8">
            <w:pPr>
              <w:pStyle w:val="TablaE"/>
              <w:rPr>
                <w:rFonts w:ascii="Arial" w:hAnsi="Arial" w:cs="Arial"/>
                <w:bCs/>
                <w:sz w:val="22"/>
                <w:szCs w:val="22"/>
                <w:lang w:val="es-AR" w:eastAsia="es-AR"/>
              </w:rPr>
            </w:pPr>
            <w:r w:rsidRPr="00117BF8">
              <w:rPr>
                <w:rFonts w:ascii="Arial" w:hAnsi="Arial" w:cs="Arial"/>
                <w:bCs/>
                <w:sz w:val="22"/>
                <w:szCs w:val="22"/>
                <w:lang w:val="es-AR" w:eastAsia="es-AR"/>
              </w:rPr>
              <w:t>Finalidad/Función</w:t>
            </w:r>
          </w:p>
        </w:tc>
        <w:tc>
          <w:tcPr>
            <w:tcW w:w="1200" w:type="dxa"/>
            <w:tcBorders>
              <w:left w:val="nil"/>
              <w:right w:val="nil"/>
            </w:tcBorders>
            <w:shd w:val="clear" w:color="auto" w:fill="0070C0"/>
            <w:hideMark/>
          </w:tcPr>
          <w:p w14:paraId="6EF40C2F" w14:textId="77777777" w:rsidR="0020654C" w:rsidRPr="00117BF8" w:rsidRDefault="0020654C" w:rsidP="003B04A8">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200" w:type="dxa"/>
            <w:tcBorders>
              <w:left w:val="nil"/>
            </w:tcBorders>
            <w:shd w:val="clear" w:color="auto" w:fill="0070C0"/>
            <w:hideMark/>
          </w:tcPr>
          <w:p w14:paraId="2384693A" w14:textId="77777777" w:rsidR="0020654C" w:rsidRPr="00117BF8" w:rsidRDefault="0020654C" w:rsidP="003B04A8">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r>
      <w:tr w:rsidR="00C007D0" w:rsidRPr="004E6455" w14:paraId="150D58AD" w14:textId="77777777" w:rsidTr="00C007D0">
        <w:trPr>
          <w:trHeight w:val="300"/>
          <w:jc w:val="center"/>
        </w:trPr>
        <w:tc>
          <w:tcPr>
            <w:tcW w:w="5088" w:type="dxa"/>
            <w:tcBorders>
              <w:right w:val="nil"/>
            </w:tcBorders>
            <w:shd w:val="clear" w:color="auto" w:fill="auto"/>
            <w:vAlign w:val="center"/>
            <w:hideMark/>
          </w:tcPr>
          <w:p w14:paraId="1D2BAFA6" w14:textId="77777777" w:rsidR="00813A48" w:rsidRPr="00117BF8" w:rsidRDefault="00813A48" w:rsidP="00C007D0">
            <w:pPr>
              <w:pStyle w:val="TablaC"/>
              <w:jc w:val="left"/>
              <w:rPr>
                <w:rFonts w:ascii="Arial" w:hAnsi="Arial" w:cs="Arial"/>
                <w:bCs/>
                <w:color w:val="000000"/>
                <w:sz w:val="18"/>
                <w:szCs w:val="18"/>
              </w:rPr>
            </w:pPr>
            <w:r w:rsidRPr="00117BF8">
              <w:rPr>
                <w:rFonts w:ascii="Arial" w:hAnsi="Arial" w:cs="Arial"/>
                <w:bCs/>
                <w:sz w:val="18"/>
                <w:szCs w:val="18"/>
              </w:rPr>
              <w:t>Administración Gubernamental</w:t>
            </w:r>
            <w:r w:rsidRPr="00117BF8">
              <w:rPr>
                <w:rFonts w:ascii="Arial" w:hAnsi="Arial" w:cs="Arial"/>
                <w:bCs/>
                <w:color w:val="000000"/>
                <w:sz w:val="18"/>
                <w:szCs w:val="18"/>
              </w:rPr>
              <w:t xml:space="preserve"> - Relaciones Interiores</w:t>
            </w:r>
          </w:p>
        </w:tc>
        <w:tc>
          <w:tcPr>
            <w:tcW w:w="1200" w:type="dxa"/>
            <w:tcBorders>
              <w:left w:val="nil"/>
              <w:right w:val="nil"/>
            </w:tcBorders>
            <w:shd w:val="clear" w:color="auto" w:fill="auto"/>
            <w:vAlign w:val="center"/>
            <w:hideMark/>
          </w:tcPr>
          <w:p w14:paraId="2FFE4727" w14:textId="77777777" w:rsidR="00813A48" w:rsidRPr="00117BF8" w:rsidRDefault="00813A48" w:rsidP="00813A48">
            <w:pPr>
              <w:pStyle w:val="TablaC"/>
              <w:rPr>
                <w:rFonts w:ascii="Arial" w:hAnsi="Arial" w:cs="Arial"/>
                <w:color w:val="000000"/>
                <w:sz w:val="18"/>
                <w:szCs w:val="18"/>
              </w:rPr>
            </w:pPr>
            <w:r w:rsidRPr="00117BF8">
              <w:rPr>
                <w:rFonts w:ascii="Arial" w:hAnsi="Arial" w:cs="Arial"/>
                <w:color w:val="000000"/>
                <w:sz w:val="18"/>
                <w:szCs w:val="18"/>
              </w:rPr>
              <w:t>29,4%</w:t>
            </w:r>
          </w:p>
        </w:tc>
        <w:tc>
          <w:tcPr>
            <w:tcW w:w="1200" w:type="dxa"/>
            <w:tcBorders>
              <w:left w:val="nil"/>
            </w:tcBorders>
            <w:shd w:val="clear" w:color="auto" w:fill="auto"/>
            <w:vAlign w:val="center"/>
            <w:hideMark/>
          </w:tcPr>
          <w:p w14:paraId="48FC6076" w14:textId="77777777" w:rsidR="00813A48" w:rsidRPr="00117BF8" w:rsidRDefault="00813A48" w:rsidP="00813A48">
            <w:pPr>
              <w:pStyle w:val="TablaC"/>
              <w:rPr>
                <w:rFonts w:ascii="Arial" w:hAnsi="Arial" w:cs="Arial"/>
                <w:color w:val="000000"/>
                <w:sz w:val="18"/>
                <w:szCs w:val="18"/>
              </w:rPr>
            </w:pPr>
            <w:r w:rsidRPr="00117BF8">
              <w:rPr>
                <w:rFonts w:ascii="Arial" w:hAnsi="Arial" w:cs="Arial"/>
                <w:color w:val="000000"/>
                <w:sz w:val="18"/>
                <w:szCs w:val="18"/>
              </w:rPr>
              <w:t>30,3%</w:t>
            </w:r>
          </w:p>
        </w:tc>
      </w:tr>
      <w:tr w:rsidR="00C007D0" w:rsidRPr="004E6455" w14:paraId="14139481" w14:textId="77777777" w:rsidTr="00C007D0">
        <w:trPr>
          <w:trHeight w:val="300"/>
          <w:jc w:val="center"/>
        </w:trPr>
        <w:tc>
          <w:tcPr>
            <w:tcW w:w="5088" w:type="dxa"/>
            <w:shd w:val="clear" w:color="auto" w:fill="D3DFEE"/>
            <w:vAlign w:val="center"/>
            <w:hideMark/>
          </w:tcPr>
          <w:p w14:paraId="3C0F951A" w14:textId="77777777" w:rsidR="00813A48" w:rsidRPr="00117BF8" w:rsidRDefault="00813A48" w:rsidP="00C007D0">
            <w:pPr>
              <w:pStyle w:val="TablaC"/>
              <w:jc w:val="left"/>
              <w:rPr>
                <w:rFonts w:ascii="Arial" w:hAnsi="Arial" w:cs="Arial"/>
                <w:bCs/>
                <w:color w:val="000000"/>
                <w:sz w:val="18"/>
                <w:szCs w:val="18"/>
              </w:rPr>
            </w:pPr>
            <w:r w:rsidRPr="00117BF8">
              <w:rPr>
                <w:rFonts w:ascii="Arial" w:hAnsi="Arial" w:cs="Arial"/>
                <w:bCs/>
                <w:sz w:val="18"/>
                <w:szCs w:val="18"/>
              </w:rPr>
              <w:t>Servicios Sociales</w:t>
            </w:r>
            <w:r w:rsidRPr="00117BF8">
              <w:rPr>
                <w:rFonts w:ascii="Arial" w:hAnsi="Arial" w:cs="Arial"/>
                <w:bCs/>
                <w:color w:val="000000"/>
                <w:sz w:val="18"/>
                <w:szCs w:val="18"/>
              </w:rPr>
              <w:t xml:space="preserve"> - Seguridad Social</w:t>
            </w:r>
          </w:p>
        </w:tc>
        <w:tc>
          <w:tcPr>
            <w:tcW w:w="1200" w:type="dxa"/>
            <w:shd w:val="clear" w:color="auto" w:fill="D3DFEE"/>
            <w:vAlign w:val="center"/>
            <w:hideMark/>
          </w:tcPr>
          <w:p w14:paraId="3CD7DF63" w14:textId="77777777" w:rsidR="00813A48" w:rsidRPr="00117BF8" w:rsidRDefault="00813A48" w:rsidP="00813A48">
            <w:pPr>
              <w:pStyle w:val="TablaC"/>
              <w:rPr>
                <w:rFonts w:ascii="Arial" w:hAnsi="Arial" w:cs="Arial"/>
                <w:color w:val="000000"/>
                <w:sz w:val="18"/>
                <w:szCs w:val="18"/>
              </w:rPr>
            </w:pPr>
            <w:r w:rsidRPr="00117BF8">
              <w:rPr>
                <w:rFonts w:ascii="Arial" w:hAnsi="Arial" w:cs="Arial"/>
                <w:color w:val="000000"/>
                <w:sz w:val="18"/>
                <w:szCs w:val="18"/>
              </w:rPr>
              <w:t>46,2%</w:t>
            </w:r>
          </w:p>
        </w:tc>
        <w:tc>
          <w:tcPr>
            <w:tcW w:w="1200" w:type="dxa"/>
            <w:shd w:val="clear" w:color="auto" w:fill="D3DFEE"/>
            <w:vAlign w:val="center"/>
            <w:hideMark/>
          </w:tcPr>
          <w:p w14:paraId="40A1A3BE" w14:textId="77777777" w:rsidR="00813A48" w:rsidRPr="00117BF8" w:rsidRDefault="00813A48" w:rsidP="00813A48">
            <w:pPr>
              <w:pStyle w:val="TablaC"/>
              <w:rPr>
                <w:rFonts w:ascii="Arial" w:hAnsi="Arial" w:cs="Arial"/>
                <w:color w:val="000000"/>
                <w:sz w:val="18"/>
                <w:szCs w:val="18"/>
              </w:rPr>
            </w:pPr>
            <w:r w:rsidRPr="00117BF8">
              <w:rPr>
                <w:rFonts w:ascii="Arial" w:hAnsi="Arial" w:cs="Arial"/>
                <w:color w:val="000000"/>
                <w:sz w:val="18"/>
                <w:szCs w:val="18"/>
              </w:rPr>
              <w:t>41,0%</w:t>
            </w:r>
          </w:p>
        </w:tc>
      </w:tr>
      <w:tr w:rsidR="00C007D0" w:rsidRPr="004E6455" w14:paraId="70173D85" w14:textId="77777777" w:rsidTr="00C007D0">
        <w:trPr>
          <w:trHeight w:val="300"/>
          <w:jc w:val="center"/>
        </w:trPr>
        <w:tc>
          <w:tcPr>
            <w:tcW w:w="5088" w:type="dxa"/>
            <w:tcBorders>
              <w:right w:val="nil"/>
            </w:tcBorders>
            <w:shd w:val="clear" w:color="auto" w:fill="auto"/>
            <w:vAlign w:val="center"/>
            <w:hideMark/>
          </w:tcPr>
          <w:p w14:paraId="4E34E298" w14:textId="77777777" w:rsidR="00813A48" w:rsidRPr="00117BF8" w:rsidRDefault="00813A48" w:rsidP="00C007D0">
            <w:pPr>
              <w:pStyle w:val="TablaC"/>
              <w:jc w:val="left"/>
              <w:rPr>
                <w:rFonts w:ascii="Arial" w:hAnsi="Arial" w:cs="Arial"/>
                <w:bCs/>
                <w:color w:val="000000"/>
                <w:sz w:val="18"/>
                <w:szCs w:val="18"/>
                <w:lang w:val="es-ES_tradnl"/>
              </w:rPr>
            </w:pPr>
            <w:r w:rsidRPr="00117BF8">
              <w:rPr>
                <w:rFonts w:ascii="Arial" w:hAnsi="Arial" w:cs="Arial"/>
                <w:bCs/>
                <w:sz w:val="18"/>
                <w:szCs w:val="18"/>
                <w:lang w:val="es-ES_tradnl"/>
              </w:rPr>
              <w:t>Servicios Sociales</w:t>
            </w:r>
            <w:r w:rsidRPr="00117BF8">
              <w:rPr>
                <w:rFonts w:ascii="Arial" w:hAnsi="Arial" w:cs="Arial"/>
                <w:bCs/>
                <w:color w:val="000000"/>
                <w:sz w:val="18"/>
                <w:szCs w:val="18"/>
                <w:lang w:val="es-ES_tradnl"/>
              </w:rPr>
              <w:t xml:space="preserve"> - Educación y Cultura</w:t>
            </w:r>
          </w:p>
        </w:tc>
        <w:tc>
          <w:tcPr>
            <w:tcW w:w="1200" w:type="dxa"/>
            <w:tcBorders>
              <w:left w:val="nil"/>
              <w:right w:val="nil"/>
            </w:tcBorders>
            <w:shd w:val="clear" w:color="auto" w:fill="auto"/>
            <w:vAlign w:val="center"/>
            <w:hideMark/>
          </w:tcPr>
          <w:p w14:paraId="5DE5B0DE" w14:textId="77777777" w:rsidR="00813A48" w:rsidRPr="00117BF8" w:rsidRDefault="00813A48" w:rsidP="00813A48">
            <w:pPr>
              <w:pStyle w:val="TablaC"/>
              <w:rPr>
                <w:rFonts w:ascii="Arial" w:hAnsi="Arial" w:cs="Arial"/>
                <w:color w:val="000000"/>
                <w:sz w:val="18"/>
                <w:szCs w:val="18"/>
              </w:rPr>
            </w:pPr>
            <w:r w:rsidRPr="00117BF8">
              <w:rPr>
                <w:rFonts w:ascii="Arial" w:hAnsi="Arial" w:cs="Arial"/>
                <w:color w:val="000000"/>
                <w:sz w:val="18"/>
                <w:szCs w:val="18"/>
              </w:rPr>
              <w:t>13,8%</w:t>
            </w:r>
          </w:p>
        </w:tc>
        <w:tc>
          <w:tcPr>
            <w:tcW w:w="1200" w:type="dxa"/>
            <w:tcBorders>
              <w:left w:val="nil"/>
            </w:tcBorders>
            <w:shd w:val="clear" w:color="auto" w:fill="auto"/>
            <w:vAlign w:val="center"/>
            <w:hideMark/>
          </w:tcPr>
          <w:p w14:paraId="4FBF11B5" w14:textId="77777777" w:rsidR="00813A48" w:rsidRPr="00117BF8" w:rsidRDefault="00813A48" w:rsidP="00813A48">
            <w:pPr>
              <w:pStyle w:val="TablaC"/>
              <w:rPr>
                <w:rFonts w:ascii="Arial" w:hAnsi="Arial" w:cs="Arial"/>
                <w:color w:val="000000"/>
                <w:sz w:val="18"/>
                <w:szCs w:val="18"/>
              </w:rPr>
            </w:pPr>
            <w:r w:rsidRPr="00117BF8">
              <w:rPr>
                <w:rFonts w:ascii="Arial" w:hAnsi="Arial" w:cs="Arial"/>
                <w:color w:val="000000"/>
                <w:sz w:val="18"/>
                <w:szCs w:val="18"/>
              </w:rPr>
              <w:t>17,4%</w:t>
            </w:r>
          </w:p>
        </w:tc>
      </w:tr>
      <w:tr w:rsidR="00C007D0" w:rsidRPr="004E6455" w14:paraId="3F0367B5" w14:textId="77777777" w:rsidTr="00C007D0">
        <w:trPr>
          <w:trHeight w:val="300"/>
          <w:jc w:val="center"/>
        </w:trPr>
        <w:tc>
          <w:tcPr>
            <w:tcW w:w="5088" w:type="dxa"/>
            <w:shd w:val="clear" w:color="auto" w:fill="D3DFEE"/>
            <w:vAlign w:val="center"/>
            <w:hideMark/>
          </w:tcPr>
          <w:p w14:paraId="469FFF51" w14:textId="77777777" w:rsidR="00813A48" w:rsidRPr="00117BF8" w:rsidRDefault="00813A48" w:rsidP="00C007D0">
            <w:pPr>
              <w:pStyle w:val="TablaC"/>
              <w:jc w:val="left"/>
              <w:rPr>
                <w:rFonts w:ascii="Arial" w:hAnsi="Arial" w:cs="Arial"/>
                <w:b/>
                <w:bCs/>
                <w:sz w:val="18"/>
                <w:szCs w:val="18"/>
              </w:rPr>
            </w:pPr>
            <w:r w:rsidRPr="00117BF8">
              <w:rPr>
                <w:rFonts w:ascii="Arial" w:hAnsi="Arial" w:cs="Arial"/>
                <w:b/>
                <w:bCs/>
                <w:sz w:val="18"/>
                <w:szCs w:val="18"/>
              </w:rPr>
              <w:t>Total Seleccionados</w:t>
            </w:r>
          </w:p>
        </w:tc>
        <w:tc>
          <w:tcPr>
            <w:tcW w:w="1200" w:type="dxa"/>
            <w:shd w:val="clear" w:color="auto" w:fill="D3DFEE"/>
            <w:vAlign w:val="bottom"/>
            <w:hideMark/>
          </w:tcPr>
          <w:p w14:paraId="0312A4C4" w14:textId="77777777" w:rsidR="00813A48" w:rsidRPr="00117BF8" w:rsidRDefault="00813A48" w:rsidP="00813A48">
            <w:pPr>
              <w:pStyle w:val="TablaC"/>
              <w:rPr>
                <w:rFonts w:ascii="Arial" w:hAnsi="Arial" w:cs="Arial"/>
                <w:b/>
                <w:color w:val="000000"/>
                <w:sz w:val="18"/>
                <w:szCs w:val="18"/>
              </w:rPr>
            </w:pPr>
            <w:r w:rsidRPr="00117BF8">
              <w:rPr>
                <w:rFonts w:ascii="Arial" w:hAnsi="Arial" w:cs="Arial"/>
                <w:b/>
                <w:color w:val="000000"/>
                <w:sz w:val="18"/>
                <w:szCs w:val="18"/>
              </w:rPr>
              <w:t>89,4%</w:t>
            </w:r>
          </w:p>
        </w:tc>
        <w:tc>
          <w:tcPr>
            <w:tcW w:w="1200" w:type="dxa"/>
            <w:shd w:val="clear" w:color="auto" w:fill="D3DFEE"/>
            <w:vAlign w:val="bottom"/>
            <w:hideMark/>
          </w:tcPr>
          <w:p w14:paraId="7D479A9D" w14:textId="77777777" w:rsidR="00813A48" w:rsidRPr="00117BF8" w:rsidRDefault="00813A48" w:rsidP="00813A48">
            <w:pPr>
              <w:pStyle w:val="TablaC"/>
              <w:rPr>
                <w:rFonts w:ascii="Arial" w:hAnsi="Arial" w:cs="Arial"/>
                <w:b/>
                <w:color w:val="000000"/>
                <w:sz w:val="18"/>
                <w:szCs w:val="18"/>
              </w:rPr>
            </w:pPr>
            <w:r w:rsidRPr="00117BF8">
              <w:rPr>
                <w:rFonts w:ascii="Arial" w:hAnsi="Arial" w:cs="Arial"/>
                <w:b/>
                <w:color w:val="000000"/>
                <w:sz w:val="18"/>
                <w:szCs w:val="18"/>
              </w:rPr>
              <w:t>88,8%</w:t>
            </w:r>
          </w:p>
        </w:tc>
      </w:tr>
    </w:tbl>
    <w:p w14:paraId="00AE601A" w14:textId="77777777" w:rsidR="00A03977" w:rsidRPr="00117BF8" w:rsidRDefault="00A03977" w:rsidP="00A03977">
      <w:pPr>
        <w:pStyle w:val="Hfuente"/>
        <w:rPr>
          <w:rFonts w:ascii="Arial" w:hAnsi="Arial" w:cs="Arial"/>
          <w:sz w:val="18"/>
          <w:szCs w:val="18"/>
        </w:rPr>
      </w:pPr>
      <w:r w:rsidRPr="00117BF8">
        <w:rPr>
          <w:rFonts w:ascii="Arial" w:hAnsi="Arial" w:cs="Arial"/>
          <w:sz w:val="18"/>
          <w:szCs w:val="18"/>
        </w:rPr>
        <w:t>Elaboración propia sobre datos de la CGPBA.</w:t>
      </w:r>
    </w:p>
    <w:p w14:paraId="3CA974A7" w14:textId="77777777" w:rsidR="00F76192" w:rsidRPr="00117BF8" w:rsidRDefault="00F76192" w:rsidP="00E528A1">
      <w:pPr>
        <w:pStyle w:val="hsa"/>
        <w:rPr>
          <w:rFonts w:ascii="Arial" w:eastAsia="Calibri" w:hAnsi="Arial" w:cs="Arial"/>
          <w:sz w:val="22"/>
          <w:szCs w:val="22"/>
        </w:rPr>
      </w:pPr>
      <w:r w:rsidRPr="00117BF8">
        <w:rPr>
          <w:rFonts w:ascii="Arial" w:eastAsia="Calibri" w:hAnsi="Arial" w:cs="Arial"/>
          <w:sz w:val="22"/>
          <w:szCs w:val="22"/>
        </w:rPr>
        <w:t xml:space="preserve">Las </w:t>
      </w:r>
      <w:r w:rsidR="00C80FB9" w:rsidRPr="00117BF8">
        <w:rPr>
          <w:rFonts w:ascii="Arial" w:eastAsia="Calibri" w:hAnsi="Arial" w:cs="Arial"/>
          <w:sz w:val="22"/>
          <w:szCs w:val="22"/>
        </w:rPr>
        <w:t xml:space="preserve">transferencias </w:t>
      </w:r>
      <w:r w:rsidRPr="00117BF8">
        <w:rPr>
          <w:rFonts w:ascii="Arial" w:eastAsia="Calibri" w:hAnsi="Arial" w:cs="Arial"/>
          <w:sz w:val="22"/>
          <w:szCs w:val="22"/>
        </w:rPr>
        <w:t xml:space="preserve">registradas </w:t>
      </w:r>
      <w:r w:rsidR="00C80FB9" w:rsidRPr="00117BF8">
        <w:rPr>
          <w:rFonts w:ascii="Arial" w:eastAsia="Calibri" w:hAnsi="Arial" w:cs="Arial"/>
          <w:sz w:val="22"/>
          <w:szCs w:val="22"/>
        </w:rPr>
        <w:t>en</w:t>
      </w:r>
      <w:r w:rsidRPr="00117BF8">
        <w:rPr>
          <w:rFonts w:ascii="Arial" w:eastAsia="Calibri" w:hAnsi="Arial" w:cs="Arial"/>
          <w:sz w:val="22"/>
          <w:szCs w:val="22"/>
        </w:rPr>
        <w:t xml:space="preserve"> Relaciones Interiores son esencialmente las correspondientes a la coparticipación municipal,</w:t>
      </w:r>
      <w:r w:rsidRPr="00117BF8">
        <w:rPr>
          <w:rStyle w:val="FootnoteReference"/>
          <w:rFonts w:ascii="Arial" w:eastAsia="Calibri" w:hAnsi="Arial" w:cs="Arial"/>
          <w:sz w:val="22"/>
          <w:szCs w:val="22"/>
        </w:rPr>
        <w:footnoteReference w:id="18"/>
      </w:r>
      <w:r w:rsidRPr="00117BF8">
        <w:rPr>
          <w:rFonts w:ascii="Arial" w:eastAsia="Calibri" w:hAnsi="Arial" w:cs="Arial"/>
          <w:sz w:val="22"/>
          <w:szCs w:val="22"/>
        </w:rPr>
        <w:t xml:space="preserve"> estas transferencias </w:t>
      </w:r>
      <w:r w:rsidR="00C80FB9" w:rsidRPr="00117BF8">
        <w:rPr>
          <w:rFonts w:ascii="Arial" w:eastAsia="Calibri" w:hAnsi="Arial" w:cs="Arial"/>
          <w:sz w:val="22"/>
          <w:szCs w:val="22"/>
        </w:rPr>
        <w:t>dependen</w:t>
      </w:r>
      <w:r w:rsidRPr="00117BF8">
        <w:rPr>
          <w:rFonts w:ascii="Arial" w:eastAsia="Calibri" w:hAnsi="Arial" w:cs="Arial"/>
          <w:sz w:val="22"/>
          <w:szCs w:val="22"/>
        </w:rPr>
        <w:t xml:space="preserve"> de la recaudación tributaria </w:t>
      </w:r>
      <w:r w:rsidR="00C80FB9" w:rsidRPr="00117BF8">
        <w:rPr>
          <w:rFonts w:ascii="Arial" w:eastAsia="Calibri" w:hAnsi="Arial" w:cs="Arial"/>
          <w:sz w:val="22"/>
          <w:szCs w:val="22"/>
        </w:rPr>
        <w:t xml:space="preserve">y, por lo tanto, </w:t>
      </w:r>
      <w:r w:rsidRPr="00117BF8">
        <w:rPr>
          <w:rFonts w:ascii="Arial" w:eastAsia="Calibri" w:hAnsi="Arial" w:cs="Arial"/>
          <w:sz w:val="22"/>
          <w:szCs w:val="22"/>
        </w:rPr>
        <w:t>evolucionan de manera similar.</w:t>
      </w:r>
    </w:p>
    <w:p w14:paraId="5B9131DE" w14:textId="77777777" w:rsidR="00F76192" w:rsidRPr="00117BF8" w:rsidRDefault="00F76192" w:rsidP="00E528A1">
      <w:pPr>
        <w:pStyle w:val="hsa"/>
        <w:rPr>
          <w:rFonts w:ascii="Arial" w:eastAsia="Calibri" w:hAnsi="Arial" w:cs="Arial"/>
          <w:sz w:val="22"/>
          <w:szCs w:val="22"/>
        </w:rPr>
      </w:pPr>
      <w:r w:rsidRPr="00117BF8">
        <w:rPr>
          <w:rFonts w:ascii="Arial" w:eastAsia="Calibri" w:hAnsi="Arial" w:cs="Arial"/>
          <w:sz w:val="22"/>
          <w:szCs w:val="22"/>
        </w:rPr>
        <w:t>Las transferencia</w:t>
      </w:r>
      <w:r w:rsidR="00C16A7F" w:rsidRPr="00117BF8">
        <w:rPr>
          <w:rFonts w:ascii="Arial" w:eastAsia="Calibri" w:hAnsi="Arial" w:cs="Arial"/>
          <w:sz w:val="22"/>
          <w:szCs w:val="22"/>
        </w:rPr>
        <w:t>s</w:t>
      </w:r>
      <w:r w:rsidRPr="00117BF8">
        <w:rPr>
          <w:rFonts w:ascii="Arial" w:eastAsia="Calibri" w:hAnsi="Arial" w:cs="Arial"/>
          <w:sz w:val="22"/>
          <w:szCs w:val="22"/>
        </w:rPr>
        <w:t xml:space="preserve"> a la Seguridad Social </w:t>
      </w:r>
      <w:r w:rsidR="00C80FB9" w:rsidRPr="00117BF8">
        <w:rPr>
          <w:rFonts w:ascii="Arial" w:eastAsia="Calibri" w:hAnsi="Arial" w:cs="Arial"/>
          <w:sz w:val="22"/>
          <w:szCs w:val="22"/>
        </w:rPr>
        <w:t>están directamente relacionada</w:t>
      </w:r>
      <w:r w:rsidR="00C16A7F" w:rsidRPr="00117BF8">
        <w:rPr>
          <w:rFonts w:ascii="Arial" w:eastAsia="Calibri" w:hAnsi="Arial" w:cs="Arial"/>
          <w:sz w:val="22"/>
          <w:szCs w:val="22"/>
        </w:rPr>
        <w:t xml:space="preserve">s con las remuneraciones y su variación se explica principalmente por estas. </w:t>
      </w:r>
      <w:r w:rsidR="00F57CA6" w:rsidRPr="00117BF8">
        <w:rPr>
          <w:rFonts w:ascii="Arial" w:eastAsia="Calibri" w:hAnsi="Arial" w:cs="Arial"/>
          <w:sz w:val="22"/>
          <w:szCs w:val="22"/>
        </w:rPr>
        <w:t>E</w:t>
      </w:r>
      <w:r w:rsidR="00C16A7F" w:rsidRPr="00117BF8">
        <w:rPr>
          <w:rFonts w:ascii="Arial" w:eastAsia="Calibri" w:hAnsi="Arial" w:cs="Arial"/>
          <w:sz w:val="22"/>
          <w:szCs w:val="22"/>
        </w:rPr>
        <w:t xml:space="preserve">n el año 2016 </w:t>
      </w:r>
      <w:r w:rsidR="00C80FB9" w:rsidRPr="00117BF8">
        <w:rPr>
          <w:rFonts w:ascii="Arial" w:eastAsia="Calibri" w:hAnsi="Arial" w:cs="Arial"/>
          <w:sz w:val="22"/>
          <w:szCs w:val="22"/>
        </w:rPr>
        <w:t>se incluyen</w:t>
      </w:r>
      <w:r w:rsidR="00F57CA6" w:rsidRPr="00117BF8">
        <w:rPr>
          <w:rFonts w:ascii="Arial" w:eastAsia="Calibri" w:hAnsi="Arial" w:cs="Arial"/>
          <w:sz w:val="22"/>
          <w:szCs w:val="22"/>
        </w:rPr>
        <w:t>,</w:t>
      </w:r>
      <w:r w:rsidR="00C80FB9" w:rsidRPr="00117BF8">
        <w:rPr>
          <w:rFonts w:ascii="Arial" w:eastAsia="Calibri" w:hAnsi="Arial" w:cs="Arial"/>
          <w:sz w:val="22"/>
          <w:szCs w:val="22"/>
        </w:rPr>
        <w:t xml:space="preserve"> </w:t>
      </w:r>
      <w:r w:rsidR="00C16A7F" w:rsidRPr="00117BF8">
        <w:rPr>
          <w:rFonts w:ascii="Arial" w:eastAsia="Calibri" w:hAnsi="Arial" w:cs="Arial"/>
          <w:sz w:val="22"/>
          <w:szCs w:val="22"/>
        </w:rPr>
        <w:t>además</w:t>
      </w:r>
      <w:r w:rsidR="00F57CA6" w:rsidRPr="00117BF8">
        <w:rPr>
          <w:rFonts w:ascii="Arial" w:eastAsia="Calibri" w:hAnsi="Arial" w:cs="Arial"/>
          <w:sz w:val="22"/>
          <w:szCs w:val="22"/>
        </w:rPr>
        <w:t>,</w:t>
      </w:r>
      <w:r w:rsidR="00C16A7F" w:rsidRPr="00117BF8">
        <w:rPr>
          <w:rFonts w:ascii="Arial" w:eastAsia="Calibri" w:hAnsi="Arial" w:cs="Arial"/>
          <w:sz w:val="22"/>
          <w:szCs w:val="22"/>
        </w:rPr>
        <w:t xml:space="preserve"> </w:t>
      </w:r>
      <w:r w:rsidR="00C80FB9" w:rsidRPr="00117BF8">
        <w:rPr>
          <w:rFonts w:ascii="Arial" w:eastAsia="Calibri" w:hAnsi="Arial" w:cs="Arial"/>
          <w:sz w:val="22"/>
          <w:szCs w:val="22"/>
        </w:rPr>
        <w:t xml:space="preserve">transferencias </w:t>
      </w:r>
      <w:r w:rsidR="00C16A7F" w:rsidRPr="00117BF8">
        <w:rPr>
          <w:rFonts w:ascii="Arial" w:eastAsia="Calibri" w:hAnsi="Arial" w:cs="Arial"/>
          <w:sz w:val="22"/>
          <w:szCs w:val="22"/>
        </w:rPr>
        <w:t xml:space="preserve">por $11.500 millones </w:t>
      </w:r>
      <w:r w:rsidR="00C80FB9" w:rsidRPr="00117BF8">
        <w:rPr>
          <w:rFonts w:ascii="Arial" w:eastAsia="Calibri" w:hAnsi="Arial" w:cs="Arial"/>
          <w:sz w:val="22"/>
          <w:szCs w:val="22"/>
        </w:rPr>
        <w:t>con destino</w:t>
      </w:r>
      <w:r w:rsidR="00C16A7F" w:rsidRPr="00117BF8">
        <w:rPr>
          <w:rFonts w:ascii="Arial" w:eastAsia="Calibri" w:hAnsi="Arial" w:cs="Arial"/>
          <w:sz w:val="22"/>
          <w:szCs w:val="22"/>
        </w:rPr>
        <w:t xml:space="preserve"> a la Caja de Jubilaciones y Pensiones del Banco Provincia. Este monto </w:t>
      </w:r>
      <w:r w:rsidR="00C80FB9" w:rsidRPr="00117BF8">
        <w:rPr>
          <w:rFonts w:ascii="Arial" w:eastAsia="Calibri" w:hAnsi="Arial" w:cs="Arial"/>
          <w:sz w:val="22"/>
          <w:szCs w:val="22"/>
        </w:rPr>
        <w:t>cubrió</w:t>
      </w:r>
      <w:r w:rsidR="00C16A7F" w:rsidRPr="00117BF8">
        <w:rPr>
          <w:rFonts w:ascii="Arial" w:eastAsia="Calibri" w:hAnsi="Arial" w:cs="Arial"/>
          <w:sz w:val="22"/>
          <w:szCs w:val="22"/>
        </w:rPr>
        <w:t xml:space="preserve"> défic</w:t>
      </w:r>
      <w:r w:rsidR="00AC65C7" w:rsidRPr="00117BF8">
        <w:rPr>
          <w:rFonts w:ascii="Arial" w:eastAsia="Calibri" w:hAnsi="Arial" w:cs="Arial"/>
          <w:sz w:val="22"/>
          <w:szCs w:val="22"/>
        </w:rPr>
        <w:t>i</w:t>
      </w:r>
      <w:r w:rsidR="00C16A7F" w:rsidRPr="00117BF8">
        <w:rPr>
          <w:rFonts w:ascii="Arial" w:eastAsia="Calibri" w:hAnsi="Arial" w:cs="Arial"/>
          <w:sz w:val="22"/>
          <w:szCs w:val="22"/>
        </w:rPr>
        <w:t>ts de esa caja acumulados desde el año 2012.</w:t>
      </w:r>
    </w:p>
    <w:p w14:paraId="6C32E8DD" w14:textId="77777777" w:rsidR="00A07D5B" w:rsidRPr="00117BF8" w:rsidRDefault="00A07D5B" w:rsidP="00E528A1">
      <w:pPr>
        <w:pStyle w:val="hsa"/>
        <w:rPr>
          <w:rFonts w:ascii="Arial" w:eastAsia="Calibri" w:hAnsi="Arial" w:cs="Arial"/>
          <w:sz w:val="22"/>
          <w:szCs w:val="22"/>
        </w:rPr>
      </w:pPr>
      <w:r w:rsidRPr="00117BF8">
        <w:rPr>
          <w:rFonts w:ascii="Arial" w:eastAsia="Calibri" w:hAnsi="Arial" w:cs="Arial"/>
          <w:sz w:val="22"/>
          <w:szCs w:val="22"/>
        </w:rPr>
        <w:t>Respecto de la</w:t>
      </w:r>
      <w:r w:rsidR="00C80FB9" w:rsidRPr="00117BF8">
        <w:rPr>
          <w:rFonts w:ascii="Arial" w:eastAsia="Calibri" w:hAnsi="Arial" w:cs="Arial"/>
          <w:sz w:val="22"/>
          <w:szCs w:val="22"/>
        </w:rPr>
        <w:t>s</w:t>
      </w:r>
      <w:r w:rsidRPr="00117BF8">
        <w:rPr>
          <w:rFonts w:ascii="Arial" w:eastAsia="Calibri" w:hAnsi="Arial" w:cs="Arial"/>
          <w:sz w:val="22"/>
          <w:szCs w:val="22"/>
        </w:rPr>
        <w:t xml:space="preserve"> transferencias para Educación y Cultura </w:t>
      </w:r>
      <w:r w:rsidR="00695D34" w:rsidRPr="00117BF8">
        <w:rPr>
          <w:rFonts w:ascii="Arial" w:eastAsia="Calibri" w:hAnsi="Arial" w:cs="Arial"/>
          <w:sz w:val="22"/>
          <w:szCs w:val="22"/>
        </w:rPr>
        <w:t>las mismas</w:t>
      </w:r>
      <w:r w:rsidRPr="00117BF8">
        <w:rPr>
          <w:rFonts w:ascii="Arial" w:eastAsia="Calibri" w:hAnsi="Arial" w:cs="Arial"/>
          <w:sz w:val="22"/>
          <w:szCs w:val="22"/>
        </w:rPr>
        <w:t xml:space="preserve"> se corresponden con las </w:t>
      </w:r>
      <w:r w:rsidR="00F57CA6" w:rsidRPr="00117BF8">
        <w:rPr>
          <w:rFonts w:ascii="Arial" w:eastAsia="Calibri" w:hAnsi="Arial" w:cs="Arial"/>
          <w:sz w:val="22"/>
          <w:szCs w:val="22"/>
        </w:rPr>
        <w:t>destinadas</w:t>
      </w:r>
      <w:r w:rsidRPr="00117BF8">
        <w:rPr>
          <w:rFonts w:ascii="Arial" w:eastAsia="Calibri" w:hAnsi="Arial" w:cs="Arial"/>
          <w:sz w:val="22"/>
          <w:szCs w:val="22"/>
        </w:rPr>
        <w:t xml:space="preserve"> a estableci</w:t>
      </w:r>
      <w:r w:rsidR="00C80FB9" w:rsidRPr="00117BF8">
        <w:rPr>
          <w:rFonts w:ascii="Arial" w:eastAsia="Calibri" w:hAnsi="Arial" w:cs="Arial"/>
          <w:sz w:val="22"/>
          <w:szCs w:val="22"/>
        </w:rPr>
        <w:t>mie</w:t>
      </w:r>
      <w:r w:rsidRPr="00117BF8">
        <w:rPr>
          <w:rFonts w:ascii="Arial" w:eastAsia="Calibri" w:hAnsi="Arial" w:cs="Arial"/>
          <w:sz w:val="22"/>
          <w:szCs w:val="22"/>
        </w:rPr>
        <w:t>ntos privados de educación y están determinadas en buena medida por las variaciones salariales</w:t>
      </w:r>
      <w:r w:rsidR="00C80FB9" w:rsidRPr="00117BF8">
        <w:rPr>
          <w:rFonts w:ascii="Arial" w:eastAsia="Calibri" w:hAnsi="Arial" w:cs="Arial"/>
          <w:sz w:val="22"/>
          <w:szCs w:val="22"/>
        </w:rPr>
        <w:t xml:space="preserve"> del sector</w:t>
      </w:r>
      <w:r w:rsidRPr="00117BF8">
        <w:rPr>
          <w:rFonts w:ascii="Arial" w:eastAsia="Calibri" w:hAnsi="Arial" w:cs="Arial"/>
          <w:sz w:val="22"/>
          <w:szCs w:val="22"/>
        </w:rPr>
        <w:t>.</w:t>
      </w:r>
    </w:p>
    <w:p w14:paraId="781C509B" w14:textId="77777777" w:rsidR="00E951B4" w:rsidRPr="00117BF8" w:rsidRDefault="00E951B4" w:rsidP="00E951B4">
      <w:pPr>
        <w:pStyle w:val="Heading2"/>
        <w:rPr>
          <w:rFonts w:ascii="Arial" w:eastAsia="Calibri" w:hAnsi="Arial" w:cs="Arial"/>
          <w:sz w:val="22"/>
          <w:szCs w:val="22"/>
        </w:rPr>
      </w:pPr>
      <w:bookmarkStart w:id="61" w:name="_Toc494040320"/>
      <w:r w:rsidRPr="00117BF8">
        <w:rPr>
          <w:rFonts w:ascii="Arial" w:eastAsia="Calibri" w:hAnsi="Arial" w:cs="Arial"/>
          <w:sz w:val="22"/>
          <w:szCs w:val="22"/>
        </w:rPr>
        <w:t>Servicio de la Deuda presupuestada y ejecutada</w:t>
      </w:r>
      <w:bookmarkEnd w:id="61"/>
    </w:p>
    <w:p w14:paraId="714D40EB" w14:textId="77777777" w:rsidR="00B26A87" w:rsidRPr="00117BF8" w:rsidRDefault="00A42012" w:rsidP="00B26A87">
      <w:pPr>
        <w:pStyle w:val="hsa"/>
        <w:rPr>
          <w:rFonts w:ascii="Arial" w:eastAsia="Calibri" w:hAnsi="Arial" w:cs="Arial"/>
          <w:sz w:val="22"/>
          <w:szCs w:val="22"/>
        </w:rPr>
      </w:pPr>
      <w:r w:rsidRPr="00117BF8">
        <w:rPr>
          <w:rFonts w:ascii="Arial" w:eastAsia="Calibri" w:hAnsi="Arial" w:cs="Arial"/>
          <w:sz w:val="22"/>
          <w:szCs w:val="22"/>
        </w:rPr>
        <w:t xml:space="preserve">La tabla </w:t>
      </w:r>
      <w:r w:rsidR="00EA1F56" w:rsidRPr="00117BF8">
        <w:rPr>
          <w:rFonts w:ascii="Arial" w:eastAsia="Calibri" w:hAnsi="Arial" w:cs="Arial"/>
          <w:sz w:val="22"/>
          <w:szCs w:val="22"/>
        </w:rPr>
        <w:t>21</w:t>
      </w:r>
      <w:r w:rsidRPr="00117BF8">
        <w:rPr>
          <w:rFonts w:ascii="Arial" w:eastAsia="Calibri" w:hAnsi="Arial" w:cs="Arial"/>
          <w:sz w:val="22"/>
          <w:szCs w:val="22"/>
        </w:rPr>
        <w:t xml:space="preserve"> detalla los valores totales del servicio de deuda y las comparaciones entre los créditos presupuestados original y modificado con lo </w:t>
      </w:r>
      <w:r w:rsidR="008520A1" w:rsidRPr="00117BF8">
        <w:rPr>
          <w:rFonts w:ascii="Arial" w:eastAsia="Calibri" w:hAnsi="Arial" w:cs="Arial"/>
          <w:sz w:val="22"/>
          <w:szCs w:val="22"/>
        </w:rPr>
        <w:t>ejecutado</w:t>
      </w:r>
      <w:r w:rsidRPr="00117BF8">
        <w:rPr>
          <w:rFonts w:ascii="Arial" w:eastAsia="Calibri" w:hAnsi="Arial" w:cs="Arial"/>
          <w:sz w:val="22"/>
          <w:szCs w:val="22"/>
        </w:rPr>
        <w:t xml:space="preserve">, en </w:t>
      </w:r>
      <w:r w:rsidR="00ED1952" w:rsidRPr="00117BF8">
        <w:rPr>
          <w:rFonts w:ascii="Arial" w:eastAsia="Calibri" w:hAnsi="Arial" w:cs="Arial"/>
          <w:sz w:val="22"/>
          <w:szCs w:val="22"/>
        </w:rPr>
        <w:t xml:space="preserve">la tabla A III 10 </w:t>
      </w:r>
      <w:r w:rsidRPr="00117BF8">
        <w:rPr>
          <w:rFonts w:ascii="Arial" w:eastAsia="Calibri" w:hAnsi="Arial" w:cs="Arial"/>
          <w:sz w:val="22"/>
          <w:szCs w:val="22"/>
        </w:rPr>
        <w:t>se amplía por conceptos.</w:t>
      </w:r>
    </w:p>
    <w:tbl>
      <w:tblPr>
        <w:tblW w:w="847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526"/>
        <w:gridCol w:w="1418"/>
        <w:gridCol w:w="1418"/>
        <w:gridCol w:w="1418"/>
        <w:gridCol w:w="1342"/>
        <w:gridCol w:w="1378"/>
      </w:tblGrid>
      <w:tr w:rsidR="00195ED4" w:rsidRPr="004E6455" w14:paraId="5F11B2AB" w14:textId="77777777" w:rsidTr="00ED1952">
        <w:trPr>
          <w:jc w:val="center"/>
        </w:trPr>
        <w:tc>
          <w:tcPr>
            <w:tcW w:w="8477" w:type="dxa"/>
            <w:gridSpan w:val="6"/>
            <w:tcBorders>
              <w:top w:val="single" w:sz="8" w:space="0" w:color="7BA0CD"/>
              <w:left w:val="single" w:sz="8" w:space="0" w:color="7BA0CD"/>
              <w:bottom w:val="single" w:sz="8" w:space="0" w:color="7BA0CD"/>
              <w:right w:val="single" w:sz="8" w:space="0" w:color="7BA0CD"/>
            </w:tcBorders>
            <w:shd w:val="clear" w:color="auto" w:fill="0070C0"/>
            <w:noWrap/>
          </w:tcPr>
          <w:p w14:paraId="3BC065E4" w14:textId="77777777" w:rsidR="00195ED4" w:rsidRPr="00117BF8" w:rsidRDefault="00ED1952" w:rsidP="00ED1952">
            <w:pPr>
              <w:pStyle w:val="TablaT"/>
              <w:rPr>
                <w:rFonts w:ascii="Arial" w:hAnsi="Arial" w:cs="Arial"/>
                <w:bCs/>
                <w:sz w:val="22"/>
                <w:szCs w:val="22"/>
              </w:rPr>
            </w:pPr>
            <w:bookmarkStart w:id="62" w:name="_Toc493861131"/>
            <w:r w:rsidRPr="00117BF8">
              <w:rPr>
                <w:rFonts w:ascii="Arial" w:hAnsi="Arial" w:cs="Arial"/>
                <w:bCs/>
                <w:sz w:val="22"/>
                <w:szCs w:val="22"/>
              </w:rPr>
              <w:t>Tabla 21</w:t>
            </w:r>
            <w:r w:rsidR="00195ED4" w:rsidRPr="00117BF8">
              <w:rPr>
                <w:rFonts w:ascii="Arial" w:hAnsi="Arial" w:cs="Arial"/>
                <w:bCs/>
                <w:sz w:val="22"/>
                <w:szCs w:val="22"/>
              </w:rPr>
              <w:t xml:space="preserve"> – Servicio de Deuda</w:t>
            </w:r>
            <w:bookmarkEnd w:id="62"/>
          </w:p>
        </w:tc>
      </w:tr>
      <w:tr w:rsidR="00C007D0" w:rsidRPr="004E6455" w14:paraId="679FC58B" w14:textId="77777777" w:rsidTr="00ED1952">
        <w:trPr>
          <w:jc w:val="center"/>
        </w:trPr>
        <w:tc>
          <w:tcPr>
            <w:tcW w:w="1526" w:type="dxa"/>
            <w:vMerge w:val="restart"/>
            <w:tcBorders>
              <w:top w:val="single" w:sz="8" w:space="0" w:color="78C0D4"/>
              <w:left w:val="single" w:sz="8" w:space="0" w:color="78C0D4"/>
              <w:right w:val="single" w:sz="8" w:space="0" w:color="78C0D4"/>
            </w:tcBorders>
            <w:shd w:val="clear" w:color="auto" w:fill="0070C0"/>
            <w:noWrap/>
          </w:tcPr>
          <w:p w14:paraId="450037F7" w14:textId="77777777" w:rsidR="00195ED4" w:rsidRPr="00117BF8" w:rsidRDefault="00195ED4" w:rsidP="00195ED4">
            <w:pPr>
              <w:pStyle w:val="TablaE"/>
              <w:rPr>
                <w:rFonts w:ascii="Arial" w:hAnsi="Arial" w:cs="Arial"/>
                <w:bCs/>
                <w:lang w:val="es-AR" w:eastAsia="es-AR"/>
              </w:rPr>
            </w:pPr>
          </w:p>
        </w:tc>
        <w:tc>
          <w:tcPr>
            <w:tcW w:w="4254" w:type="dxa"/>
            <w:gridSpan w:val="3"/>
            <w:tcBorders>
              <w:left w:val="single" w:sz="8" w:space="0" w:color="78C0D4"/>
              <w:bottom w:val="nil"/>
              <w:right w:val="single" w:sz="8" w:space="0" w:color="78C0D4"/>
            </w:tcBorders>
            <w:shd w:val="clear" w:color="auto" w:fill="0070C0"/>
            <w:noWrap/>
          </w:tcPr>
          <w:p w14:paraId="346FE383" w14:textId="77777777" w:rsidR="00195ED4" w:rsidRPr="00117BF8" w:rsidRDefault="00195ED4" w:rsidP="00195ED4">
            <w:pPr>
              <w:pStyle w:val="TablaE"/>
              <w:rPr>
                <w:rFonts w:ascii="Arial" w:hAnsi="Arial" w:cs="Arial"/>
                <w:bCs/>
                <w:sz w:val="22"/>
                <w:szCs w:val="22"/>
                <w:lang w:val="es-AR" w:eastAsia="es-AR"/>
              </w:rPr>
            </w:pPr>
            <w:r w:rsidRPr="00117BF8">
              <w:rPr>
                <w:rFonts w:ascii="Arial" w:hAnsi="Arial" w:cs="Arial"/>
                <w:bCs/>
                <w:sz w:val="22"/>
                <w:szCs w:val="22"/>
                <w:lang w:val="es-AR" w:eastAsia="es-AR"/>
              </w:rPr>
              <w:t>Millones de Pesos</w:t>
            </w:r>
          </w:p>
        </w:tc>
        <w:tc>
          <w:tcPr>
            <w:tcW w:w="2697" w:type="dxa"/>
            <w:gridSpan w:val="2"/>
            <w:tcBorders>
              <w:top w:val="single" w:sz="8" w:space="0" w:color="78C0D4"/>
              <w:left w:val="single" w:sz="8" w:space="0" w:color="78C0D4"/>
              <w:bottom w:val="nil"/>
              <w:right w:val="single" w:sz="8" w:space="0" w:color="78C0D4"/>
            </w:tcBorders>
            <w:shd w:val="clear" w:color="auto" w:fill="0070C0"/>
            <w:noWrap/>
          </w:tcPr>
          <w:p w14:paraId="4377D7D4" w14:textId="77777777" w:rsidR="00195ED4" w:rsidRPr="00117BF8" w:rsidRDefault="00195ED4" w:rsidP="008520A1">
            <w:pPr>
              <w:pStyle w:val="TablaE"/>
              <w:rPr>
                <w:rFonts w:ascii="Arial" w:hAnsi="Arial" w:cs="Arial"/>
                <w:bCs/>
                <w:sz w:val="22"/>
                <w:szCs w:val="22"/>
                <w:lang w:val="es-AR" w:eastAsia="es-AR"/>
              </w:rPr>
            </w:pPr>
            <w:r w:rsidRPr="00117BF8">
              <w:rPr>
                <w:rFonts w:ascii="Arial" w:hAnsi="Arial" w:cs="Arial"/>
                <w:bCs/>
                <w:sz w:val="22"/>
                <w:szCs w:val="22"/>
                <w:lang w:val="es-AR" w:eastAsia="es-AR"/>
              </w:rPr>
              <w:t xml:space="preserve">Desvío </w:t>
            </w:r>
            <w:r w:rsidR="008520A1" w:rsidRPr="00117BF8">
              <w:rPr>
                <w:rFonts w:ascii="Arial" w:hAnsi="Arial" w:cs="Arial"/>
                <w:bCs/>
                <w:sz w:val="22"/>
                <w:szCs w:val="22"/>
                <w:lang w:val="es-AR" w:eastAsia="es-AR"/>
              </w:rPr>
              <w:t>Ejecutado</w:t>
            </w:r>
            <w:r w:rsidRPr="00117BF8">
              <w:rPr>
                <w:rFonts w:ascii="Arial" w:hAnsi="Arial" w:cs="Arial"/>
                <w:bCs/>
                <w:sz w:val="22"/>
                <w:szCs w:val="22"/>
                <w:lang w:val="es-AR" w:eastAsia="es-AR"/>
              </w:rPr>
              <w:t xml:space="preserve"> Sobre</w:t>
            </w:r>
          </w:p>
        </w:tc>
      </w:tr>
      <w:tr w:rsidR="00C007D0" w:rsidRPr="004E6455" w14:paraId="691338BE" w14:textId="77777777" w:rsidTr="00ED1952">
        <w:trPr>
          <w:jc w:val="center"/>
        </w:trPr>
        <w:tc>
          <w:tcPr>
            <w:tcW w:w="1526" w:type="dxa"/>
            <w:vMerge/>
            <w:tcBorders>
              <w:left w:val="single" w:sz="8" w:space="0" w:color="78C0D4"/>
              <w:right w:val="single" w:sz="8" w:space="0" w:color="78C0D4"/>
            </w:tcBorders>
            <w:shd w:val="clear" w:color="auto" w:fill="0070C0"/>
            <w:noWrap/>
            <w:hideMark/>
          </w:tcPr>
          <w:p w14:paraId="776A440D" w14:textId="77777777" w:rsidR="00195ED4" w:rsidRPr="00117BF8" w:rsidRDefault="00195ED4" w:rsidP="00195ED4">
            <w:pPr>
              <w:pStyle w:val="TablaE"/>
              <w:rPr>
                <w:rFonts w:ascii="Arial" w:hAnsi="Arial" w:cs="Arial"/>
                <w:bCs/>
                <w:lang w:val="es-AR" w:eastAsia="es-AR"/>
              </w:rPr>
            </w:pPr>
          </w:p>
        </w:tc>
        <w:tc>
          <w:tcPr>
            <w:tcW w:w="1418" w:type="dxa"/>
            <w:tcBorders>
              <w:top w:val="nil"/>
              <w:left w:val="single" w:sz="8" w:space="0" w:color="78C0D4"/>
            </w:tcBorders>
            <w:shd w:val="clear" w:color="auto" w:fill="0070C0"/>
            <w:noWrap/>
            <w:hideMark/>
          </w:tcPr>
          <w:p w14:paraId="42C1AFC4" w14:textId="77777777" w:rsidR="00195ED4" w:rsidRPr="00117BF8" w:rsidRDefault="00195ED4" w:rsidP="00195ED4">
            <w:pPr>
              <w:pStyle w:val="TablaE"/>
              <w:rPr>
                <w:rFonts w:ascii="Arial" w:hAnsi="Arial" w:cs="Arial"/>
                <w:bCs/>
                <w:sz w:val="22"/>
                <w:szCs w:val="22"/>
                <w:lang w:val="es-AR" w:eastAsia="es-AR"/>
              </w:rPr>
            </w:pPr>
            <w:r w:rsidRPr="00117BF8">
              <w:rPr>
                <w:rFonts w:ascii="Arial" w:hAnsi="Arial" w:cs="Arial"/>
                <w:bCs/>
                <w:sz w:val="22"/>
                <w:szCs w:val="22"/>
                <w:lang w:val="es-AR" w:eastAsia="es-AR"/>
              </w:rPr>
              <w:t>Crédito Original</w:t>
            </w:r>
          </w:p>
        </w:tc>
        <w:tc>
          <w:tcPr>
            <w:tcW w:w="1418" w:type="dxa"/>
            <w:tcBorders>
              <w:top w:val="nil"/>
            </w:tcBorders>
            <w:shd w:val="clear" w:color="auto" w:fill="0070C0"/>
            <w:noWrap/>
            <w:hideMark/>
          </w:tcPr>
          <w:p w14:paraId="1B80D496" w14:textId="77777777" w:rsidR="00195ED4" w:rsidRPr="00117BF8" w:rsidRDefault="00195ED4" w:rsidP="00195ED4">
            <w:pPr>
              <w:pStyle w:val="TablaE"/>
              <w:rPr>
                <w:rFonts w:ascii="Arial" w:hAnsi="Arial" w:cs="Arial"/>
                <w:bCs/>
                <w:sz w:val="22"/>
                <w:szCs w:val="22"/>
                <w:lang w:val="es-AR" w:eastAsia="es-AR"/>
              </w:rPr>
            </w:pPr>
            <w:r w:rsidRPr="00117BF8">
              <w:rPr>
                <w:rFonts w:ascii="Arial" w:hAnsi="Arial" w:cs="Arial"/>
                <w:bCs/>
                <w:sz w:val="22"/>
                <w:szCs w:val="22"/>
                <w:lang w:val="es-AR" w:eastAsia="es-AR"/>
              </w:rPr>
              <w:t>Crédito Modificado</w:t>
            </w:r>
          </w:p>
        </w:tc>
        <w:tc>
          <w:tcPr>
            <w:tcW w:w="1418" w:type="dxa"/>
            <w:tcBorders>
              <w:top w:val="nil"/>
              <w:right w:val="single" w:sz="8" w:space="0" w:color="78C0D4"/>
            </w:tcBorders>
            <w:shd w:val="clear" w:color="auto" w:fill="0070C0"/>
            <w:noWrap/>
            <w:hideMark/>
          </w:tcPr>
          <w:p w14:paraId="386844ED" w14:textId="77777777" w:rsidR="00195ED4" w:rsidRPr="00117BF8" w:rsidRDefault="008520A1" w:rsidP="00195ED4">
            <w:pPr>
              <w:pStyle w:val="TablaE"/>
              <w:rPr>
                <w:rFonts w:ascii="Arial" w:hAnsi="Arial" w:cs="Arial"/>
                <w:bCs/>
                <w:sz w:val="22"/>
                <w:szCs w:val="22"/>
                <w:lang w:val="es-AR" w:eastAsia="es-AR"/>
              </w:rPr>
            </w:pPr>
            <w:r w:rsidRPr="00117BF8">
              <w:rPr>
                <w:rFonts w:ascii="Arial" w:hAnsi="Arial" w:cs="Arial"/>
                <w:bCs/>
                <w:sz w:val="22"/>
                <w:szCs w:val="22"/>
                <w:lang w:val="es-AR" w:eastAsia="es-AR"/>
              </w:rPr>
              <w:t>Ejecutado</w:t>
            </w:r>
          </w:p>
        </w:tc>
        <w:tc>
          <w:tcPr>
            <w:tcW w:w="1342" w:type="dxa"/>
            <w:tcBorders>
              <w:top w:val="nil"/>
              <w:left w:val="single" w:sz="8" w:space="0" w:color="78C0D4"/>
            </w:tcBorders>
            <w:shd w:val="clear" w:color="auto" w:fill="0070C0"/>
            <w:noWrap/>
            <w:hideMark/>
          </w:tcPr>
          <w:p w14:paraId="1329080D" w14:textId="77777777" w:rsidR="00195ED4" w:rsidRPr="00117BF8" w:rsidRDefault="00195ED4" w:rsidP="00195ED4">
            <w:pPr>
              <w:pStyle w:val="TablaE"/>
              <w:rPr>
                <w:rFonts w:ascii="Arial" w:hAnsi="Arial" w:cs="Arial"/>
                <w:bCs/>
                <w:sz w:val="22"/>
                <w:szCs w:val="22"/>
                <w:lang w:val="es-AR" w:eastAsia="es-AR"/>
              </w:rPr>
            </w:pPr>
            <w:r w:rsidRPr="00117BF8">
              <w:rPr>
                <w:rFonts w:ascii="Arial" w:hAnsi="Arial" w:cs="Arial"/>
                <w:bCs/>
                <w:sz w:val="22"/>
                <w:szCs w:val="22"/>
                <w:lang w:val="es-AR" w:eastAsia="es-AR"/>
              </w:rPr>
              <w:t>Crédito Original</w:t>
            </w:r>
          </w:p>
        </w:tc>
        <w:tc>
          <w:tcPr>
            <w:tcW w:w="1355" w:type="dxa"/>
            <w:tcBorders>
              <w:top w:val="nil"/>
              <w:right w:val="single" w:sz="8" w:space="0" w:color="78C0D4"/>
            </w:tcBorders>
            <w:shd w:val="clear" w:color="auto" w:fill="0070C0"/>
            <w:noWrap/>
            <w:hideMark/>
          </w:tcPr>
          <w:p w14:paraId="282686EF" w14:textId="77777777" w:rsidR="00195ED4" w:rsidRPr="00117BF8" w:rsidRDefault="00195ED4" w:rsidP="00195ED4">
            <w:pPr>
              <w:pStyle w:val="TablaE"/>
              <w:rPr>
                <w:rFonts w:ascii="Arial" w:hAnsi="Arial" w:cs="Arial"/>
                <w:bCs/>
                <w:sz w:val="22"/>
                <w:szCs w:val="22"/>
                <w:lang w:val="es-AR" w:eastAsia="es-AR"/>
              </w:rPr>
            </w:pPr>
            <w:r w:rsidRPr="00117BF8">
              <w:rPr>
                <w:rFonts w:ascii="Arial" w:hAnsi="Arial" w:cs="Arial"/>
                <w:bCs/>
                <w:sz w:val="22"/>
                <w:szCs w:val="22"/>
                <w:lang w:val="es-AR" w:eastAsia="es-AR"/>
              </w:rPr>
              <w:t>Crédito Modificado</w:t>
            </w:r>
          </w:p>
        </w:tc>
      </w:tr>
      <w:tr w:rsidR="00C007D0" w:rsidRPr="003C4F96" w14:paraId="17CD281D" w14:textId="77777777" w:rsidTr="00ED1952">
        <w:trPr>
          <w:trHeight w:val="300"/>
          <w:jc w:val="center"/>
        </w:trPr>
        <w:tc>
          <w:tcPr>
            <w:tcW w:w="1526" w:type="dxa"/>
            <w:tcBorders>
              <w:left w:val="single" w:sz="8" w:space="0" w:color="78C0D4"/>
              <w:right w:val="single" w:sz="8" w:space="0" w:color="78C0D4"/>
            </w:tcBorders>
            <w:shd w:val="clear" w:color="auto" w:fill="D3DFEE"/>
            <w:noWrap/>
            <w:hideMark/>
          </w:tcPr>
          <w:p w14:paraId="2174BA86" w14:textId="77777777" w:rsidR="004E5805" w:rsidRPr="00117BF8" w:rsidRDefault="004E5805" w:rsidP="00C007D0">
            <w:pPr>
              <w:pStyle w:val="TablaC"/>
              <w:jc w:val="center"/>
              <w:rPr>
                <w:rFonts w:ascii="Arial" w:hAnsi="Arial" w:cs="Arial"/>
                <w:b/>
                <w:bCs/>
                <w:sz w:val="18"/>
                <w:szCs w:val="18"/>
              </w:rPr>
            </w:pPr>
            <w:r w:rsidRPr="00117BF8">
              <w:rPr>
                <w:rFonts w:ascii="Arial" w:hAnsi="Arial" w:cs="Arial"/>
                <w:b/>
                <w:bCs/>
                <w:sz w:val="18"/>
                <w:szCs w:val="18"/>
              </w:rPr>
              <w:t>2013</w:t>
            </w:r>
          </w:p>
        </w:tc>
        <w:tc>
          <w:tcPr>
            <w:tcW w:w="1418" w:type="dxa"/>
            <w:tcBorders>
              <w:left w:val="single" w:sz="8" w:space="0" w:color="78C0D4"/>
            </w:tcBorders>
            <w:shd w:val="clear" w:color="auto" w:fill="D3DFEE"/>
            <w:noWrap/>
            <w:hideMark/>
          </w:tcPr>
          <w:p w14:paraId="162476EE"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12.223</w:t>
            </w:r>
          </w:p>
        </w:tc>
        <w:tc>
          <w:tcPr>
            <w:tcW w:w="1418" w:type="dxa"/>
            <w:shd w:val="clear" w:color="auto" w:fill="D3DFEE"/>
            <w:noWrap/>
            <w:hideMark/>
          </w:tcPr>
          <w:p w14:paraId="0FF3508C"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12.215</w:t>
            </w:r>
          </w:p>
        </w:tc>
        <w:tc>
          <w:tcPr>
            <w:tcW w:w="1418" w:type="dxa"/>
            <w:tcBorders>
              <w:right w:val="single" w:sz="8" w:space="0" w:color="78C0D4"/>
            </w:tcBorders>
            <w:shd w:val="clear" w:color="auto" w:fill="D3DFEE"/>
            <w:noWrap/>
            <w:hideMark/>
          </w:tcPr>
          <w:p w14:paraId="0465B44C"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12.182</w:t>
            </w:r>
          </w:p>
        </w:tc>
        <w:tc>
          <w:tcPr>
            <w:tcW w:w="1342" w:type="dxa"/>
            <w:tcBorders>
              <w:left w:val="single" w:sz="8" w:space="0" w:color="78C0D4"/>
            </w:tcBorders>
            <w:shd w:val="clear" w:color="auto" w:fill="D3DFEE"/>
            <w:noWrap/>
            <w:hideMark/>
          </w:tcPr>
          <w:p w14:paraId="4CC28C3E"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0%</w:t>
            </w:r>
          </w:p>
        </w:tc>
        <w:tc>
          <w:tcPr>
            <w:tcW w:w="1355" w:type="dxa"/>
            <w:tcBorders>
              <w:right w:val="single" w:sz="8" w:space="0" w:color="78C0D4"/>
            </w:tcBorders>
            <w:shd w:val="clear" w:color="auto" w:fill="D3DFEE"/>
            <w:noWrap/>
            <w:hideMark/>
          </w:tcPr>
          <w:p w14:paraId="5E8B0F0C"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0%</w:t>
            </w:r>
          </w:p>
        </w:tc>
      </w:tr>
      <w:tr w:rsidR="00C007D0" w:rsidRPr="003C4F96" w14:paraId="3985B77E" w14:textId="77777777" w:rsidTr="00ED1952">
        <w:trPr>
          <w:trHeight w:val="300"/>
          <w:jc w:val="center"/>
        </w:trPr>
        <w:tc>
          <w:tcPr>
            <w:tcW w:w="1526" w:type="dxa"/>
            <w:tcBorders>
              <w:left w:val="single" w:sz="8" w:space="0" w:color="78C0D4"/>
              <w:right w:val="single" w:sz="8" w:space="0" w:color="78C0D4"/>
            </w:tcBorders>
            <w:shd w:val="clear" w:color="auto" w:fill="auto"/>
            <w:noWrap/>
            <w:hideMark/>
          </w:tcPr>
          <w:p w14:paraId="34889177" w14:textId="77777777" w:rsidR="004E5805" w:rsidRPr="00117BF8" w:rsidRDefault="004E5805" w:rsidP="00C007D0">
            <w:pPr>
              <w:pStyle w:val="TablaC"/>
              <w:jc w:val="center"/>
              <w:rPr>
                <w:rFonts w:ascii="Arial" w:hAnsi="Arial" w:cs="Arial"/>
                <w:b/>
                <w:bCs/>
                <w:sz w:val="18"/>
                <w:szCs w:val="18"/>
              </w:rPr>
            </w:pPr>
            <w:r w:rsidRPr="00117BF8">
              <w:rPr>
                <w:rFonts w:ascii="Arial" w:hAnsi="Arial" w:cs="Arial"/>
                <w:b/>
                <w:bCs/>
                <w:sz w:val="18"/>
                <w:szCs w:val="18"/>
              </w:rPr>
              <w:t>2014</w:t>
            </w:r>
          </w:p>
        </w:tc>
        <w:tc>
          <w:tcPr>
            <w:tcW w:w="1418" w:type="dxa"/>
            <w:tcBorders>
              <w:left w:val="single" w:sz="8" w:space="0" w:color="78C0D4"/>
            </w:tcBorders>
            <w:shd w:val="clear" w:color="auto" w:fill="auto"/>
            <w:noWrap/>
            <w:hideMark/>
          </w:tcPr>
          <w:p w14:paraId="76414D28"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17.595</w:t>
            </w:r>
          </w:p>
        </w:tc>
        <w:tc>
          <w:tcPr>
            <w:tcW w:w="1418" w:type="dxa"/>
            <w:shd w:val="clear" w:color="auto" w:fill="auto"/>
            <w:noWrap/>
            <w:hideMark/>
          </w:tcPr>
          <w:p w14:paraId="4239E9F2"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18.534</w:t>
            </w:r>
          </w:p>
        </w:tc>
        <w:tc>
          <w:tcPr>
            <w:tcW w:w="1418" w:type="dxa"/>
            <w:tcBorders>
              <w:right w:val="single" w:sz="8" w:space="0" w:color="78C0D4"/>
            </w:tcBorders>
            <w:shd w:val="clear" w:color="auto" w:fill="auto"/>
            <w:noWrap/>
            <w:hideMark/>
          </w:tcPr>
          <w:p w14:paraId="42D0D0D7"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17.374</w:t>
            </w:r>
          </w:p>
        </w:tc>
        <w:tc>
          <w:tcPr>
            <w:tcW w:w="1342" w:type="dxa"/>
            <w:tcBorders>
              <w:left w:val="single" w:sz="8" w:space="0" w:color="78C0D4"/>
            </w:tcBorders>
            <w:shd w:val="clear" w:color="auto" w:fill="auto"/>
            <w:noWrap/>
            <w:hideMark/>
          </w:tcPr>
          <w:p w14:paraId="5FE89F78"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-1%</w:t>
            </w:r>
          </w:p>
        </w:tc>
        <w:tc>
          <w:tcPr>
            <w:tcW w:w="1355" w:type="dxa"/>
            <w:tcBorders>
              <w:right w:val="single" w:sz="8" w:space="0" w:color="78C0D4"/>
            </w:tcBorders>
            <w:shd w:val="clear" w:color="auto" w:fill="auto"/>
            <w:noWrap/>
            <w:hideMark/>
          </w:tcPr>
          <w:p w14:paraId="7A3AB6DA"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-6%</w:t>
            </w:r>
          </w:p>
        </w:tc>
      </w:tr>
      <w:tr w:rsidR="00C007D0" w:rsidRPr="003C4F96" w14:paraId="506DBC27" w14:textId="77777777" w:rsidTr="00ED1952">
        <w:trPr>
          <w:trHeight w:val="300"/>
          <w:jc w:val="center"/>
        </w:trPr>
        <w:tc>
          <w:tcPr>
            <w:tcW w:w="1526" w:type="dxa"/>
            <w:tcBorders>
              <w:left w:val="single" w:sz="8" w:space="0" w:color="78C0D4"/>
              <w:right w:val="single" w:sz="8" w:space="0" w:color="78C0D4"/>
            </w:tcBorders>
            <w:shd w:val="clear" w:color="auto" w:fill="D3DFEE"/>
            <w:noWrap/>
            <w:hideMark/>
          </w:tcPr>
          <w:p w14:paraId="59DD1EA2" w14:textId="77777777" w:rsidR="004E5805" w:rsidRPr="00117BF8" w:rsidRDefault="004E5805" w:rsidP="00C007D0">
            <w:pPr>
              <w:pStyle w:val="TablaC"/>
              <w:jc w:val="center"/>
              <w:rPr>
                <w:rFonts w:ascii="Arial" w:hAnsi="Arial" w:cs="Arial"/>
                <w:b/>
                <w:bCs/>
                <w:sz w:val="18"/>
                <w:szCs w:val="18"/>
              </w:rPr>
            </w:pPr>
            <w:r w:rsidRPr="00117BF8">
              <w:rPr>
                <w:rFonts w:ascii="Arial" w:hAnsi="Arial" w:cs="Arial"/>
                <w:b/>
                <w:bCs/>
                <w:sz w:val="18"/>
                <w:szCs w:val="18"/>
              </w:rPr>
              <w:t>2015</w:t>
            </w:r>
          </w:p>
        </w:tc>
        <w:tc>
          <w:tcPr>
            <w:tcW w:w="1418" w:type="dxa"/>
            <w:tcBorders>
              <w:left w:val="single" w:sz="8" w:space="0" w:color="78C0D4"/>
            </w:tcBorders>
            <w:shd w:val="clear" w:color="auto" w:fill="D3DFEE"/>
            <w:noWrap/>
            <w:hideMark/>
          </w:tcPr>
          <w:p w14:paraId="12ED2018"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28.440</w:t>
            </w:r>
          </w:p>
        </w:tc>
        <w:tc>
          <w:tcPr>
            <w:tcW w:w="1418" w:type="dxa"/>
            <w:shd w:val="clear" w:color="auto" w:fill="D3DFEE"/>
            <w:noWrap/>
            <w:hideMark/>
          </w:tcPr>
          <w:p w14:paraId="2DF4FA22"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29.933</w:t>
            </w:r>
          </w:p>
        </w:tc>
        <w:tc>
          <w:tcPr>
            <w:tcW w:w="1418" w:type="dxa"/>
            <w:tcBorders>
              <w:right w:val="single" w:sz="8" w:space="0" w:color="78C0D4"/>
            </w:tcBorders>
            <w:shd w:val="clear" w:color="auto" w:fill="D3DFEE"/>
            <w:noWrap/>
            <w:hideMark/>
          </w:tcPr>
          <w:p w14:paraId="2A2CB3C8"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29.759</w:t>
            </w:r>
          </w:p>
        </w:tc>
        <w:tc>
          <w:tcPr>
            <w:tcW w:w="1342" w:type="dxa"/>
            <w:tcBorders>
              <w:left w:val="single" w:sz="8" w:space="0" w:color="78C0D4"/>
            </w:tcBorders>
            <w:shd w:val="clear" w:color="auto" w:fill="D3DFEE"/>
            <w:noWrap/>
            <w:hideMark/>
          </w:tcPr>
          <w:p w14:paraId="0FF9D9CC"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5%</w:t>
            </w:r>
          </w:p>
        </w:tc>
        <w:tc>
          <w:tcPr>
            <w:tcW w:w="1355" w:type="dxa"/>
            <w:tcBorders>
              <w:right w:val="single" w:sz="8" w:space="0" w:color="78C0D4"/>
            </w:tcBorders>
            <w:shd w:val="clear" w:color="auto" w:fill="D3DFEE"/>
            <w:noWrap/>
            <w:hideMark/>
          </w:tcPr>
          <w:p w14:paraId="7F252E4A"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-1%</w:t>
            </w:r>
          </w:p>
        </w:tc>
      </w:tr>
      <w:tr w:rsidR="00C007D0" w:rsidRPr="003C4F96" w14:paraId="1D79E1BF" w14:textId="77777777" w:rsidTr="00ED1952">
        <w:trPr>
          <w:trHeight w:val="300"/>
          <w:jc w:val="center"/>
        </w:trPr>
        <w:tc>
          <w:tcPr>
            <w:tcW w:w="1526" w:type="dxa"/>
            <w:tcBorders>
              <w:left w:val="single" w:sz="8" w:space="0" w:color="78C0D4"/>
              <w:bottom w:val="single" w:sz="8" w:space="0" w:color="78C0D4"/>
              <w:right w:val="single" w:sz="8" w:space="0" w:color="78C0D4"/>
            </w:tcBorders>
            <w:shd w:val="clear" w:color="auto" w:fill="auto"/>
            <w:noWrap/>
            <w:hideMark/>
          </w:tcPr>
          <w:p w14:paraId="1CD7F3F8" w14:textId="77777777" w:rsidR="004E5805" w:rsidRPr="00117BF8" w:rsidRDefault="004E5805" w:rsidP="00C007D0">
            <w:pPr>
              <w:pStyle w:val="TablaC"/>
              <w:jc w:val="center"/>
              <w:rPr>
                <w:rFonts w:ascii="Arial" w:hAnsi="Arial" w:cs="Arial"/>
                <w:b/>
                <w:bCs/>
                <w:sz w:val="18"/>
                <w:szCs w:val="18"/>
              </w:rPr>
            </w:pPr>
            <w:r w:rsidRPr="00117BF8">
              <w:rPr>
                <w:rFonts w:ascii="Arial" w:hAnsi="Arial" w:cs="Arial"/>
                <w:b/>
                <w:bCs/>
                <w:sz w:val="18"/>
                <w:szCs w:val="18"/>
              </w:rPr>
              <w:t>2016</w:t>
            </w:r>
          </w:p>
        </w:tc>
        <w:tc>
          <w:tcPr>
            <w:tcW w:w="1418" w:type="dxa"/>
            <w:tcBorders>
              <w:left w:val="single" w:sz="8" w:space="0" w:color="78C0D4"/>
            </w:tcBorders>
            <w:shd w:val="clear" w:color="auto" w:fill="auto"/>
            <w:noWrap/>
            <w:hideMark/>
          </w:tcPr>
          <w:p w14:paraId="23B735BB"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23.731</w:t>
            </w:r>
          </w:p>
        </w:tc>
        <w:tc>
          <w:tcPr>
            <w:tcW w:w="1418" w:type="dxa"/>
            <w:shd w:val="clear" w:color="auto" w:fill="auto"/>
            <w:noWrap/>
            <w:hideMark/>
          </w:tcPr>
          <w:p w14:paraId="46950918"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32.347</w:t>
            </w:r>
          </w:p>
        </w:tc>
        <w:tc>
          <w:tcPr>
            <w:tcW w:w="1418" w:type="dxa"/>
            <w:tcBorders>
              <w:right w:val="single" w:sz="8" w:space="0" w:color="78C0D4"/>
            </w:tcBorders>
            <w:shd w:val="clear" w:color="auto" w:fill="auto"/>
            <w:noWrap/>
            <w:hideMark/>
          </w:tcPr>
          <w:p w14:paraId="5E8AC678"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32.288</w:t>
            </w:r>
          </w:p>
        </w:tc>
        <w:tc>
          <w:tcPr>
            <w:tcW w:w="1342" w:type="dxa"/>
            <w:tcBorders>
              <w:left w:val="single" w:sz="8" w:space="0" w:color="78C0D4"/>
              <w:bottom w:val="single" w:sz="8" w:space="0" w:color="78C0D4"/>
            </w:tcBorders>
            <w:shd w:val="clear" w:color="auto" w:fill="auto"/>
            <w:noWrap/>
            <w:hideMark/>
          </w:tcPr>
          <w:p w14:paraId="0CECC0E3"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36%</w:t>
            </w:r>
          </w:p>
        </w:tc>
        <w:tc>
          <w:tcPr>
            <w:tcW w:w="1355" w:type="dxa"/>
            <w:tcBorders>
              <w:bottom w:val="single" w:sz="8" w:space="0" w:color="78C0D4"/>
              <w:right w:val="single" w:sz="8" w:space="0" w:color="78C0D4"/>
            </w:tcBorders>
            <w:shd w:val="clear" w:color="auto" w:fill="auto"/>
            <w:noWrap/>
            <w:hideMark/>
          </w:tcPr>
          <w:p w14:paraId="71B08F64" w14:textId="77777777" w:rsidR="004E5805" w:rsidRPr="00117BF8" w:rsidRDefault="004E5805" w:rsidP="003D1088">
            <w:pPr>
              <w:pStyle w:val="TablaC"/>
              <w:rPr>
                <w:rFonts w:ascii="Arial" w:hAnsi="Arial" w:cs="Arial"/>
                <w:sz w:val="18"/>
                <w:szCs w:val="18"/>
              </w:rPr>
            </w:pPr>
            <w:r w:rsidRPr="00117BF8">
              <w:rPr>
                <w:rFonts w:ascii="Arial" w:hAnsi="Arial" w:cs="Arial"/>
                <w:sz w:val="18"/>
                <w:szCs w:val="18"/>
              </w:rPr>
              <w:t>0%</w:t>
            </w:r>
          </w:p>
        </w:tc>
      </w:tr>
    </w:tbl>
    <w:p w14:paraId="67D61DF2" w14:textId="77777777" w:rsidR="00ED1952" w:rsidRPr="00117BF8" w:rsidRDefault="00ED1952" w:rsidP="00ED1952">
      <w:pPr>
        <w:pStyle w:val="Hfuente"/>
        <w:rPr>
          <w:rFonts w:ascii="Arial" w:hAnsi="Arial" w:cs="Arial"/>
          <w:sz w:val="18"/>
          <w:szCs w:val="18"/>
        </w:rPr>
      </w:pPr>
      <w:r w:rsidRPr="00117BF8">
        <w:rPr>
          <w:rFonts w:ascii="Arial" w:hAnsi="Arial" w:cs="Arial"/>
          <w:sz w:val="18"/>
          <w:szCs w:val="18"/>
        </w:rPr>
        <w:t>Elaboración propia sobre datos de la CGPBA.</w:t>
      </w:r>
    </w:p>
    <w:p w14:paraId="1C47CAA5" w14:textId="04278108" w:rsidR="00AD07B3" w:rsidRPr="00117BF8" w:rsidRDefault="00AD07B3" w:rsidP="00B26A87">
      <w:pPr>
        <w:pStyle w:val="hsa"/>
        <w:rPr>
          <w:rFonts w:ascii="Arial" w:eastAsia="Calibri" w:hAnsi="Arial" w:cs="Arial"/>
        </w:rPr>
      </w:pPr>
      <w:r w:rsidRPr="00117BF8">
        <w:rPr>
          <w:rFonts w:ascii="Arial" w:eastAsia="Calibri" w:hAnsi="Arial" w:cs="Arial"/>
        </w:rPr>
        <w:t xml:space="preserve">El mayor desvío se observa en el último año, el monto </w:t>
      </w:r>
      <w:r w:rsidR="008520A1" w:rsidRPr="00117BF8">
        <w:rPr>
          <w:rFonts w:ascii="Arial" w:eastAsia="Calibri" w:hAnsi="Arial" w:cs="Arial"/>
        </w:rPr>
        <w:t>ejecutado</w:t>
      </w:r>
      <w:r w:rsidRPr="00117BF8">
        <w:rPr>
          <w:rFonts w:ascii="Arial" w:eastAsia="Calibri" w:hAnsi="Arial" w:cs="Arial"/>
        </w:rPr>
        <w:t xml:space="preserve"> superó al crédito original en más de </w:t>
      </w:r>
      <w:r w:rsidR="00375461">
        <w:rPr>
          <w:rFonts w:ascii="Arial" w:eastAsia="Calibri" w:hAnsi="Arial" w:cs="Arial"/>
        </w:rPr>
        <w:t>US</w:t>
      </w:r>
      <w:r w:rsidRPr="00117BF8">
        <w:rPr>
          <w:rFonts w:ascii="Arial" w:eastAsia="Calibri" w:hAnsi="Arial" w:cs="Arial"/>
        </w:rPr>
        <w:t>$8.000 millones. La mayor parte de este desvío se explica en pagos al Gobierno Nacional, el presupuesto p</w:t>
      </w:r>
      <w:r w:rsidR="001F4A68" w:rsidRPr="00117BF8">
        <w:rPr>
          <w:rFonts w:ascii="Arial" w:eastAsia="Calibri" w:hAnsi="Arial" w:cs="Arial"/>
        </w:rPr>
        <w:t>reveía $728 millones</w:t>
      </w:r>
      <w:r w:rsidR="001F4A68" w:rsidRPr="00117BF8">
        <w:rPr>
          <w:rStyle w:val="FootnoteReference"/>
          <w:rFonts w:ascii="Arial" w:eastAsia="Calibri" w:hAnsi="Arial" w:cs="Arial"/>
        </w:rPr>
        <w:footnoteReference w:id="19"/>
      </w:r>
      <w:r w:rsidR="001F4A68" w:rsidRPr="00117BF8">
        <w:rPr>
          <w:rFonts w:ascii="Arial" w:eastAsia="Calibri" w:hAnsi="Arial" w:cs="Arial"/>
        </w:rPr>
        <w:t xml:space="preserve"> pero se cancelaron </w:t>
      </w:r>
      <w:r w:rsidR="00375461">
        <w:rPr>
          <w:rFonts w:ascii="Arial" w:eastAsia="Calibri" w:hAnsi="Arial" w:cs="Arial"/>
        </w:rPr>
        <w:t>US</w:t>
      </w:r>
      <w:r w:rsidR="001F4A68" w:rsidRPr="00117BF8">
        <w:rPr>
          <w:rFonts w:ascii="Arial" w:eastAsia="Calibri" w:hAnsi="Arial" w:cs="Arial"/>
        </w:rPr>
        <w:t xml:space="preserve">$8.400 (Ver Tabla </w:t>
      </w:r>
      <w:r w:rsidR="00ED1952" w:rsidRPr="00117BF8">
        <w:rPr>
          <w:rFonts w:ascii="Arial" w:eastAsia="Calibri" w:hAnsi="Arial" w:cs="Arial"/>
        </w:rPr>
        <w:t>22</w:t>
      </w:r>
      <w:r w:rsidR="001F4A68" w:rsidRPr="00117BF8">
        <w:rPr>
          <w:rFonts w:ascii="Arial" w:eastAsia="Calibri" w:hAnsi="Arial" w:cs="Arial"/>
        </w:rPr>
        <w:t>).</w:t>
      </w:r>
    </w:p>
    <w:p w14:paraId="74F21909" w14:textId="40341C03" w:rsidR="001F4A68" w:rsidRPr="00117BF8" w:rsidRDefault="001F4A68" w:rsidP="00B26A87">
      <w:pPr>
        <w:pStyle w:val="hsa"/>
        <w:rPr>
          <w:rFonts w:ascii="Arial" w:eastAsia="Calibri" w:hAnsi="Arial" w:cs="Arial"/>
        </w:rPr>
      </w:pPr>
      <w:r w:rsidRPr="00117BF8">
        <w:rPr>
          <w:rFonts w:ascii="Arial" w:eastAsia="Calibri" w:hAnsi="Arial" w:cs="Arial"/>
        </w:rPr>
        <w:t xml:space="preserve">A pesar de la importante devaluación del peso ocurrida a fin de 2015, el servicio de la deuda sólo se incrementó 8%. Sin </w:t>
      </w:r>
      <w:r w:rsidR="00375461" w:rsidRPr="004E6455">
        <w:rPr>
          <w:rFonts w:ascii="Arial" w:eastAsia="Calibri" w:hAnsi="Arial" w:cs="Arial"/>
        </w:rPr>
        <w:t>embargo,</w:t>
      </w:r>
      <w:r w:rsidRPr="00117BF8">
        <w:rPr>
          <w:rFonts w:ascii="Arial" w:eastAsia="Calibri" w:hAnsi="Arial" w:cs="Arial"/>
        </w:rPr>
        <w:t xml:space="preserve"> su composición fue muy diferente, mientras en 2015 dos tercios del servicio correspondió a amortizaciones, en 2016 los montos destinados a amortizaciones e intereses fueron similares.</w:t>
      </w:r>
    </w:p>
    <w:tbl>
      <w:tblPr>
        <w:tblW w:w="880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000"/>
        <w:gridCol w:w="1134"/>
        <w:gridCol w:w="1183"/>
        <w:gridCol w:w="1134"/>
        <w:gridCol w:w="1134"/>
        <w:gridCol w:w="1183"/>
        <w:gridCol w:w="1134"/>
      </w:tblGrid>
      <w:tr w:rsidR="00E135AD" w:rsidRPr="004E6455" w14:paraId="79AF21BC" w14:textId="77777777" w:rsidTr="00C007D0">
        <w:trPr>
          <w:trHeight w:val="300"/>
        </w:trPr>
        <w:tc>
          <w:tcPr>
            <w:tcW w:w="8804" w:type="dxa"/>
            <w:gridSpan w:val="7"/>
            <w:tcBorders>
              <w:top w:val="single" w:sz="8" w:space="0" w:color="7BA0CD"/>
              <w:left w:val="single" w:sz="8" w:space="0" w:color="7BA0CD"/>
              <w:bottom w:val="single" w:sz="8" w:space="0" w:color="7BA0CD"/>
              <w:right w:val="single" w:sz="8" w:space="0" w:color="7BA0CD"/>
            </w:tcBorders>
            <w:shd w:val="clear" w:color="auto" w:fill="0070C0"/>
            <w:noWrap/>
          </w:tcPr>
          <w:p w14:paraId="06B75680" w14:textId="77777777" w:rsidR="00E135AD" w:rsidRPr="00117BF8" w:rsidRDefault="00E135AD" w:rsidP="00A03DD6">
            <w:pPr>
              <w:pStyle w:val="TablaT"/>
              <w:rPr>
                <w:rFonts w:ascii="Arial" w:hAnsi="Arial" w:cs="Arial"/>
                <w:bCs/>
                <w:sz w:val="22"/>
                <w:szCs w:val="22"/>
                <w:lang w:val="es-ES_tradnl"/>
              </w:rPr>
            </w:pPr>
            <w:bookmarkStart w:id="63" w:name="_Toc493861132"/>
            <w:r w:rsidRPr="00117BF8">
              <w:rPr>
                <w:rFonts w:ascii="Arial" w:hAnsi="Arial" w:cs="Arial"/>
                <w:bCs/>
                <w:sz w:val="22"/>
                <w:szCs w:val="22"/>
                <w:lang w:val="es-ES_tradnl"/>
              </w:rPr>
              <w:t xml:space="preserve">Tabla </w:t>
            </w:r>
            <w:r w:rsidR="00ED1952" w:rsidRPr="00117BF8">
              <w:rPr>
                <w:rFonts w:ascii="Arial" w:hAnsi="Arial" w:cs="Arial"/>
                <w:bCs/>
                <w:sz w:val="22"/>
                <w:szCs w:val="22"/>
                <w:lang w:val="es-ES_tradnl"/>
              </w:rPr>
              <w:t>22</w:t>
            </w:r>
            <w:r w:rsidRPr="00117BF8">
              <w:rPr>
                <w:rFonts w:ascii="Arial" w:hAnsi="Arial" w:cs="Arial"/>
                <w:bCs/>
                <w:sz w:val="22"/>
                <w:szCs w:val="22"/>
                <w:lang w:val="es-ES_tradnl"/>
              </w:rPr>
              <w:t>– Composición del Servicio de la Deuda</w:t>
            </w:r>
            <w:bookmarkEnd w:id="63"/>
          </w:p>
          <w:p w14:paraId="427E1317" w14:textId="77777777" w:rsidR="00E135AD" w:rsidRPr="00117BF8" w:rsidRDefault="00E135AD" w:rsidP="00E135AD">
            <w:pPr>
              <w:pStyle w:val="TablaC"/>
              <w:rPr>
                <w:rFonts w:ascii="Arial" w:hAnsi="Arial" w:cs="Arial"/>
                <w:b/>
                <w:bCs/>
                <w:color w:val="FFFFFF"/>
                <w:szCs w:val="22"/>
              </w:rPr>
            </w:pPr>
            <w:r w:rsidRPr="00117BF8">
              <w:rPr>
                <w:rFonts w:ascii="Arial" w:hAnsi="Arial" w:cs="Arial"/>
                <w:b/>
                <w:bCs/>
                <w:color w:val="FFFFFF"/>
                <w:szCs w:val="22"/>
              </w:rPr>
              <w:t>Millones de Pesos</w:t>
            </w:r>
          </w:p>
        </w:tc>
      </w:tr>
      <w:tr w:rsidR="00C007D0" w:rsidRPr="004E6455" w14:paraId="0B189D70" w14:textId="77777777" w:rsidTr="00C007D0">
        <w:trPr>
          <w:trHeight w:val="300"/>
        </w:trPr>
        <w:tc>
          <w:tcPr>
            <w:tcW w:w="2000" w:type="dxa"/>
            <w:vMerge w:val="restart"/>
            <w:tcBorders>
              <w:right w:val="single" w:sz="8" w:space="0" w:color="7BA0CD"/>
            </w:tcBorders>
            <w:shd w:val="clear" w:color="auto" w:fill="0070C0"/>
            <w:noWrap/>
          </w:tcPr>
          <w:p w14:paraId="4EAE14F8" w14:textId="77777777" w:rsidR="00E135AD" w:rsidRPr="00117BF8" w:rsidRDefault="00ED1952" w:rsidP="00E135AD">
            <w:pPr>
              <w:pStyle w:val="TablaE"/>
              <w:rPr>
                <w:rFonts w:ascii="Arial" w:hAnsi="Arial" w:cs="Arial"/>
                <w:bCs/>
                <w:sz w:val="22"/>
                <w:szCs w:val="22"/>
              </w:rPr>
            </w:pPr>
            <w:r w:rsidRPr="00117BF8">
              <w:rPr>
                <w:rFonts w:ascii="Arial" w:hAnsi="Arial" w:cs="Arial"/>
                <w:bCs/>
                <w:sz w:val="22"/>
                <w:szCs w:val="22"/>
              </w:rPr>
              <w:t>Destino</w:t>
            </w:r>
          </w:p>
        </w:tc>
        <w:tc>
          <w:tcPr>
            <w:tcW w:w="3402" w:type="dxa"/>
            <w:gridSpan w:val="3"/>
            <w:tcBorders>
              <w:left w:val="single" w:sz="8" w:space="0" w:color="7BA0CD"/>
              <w:right w:val="single" w:sz="8" w:space="0" w:color="7BA0CD"/>
            </w:tcBorders>
            <w:shd w:val="clear" w:color="auto" w:fill="0070C0"/>
            <w:noWrap/>
          </w:tcPr>
          <w:p w14:paraId="076748B0" w14:textId="77777777" w:rsidR="00E135AD" w:rsidRPr="00117BF8" w:rsidRDefault="00E135AD" w:rsidP="00E135AD">
            <w:pPr>
              <w:pStyle w:val="TablaE"/>
              <w:rPr>
                <w:rFonts w:ascii="Arial" w:hAnsi="Arial" w:cs="Arial"/>
                <w:bCs/>
                <w:sz w:val="22"/>
                <w:szCs w:val="22"/>
              </w:rPr>
            </w:pPr>
            <w:r w:rsidRPr="00117BF8">
              <w:rPr>
                <w:rFonts w:ascii="Arial" w:hAnsi="Arial" w:cs="Arial"/>
                <w:bCs/>
                <w:sz w:val="22"/>
                <w:szCs w:val="22"/>
              </w:rPr>
              <w:t>2015</w:t>
            </w:r>
          </w:p>
        </w:tc>
        <w:tc>
          <w:tcPr>
            <w:tcW w:w="3402" w:type="dxa"/>
            <w:gridSpan w:val="3"/>
            <w:tcBorders>
              <w:left w:val="single" w:sz="8" w:space="0" w:color="7BA0CD"/>
            </w:tcBorders>
            <w:shd w:val="clear" w:color="auto" w:fill="0070C0"/>
            <w:noWrap/>
          </w:tcPr>
          <w:p w14:paraId="205C2C34" w14:textId="77777777" w:rsidR="00E135AD" w:rsidRPr="00117BF8" w:rsidRDefault="00E135AD" w:rsidP="00E135AD">
            <w:pPr>
              <w:pStyle w:val="TablaE"/>
              <w:rPr>
                <w:rFonts w:ascii="Arial" w:hAnsi="Arial" w:cs="Arial"/>
                <w:bCs/>
                <w:sz w:val="22"/>
                <w:szCs w:val="22"/>
              </w:rPr>
            </w:pPr>
            <w:r w:rsidRPr="00117BF8">
              <w:rPr>
                <w:rFonts w:ascii="Arial" w:hAnsi="Arial" w:cs="Arial"/>
                <w:bCs/>
                <w:sz w:val="22"/>
                <w:szCs w:val="22"/>
              </w:rPr>
              <w:t>2016</w:t>
            </w:r>
          </w:p>
        </w:tc>
      </w:tr>
      <w:tr w:rsidR="00C007D0" w:rsidRPr="004E6455" w14:paraId="77C3F405" w14:textId="77777777" w:rsidTr="00C007D0">
        <w:trPr>
          <w:trHeight w:val="300"/>
        </w:trPr>
        <w:tc>
          <w:tcPr>
            <w:tcW w:w="2000" w:type="dxa"/>
            <w:vMerge/>
            <w:tcBorders>
              <w:right w:val="single" w:sz="8" w:space="0" w:color="7BA0CD"/>
            </w:tcBorders>
            <w:shd w:val="clear" w:color="auto" w:fill="0070C0"/>
            <w:noWrap/>
            <w:hideMark/>
          </w:tcPr>
          <w:p w14:paraId="4A5C7D4C" w14:textId="77777777" w:rsidR="00E135AD" w:rsidRPr="00117BF8" w:rsidRDefault="00E135AD" w:rsidP="00E135AD">
            <w:pPr>
              <w:pStyle w:val="TablaE"/>
              <w:rPr>
                <w:rFonts w:ascii="Arial" w:hAnsi="Arial" w:cs="Arial"/>
                <w:bCs/>
                <w:sz w:val="22"/>
                <w:szCs w:val="22"/>
              </w:rPr>
            </w:pPr>
          </w:p>
        </w:tc>
        <w:tc>
          <w:tcPr>
            <w:tcW w:w="1134" w:type="dxa"/>
            <w:tcBorders>
              <w:left w:val="single" w:sz="8" w:space="0" w:color="7BA0CD"/>
            </w:tcBorders>
            <w:shd w:val="clear" w:color="auto" w:fill="0070C0"/>
            <w:noWrap/>
            <w:hideMark/>
          </w:tcPr>
          <w:p w14:paraId="593F9B82" w14:textId="77777777" w:rsidR="00E135AD" w:rsidRPr="00117BF8" w:rsidRDefault="00E135AD" w:rsidP="00E135AD">
            <w:pPr>
              <w:pStyle w:val="TablaE"/>
              <w:rPr>
                <w:rFonts w:ascii="Arial" w:hAnsi="Arial" w:cs="Arial"/>
                <w:bCs/>
                <w:sz w:val="22"/>
                <w:szCs w:val="22"/>
              </w:rPr>
            </w:pPr>
            <w:r w:rsidRPr="00117BF8">
              <w:rPr>
                <w:rFonts w:ascii="Arial" w:hAnsi="Arial" w:cs="Arial"/>
                <w:bCs/>
                <w:sz w:val="22"/>
                <w:szCs w:val="22"/>
              </w:rPr>
              <w:t>Amorti-zación</w:t>
            </w:r>
          </w:p>
        </w:tc>
        <w:tc>
          <w:tcPr>
            <w:tcW w:w="1134" w:type="dxa"/>
            <w:shd w:val="clear" w:color="auto" w:fill="0070C0"/>
            <w:noWrap/>
            <w:hideMark/>
          </w:tcPr>
          <w:p w14:paraId="783DAE54" w14:textId="77777777" w:rsidR="00E135AD" w:rsidRPr="00117BF8" w:rsidRDefault="00E135AD" w:rsidP="00E135AD">
            <w:pPr>
              <w:pStyle w:val="TablaE"/>
              <w:rPr>
                <w:rFonts w:ascii="Arial" w:hAnsi="Arial" w:cs="Arial"/>
                <w:bCs/>
                <w:sz w:val="22"/>
                <w:szCs w:val="22"/>
              </w:rPr>
            </w:pPr>
            <w:r w:rsidRPr="00117BF8">
              <w:rPr>
                <w:rFonts w:ascii="Arial" w:hAnsi="Arial" w:cs="Arial"/>
                <w:bCs/>
                <w:sz w:val="22"/>
                <w:szCs w:val="22"/>
              </w:rPr>
              <w:t>Intereses</w:t>
            </w:r>
          </w:p>
        </w:tc>
        <w:tc>
          <w:tcPr>
            <w:tcW w:w="1134" w:type="dxa"/>
            <w:tcBorders>
              <w:right w:val="single" w:sz="8" w:space="0" w:color="7BA0CD"/>
            </w:tcBorders>
            <w:shd w:val="clear" w:color="auto" w:fill="0070C0"/>
            <w:noWrap/>
            <w:hideMark/>
          </w:tcPr>
          <w:p w14:paraId="7155C021" w14:textId="77777777" w:rsidR="00E135AD" w:rsidRPr="00117BF8" w:rsidRDefault="00E135AD" w:rsidP="00E135AD">
            <w:pPr>
              <w:pStyle w:val="TablaE"/>
              <w:rPr>
                <w:rFonts w:ascii="Arial" w:hAnsi="Arial" w:cs="Arial"/>
                <w:bCs/>
                <w:sz w:val="22"/>
                <w:szCs w:val="22"/>
              </w:rPr>
            </w:pPr>
            <w:r w:rsidRPr="00117BF8">
              <w:rPr>
                <w:rFonts w:ascii="Arial" w:hAnsi="Arial" w:cs="Arial"/>
                <w:bCs/>
                <w:sz w:val="22"/>
                <w:szCs w:val="22"/>
              </w:rPr>
              <w:t>Total</w:t>
            </w:r>
          </w:p>
        </w:tc>
        <w:tc>
          <w:tcPr>
            <w:tcW w:w="1134" w:type="dxa"/>
            <w:tcBorders>
              <w:left w:val="single" w:sz="8" w:space="0" w:color="7BA0CD"/>
            </w:tcBorders>
            <w:shd w:val="clear" w:color="auto" w:fill="0070C0"/>
            <w:noWrap/>
            <w:hideMark/>
          </w:tcPr>
          <w:p w14:paraId="01B89652" w14:textId="77777777" w:rsidR="00E135AD" w:rsidRPr="00117BF8" w:rsidRDefault="00E135AD" w:rsidP="00E135AD">
            <w:pPr>
              <w:pStyle w:val="TablaE"/>
              <w:rPr>
                <w:rFonts w:ascii="Arial" w:hAnsi="Arial" w:cs="Arial"/>
                <w:bCs/>
                <w:sz w:val="22"/>
                <w:szCs w:val="22"/>
              </w:rPr>
            </w:pPr>
            <w:r w:rsidRPr="00117BF8">
              <w:rPr>
                <w:rFonts w:ascii="Arial" w:hAnsi="Arial" w:cs="Arial"/>
                <w:bCs/>
                <w:sz w:val="22"/>
                <w:szCs w:val="22"/>
              </w:rPr>
              <w:t>Amorti-zación</w:t>
            </w:r>
          </w:p>
        </w:tc>
        <w:tc>
          <w:tcPr>
            <w:tcW w:w="1134" w:type="dxa"/>
            <w:shd w:val="clear" w:color="auto" w:fill="0070C0"/>
            <w:noWrap/>
            <w:hideMark/>
          </w:tcPr>
          <w:p w14:paraId="216B83A9" w14:textId="77777777" w:rsidR="00E135AD" w:rsidRPr="00117BF8" w:rsidRDefault="00E135AD" w:rsidP="00E135AD">
            <w:pPr>
              <w:pStyle w:val="TablaE"/>
              <w:rPr>
                <w:rFonts w:ascii="Arial" w:hAnsi="Arial" w:cs="Arial"/>
                <w:bCs/>
                <w:sz w:val="22"/>
                <w:szCs w:val="22"/>
              </w:rPr>
            </w:pPr>
            <w:r w:rsidRPr="00117BF8">
              <w:rPr>
                <w:rFonts w:ascii="Arial" w:hAnsi="Arial" w:cs="Arial"/>
                <w:bCs/>
                <w:sz w:val="22"/>
                <w:szCs w:val="22"/>
              </w:rPr>
              <w:t>Intereses</w:t>
            </w:r>
          </w:p>
        </w:tc>
        <w:tc>
          <w:tcPr>
            <w:tcW w:w="1134" w:type="dxa"/>
            <w:shd w:val="clear" w:color="auto" w:fill="0070C0"/>
            <w:noWrap/>
            <w:hideMark/>
          </w:tcPr>
          <w:p w14:paraId="34A6A2E5" w14:textId="77777777" w:rsidR="00E135AD" w:rsidRPr="00117BF8" w:rsidRDefault="00E135AD" w:rsidP="00E135AD">
            <w:pPr>
              <w:pStyle w:val="TablaE"/>
              <w:rPr>
                <w:rFonts w:ascii="Arial" w:hAnsi="Arial" w:cs="Arial"/>
                <w:bCs/>
                <w:sz w:val="22"/>
                <w:szCs w:val="22"/>
              </w:rPr>
            </w:pPr>
            <w:r w:rsidRPr="00117BF8">
              <w:rPr>
                <w:rFonts w:ascii="Arial" w:hAnsi="Arial" w:cs="Arial"/>
                <w:bCs/>
                <w:sz w:val="22"/>
                <w:szCs w:val="22"/>
              </w:rPr>
              <w:t>Total</w:t>
            </w:r>
          </w:p>
        </w:tc>
      </w:tr>
      <w:tr w:rsidR="00C007D0" w:rsidRPr="004E6455" w14:paraId="3D108A60" w14:textId="77777777" w:rsidTr="00C007D0">
        <w:trPr>
          <w:trHeight w:val="300"/>
        </w:trPr>
        <w:tc>
          <w:tcPr>
            <w:tcW w:w="2000" w:type="dxa"/>
            <w:tcBorders>
              <w:right w:val="single" w:sz="8" w:space="0" w:color="7BA0CD"/>
            </w:tcBorders>
            <w:shd w:val="clear" w:color="auto" w:fill="D3DFEE"/>
            <w:noWrap/>
            <w:hideMark/>
          </w:tcPr>
          <w:p w14:paraId="337552F0" w14:textId="77777777" w:rsidR="00AD07B3" w:rsidRPr="00117BF8" w:rsidRDefault="00AD07B3" w:rsidP="00C007D0">
            <w:pPr>
              <w:pStyle w:val="TablaC"/>
              <w:jc w:val="left"/>
              <w:rPr>
                <w:rFonts w:ascii="Arial" w:hAnsi="Arial" w:cs="Arial"/>
                <w:bCs/>
                <w:sz w:val="18"/>
                <w:szCs w:val="18"/>
              </w:rPr>
            </w:pPr>
            <w:r w:rsidRPr="00117BF8">
              <w:rPr>
                <w:rFonts w:ascii="Arial" w:hAnsi="Arial" w:cs="Arial"/>
                <w:bCs/>
                <w:sz w:val="18"/>
                <w:szCs w:val="18"/>
              </w:rPr>
              <w:t>Gobierno Nacional</w:t>
            </w:r>
          </w:p>
        </w:tc>
        <w:tc>
          <w:tcPr>
            <w:tcW w:w="1134" w:type="dxa"/>
            <w:tcBorders>
              <w:left w:val="single" w:sz="8" w:space="0" w:color="7BA0CD"/>
            </w:tcBorders>
            <w:shd w:val="clear" w:color="auto" w:fill="D3DFEE"/>
            <w:noWrap/>
            <w:hideMark/>
          </w:tcPr>
          <w:p w14:paraId="36FB830D"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4.924</w:t>
            </w:r>
          </w:p>
        </w:tc>
        <w:tc>
          <w:tcPr>
            <w:tcW w:w="1134" w:type="dxa"/>
            <w:shd w:val="clear" w:color="auto" w:fill="D3DFEE"/>
            <w:noWrap/>
            <w:hideMark/>
          </w:tcPr>
          <w:p w14:paraId="69DF5699"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214</w:t>
            </w:r>
          </w:p>
        </w:tc>
        <w:tc>
          <w:tcPr>
            <w:tcW w:w="1134" w:type="dxa"/>
            <w:tcBorders>
              <w:right w:val="single" w:sz="8" w:space="0" w:color="7BA0CD"/>
            </w:tcBorders>
            <w:shd w:val="clear" w:color="auto" w:fill="D3DFEE"/>
            <w:noWrap/>
            <w:hideMark/>
          </w:tcPr>
          <w:p w14:paraId="380A135C"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5.139</w:t>
            </w:r>
          </w:p>
        </w:tc>
        <w:tc>
          <w:tcPr>
            <w:tcW w:w="1134" w:type="dxa"/>
            <w:tcBorders>
              <w:left w:val="single" w:sz="8" w:space="0" w:color="7BA0CD"/>
            </w:tcBorders>
            <w:shd w:val="clear" w:color="auto" w:fill="D3DFEE"/>
            <w:noWrap/>
            <w:hideMark/>
          </w:tcPr>
          <w:p w14:paraId="759579D9"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6.668</w:t>
            </w:r>
          </w:p>
        </w:tc>
        <w:tc>
          <w:tcPr>
            <w:tcW w:w="1134" w:type="dxa"/>
            <w:shd w:val="clear" w:color="auto" w:fill="D3DFEE"/>
            <w:noWrap/>
            <w:hideMark/>
          </w:tcPr>
          <w:p w14:paraId="02707A57"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1.729</w:t>
            </w:r>
          </w:p>
        </w:tc>
        <w:tc>
          <w:tcPr>
            <w:tcW w:w="1134" w:type="dxa"/>
            <w:shd w:val="clear" w:color="auto" w:fill="D3DFEE"/>
            <w:noWrap/>
            <w:hideMark/>
          </w:tcPr>
          <w:p w14:paraId="3011FC80"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8.397</w:t>
            </w:r>
          </w:p>
        </w:tc>
      </w:tr>
      <w:tr w:rsidR="00C007D0" w:rsidRPr="004E6455" w14:paraId="4969736C" w14:textId="77777777" w:rsidTr="00C007D0">
        <w:trPr>
          <w:trHeight w:val="300"/>
        </w:trPr>
        <w:tc>
          <w:tcPr>
            <w:tcW w:w="2000" w:type="dxa"/>
            <w:tcBorders>
              <w:right w:val="single" w:sz="8" w:space="0" w:color="7BA0CD"/>
            </w:tcBorders>
            <w:shd w:val="clear" w:color="auto" w:fill="auto"/>
            <w:noWrap/>
            <w:hideMark/>
          </w:tcPr>
          <w:p w14:paraId="3E99677B" w14:textId="77777777" w:rsidR="00AD07B3" w:rsidRPr="00117BF8" w:rsidRDefault="00AD07B3" w:rsidP="00C007D0">
            <w:pPr>
              <w:pStyle w:val="TablaC"/>
              <w:jc w:val="left"/>
              <w:rPr>
                <w:rFonts w:ascii="Arial" w:hAnsi="Arial" w:cs="Arial"/>
                <w:bCs/>
                <w:sz w:val="18"/>
                <w:szCs w:val="18"/>
              </w:rPr>
            </w:pPr>
            <w:r w:rsidRPr="00117BF8">
              <w:rPr>
                <w:rFonts w:ascii="Arial" w:hAnsi="Arial" w:cs="Arial"/>
                <w:bCs/>
                <w:sz w:val="18"/>
                <w:szCs w:val="18"/>
              </w:rPr>
              <w:t>Deuda Interna</w:t>
            </w:r>
          </w:p>
        </w:tc>
        <w:tc>
          <w:tcPr>
            <w:tcW w:w="1134" w:type="dxa"/>
            <w:tcBorders>
              <w:left w:val="single" w:sz="8" w:space="0" w:color="7BA0CD"/>
            </w:tcBorders>
            <w:shd w:val="clear" w:color="auto" w:fill="auto"/>
            <w:noWrap/>
            <w:hideMark/>
          </w:tcPr>
          <w:p w14:paraId="1E23B506"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6.589</w:t>
            </w:r>
          </w:p>
        </w:tc>
        <w:tc>
          <w:tcPr>
            <w:tcW w:w="1134" w:type="dxa"/>
            <w:shd w:val="clear" w:color="auto" w:fill="auto"/>
            <w:noWrap/>
            <w:hideMark/>
          </w:tcPr>
          <w:p w14:paraId="5AE46AC4"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5.322</w:t>
            </w:r>
          </w:p>
        </w:tc>
        <w:tc>
          <w:tcPr>
            <w:tcW w:w="1134" w:type="dxa"/>
            <w:tcBorders>
              <w:right w:val="single" w:sz="8" w:space="0" w:color="7BA0CD"/>
            </w:tcBorders>
            <w:shd w:val="clear" w:color="auto" w:fill="auto"/>
            <w:noWrap/>
            <w:hideMark/>
          </w:tcPr>
          <w:p w14:paraId="07E0B4E7"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11.912</w:t>
            </w:r>
          </w:p>
        </w:tc>
        <w:tc>
          <w:tcPr>
            <w:tcW w:w="1134" w:type="dxa"/>
            <w:tcBorders>
              <w:left w:val="single" w:sz="8" w:space="0" w:color="7BA0CD"/>
            </w:tcBorders>
            <w:shd w:val="clear" w:color="auto" w:fill="auto"/>
            <w:noWrap/>
            <w:hideMark/>
          </w:tcPr>
          <w:p w14:paraId="5288B146"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6.453</w:t>
            </w:r>
          </w:p>
        </w:tc>
        <w:tc>
          <w:tcPr>
            <w:tcW w:w="1134" w:type="dxa"/>
            <w:shd w:val="clear" w:color="auto" w:fill="auto"/>
            <w:noWrap/>
            <w:hideMark/>
          </w:tcPr>
          <w:p w14:paraId="61059C79"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8.135</w:t>
            </w:r>
          </w:p>
        </w:tc>
        <w:tc>
          <w:tcPr>
            <w:tcW w:w="1134" w:type="dxa"/>
            <w:shd w:val="clear" w:color="auto" w:fill="auto"/>
            <w:noWrap/>
            <w:hideMark/>
          </w:tcPr>
          <w:p w14:paraId="2F50CA31"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14.588</w:t>
            </w:r>
          </w:p>
        </w:tc>
      </w:tr>
      <w:tr w:rsidR="00C007D0" w:rsidRPr="004E6455" w14:paraId="3A634468" w14:textId="77777777" w:rsidTr="00C007D0">
        <w:trPr>
          <w:trHeight w:val="300"/>
        </w:trPr>
        <w:tc>
          <w:tcPr>
            <w:tcW w:w="2000" w:type="dxa"/>
            <w:tcBorders>
              <w:right w:val="single" w:sz="8" w:space="0" w:color="7BA0CD"/>
            </w:tcBorders>
            <w:shd w:val="clear" w:color="auto" w:fill="D3DFEE"/>
            <w:noWrap/>
            <w:hideMark/>
          </w:tcPr>
          <w:p w14:paraId="6D7DC3DC" w14:textId="77777777" w:rsidR="00AD07B3" w:rsidRPr="00117BF8" w:rsidRDefault="00AD07B3" w:rsidP="00C007D0">
            <w:pPr>
              <w:pStyle w:val="TablaC"/>
              <w:jc w:val="left"/>
              <w:rPr>
                <w:rFonts w:ascii="Arial" w:hAnsi="Arial" w:cs="Arial"/>
                <w:bCs/>
                <w:sz w:val="18"/>
                <w:szCs w:val="18"/>
              </w:rPr>
            </w:pPr>
            <w:r w:rsidRPr="00117BF8">
              <w:rPr>
                <w:rFonts w:ascii="Arial" w:hAnsi="Arial" w:cs="Arial"/>
                <w:bCs/>
                <w:sz w:val="18"/>
                <w:szCs w:val="18"/>
              </w:rPr>
              <w:t>Deuda Externa</w:t>
            </w:r>
          </w:p>
        </w:tc>
        <w:tc>
          <w:tcPr>
            <w:tcW w:w="1134" w:type="dxa"/>
            <w:tcBorders>
              <w:left w:val="single" w:sz="8" w:space="0" w:color="7BA0CD"/>
            </w:tcBorders>
            <w:shd w:val="clear" w:color="auto" w:fill="D3DFEE"/>
            <w:noWrap/>
            <w:hideMark/>
          </w:tcPr>
          <w:p w14:paraId="0CCFAFA8"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8.308</w:t>
            </w:r>
          </w:p>
        </w:tc>
        <w:tc>
          <w:tcPr>
            <w:tcW w:w="1134" w:type="dxa"/>
            <w:shd w:val="clear" w:color="auto" w:fill="D3DFEE"/>
            <w:noWrap/>
            <w:hideMark/>
          </w:tcPr>
          <w:p w14:paraId="169286B1"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4.337</w:t>
            </w:r>
          </w:p>
        </w:tc>
        <w:tc>
          <w:tcPr>
            <w:tcW w:w="1134" w:type="dxa"/>
            <w:tcBorders>
              <w:right w:val="single" w:sz="8" w:space="0" w:color="7BA0CD"/>
            </w:tcBorders>
            <w:shd w:val="clear" w:color="auto" w:fill="D3DFEE"/>
            <w:noWrap/>
            <w:hideMark/>
          </w:tcPr>
          <w:p w14:paraId="0E45F2CB"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12.645</w:t>
            </w:r>
          </w:p>
        </w:tc>
        <w:tc>
          <w:tcPr>
            <w:tcW w:w="1134" w:type="dxa"/>
            <w:tcBorders>
              <w:left w:val="single" w:sz="8" w:space="0" w:color="7BA0CD"/>
            </w:tcBorders>
            <w:shd w:val="clear" w:color="auto" w:fill="D3DFEE"/>
            <w:noWrap/>
            <w:hideMark/>
          </w:tcPr>
          <w:p w14:paraId="2C801BF5"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3.127</w:t>
            </w:r>
          </w:p>
        </w:tc>
        <w:tc>
          <w:tcPr>
            <w:tcW w:w="1134" w:type="dxa"/>
            <w:shd w:val="clear" w:color="auto" w:fill="D3DFEE"/>
            <w:noWrap/>
            <w:hideMark/>
          </w:tcPr>
          <w:p w14:paraId="49BD410C"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6.098</w:t>
            </w:r>
          </w:p>
        </w:tc>
        <w:tc>
          <w:tcPr>
            <w:tcW w:w="1134" w:type="dxa"/>
            <w:shd w:val="clear" w:color="auto" w:fill="D3DFEE"/>
            <w:noWrap/>
            <w:hideMark/>
          </w:tcPr>
          <w:p w14:paraId="7C75484A"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9.225</w:t>
            </w:r>
          </w:p>
        </w:tc>
      </w:tr>
      <w:tr w:rsidR="00C007D0" w:rsidRPr="004E6455" w14:paraId="543916C0" w14:textId="77777777" w:rsidTr="00C007D0">
        <w:trPr>
          <w:trHeight w:val="300"/>
        </w:trPr>
        <w:tc>
          <w:tcPr>
            <w:tcW w:w="2000" w:type="dxa"/>
            <w:tcBorders>
              <w:right w:val="single" w:sz="8" w:space="0" w:color="7BA0CD"/>
            </w:tcBorders>
            <w:shd w:val="clear" w:color="auto" w:fill="auto"/>
            <w:noWrap/>
            <w:hideMark/>
          </w:tcPr>
          <w:p w14:paraId="0D4417A3" w14:textId="77777777" w:rsidR="00AD07B3" w:rsidRPr="00117BF8" w:rsidRDefault="00AD07B3" w:rsidP="00C007D0">
            <w:pPr>
              <w:pStyle w:val="TablaC"/>
              <w:jc w:val="left"/>
              <w:rPr>
                <w:rFonts w:ascii="Arial" w:hAnsi="Arial" w:cs="Arial"/>
                <w:bCs/>
                <w:sz w:val="18"/>
                <w:szCs w:val="18"/>
              </w:rPr>
            </w:pPr>
            <w:r w:rsidRPr="00117BF8">
              <w:rPr>
                <w:rFonts w:ascii="Arial" w:hAnsi="Arial" w:cs="Arial"/>
                <w:bCs/>
                <w:sz w:val="18"/>
                <w:szCs w:val="18"/>
              </w:rPr>
              <w:t>Resto</w:t>
            </w:r>
          </w:p>
        </w:tc>
        <w:tc>
          <w:tcPr>
            <w:tcW w:w="1134" w:type="dxa"/>
            <w:tcBorders>
              <w:left w:val="single" w:sz="8" w:space="0" w:color="7BA0CD"/>
            </w:tcBorders>
            <w:shd w:val="clear" w:color="auto" w:fill="auto"/>
            <w:noWrap/>
            <w:hideMark/>
          </w:tcPr>
          <w:p w14:paraId="084B7121"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63</w:t>
            </w:r>
          </w:p>
        </w:tc>
        <w:tc>
          <w:tcPr>
            <w:tcW w:w="1134" w:type="dxa"/>
            <w:shd w:val="clear" w:color="auto" w:fill="auto"/>
            <w:noWrap/>
            <w:hideMark/>
          </w:tcPr>
          <w:p w14:paraId="513FB935"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0</w:t>
            </w:r>
          </w:p>
        </w:tc>
        <w:tc>
          <w:tcPr>
            <w:tcW w:w="1134" w:type="dxa"/>
            <w:tcBorders>
              <w:right w:val="single" w:sz="8" w:space="0" w:color="7BA0CD"/>
            </w:tcBorders>
            <w:shd w:val="clear" w:color="auto" w:fill="auto"/>
            <w:noWrap/>
            <w:hideMark/>
          </w:tcPr>
          <w:p w14:paraId="14B10544"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64</w:t>
            </w:r>
          </w:p>
        </w:tc>
        <w:tc>
          <w:tcPr>
            <w:tcW w:w="1134" w:type="dxa"/>
            <w:tcBorders>
              <w:left w:val="single" w:sz="8" w:space="0" w:color="7BA0CD"/>
            </w:tcBorders>
            <w:shd w:val="clear" w:color="auto" w:fill="auto"/>
            <w:noWrap/>
            <w:hideMark/>
          </w:tcPr>
          <w:p w14:paraId="6623C177"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78</w:t>
            </w:r>
          </w:p>
        </w:tc>
        <w:tc>
          <w:tcPr>
            <w:tcW w:w="1134" w:type="dxa"/>
            <w:shd w:val="clear" w:color="auto" w:fill="auto"/>
            <w:noWrap/>
            <w:hideMark/>
          </w:tcPr>
          <w:p w14:paraId="04C1E22D"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0</w:t>
            </w:r>
          </w:p>
        </w:tc>
        <w:tc>
          <w:tcPr>
            <w:tcW w:w="1134" w:type="dxa"/>
            <w:shd w:val="clear" w:color="auto" w:fill="auto"/>
            <w:noWrap/>
            <w:hideMark/>
          </w:tcPr>
          <w:p w14:paraId="1D0E9A10" w14:textId="77777777" w:rsidR="00AD07B3" w:rsidRPr="00117BF8" w:rsidRDefault="00AD07B3" w:rsidP="00195ED4">
            <w:pPr>
              <w:pStyle w:val="TablaC"/>
              <w:rPr>
                <w:rFonts w:ascii="Arial" w:hAnsi="Arial" w:cs="Arial"/>
                <w:sz w:val="18"/>
                <w:szCs w:val="18"/>
              </w:rPr>
            </w:pPr>
            <w:r w:rsidRPr="00117BF8">
              <w:rPr>
                <w:rFonts w:ascii="Arial" w:hAnsi="Arial" w:cs="Arial"/>
                <w:sz w:val="18"/>
                <w:szCs w:val="18"/>
              </w:rPr>
              <w:t>78</w:t>
            </w:r>
          </w:p>
        </w:tc>
      </w:tr>
      <w:tr w:rsidR="00C007D0" w:rsidRPr="004E6455" w14:paraId="79B664C5" w14:textId="77777777" w:rsidTr="00C007D0">
        <w:trPr>
          <w:trHeight w:val="300"/>
        </w:trPr>
        <w:tc>
          <w:tcPr>
            <w:tcW w:w="2000" w:type="dxa"/>
            <w:tcBorders>
              <w:right w:val="single" w:sz="8" w:space="0" w:color="7BA0CD"/>
            </w:tcBorders>
            <w:shd w:val="clear" w:color="auto" w:fill="D3DFEE"/>
            <w:noWrap/>
            <w:hideMark/>
          </w:tcPr>
          <w:p w14:paraId="2D2AB3C5" w14:textId="77777777" w:rsidR="00AD07B3" w:rsidRPr="00117BF8" w:rsidRDefault="00E135AD" w:rsidP="00C007D0">
            <w:pPr>
              <w:pStyle w:val="TablaC"/>
              <w:jc w:val="left"/>
              <w:rPr>
                <w:rFonts w:ascii="Arial" w:hAnsi="Arial" w:cs="Arial"/>
                <w:b/>
                <w:bCs/>
                <w:sz w:val="18"/>
                <w:szCs w:val="18"/>
              </w:rPr>
            </w:pPr>
            <w:r w:rsidRPr="00117BF8">
              <w:rPr>
                <w:rFonts w:ascii="Arial" w:hAnsi="Arial" w:cs="Arial"/>
                <w:b/>
                <w:bCs/>
                <w:sz w:val="18"/>
                <w:szCs w:val="18"/>
              </w:rPr>
              <w:t>Total</w:t>
            </w:r>
          </w:p>
        </w:tc>
        <w:tc>
          <w:tcPr>
            <w:tcW w:w="1134" w:type="dxa"/>
            <w:tcBorders>
              <w:left w:val="single" w:sz="8" w:space="0" w:color="7BA0CD"/>
            </w:tcBorders>
            <w:shd w:val="clear" w:color="auto" w:fill="D3DFEE"/>
            <w:noWrap/>
            <w:hideMark/>
          </w:tcPr>
          <w:p w14:paraId="5A3F553F" w14:textId="77777777" w:rsidR="00AD07B3" w:rsidRPr="00117BF8" w:rsidRDefault="00AD07B3" w:rsidP="00195ED4">
            <w:pPr>
              <w:pStyle w:val="TablaC"/>
              <w:rPr>
                <w:rFonts w:ascii="Arial" w:hAnsi="Arial" w:cs="Arial"/>
                <w:b/>
                <w:sz w:val="18"/>
                <w:szCs w:val="18"/>
              </w:rPr>
            </w:pPr>
            <w:r w:rsidRPr="00117BF8">
              <w:rPr>
                <w:rFonts w:ascii="Arial" w:hAnsi="Arial" w:cs="Arial"/>
                <w:b/>
                <w:sz w:val="18"/>
                <w:szCs w:val="18"/>
              </w:rPr>
              <w:t>19.885</w:t>
            </w:r>
          </w:p>
        </w:tc>
        <w:tc>
          <w:tcPr>
            <w:tcW w:w="1134" w:type="dxa"/>
            <w:shd w:val="clear" w:color="auto" w:fill="D3DFEE"/>
            <w:noWrap/>
            <w:hideMark/>
          </w:tcPr>
          <w:p w14:paraId="4AB63312" w14:textId="77777777" w:rsidR="00AD07B3" w:rsidRPr="00117BF8" w:rsidRDefault="00AD07B3" w:rsidP="00195ED4">
            <w:pPr>
              <w:pStyle w:val="TablaC"/>
              <w:rPr>
                <w:rFonts w:ascii="Arial" w:hAnsi="Arial" w:cs="Arial"/>
                <w:b/>
                <w:sz w:val="18"/>
                <w:szCs w:val="18"/>
              </w:rPr>
            </w:pPr>
            <w:r w:rsidRPr="00117BF8">
              <w:rPr>
                <w:rFonts w:ascii="Arial" w:hAnsi="Arial" w:cs="Arial"/>
                <w:b/>
                <w:sz w:val="18"/>
                <w:szCs w:val="18"/>
              </w:rPr>
              <w:t>9.874</w:t>
            </w:r>
          </w:p>
        </w:tc>
        <w:tc>
          <w:tcPr>
            <w:tcW w:w="1134" w:type="dxa"/>
            <w:tcBorders>
              <w:right w:val="single" w:sz="8" w:space="0" w:color="7BA0CD"/>
            </w:tcBorders>
            <w:shd w:val="clear" w:color="auto" w:fill="D3DFEE"/>
            <w:noWrap/>
            <w:hideMark/>
          </w:tcPr>
          <w:p w14:paraId="4AD20391" w14:textId="77777777" w:rsidR="00AD07B3" w:rsidRPr="00117BF8" w:rsidRDefault="00AD07B3" w:rsidP="00195ED4">
            <w:pPr>
              <w:pStyle w:val="TablaC"/>
              <w:rPr>
                <w:rFonts w:ascii="Arial" w:hAnsi="Arial" w:cs="Arial"/>
                <w:b/>
                <w:sz w:val="18"/>
                <w:szCs w:val="18"/>
              </w:rPr>
            </w:pPr>
            <w:r w:rsidRPr="00117BF8">
              <w:rPr>
                <w:rFonts w:ascii="Arial" w:hAnsi="Arial" w:cs="Arial"/>
                <w:b/>
                <w:sz w:val="18"/>
                <w:szCs w:val="18"/>
              </w:rPr>
              <w:t>29.759</w:t>
            </w:r>
          </w:p>
        </w:tc>
        <w:tc>
          <w:tcPr>
            <w:tcW w:w="1134" w:type="dxa"/>
            <w:tcBorders>
              <w:left w:val="single" w:sz="8" w:space="0" w:color="7BA0CD"/>
            </w:tcBorders>
            <w:shd w:val="clear" w:color="auto" w:fill="D3DFEE"/>
            <w:noWrap/>
            <w:hideMark/>
          </w:tcPr>
          <w:p w14:paraId="75DFBD32" w14:textId="77777777" w:rsidR="00AD07B3" w:rsidRPr="00117BF8" w:rsidRDefault="00AD07B3" w:rsidP="00195ED4">
            <w:pPr>
              <w:pStyle w:val="TablaC"/>
              <w:rPr>
                <w:rFonts w:ascii="Arial" w:hAnsi="Arial" w:cs="Arial"/>
                <w:b/>
                <w:sz w:val="18"/>
                <w:szCs w:val="18"/>
              </w:rPr>
            </w:pPr>
            <w:r w:rsidRPr="00117BF8">
              <w:rPr>
                <w:rFonts w:ascii="Arial" w:hAnsi="Arial" w:cs="Arial"/>
                <w:b/>
                <w:sz w:val="18"/>
                <w:szCs w:val="18"/>
              </w:rPr>
              <w:t>16.326</w:t>
            </w:r>
          </w:p>
        </w:tc>
        <w:tc>
          <w:tcPr>
            <w:tcW w:w="1134" w:type="dxa"/>
            <w:shd w:val="clear" w:color="auto" w:fill="D3DFEE"/>
            <w:noWrap/>
            <w:hideMark/>
          </w:tcPr>
          <w:p w14:paraId="236A1A1B" w14:textId="77777777" w:rsidR="00AD07B3" w:rsidRPr="00117BF8" w:rsidRDefault="00AD07B3" w:rsidP="00195ED4">
            <w:pPr>
              <w:pStyle w:val="TablaC"/>
              <w:rPr>
                <w:rFonts w:ascii="Arial" w:hAnsi="Arial" w:cs="Arial"/>
                <w:b/>
                <w:sz w:val="18"/>
                <w:szCs w:val="18"/>
              </w:rPr>
            </w:pPr>
            <w:r w:rsidRPr="00117BF8">
              <w:rPr>
                <w:rFonts w:ascii="Arial" w:hAnsi="Arial" w:cs="Arial"/>
                <w:b/>
                <w:sz w:val="18"/>
                <w:szCs w:val="18"/>
              </w:rPr>
              <w:t>15.963</w:t>
            </w:r>
          </w:p>
        </w:tc>
        <w:tc>
          <w:tcPr>
            <w:tcW w:w="1134" w:type="dxa"/>
            <w:shd w:val="clear" w:color="auto" w:fill="D3DFEE"/>
            <w:noWrap/>
            <w:hideMark/>
          </w:tcPr>
          <w:p w14:paraId="387849DD" w14:textId="77777777" w:rsidR="00AD07B3" w:rsidRPr="00117BF8" w:rsidRDefault="00AD07B3" w:rsidP="00195ED4">
            <w:pPr>
              <w:pStyle w:val="TablaC"/>
              <w:rPr>
                <w:rFonts w:ascii="Arial" w:hAnsi="Arial" w:cs="Arial"/>
                <w:b/>
                <w:sz w:val="18"/>
                <w:szCs w:val="18"/>
              </w:rPr>
            </w:pPr>
            <w:r w:rsidRPr="00117BF8">
              <w:rPr>
                <w:rFonts w:ascii="Arial" w:hAnsi="Arial" w:cs="Arial"/>
                <w:b/>
                <w:sz w:val="18"/>
                <w:szCs w:val="18"/>
              </w:rPr>
              <w:t>32.288</w:t>
            </w:r>
          </w:p>
        </w:tc>
      </w:tr>
    </w:tbl>
    <w:p w14:paraId="6544D053" w14:textId="77777777" w:rsidR="00AD07B3" w:rsidRPr="00117BF8" w:rsidRDefault="00ED1952" w:rsidP="00ED1952">
      <w:pPr>
        <w:pStyle w:val="Hfuente"/>
        <w:rPr>
          <w:rFonts w:ascii="Arial" w:eastAsia="Calibri" w:hAnsi="Arial" w:cs="Arial"/>
          <w:sz w:val="18"/>
          <w:szCs w:val="18"/>
        </w:rPr>
      </w:pPr>
      <w:r w:rsidRPr="00117BF8">
        <w:rPr>
          <w:rFonts w:ascii="Arial" w:eastAsia="Calibri" w:hAnsi="Arial" w:cs="Arial"/>
          <w:sz w:val="18"/>
          <w:szCs w:val="18"/>
        </w:rPr>
        <w:t>Fuente: CGPBA</w:t>
      </w:r>
    </w:p>
    <w:p w14:paraId="1BF8FC9C" w14:textId="77777777" w:rsidR="00AD07B3" w:rsidRPr="00117BF8" w:rsidRDefault="001F4A68" w:rsidP="00B26A87">
      <w:pPr>
        <w:pStyle w:val="hsa"/>
        <w:rPr>
          <w:rFonts w:ascii="Arial" w:eastAsia="Calibri" w:hAnsi="Arial" w:cs="Arial"/>
          <w:sz w:val="22"/>
          <w:szCs w:val="22"/>
        </w:rPr>
      </w:pPr>
      <w:r w:rsidRPr="00117BF8">
        <w:rPr>
          <w:rFonts w:ascii="Arial" w:eastAsia="Calibri" w:hAnsi="Arial" w:cs="Arial"/>
          <w:sz w:val="22"/>
          <w:szCs w:val="22"/>
        </w:rPr>
        <w:t xml:space="preserve">Los incrementos de los servicios de deuda, según se indica en el gráfico </w:t>
      </w:r>
      <w:r w:rsidR="00D93C0F" w:rsidRPr="00117BF8">
        <w:rPr>
          <w:rFonts w:ascii="Arial" w:eastAsia="Calibri" w:hAnsi="Arial" w:cs="Arial"/>
          <w:sz w:val="22"/>
          <w:szCs w:val="22"/>
        </w:rPr>
        <w:t>8</w:t>
      </w:r>
      <w:r w:rsidRPr="00117BF8">
        <w:rPr>
          <w:rFonts w:ascii="Arial" w:eastAsia="Calibri" w:hAnsi="Arial" w:cs="Arial"/>
          <w:sz w:val="22"/>
          <w:szCs w:val="22"/>
        </w:rPr>
        <w:t xml:space="preserve"> crecieron de manera importante en los años previos, entre 2013 y 2014 el incremento fue 43% y en el siguiente año 71%. No se dispuso de la apertura del año 2014.</w:t>
      </w:r>
    </w:p>
    <w:p w14:paraId="39FFBB33" w14:textId="1F8AEAE5" w:rsidR="001F4A68" w:rsidRPr="00117BF8" w:rsidRDefault="001F4A68" w:rsidP="00B26A87">
      <w:pPr>
        <w:pStyle w:val="hsa"/>
        <w:rPr>
          <w:rFonts w:ascii="Arial" w:eastAsia="Calibri" w:hAnsi="Arial" w:cs="Arial"/>
          <w:sz w:val="22"/>
          <w:szCs w:val="22"/>
        </w:rPr>
      </w:pPr>
      <w:r w:rsidRPr="00117BF8">
        <w:rPr>
          <w:rFonts w:ascii="Arial" w:eastAsia="Calibri" w:hAnsi="Arial" w:cs="Arial"/>
          <w:sz w:val="22"/>
          <w:szCs w:val="22"/>
        </w:rPr>
        <w:t xml:space="preserve">En el año 2015 fue importante el servicio de la deuda externa, </w:t>
      </w:r>
      <w:r w:rsidR="00F36A29" w:rsidRPr="00117BF8">
        <w:rPr>
          <w:rFonts w:ascii="Arial" w:eastAsia="Calibri" w:hAnsi="Arial" w:cs="Arial"/>
          <w:sz w:val="22"/>
          <w:szCs w:val="22"/>
        </w:rPr>
        <w:t xml:space="preserve">en particular la amortización de esta deuda fue de </w:t>
      </w:r>
      <w:r w:rsidR="008D51E7">
        <w:rPr>
          <w:rFonts w:ascii="Arial" w:eastAsia="Calibri" w:hAnsi="Arial" w:cs="Arial"/>
          <w:sz w:val="22"/>
          <w:szCs w:val="22"/>
        </w:rPr>
        <w:t>US</w:t>
      </w:r>
      <w:r w:rsidR="00F36A29" w:rsidRPr="00117BF8">
        <w:rPr>
          <w:rFonts w:ascii="Arial" w:eastAsia="Calibri" w:hAnsi="Arial" w:cs="Arial"/>
          <w:sz w:val="22"/>
          <w:szCs w:val="22"/>
        </w:rPr>
        <w:t xml:space="preserve">$7.337 millones (Ver </w:t>
      </w:r>
      <w:r w:rsidR="00D93C0F" w:rsidRPr="00117BF8">
        <w:rPr>
          <w:rFonts w:ascii="Arial" w:eastAsia="Calibri" w:hAnsi="Arial" w:cs="Arial"/>
          <w:sz w:val="22"/>
          <w:szCs w:val="22"/>
        </w:rPr>
        <w:t>Tabla A III-10</w:t>
      </w:r>
      <w:r w:rsidR="00F36A29" w:rsidRPr="00117BF8">
        <w:rPr>
          <w:rFonts w:ascii="Arial" w:eastAsia="Calibri" w:hAnsi="Arial" w:cs="Arial"/>
          <w:sz w:val="22"/>
          <w:szCs w:val="22"/>
        </w:rPr>
        <w:t>), determinante de esto monto fue la cancelación del BP 15 por US</w:t>
      </w:r>
      <w:r w:rsidR="008D51E7">
        <w:rPr>
          <w:rFonts w:ascii="Arial" w:eastAsia="Calibri" w:hAnsi="Arial" w:cs="Arial"/>
          <w:sz w:val="22"/>
          <w:szCs w:val="22"/>
        </w:rPr>
        <w:t>$</w:t>
      </w:r>
      <w:r w:rsidR="00F36A29" w:rsidRPr="00117BF8">
        <w:rPr>
          <w:rFonts w:ascii="Arial" w:eastAsia="Calibri" w:hAnsi="Arial" w:cs="Arial"/>
          <w:sz w:val="22"/>
          <w:szCs w:val="22"/>
        </w:rPr>
        <w:t xml:space="preserve">550 millones (Aproximadamente </w:t>
      </w:r>
      <w:r w:rsidR="008D51E7">
        <w:rPr>
          <w:rFonts w:ascii="Arial" w:eastAsia="Calibri" w:hAnsi="Arial" w:cs="Arial"/>
          <w:sz w:val="22"/>
          <w:szCs w:val="22"/>
        </w:rPr>
        <w:t>US</w:t>
      </w:r>
      <w:r w:rsidR="00F36A29" w:rsidRPr="00117BF8">
        <w:rPr>
          <w:rFonts w:ascii="Arial" w:eastAsia="Calibri" w:hAnsi="Arial" w:cs="Arial"/>
          <w:sz w:val="22"/>
          <w:szCs w:val="22"/>
        </w:rPr>
        <w:t>$5.500 millones).</w:t>
      </w:r>
    </w:p>
    <w:p w14:paraId="22BD54CB" w14:textId="77777777" w:rsidR="00E135AD" w:rsidRPr="00117BF8" w:rsidRDefault="005F6AD9" w:rsidP="00117BF8">
      <w:pPr>
        <w:pStyle w:val="hsa3"/>
        <w:spacing w:after="120"/>
        <w:jc w:val="center"/>
        <w:rPr>
          <w:rFonts w:ascii="Arial" w:eastAsia="Calibri" w:hAnsi="Arial" w:cs="Arial"/>
          <w:sz w:val="20"/>
        </w:rPr>
      </w:pPr>
      <w:bookmarkStart w:id="64" w:name="_Toc493781699"/>
      <w:r w:rsidRPr="00117BF8">
        <w:rPr>
          <w:rFonts w:ascii="Arial" w:eastAsia="Calibri" w:hAnsi="Arial" w:cs="Arial"/>
          <w:sz w:val="20"/>
        </w:rPr>
        <w:t>Grá</w:t>
      </w:r>
      <w:r w:rsidR="00E135AD" w:rsidRPr="00117BF8">
        <w:rPr>
          <w:rFonts w:ascii="Arial" w:eastAsia="Calibri" w:hAnsi="Arial" w:cs="Arial"/>
          <w:sz w:val="20"/>
        </w:rPr>
        <w:t xml:space="preserve">fico </w:t>
      </w:r>
      <w:r w:rsidR="00D93C0F" w:rsidRPr="00117BF8">
        <w:rPr>
          <w:rFonts w:ascii="Arial" w:eastAsia="Calibri" w:hAnsi="Arial" w:cs="Arial"/>
          <w:sz w:val="20"/>
        </w:rPr>
        <w:t>8</w:t>
      </w:r>
      <w:r w:rsidR="00E135AD" w:rsidRPr="00117BF8">
        <w:rPr>
          <w:rFonts w:ascii="Arial" w:eastAsia="Calibri" w:hAnsi="Arial" w:cs="Arial"/>
          <w:sz w:val="20"/>
        </w:rPr>
        <w:t xml:space="preserve"> – Estructura y Evolución del Servicio de Deuda</w:t>
      </w:r>
      <w:bookmarkEnd w:id="64"/>
    </w:p>
    <w:p w14:paraId="13E983B8" w14:textId="5AD5CB83" w:rsidR="00D93C0F" w:rsidRPr="00117BF8" w:rsidRDefault="00117BF8" w:rsidP="00117BF8">
      <w:pPr>
        <w:pStyle w:val="hsa"/>
        <w:rPr>
          <w:rFonts w:ascii="Arial" w:hAnsi="Arial" w:cs="Arial"/>
          <w:sz w:val="18"/>
          <w:szCs w:val="18"/>
        </w:rPr>
      </w:pPr>
      <w:r w:rsidRPr="00117BF8">
        <w:rPr>
          <w:rFonts w:ascii="Arial" w:eastAsia="Calibri" w:hAnsi="Arial" w:cs="Arial"/>
        </w:rPr>
        <w:pict w14:anchorId="2BBC64D7">
          <v:shape id="_x0000_i1038" type="#_x0000_t75" style="width:425.1pt;height:276.75pt">
            <v:imagedata r:id="rId35" o:title=""/>
          </v:shape>
        </w:pict>
      </w:r>
      <w:r w:rsidR="00D93C0F" w:rsidRPr="00117BF8">
        <w:rPr>
          <w:rFonts w:ascii="Arial" w:hAnsi="Arial" w:cs="Arial"/>
          <w:sz w:val="18"/>
          <w:szCs w:val="18"/>
        </w:rPr>
        <w:t>Elaboración propia sobre datos de la CGPBA.</w:t>
      </w:r>
      <w:r w:rsidR="008B7151" w:rsidRPr="00117BF8">
        <w:rPr>
          <w:rFonts w:ascii="Arial" w:hAnsi="Arial" w:cs="Arial"/>
          <w:sz w:val="18"/>
          <w:szCs w:val="18"/>
        </w:rPr>
        <w:t xml:space="preserve"> Año 2014 apertura no disponible.</w:t>
      </w:r>
    </w:p>
    <w:p w14:paraId="006EE3C4" w14:textId="77777777" w:rsidR="00F20957" w:rsidRPr="00117BF8" w:rsidRDefault="00F20957" w:rsidP="00F20957">
      <w:pPr>
        <w:pStyle w:val="hsa"/>
        <w:rPr>
          <w:rFonts w:ascii="Arial" w:eastAsia="Calibri" w:hAnsi="Arial" w:cs="Arial"/>
          <w:sz w:val="22"/>
          <w:szCs w:val="22"/>
        </w:rPr>
      </w:pPr>
      <w:r w:rsidRPr="00117BF8">
        <w:rPr>
          <w:rFonts w:ascii="Arial" w:eastAsia="Calibri" w:hAnsi="Arial" w:cs="Arial"/>
          <w:sz w:val="22"/>
          <w:szCs w:val="22"/>
        </w:rPr>
        <w:t xml:space="preserve">La evolución </w:t>
      </w:r>
      <w:r w:rsidR="008B7151" w:rsidRPr="00117BF8">
        <w:rPr>
          <w:rFonts w:ascii="Arial" w:eastAsia="Calibri" w:hAnsi="Arial" w:cs="Arial"/>
          <w:sz w:val="22"/>
          <w:szCs w:val="22"/>
        </w:rPr>
        <w:t xml:space="preserve">de los </w:t>
      </w:r>
      <w:r w:rsidRPr="00117BF8">
        <w:rPr>
          <w:rFonts w:ascii="Arial" w:eastAsia="Calibri" w:hAnsi="Arial" w:cs="Arial"/>
          <w:sz w:val="22"/>
          <w:szCs w:val="22"/>
        </w:rPr>
        <w:t xml:space="preserve">indicadores del servicio de deuda refleja los aspectos antes señalados, los servicios se han ubicado algo por encima del 8% sobre los ingresos totales, salvo en el año </w:t>
      </w:r>
      <w:r w:rsidR="003B04A8" w:rsidRPr="00117BF8">
        <w:rPr>
          <w:rFonts w:ascii="Arial" w:eastAsia="Calibri" w:hAnsi="Arial" w:cs="Arial"/>
          <w:sz w:val="22"/>
          <w:szCs w:val="22"/>
        </w:rPr>
        <w:t>2015 como consecuencia de la am</w:t>
      </w:r>
      <w:r w:rsidRPr="00117BF8">
        <w:rPr>
          <w:rFonts w:ascii="Arial" w:eastAsia="Calibri" w:hAnsi="Arial" w:cs="Arial"/>
          <w:sz w:val="22"/>
          <w:szCs w:val="22"/>
        </w:rPr>
        <w:t>o</w:t>
      </w:r>
      <w:r w:rsidR="003B04A8" w:rsidRPr="00117BF8">
        <w:rPr>
          <w:rFonts w:ascii="Arial" w:eastAsia="Calibri" w:hAnsi="Arial" w:cs="Arial"/>
          <w:sz w:val="22"/>
          <w:szCs w:val="22"/>
        </w:rPr>
        <w:t>r</w:t>
      </w:r>
      <w:r w:rsidRPr="00117BF8">
        <w:rPr>
          <w:rFonts w:ascii="Arial" w:eastAsia="Calibri" w:hAnsi="Arial" w:cs="Arial"/>
          <w:sz w:val="22"/>
          <w:szCs w:val="22"/>
        </w:rPr>
        <w:t xml:space="preserve">tización de deuda </w:t>
      </w:r>
      <w:r w:rsidR="008B7151" w:rsidRPr="00117BF8">
        <w:rPr>
          <w:rFonts w:ascii="Arial" w:eastAsia="Calibri" w:hAnsi="Arial" w:cs="Arial"/>
          <w:sz w:val="22"/>
          <w:szCs w:val="22"/>
        </w:rPr>
        <w:t>ya</w:t>
      </w:r>
      <w:r w:rsidRPr="00117BF8">
        <w:rPr>
          <w:rFonts w:ascii="Arial" w:eastAsia="Calibri" w:hAnsi="Arial" w:cs="Arial"/>
          <w:sz w:val="22"/>
          <w:szCs w:val="22"/>
        </w:rPr>
        <w:t xml:space="preserve"> comentada.</w:t>
      </w:r>
      <w:r w:rsidR="008B7151" w:rsidRPr="00117BF8">
        <w:rPr>
          <w:rFonts w:ascii="Arial" w:eastAsia="Calibri" w:hAnsi="Arial" w:cs="Arial"/>
          <w:sz w:val="22"/>
          <w:szCs w:val="22"/>
        </w:rPr>
        <w:t xml:space="preserve"> </w:t>
      </w:r>
      <w:r w:rsidRPr="00117BF8">
        <w:rPr>
          <w:rFonts w:ascii="Arial" w:eastAsia="Calibri" w:hAnsi="Arial" w:cs="Arial"/>
          <w:sz w:val="22"/>
          <w:szCs w:val="22"/>
        </w:rPr>
        <w:t>Cuando la relación se limita sólo a los intereses se observa un crecimiento constante que alcanza el 4,1% sobre los ingresos totales.</w:t>
      </w:r>
    </w:p>
    <w:p w14:paraId="39249957" w14:textId="77777777" w:rsidR="00F20957" w:rsidRPr="00117BF8" w:rsidRDefault="00F20957" w:rsidP="00F20957">
      <w:pPr>
        <w:pStyle w:val="hsa"/>
        <w:rPr>
          <w:rFonts w:ascii="Arial" w:eastAsia="Calibri" w:hAnsi="Arial" w:cs="Arial"/>
          <w:sz w:val="22"/>
          <w:szCs w:val="22"/>
        </w:rPr>
      </w:pPr>
      <w:r w:rsidRPr="00117BF8">
        <w:rPr>
          <w:rFonts w:ascii="Arial" w:eastAsia="Calibri" w:hAnsi="Arial" w:cs="Arial"/>
          <w:sz w:val="22"/>
          <w:szCs w:val="22"/>
        </w:rPr>
        <w:t>La relación servicios en moneda extranjera sobre exportaciones tiene un comportamiento similar a los servicios totales sobre los ingresos totales por las mismas razones.</w:t>
      </w:r>
    </w:p>
    <w:p w14:paraId="4C1B6EDB" w14:textId="77777777" w:rsidR="00F20957" w:rsidRPr="00117BF8" w:rsidRDefault="00F20957" w:rsidP="00F20957">
      <w:pPr>
        <w:pStyle w:val="hsa"/>
        <w:rPr>
          <w:rFonts w:ascii="Arial" w:eastAsia="Calibri" w:hAnsi="Arial" w:cs="Arial"/>
          <w:sz w:val="22"/>
          <w:szCs w:val="22"/>
        </w:rPr>
      </w:pPr>
      <w:r w:rsidRPr="00117BF8">
        <w:rPr>
          <w:rFonts w:ascii="Arial" w:eastAsia="Calibri" w:hAnsi="Arial" w:cs="Arial"/>
          <w:sz w:val="22"/>
          <w:szCs w:val="22"/>
        </w:rPr>
        <w:t xml:space="preserve">La composición del servicio por </w:t>
      </w:r>
      <w:r w:rsidR="00D93C0F" w:rsidRPr="00117BF8">
        <w:rPr>
          <w:rFonts w:ascii="Arial" w:eastAsia="Calibri" w:hAnsi="Arial" w:cs="Arial"/>
          <w:sz w:val="22"/>
          <w:szCs w:val="22"/>
        </w:rPr>
        <w:t xml:space="preserve">la </w:t>
      </w:r>
      <w:r w:rsidRPr="00117BF8">
        <w:rPr>
          <w:rFonts w:ascii="Arial" w:eastAsia="Calibri" w:hAnsi="Arial" w:cs="Arial"/>
          <w:sz w:val="22"/>
          <w:szCs w:val="22"/>
        </w:rPr>
        <w:t>moneda de la tasa</w:t>
      </w:r>
      <w:r w:rsidR="00D93C0F" w:rsidRPr="00117BF8">
        <w:rPr>
          <w:rFonts w:ascii="Arial" w:eastAsia="Calibri" w:hAnsi="Arial" w:cs="Arial"/>
          <w:sz w:val="22"/>
          <w:szCs w:val="22"/>
        </w:rPr>
        <w:t xml:space="preserve"> de interés</w:t>
      </w:r>
      <w:r w:rsidRPr="00117BF8">
        <w:rPr>
          <w:rFonts w:ascii="Arial" w:eastAsia="Calibri" w:hAnsi="Arial" w:cs="Arial"/>
          <w:sz w:val="22"/>
          <w:szCs w:val="22"/>
        </w:rPr>
        <w:t>, aislando el año 2015, muestra una tendencia descendente para los servicios relacionados con tasas expresa</w:t>
      </w:r>
      <w:r w:rsidR="00627C66" w:rsidRPr="00117BF8">
        <w:rPr>
          <w:rFonts w:ascii="Arial" w:eastAsia="Calibri" w:hAnsi="Arial" w:cs="Arial"/>
          <w:sz w:val="22"/>
          <w:szCs w:val="22"/>
        </w:rPr>
        <w:t>da</w:t>
      </w:r>
      <w:r w:rsidRPr="00117BF8">
        <w:rPr>
          <w:rFonts w:ascii="Arial" w:eastAsia="Calibri" w:hAnsi="Arial" w:cs="Arial"/>
          <w:sz w:val="22"/>
          <w:szCs w:val="22"/>
        </w:rPr>
        <w:t>s en ARS.</w:t>
      </w:r>
    </w:p>
    <w:tbl>
      <w:tblPr>
        <w:tblW w:w="8505"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251"/>
        <w:gridCol w:w="813"/>
        <w:gridCol w:w="813"/>
        <w:gridCol w:w="815"/>
        <w:gridCol w:w="813"/>
      </w:tblGrid>
      <w:tr w:rsidR="00E135AD" w:rsidRPr="004E6455" w14:paraId="54E32297" w14:textId="77777777" w:rsidTr="00197371">
        <w:trPr>
          <w:jc w:val="center"/>
        </w:trPr>
        <w:tc>
          <w:tcPr>
            <w:tcW w:w="5000" w:type="pct"/>
            <w:gridSpan w:val="5"/>
            <w:tcBorders>
              <w:top w:val="single" w:sz="8" w:space="0" w:color="7BA0CD"/>
              <w:left w:val="single" w:sz="8" w:space="0" w:color="7BA0CD"/>
              <w:bottom w:val="single" w:sz="8" w:space="0" w:color="7BA0CD"/>
              <w:right w:val="single" w:sz="8" w:space="0" w:color="7BA0CD"/>
            </w:tcBorders>
            <w:shd w:val="clear" w:color="auto" w:fill="0070C0"/>
          </w:tcPr>
          <w:p w14:paraId="53789B1A" w14:textId="77777777" w:rsidR="00E135AD" w:rsidRPr="00117BF8" w:rsidRDefault="00E135AD" w:rsidP="00D93C0F">
            <w:pPr>
              <w:pStyle w:val="TablaT"/>
              <w:rPr>
                <w:rFonts w:ascii="Arial" w:hAnsi="Arial" w:cs="Arial"/>
                <w:bCs/>
                <w:sz w:val="22"/>
                <w:szCs w:val="22"/>
                <w:lang w:val="es-ES_tradnl"/>
              </w:rPr>
            </w:pPr>
            <w:bookmarkStart w:id="65" w:name="_Toc493861133"/>
            <w:r w:rsidRPr="00117BF8">
              <w:rPr>
                <w:rFonts w:ascii="Arial" w:hAnsi="Arial" w:cs="Arial"/>
                <w:bCs/>
                <w:sz w:val="22"/>
                <w:szCs w:val="22"/>
                <w:lang w:val="es-ES_tradnl"/>
              </w:rPr>
              <w:t xml:space="preserve">Tabla </w:t>
            </w:r>
            <w:r w:rsidR="00D93C0F" w:rsidRPr="00117BF8">
              <w:rPr>
                <w:rFonts w:ascii="Arial" w:hAnsi="Arial" w:cs="Arial"/>
                <w:bCs/>
                <w:sz w:val="22"/>
                <w:szCs w:val="22"/>
                <w:lang w:val="es-ES_tradnl"/>
              </w:rPr>
              <w:t>23</w:t>
            </w:r>
            <w:r w:rsidRPr="00117BF8">
              <w:rPr>
                <w:rFonts w:ascii="Arial" w:hAnsi="Arial" w:cs="Arial"/>
                <w:bCs/>
                <w:sz w:val="22"/>
                <w:szCs w:val="22"/>
                <w:lang w:val="es-ES_tradnl"/>
              </w:rPr>
              <w:t>- Indicadores de Servicio de Deuda</w:t>
            </w:r>
            <w:bookmarkEnd w:id="65"/>
          </w:p>
        </w:tc>
      </w:tr>
      <w:tr w:rsidR="00C007D0" w:rsidRPr="004E6455" w14:paraId="42C59120" w14:textId="77777777" w:rsidTr="00197371">
        <w:trPr>
          <w:jc w:val="center"/>
        </w:trPr>
        <w:tc>
          <w:tcPr>
            <w:tcW w:w="3087" w:type="pct"/>
            <w:tcBorders>
              <w:right w:val="nil"/>
            </w:tcBorders>
            <w:shd w:val="clear" w:color="auto" w:fill="0070C0"/>
          </w:tcPr>
          <w:p w14:paraId="28B2D525" w14:textId="77777777" w:rsidR="00F20957" w:rsidRPr="00117BF8" w:rsidRDefault="00F20957" w:rsidP="00E135AD">
            <w:pPr>
              <w:pStyle w:val="TablaE"/>
              <w:rPr>
                <w:rFonts w:ascii="Arial" w:hAnsi="Arial" w:cs="Arial"/>
                <w:bCs/>
                <w:sz w:val="22"/>
                <w:szCs w:val="22"/>
              </w:rPr>
            </w:pPr>
          </w:p>
        </w:tc>
        <w:tc>
          <w:tcPr>
            <w:tcW w:w="478" w:type="pct"/>
            <w:tcBorders>
              <w:left w:val="nil"/>
              <w:right w:val="nil"/>
            </w:tcBorders>
            <w:shd w:val="clear" w:color="auto" w:fill="0070C0"/>
          </w:tcPr>
          <w:p w14:paraId="6FA7C18F" w14:textId="77777777" w:rsidR="00F20957" w:rsidRPr="00117BF8" w:rsidRDefault="00F20957" w:rsidP="00E135AD">
            <w:pPr>
              <w:pStyle w:val="TablaE"/>
              <w:rPr>
                <w:rFonts w:ascii="Arial" w:hAnsi="Arial" w:cs="Arial"/>
                <w:bCs/>
                <w:sz w:val="22"/>
                <w:szCs w:val="22"/>
              </w:rPr>
            </w:pPr>
            <w:r w:rsidRPr="00117BF8">
              <w:rPr>
                <w:rFonts w:ascii="Arial" w:hAnsi="Arial" w:cs="Arial"/>
                <w:bCs/>
                <w:sz w:val="22"/>
                <w:szCs w:val="22"/>
              </w:rPr>
              <w:t>2013</w:t>
            </w:r>
          </w:p>
        </w:tc>
        <w:tc>
          <w:tcPr>
            <w:tcW w:w="478" w:type="pct"/>
            <w:tcBorders>
              <w:left w:val="nil"/>
              <w:right w:val="nil"/>
            </w:tcBorders>
            <w:shd w:val="clear" w:color="auto" w:fill="0070C0"/>
          </w:tcPr>
          <w:p w14:paraId="11B971FB" w14:textId="77777777" w:rsidR="00F20957" w:rsidRPr="00117BF8" w:rsidRDefault="00F20957" w:rsidP="00E135AD">
            <w:pPr>
              <w:pStyle w:val="TablaE"/>
              <w:rPr>
                <w:rFonts w:ascii="Arial" w:hAnsi="Arial" w:cs="Arial"/>
                <w:bCs/>
                <w:sz w:val="22"/>
                <w:szCs w:val="22"/>
              </w:rPr>
            </w:pPr>
            <w:r w:rsidRPr="00117BF8">
              <w:rPr>
                <w:rFonts w:ascii="Arial" w:hAnsi="Arial" w:cs="Arial"/>
                <w:bCs/>
                <w:sz w:val="22"/>
                <w:szCs w:val="22"/>
              </w:rPr>
              <w:t>2014</w:t>
            </w:r>
          </w:p>
        </w:tc>
        <w:tc>
          <w:tcPr>
            <w:tcW w:w="479" w:type="pct"/>
            <w:tcBorders>
              <w:left w:val="nil"/>
              <w:right w:val="nil"/>
            </w:tcBorders>
            <w:shd w:val="clear" w:color="auto" w:fill="0070C0"/>
          </w:tcPr>
          <w:p w14:paraId="1256545F" w14:textId="77777777" w:rsidR="00F20957" w:rsidRPr="00117BF8" w:rsidRDefault="00F20957" w:rsidP="00E135AD">
            <w:pPr>
              <w:pStyle w:val="TablaE"/>
              <w:rPr>
                <w:rFonts w:ascii="Arial" w:hAnsi="Arial" w:cs="Arial"/>
                <w:bCs/>
                <w:sz w:val="22"/>
                <w:szCs w:val="22"/>
              </w:rPr>
            </w:pPr>
            <w:r w:rsidRPr="00117BF8">
              <w:rPr>
                <w:rFonts w:ascii="Arial" w:hAnsi="Arial" w:cs="Arial"/>
                <w:bCs/>
                <w:sz w:val="22"/>
                <w:szCs w:val="22"/>
              </w:rPr>
              <w:t>2015</w:t>
            </w:r>
          </w:p>
        </w:tc>
        <w:tc>
          <w:tcPr>
            <w:tcW w:w="478" w:type="pct"/>
            <w:tcBorders>
              <w:left w:val="nil"/>
            </w:tcBorders>
            <w:shd w:val="clear" w:color="auto" w:fill="0070C0"/>
          </w:tcPr>
          <w:p w14:paraId="14EF7E1B" w14:textId="77777777" w:rsidR="00F20957" w:rsidRPr="00117BF8" w:rsidRDefault="00F20957" w:rsidP="00E135AD">
            <w:pPr>
              <w:pStyle w:val="TablaE"/>
              <w:rPr>
                <w:rFonts w:ascii="Arial" w:hAnsi="Arial" w:cs="Arial"/>
                <w:bCs/>
                <w:sz w:val="22"/>
                <w:szCs w:val="22"/>
              </w:rPr>
            </w:pPr>
            <w:r w:rsidRPr="00117BF8">
              <w:rPr>
                <w:rFonts w:ascii="Arial" w:hAnsi="Arial" w:cs="Arial"/>
                <w:bCs/>
                <w:sz w:val="22"/>
                <w:szCs w:val="22"/>
              </w:rPr>
              <w:t>2016</w:t>
            </w:r>
          </w:p>
        </w:tc>
      </w:tr>
      <w:tr w:rsidR="00C007D0" w:rsidRPr="008D51E7" w14:paraId="0F23F4C8" w14:textId="77777777" w:rsidTr="00197371">
        <w:trPr>
          <w:jc w:val="center"/>
        </w:trPr>
        <w:tc>
          <w:tcPr>
            <w:tcW w:w="3087" w:type="pct"/>
            <w:tcBorders>
              <w:right w:val="nil"/>
            </w:tcBorders>
            <w:shd w:val="clear" w:color="auto" w:fill="auto"/>
          </w:tcPr>
          <w:p w14:paraId="305D3EC2" w14:textId="77777777" w:rsidR="00F20957" w:rsidRPr="00117BF8" w:rsidRDefault="00F20957"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Servicios Totales Pagados / Ingresos Totales</w:t>
            </w:r>
          </w:p>
        </w:tc>
        <w:tc>
          <w:tcPr>
            <w:tcW w:w="478" w:type="pct"/>
            <w:tcBorders>
              <w:left w:val="nil"/>
              <w:right w:val="nil"/>
            </w:tcBorders>
            <w:shd w:val="clear" w:color="auto" w:fill="auto"/>
          </w:tcPr>
          <w:p w14:paraId="043D72EB"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8,1%</w:t>
            </w:r>
          </w:p>
        </w:tc>
        <w:tc>
          <w:tcPr>
            <w:tcW w:w="478" w:type="pct"/>
            <w:tcBorders>
              <w:left w:val="nil"/>
              <w:right w:val="nil"/>
            </w:tcBorders>
            <w:shd w:val="clear" w:color="auto" w:fill="auto"/>
          </w:tcPr>
          <w:p w14:paraId="446E5E10"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8,6%</w:t>
            </w:r>
          </w:p>
        </w:tc>
        <w:tc>
          <w:tcPr>
            <w:tcW w:w="479" w:type="pct"/>
            <w:tcBorders>
              <w:left w:val="nil"/>
              <w:right w:val="nil"/>
            </w:tcBorders>
            <w:shd w:val="clear" w:color="auto" w:fill="auto"/>
          </w:tcPr>
          <w:p w14:paraId="591B6A98"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10,9%</w:t>
            </w:r>
          </w:p>
        </w:tc>
        <w:tc>
          <w:tcPr>
            <w:tcW w:w="478" w:type="pct"/>
            <w:tcBorders>
              <w:left w:val="nil"/>
            </w:tcBorders>
            <w:shd w:val="clear" w:color="auto" w:fill="auto"/>
          </w:tcPr>
          <w:p w14:paraId="0BD540CF"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8,2%</w:t>
            </w:r>
          </w:p>
        </w:tc>
      </w:tr>
      <w:tr w:rsidR="00C007D0" w:rsidRPr="008D51E7" w14:paraId="7159294F" w14:textId="77777777" w:rsidTr="00197371">
        <w:trPr>
          <w:jc w:val="center"/>
        </w:trPr>
        <w:tc>
          <w:tcPr>
            <w:tcW w:w="3087" w:type="pct"/>
            <w:shd w:val="clear" w:color="auto" w:fill="D3DFEE"/>
          </w:tcPr>
          <w:p w14:paraId="71725D3E" w14:textId="77777777" w:rsidR="00F20957" w:rsidRPr="00117BF8" w:rsidRDefault="00F20957" w:rsidP="00C007D0">
            <w:pPr>
              <w:pStyle w:val="TablaC"/>
              <w:jc w:val="left"/>
              <w:rPr>
                <w:rFonts w:ascii="Arial" w:hAnsi="Arial" w:cs="Arial"/>
                <w:bCs/>
                <w:sz w:val="18"/>
                <w:szCs w:val="18"/>
              </w:rPr>
            </w:pPr>
            <w:r w:rsidRPr="00117BF8">
              <w:rPr>
                <w:rFonts w:ascii="Arial" w:hAnsi="Arial" w:cs="Arial"/>
                <w:bCs/>
                <w:sz w:val="18"/>
                <w:szCs w:val="18"/>
              </w:rPr>
              <w:t>Intereses Pagados / Ingresos Totales</w:t>
            </w:r>
          </w:p>
        </w:tc>
        <w:tc>
          <w:tcPr>
            <w:tcW w:w="478" w:type="pct"/>
            <w:shd w:val="clear" w:color="auto" w:fill="D3DFEE"/>
          </w:tcPr>
          <w:p w14:paraId="4B700364"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2,9%</w:t>
            </w:r>
          </w:p>
        </w:tc>
        <w:tc>
          <w:tcPr>
            <w:tcW w:w="478" w:type="pct"/>
            <w:shd w:val="clear" w:color="auto" w:fill="D3DFEE"/>
          </w:tcPr>
          <w:p w14:paraId="233EF483"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3,3%</w:t>
            </w:r>
          </w:p>
        </w:tc>
        <w:tc>
          <w:tcPr>
            <w:tcW w:w="479" w:type="pct"/>
            <w:shd w:val="clear" w:color="auto" w:fill="D3DFEE"/>
          </w:tcPr>
          <w:p w14:paraId="41370F9F"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3,6%</w:t>
            </w:r>
          </w:p>
        </w:tc>
        <w:tc>
          <w:tcPr>
            <w:tcW w:w="478" w:type="pct"/>
            <w:shd w:val="clear" w:color="auto" w:fill="D3DFEE"/>
          </w:tcPr>
          <w:p w14:paraId="785F0BEB"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4,1%</w:t>
            </w:r>
          </w:p>
        </w:tc>
      </w:tr>
      <w:tr w:rsidR="00C007D0" w:rsidRPr="008D51E7" w14:paraId="36544E72" w14:textId="77777777" w:rsidTr="00197371">
        <w:trPr>
          <w:jc w:val="center"/>
        </w:trPr>
        <w:tc>
          <w:tcPr>
            <w:tcW w:w="3087" w:type="pct"/>
            <w:tcBorders>
              <w:right w:val="nil"/>
            </w:tcBorders>
            <w:shd w:val="clear" w:color="auto" w:fill="auto"/>
          </w:tcPr>
          <w:p w14:paraId="0492AE1E" w14:textId="77777777" w:rsidR="00F20957" w:rsidRPr="00117BF8" w:rsidRDefault="00F20957"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Servicios en Moneda Extranjera / Exportaciones</w:t>
            </w:r>
          </w:p>
        </w:tc>
        <w:tc>
          <w:tcPr>
            <w:tcW w:w="478" w:type="pct"/>
            <w:tcBorders>
              <w:left w:val="nil"/>
              <w:right w:val="nil"/>
            </w:tcBorders>
            <w:shd w:val="clear" w:color="auto" w:fill="auto"/>
          </w:tcPr>
          <w:p w14:paraId="0A2E7677"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2,4%</w:t>
            </w:r>
          </w:p>
        </w:tc>
        <w:tc>
          <w:tcPr>
            <w:tcW w:w="478" w:type="pct"/>
            <w:tcBorders>
              <w:left w:val="nil"/>
              <w:right w:val="nil"/>
            </w:tcBorders>
            <w:shd w:val="clear" w:color="auto" w:fill="auto"/>
          </w:tcPr>
          <w:p w14:paraId="3383643C"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2,7%</w:t>
            </w:r>
          </w:p>
        </w:tc>
        <w:tc>
          <w:tcPr>
            <w:tcW w:w="479" w:type="pct"/>
            <w:tcBorders>
              <w:left w:val="nil"/>
              <w:right w:val="nil"/>
            </w:tcBorders>
            <w:shd w:val="clear" w:color="auto" w:fill="auto"/>
          </w:tcPr>
          <w:p w14:paraId="52A923B1"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6,8%</w:t>
            </w:r>
          </w:p>
        </w:tc>
        <w:tc>
          <w:tcPr>
            <w:tcW w:w="478" w:type="pct"/>
            <w:tcBorders>
              <w:left w:val="nil"/>
            </w:tcBorders>
            <w:shd w:val="clear" w:color="auto" w:fill="auto"/>
          </w:tcPr>
          <w:p w14:paraId="3DCB2B98"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3,7%</w:t>
            </w:r>
          </w:p>
        </w:tc>
      </w:tr>
      <w:tr w:rsidR="00C007D0" w:rsidRPr="008D51E7" w14:paraId="7974975D" w14:textId="77777777" w:rsidTr="00197371">
        <w:trPr>
          <w:jc w:val="center"/>
        </w:trPr>
        <w:tc>
          <w:tcPr>
            <w:tcW w:w="3087" w:type="pct"/>
            <w:shd w:val="clear" w:color="auto" w:fill="D3DFEE"/>
          </w:tcPr>
          <w:p w14:paraId="5B52384A" w14:textId="77777777" w:rsidR="00F20957" w:rsidRPr="00117BF8" w:rsidRDefault="00F20957"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Composición por Tasa de Interés</w:t>
            </w:r>
          </w:p>
        </w:tc>
        <w:tc>
          <w:tcPr>
            <w:tcW w:w="478" w:type="pct"/>
            <w:shd w:val="clear" w:color="auto" w:fill="D3DFEE"/>
          </w:tcPr>
          <w:p w14:paraId="7C4656A8" w14:textId="77777777" w:rsidR="00F20957" w:rsidRPr="00117BF8" w:rsidRDefault="00F20957" w:rsidP="00E135AD">
            <w:pPr>
              <w:pStyle w:val="TablaC"/>
              <w:rPr>
                <w:rFonts w:ascii="Arial" w:hAnsi="Arial" w:cs="Arial"/>
                <w:sz w:val="18"/>
                <w:szCs w:val="18"/>
                <w:lang w:val="es-ES_tradnl"/>
              </w:rPr>
            </w:pPr>
          </w:p>
        </w:tc>
        <w:tc>
          <w:tcPr>
            <w:tcW w:w="478" w:type="pct"/>
            <w:shd w:val="clear" w:color="auto" w:fill="D3DFEE"/>
          </w:tcPr>
          <w:p w14:paraId="31775AD3" w14:textId="77777777" w:rsidR="00F20957" w:rsidRPr="00117BF8" w:rsidRDefault="00F20957" w:rsidP="00E135AD">
            <w:pPr>
              <w:pStyle w:val="TablaC"/>
              <w:rPr>
                <w:rFonts w:ascii="Arial" w:hAnsi="Arial" w:cs="Arial"/>
                <w:sz w:val="18"/>
                <w:szCs w:val="18"/>
                <w:lang w:val="es-ES_tradnl"/>
              </w:rPr>
            </w:pPr>
          </w:p>
        </w:tc>
        <w:tc>
          <w:tcPr>
            <w:tcW w:w="479" w:type="pct"/>
            <w:shd w:val="clear" w:color="auto" w:fill="D3DFEE"/>
          </w:tcPr>
          <w:p w14:paraId="4AE42ACA" w14:textId="77777777" w:rsidR="00F20957" w:rsidRPr="00117BF8" w:rsidRDefault="00F20957" w:rsidP="00E135AD">
            <w:pPr>
              <w:pStyle w:val="TablaC"/>
              <w:rPr>
                <w:rFonts w:ascii="Arial" w:hAnsi="Arial" w:cs="Arial"/>
                <w:sz w:val="18"/>
                <w:szCs w:val="18"/>
                <w:lang w:val="es-ES_tradnl"/>
              </w:rPr>
            </w:pPr>
          </w:p>
        </w:tc>
        <w:tc>
          <w:tcPr>
            <w:tcW w:w="478" w:type="pct"/>
            <w:shd w:val="clear" w:color="auto" w:fill="D3DFEE"/>
          </w:tcPr>
          <w:p w14:paraId="2E4A74EE" w14:textId="77777777" w:rsidR="00F20957" w:rsidRPr="00117BF8" w:rsidRDefault="00F20957" w:rsidP="00E135AD">
            <w:pPr>
              <w:pStyle w:val="TablaC"/>
              <w:rPr>
                <w:rFonts w:ascii="Arial" w:hAnsi="Arial" w:cs="Arial"/>
                <w:sz w:val="18"/>
                <w:szCs w:val="18"/>
                <w:lang w:val="es-ES_tradnl"/>
              </w:rPr>
            </w:pPr>
          </w:p>
        </w:tc>
      </w:tr>
      <w:tr w:rsidR="00C007D0" w:rsidRPr="008D51E7" w14:paraId="74A564DB" w14:textId="77777777" w:rsidTr="00197371">
        <w:trPr>
          <w:jc w:val="center"/>
        </w:trPr>
        <w:tc>
          <w:tcPr>
            <w:tcW w:w="3087" w:type="pct"/>
            <w:tcBorders>
              <w:right w:val="nil"/>
            </w:tcBorders>
            <w:shd w:val="clear" w:color="auto" w:fill="auto"/>
          </w:tcPr>
          <w:p w14:paraId="08DFC0E0" w14:textId="77777777" w:rsidR="00F20957" w:rsidRPr="00117BF8" w:rsidRDefault="00F20957" w:rsidP="00C007D0">
            <w:pPr>
              <w:pStyle w:val="TablaC"/>
              <w:jc w:val="left"/>
              <w:rPr>
                <w:rFonts w:ascii="Arial" w:hAnsi="Arial" w:cs="Arial"/>
                <w:bCs/>
                <w:sz w:val="18"/>
                <w:szCs w:val="18"/>
              </w:rPr>
            </w:pPr>
            <w:r w:rsidRPr="00117BF8">
              <w:rPr>
                <w:rFonts w:ascii="Arial" w:hAnsi="Arial" w:cs="Arial"/>
                <w:bCs/>
                <w:sz w:val="18"/>
                <w:szCs w:val="18"/>
              </w:rPr>
              <w:t>% en ARS</w:t>
            </w:r>
          </w:p>
        </w:tc>
        <w:tc>
          <w:tcPr>
            <w:tcW w:w="478" w:type="pct"/>
            <w:tcBorders>
              <w:left w:val="nil"/>
              <w:right w:val="nil"/>
            </w:tcBorders>
            <w:shd w:val="clear" w:color="auto" w:fill="auto"/>
          </w:tcPr>
          <w:p w14:paraId="0AF70F0B"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71,9%</w:t>
            </w:r>
          </w:p>
        </w:tc>
        <w:tc>
          <w:tcPr>
            <w:tcW w:w="478" w:type="pct"/>
            <w:tcBorders>
              <w:left w:val="nil"/>
              <w:right w:val="nil"/>
            </w:tcBorders>
            <w:shd w:val="clear" w:color="auto" w:fill="auto"/>
          </w:tcPr>
          <w:p w14:paraId="4308DF47"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70,9%</w:t>
            </w:r>
          </w:p>
        </w:tc>
        <w:tc>
          <w:tcPr>
            <w:tcW w:w="479" w:type="pct"/>
            <w:tcBorders>
              <w:left w:val="nil"/>
              <w:right w:val="nil"/>
            </w:tcBorders>
            <w:shd w:val="clear" w:color="auto" w:fill="auto"/>
          </w:tcPr>
          <w:p w14:paraId="466A8F2B"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58,4%</w:t>
            </w:r>
          </w:p>
        </w:tc>
        <w:tc>
          <w:tcPr>
            <w:tcW w:w="478" w:type="pct"/>
            <w:tcBorders>
              <w:left w:val="nil"/>
            </w:tcBorders>
            <w:shd w:val="clear" w:color="auto" w:fill="auto"/>
          </w:tcPr>
          <w:p w14:paraId="01033F70"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69,1%</w:t>
            </w:r>
          </w:p>
        </w:tc>
      </w:tr>
      <w:tr w:rsidR="00C007D0" w:rsidRPr="008D51E7" w14:paraId="5D080DE9" w14:textId="77777777" w:rsidTr="00197371">
        <w:trPr>
          <w:jc w:val="center"/>
        </w:trPr>
        <w:tc>
          <w:tcPr>
            <w:tcW w:w="3087" w:type="pct"/>
            <w:shd w:val="clear" w:color="auto" w:fill="D3DFEE"/>
          </w:tcPr>
          <w:p w14:paraId="081B161B" w14:textId="77777777" w:rsidR="00F20957" w:rsidRPr="00117BF8" w:rsidRDefault="00F20957" w:rsidP="00C007D0">
            <w:pPr>
              <w:pStyle w:val="TablaC"/>
              <w:jc w:val="left"/>
              <w:rPr>
                <w:rFonts w:ascii="Arial" w:hAnsi="Arial" w:cs="Arial"/>
                <w:bCs/>
                <w:sz w:val="18"/>
                <w:szCs w:val="18"/>
              </w:rPr>
            </w:pPr>
            <w:r w:rsidRPr="00117BF8">
              <w:rPr>
                <w:rFonts w:ascii="Arial" w:hAnsi="Arial" w:cs="Arial"/>
                <w:bCs/>
                <w:sz w:val="18"/>
                <w:szCs w:val="18"/>
              </w:rPr>
              <w:t>% en USD</w:t>
            </w:r>
          </w:p>
        </w:tc>
        <w:tc>
          <w:tcPr>
            <w:tcW w:w="478" w:type="pct"/>
            <w:shd w:val="clear" w:color="auto" w:fill="D3DFEE"/>
          </w:tcPr>
          <w:p w14:paraId="122BC215"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23,7%</w:t>
            </w:r>
          </w:p>
        </w:tc>
        <w:tc>
          <w:tcPr>
            <w:tcW w:w="478" w:type="pct"/>
            <w:shd w:val="clear" w:color="auto" w:fill="D3DFEE"/>
          </w:tcPr>
          <w:p w14:paraId="33C162EA"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24,3%</w:t>
            </w:r>
          </w:p>
        </w:tc>
        <w:tc>
          <w:tcPr>
            <w:tcW w:w="479" w:type="pct"/>
            <w:shd w:val="clear" w:color="auto" w:fill="D3DFEE"/>
          </w:tcPr>
          <w:p w14:paraId="1CFC8932"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39,0%</w:t>
            </w:r>
          </w:p>
        </w:tc>
        <w:tc>
          <w:tcPr>
            <w:tcW w:w="478" w:type="pct"/>
            <w:shd w:val="clear" w:color="auto" w:fill="D3DFEE"/>
          </w:tcPr>
          <w:p w14:paraId="1F280301"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27,3%</w:t>
            </w:r>
          </w:p>
        </w:tc>
      </w:tr>
      <w:tr w:rsidR="00C007D0" w:rsidRPr="008D51E7" w14:paraId="3471591E" w14:textId="77777777" w:rsidTr="00197371">
        <w:trPr>
          <w:jc w:val="center"/>
        </w:trPr>
        <w:tc>
          <w:tcPr>
            <w:tcW w:w="3087" w:type="pct"/>
            <w:tcBorders>
              <w:right w:val="nil"/>
            </w:tcBorders>
            <w:shd w:val="clear" w:color="auto" w:fill="auto"/>
          </w:tcPr>
          <w:p w14:paraId="190A879A" w14:textId="77777777" w:rsidR="00F20957" w:rsidRPr="00117BF8" w:rsidRDefault="00F20957" w:rsidP="00C007D0">
            <w:pPr>
              <w:pStyle w:val="TablaC"/>
              <w:jc w:val="left"/>
              <w:rPr>
                <w:rFonts w:ascii="Arial" w:hAnsi="Arial" w:cs="Arial"/>
                <w:bCs/>
                <w:sz w:val="18"/>
                <w:szCs w:val="18"/>
              </w:rPr>
            </w:pPr>
            <w:r w:rsidRPr="00117BF8">
              <w:rPr>
                <w:rFonts w:ascii="Arial" w:hAnsi="Arial" w:cs="Arial"/>
                <w:bCs/>
                <w:sz w:val="18"/>
                <w:szCs w:val="18"/>
              </w:rPr>
              <w:t>% en EUR</w:t>
            </w:r>
          </w:p>
        </w:tc>
        <w:tc>
          <w:tcPr>
            <w:tcW w:w="478" w:type="pct"/>
            <w:tcBorders>
              <w:left w:val="nil"/>
              <w:right w:val="nil"/>
            </w:tcBorders>
            <w:shd w:val="clear" w:color="auto" w:fill="auto"/>
          </w:tcPr>
          <w:p w14:paraId="4400DE43"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4,4%</w:t>
            </w:r>
          </w:p>
        </w:tc>
        <w:tc>
          <w:tcPr>
            <w:tcW w:w="478" w:type="pct"/>
            <w:tcBorders>
              <w:left w:val="nil"/>
              <w:right w:val="nil"/>
            </w:tcBorders>
            <w:shd w:val="clear" w:color="auto" w:fill="auto"/>
          </w:tcPr>
          <w:p w14:paraId="705B7678"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4,8%</w:t>
            </w:r>
          </w:p>
        </w:tc>
        <w:tc>
          <w:tcPr>
            <w:tcW w:w="479" w:type="pct"/>
            <w:tcBorders>
              <w:left w:val="nil"/>
              <w:right w:val="nil"/>
            </w:tcBorders>
            <w:shd w:val="clear" w:color="auto" w:fill="auto"/>
          </w:tcPr>
          <w:p w14:paraId="7FDCDA64"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2,6%</w:t>
            </w:r>
          </w:p>
        </w:tc>
        <w:tc>
          <w:tcPr>
            <w:tcW w:w="478" w:type="pct"/>
            <w:tcBorders>
              <w:left w:val="nil"/>
            </w:tcBorders>
            <w:shd w:val="clear" w:color="auto" w:fill="auto"/>
          </w:tcPr>
          <w:p w14:paraId="56B337D2" w14:textId="77777777" w:rsidR="00F20957" w:rsidRPr="00117BF8" w:rsidRDefault="00F20957" w:rsidP="00E135AD">
            <w:pPr>
              <w:pStyle w:val="TablaC"/>
              <w:rPr>
                <w:rFonts w:ascii="Arial" w:hAnsi="Arial" w:cs="Arial"/>
                <w:sz w:val="18"/>
                <w:szCs w:val="18"/>
              </w:rPr>
            </w:pPr>
            <w:r w:rsidRPr="00117BF8">
              <w:rPr>
                <w:rFonts w:ascii="Arial" w:hAnsi="Arial" w:cs="Arial"/>
                <w:sz w:val="18"/>
                <w:szCs w:val="18"/>
              </w:rPr>
              <w:t>3,6%</w:t>
            </w:r>
          </w:p>
        </w:tc>
      </w:tr>
    </w:tbl>
    <w:p w14:paraId="7B74A7F7" w14:textId="77777777" w:rsidR="00F20957" w:rsidRPr="00117BF8" w:rsidRDefault="00F20957" w:rsidP="00D93C0F">
      <w:pPr>
        <w:pStyle w:val="Hfuente"/>
        <w:rPr>
          <w:rFonts w:ascii="Arial" w:eastAsia="Calibri" w:hAnsi="Arial" w:cs="Arial"/>
          <w:sz w:val="18"/>
          <w:szCs w:val="18"/>
        </w:rPr>
      </w:pPr>
      <w:r w:rsidRPr="00117BF8">
        <w:rPr>
          <w:rFonts w:ascii="Arial" w:eastAsia="Calibri" w:hAnsi="Arial" w:cs="Arial"/>
          <w:sz w:val="18"/>
          <w:szCs w:val="18"/>
        </w:rPr>
        <w:t>Fuente: Informe de Deuda Pública al 31/12/16 – Ministerio de Economía de la PBA</w:t>
      </w:r>
    </w:p>
    <w:p w14:paraId="455CA74A" w14:textId="77777777" w:rsidR="00E951B4" w:rsidRPr="00117BF8" w:rsidRDefault="00E951B4" w:rsidP="00117BF8">
      <w:pPr>
        <w:pStyle w:val="Heading2"/>
        <w:spacing w:before="0" w:after="120"/>
        <w:rPr>
          <w:rFonts w:ascii="Arial" w:eastAsia="Calibri" w:hAnsi="Arial" w:cs="Arial"/>
          <w:sz w:val="22"/>
          <w:szCs w:val="22"/>
        </w:rPr>
      </w:pPr>
      <w:bookmarkStart w:id="66" w:name="_Toc494040321"/>
      <w:r w:rsidRPr="00117BF8">
        <w:rPr>
          <w:rFonts w:ascii="Arial" w:eastAsia="Calibri" w:hAnsi="Arial" w:cs="Arial"/>
          <w:sz w:val="22"/>
          <w:szCs w:val="22"/>
        </w:rPr>
        <w:t xml:space="preserve">Análisis de Deudas actuales </w:t>
      </w:r>
      <w:r w:rsidR="00434C3F" w:rsidRPr="00117BF8">
        <w:rPr>
          <w:rFonts w:ascii="Arial" w:eastAsia="Calibri" w:hAnsi="Arial" w:cs="Arial"/>
          <w:sz w:val="22"/>
          <w:szCs w:val="22"/>
        </w:rPr>
        <w:t>de la PBA</w:t>
      </w:r>
      <w:bookmarkEnd w:id="66"/>
    </w:p>
    <w:p w14:paraId="0E8AA5C4" w14:textId="70A6D0C2" w:rsidR="009D0173" w:rsidRPr="00117BF8" w:rsidRDefault="0056492C" w:rsidP="004811C1">
      <w:pPr>
        <w:pStyle w:val="hsa"/>
        <w:rPr>
          <w:rFonts w:ascii="Arial" w:eastAsia="Calibri" w:hAnsi="Arial" w:cs="Arial"/>
          <w:sz w:val="22"/>
          <w:szCs w:val="22"/>
        </w:rPr>
      </w:pPr>
      <w:r w:rsidRPr="00117BF8">
        <w:rPr>
          <w:rFonts w:ascii="Arial" w:eastAsia="Calibri" w:hAnsi="Arial" w:cs="Arial"/>
          <w:sz w:val="22"/>
          <w:szCs w:val="22"/>
        </w:rPr>
        <w:t xml:space="preserve">Al </w:t>
      </w:r>
      <w:r w:rsidR="004811C1" w:rsidRPr="00117BF8">
        <w:rPr>
          <w:rFonts w:ascii="Arial" w:eastAsia="Calibri" w:hAnsi="Arial" w:cs="Arial"/>
          <w:sz w:val="22"/>
          <w:szCs w:val="22"/>
        </w:rPr>
        <w:t xml:space="preserve">31 de </w:t>
      </w:r>
      <w:r w:rsidR="008D51E7" w:rsidRPr="00117BF8">
        <w:rPr>
          <w:rFonts w:ascii="Arial" w:eastAsia="Calibri" w:hAnsi="Arial" w:cs="Arial"/>
          <w:sz w:val="22"/>
          <w:szCs w:val="22"/>
        </w:rPr>
        <w:t>diciembre</w:t>
      </w:r>
      <w:r w:rsidR="004811C1" w:rsidRPr="00117BF8">
        <w:rPr>
          <w:rFonts w:ascii="Arial" w:eastAsia="Calibri" w:hAnsi="Arial" w:cs="Arial"/>
          <w:sz w:val="22"/>
          <w:szCs w:val="22"/>
        </w:rPr>
        <w:t xml:space="preserve"> de 2016 la </w:t>
      </w:r>
      <w:r w:rsidRPr="00117BF8">
        <w:rPr>
          <w:rFonts w:ascii="Arial" w:eastAsia="Calibri" w:hAnsi="Arial" w:cs="Arial"/>
          <w:sz w:val="22"/>
          <w:szCs w:val="22"/>
        </w:rPr>
        <w:t xml:space="preserve">deuda de la </w:t>
      </w:r>
      <w:r w:rsidR="004811C1" w:rsidRPr="00117BF8">
        <w:rPr>
          <w:rFonts w:ascii="Arial" w:eastAsia="Calibri" w:hAnsi="Arial" w:cs="Arial"/>
          <w:sz w:val="22"/>
          <w:szCs w:val="22"/>
        </w:rPr>
        <w:t xml:space="preserve">Provincia de Buenos Aires </w:t>
      </w:r>
      <w:r w:rsidRPr="00117BF8">
        <w:rPr>
          <w:rFonts w:ascii="Arial" w:eastAsia="Calibri" w:hAnsi="Arial" w:cs="Arial"/>
          <w:sz w:val="22"/>
          <w:szCs w:val="22"/>
        </w:rPr>
        <w:t>era</w:t>
      </w:r>
      <w:r w:rsidR="004811C1" w:rsidRPr="00117BF8">
        <w:rPr>
          <w:rFonts w:ascii="Arial" w:eastAsia="Calibri" w:hAnsi="Arial" w:cs="Arial"/>
          <w:sz w:val="22"/>
          <w:szCs w:val="22"/>
        </w:rPr>
        <w:t xml:space="preserve"> </w:t>
      </w:r>
      <w:r w:rsidR="00011B48" w:rsidRPr="00117BF8">
        <w:rPr>
          <w:rFonts w:ascii="Arial" w:eastAsia="Calibri" w:hAnsi="Arial" w:cs="Arial"/>
          <w:sz w:val="22"/>
          <w:szCs w:val="22"/>
        </w:rPr>
        <w:t>196.000 millones de pesos</w:t>
      </w:r>
      <w:r w:rsidR="00AB4C5A" w:rsidRPr="00117BF8">
        <w:rPr>
          <w:rFonts w:ascii="Arial" w:eastAsia="Calibri" w:hAnsi="Arial" w:cs="Arial"/>
          <w:sz w:val="22"/>
          <w:szCs w:val="22"/>
        </w:rPr>
        <w:t>. Respecto del año previo se increment</w:t>
      </w:r>
      <w:r w:rsidR="009D0173" w:rsidRPr="00117BF8">
        <w:rPr>
          <w:rFonts w:ascii="Arial" w:eastAsia="Calibri" w:hAnsi="Arial" w:cs="Arial"/>
          <w:sz w:val="22"/>
          <w:szCs w:val="22"/>
        </w:rPr>
        <w:t xml:space="preserve">ó en 61%. Detalle de la deuda al 31/12/16 se incluye en </w:t>
      </w:r>
      <w:r w:rsidR="003B2E3F" w:rsidRPr="00117BF8">
        <w:rPr>
          <w:rFonts w:ascii="Arial" w:eastAsia="Calibri" w:hAnsi="Arial" w:cs="Arial"/>
          <w:sz w:val="22"/>
          <w:szCs w:val="22"/>
        </w:rPr>
        <w:t>la Tabla A III – 11.</w:t>
      </w:r>
    </w:p>
    <w:p w14:paraId="7806088C" w14:textId="4AA39B8F" w:rsidR="004811C1" w:rsidRPr="00117BF8" w:rsidRDefault="009D0173" w:rsidP="004811C1">
      <w:pPr>
        <w:pStyle w:val="hsa"/>
        <w:rPr>
          <w:rFonts w:ascii="Arial" w:eastAsia="Calibri" w:hAnsi="Arial" w:cs="Arial"/>
          <w:sz w:val="22"/>
          <w:szCs w:val="22"/>
        </w:rPr>
      </w:pPr>
      <w:r w:rsidRPr="00117BF8">
        <w:rPr>
          <w:rFonts w:ascii="Arial" w:eastAsia="Calibri" w:hAnsi="Arial" w:cs="Arial"/>
          <w:sz w:val="22"/>
          <w:szCs w:val="22"/>
        </w:rPr>
        <w:t xml:space="preserve">Se </w:t>
      </w:r>
      <w:r w:rsidR="00AB4C5A" w:rsidRPr="00117BF8">
        <w:rPr>
          <w:rFonts w:ascii="Arial" w:eastAsia="Calibri" w:hAnsi="Arial" w:cs="Arial"/>
          <w:sz w:val="22"/>
          <w:szCs w:val="22"/>
        </w:rPr>
        <w:t>destac</w:t>
      </w:r>
      <w:r w:rsidRPr="00117BF8">
        <w:rPr>
          <w:rFonts w:ascii="Arial" w:eastAsia="Calibri" w:hAnsi="Arial" w:cs="Arial"/>
          <w:sz w:val="22"/>
          <w:szCs w:val="22"/>
        </w:rPr>
        <w:t xml:space="preserve">a </w:t>
      </w:r>
      <w:r w:rsidR="00AB4C5A" w:rsidRPr="00117BF8">
        <w:rPr>
          <w:rFonts w:ascii="Arial" w:eastAsia="Calibri" w:hAnsi="Arial" w:cs="Arial"/>
          <w:sz w:val="22"/>
          <w:szCs w:val="22"/>
        </w:rPr>
        <w:t xml:space="preserve">el crecimiento de la deuda en moneda extranjera </w:t>
      </w:r>
      <w:r w:rsidRPr="00117BF8">
        <w:rPr>
          <w:rFonts w:ascii="Arial" w:eastAsia="Calibri" w:hAnsi="Arial" w:cs="Arial"/>
          <w:sz w:val="22"/>
          <w:szCs w:val="22"/>
        </w:rPr>
        <w:t>(</w:t>
      </w:r>
      <w:r w:rsidR="00AB4C5A" w:rsidRPr="00117BF8">
        <w:rPr>
          <w:rFonts w:ascii="Arial" w:eastAsia="Calibri" w:hAnsi="Arial" w:cs="Arial"/>
          <w:sz w:val="22"/>
          <w:szCs w:val="22"/>
        </w:rPr>
        <w:t>84%</w:t>
      </w:r>
      <w:r w:rsidRPr="00117BF8">
        <w:rPr>
          <w:rFonts w:ascii="Arial" w:eastAsia="Calibri" w:hAnsi="Arial" w:cs="Arial"/>
          <w:sz w:val="22"/>
          <w:szCs w:val="22"/>
        </w:rPr>
        <w:t xml:space="preserve">). La devaluación del peso respecto del dólar fue de 21,9%, por lo </w:t>
      </w:r>
      <w:r w:rsidR="008D51E7" w:rsidRPr="00117BF8">
        <w:rPr>
          <w:rFonts w:ascii="Arial" w:eastAsia="Calibri" w:hAnsi="Arial" w:cs="Arial"/>
          <w:sz w:val="22"/>
          <w:szCs w:val="22"/>
        </w:rPr>
        <w:t>tanto,</w:t>
      </w:r>
      <w:r w:rsidRPr="00117BF8">
        <w:rPr>
          <w:rFonts w:ascii="Arial" w:eastAsia="Calibri" w:hAnsi="Arial" w:cs="Arial"/>
          <w:sz w:val="22"/>
          <w:szCs w:val="22"/>
        </w:rPr>
        <w:t xml:space="preserve"> las causas principales de este incremento corresponden a </w:t>
      </w:r>
      <w:r w:rsidR="003B2E3F" w:rsidRPr="00117BF8">
        <w:rPr>
          <w:rFonts w:ascii="Arial" w:eastAsia="Calibri" w:hAnsi="Arial" w:cs="Arial"/>
          <w:sz w:val="22"/>
          <w:szCs w:val="22"/>
        </w:rPr>
        <w:t xml:space="preserve">nuevas </w:t>
      </w:r>
      <w:r w:rsidRPr="00117BF8">
        <w:rPr>
          <w:rFonts w:ascii="Arial" w:eastAsia="Calibri" w:hAnsi="Arial" w:cs="Arial"/>
          <w:sz w:val="22"/>
          <w:szCs w:val="22"/>
        </w:rPr>
        <w:t>emisiones de deuda.</w:t>
      </w:r>
    </w:p>
    <w:p w14:paraId="1A82D37B" w14:textId="0193AB2C" w:rsidR="009D0173" w:rsidRPr="00117BF8" w:rsidRDefault="009D0173" w:rsidP="004811C1">
      <w:pPr>
        <w:pStyle w:val="hsa"/>
        <w:rPr>
          <w:rFonts w:ascii="Arial" w:eastAsia="Calibri" w:hAnsi="Arial" w:cs="Arial"/>
          <w:sz w:val="22"/>
          <w:szCs w:val="22"/>
        </w:rPr>
      </w:pPr>
      <w:r w:rsidRPr="00117BF8">
        <w:rPr>
          <w:rFonts w:ascii="Arial" w:eastAsia="Calibri" w:hAnsi="Arial" w:cs="Arial"/>
          <w:sz w:val="22"/>
          <w:szCs w:val="22"/>
        </w:rPr>
        <w:t>La deuda en pesos creció 29%, por debajo de la inflación del año y la deuda en indexada por CER creció 33%, mientras el CER varió 35%.</w:t>
      </w:r>
      <w:r w:rsidRPr="00117BF8">
        <w:rPr>
          <w:rStyle w:val="FootnoteReference"/>
          <w:rFonts w:ascii="Arial" w:eastAsia="Calibri" w:hAnsi="Arial" w:cs="Arial"/>
          <w:sz w:val="22"/>
          <w:szCs w:val="22"/>
        </w:rPr>
        <w:footnoteReference w:id="20"/>
      </w:r>
      <w:r w:rsidRPr="00117BF8">
        <w:rPr>
          <w:rFonts w:ascii="Arial" w:eastAsia="Calibri" w:hAnsi="Arial" w:cs="Arial"/>
          <w:sz w:val="22"/>
          <w:szCs w:val="22"/>
        </w:rPr>
        <w:t xml:space="preserve"> Aunque este tipo de </w:t>
      </w:r>
      <w:r w:rsidR="008D51E7" w:rsidRPr="00117BF8">
        <w:rPr>
          <w:rFonts w:ascii="Arial" w:eastAsia="Calibri" w:hAnsi="Arial" w:cs="Arial"/>
          <w:sz w:val="22"/>
          <w:szCs w:val="22"/>
        </w:rPr>
        <w:t>deuda</w:t>
      </w:r>
      <w:r w:rsidRPr="00117BF8">
        <w:rPr>
          <w:rFonts w:ascii="Arial" w:eastAsia="Calibri" w:hAnsi="Arial" w:cs="Arial"/>
          <w:sz w:val="22"/>
          <w:szCs w:val="22"/>
        </w:rPr>
        <w:t xml:space="preserve"> no es significativa en términos relativos.</w:t>
      </w:r>
    </w:p>
    <w:tbl>
      <w:tblPr>
        <w:tblW w:w="698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540"/>
        <w:gridCol w:w="1120"/>
        <w:gridCol w:w="1120"/>
        <w:gridCol w:w="1200"/>
      </w:tblGrid>
      <w:tr w:rsidR="003B04A8" w:rsidRPr="004E6455" w14:paraId="79287235" w14:textId="77777777" w:rsidTr="00C007D0">
        <w:trPr>
          <w:trHeight w:val="300"/>
          <w:jc w:val="center"/>
        </w:trPr>
        <w:tc>
          <w:tcPr>
            <w:tcW w:w="6980" w:type="dxa"/>
            <w:gridSpan w:val="4"/>
            <w:tcBorders>
              <w:top w:val="single" w:sz="8" w:space="0" w:color="7BA0CD"/>
              <w:left w:val="single" w:sz="8" w:space="0" w:color="7BA0CD"/>
              <w:bottom w:val="single" w:sz="8" w:space="0" w:color="7BA0CD"/>
              <w:right w:val="single" w:sz="8" w:space="0" w:color="7BA0CD"/>
            </w:tcBorders>
            <w:shd w:val="clear" w:color="auto" w:fill="0070C0"/>
            <w:noWrap/>
          </w:tcPr>
          <w:p w14:paraId="67F87B0C" w14:textId="77777777" w:rsidR="003B04A8" w:rsidRPr="00117BF8" w:rsidRDefault="003B04A8" w:rsidP="00A03DD6">
            <w:pPr>
              <w:pStyle w:val="TablaT"/>
              <w:rPr>
                <w:rFonts w:ascii="Arial" w:hAnsi="Arial" w:cs="Arial"/>
                <w:bCs/>
                <w:sz w:val="22"/>
                <w:szCs w:val="22"/>
                <w:lang w:val="es-ES_tradnl"/>
              </w:rPr>
            </w:pPr>
            <w:bookmarkStart w:id="67" w:name="_Toc493861134"/>
            <w:r w:rsidRPr="00117BF8">
              <w:rPr>
                <w:rFonts w:ascii="Arial" w:hAnsi="Arial" w:cs="Arial"/>
                <w:bCs/>
                <w:sz w:val="22"/>
                <w:szCs w:val="22"/>
                <w:lang w:val="es-ES_tradnl"/>
              </w:rPr>
              <w:t xml:space="preserve">Tabla </w:t>
            </w:r>
            <w:r w:rsidR="003B2E3F" w:rsidRPr="00117BF8">
              <w:rPr>
                <w:rFonts w:ascii="Arial" w:hAnsi="Arial" w:cs="Arial"/>
                <w:bCs/>
                <w:sz w:val="22"/>
                <w:szCs w:val="22"/>
                <w:lang w:val="es-ES_tradnl"/>
              </w:rPr>
              <w:t>24</w:t>
            </w:r>
            <w:r w:rsidRPr="00117BF8">
              <w:rPr>
                <w:rFonts w:ascii="Arial" w:hAnsi="Arial" w:cs="Arial"/>
                <w:bCs/>
                <w:sz w:val="22"/>
                <w:szCs w:val="22"/>
                <w:lang w:val="es-ES_tradnl"/>
              </w:rPr>
              <w:t xml:space="preserve"> – Deuda por Tipo de Moneda</w:t>
            </w:r>
            <w:bookmarkEnd w:id="67"/>
          </w:p>
          <w:p w14:paraId="42956AA1" w14:textId="77777777" w:rsidR="003B04A8" w:rsidRPr="00117BF8" w:rsidRDefault="003B04A8" w:rsidP="003B04A8">
            <w:pPr>
              <w:pStyle w:val="TablaC"/>
              <w:rPr>
                <w:rFonts w:ascii="Arial" w:hAnsi="Arial" w:cs="Arial"/>
                <w:b/>
                <w:bCs/>
                <w:color w:val="FFFFFF"/>
                <w:szCs w:val="22"/>
              </w:rPr>
            </w:pPr>
            <w:r w:rsidRPr="00117BF8">
              <w:rPr>
                <w:rFonts w:ascii="Arial" w:hAnsi="Arial" w:cs="Arial"/>
                <w:b/>
                <w:bCs/>
                <w:color w:val="FFFFFF"/>
                <w:szCs w:val="22"/>
              </w:rPr>
              <w:t>Millones de pesos</w:t>
            </w:r>
          </w:p>
        </w:tc>
      </w:tr>
      <w:tr w:rsidR="00C007D0" w:rsidRPr="004E6455" w14:paraId="6D9BC69A" w14:textId="77777777" w:rsidTr="00C007D0">
        <w:trPr>
          <w:trHeight w:val="300"/>
          <w:jc w:val="center"/>
        </w:trPr>
        <w:tc>
          <w:tcPr>
            <w:tcW w:w="3540" w:type="dxa"/>
            <w:tcBorders>
              <w:right w:val="nil"/>
            </w:tcBorders>
            <w:shd w:val="clear" w:color="auto" w:fill="0070C0"/>
            <w:noWrap/>
            <w:hideMark/>
          </w:tcPr>
          <w:p w14:paraId="1FB265A6" w14:textId="77777777" w:rsidR="004811C1" w:rsidRPr="00117BF8" w:rsidRDefault="004811C1" w:rsidP="003B04A8">
            <w:pPr>
              <w:pStyle w:val="TablaE"/>
              <w:rPr>
                <w:rFonts w:ascii="Arial" w:hAnsi="Arial" w:cs="Arial"/>
                <w:bCs/>
                <w:sz w:val="22"/>
                <w:szCs w:val="22"/>
                <w:lang w:val="es-AR" w:eastAsia="es-AR"/>
              </w:rPr>
            </w:pPr>
          </w:p>
        </w:tc>
        <w:tc>
          <w:tcPr>
            <w:tcW w:w="1120" w:type="dxa"/>
            <w:tcBorders>
              <w:left w:val="nil"/>
              <w:right w:val="nil"/>
            </w:tcBorders>
            <w:shd w:val="clear" w:color="auto" w:fill="0070C0"/>
            <w:noWrap/>
            <w:hideMark/>
          </w:tcPr>
          <w:p w14:paraId="19F257AA" w14:textId="77777777" w:rsidR="004811C1" w:rsidRPr="00117BF8" w:rsidRDefault="004811C1" w:rsidP="003B04A8">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120" w:type="dxa"/>
            <w:tcBorders>
              <w:left w:val="nil"/>
              <w:right w:val="nil"/>
            </w:tcBorders>
            <w:shd w:val="clear" w:color="auto" w:fill="0070C0"/>
            <w:noWrap/>
            <w:hideMark/>
          </w:tcPr>
          <w:p w14:paraId="0119DDBE" w14:textId="77777777" w:rsidR="004811C1" w:rsidRPr="00117BF8" w:rsidRDefault="004811C1" w:rsidP="003B04A8">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c>
          <w:tcPr>
            <w:tcW w:w="1200" w:type="dxa"/>
            <w:tcBorders>
              <w:left w:val="nil"/>
            </w:tcBorders>
            <w:shd w:val="clear" w:color="auto" w:fill="0070C0"/>
            <w:noWrap/>
            <w:hideMark/>
          </w:tcPr>
          <w:p w14:paraId="585C725A" w14:textId="77777777" w:rsidR="004811C1" w:rsidRPr="00117BF8" w:rsidRDefault="004811C1" w:rsidP="003B04A8">
            <w:pPr>
              <w:pStyle w:val="TablaE"/>
              <w:rPr>
                <w:rFonts w:ascii="Arial" w:hAnsi="Arial" w:cs="Arial"/>
                <w:bCs/>
                <w:sz w:val="22"/>
                <w:szCs w:val="22"/>
                <w:lang w:val="es-AR" w:eastAsia="es-AR"/>
              </w:rPr>
            </w:pPr>
            <w:r w:rsidRPr="00117BF8">
              <w:rPr>
                <w:rFonts w:ascii="Arial" w:hAnsi="Arial" w:cs="Arial"/>
                <w:bCs/>
                <w:sz w:val="22"/>
                <w:szCs w:val="22"/>
                <w:lang w:val="es-AR" w:eastAsia="es-AR"/>
              </w:rPr>
              <w:t>V a/a</w:t>
            </w:r>
          </w:p>
        </w:tc>
      </w:tr>
      <w:tr w:rsidR="00C007D0" w:rsidRPr="008D51E7" w14:paraId="3C8BB2B7" w14:textId="77777777" w:rsidTr="00C007D0">
        <w:trPr>
          <w:trHeight w:val="300"/>
          <w:jc w:val="center"/>
        </w:trPr>
        <w:tc>
          <w:tcPr>
            <w:tcW w:w="3540" w:type="dxa"/>
            <w:tcBorders>
              <w:right w:val="nil"/>
            </w:tcBorders>
            <w:shd w:val="clear" w:color="auto" w:fill="auto"/>
            <w:noWrap/>
            <w:hideMark/>
          </w:tcPr>
          <w:p w14:paraId="0C1EFA6F" w14:textId="77777777" w:rsidR="004811C1" w:rsidRPr="00117BF8" w:rsidRDefault="004811C1"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Deuda en Pesos Indexada por CER</w:t>
            </w:r>
          </w:p>
        </w:tc>
        <w:tc>
          <w:tcPr>
            <w:tcW w:w="1120" w:type="dxa"/>
            <w:tcBorders>
              <w:left w:val="nil"/>
              <w:right w:val="nil"/>
            </w:tcBorders>
            <w:shd w:val="clear" w:color="auto" w:fill="auto"/>
            <w:noWrap/>
            <w:hideMark/>
          </w:tcPr>
          <w:p w14:paraId="1B7A2ACD"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391</w:t>
            </w:r>
          </w:p>
        </w:tc>
        <w:tc>
          <w:tcPr>
            <w:tcW w:w="1120" w:type="dxa"/>
            <w:tcBorders>
              <w:left w:val="nil"/>
              <w:right w:val="nil"/>
            </w:tcBorders>
            <w:shd w:val="clear" w:color="auto" w:fill="auto"/>
            <w:noWrap/>
            <w:hideMark/>
          </w:tcPr>
          <w:p w14:paraId="38C8AFF9"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520</w:t>
            </w:r>
          </w:p>
        </w:tc>
        <w:tc>
          <w:tcPr>
            <w:tcW w:w="1200" w:type="dxa"/>
            <w:tcBorders>
              <w:left w:val="nil"/>
            </w:tcBorders>
            <w:shd w:val="clear" w:color="auto" w:fill="auto"/>
            <w:noWrap/>
            <w:hideMark/>
          </w:tcPr>
          <w:p w14:paraId="0613B176"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33%</w:t>
            </w:r>
          </w:p>
        </w:tc>
      </w:tr>
      <w:tr w:rsidR="00C007D0" w:rsidRPr="008D51E7" w14:paraId="3F3E8C22" w14:textId="77777777" w:rsidTr="00C007D0">
        <w:trPr>
          <w:trHeight w:val="300"/>
          <w:jc w:val="center"/>
        </w:trPr>
        <w:tc>
          <w:tcPr>
            <w:tcW w:w="3540" w:type="dxa"/>
            <w:shd w:val="clear" w:color="auto" w:fill="D3DFEE"/>
            <w:noWrap/>
            <w:hideMark/>
          </w:tcPr>
          <w:p w14:paraId="5653EED2" w14:textId="77777777" w:rsidR="004811C1" w:rsidRPr="00117BF8" w:rsidRDefault="004811C1" w:rsidP="00C007D0">
            <w:pPr>
              <w:pStyle w:val="TablaC"/>
              <w:jc w:val="left"/>
              <w:rPr>
                <w:rFonts w:ascii="Arial" w:hAnsi="Arial" w:cs="Arial"/>
                <w:bCs/>
                <w:sz w:val="18"/>
                <w:szCs w:val="18"/>
              </w:rPr>
            </w:pPr>
            <w:r w:rsidRPr="00117BF8">
              <w:rPr>
                <w:rFonts w:ascii="Arial" w:hAnsi="Arial" w:cs="Arial"/>
                <w:bCs/>
                <w:sz w:val="18"/>
                <w:szCs w:val="18"/>
              </w:rPr>
              <w:t>Deuda en Pesos</w:t>
            </w:r>
          </w:p>
        </w:tc>
        <w:tc>
          <w:tcPr>
            <w:tcW w:w="1120" w:type="dxa"/>
            <w:shd w:val="clear" w:color="auto" w:fill="D3DFEE"/>
            <w:noWrap/>
            <w:hideMark/>
          </w:tcPr>
          <w:p w14:paraId="6CFDCE0C"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51.086</w:t>
            </w:r>
          </w:p>
        </w:tc>
        <w:tc>
          <w:tcPr>
            <w:tcW w:w="1120" w:type="dxa"/>
            <w:shd w:val="clear" w:color="auto" w:fill="D3DFEE"/>
            <w:noWrap/>
            <w:hideMark/>
          </w:tcPr>
          <w:p w14:paraId="5FD68171"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65.875</w:t>
            </w:r>
          </w:p>
        </w:tc>
        <w:tc>
          <w:tcPr>
            <w:tcW w:w="1200" w:type="dxa"/>
            <w:shd w:val="clear" w:color="auto" w:fill="D3DFEE"/>
            <w:noWrap/>
            <w:hideMark/>
          </w:tcPr>
          <w:p w14:paraId="4330B939"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29%</w:t>
            </w:r>
          </w:p>
        </w:tc>
      </w:tr>
      <w:tr w:rsidR="00C007D0" w:rsidRPr="008D51E7" w14:paraId="2CBA235D" w14:textId="77777777" w:rsidTr="00C007D0">
        <w:trPr>
          <w:trHeight w:val="300"/>
          <w:jc w:val="center"/>
        </w:trPr>
        <w:tc>
          <w:tcPr>
            <w:tcW w:w="3540" w:type="dxa"/>
            <w:tcBorders>
              <w:right w:val="nil"/>
            </w:tcBorders>
            <w:shd w:val="clear" w:color="auto" w:fill="auto"/>
            <w:noWrap/>
            <w:hideMark/>
          </w:tcPr>
          <w:p w14:paraId="5D92D8AE" w14:textId="77777777" w:rsidR="004811C1" w:rsidRPr="00117BF8" w:rsidRDefault="004811C1" w:rsidP="00C007D0">
            <w:pPr>
              <w:pStyle w:val="TablaC"/>
              <w:jc w:val="left"/>
              <w:rPr>
                <w:rFonts w:ascii="Arial" w:hAnsi="Arial" w:cs="Arial"/>
                <w:bCs/>
                <w:sz w:val="18"/>
                <w:szCs w:val="18"/>
              </w:rPr>
            </w:pPr>
            <w:r w:rsidRPr="00117BF8">
              <w:rPr>
                <w:rFonts w:ascii="Arial" w:hAnsi="Arial" w:cs="Arial"/>
                <w:bCs/>
                <w:sz w:val="18"/>
                <w:szCs w:val="18"/>
              </w:rPr>
              <w:t>Deuda en Moneda Extranjera</w:t>
            </w:r>
          </w:p>
        </w:tc>
        <w:tc>
          <w:tcPr>
            <w:tcW w:w="1120" w:type="dxa"/>
            <w:tcBorders>
              <w:left w:val="nil"/>
              <w:right w:val="nil"/>
            </w:tcBorders>
            <w:shd w:val="clear" w:color="auto" w:fill="auto"/>
            <w:noWrap/>
            <w:hideMark/>
          </w:tcPr>
          <w:p w14:paraId="658F6D5D"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70.672</w:t>
            </w:r>
          </w:p>
        </w:tc>
        <w:tc>
          <w:tcPr>
            <w:tcW w:w="1120" w:type="dxa"/>
            <w:tcBorders>
              <w:left w:val="nil"/>
              <w:right w:val="nil"/>
            </w:tcBorders>
            <w:shd w:val="clear" w:color="auto" w:fill="auto"/>
            <w:noWrap/>
            <w:hideMark/>
          </w:tcPr>
          <w:p w14:paraId="4A63870A"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129.931</w:t>
            </w:r>
          </w:p>
        </w:tc>
        <w:tc>
          <w:tcPr>
            <w:tcW w:w="1200" w:type="dxa"/>
            <w:tcBorders>
              <w:left w:val="nil"/>
            </w:tcBorders>
            <w:shd w:val="clear" w:color="auto" w:fill="auto"/>
            <w:noWrap/>
            <w:hideMark/>
          </w:tcPr>
          <w:p w14:paraId="674066F1"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84%</w:t>
            </w:r>
          </w:p>
        </w:tc>
      </w:tr>
      <w:tr w:rsidR="00C007D0" w:rsidRPr="008D51E7" w14:paraId="7D8F570C" w14:textId="77777777" w:rsidTr="00C007D0">
        <w:trPr>
          <w:trHeight w:val="300"/>
          <w:jc w:val="center"/>
        </w:trPr>
        <w:tc>
          <w:tcPr>
            <w:tcW w:w="3540" w:type="dxa"/>
            <w:shd w:val="clear" w:color="auto" w:fill="D3DFEE"/>
            <w:noWrap/>
            <w:hideMark/>
          </w:tcPr>
          <w:p w14:paraId="7BEB6B44" w14:textId="77777777" w:rsidR="004811C1" w:rsidRPr="00117BF8" w:rsidRDefault="003B04A8" w:rsidP="00C007D0">
            <w:pPr>
              <w:pStyle w:val="TablaC"/>
              <w:jc w:val="left"/>
              <w:rPr>
                <w:rFonts w:ascii="Arial" w:hAnsi="Arial" w:cs="Arial"/>
                <w:bCs/>
                <w:sz w:val="18"/>
                <w:szCs w:val="18"/>
              </w:rPr>
            </w:pPr>
            <w:r w:rsidRPr="00117BF8">
              <w:rPr>
                <w:rFonts w:ascii="Arial" w:hAnsi="Arial" w:cs="Arial"/>
                <w:bCs/>
                <w:sz w:val="18"/>
                <w:szCs w:val="18"/>
              </w:rPr>
              <w:t>Total</w:t>
            </w:r>
          </w:p>
        </w:tc>
        <w:tc>
          <w:tcPr>
            <w:tcW w:w="1120" w:type="dxa"/>
            <w:shd w:val="clear" w:color="auto" w:fill="D3DFEE"/>
            <w:noWrap/>
            <w:hideMark/>
          </w:tcPr>
          <w:p w14:paraId="117F10A8"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122.149</w:t>
            </w:r>
          </w:p>
        </w:tc>
        <w:tc>
          <w:tcPr>
            <w:tcW w:w="1120" w:type="dxa"/>
            <w:shd w:val="clear" w:color="auto" w:fill="D3DFEE"/>
            <w:noWrap/>
            <w:hideMark/>
          </w:tcPr>
          <w:p w14:paraId="52AEC7BC"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196.326</w:t>
            </w:r>
          </w:p>
        </w:tc>
        <w:tc>
          <w:tcPr>
            <w:tcW w:w="1200" w:type="dxa"/>
            <w:shd w:val="clear" w:color="auto" w:fill="D3DFEE"/>
            <w:noWrap/>
            <w:hideMark/>
          </w:tcPr>
          <w:p w14:paraId="163154CF" w14:textId="77777777" w:rsidR="004811C1" w:rsidRPr="00117BF8" w:rsidRDefault="004811C1" w:rsidP="003B04A8">
            <w:pPr>
              <w:pStyle w:val="TablaC"/>
              <w:rPr>
                <w:rFonts w:ascii="Arial" w:hAnsi="Arial" w:cs="Arial"/>
                <w:sz w:val="18"/>
                <w:szCs w:val="18"/>
              </w:rPr>
            </w:pPr>
            <w:r w:rsidRPr="00117BF8">
              <w:rPr>
                <w:rFonts w:ascii="Arial" w:hAnsi="Arial" w:cs="Arial"/>
                <w:sz w:val="18"/>
                <w:szCs w:val="18"/>
              </w:rPr>
              <w:t>61%</w:t>
            </w:r>
          </w:p>
        </w:tc>
      </w:tr>
    </w:tbl>
    <w:p w14:paraId="7F0B5CFE" w14:textId="77777777" w:rsidR="004811C1" w:rsidRPr="00117BF8" w:rsidRDefault="003B2E3F" w:rsidP="00117BF8">
      <w:pPr>
        <w:pStyle w:val="Hfuente"/>
        <w:ind w:firstLine="708"/>
        <w:rPr>
          <w:rFonts w:ascii="Arial" w:eastAsia="Calibri" w:hAnsi="Arial" w:cs="Arial"/>
          <w:sz w:val="18"/>
          <w:szCs w:val="18"/>
        </w:rPr>
      </w:pPr>
      <w:r w:rsidRPr="00117BF8">
        <w:rPr>
          <w:rFonts w:ascii="Arial" w:eastAsia="Calibri" w:hAnsi="Arial" w:cs="Arial"/>
          <w:sz w:val="18"/>
          <w:szCs w:val="18"/>
        </w:rPr>
        <w:t>Fuente: Elaboración propia en base a datos de la CGPBA</w:t>
      </w:r>
    </w:p>
    <w:p w14:paraId="71FB835E" w14:textId="77777777" w:rsidR="004811C1" w:rsidRPr="00117BF8" w:rsidRDefault="009D0173" w:rsidP="004811C1">
      <w:pPr>
        <w:pStyle w:val="hsa"/>
        <w:rPr>
          <w:rFonts w:ascii="Arial" w:eastAsia="Calibri" w:hAnsi="Arial" w:cs="Arial"/>
          <w:sz w:val="22"/>
          <w:szCs w:val="22"/>
        </w:rPr>
      </w:pPr>
      <w:r w:rsidRPr="00117BF8">
        <w:rPr>
          <w:rFonts w:ascii="Arial" w:eastAsia="Calibri" w:hAnsi="Arial" w:cs="Arial"/>
          <w:sz w:val="22"/>
          <w:szCs w:val="22"/>
        </w:rPr>
        <w:t xml:space="preserve">Como consecuencia del incremento de la deuda en moneda extranjera, la estructura de la deuda expresada por tipo de moneda cambió de manera importante. La deuda en moneda extranjera representaba el 66% </w:t>
      </w:r>
      <w:r w:rsidR="003B2E3F" w:rsidRPr="00117BF8">
        <w:rPr>
          <w:rFonts w:ascii="Arial" w:eastAsia="Calibri" w:hAnsi="Arial" w:cs="Arial"/>
          <w:sz w:val="22"/>
          <w:szCs w:val="22"/>
        </w:rPr>
        <w:t xml:space="preserve">al 31/12/16, </w:t>
      </w:r>
      <w:r w:rsidRPr="00117BF8">
        <w:rPr>
          <w:rFonts w:ascii="Arial" w:eastAsia="Calibri" w:hAnsi="Arial" w:cs="Arial"/>
          <w:sz w:val="22"/>
          <w:szCs w:val="22"/>
        </w:rPr>
        <w:t>un año antes era 58%</w:t>
      </w:r>
      <w:r w:rsidR="005860EE" w:rsidRPr="00117BF8">
        <w:rPr>
          <w:rFonts w:ascii="Arial" w:eastAsia="Calibri" w:hAnsi="Arial" w:cs="Arial"/>
          <w:sz w:val="22"/>
          <w:szCs w:val="22"/>
        </w:rPr>
        <w:t xml:space="preserve"> (Gráfico 9)</w:t>
      </w:r>
      <w:r w:rsidRPr="00117BF8">
        <w:rPr>
          <w:rFonts w:ascii="Arial" w:eastAsia="Calibri" w:hAnsi="Arial" w:cs="Arial"/>
          <w:sz w:val="22"/>
          <w:szCs w:val="22"/>
        </w:rPr>
        <w:t>.</w:t>
      </w:r>
      <w:r w:rsidR="00011B48" w:rsidRPr="00117BF8">
        <w:rPr>
          <w:rFonts w:ascii="Arial" w:eastAsia="Calibri" w:hAnsi="Arial" w:cs="Arial"/>
          <w:sz w:val="22"/>
          <w:szCs w:val="22"/>
        </w:rPr>
        <w:t xml:space="preserve"> En el próximo título se amplía este análisis.</w:t>
      </w:r>
    </w:p>
    <w:p w14:paraId="58EB9A2B" w14:textId="77777777" w:rsidR="003B04A8" w:rsidRPr="00117BF8" w:rsidRDefault="003B04A8" w:rsidP="00117BF8">
      <w:pPr>
        <w:pStyle w:val="hsa3"/>
        <w:jc w:val="center"/>
        <w:rPr>
          <w:rFonts w:ascii="Arial" w:eastAsia="Calibri" w:hAnsi="Arial" w:cs="Arial"/>
          <w:sz w:val="20"/>
        </w:rPr>
      </w:pPr>
      <w:bookmarkStart w:id="68" w:name="_Toc493781700"/>
      <w:r w:rsidRPr="00117BF8">
        <w:rPr>
          <w:rFonts w:ascii="Arial" w:eastAsia="Calibri" w:hAnsi="Arial" w:cs="Arial"/>
          <w:sz w:val="20"/>
        </w:rPr>
        <w:t xml:space="preserve">Gráfico </w:t>
      </w:r>
      <w:r w:rsidR="003B2E3F" w:rsidRPr="00117BF8">
        <w:rPr>
          <w:rFonts w:ascii="Arial" w:eastAsia="Calibri" w:hAnsi="Arial" w:cs="Arial"/>
          <w:sz w:val="20"/>
        </w:rPr>
        <w:t>9</w:t>
      </w:r>
      <w:r w:rsidRPr="00117BF8">
        <w:rPr>
          <w:rFonts w:ascii="Arial" w:eastAsia="Calibri" w:hAnsi="Arial" w:cs="Arial"/>
          <w:sz w:val="20"/>
        </w:rPr>
        <w:t xml:space="preserve"> - Estructura de la Deuda por Moneda</w:t>
      </w:r>
      <w:bookmarkEnd w:id="68"/>
    </w:p>
    <w:p w14:paraId="6186488C" w14:textId="77777777" w:rsidR="004811C1" w:rsidRPr="00117BF8" w:rsidRDefault="00117BF8" w:rsidP="004811C1">
      <w:pPr>
        <w:pStyle w:val="hsa"/>
        <w:jc w:val="center"/>
        <w:rPr>
          <w:rFonts w:ascii="Arial" w:eastAsia="Calibri" w:hAnsi="Arial" w:cs="Arial"/>
        </w:rPr>
      </w:pPr>
      <w:r w:rsidRPr="00117BF8">
        <w:rPr>
          <w:rFonts w:ascii="Arial" w:eastAsia="Calibri" w:hAnsi="Arial" w:cs="Arial"/>
        </w:rPr>
        <w:pict w14:anchorId="2BBC64D8">
          <v:shape id="_x0000_i1039" type="#_x0000_t75" style="width:237.3pt;height:326.2pt">
            <v:imagedata r:id="rId36" o:title=""/>
          </v:shape>
        </w:pict>
      </w:r>
    </w:p>
    <w:p w14:paraId="10665898" w14:textId="77777777" w:rsidR="003B2E3F" w:rsidRPr="00117BF8" w:rsidRDefault="003B2E3F" w:rsidP="003B2E3F">
      <w:pPr>
        <w:pStyle w:val="Hfuente"/>
        <w:rPr>
          <w:rFonts w:ascii="Arial" w:eastAsia="Calibri" w:hAnsi="Arial" w:cs="Arial"/>
          <w:sz w:val="18"/>
          <w:szCs w:val="18"/>
        </w:rPr>
      </w:pPr>
      <w:r w:rsidRPr="00117BF8">
        <w:rPr>
          <w:rFonts w:ascii="Arial" w:eastAsia="Calibri" w:hAnsi="Arial" w:cs="Arial"/>
          <w:sz w:val="18"/>
          <w:szCs w:val="18"/>
        </w:rPr>
        <w:t>Fuente: Elaboración propia en base a datos de la CGPBA</w:t>
      </w:r>
    </w:p>
    <w:p w14:paraId="41617B29" w14:textId="77777777" w:rsidR="00011B48" w:rsidRPr="00117BF8" w:rsidRDefault="00011B48" w:rsidP="00117BF8">
      <w:pPr>
        <w:pStyle w:val="Heading2"/>
        <w:spacing w:before="0" w:after="120"/>
        <w:rPr>
          <w:rFonts w:ascii="Arial" w:eastAsia="Calibri" w:hAnsi="Arial" w:cs="Arial"/>
          <w:sz w:val="22"/>
          <w:szCs w:val="22"/>
        </w:rPr>
      </w:pPr>
      <w:bookmarkStart w:id="69" w:name="_Ref493432185"/>
      <w:bookmarkStart w:id="70" w:name="_Ref493432189"/>
      <w:bookmarkStart w:id="71" w:name="_Toc494040322"/>
      <w:r w:rsidRPr="00117BF8">
        <w:rPr>
          <w:rFonts w:ascii="Arial" w:eastAsia="Calibri" w:hAnsi="Arial" w:cs="Arial"/>
          <w:sz w:val="22"/>
          <w:szCs w:val="22"/>
        </w:rPr>
        <w:t>Evolución de la Deuda</w:t>
      </w:r>
      <w:bookmarkEnd w:id="69"/>
      <w:bookmarkEnd w:id="70"/>
      <w:bookmarkEnd w:id="71"/>
    </w:p>
    <w:p w14:paraId="53BEB9B9" w14:textId="77777777" w:rsidR="00783BCC" w:rsidRPr="00117BF8" w:rsidRDefault="00091758">
      <w:pPr>
        <w:pStyle w:val="hsa"/>
        <w:rPr>
          <w:rFonts w:ascii="Arial" w:eastAsia="Calibri" w:hAnsi="Arial" w:cs="Arial"/>
          <w:sz w:val="22"/>
          <w:szCs w:val="22"/>
        </w:rPr>
      </w:pPr>
      <w:r w:rsidRPr="00117BF8">
        <w:rPr>
          <w:rFonts w:ascii="Arial" w:eastAsia="Calibri" w:hAnsi="Arial" w:cs="Arial"/>
          <w:sz w:val="22"/>
          <w:szCs w:val="22"/>
        </w:rPr>
        <w:t xml:space="preserve">La relación Deuda / Ingresos Totales se redujo sustancialmente en 2014 y creció en 2016, medida </w:t>
      </w:r>
      <w:r w:rsidR="009B578F" w:rsidRPr="00117BF8">
        <w:rPr>
          <w:rFonts w:ascii="Arial" w:eastAsia="Calibri" w:hAnsi="Arial" w:cs="Arial"/>
          <w:sz w:val="22"/>
          <w:szCs w:val="22"/>
        </w:rPr>
        <w:t xml:space="preserve">la deuda </w:t>
      </w:r>
      <w:r w:rsidRPr="00117BF8">
        <w:rPr>
          <w:rFonts w:ascii="Arial" w:eastAsia="Calibri" w:hAnsi="Arial" w:cs="Arial"/>
          <w:sz w:val="22"/>
          <w:szCs w:val="22"/>
        </w:rPr>
        <w:t>con relación al PBG el crecimiento se inició en 2015</w:t>
      </w:r>
      <w:r w:rsidR="00783BCC" w:rsidRPr="00117BF8">
        <w:rPr>
          <w:rFonts w:ascii="Arial" w:eastAsia="Calibri" w:hAnsi="Arial" w:cs="Arial"/>
          <w:sz w:val="22"/>
          <w:szCs w:val="22"/>
        </w:rPr>
        <w:t>. En la tabla 25 se consideran dos magnitudes de PBG, según la fuente que se considere, a lo largo de este informe se considera el PBG publicado por la Dirección de Estadística Provincial (PBG 2 en la tabla 25), salvo cuando se indica lo contrario</w:t>
      </w:r>
      <w:r w:rsidRPr="00117BF8">
        <w:rPr>
          <w:rFonts w:ascii="Arial" w:eastAsia="Calibri" w:hAnsi="Arial" w:cs="Arial"/>
          <w:sz w:val="22"/>
          <w:szCs w:val="22"/>
        </w:rPr>
        <w:t>.</w:t>
      </w:r>
      <w:r w:rsidR="009B578F" w:rsidRPr="00117BF8">
        <w:rPr>
          <w:rFonts w:ascii="Arial" w:eastAsia="Calibri" w:hAnsi="Arial" w:cs="Arial"/>
          <w:sz w:val="22"/>
          <w:szCs w:val="22"/>
        </w:rPr>
        <w:t xml:space="preserve"> Sin embargo, los informes de Deuda utilizan un cálculo diferente del PBG realizado por la Dirección Provincial de Crédito y Deuda Pública.</w:t>
      </w:r>
      <w:r w:rsidR="00783BCC" w:rsidRPr="00117BF8">
        <w:rPr>
          <w:rStyle w:val="FootnoteReference"/>
          <w:rFonts w:ascii="Arial" w:eastAsia="Calibri" w:hAnsi="Arial" w:cs="Arial"/>
          <w:sz w:val="22"/>
          <w:szCs w:val="22"/>
        </w:rPr>
        <w:footnoteReference w:id="21"/>
      </w:r>
    </w:p>
    <w:p w14:paraId="1414EFFE" w14:textId="77777777" w:rsidR="00091758" w:rsidRPr="00117BF8" w:rsidRDefault="00091758" w:rsidP="006143A6">
      <w:pPr>
        <w:pStyle w:val="hsa"/>
        <w:rPr>
          <w:rFonts w:ascii="Arial" w:eastAsia="Calibri" w:hAnsi="Arial" w:cs="Arial"/>
          <w:sz w:val="22"/>
          <w:szCs w:val="22"/>
        </w:rPr>
      </w:pPr>
      <w:r w:rsidRPr="00117BF8">
        <w:rPr>
          <w:rFonts w:ascii="Arial" w:eastAsia="Calibri" w:hAnsi="Arial" w:cs="Arial"/>
          <w:sz w:val="22"/>
          <w:szCs w:val="22"/>
        </w:rPr>
        <w:t>La vida promedio se ha reducido en todos los años, mientras que el roll over dio un salto en 2014 debido a la magnitud del servicio de deuda del año 2015 (Ver servicio de Deuda), el indicador de deuda en moneda extranjera respect</w:t>
      </w:r>
      <w:r w:rsidR="00D976B7" w:rsidRPr="00117BF8">
        <w:rPr>
          <w:rFonts w:ascii="Arial" w:eastAsia="Calibri" w:hAnsi="Arial" w:cs="Arial"/>
          <w:sz w:val="22"/>
          <w:szCs w:val="22"/>
        </w:rPr>
        <w:t>o de las exportaciones confirma</w:t>
      </w:r>
      <w:r w:rsidRPr="00117BF8">
        <w:rPr>
          <w:rFonts w:ascii="Arial" w:eastAsia="Calibri" w:hAnsi="Arial" w:cs="Arial"/>
          <w:sz w:val="22"/>
          <w:szCs w:val="22"/>
        </w:rPr>
        <w:t xml:space="preserve"> el crecimiento de este tipo de deuda</w:t>
      </w:r>
      <w:r w:rsidR="003B2E3F" w:rsidRPr="00117BF8">
        <w:rPr>
          <w:rFonts w:ascii="Arial" w:eastAsia="Calibri" w:hAnsi="Arial" w:cs="Arial"/>
          <w:sz w:val="22"/>
          <w:szCs w:val="22"/>
        </w:rPr>
        <w:t xml:space="preserve"> (Tabla 25).</w:t>
      </w:r>
    </w:p>
    <w:tbl>
      <w:tblPr>
        <w:tblW w:w="8326"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071"/>
        <w:gridCol w:w="814"/>
        <w:gridCol w:w="814"/>
        <w:gridCol w:w="814"/>
        <w:gridCol w:w="813"/>
      </w:tblGrid>
      <w:tr w:rsidR="003B04A8" w:rsidRPr="004E6455" w14:paraId="10ED643A" w14:textId="77777777" w:rsidTr="00C007D0">
        <w:trPr>
          <w:jc w:val="center"/>
        </w:trPr>
        <w:tc>
          <w:tcPr>
            <w:tcW w:w="5000" w:type="pct"/>
            <w:gridSpan w:val="5"/>
            <w:tcBorders>
              <w:top w:val="single" w:sz="8" w:space="0" w:color="7BA0CD"/>
              <w:left w:val="single" w:sz="8" w:space="0" w:color="7BA0CD"/>
              <w:bottom w:val="single" w:sz="8" w:space="0" w:color="7BA0CD"/>
              <w:right w:val="single" w:sz="8" w:space="0" w:color="7BA0CD"/>
            </w:tcBorders>
            <w:shd w:val="clear" w:color="auto" w:fill="0070C0"/>
          </w:tcPr>
          <w:p w14:paraId="0247A0B8" w14:textId="77777777" w:rsidR="003B04A8" w:rsidRPr="00117BF8" w:rsidRDefault="003B04A8" w:rsidP="003B2E3F">
            <w:pPr>
              <w:pStyle w:val="TablaT"/>
              <w:rPr>
                <w:rFonts w:ascii="Arial" w:hAnsi="Arial" w:cs="Arial"/>
                <w:bCs/>
                <w:sz w:val="22"/>
                <w:szCs w:val="22"/>
                <w:lang w:val="es-ES_tradnl"/>
              </w:rPr>
            </w:pPr>
            <w:bookmarkStart w:id="72" w:name="_Toc493861135"/>
            <w:r w:rsidRPr="00117BF8">
              <w:rPr>
                <w:rFonts w:ascii="Arial" w:hAnsi="Arial" w:cs="Arial"/>
                <w:bCs/>
                <w:sz w:val="22"/>
                <w:szCs w:val="22"/>
                <w:lang w:val="es-ES_tradnl"/>
              </w:rPr>
              <w:t xml:space="preserve">Tabla </w:t>
            </w:r>
            <w:r w:rsidR="003B2E3F" w:rsidRPr="00117BF8">
              <w:rPr>
                <w:rFonts w:ascii="Arial" w:hAnsi="Arial" w:cs="Arial"/>
                <w:bCs/>
                <w:sz w:val="22"/>
                <w:szCs w:val="22"/>
                <w:lang w:val="es-ES_tradnl"/>
              </w:rPr>
              <w:t>25</w:t>
            </w:r>
            <w:r w:rsidRPr="00117BF8">
              <w:rPr>
                <w:rFonts w:ascii="Arial" w:hAnsi="Arial" w:cs="Arial"/>
                <w:bCs/>
                <w:sz w:val="22"/>
                <w:szCs w:val="22"/>
                <w:lang w:val="es-ES_tradnl"/>
              </w:rPr>
              <w:t xml:space="preserve"> – Indicadores de la Deuda</w:t>
            </w:r>
            <w:bookmarkEnd w:id="72"/>
          </w:p>
        </w:tc>
      </w:tr>
      <w:tr w:rsidR="00C007D0" w:rsidRPr="004E6455" w14:paraId="3361A7F4" w14:textId="77777777" w:rsidTr="00783BCC">
        <w:trPr>
          <w:jc w:val="center"/>
        </w:trPr>
        <w:tc>
          <w:tcPr>
            <w:tcW w:w="3045" w:type="pct"/>
            <w:tcBorders>
              <w:right w:val="nil"/>
            </w:tcBorders>
            <w:shd w:val="clear" w:color="auto" w:fill="0070C0"/>
          </w:tcPr>
          <w:p w14:paraId="7E2AAD15" w14:textId="77777777" w:rsidR="003B04A8" w:rsidRPr="00117BF8" w:rsidRDefault="003B04A8" w:rsidP="003B04A8">
            <w:pPr>
              <w:pStyle w:val="TablaE"/>
              <w:rPr>
                <w:rFonts w:ascii="Arial" w:hAnsi="Arial" w:cs="Arial"/>
                <w:bCs/>
                <w:sz w:val="22"/>
                <w:szCs w:val="22"/>
              </w:rPr>
            </w:pPr>
            <w:r w:rsidRPr="00117BF8">
              <w:rPr>
                <w:rFonts w:ascii="Arial" w:hAnsi="Arial" w:cs="Arial"/>
                <w:bCs/>
                <w:sz w:val="22"/>
                <w:szCs w:val="22"/>
              </w:rPr>
              <w:t>Indicadores</w:t>
            </w:r>
          </w:p>
        </w:tc>
        <w:tc>
          <w:tcPr>
            <w:tcW w:w="489" w:type="pct"/>
            <w:tcBorders>
              <w:left w:val="nil"/>
              <w:right w:val="nil"/>
            </w:tcBorders>
            <w:shd w:val="clear" w:color="auto" w:fill="0070C0"/>
          </w:tcPr>
          <w:p w14:paraId="463EEF52" w14:textId="77777777" w:rsidR="003B04A8" w:rsidRPr="00117BF8" w:rsidRDefault="003B04A8" w:rsidP="003B04A8">
            <w:pPr>
              <w:pStyle w:val="TablaE"/>
              <w:rPr>
                <w:rFonts w:ascii="Arial" w:hAnsi="Arial" w:cs="Arial"/>
                <w:bCs/>
                <w:sz w:val="22"/>
                <w:szCs w:val="22"/>
              </w:rPr>
            </w:pPr>
            <w:r w:rsidRPr="00117BF8">
              <w:rPr>
                <w:rFonts w:ascii="Arial" w:hAnsi="Arial" w:cs="Arial"/>
                <w:bCs/>
                <w:sz w:val="22"/>
                <w:szCs w:val="22"/>
              </w:rPr>
              <w:t>2013</w:t>
            </w:r>
          </w:p>
        </w:tc>
        <w:tc>
          <w:tcPr>
            <w:tcW w:w="489" w:type="pct"/>
            <w:tcBorders>
              <w:left w:val="nil"/>
              <w:right w:val="nil"/>
            </w:tcBorders>
            <w:shd w:val="clear" w:color="auto" w:fill="0070C0"/>
          </w:tcPr>
          <w:p w14:paraId="776FFDD1" w14:textId="77777777" w:rsidR="003B04A8" w:rsidRPr="00117BF8" w:rsidRDefault="003B04A8" w:rsidP="003B04A8">
            <w:pPr>
              <w:pStyle w:val="TablaE"/>
              <w:rPr>
                <w:rFonts w:ascii="Arial" w:hAnsi="Arial" w:cs="Arial"/>
                <w:bCs/>
                <w:sz w:val="22"/>
                <w:szCs w:val="22"/>
              </w:rPr>
            </w:pPr>
            <w:r w:rsidRPr="00117BF8">
              <w:rPr>
                <w:rFonts w:ascii="Arial" w:hAnsi="Arial" w:cs="Arial"/>
                <w:bCs/>
                <w:sz w:val="22"/>
                <w:szCs w:val="22"/>
              </w:rPr>
              <w:t>2014</w:t>
            </w:r>
          </w:p>
        </w:tc>
        <w:tc>
          <w:tcPr>
            <w:tcW w:w="489" w:type="pct"/>
            <w:tcBorders>
              <w:left w:val="nil"/>
              <w:right w:val="nil"/>
            </w:tcBorders>
            <w:shd w:val="clear" w:color="auto" w:fill="0070C0"/>
          </w:tcPr>
          <w:p w14:paraId="1E6943BF" w14:textId="77777777" w:rsidR="003B04A8" w:rsidRPr="00117BF8" w:rsidRDefault="003B04A8" w:rsidP="003B04A8">
            <w:pPr>
              <w:pStyle w:val="TablaE"/>
              <w:rPr>
                <w:rFonts w:ascii="Arial" w:hAnsi="Arial" w:cs="Arial"/>
                <w:bCs/>
                <w:sz w:val="22"/>
                <w:szCs w:val="22"/>
              </w:rPr>
            </w:pPr>
            <w:r w:rsidRPr="00117BF8">
              <w:rPr>
                <w:rFonts w:ascii="Arial" w:hAnsi="Arial" w:cs="Arial"/>
                <w:bCs/>
                <w:sz w:val="22"/>
                <w:szCs w:val="22"/>
              </w:rPr>
              <w:t>2015</w:t>
            </w:r>
          </w:p>
        </w:tc>
        <w:tc>
          <w:tcPr>
            <w:tcW w:w="488" w:type="pct"/>
            <w:tcBorders>
              <w:left w:val="nil"/>
            </w:tcBorders>
            <w:shd w:val="clear" w:color="auto" w:fill="0070C0"/>
          </w:tcPr>
          <w:p w14:paraId="4758C3F0" w14:textId="77777777" w:rsidR="003B04A8" w:rsidRPr="00117BF8" w:rsidRDefault="003B04A8" w:rsidP="003B04A8">
            <w:pPr>
              <w:pStyle w:val="TablaE"/>
              <w:rPr>
                <w:rFonts w:ascii="Arial" w:hAnsi="Arial" w:cs="Arial"/>
                <w:bCs/>
                <w:sz w:val="22"/>
                <w:szCs w:val="22"/>
              </w:rPr>
            </w:pPr>
            <w:r w:rsidRPr="00117BF8">
              <w:rPr>
                <w:rFonts w:ascii="Arial" w:hAnsi="Arial" w:cs="Arial"/>
                <w:bCs/>
                <w:sz w:val="22"/>
                <w:szCs w:val="22"/>
              </w:rPr>
              <w:t>2016</w:t>
            </w:r>
          </w:p>
        </w:tc>
      </w:tr>
      <w:tr w:rsidR="00C007D0" w:rsidRPr="004E6455" w14:paraId="6D762083" w14:textId="77777777" w:rsidTr="00783BCC">
        <w:trPr>
          <w:jc w:val="center"/>
        </w:trPr>
        <w:tc>
          <w:tcPr>
            <w:tcW w:w="3045" w:type="pct"/>
            <w:tcBorders>
              <w:right w:val="nil"/>
            </w:tcBorders>
            <w:shd w:val="clear" w:color="auto" w:fill="auto"/>
          </w:tcPr>
          <w:p w14:paraId="44750658" w14:textId="77777777" w:rsidR="003B04A8" w:rsidRPr="00117BF8" w:rsidRDefault="003B04A8"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Deuda Pública Total / Ingresos Totales</w:t>
            </w:r>
          </w:p>
        </w:tc>
        <w:tc>
          <w:tcPr>
            <w:tcW w:w="489" w:type="pct"/>
            <w:tcBorders>
              <w:left w:val="nil"/>
              <w:right w:val="nil"/>
            </w:tcBorders>
            <w:shd w:val="clear" w:color="auto" w:fill="auto"/>
          </w:tcPr>
          <w:p w14:paraId="58813B7A" w14:textId="77777777" w:rsidR="003B04A8" w:rsidRPr="00117BF8" w:rsidRDefault="003B04A8" w:rsidP="003B04A8">
            <w:pPr>
              <w:pStyle w:val="TablaC"/>
              <w:rPr>
                <w:rFonts w:ascii="Arial" w:hAnsi="Arial" w:cs="Arial"/>
                <w:sz w:val="18"/>
                <w:szCs w:val="18"/>
              </w:rPr>
            </w:pPr>
            <w:r w:rsidRPr="00117BF8">
              <w:rPr>
                <w:rFonts w:ascii="Arial" w:hAnsi="Arial" w:cs="Arial"/>
                <w:sz w:val="18"/>
                <w:szCs w:val="18"/>
              </w:rPr>
              <w:t>54,6%</w:t>
            </w:r>
          </w:p>
        </w:tc>
        <w:tc>
          <w:tcPr>
            <w:tcW w:w="489" w:type="pct"/>
            <w:tcBorders>
              <w:left w:val="nil"/>
              <w:right w:val="nil"/>
            </w:tcBorders>
            <w:shd w:val="clear" w:color="auto" w:fill="auto"/>
          </w:tcPr>
          <w:p w14:paraId="70D3AB88" w14:textId="77777777" w:rsidR="003B04A8" w:rsidRPr="00117BF8" w:rsidRDefault="003B04A8" w:rsidP="003B04A8">
            <w:pPr>
              <w:pStyle w:val="TablaC"/>
              <w:rPr>
                <w:rFonts w:ascii="Arial" w:hAnsi="Arial" w:cs="Arial"/>
                <w:sz w:val="18"/>
                <w:szCs w:val="18"/>
              </w:rPr>
            </w:pPr>
            <w:r w:rsidRPr="00117BF8">
              <w:rPr>
                <w:rFonts w:ascii="Arial" w:hAnsi="Arial" w:cs="Arial"/>
                <w:sz w:val="18"/>
                <w:szCs w:val="18"/>
              </w:rPr>
              <w:t>44,5%</w:t>
            </w:r>
          </w:p>
        </w:tc>
        <w:tc>
          <w:tcPr>
            <w:tcW w:w="489" w:type="pct"/>
            <w:tcBorders>
              <w:left w:val="nil"/>
              <w:right w:val="nil"/>
            </w:tcBorders>
            <w:shd w:val="clear" w:color="auto" w:fill="auto"/>
          </w:tcPr>
          <w:p w14:paraId="0368760C" w14:textId="77777777" w:rsidR="003B04A8" w:rsidRPr="00117BF8" w:rsidRDefault="003B04A8" w:rsidP="003B04A8">
            <w:pPr>
              <w:pStyle w:val="TablaC"/>
              <w:rPr>
                <w:rFonts w:ascii="Arial" w:hAnsi="Arial" w:cs="Arial"/>
                <w:sz w:val="18"/>
                <w:szCs w:val="18"/>
              </w:rPr>
            </w:pPr>
            <w:r w:rsidRPr="00117BF8">
              <w:rPr>
                <w:rFonts w:ascii="Arial" w:hAnsi="Arial" w:cs="Arial"/>
                <w:sz w:val="18"/>
                <w:szCs w:val="18"/>
              </w:rPr>
              <w:t>44,5%</w:t>
            </w:r>
          </w:p>
        </w:tc>
        <w:tc>
          <w:tcPr>
            <w:tcW w:w="488" w:type="pct"/>
            <w:tcBorders>
              <w:left w:val="nil"/>
            </w:tcBorders>
            <w:shd w:val="clear" w:color="auto" w:fill="auto"/>
          </w:tcPr>
          <w:p w14:paraId="598564BA" w14:textId="77777777" w:rsidR="003B04A8" w:rsidRPr="00117BF8" w:rsidRDefault="003B04A8" w:rsidP="003B04A8">
            <w:pPr>
              <w:pStyle w:val="TablaC"/>
              <w:rPr>
                <w:rFonts w:ascii="Arial" w:hAnsi="Arial" w:cs="Arial"/>
                <w:sz w:val="18"/>
                <w:szCs w:val="18"/>
              </w:rPr>
            </w:pPr>
            <w:r w:rsidRPr="00117BF8">
              <w:rPr>
                <w:rFonts w:ascii="Arial" w:hAnsi="Arial" w:cs="Arial"/>
                <w:sz w:val="18"/>
                <w:szCs w:val="18"/>
              </w:rPr>
              <w:t>49,8%</w:t>
            </w:r>
          </w:p>
        </w:tc>
      </w:tr>
      <w:tr w:rsidR="00C007D0" w:rsidRPr="004E6455" w14:paraId="0B1BC621" w14:textId="77777777" w:rsidTr="00783BCC">
        <w:trPr>
          <w:jc w:val="center"/>
        </w:trPr>
        <w:tc>
          <w:tcPr>
            <w:tcW w:w="3045" w:type="pct"/>
            <w:shd w:val="clear" w:color="auto" w:fill="D3DFEE"/>
          </w:tcPr>
          <w:p w14:paraId="67CA45D6" w14:textId="77777777" w:rsidR="003B04A8" w:rsidRPr="00117BF8" w:rsidRDefault="003B04A8" w:rsidP="00C007D0">
            <w:pPr>
              <w:pStyle w:val="TablaC"/>
              <w:jc w:val="left"/>
              <w:rPr>
                <w:rFonts w:ascii="Arial" w:hAnsi="Arial" w:cs="Arial"/>
                <w:bCs/>
                <w:sz w:val="18"/>
                <w:szCs w:val="18"/>
              </w:rPr>
            </w:pPr>
            <w:r w:rsidRPr="00117BF8">
              <w:rPr>
                <w:rFonts w:ascii="Arial" w:hAnsi="Arial" w:cs="Arial"/>
                <w:bCs/>
                <w:sz w:val="18"/>
                <w:szCs w:val="18"/>
              </w:rPr>
              <w:t>Deuda Pública Total / PBG</w:t>
            </w:r>
            <w:r w:rsidR="00783BCC" w:rsidRPr="00117BF8">
              <w:rPr>
                <w:rFonts w:ascii="Arial" w:hAnsi="Arial" w:cs="Arial"/>
                <w:bCs/>
                <w:sz w:val="18"/>
                <w:szCs w:val="18"/>
              </w:rPr>
              <w:t xml:space="preserve"> (1)</w:t>
            </w:r>
          </w:p>
        </w:tc>
        <w:tc>
          <w:tcPr>
            <w:tcW w:w="489" w:type="pct"/>
            <w:shd w:val="clear" w:color="auto" w:fill="D3DFEE"/>
          </w:tcPr>
          <w:p w14:paraId="55E61382" w14:textId="77777777" w:rsidR="003B04A8" w:rsidRPr="00117BF8" w:rsidRDefault="003B04A8" w:rsidP="003B04A8">
            <w:pPr>
              <w:pStyle w:val="TablaC"/>
              <w:rPr>
                <w:rFonts w:ascii="Arial" w:hAnsi="Arial" w:cs="Arial"/>
                <w:sz w:val="18"/>
                <w:szCs w:val="18"/>
              </w:rPr>
            </w:pPr>
            <w:r w:rsidRPr="00117BF8">
              <w:rPr>
                <w:rFonts w:ascii="Arial" w:hAnsi="Arial" w:cs="Arial"/>
                <w:sz w:val="18"/>
                <w:szCs w:val="18"/>
              </w:rPr>
              <w:t>6,8%</w:t>
            </w:r>
          </w:p>
        </w:tc>
        <w:tc>
          <w:tcPr>
            <w:tcW w:w="489" w:type="pct"/>
            <w:shd w:val="clear" w:color="auto" w:fill="D3DFEE"/>
          </w:tcPr>
          <w:p w14:paraId="76874A39" w14:textId="77777777" w:rsidR="003B04A8" w:rsidRPr="00117BF8" w:rsidRDefault="003B04A8" w:rsidP="003B04A8">
            <w:pPr>
              <w:pStyle w:val="TablaC"/>
              <w:rPr>
                <w:rFonts w:ascii="Arial" w:hAnsi="Arial" w:cs="Arial"/>
                <w:sz w:val="18"/>
                <w:szCs w:val="18"/>
              </w:rPr>
            </w:pPr>
            <w:r w:rsidRPr="00117BF8">
              <w:rPr>
                <w:rFonts w:ascii="Arial" w:hAnsi="Arial" w:cs="Arial"/>
                <w:sz w:val="18"/>
                <w:szCs w:val="18"/>
              </w:rPr>
              <w:t>5,5%</w:t>
            </w:r>
          </w:p>
        </w:tc>
        <w:tc>
          <w:tcPr>
            <w:tcW w:w="489" w:type="pct"/>
            <w:shd w:val="clear" w:color="auto" w:fill="D3DFEE"/>
          </w:tcPr>
          <w:p w14:paraId="3F377168" w14:textId="77777777" w:rsidR="003B04A8" w:rsidRPr="00117BF8" w:rsidRDefault="003B04A8" w:rsidP="003B04A8">
            <w:pPr>
              <w:pStyle w:val="TablaC"/>
              <w:rPr>
                <w:rFonts w:ascii="Arial" w:hAnsi="Arial" w:cs="Arial"/>
                <w:sz w:val="18"/>
                <w:szCs w:val="18"/>
              </w:rPr>
            </w:pPr>
            <w:r w:rsidRPr="00117BF8">
              <w:rPr>
                <w:rFonts w:ascii="Arial" w:hAnsi="Arial" w:cs="Arial"/>
                <w:sz w:val="18"/>
                <w:szCs w:val="18"/>
              </w:rPr>
              <w:t>5,8%</w:t>
            </w:r>
          </w:p>
        </w:tc>
        <w:tc>
          <w:tcPr>
            <w:tcW w:w="488" w:type="pct"/>
            <w:shd w:val="clear" w:color="auto" w:fill="D3DFEE"/>
          </w:tcPr>
          <w:p w14:paraId="4D0670A2" w14:textId="77777777" w:rsidR="003B04A8" w:rsidRPr="00117BF8" w:rsidRDefault="003B04A8" w:rsidP="003B04A8">
            <w:pPr>
              <w:pStyle w:val="TablaC"/>
              <w:rPr>
                <w:rFonts w:ascii="Arial" w:hAnsi="Arial" w:cs="Arial"/>
                <w:sz w:val="18"/>
                <w:szCs w:val="18"/>
              </w:rPr>
            </w:pPr>
            <w:r w:rsidRPr="00117BF8">
              <w:rPr>
                <w:rFonts w:ascii="Arial" w:hAnsi="Arial" w:cs="Arial"/>
                <w:sz w:val="18"/>
                <w:szCs w:val="18"/>
              </w:rPr>
              <w:t>7,0%</w:t>
            </w:r>
          </w:p>
        </w:tc>
      </w:tr>
      <w:tr w:rsidR="00783BCC" w:rsidRPr="004E6455" w14:paraId="08A163C2" w14:textId="77777777" w:rsidTr="00084AD2">
        <w:trPr>
          <w:jc w:val="center"/>
        </w:trPr>
        <w:tc>
          <w:tcPr>
            <w:tcW w:w="3045" w:type="pct"/>
            <w:shd w:val="clear" w:color="auto" w:fill="D3DFEE"/>
          </w:tcPr>
          <w:p w14:paraId="438C9A35" w14:textId="77777777" w:rsidR="00783BCC" w:rsidRPr="00117BF8" w:rsidRDefault="00783BCC" w:rsidP="00084AD2">
            <w:pPr>
              <w:pStyle w:val="TablaC"/>
              <w:jc w:val="left"/>
              <w:rPr>
                <w:rFonts w:ascii="Arial" w:hAnsi="Arial" w:cs="Arial"/>
                <w:bCs/>
                <w:sz w:val="18"/>
                <w:szCs w:val="18"/>
              </w:rPr>
            </w:pPr>
            <w:r w:rsidRPr="00117BF8">
              <w:rPr>
                <w:rFonts w:ascii="Arial" w:hAnsi="Arial" w:cs="Arial"/>
                <w:bCs/>
                <w:sz w:val="18"/>
                <w:szCs w:val="18"/>
              </w:rPr>
              <w:t>Deuda Pública Total / PBG (2)</w:t>
            </w:r>
          </w:p>
        </w:tc>
        <w:tc>
          <w:tcPr>
            <w:tcW w:w="489" w:type="pct"/>
            <w:shd w:val="clear" w:color="auto" w:fill="D3DFEE"/>
            <w:vAlign w:val="bottom"/>
          </w:tcPr>
          <w:p w14:paraId="0404C244" w14:textId="77777777" w:rsidR="00783BCC" w:rsidRPr="00117BF8" w:rsidRDefault="00783BCC" w:rsidP="00783BCC">
            <w:pPr>
              <w:pStyle w:val="TablaC"/>
              <w:rPr>
                <w:rFonts w:ascii="Arial" w:hAnsi="Arial" w:cs="Arial"/>
                <w:sz w:val="18"/>
                <w:szCs w:val="18"/>
              </w:rPr>
            </w:pPr>
            <w:r w:rsidRPr="00117BF8">
              <w:rPr>
                <w:rFonts w:ascii="Arial" w:hAnsi="Arial" w:cs="Arial"/>
                <w:sz w:val="18"/>
                <w:szCs w:val="18"/>
              </w:rPr>
              <w:t>8,4%</w:t>
            </w:r>
          </w:p>
        </w:tc>
        <w:tc>
          <w:tcPr>
            <w:tcW w:w="489" w:type="pct"/>
            <w:shd w:val="clear" w:color="auto" w:fill="D3DFEE"/>
            <w:vAlign w:val="bottom"/>
          </w:tcPr>
          <w:p w14:paraId="459D6A78" w14:textId="77777777" w:rsidR="00783BCC" w:rsidRPr="00117BF8" w:rsidRDefault="00783BCC" w:rsidP="00783BCC">
            <w:pPr>
              <w:pStyle w:val="TablaC"/>
              <w:rPr>
                <w:rFonts w:ascii="Arial" w:hAnsi="Arial" w:cs="Arial"/>
                <w:sz w:val="18"/>
                <w:szCs w:val="18"/>
              </w:rPr>
            </w:pPr>
            <w:r w:rsidRPr="00117BF8">
              <w:rPr>
                <w:rFonts w:ascii="Arial" w:hAnsi="Arial" w:cs="Arial"/>
                <w:sz w:val="18"/>
                <w:szCs w:val="18"/>
              </w:rPr>
              <w:t>7,1%</w:t>
            </w:r>
          </w:p>
        </w:tc>
        <w:tc>
          <w:tcPr>
            <w:tcW w:w="489" w:type="pct"/>
            <w:shd w:val="clear" w:color="auto" w:fill="D3DFEE"/>
            <w:vAlign w:val="bottom"/>
          </w:tcPr>
          <w:p w14:paraId="430A472C" w14:textId="77777777" w:rsidR="00783BCC" w:rsidRPr="00117BF8" w:rsidRDefault="00783BCC" w:rsidP="00783BCC">
            <w:pPr>
              <w:pStyle w:val="TablaC"/>
              <w:rPr>
                <w:rFonts w:ascii="Arial" w:hAnsi="Arial" w:cs="Arial"/>
                <w:sz w:val="18"/>
                <w:szCs w:val="18"/>
              </w:rPr>
            </w:pPr>
            <w:r w:rsidRPr="00117BF8">
              <w:rPr>
                <w:rFonts w:ascii="Arial" w:hAnsi="Arial" w:cs="Arial"/>
                <w:sz w:val="18"/>
                <w:szCs w:val="18"/>
              </w:rPr>
              <w:t>7,5%</w:t>
            </w:r>
          </w:p>
        </w:tc>
        <w:tc>
          <w:tcPr>
            <w:tcW w:w="488" w:type="pct"/>
            <w:shd w:val="clear" w:color="auto" w:fill="D3DFEE"/>
            <w:vAlign w:val="bottom"/>
          </w:tcPr>
          <w:p w14:paraId="7C594B0E" w14:textId="77777777" w:rsidR="00783BCC" w:rsidRPr="00117BF8" w:rsidRDefault="00783BCC" w:rsidP="00783BCC">
            <w:pPr>
              <w:pStyle w:val="TablaC"/>
              <w:rPr>
                <w:rFonts w:ascii="Arial" w:hAnsi="Arial" w:cs="Arial"/>
                <w:sz w:val="18"/>
                <w:szCs w:val="18"/>
              </w:rPr>
            </w:pPr>
            <w:r w:rsidRPr="00117BF8">
              <w:rPr>
                <w:rFonts w:ascii="Arial" w:hAnsi="Arial" w:cs="Arial"/>
                <w:sz w:val="18"/>
                <w:szCs w:val="18"/>
              </w:rPr>
              <w:t>8,7%</w:t>
            </w:r>
          </w:p>
        </w:tc>
      </w:tr>
      <w:tr w:rsidR="00783BCC" w:rsidRPr="004E6455" w14:paraId="6F7008FE" w14:textId="77777777" w:rsidTr="00783BCC">
        <w:trPr>
          <w:jc w:val="center"/>
        </w:trPr>
        <w:tc>
          <w:tcPr>
            <w:tcW w:w="3045" w:type="pct"/>
            <w:tcBorders>
              <w:right w:val="nil"/>
            </w:tcBorders>
            <w:shd w:val="clear" w:color="auto" w:fill="auto"/>
          </w:tcPr>
          <w:p w14:paraId="327CACC5" w14:textId="77777777" w:rsidR="00783BCC" w:rsidRPr="00117BF8" w:rsidRDefault="00783BCC"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Vida promedio -incluyendo intereses- (en años)</w:t>
            </w:r>
          </w:p>
        </w:tc>
        <w:tc>
          <w:tcPr>
            <w:tcW w:w="489" w:type="pct"/>
            <w:tcBorders>
              <w:left w:val="nil"/>
              <w:right w:val="nil"/>
            </w:tcBorders>
            <w:shd w:val="clear" w:color="auto" w:fill="auto"/>
          </w:tcPr>
          <w:p w14:paraId="73FCCA3E"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6,0</w:t>
            </w:r>
          </w:p>
        </w:tc>
        <w:tc>
          <w:tcPr>
            <w:tcW w:w="489" w:type="pct"/>
            <w:tcBorders>
              <w:left w:val="nil"/>
              <w:right w:val="nil"/>
            </w:tcBorders>
            <w:shd w:val="clear" w:color="auto" w:fill="auto"/>
          </w:tcPr>
          <w:p w14:paraId="43E7B412"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5,5</w:t>
            </w:r>
          </w:p>
        </w:tc>
        <w:tc>
          <w:tcPr>
            <w:tcW w:w="489" w:type="pct"/>
            <w:tcBorders>
              <w:left w:val="nil"/>
              <w:right w:val="nil"/>
            </w:tcBorders>
            <w:shd w:val="clear" w:color="auto" w:fill="auto"/>
          </w:tcPr>
          <w:p w14:paraId="2AF3E0A5"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5,4</w:t>
            </w:r>
          </w:p>
        </w:tc>
        <w:tc>
          <w:tcPr>
            <w:tcW w:w="488" w:type="pct"/>
            <w:tcBorders>
              <w:left w:val="nil"/>
            </w:tcBorders>
            <w:shd w:val="clear" w:color="auto" w:fill="auto"/>
          </w:tcPr>
          <w:p w14:paraId="68FDE611"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4,7</w:t>
            </w:r>
          </w:p>
        </w:tc>
      </w:tr>
      <w:tr w:rsidR="00783BCC" w:rsidRPr="004E6455" w14:paraId="260CF6A0" w14:textId="77777777" w:rsidTr="00783BCC">
        <w:trPr>
          <w:jc w:val="center"/>
        </w:trPr>
        <w:tc>
          <w:tcPr>
            <w:tcW w:w="3045" w:type="pct"/>
            <w:shd w:val="clear" w:color="auto" w:fill="D3DFEE"/>
          </w:tcPr>
          <w:p w14:paraId="3815EAEA" w14:textId="77777777" w:rsidR="00783BCC" w:rsidRPr="00117BF8" w:rsidRDefault="00783BCC"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Roll-over -Amortización (t+1) / Deuda públ. total (t)</w:t>
            </w:r>
          </w:p>
        </w:tc>
        <w:tc>
          <w:tcPr>
            <w:tcW w:w="489" w:type="pct"/>
            <w:shd w:val="clear" w:color="auto" w:fill="D3DFEE"/>
          </w:tcPr>
          <w:p w14:paraId="3BE1E98D"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13,0%</w:t>
            </w:r>
          </w:p>
        </w:tc>
        <w:tc>
          <w:tcPr>
            <w:tcW w:w="489" w:type="pct"/>
            <w:shd w:val="clear" w:color="auto" w:fill="D3DFEE"/>
          </w:tcPr>
          <w:p w14:paraId="64C99831"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22,0%</w:t>
            </w:r>
          </w:p>
        </w:tc>
        <w:tc>
          <w:tcPr>
            <w:tcW w:w="489" w:type="pct"/>
            <w:shd w:val="clear" w:color="auto" w:fill="D3DFEE"/>
          </w:tcPr>
          <w:p w14:paraId="24E08511"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13,4%</w:t>
            </w:r>
          </w:p>
        </w:tc>
        <w:tc>
          <w:tcPr>
            <w:tcW w:w="488" w:type="pct"/>
            <w:shd w:val="clear" w:color="auto" w:fill="D3DFEE"/>
          </w:tcPr>
          <w:p w14:paraId="545D9AEA"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11,3%</w:t>
            </w:r>
          </w:p>
        </w:tc>
      </w:tr>
      <w:tr w:rsidR="00783BCC" w:rsidRPr="004E6455" w14:paraId="63241E92" w14:textId="77777777" w:rsidTr="00783BCC">
        <w:trPr>
          <w:jc w:val="center"/>
        </w:trPr>
        <w:tc>
          <w:tcPr>
            <w:tcW w:w="3045" w:type="pct"/>
            <w:tcBorders>
              <w:right w:val="nil"/>
            </w:tcBorders>
            <w:shd w:val="clear" w:color="auto" w:fill="auto"/>
          </w:tcPr>
          <w:p w14:paraId="5A5E1604" w14:textId="77777777" w:rsidR="00783BCC" w:rsidRPr="00117BF8" w:rsidRDefault="00783BCC" w:rsidP="00C007D0">
            <w:pPr>
              <w:pStyle w:val="TablaC"/>
              <w:jc w:val="left"/>
              <w:rPr>
                <w:rFonts w:ascii="Arial" w:hAnsi="Arial" w:cs="Arial"/>
                <w:bCs/>
                <w:sz w:val="18"/>
                <w:szCs w:val="18"/>
                <w:lang w:val="es-ES_tradnl"/>
              </w:rPr>
            </w:pPr>
            <w:r w:rsidRPr="00117BF8">
              <w:rPr>
                <w:rFonts w:ascii="Arial" w:hAnsi="Arial" w:cs="Arial"/>
                <w:bCs/>
                <w:sz w:val="18"/>
                <w:szCs w:val="18"/>
                <w:lang w:val="es-ES_tradnl"/>
              </w:rPr>
              <w:t>Deuda en Moneda Extranjera / Exportaciones</w:t>
            </w:r>
          </w:p>
        </w:tc>
        <w:tc>
          <w:tcPr>
            <w:tcW w:w="489" w:type="pct"/>
            <w:tcBorders>
              <w:left w:val="nil"/>
              <w:right w:val="nil"/>
            </w:tcBorders>
            <w:shd w:val="clear" w:color="auto" w:fill="auto"/>
          </w:tcPr>
          <w:p w14:paraId="667F72A4"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30,2%</w:t>
            </w:r>
          </w:p>
        </w:tc>
        <w:tc>
          <w:tcPr>
            <w:tcW w:w="489" w:type="pct"/>
            <w:tcBorders>
              <w:left w:val="nil"/>
              <w:right w:val="nil"/>
            </w:tcBorders>
            <w:shd w:val="clear" w:color="auto" w:fill="auto"/>
          </w:tcPr>
          <w:p w14:paraId="425DD997"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28,1%</w:t>
            </w:r>
          </w:p>
        </w:tc>
        <w:tc>
          <w:tcPr>
            <w:tcW w:w="489" w:type="pct"/>
            <w:tcBorders>
              <w:left w:val="nil"/>
              <w:right w:val="nil"/>
            </w:tcBorders>
            <w:shd w:val="clear" w:color="auto" w:fill="auto"/>
          </w:tcPr>
          <w:p w14:paraId="257151CB"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40,2%</w:t>
            </w:r>
          </w:p>
        </w:tc>
        <w:tc>
          <w:tcPr>
            <w:tcW w:w="488" w:type="pct"/>
            <w:tcBorders>
              <w:left w:val="nil"/>
            </w:tcBorders>
            <w:shd w:val="clear" w:color="auto" w:fill="auto"/>
          </w:tcPr>
          <w:p w14:paraId="075BADB8" w14:textId="77777777" w:rsidR="00783BCC" w:rsidRPr="00117BF8" w:rsidRDefault="00783BCC" w:rsidP="003B04A8">
            <w:pPr>
              <w:pStyle w:val="TablaC"/>
              <w:rPr>
                <w:rFonts w:ascii="Arial" w:hAnsi="Arial" w:cs="Arial"/>
                <w:sz w:val="18"/>
                <w:szCs w:val="18"/>
              </w:rPr>
            </w:pPr>
            <w:r w:rsidRPr="00117BF8">
              <w:rPr>
                <w:rFonts w:ascii="Arial" w:hAnsi="Arial" w:cs="Arial"/>
                <w:sz w:val="18"/>
                <w:szCs w:val="18"/>
              </w:rPr>
              <w:t>47,5%</w:t>
            </w:r>
          </w:p>
        </w:tc>
      </w:tr>
    </w:tbl>
    <w:p w14:paraId="7BB59FC0" w14:textId="73FA9399" w:rsidR="006143A6" w:rsidRPr="00117BF8" w:rsidRDefault="00F20957" w:rsidP="003B2E3F">
      <w:pPr>
        <w:pStyle w:val="Hfuente"/>
        <w:rPr>
          <w:rFonts w:ascii="Arial" w:eastAsia="Calibri" w:hAnsi="Arial" w:cs="Arial"/>
          <w:sz w:val="18"/>
          <w:szCs w:val="18"/>
        </w:rPr>
      </w:pPr>
      <w:r w:rsidRPr="00117BF8">
        <w:rPr>
          <w:rFonts w:ascii="Arial" w:eastAsia="Calibri" w:hAnsi="Arial" w:cs="Arial"/>
          <w:sz w:val="18"/>
          <w:szCs w:val="18"/>
        </w:rPr>
        <w:t>Fuente: Informe de Deuda Pública al 31/12/16 – Ministerio de Economía de la PBA</w:t>
      </w:r>
      <w:r w:rsidR="00783BCC" w:rsidRPr="00117BF8">
        <w:rPr>
          <w:rFonts w:ascii="Arial" w:eastAsia="Calibri" w:hAnsi="Arial" w:cs="Arial"/>
          <w:sz w:val="18"/>
          <w:szCs w:val="18"/>
        </w:rPr>
        <w:t xml:space="preserve"> – PBG (1): </w:t>
      </w:r>
      <w:r w:rsidR="009B578F" w:rsidRPr="00117BF8">
        <w:rPr>
          <w:rFonts w:ascii="Arial" w:eastAsia="Calibri" w:hAnsi="Arial" w:cs="Arial"/>
          <w:sz w:val="18"/>
          <w:szCs w:val="18"/>
        </w:rPr>
        <w:t>Dirección Provincial de Crédito y Deuda Pública; PBG (2).</w:t>
      </w:r>
      <w:r w:rsidR="008D51E7" w:rsidRPr="00117BF8">
        <w:rPr>
          <w:rFonts w:ascii="Arial" w:eastAsia="Calibri" w:hAnsi="Arial" w:cs="Arial"/>
          <w:sz w:val="18"/>
          <w:szCs w:val="18"/>
        </w:rPr>
        <w:t xml:space="preserve"> </w:t>
      </w:r>
      <w:r w:rsidR="00783BCC" w:rsidRPr="00117BF8">
        <w:rPr>
          <w:rFonts w:ascii="Arial" w:eastAsia="Calibri" w:hAnsi="Arial" w:cs="Arial"/>
          <w:sz w:val="18"/>
          <w:szCs w:val="18"/>
        </w:rPr>
        <w:t>Dirección Provincial de Estad</w:t>
      </w:r>
      <w:r w:rsidR="009B578F" w:rsidRPr="00117BF8">
        <w:rPr>
          <w:rFonts w:ascii="Arial" w:eastAsia="Calibri" w:hAnsi="Arial" w:cs="Arial"/>
          <w:sz w:val="18"/>
          <w:szCs w:val="18"/>
        </w:rPr>
        <w:t>ística.</w:t>
      </w:r>
    </w:p>
    <w:p w14:paraId="01BE8B5B" w14:textId="77777777" w:rsidR="006143A6" w:rsidRPr="00117BF8" w:rsidRDefault="00F20957" w:rsidP="00F20957">
      <w:pPr>
        <w:pStyle w:val="hsa"/>
        <w:rPr>
          <w:rFonts w:ascii="Arial" w:eastAsia="Calibri" w:hAnsi="Arial" w:cs="Arial"/>
          <w:sz w:val="22"/>
          <w:szCs w:val="22"/>
        </w:rPr>
      </w:pPr>
      <w:r w:rsidRPr="00117BF8">
        <w:rPr>
          <w:rFonts w:ascii="Arial" w:eastAsia="Calibri" w:hAnsi="Arial" w:cs="Arial"/>
          <w:sz w:val="22"/>
          <w:szCs w:val="22"/>
        </w:rPr>
        <w:t>La composició</w:t>
      </w:r>
      <w:r w:rsidR="003B04A8" w:rsidRPr="00117BF8">
        <w:rPr>
          <w:rFonts w:ascii="Arial" w:eastAsia="Calibri" w:hAnsi="Arial" w:cs="Arial"/>
          <w:sz w:val="22"/>
          <w:szCs w:val="22"/>
        </w:rPr>
        <w:t>n</w:t>
      </w:r>
      <w:r w:rsidRPr="00117BF8">
        <w:rPr>
          <w:rFonts w:ascii="Arial" w:eastAsia="Calibri" w:hAnsi="Arial" w:cs="Arial"/>
          <w:sz w:val="22"/>
          <w:szCs w:val="22"/>
        </w:rPr>
        <w:t xml:space="preserve"> de la deuda registra cambios</w:t>
      </w:r>
      <w:r w:rsidR="0081784C" w:rsidRPr="00117BF8">
        <w:rPr>
          <w:rFonts w:ascii="Arial" w:eastAsia="Calibri" w:hAnsi="Arial" w:cs="Arial"/>
          <w:sz w:val="22"/>
          <w:szCs w:val="22"/>
        </w:rPr>
        <w:t xml:space="preserve"> sustanciales en algunos indica</w:t>
      </w:r>
      <w:r w:rsidRPr="00117BF8">
        <w:rPr>
          <w:rFonts w:ascii="Arial" w:eastAsia="Calibri" w:hAnsi="Arial" w:cs="Arial"/>
          <w:sz w:val="22"/>
          <w:szCs w:val="22"/>
        </w:rPr>
        <w:t xml:space="preserve">dores </w:t>
      </w:r>
      <w:r w:rsidR="00D976B7" w:rsidRPr="00117BF8">
        <w:rPr>
          <w:rFonts w:ascii="Arial" w:eastAsia="Calibri" w:hAnsi="Arial" w:cs="Arial"/>
          <w:sz w:val="22"/>
          <w:szCs w:val="22"/>
        </w:rPr>
        <w:t>a lo</w:t>
      </w:r>
      <w:r w:rsidR="003B2E3F" w:rsidRPr="00117BF8">
        <w:rPr>
          <w:rFonts w:ascii="Arial" w:eastAsia="Calibri" w:hAnsi="Arial" w:cs="Arial"/>
          <w:sz w:val="22"/>
          <w:szCs w:val="22"/>
        </w:rPr>
        <w:t xml:space="preserve"> largo de</w:t>
      </w:r>
      <w:r w:rsidRPr="00117BF8">
        <w:rPr>
          <w:rFonts w:ascii="Arial" w:eastAsia="Calibri" w:hAnsi="Arial" w:cs="Arial"/>
          <w:sz w:val="22"/>
          <w:szCs w:val="22"/>
        </w:rPr>
        <w:t xml:space="preserve"> los últimos 4 años</w:t>
      </w:r>
      <w:r w:rsidR="003B2E3F" w:rsidRPr="00117BF8">
        <w:rPr>
          <w:rFonts w:ascii="Arial" w:eastAsia="Calibri" w:hAnsi="Arial" w:cs="Arial"/>
          <w:sz w:val="22"/>
          <w:szCs w:val="22"/>
        </w:rPr>
        <w:t xml:space="preserve">, </w:t>
      </w:r>
      <w:r w:rsidRPr="00117BF8">
        <w:rPr>
          <w:rFonts w:ascii="Arial" w:eastAsia="Calibri" w:hAnsi="Arial" w:cs="Arial"/>
          <w:sz w:val="22"/>
          <w:szCs w:val="22"/>
        </w:rPr>
        <w:t>particular</w:t>
      </w:r>
      <w:r w:rsidR="003B2E3F" w:rsidRPr="00117BF8">
        <w:rPr>
          <w:rFonts w:ascii="Arial" w:eastAsia="Calibri" w:hAnsi="Arial" w:cs="Arial"/>
          <w:sz w:val="22"/>
          <w:szCs w:val="22"/>
        </w:rPr>
        <w:t>mente</w:t>
      </w:r>
      <w:r w:rsidRPr="00117BF8">
        <w:rPr>
          <w:rFonts w:ascii="Arial" w:eastAsia="Calibri" w:hAnsi="Arial" w:cs="Arial"/>
          <w:sz w:val="22"/>
          <w:szCs w:val="22"/>
        </w:rPr>
        <w:t xml:space="preserve"> en</w:t>
      </w:r>
      <w:r w:rsidR="0081784C" w:rsidRPr="00117BF8">
        <w:rPr>
          <w:rFonts w:ascii="Arial" w:eastAsia="Calibri" w:hAnsi="Arial" w:cs="Arial"/>
          <w:sz w:val="22"/>
          <w:szCs w:val="22"/>
        </w:rPr>
        <w:t xml:space="preserve"> 2016. </w:t>
      </w:r>
      <w:r w:rsidR="009B578F" w:rsidRPr="00117BF8">
        <w:rPr>
          <w:rFonts w:ascii="Arial" w:eastAsia="Calibri" w:hAnsi="Arial" w:cs="Arial"/>
          <w:sz w:val="22"/>
          <w:szCs w:val="22"/>
        </w:rPr>
        <w:t xml:space="preserve">La deuda en moneda extranjera creció, se </w:t>
      </w:r>
      <w:r w:rsidR="00D976B7" w:rsidRPr="00117BF8">
        <w:rPr>
          <w:rFonts w:ascii="Arial" w:eastAsia="Calibri" w:hAnsi="Arial" w:cs="Arial"/>
          <w:sz w:val="22"/>
          <w:szCs w:val="22"/>
        </w:rPr>
        <w:t>increment</w:t>
      </w:r>
      <w:r w:rsidR="009B578F" w:rsidRPr="00117BF8">
        <w:rPr>
          <w:rFonts w:ascii="Arial" w:eastAsia="Calibri" w:hAnsi="Arial" w:cs="Arial"/>
          <w:sz w:val="22"/>
          <w:szCs w:val="22"/>
        </w:rPr>
        <w:t>ó</w:t>
      </w:r>
      <w:r w:rsidR="00D976B7" w:rsidRPr="00117BF8">
        <w:rPr>
          <w:rFonts w:ascii="Arial" w:eastAsia="Calibri" w:hAnsi="Arial" w:cs="Arial"/>
          <w:sz w:val="22"/>
          <w:szCs w:val="22"/>
        </w:rPr>
        <w:t xml:space="preserve"> </w:t>
      </w:r>
      <w:r w:rsidR="009B578F" w:rsidRPr="00117BF8">
        <w:rPr>
          <w:rFonts w:ascii="Arial" w:eastAsia="Calibri" w:hAnsi="Arial" w:cs="Arial"/>
          <w:sz w:val="22"/>
          <w:szCs w:val="22"/>
        </w:rPr>
        <w:t>la</w:t>
      </w:r>
      <w:r w:rsidRPr="00117BF8">
        <w:rPr>
          <w:rFonts w:ascii="Arial" w:eastAsia="Calibri" w:hAnsi="Arial" w:cs="Arial"/>
          <w:sz w:val="22"/>
          <w:szCs w:val="22"/>
        </w:rPr>
        <w:t xml:space="preserve"> significación</w:t>
      </w:r>
      <w:r w:rsidR="00D976B7" w:rsidRPr="00117BF8">
        <w:rPr>
          <w:rFonts w:ascii="Arial" w:eastAsia="Calibri" w:hAnsi="Arial" w:cs="Arial"/>
          <w:sz w:val="22"/>
          <w:szCs w:val="22"/>
        </w:rPr>
        <w:t xml:space="preserve"> de</w:t>
      </w:r>
      <w:r w:rsidRPr="00117BF8">
        <w:rPr>
          <w:rFonts w:ascii="Arial" w:eastAsia="Calibri" w:hAnsi="Arial" w:cs="Arial"/>
          <w:sz w:val="22"/>
          <w:szCs w:val="22"/>
        </w:rPr>
        <w:t xml:space="preserve"> los bonos, en particular los internacionales y como contrapartida una reducción importante de la deuda con el gobierno nacional. Es notable el cambio de ley que rige la deuda, incrementándose la deuda sometida a ley extranjera.</w:t>
      </w:r>
      <w:r w:rsidR="004F6C64" w:rsidRPr="00117BF8">
        <w:rPr>
          <w:rFonts w:ascii="Arial" w:eastAsia="Calibri" w:hAnsi="Arial" w:cs="Arial"/>
          <w:sz w:val="22"/>
          <w:szCs w:val="22"/>
        </w:rPr>
        <w:t xml:space="preserve"> Se observa también un crecimiento sostenido de la deuda a tasa variable (Tabla </w:t>
      </w:r>
      <w:r w:rsidR="003B2E3F" w:rsidRPr="00117BF8">
        <w:rPr>
          <w:rFonts w:ascii="Arial" w:eastAsia="Calibri" w:hAnsi="Arial" w:cs="Arial"/>
          <w:sz w:val="22"/>
          <w:szCs w:val="22"/>
        </w:rPr>
        <w:t>26</w:t>
      </w:r>
      <w:r w:rsidR="004F6C64" w:rsidRPr="00117BF8">
        <w:rPr>
          <w:rFonts w:ascii="Arial" w:eastAsia="Calibri" w:hAnsi="Arial" w:cs="Arial"/>
          <w:sz w:val="22"/>
          <w:szCs w:val="22"/>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813"/>
        <w:gridCol w:w="813"/>
        <w:gridCol w:w="815"/>
        <w:gridCol w:w="813"/>
      </w:tblGrid>
      <w:tr w:rsidR="005857B1" w:rsidRPr="004E6455" w14:paraId="1A6654D4" w14:textId="77777777" w:rsidTr="00197371">
        <w:trPr>
          <w:tblHeader/>
          <w:jc w:val="center"/>
        </w:trPr>
        <w:tc>
          <w:tcPr>
            <w:tcW w:w="5000" w:type="pct"/>
            <w:gridSpan w:val="5"/>
            <w:shd w:val="clear" w:color="auto" w:fill="0070C0"/>
          </w:tcPr>
          <w:p w14:paraId="05F4C641" w14:textId="77777777" w:rsidR="005857B1" w:rsidRPr="00117BF8" w:rsidRDefault="005857B1" w:rsidP="003B2E3F">
            <w:pPr>
              <w:pStyle w:val="TablaT"/>
              <w:rPr>
                <w:rFonts w:ascii="Arial" w:hAnsi="Arial" w:cs="Arial"/>
                <w:bCs/>
                <w:sz w:val="22"/>
                <w:szCs w:val="22"/>
                <w:lang w:val="es-ES_tradnl"/>
              </w:rPr>
            </w:pPr>
            <w:bookmarkStart w:id="73" w:name="_Toc493861136"/>
            <w:r w:rsidRPr="00117BF8">
              <w:rPr>
                <w:rFonts w:ascii="Arial" w:hAnsi="Arial" w:cs="Arial"/>
                <w:bCs/>
                <w:sz w:val="22"/>
                <w:szCs w:val="22"/>
                <w:lang w:val="es-ES_tradnl"/>
              </w:rPr>
              <w:t xml:space="preserve">Tabla </w:t>
            </w:r>
            <w:r w:rsidR="003B2E3F" w:rsidRPr="00117BF8">
              <w:rPr>
                <w:rFonts w:ascii="Arial" w:hAnsi="Arial" w:cs="Arial"/>
                <w:bCs/>
                <w:sz w:val="22"/>
                <w:szCs w:val="22"/>
                <w:lang w:val="es-ES_tradnl"/>
              </w:rPr>
              <w:t>26</w:t>
            </w:r>
            <w:r w:rsidRPr="00117BF8">
              <w:rPr>
                <w:rFonts w:ascii="Arial" w:hAnsi="Arial" w:cs="Arial"/>
                <w:bCs/>
                <w:sz w:val="22"/>
                <w:szCs w:val="22"/>
                <w:lang w:val="es-ES_tradnl"/>
              </w:rPr>
              <w:t xml:space="preserve"> – Composición de la Deuda</w:t>
            </w:r>
            <w:bookmarkEnd w:id="73"/>
          </w:p>
        </w:tc>
      </w:tr>
      <w:tr w:rsidR="00C007D0" w:rsidRPr="004E6455" w14:paraId="12B09311" w14:textId="77777777" w:rsidTr="00197371">
        <w:trPr>
          <w:tblHeader/>
          <w:jc w:val="center"/>
        </w:trPr>
        <w:tc>
          <w:tcPr>
            <w:tcW w:w="3087" w:type="pct"/>
            <w:tcBorders>
              <w:bottom w:val="single" w:sz="4" w:space="0" w:color="auto"/>
            </w:tcBorders>
            <w:shd w:val="clear" w:color="auto" w:fill="0070C0"/>
          </w:tcPr>
          <w:p w14:paraId="62D10FBD" w14:textId="77777777" w:rsidR="006143A6" w:rsidRPr="00117BF8" w:rsidRDefault="005857B1" w:rsidP="00903CC4">
            <w:pPr>
              <w:pStyle w:val="TablaE"/>
              <w:rPr>
                <w:rFonts w:ascii="Arial" w:hAnsi="Arial" w:cs="Arial"/>
                <w:sz w:val="22"/>
                <w:szCs w:val="22"/>
              </w:rPr>
            </w:pPr>
            <w:r w:rsidRPr="00117BF8">
              <w:rPr>
                <w:rFonts w:ascii="Arial" w:hAnsi="Arial" w:cs="Arial"/>
                <w:sz w:val="22"/>
                <w:szCs w:val="22"/>
              </w:rPr>
              <w:t>Calificación</w:t>
            </w:r>
          </w:p>
        </w:tc>
        <w:tc>
          <w:tcPr>
            <w:tcW w:w="478" w:type="pct"/>
            <w:tcBorders>
              <w:bottom w:val="single" w:sz="4" w:space="0" w:color="auto"/>
            </w:tcBorders>
            <w:shd w:val="clear" w:color="auto" w:fill="0070C0"/>
          </w:tcPr>
          <w:p w14:paraId="0955A23D" w14:textId="77777777" w:rsidR="006143A6" w:rsidRPr="00117BF8" w:rsidRDefault="006143A6" w:rsidP="00903CC4">
            <w:pPr>
              <w:pStyle w:val="TablaE"/>
              <w:rPr>
                <w:rFonts w:ascii="Arial" w:hAnsi="Arial" w:cs="Arial"/>
                <w:sz w:val="22"/>
                <w:szCs w:val="22"/>
              </w:rPr>
            </w:pPr>
            <w:r w:rsidRPr="00117BF8">
              <w:rPr>
                <w:rFonts w:ascii="Arial" w:hAnsi="Arial" w:cs="Arial"/>
                <w:sz w:val="22"/>
                <w:szCs w:val="22"/>
              </w:rPr>
              <w:t>2013</w:t>
            </w:r>
          </w:p>
        </w:tc>
        <w:tc>
          <w:tcPr>
            <w:tcW w:w="478" w:type="pct"/>
            <w:tcBorders>
              <w:bottom w:val="single" w:sz="4" w:space="0" w:color="auto"/>
            </w:tcBorders>
            <w:shd w:val="clear" w:color="auto" w:fill="0070C0"/>
          </w:tcPr>
          <w:p w14:paraId="353DAE6A" w14:textId="77777777" w:rsidR="006143A6" w:rsidRPr="00117BF8" w:rsidRDefault="006143A6" w:rsidP="00903CC4">
            <w:pPr>
              <w:pStyle w:val="TablaE"/>
              <w:rPr>
                <w:rFonts w:ascii="Arial" w:hAnsi="Arial" w:cs="Arial"/>
                <w:sz w:val="22"/>
                <w:szCs w:val="22"/>
              </w:rPr>
            </w:pPr>
            <w:r w:rsidRPr="00117BF8">
              <w:rPr>
                <w:rFonts w:ascii="Arial" w:hAnsi="Arial" w:cs="Arial"/>
                <w:sz w:val="22"/>
                <w:szCs w:val="22"/>
              </w:rPr>
              <w:t>2014</w:t>
            </w:r>
          </w:p>
        </w:tc>
        <w:tc>
          <w:tcPr>
            <w:tcW w:w="479" w:type="pct"/>
            <w:tcBorders>
              <w:bottom w:val="single" w:sz="4" w:space="0" w:color="auto"/>
            </w:tcBorders>
            <w:shd w:val="clear" w:color="auto" w:fill="0070C0"/>
          </w:tcPr>
          <w:p w14:paraId="1A58F173" w14:textId="77777777" w:rsidR="006143A6" w:rsidRPr="00117BF8" w:rsidRDefault="006143A6" w:rsidP="00903CC4">
            <w:pPr>
              <w:pStyle w:val="TablaE"/>
              <w:rPr>
                <w:rFonts w:ascii="Arial" w:hAnsi="Arial" w:cs="Arial"/>
                <w:sz w:val="22"/>
                <w:szCs w:val="22"/>
              </w:rPr>
            </w:pPr>
            <w:r w:rsidRPr="00117BF8">
              <w:rPr>
                <w:rFonts w:ascii="Arial" w:hAnsi="Arial" w:cs="Arial"/>
                <w:sz w:val="22"/>
                <w:szCs w:val="22"/>
              </w:rPr>
              <w:t>2015</w:t>
            </w:r>
          </w:p>
        </w:tc>
        <w:tc>
          <w:tcPr>
            <w:tcW w:w="478" w:type="pct"/>
            <w:tcBorders>
              <w:bottom w:val="single" w:sz="4" w:space="0" w:color="auto"/>
            </w:tcBorders>
            <w:shd w:val="clear" w:color="auto" w:fill="0070C0"/>
          </w:tcPr>
          <w:p w14:paraId="6133938E" w14:textId="77777777" w:rsidR="006143A6" w:rsidRPr="00117BF8" w:rsidRDefault="006143A6" w:rsidP="00903CC4">
            <w:pPr>
              <w:pStyle w:val="TablaE"/>
              <w:rPr>
                <w:rFonts w:ascii="Arial" w:hAnsi="Arial" w:cs="Arial"/>
                <w:sz w:val="22"/>
                <w:szCs w:val="22"/>
              </w:rPr>
            </w:pPr>
            <w:r w:rsidRPr="00117BF8">
              <w:rPr>
                <w:rFonts w:ascii="Arial" w:hAnsi="Arial" w:cs="Arial"/>
                <w:sz w:val="22"/>
                <w:szCs w:val="22"/>
              </w:rPr>
              <w:t>2016</w:t>
            </w:r>
          </w:p>
        </w:tc>
      </w:tr>
      <w:tr w:rsidR="00C007D0" w:rsidRPr="004E6455" w14:paraId="4C9962F9" w14:textId="77777777" w:rsidTr="00197371">
        <w:trPr>
          <w:jc w:val="center"/>
        </w:trPr>
        <w:tc>
          <w:tcPr>
            <w:tcW w:w="3087" w:type="pct"/>
            <w:tcBorders>
              <w:bottom w:val="nil"/>
              <w:right w:val="single" w:sz="4" w:space="0" w:color="FFFFFF"/>
            </w:tcBorders>
            <w:shd w:val="clear" w:color="auto" w:fill="auto"/>
          </w:tcPr>
          <w:p w14:paraId="1B06BCE8" w14:textId="77777777" w:rsidR="006143A6" w:rsidRPr="00117BF8" w:rsidRDefault="005857B1" w:rsidP="00C007D0">
            <w:pPr>
              <w:pStyle w:val="TablaC"/>
              <w:jc w:val="center"/>
              <w:rPr>
                <w:rFonts w:ascii="Arial" w:hAnsi="Arial" w:cs="Arial"/>
                <w:b/>
                <w:sz w:val="18"/>
                <w:szCs w:val="18"/>
              </w:rPr>
            </w:pPr>
            <w:r w:rsidRPr="00117BF8">
              <w:rPr>
                <w:rFonts w:ascii="Arial" w:hAnsi="Arial" w:cs="Arial"/>
                <w:b/>
                <w:sz w:val="18"/>
                <w:szCs w:val="18"/>
              </w:rPr>
              <w:t>Tipo de Tasa</w:t>
            </w:r>
          </w:p>
        </w:tc>
        <w:tc>
          <w:tcPr>
            <w:tcW w:w="478" w:type="pct"/>
            <w:tcBorders>
              <w:left w:val="single" w:sz="4" w:space="0" w:color="FFFFFF"/>
              <w:bottom w:val="nil"/>
              <w:right w:val="single" w:sz="4" w:space="0" w:color="FFFFFF"/>
            </w:tcBorders>
            <w:shd w:val="clear" w:color="auto" w:fill="auto"/>
          </w:tcPr>
          <w:p w14:paraId="6C89DFED" w14:textId="77777777" w:rsidR="006143A6" w:rsidRPr="00117BF8" w:rsidRDefault="006143A6" w:rsidP="00C007D0">
            <w:pPr>
              <w:pStyle w:val="TablaC"/>
              <w:jc w:val="center"/>
              <w:rPr>
                <w:rFonts w:ascii="Arial" w:hAnsi="Arial" w:cs="Arial"/>
                <w:b/>
                <w:sz w:val="18"/>
                <w:szCs w:val="18"/>
              </w:rPr>
            </w:pPr>
          </w:p>
        </w:tc>
        <w:tc>
          <w:tcPr>
            <w:tcW w:w="478" w:type="pct"/>
            <w:tcBorders>
              <w:left w:val="single" w:sz="4" w:space="0" w:color="FFFFFF"/>
              <w:bottom w:val="nil"/>
              <w:right w:val="single" w:sz="4" w:space="0" w:color="FFFFFF"/>
            </w:tcBorders>
            <w:shd w:val="clear" w:color="auto" w:fill="auto"/>
          </w:tcPr>
          <w:p w14:paraId="00608A87" w14:textId="77777777" w:rsidR="006143A6" w:rsidRPr="00117BF8" w:rsidRDefault="006143A6" w:rsidP="00C007D0">
            <w:pPr>
              <w:pStyle w:val="TablaC"/>
              <w:jc w:val="center"/>
              <w:rPr>
                <w:rFonts w:ascii="Arial" w:hAnsi="Arial" w:cs="Arial"/>
                <w:b/>
                <w:sz w:val="18"/>
                <w:szCs w:val="18"/>
              </w:rPr>
            </w:pPr>
          </w:p>
        </w:tc>
        <w:tc>
          <w:tcPr>
            <w:tcW w:w="479" w:type="pct"/>
            <w:tcBorders>
              <w:left w:val="single" w:sz="4" w:space="0" w:color="FFFFFF"/>
              <w:bottom w:val="nil"/>
              <w:right w:val="single" w:sz="4" w:space="0" w:color="FFFFFF"/>
            </w:tcBorders>
            <w:shd w:val="clear" w:color="auto" w:fill="auto"/>
          </w:tcPr>
          <w:p w14:paraId="12AF013D" w14:textId="77777777" w:rsidR="006143A6" w:rsidRPr="00117BF8" w:rsidRDefault="006143A6" w:rsidP="00C007D0">
            <w:pPr>
              <w:pStyle w:val="TablaC"/>
              <w:jc w:val="center"/>
              <w:rPr>
                <w:rFonts w:ascii="Arial" w:hAnsi="Arial" w:cs="Arial"/>
                <w:b/>
                <w:sz w:val="18"/>
                <w:szCs w:val="18"/>
              </w:rPr>
            </w:pPr>
          </w:p>
        </w:tc>
        <w:tc>
          <w:tcPr>
            <w:tcW w:w="478" w:type="pct"/>
            <w:tcBorders>
              <w:left w:val="single" w:sz="4" w:space="0" w:color="FFFFFF"/>
              <w:bottom w:val="nil"/>
            </w:tcBorders>
            <w:shd w:val="clear" w:color="auto" w:fill="auto"/>
          </w:tcPr>
          <w:p w14:paraId="5ECF2A5F" w14:textId="77777777" w:rsidR="006143A6" w:rsidRPr="00117BF8" w:rsidRDefault="006143A6" w:rsidP="00C007D0">
            <w:pPr>
              <w:pStyle w:val="TablaC"/>
              <w:jc w:val="center"/>
              <w:rPr>
                <w:rFonts w:ascii="Arial" w:hAnsi="Arial" w:cs="Arial"/>
                <w:b/>
                <w:sz w:val="18"/>
                <w:szCs w:val="18"/>
              </w:rPr>
            </w:pPr>
          </w:p>
        </w:tc>
      </w:tr>
      <w:tr w:rsidR="00C007D0" w:rsidRPr="004E6455" w14:paraId="4478096B" w14:textId="77777777" w:rsidTr="00197371">
        <w:trPr>
          <w:jc w:val="center"/>
        </w:trPr>
        <w:tc>
          <w:tcPr>
            <w:tcW w:w="3087" w:type="pct"/>
            <w:tcBorders>
              <w:top w:val="nil"/>
              <w:bottom w:val="nil"/>
              <w:right w:val="single" w:sz="4" w:space="0" w:color="FFFFFF"/>
            </w:tcBorders>
            <w:shd w:val="clear" w:color="auto" w:fill="auto"/>
          </w:tcPr>
          <w:p w14:paraId="3376BC0E"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 a Tasa Fija</w:t>
            </w:r>
          </w:p>
        </w:tc>
        <w:tc>
          <w:tcPr>
            <w:tcW w:w="478" w:type="pct"/>
            <w:tcBorders>
              <w:top w:val="nil"/>
              <w:left w:val="single" w:sz="4" w:space="0" w:color="FFFFFF"/>
              <w:bottom w:val="nil"/>
              <w:right w:val="single" w:sz="4" w:space="0" w:color="FFFFFF"/>
            </w:tcBorders>
            <w:shd w:val="clear" w:color="auto" w:fill="auto"/>
          </w:tcPr>
          <w:p w14:paraId="6D193781"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87,3%</w:t>
            </w:r>
          </w:p>
        </w:tc>
        <w:tc>
          <w:tcPr>
            <w:tcW w:w="478" w:type="pct"/>
            <w:tcBorders>
              <w:top w:val="nil"/>
              <w:left w:val="single" w:sz="4" w:space="0" w:color="FFFFFF"/>
              <w:bottom w:val="nil"/>
              <w:right w:val="single" w:sz="4" w:space="0" w:color="FFFFFF"/>
            </w:tcBorders>
            <w:shd w:val="clear" w:color="auto" w:fill="auto"/>
          </w:tcPr>
          <w:p w14:paraId="7B734892"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86,7%</w:t>
            </w:r>
          </w:p>
        </w:tc>
        <w:tc>
          <w:tcPr>
            <w:tcW w:w="479" w:type="pct"/>
            <w:tcBorders>
              <w:top w:val="nil"/>
              <w:left w:val="single" w:sz="4" w:space="0" w:color="FFFFFF"/>
              <w:bottom w:val="nil"/>
              <w:right w:val="single" w:sz="4" w:space="0" w:color="FFFFFF"/>
            </w:tcBorders>
            <w:shd w:val="clear" w:color="auto" w:fill="auto"/>
          </w:tcPr>
          <w:p w14:paraId="10B3FADC"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83,2%</w:t>
            </w:r>
          </w:p>
        </w:tc>
        <w:tc>
          <w:tcPr>
            <w:tcW w:w="478" w:type="pct"/>
            <w:tcBorders>
              <w:top w:val="nil"/>
              <w:left w:val="single" w:sz="4" w:space="0" w:color="FFFFFF"/>
              <w:bottom w:val="nil"/>
            </w:tcBorders>
            <w:shd w:val="clear" w:color="auto" w:fill="auto"/>
          </w:tcPr>
          <w:p w14:paraId="63AB7A19"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83,5%</w:t>
            </w:r>
          </w:p>
        </w:tc>
      </w:tr>
      <w:tr w:rsidR="00C007D0" w:rsidRPr="004E6455" w14:paraId="15023829" w14:textId="77777777" w:rsidTr="00197371">
        <w:trPr>
          <w:jc w:val="center"/>
        </w:trPr>
        <w:tc>
          <w:tcPr>
            <w:tcW w:w="3087" w:type="pct"/>
            <w:tcBorders>
              <w:top w:val="nil"/>
              <w:bottom w:val="single" w:sz="4" w:space="0" w:color="auto"/>
              <w:right w:val="single" w:sz="4" w:space="0" w:color="FFFFFF"/>
            </w:tcBorders>
            <w:shd w:val="clear" w:color="auto" w:fill="auto"/>
          </w:tcPr>
          <w:p w14:paraId="4C0E1CC5"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 a Tasa Variable</w:t>
            </w:r>
          </w:p>
        </w:tc>
        <w:tc>
          <w:tcPr>
            <w:tcW w:w="478" w:type="pct"/>
            <w:tcBorders>
              <w:top w:val="nil"/>
              <w:left w:val="single" w:sz="4" w:space="0" w:color="FFFFFF"/>
              <w:bottom w:val="single" w:sz="4" w:space="0" w:color="auto"/>
              <w:right w:val="single" w:sz="4" w:space="0" w:color="FFFFFF"/>
            </w:tcBorders>
            <w:shd w:val="clear" w:color="auto" w:fill="auto"/>
          </w:tcPr>
          <w:p w14:paraId="547295AB"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12,7%</w:t>
            </w:r>
          </w:p>
        </w:tc>
        <w:tc>
          <w:tcPr>
            <w:tcW w:w="478" w:type="pct"/>
            <w:tcBorders>
              <w:top w:val="nil"/>
              <w:left w:val="single" w:sz="4" w:space="0" w:color="FFFFFF"/>
              <w:bottom w:val="single" w:sz="4" w:space="0" w:color="auto"/>
              <w:right w:val="single" w:sz="4" w:space="0" w:color="FFFFFF"/>
            </w:tcBorders>
            <w:shd w:val="clear" w:color="auto" w:fill="auto"/>
          </w:tcPr>
          <w:p w14:paraId="4AE4B4BC"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13,3%</w:t>
            </w:r>
          </w:p>
        </w:tc>
        <w:tc>
          <w:tcPr>
            <w:tcW w:w="479" w:type="pct"/>
            <w:tcBorders>
              <w:top w:val="nil"/>
              <w:left w:val="single" w:sz="4" w:space="0" w:color="FFFFFF"/>
              <w:bottom w:val="single" w:sz="4" w:space="0" w:color="auto"/>
              <w:right w:val="single" w:sz="4" w:space="0" w:color="FFFFFF"/>
            </w:tcBorders>
            <w:shd w:val="clear" w:color="auto" w:fill="auto"/>
          </w:tcPr>
          <w:p w14:paraId="42F6748D"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16,8%</w:t>
            </w:r>
          </w:p>
        </w:tc>
        <w:tc>
          <w:tcPr>
            <w:tcW w:w="478" w:type="pct"/>
            <w:tcBorders>
              <w:top w:val="nil"/>
              <w:left w:val="single" w:sz="4" w:space="0" w:color="FFFFFF"/>
              <w:bottom w:val="single" w:sz="4" w:space="0" w:color="auto"/>
            </w:tcBorders>
            <w:shd w:val="clear" w:color="auto" w:fill="auto"/>
          </w:tcPr>
          <w:p w14:paraId="03E2206A"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16,5%</w:t>
            </w:r>
          </w:p>
        </w:tc>
      </w:tr>
      <w:tr w:rsidR="00C007D0" w:rsidRPr="004E6455" w14:paraId="522CD255" w14:textId="77777777" w:rsidTr="00197371">
        <w:trPr>
          <w:jc w:val="center"/>
        </w:trPr>
        <w:tc>
          <w:tcPr>
            <w:tcW w:w="3087" w:type="pct"/>
            <w:tcBorders>
              <w:bottom w:val="nil"/>
              <w:right w:val="single" w:sz="4" w:space="0" w:color="FFFFFF"/>
            </w:tcBorders>
            <w:shd w:val="clear" w:color="auto" w:fill="B6DDE8"/>
          </w:tcPr>
          <w:p w14:paraId="11313279" w14:textId="77777777" w:rsidR="00EE7BE8" w:rsidRPr="00117BF8" w:rsidRDefault="00EE7BE8" w:rsidP="00C007D0">
            <w:pPr>
              <w:pStyle w:val="TablaC"/>
              <w:jc w:val="center"/>
              <w:rPr>
                <w:rFonts w:ascii="Arial" w:hAnsi="Arial" w:cs="Arial"/>
                <w:b/>
                <w:sz w:val="18"/>
                <w:szCs w:val="18"/>
              </w:rPr>
            </w:pPr>
            <w:r w:rsidRPr="00117BF8">
              <w:rPr>
                <w:rFonts w:ascii="Arial" w:hAnsi="Arial" w:cs="Arial"/>
                <w:b/>
                <w:sz w:val="18"/>
                <w:szCs w:val="18"/>
              </w:rPr>
              <w:t>Moneda</w:t>
            </w:r>
          </w:p>
        </w:tc>
        <w:tc>
          <w:tcPr>
            <w:tcW w:w="478" w:type="pct"/>
            <w:tcBorders>
              <w:left w:val="single" w:sz="4" w:space="0" w:color="FFFFFF"/>
              <w:bottom w:val="nil"/>
              <w:right w:val="single" w:sz="4" w:space="0" w:color="FFFFFF"/>
            </w:tcBorders>
            <w:shd w:val="clear" w:color="auto" w:fill="B6DDE8"/>
          </w:tcPr>
          <w:p w14:paraId="2769FA90" w14:textId="77777777" w:rsidR="00EE7BE8" w:rsidRPr="00117BF8" w:rsidRDefault="00EE7BE8" w:rsidP="00C007D0">
            <w:pPr>
              <w:pStyle w:val="TablaC"/>
              <w:jc w:val="center"/>
              <w:rPr>
                <w:rFonts w:ascii="Arial" w:hAnsi="Arial" w:cs="Arial"/>
                <w:b/>
                <w:sz w:val="18"/>
                <w:szCs w:val="18"/>
              </w:rPr>
            </w:pPr>
          </w:p>
        </w:tc>
        <w:tc>
          <w:tcPr>
            <w:tcW w:w="478" w:type="pct"/>
            <w:tcBorders>
              <w:left w:val="single" w:sz="4" w:space="0" w:color="FFFFFF"/>
              <w:bottom w:val="nil"/>
              <w:right w:val="single" w:sz="4" w:space="0" w:color="FFFFFF"/>
            </w:tcBorders>
            <w:shd w:val="clear" w:color="auto" w:fill="B6DDE8"/>
          </w:tcPr>
          <w:p w14:paraId="27BE3F67" w14:textId="77777777" w:rsidR="00EE7BE8" w:rsidRPr="00117BF8" w:rsidRDefault="00EE7BE8" w:rsidP="00C007D0">
            <w:pPr>
              <w:pStyle w:val="TablaC"/>
              <w:jc w:val="center"/>
              <w:rPr>
                <w:rFonts w:ascii="Arial" w:hAnsi="Arial" w:cs="Arial"/>
                <w:b/>
                <w:sz w:val="18"/>
                <w:szCs w:val="18"/>
              </w:rPr>
            </w:pPr>
          </w:p>
        </w:tc>
        <w:tc>
          <w:tcPr>
            <w:tcW w:w="479" w:type="pct"/>
            <w:tcBorders>
              <w:left w:val="single" w:sz="4" w:space="0" w:color="FFFFFF"/>
              <w:bottom w:val="nil"/>
              <w:right w:val="single" w:sz="4" w:space="0" w:color="FFFFFF"/>
            </w:tcBorders>
            <w:shd w:val="clear" w:color="auto" w:fill="B6DDE8"/>
          </w:tcPr>
          <w:p w14:paraId="48932B22" w14:textId="77777777" w:rsidR="00EE7BE8" w:rsidRPr="00117BF8" w:rsidRDefault="00EE7BE8" w:rsidP="00C007D0">
            <w:pPr>
              <w:pStyle w:val="TablaC"/>
              <w:jc w:val="center"/>
              <w:rPr>
                <w:rFonts w:ascii="Arial" w:hAnsi="Arial" w:cs="Arial"/>
                <w:b/>
                <w:sz w:val="18"/>
                <w:szCs w:val="18"/>
              </w:rPr>
            </w:pPr>
          </w:p>
        </w:tc>
        <w:tc>
          <w:tcPr>
            <w:tcW w:w="478" w:type="pct"/>
            <w:tcBorders>
              <w:left w:val="single" w:sz="4" w:space="0" w:color="FFFFFF"/>
              <w:bottom w:val="nil"/>
            </w:tcBorders>
            <w:shd w:val="clear" w:color="auto" w:fill="B6DDE8"/>
          </w:tcPr>
          <w:p w14:paraId="50EA9396" w14:textId="77777777" w:rsidR="00EE7BE8" w:rsidRPr="00117BF8" w:rsidRDefault="00EE7BE8" w:rsidP="00C007D0">
            <w:pPr>
              <w:pStyle w:val="TablaC"/>
              <w:jc w:val="center"/>
              <w:rPr>
                <w:rFonts w:ascii="Arial" w:hAnsi="Arial" w:cs="Arial"/>
                <w:b/>
                <w:sz w:val="18"/>
                <w:szCs w:val="18"/>
              </w:rPr>
            </w:pPr>
          </w:p>
        </w:tc>
      </w:tr>
      <w:tr w:rsidR="00C007D0" w:rsidRPr="004E6455" w14:paraId="3371D2F7" w14:textId="77777777" w:rsidTr="00197371">
        <w:trPr>
          <w:jc w:val="center"/>
        </w:trPr>
        <w:tc>
          <w:tcPr>
            <w:tcW w:w="3087" w:type="pct"/>
            <w:tcBorders>
              <w:top w:val="nil"/>
              <w:bottom w:val="nil"/>
              <w:right w:val="single" w:sz="4" w:space="0" w:color="FFFFFF"/>
            </w:tcBorders>
            <w:shd w:val="clear" w:color="auto" w:fill="B6DDE8"/>
          </w:tcPr>
          <w:p w14:paraId="1C8DF5DA"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ARS -incluye ARS+CER-</w:t>
            </w:r>
          </w:p>
        </w:tc>
        <w:tc>
          <w:tcPr>
            <w:tcW w:w="478" w:type="pct"/>
            <w:tcBorders>
              <w:top w:val="nil"/>
              <w:left w:val="single" w:sz="4" w:space="0" w:color="FFFFFF"/>
              <w:bottom w:val="nil"/>
              <w:right w:val="single" w:sz="4" w:space="0" w:color="FFFFFF"/>
            </w:tcBorders>
            <w:shd w:val="clear" w:color="auto" w:fill="B6DDE8"/>
          </w:tcPr>
          <w:p w14:paraId="0D1D600D"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48,7%</w:t>
            </w:r>
          </w:p>
        </w:tc>
        <w:tc>
          <w:tcPr>
            <w:tcW w:w="478" w:type="pct"/>
            <w:tcBorders>
              <w:top w:val="nil"/>
              <w:left w:val="single" w:sz="4" w:space="0" w:color="FFFFFF"/>
              <w:bottom w:val="nil"/>
              <w:right w:val="single" w:sz="4" w:space="0" w:color="FFFFFF"/>
            </w:tcBorders>
            <w:shd w:val="clear" w:color="auto" w:fill="B6DDE8"/>
          </w:tcPr>
          <w:p w14:paraId="3AFA7A83"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42,4%</w:t>
            </w:r>
          </w:p>
        </w:tc>
        <w:tc>
          <w:tcPr>
            <w:tcW w:w="479" w:type="pct"/>
            <w:tcBorders>
              <w:top w:val="nil"/>
              <w:left w:val="single" w:sz="4" w:space="0" w:color="FFFFFF"/>
              <w:bottom w:val="nil"/>
              <w:right w:val="single" w:sz="4" w:space="0" w:color="FFFFFF"/>
            </w:tcBorders>
            <w:shd w:val="clear" w:color="auto" w:fill="B6DDE8"/>
          </w:tcPr>
          <w:p w14:paraId="363AB860"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42,1%</w:t>
            </w:r>
          </w:p>
        </w:tc>
        <w:tc>
          <w:tcPr>
            <w:tcW w:w="478" w:type="pct"/>
            <w:tcBorders>
              <w:top w:val="nil"/>
              <w:left w:val="single" w:sz="4" w:space="0" w:color="FFFFFF"/>
              <w:bottom w:val="nil"/>
            </w:tcBorders>
            <w:shd w:val="clear" w:color="auto" w:fill="B6DDE8"/>
          </w:tcPr>
          <w:p w14:paraId="05C00AFA"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33,8%</w:t>
            </w:r>
          </w:p>
        </w:tc>
      </w:tr>
      <w:tr w:rsidR="00C007D0" w:rsidRPr="004E6455" w14:paraId="13E6F34F" w14:textId="77777777" w:rsidTr="00197371">
        <w:trPr>
          <w:jc w:val="center"/>
        </w:trPr>
        <w:tc>
          <w:tcPr>
            <w:tcW w:w="3087" w:type="pct"/>
            <w:tcBorders>
              <w:top w:val="nil"/>
              <w:bottom w:val="nil"/>
              <w:right w:val="single" w:sz="4" w:space="0" w:color="FFFFFF"/>
            </w:tcBorders>
            <w:shd w:val="clear" w:color="auto" w:fill="B6DDE8"/>
          </w:tcPr>
          <w:p w14:paraId="30B725C6"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USD</w:t>
            </w:r>
          </w:p>
        </w:tc>
        <w:tc>
          <w:tcPr>
            <w:tcW w:w="478" w:type="pct"/>
            <w:tcBorders>
              <w:top w:val="nil"/>
              <w:left w:val="single" w:sz="4" w:space="0" w:color="FFFFFF"/>
              <w:bottom w:val="nil"/>
              <w:right w:val="single" w:sz="4" w:space="0" w:color="FFFFFF"/>
            </w:tcBorders>
            <w:shd w:val="clear" w:color="auto" w:fill="B6DDE8"/>
          </w:tcPr>
          <w:p w14:paraId="7D30E0D0"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36,7%</w:t>
            </w:r>
          </w:p>
        </w:tc>
        <w:tc>
          <w:tcPr>
            <w:tcW w:w="478" w:type="pct"/>
            <w:tcBorders>
              <w:top w:val="nil"/>
              <w:left w:val="single" w:sz="4" w:space="0" w:color="FFFFFF"/>
              <w:bottom w:val="nil"/>
              <w:right w:val="single" w:sz="4" w:space="0" w:color="FFFFFF"/>
            </w:tcBorders>
            <w:shd w:val="clear" w:color="auto" w:fill="B6DDE8"/>
          </w:tcPr>
          <w:p w14:paraId="572D7B21"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42,6%</w:t>
            </w:r>
          </w:p>
        </w:tc>
        <w:tc>
          <w:tcPr>
            <w:tcW w:w="479" w:type="pct"/>
            <w:tcBorders>
              <w:top w:val="nil"/>
              <w:left w:val="single" w:sz="4" w:space="0" w:color="FFFFFF"/>
              <w:bottom w:val="nil"/>
              <w:right w:val="single" w:sz="4" w:space="0" w:color="FFFFFF"/>
            </w:tcBorders>
            <w:shd w:val="clear" w:color="auto" w:fill="B6DDE8"/>
          </w:tcPr>
          <w:p w14:paraId="06D98CAA"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43,0%</w:t>
            </w:r>
          </w:p>
        </w:tc>
        <w:tc>
          <w:tcPr>
            <w:tcW w:w="478" w:type="pct"/>
            <w:tcBorders>
              <w:top w:val="nil"/>
              <w:left w:val="single" w:sz="4" w:space="0" w:color="FFFFFF"/>
              <w:bottom w:val="nil"/>
            </w:tcBorders>
            <w:shd w:val="clear" w:color="auto" w:fill="B6DDE8"/>
          </w:tcPr>
          <w:p w14:paraId="62F609E8"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55,4%</w:t>
            </w:r>
          </w:p>
        </w:tc>
      </w:tr>
      <w:tr w:rsidR="00C007D0" w:rsidRPr="004E6455" w14:paraId="428587A3" w14:textId="77777777" w:rsidTr="00197371">
        <w:trPr>
          <w:jc w:val="center"/>
        </w:trPr>
        <w:tc>
          <w:tcPr>
            <w:tcW w:w="3087" w:type="pct"/>
            <w:tcBorders>
              <w:top w:val="nil"/>
              <w:bottom w:val="nil"/>
              <w:right w:val="single" w:sz="4" w:space="0" w:color="FFFFFF"/>
            </w:tcBorders>
            <w:shd w:val="clear" w:color="auto" w:fill="B6DDE8"/>
          </w:tcPr>
          <w:p w14:paraId="1E10D200"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EUR</w:t>
            </w:r>
          </w:p>
        </w:tc>
        <w:tc>
          <w:tcPr>
            <w:tcW w:w="478" w:type="pct"/>
            <w:tcBorders>
              <w:top w:val="nil"/>
              <w:left w:val="single" w:sz="4" w:space="0" w:color="FFFFFF"/>
              <w:bottom w:val="nil"/>
              <w:right w:val="single" w:sz="4" w:space="0" w:color="FFFFFF"/>
            </w:tcBorders>
            <w:shd w:val="clear" w:color="auto" w:fill="B6DDE8"/>
          </w:tcPr>
          <w:p w14:paraId="06551B9A"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14,0%</w:t>
            </w:r>
          </w:p>
        </w:tc>
        <w:tc>
          <w:tcPr>
            <w:tcW w:w="478" w:type="pct"/>
            <w:tcBorders>
              <w:top w:val="nil"/>
              <w:left w:val="single" w:sz="4" w:space="0" w:color="FFFFFF"/>
              <w:bottom w:val="nil"/>
              <w:right w:val="single" w:sz="4" w:space="0" w:color="FFFFFF"/>
            </w:tcBorders>
            <w:shd w:val="clear" w:color="auto" w:fill="B6DDE8"/>
          </w:tcPr>
          <w:p w14:paraId="0A108F02"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14,4%</w:t>
            </w:r>
          </w:p>
        </w:tc>
        <w:tc>
          <w:tcPr>
            <w:tcW w:w="479" w:type="pct"/>
            <w:tcBorders>
              <w:top w:val="nil"/>
              <w:left w:val="single" w:sz="4" w:space="0" w:color="FFFFFF"/>
              <w:bottom w:val="nil"/>
              <w:right w:val="single" w:sz="4" w:space="0" w:color="FFFFFF"/>
            </w:tcBorders>
            <w:shd w:val="clear" w:color="auto" w:fill="B6DDE8"/>
          </w:tcPr>
          <w:p w14:paraId="384AEBB6"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14,3%</w:t>
            </w:r>
          </w:p>
        </w:tc>
        <w:tc>
          <w:tcPr>
            <w:tcW w:w="478" w:type="pct"/>
            <w:tcBorders>
              <w:top w:val="nil"/>
              <w:left w:val="single" w:sz="4" w:space="0" w:color="FFFFFF"/>
              <w:bottom w:val="nil"/>
            </w:tcBorders>
            <w:shd w:val="clear" w:color="auto" w:fill="B6DDE8"/>
          </w:tcPr>
          <w:p w14:paraId="2D41707F"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10,3%</w:t>
            </w:r>
          </w:p>
        </w:tc>
      </w:tr>
      <w:tr w:rsidR="00C007D0" w:rsidRPr="004E6455" w14:paraId="672BD458" w14:textId="77777777" w:rsidTr="00197371">
        <w:trPr>
          <w:jc w:val="center"/>
        </w:trPr>
        <w:tc>
          <w:tcPr>
            <w:tcW w:w="3087" w:type="pct"/>
            <w:tcBorders>
              <w:top w:val="nil"/>
              <w:bottom w:val="single" w:sz="4" w:space="0" w:color="auto"/>
              <w:right w:val="single" w:sz="4" w:space="0" w:color="FFFFFF"/>
            </w:tcBorders>
            <w:shd w:val="clear" w:color="auto" w:fill="B6DDE8"/>
          </w:tcPr>
          <w:p w14:paraId="17B14758" w14:textId="77777777" w:rsidR="00EE7BE8" w:rsidRPr="00117BF8" w:rsidRDefault="005857B1" w:rsidP="00635A32">
            <w:pPr>
              <w:pStyle w:val="TablaC"/>
              <w:keepNext w:val="0"/>
              <w:jc w:val="left"/>
              <w:rPr>
                <w:rFonts w:ascii="Arial" w:hAnsi="Arial" w:cs="Arial"/>
                <w:sz w:val="18"/>
                <w:szCs w:val="18"/>
              </w:rPr>
            </w:pPr>
            <w:r w:rsidRPr="00117BF8">
              <w:rPr>
                <w:rFonts w:ascii="Arial" w:hAnsi="Arial" w:cs="Arial"/>
                <w:sz w:val="18"/>
                <w:szCs w:val="18"/>
              </w:rPr>
              <w:t>O</w:t>
            </w:r>
            <w:r w:rsidR="00EE7BE8" w:rsidRPr="00117BF8">
              <w:rPr>
                <w:rFonts w:ascii="Arial" w:hAnsi="Arial" w:cs="Arial"/>
                <w:sz w:val="18"/>
                <w:szCs w:val="18"/>
              </w:rPr>
              <w:t>tras monedas extranjeras</w:t>
            </w:r>
          </w:p>
        </w:tc>
        <w:tc>
          <w:tcPr>
            <w:tcW w:w="478" w:type="pct"/>
            <w:tcBorders>
              <w:top w:val="nil"/>
              <w:left w:val="single" w:sz="4" w:space="0" w:color="FFFFFF"/>
              <w:bottom w:val="single" w:sz="4" w:space="0" w:color="auto"/>
              <w:right w:val="single" w:sz="4" w:space="0" w:color="FFFFFF"/>
            </w:tcBorders>
            <w:shd w:val="clear" w:color="auto" w:fill="B6DDE8"/>
          </w:tcPr>
          <w:p w14:paraId="070AA741" w14:textId="77777777" w:rsidR="00EE7BE8" w:rsidRPr="00117BF8" w:rsidRDefault="00EE7BE8" w:rsidP="00635A32">
            <w:pPr>
              <w:pStyle w:val="TablaC"/>
              <w:keepNext w:val="0"/>
              <w:rPr>
                <w:rFonts w:ascii="Arial" w:hAnsi="Arial" w:cs="Arial"/>
                <w:sz w:val="18"/>
                <w:szCs w:val="18"/>
              </w:rPr>
            </w:pPr>
            <w:r w:rsidRPr="00117BF8">
              <w:rPr>
                <w:rFonts w:ascii="Arial" w:hAnsi="Arial" w:cs="Arial"/>
                <w:sz w:val="18"/>
                <w:szCs w:val="18"/>
              </w:rPr>
              <w:t>0,5%</w:t>
            </w:r>
          </w:p>
        </w:tc>
        <w:tc>
          <w:tcPr>
            <w:tcW w:w="478" w:type="pct"/>
            <w:tcBorders>
              <w:top w:val="nil"/>
              <w:left w:val="single" w:sz="4" w:space="0" w:color="FFFFFF"/>
              <w:bottom w:val="single" w:sz="4" w:space="0" w:color="auto"/>
              <w:right w:val="single" w:sz="4" w:space="0" w:color="FFFFFF"/>
            </w:tcBorders>
            <w:shd w:val="clear" w:color="auto" w:fill="B6DDE8"/>
          </w:tcPr>
          <w:p w14:paraId="3EBF2980" w14:textId="77777777" w:rsidR="00EE7BE8" w:rsidRPr="00117BF8" w:rsidRDefault="00EE7BE8" w:rsidP="00635A32">
            <w:pPr>
              <w:pStyle w:val="TablaC"/>
              <w:keepNext w:val="0"/>
              <w:rPr>
                <w:rFonts w:ascii="Arial" w:hAnsi="Arial" w:cs="Arial"/>
                <w:sz w:val="18"/>
                <w:szCs w:val="18"/>
              </w:rPr>
            </w:pPr>
            <w:r w:rsidRPr="00117BF8">
              <w:rPr>
                <w:rFonts w:ascii="Arial" w:hAnsi="Arial" w:cs="Arial"/>
                <w:sz w:val="18"/>
                <w:szCs w:val="18"/>
              </w:rPr>
              <w:t>0,6%</w:t>
            </w:r>
          </w:p>
        </w:tc>
        <w:tc>
          <w:tcPr>
            <w:tcW w:w="479" w:type="pct"/>
            <w:tcBorders>
              <w:top w:val="nil"/>
              <w:left w:val="single" w:sz="4" w:space="0" w:color="FFFFFF"/>
              <w:bottom w:val="single" w:sz="4" w:space="0" w:color="auto"/>
              <w:right w:val="single" w:sz="4" w:space="0" w:color="FFFFFF"/>
            </w:tcBorders>
            <w:shd w:val="clear" w:color="auto" w:fill="B6DDE8"/>
          </w:tcPr>
          <w:p w14:paraId="46A7F8E1" w14:textId="77777777" w:rsidR="00EE7BE8" w:rsidRPr="00117BF8" w:rsidRDefault="00EE7BE8" w:rsidP="00635A32">
            <w:pPr>
              <w:pStyle w:val="TablaC"/>
              <w:keepNext w:val="0"/>
              <w:rPr>
                <w:rFonts w:ascii="Arial" w:hAnsi="Arial" w:cs="Arial"/>
                <w:sz w:val="18"/>
                <w:szCs w:val="18"/>
              </w:rPr>
            </w:pPr>
            <w:r w:rsidRPr="00117BF8">
              <w:rPr>
                <w:rFonts w:ascii="Arial" w:hAnsi="Arial" w:cs="Arial"/>
                <w:sz w:val="18"/>
                <w:szCs w:val="18"/>
              </w:rPr>
              <w:t>0,6%</w:t>
            </w:r>
          </w:p>
        </w:tc>
        <w:tc>
          <w:tcPr>
            <w:tcW w:w="478" w:type="pct"/>
            <w:tcBorders>
              <w:top w:val="nil"/>
              <w:left w:val="single" w:sz="4" w:space="0" w:color="FFFFFF"/>
              <w:bottom w:val="single" w:sz="4" w:space="0" w:color="auto"/>
            </w:tcBorders>
            <w:shd w:val="clear" w:color="auto" w:fill="B6DDE8"/>
          </w:tcPr>
          <w:p w14:paraId="3503A05D" w14:textId="77777777" w:rsidR="00EE7BE8" w:rsidRPr="00117BF8" w:rsidRDefault="00EE7BE8" w:rsidP="00635A32">
            <w:pPr>
              <w:pStyle w:val="TablaC"/>
              <w:keepNext w:val="0"/>
              <w:rPr>
                <w:rFonts w:ascii="Arial" w:hAnsi="Arial" w:cs="Arial"/>
                <w:sz w:val="18"/>
                <w:szCs w:val="18"/>
              </w:rPr>
            </w:pPr>
            <w:r w:rsidRPr="00117BF8">
              <w:rPr>
                <w:rFonts w:ascii="Arial" w:hAnsi="Arial" w:cs="Arial"/>
                <w:sz w:val="18"/>
                <w:szCs w:val="18"/>
              </w:rPr>
              <w:t>0,5%</w:t>
            </w:r>
          </w:p>
        </w:tc>
      </w:tr>
      <w:tr w:rsidR="00C007D0" w:rsidRPr="004E6455" w14:paraId="4209AD01" w14:textId="77777777" w:rsidTr="00197371">
        <w:trPr>
          <w:jc w:val="center"/>
        </w:trPr>
        <w:tc>
          <w:tcPr>
            <w:tcW w:w="3087" w:type="pct"/>
            <w:tcBorders>
              <w:bottom w:val="nil"/>
              <w:right w:val="single" w:sz="4" w:space="0" w:color="FFFFFF"/>
            </w:tcBorders>
            <w:shd w:val="clear" w:color="auto" w:fill="auto"/>
          </w:tcPr>
          <w:p w14:paraId="177E1587" w14:textId="77777777" w:rsidR="00EE7BE8" w:rsidRPr="00117BF8" w:rsidRDefault="00EE7BE8" w:rsidP="00C007D0">
            <w:pPr>
              <w:pStyle w:val="TablaC"/>
              <w:jc w:val="center"/>
              <w:rPr>
                <w:rFonts w:ascii="Arial" w:hAnsi="Arial" w:cs="Arial"/>
                <w:b/>
                <w:sz w:val="18"/>
                <w:szCs w:val="18"/>
              </w:rPr>
            </w:pPr>
            <w:r w:rsidRPr="00117BF8">
              <w:rPr>
                <w:rFonts w:ascii="Arial" w:hAnsi="Arial" w:cs="Arial"/>
                <w:b/>
                <w:sz w:val="18"/>
                <w:szCs w:val="18"/>
              </w:rPr>
              <w:t>Instrumento</w:t>
            </w:r>
          </w:p>
        </w:tc>
        <w:tc>
          <w:tcPr>
            <w:tcW w:w="478" w:type="pct"/>
            <w:tcBorders>
              <w:left w:val="single" w:sz="4" w:space="0" w:color="FFFFFF"/>
              <w:bottom w:val="nil"/>
              <w:right w:val="single" w:sz="4" w:space="0" w:color="FFFFFF"/>
            </w:tcBorders>
            <w:shd w:val="clear" w:color="auto" w:fill="auto"/>
          </w:tcPr>
          <w:p w14:paraId="5B0CA28D" w14:textId="77777777" w:rsidR="00EE7BE8" w:rsidRPr="00117BF8" w:rsidRDefault="00EE7BE8" w:rsidP="00C007D0">
            <w:pPr>
              <w:pStyle w:val="TablaC"/>
              <w:jc w:val="center"/>
              <w:rPr>
                <w:rFonts w:ascii="Arial" w:hAnsi="Arial" w:cs="Arial"/>
                <w:b/>
                <w:sz w:val="18"/>
                <w:szCs w:val="18"/>
              </w:rPr>
            </w:pPr>
          </w:p>
        </w:tc>
        <w:tc>
          <w:tcPr>
            <w:tcW w:w="478" w:type="pct"/>
            <w:tcBorders>
              <w:left w:val="single" w:sz="4" w:space="0" w:color="FFFFFF"/>
              <w:bottom w:val="nil"/>
              <w:right w:val="single" w:sz="4" w:space="0" w:color="FFFFFF"/>
            </w:tcBorders>
            <w:shd w:val="clear" w:color="auto" w:fill="auto"/>
          </w:tcPr>
          <w:p w14:paraId="0EC4D225" w14:textId="77777777" w:rsidR="00EE7BE8" w:rsidRPr="00117BF8" w:rsidRDefault="00EE7BE8" w:rsidP="00C007D0">
            <w:pPr>
              <w:pStyle w:val="TablaC"/>
              <w:jc w:val="center"/>
              <w:rPr>
                <w:rFonts w:ascii="Arial" w:hAnsi="Arial" w:cs="Arial"/>
                <w:b/>
                <w:sz w:val="18"/>
                <w:szCs w:val="18"/>
              </w:rPr>
            </w:pPr>
          </w:p>
        </w:tc>
        <w:tc>
          <w:tcPr>
            <w:tcW w:w="479" w:type="pct"/>
            <w:tcBorders>
              <w:left w:val="single" w:sz="4" w:space="0" w:color="FFFFFF"/>
              <w:bottom w:val="nil"/>
              <w:right w:val="single" w:sz="4" w:space="0" w:color="FFFFFF"/>
            </w:tcBorders>
            <w:shd w:val="clear" w:color="auto" w:fill="auto"/>
          </w:tcPr>
          <w:p w14:paraId="2FBE7D88" w14:textId="77777777" w:rsidR="00EE7BE8" w:rsidRPr="00117BF8" w:rsidRDefault="00EE7BE8" w:rsidP="00C007D0">
            <w:pPr>
              <w:pStyle w:val="TablaC"/>
              <w:jc w:val="center"/>
              <w:rPr>
                <w:rFonts w:ascii="Arial" w:hAnsi="Arial" w:cs="Arial"/>
                <w:b/>
                <w:sz w:val="18"/>
                <w:szCs w:val="18"/>
              </w:rPr>
            </w:pPr>
          </w:p>
        </w:tc>
        <w:tc>
          <w:tcPr>
            <w:tcW w:w="478" w:type="pct"/>
            <w:tcBorders>
              <w:left w:val="single" w:sz="4" w:space="0" w:color="FFFFFF"/>
              <w:bottom w:val="nil"/>
            </w:tcBorders>
            <w:shd w:val="clear" w:color="auto" w:fill="auto"/>
          </w:tcPr>
          <w:p w14:paraId="39E284B3" w14:textId="77777777" w:rsidR="00EE7BE8" w:rsidRPr="00117BF8" w:rsidRDefault="00EE7BE8" w:rsidP="00C007D0">
            <w:pPr>
              <w:pStyle w:val="TablaC"/>
              <w:jc w:val="center"/>
              <w:rPr>
                <w:rFonts w:ascii="Arial" w:hAnsi="Arial" w:cs="Arial"/>
                <w:b/>
                <w:sz w:val="18"/>
                <w:szCs w:val="18"/>
              </w:rPr>
            </w:pPr>
          </w:p>
        </w:tc>
      </w:tr>
      <w:tr w:rsidR="00C007D0" w:rsidRPr="004E6455" w14:paraId="2C7C8AE1" w14:textId="77777777" w:rsidTr="00197371">
        <w:trPr>
          <w:jc w:val="center"/>
        </w:trPr>
        <w:tc>
          <w:tcPr>
            <w:tcW w:w="3087" w:type="pct"/>
            <w:tcBorders>
              <w:top w:val="nil"/>
              <w:bottom w:val="nil"/>
              <w:right w:val="single" w:sz="4" w:space="0" w:color="FFFFFF"/>
            </w:tcBorders>
            <w:shd w:val="clear" w:color="auto" w:fill="auto"/>
          </w:tcPr>
          <w:p w14:paraId="083EE160"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Gobierno Nacional</w:t>
            </w:r>
          </w:p>
        </w:tc>
        <w:tc>
          <w:tcPr>
            <w:tcW w:w="478" w:type="pct"/>
            <w:tcBorders>
              <w:top w:val="nil"/>
              <w:left w:val="single" w:sz="4" w:space="0" w:color="FFFFFF"/>
              <w:bottom w:val="nil"/>
              <w:right w:val="single" w:sz="4" w:space="0" w:color="FFFFFF"/>
            </w:tcBorders>
            <w:shd w:val="clear" w:color="auto" w:fill="auto"/>
          </w:tcPr>
          <w:p w14:paraId="6F58C377"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43,5%</w:t>
            </w:r>
          </w:p>
        </w:tc>
        <w:tc>
          <w:tcPr>
            <w:tcW w:w="478" w:type="pct"/>
            <w:tcBorders>
              <w:top w:val="nil"/>
              <w:left w:val="single" w:sz="4" w:space="0" w:color="FFFFFF"/>
              <w:bottom w:val="nil"/>
              <w:right w:val="single" w:sz="4" w:space="0" w:color="FFFFFF"/>
            </w:tcBorders>
            <w:shd w:val="clear" w:color="auto" w:fill="auto"/>
          </w:tcPr>
          <w:p w14:paraId="3B4F90C9"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37,5%</w:t>
            </w:r>
          </w:p>
        </w:tc>
        <w:tc>
          <w:tcPr>
            <w:tcW w:w="479" w:type="pct"/>
            <w:tcBorders>
              <w:top w:val="nil"/>
              <w:left w:val="single" w:sz="4" w:space="0" w:color="FFFFFF"/>
              <w:bottom w:val="nil"/>
              <w:right w:val="single" w:sz="4" w:space="0" w:color="FFFFFF"/>
            </w:tcBorders>
            <w:shd w:val="clear" w:color="auto" w:fill="auto"/>
          </w:tcPr>
          <w:p w14:paraId="76723FDD"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34,5%</w:t>
            </w:r>
          </w:p>
        </w:tc>
        <w:tc>
          <w:tcPr>
            <w:tcW w:w="478" w:type="pct"/>
            <w:tcBorders>
              <w:top w:val="nil"/>
              <w:left w:val="single" w:sz="4" w:space="0" w:color="FFFFFF"/>
              <w:bottom w:val="nil"/>
            </w:tcBorders>
            <w:shd w:val="clear" w:color="auto" w:fill="auto"/>
          </w:tcPr>
          <w:p w14:paraId="1809011E"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23,0%</w:t>
            </w:r>
          </w:p>
        </w:tc>
      </w:tr>
      <w:tr w:rsidR="00C007D0" w:rsidRPr="004E6455" w14:paraId="5C80DF39" w14:textId="77777777" w:rsidTr="00197371">
        <w:trPr>
          <w:jc w:val="center"/>
        </w:trPr>
        <w:tc>
          <w:tcPr>
            <w:tcW w:w="3087" w:type="pct"/>
            <w:tcBorders>
              <w:top w:val="nil"/>
              <w:bottom w:val="nil"/>
              <w:right w:val="single" w:sz="4" w:space="0" w:color="FFFFFF"/>
            </w:tcBorders>
            <w:shd w:val="clear" w:color="auto" w:fill="auto"/>
          </w:tcPr>
          <w:p w14:paraId="40E8AF4F"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Bonos Internacionales</w:t>
            </w:r>
          </w:p>
        </w:tc>
        <w:tc>
          <w:tcPr>
            <w:tcW w:w="478" w:type="pct"/>
            <w:tcBorders>
              <w:top w:val="nil"/>
              <w:left w:val="single" w:sz="4" w:space="0" w:color="FFFFFF"/>
              <w:bottom w:val="nil"/>
              <w:right w:val="single" w:sz="4" w:space="0" w:color="FFFFFF"/>
            </w:tcBorders>
            <w:shd w:val="clear" w:color="auto" w:fill="auto"/>
          </w:tcPr>
          <w:p w14:paraId="399A2DCF"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41,6%</w:t>
            </w:r>
          </w:p>
        </w:tc>
        <w:tc>
          <w:tcPr>
            <w:tcW w:w="478" w:type="pct"/>
            <w:tcBorders>
              <w:top w:val="nil"/>
              <w:left w:val="single" w:sz="4" w:space="0" w:color="FFFFFF"/>
              <w:bottom w:val="nil"/>
              <w:right w:val="single" w:sz="4" w:space="0" w:color="FFFFFF"/>
            </w:tcBorders>
            <w:shd w:val="clear" w:color="auto" w:fill="auto"/>
          </w:tcPr>
          <w:p w14:paraId="6ADC3C4F"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46,5%</w:t>
            </w:r>
          </w:p>
        </w:tc>
        <w:tc>
          <w:tcPr>
            <w:tcW w:w="479" w:type="pct"/>
            <w:tcBorders>
              <w:top w:val="nil"/>
              <w:left w:val="single" w:sz="4" w:space="0" w:color="FFFFFF"/>
              <w:bottom w:val="nil"/>
              <w:right w:val="single" w:sz="4" w:space="0" w:color="FFFFFF"/>
            </w:tcBorders>
            <w:shd w:val="clear" w:color="auto" w:fill="auto"/>
          </w:tcPr>
          <w:p w14:paraId="1E0281EF"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48,4%</w:t>
            </w:r>
          </w:p>
        </w:tc>
        <w:tc>
          <w:tcPr>
            <w:tcW w:w="478" w:type="pct"/>
            <w:tcBorders>
              <w:top w:val="nil"/>
              <w:left w:val="single" w:sz="4" w:space="0" w:color="FFFFFF"/>
              <w:bottom w:val="nil"/>
            </w:tcBorders>
            <w:shd w:val="clear" w:color="auto" w:fill="auto"/>
          </w:tcPr>
          <w:p w14:paraId="613F8291"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59,9%</w:t>
            </w:r>
          </w:p>
        </w:tc>
      </w:tr>
      <w:tr w:rsidR="00C007D0" w:rsidRPr="004E6455" w14:paraId="0DD9D595" w14:textId="77777777" w:rsidTr="00197371">
        <w:trPr>
          <w:jc w:val="center"/>
        </w:trPr>
        <w:tc>
          <w:tcPr>
            <w:tcW w:w="3087" w:type="pct"/>
            <w:tcBorders>
              <w:top w:val="nil"/>
              <w:bottom w:val="nil"/>
              <w:right w:val="single" w:sz="4" w:space="0" w:color="FFFFFF"/>
            </w:tcBorders>
            <w:shd w:val="clear" w:color="auto" w:fill="auto"/>
          </w:tcPr>
          <w:p w14:paraId="570072C9"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Bonos Locales</w:t>
            </w:r>
          </w:p>
        </w:tc>
        <w:tc>
          <w:tcPr>
            <w:tcW w:w="478" w:type="pct"/>
            <w:tcBorders>
              <w:top w:val="nil"/>
              <w:left w:val="single" w:sz="4" w:space="0" w:color="FFFFFF"/>
              <w:bottom w:val="nil"/>
              <w:right w:val="single" w:sz="4" w:space="0" w:color="FFFFFF"/>
            </w:tcBorders>
            <w:shd w:val="clear" w:color="auto" w:fill="auto"/>
          </w:tcPr>
          <w:p w14:paraId="47406422"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7,0%</w:t>
            </w:r>
          </w:p>
        </w:tc>
        <w:tc>
          <w:tcPr>
            <w:tcW w:w="478" w:type="pct"/>
            <w:tcBorders>
              <w:top w:val="nil"/>
              <w:left w:val="single" w:sz="4" w:space="0" w:color="FFFFFF"/>
              <w:bottom w:val="nil"/>
              <w:right w:val="single" w:sz="4" w:space="0" w:color="FFFFFF"/>
            </w:tcBorders>
            <w:shd w:val="clear" w:color="auto" w:fill="auto"/>
          </w:tcPr>
          <w:p w14:paraId="0C4E4166"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6,9%</w:t>
            </w:r>
          </w:p>
        </w:tc>
        <w:tc>
          <w:tcPr>
            <w:tcW w:w="479" w:type="pct"/>
            <w:tcBorders>
              <w:top w:val="nil"/>
              <w:left w:val="single" w:sz="4" w:space="0" w:color="FFFFFF"/>
              <w:bottom w:val="nil"/>
              <w:right w:val="single" w:sz="4" w:space="0" w:color="FFFFFF"/>
            </w:tcBorders>
            <w:shd w:val="clear" w:color="auto" w:fill="auto"/>
          </w:tcPr>
          <w:p w14:paraId="312F9FC0"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7,6%</w:t>
            </w:r>
          </w:p>
        </w:tc>
        <w:tc>
          <w:tcPr>
            <w:tcW w:w="478" w:type="pct"/>
            <w:tcBorders>
              <w:top w:val="nil"/>
              <w:left w:val="single" w:sz="4" w:space="0" w:color="FFFFFF"/>
              <w:bottom w:val="nil"/>
            </w:tcBorders>
            <w:shd w:val="clear" w:color="auto" w:fill="auto"/>
          </w:tcPr>
          <w:p w14:paraId="0B105D59"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10,9%</w:t>
            </w:r>
          </w:p>
        </w:tc>
      </w:tr>
      <w:tr w:rsidR="00C007D0" w:rsidRPr="004E6455" w14:paraId="4B843495" w14:textId="77777777" w:rsidTr="00197371">
        <w:trPr>
          <w:jc w:val="center"/>
        </w:trPr>
        <w:tc>
          <w:tcPr>
            <w:tcW w:w="3087" w:type="pct"/>
            <w:tcBorders>
              <w:top w:val="nil"/>
              <w:bottom w:val="nil"/>
              <w:right w:val="single" w:sz="4" w:space="0" w:color="FFFFFF"/>
            </w:tcBorders>
            <w:shd w:val="clear" w:color="auto" w:fill="auto"/>
          </w:tcPr>
          <w:p w14:paraId="78E37C15"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Agencias Multilaterales de Crédito</w:t>
            </w:r>
          </w:p>
        </w:tc>
        <w:tc>
          <w:tcPr>
            <w:tcW w:w="478" w:type="pct"/>
            <w:tcBorders>
              <w:top w:val="nil"/>
              <w:left w:val="single" w:sz="4" w:space="0" w:color="FFFFFF"/>
              <w:bottom w:val="nil"/>
              <w:right w:val="single" w:sz="4" w:space="0" w:color="FFFFFF"/>
            </w:tcBorders>
            <w:shd w:val="clear" w:color="auto" w:fill="auto"/>
          </w:tcPr>
          <w:p w14:paraId="4A1C325B"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6,9%</w:t>
            </w:r>
          </w:p>
        </w:tc>
        <w:tc>
          <w:tcPr>
            <w:tcW w:w="478" w:type="pct"/>
            <w:tcBorders>
              <w:top w:val="nil"/>
              <w:left w:val="single" w:sz="4" w:space="0" w:color="FFFFFF"/>
              <w:bottom w:val="nil"/>
              <w:right w:val="single" w:sz="4" w:space="0" w:color="FFFFFF"/>
            </w:tcBorders>
            <w:shd w:val="clear" w:color="auto" w:fill="auto"/>
          </w:tcPr>
          <w:p w14:paraId="36C4A94C"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7,8%</w:t>
            </w:r>
          </w:p>
        </w:tc>
        <w:tc>
          <w:tcPr>
            <w:tcW w:w="479" w:type="pct"/>
            <w:tcBorders>
              <w:top w:val="nil"/>
              <w:left w:val="single" w:sz="4" w:space="0" w:color="FFFFFF"/>
              <w:bottom w:val="nil"/>
              <w:right w:val="single" w:sz="4" w:space="0" w:color="FFFFFF"/>
            </w:tcBorders>
            <w:shd w:val="clear" w:color="auto" w:fill="auto"/>
          </w:tcPr>
          <w:p w14:paraId="319F9317"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8,0%</w:t>
            </w:r>
          </w:p>
        </w:tc>
        <w:tc>
          <w:tcPr>
            <w:tcW w:w="478" w:type="pct"/>
            <w:tcBorders>
              <w:top w:val="nil"/>
              <w:left w:val="single" w:sz="4" w:space="0" w:color="FFFFFF"/>
              <w:bottom w:val="nil"/>
            </w:tcBorders>
            <w:shd w:val="clear" w:color="auto" w:fill="auto"/>
          </w:tcPr>
          <w:p w14:paraId="51DAA1F6"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5,2%</w:t>
            </w:r>
          </w:p>
        </w:tc>
      </w:tr>
      <w:tr w:rsidR="00C007D0" w:rsidRPr="004E6455" w14:paraId="3917F232" w14:textId="77777777" w:rsidTr="00197371">
        <w:trPr>
          <w:jc w:val="center"/>
        </w:trPr>
        <w:tc>
          <w:tcPr>
            <w:tcW w:w="3087" w:type="pct"/>
            <w:tcBorders>
              <w:top w:val="nil"/>
              <w:bottom w:val="single" w:sz="4" w:space="0" w:color="auto"/>
              <w:right w:val="single" w:sz="4" w:space="0" w:color="FFFFFF"/>
            </w:tcBorders>
            <w:shd w:val="clear" w:color="auto" w:fill="auto"/>
          </w:tcPr>
          <w:p w14:paraId="29E20648" w14:textId="77777777" w:rsidR="00EE7BE8" w:rsidRPr="00117BF8" w:rsidRDefault="00EE7BE8" w:rsidP="00635A32">
            <w:pPr>
              <w:pStyle w:val="TablaC"/>
              <w:keepNext w:val="0"/>
              <w:jc w:val="left"/>
              <w:rPr>
                <w:rFonts w:ascii="Arial" w:hAnsi="Arial" w:cs="Arial"/>
                <w:sz w:val="18"/>
                <w:szCs w:val="18"/>
              </w:rPr>
            </w:pPr>
            <w:r w:rsidRPr="00117BF8">
              <w:rPr>
                <w:rFonts w:ascii="Arial" w:hAnsi="Arial" w:cs="Arial"/>
                <w:sz w:val="18"/>
                <w:szCs w:val="18"/>
              </w:rPr>
              <w:t>Créditos OCDE</w:t>
            </w:r>
          </w:p>
        </w:tc>
        <w:tc>
          <w:tcPr>
            <w:tcW w:w="478" w:type="pct"/>
            <w:tcBorders>
              <w:top w:val="nil"/>
              <w:left w:val="single" w:sz="4" w:space="0" w:color="FFFFFF"/>
              <w:bottom w:val="single" w:sz="4" w:space="0" w:color="auto"/>
              <w:right w:val="single" w:sz="4" w:space="0" w:color="FFFFFF"/>
            </w:tcBorders>
            <w:shd w:val="clear" w:color="auto" w:fill="auto"/>
          </w:tcPr>
          <w:p w14:paraId="5F17BCF0" w14:textId="77777777" w:rsidR="00EE7BE8" w:rsidRPr="00117BF8" w:rsidRDefault="00EE7BE8" w:rsidP="00635A32">
            <w:pPr>
              <w:pStyle w:val="TablaC"/>
              <w:keepNext w:val="0"/>
              <w:rPr>
                <w:rFonts w:ascii="Arial" w:hAnsi="Arial" w:cs="Arial"/>
                <w:sz w:val="18"/>
                <w:szCs w:val="18"/>
              </w:rPr>
            </w:pPr>
            <w:r w:rsidRPr="00117BF8">
              <w:rPr>
                <w:rFonts w:ascii="Arial" w:hAnsi="Arial" w:cs="Arial"/>
                <w:sz w:val="18"/>
                <w:szCs w:val="18"/>
              </w:rPr>
              <w:t>1,1%</w:t>
            </w:r>
          </w:p>
        </w:tc>
        <w:tc>
          <w:tcPr>
            <w:tcW w:w="478" w:type="pct"/>
            <w:tcBorders>
              <w:top w:val="nil"/>
              <w:left w:val="single" w:sz="4" w:space="0" w:color="FFFFFF"/>
              <w:bottom w:val="single" w:sz="4" w:space="0" w:color="auto"/>
              <w:right w:val="single" w:sz="4" w:space="0" w:color="FFFFFF"/>
            </w:tcBorders>
            <w:shd w:val="clear" w:color="auto" w:fill="auto"/>
          </w:tcPr>
          <w:p w14:paraId="2CB839A7" w14:textId="77777777" w:rsidR="00EE7BE8" w:rsidRPr="00117BF8" w:rsidRDefault="00EE7BE8" w:rsidP="00635A32">
            <w:pPr>
              <w:pStyle w:val="TablaC"/>
              <w:keepNext w:val="0"/>
              <w:rPr>
                <w:rFonts w:ascii="Arial" w:hAnsi="Arial" w:cs="Arial"/>
                <w:sz w:val="18"/>
                <w:szCs w:val="18"/>
              </w:rPr>
            </w:pPr>
            <w:r w:rsidRPr="00117BF8">
              <w:rPr>
                <w:rFonts w:ascii="Arial" w:hAnsi="Arial" w:cs="Arial"/>
                <w:sz w:val="18"/>
                <w:szCs w:val="18"/>
              </w:rPr>
              <w:t>1,3%</w:t>
            </w:r>
          </w:p>
        </w:tc>
        <w:tc>
          <w:tcPr>
            <w:tcW w:w="479" w:type="pct"/>
            <w:tcBorders>
              <w:top w:val="nil"/>
              <w:left w:val="single" w:sz="4" w:space="0" w:color="FFFFFF"/>
              <w:bottom w:val="single" w:sz="4" w:space="0" w:color="auto"/>
              <w:right w:val="single" w:sz="4" w:space="0" w:color="FFFFFF"/>
            </w:tcBorders>
            <w:shd w:val="clear" w:color="auto" w:fill="auto"/>
          </w:tcPr>
          <w:p w14:paraId="328875D0" w14:textId="77777777" w:rsidR="00EE7BE8" w:rsidRPr="00117BF8" w:rsidRDefault="00EE7BE8" w:rsidP="00635A32">
            <w:pPr>
              <w:pStyle w:val="TablaC"/>
              <w:keepNext w:val="0"/>
              <w:rPr>
                <w:rFonts w:ascii="Arial" w:hAnsi="Arial" w:cs="Arial"/>
                <w:sz w:val="18"/>
                <w:szCs w:val="18"/>
              </w:rPr>
            </w:pPr>
            <w:r w:rsidRPr="00117BF8">
              <w:rPr>
                <w:rFonts w:ascii="Arial" w:hAnsi="Arial" w:cs="Arial"/>
                <w:sz w:val="18"/>
                <w:szCs w:val="18"/>
              </w:rPr>
              <w:t>1,4%</w:t>
            </w:r>
          </w:p>
        </w:tc>
        <w:tc>
          <w:tcPr>
            <w:tcW w:w="478" w:type="pct"/>
            <w:tcBorders>
              <w:top w:val="nil"/>
              <w:left w:val="single" w:sz="4" w:space="0" w:color="FFFFFF"/>
              <w:bottom w:val="single" w:sz="4" w:space="0" w:color="auto"/>
            </w:tcBorders>
            <w:shd w:val="clear" w:color="auto" w:fill="auto"/>
          </w:tcPr>
          <w:p w14:paraId="381C849B" w14:textId="77777777" w:rsidR="00EE7BE8" w:rsidRPr="00117BF8" w:rsidRDefault="00EE7BE8" w:rsidP="00635A32">
            <w:pPr>
              <w:pStyle w:val="TablaC"/>
              <w:keepNext w:val="0"/>
              <w:rPr>
                <w:rFonts w:ascii="Arial" w:hAnsi="Arial" w:cs="Arial"/>
                <w:sz w:val="18"/>
                <w:szCs w:val="18"/>
              </w:rPr>
            </w:pPr>
            <w:r w:rsidRPr="00117BF8">
              <w:rPr>
                <w:rFonts w:ascii="Arial" w:hAnsi="Arial" w:cs="Arial"/>
                <w:sz w:val="18"/>
                <w:szCs w:val="18"/>
              </w:rPr>
              <w:t>1,1%</w:t>
            </w:r>
          </w:p>
        </w:tc>
      </w:tr>
      <w:tr w:rsidR="00C007D0" w:rsidRPr="008D51E7" w14:paraId="6ACE8684" w14:textId="77777777" w:rsidTr="00197371">
        <w:trPr>
          <w:jc w:val="center"/>
        </w:trPr>
        <w:tc>
          <w:tcPr>
            <w:tcW w:w="3087" w:type="pct"/>
            <w:tcBorders>
              <w:bottom w:val="single" w:sz="4" w:space="0" w:color="auto"/>
              <w:right w:val="single" w:sz="4" w:space="0" w:color="FFFFFF"/>
            </w:tcBorders>
            <w:shd w:val="clear" w:color="auto" w:fill="B6DDE8"/>
          </w:tcPr>
          <w:p w14:paraId="66B3315E" w14:textId="77777777" w:rsidR="00EE7BE8" w:rsidRPr="00117BF8" w:rsidRDefault="00EE7BE8" w:rsidP="00C007D0">
            <w:pPr>
              <w:pStyle w:val="TablaC"/>
              <w:jc w:val="center"/>
              <w:rPr>
                <w:rFonts w:ascii="Arial" w:hAnsi="Arial" w:cs="Arial"/>
                <w:b/>
                <w:sz w:val="18"/>
                <w:szCs w:val="18"/>
                <w:lang w:val="es-ES_tradnl"/>
              </w:rPr>
            </w:pPr>
            <w:r w:rsidRPr="00117BF8">
              <w:rPr>
                <w:rFonts w:ascii="Arial" w:hAnsi="Arial" w:cs="Arial"/>
                <w:b/>
                <w:sz w:val="18"/>
                <w:szCs w:val="18"/>
                <w:lang w:val="es-ES_tradnl"/>
              </w:rPr>
              <w:t>Deuda ajustada por inflación (% sobre deuda pública total)</w:t>
            </w:r>
          </w:p>
        </w:tc>
        <w:tc>
          <w:tcPr>
            <w:tcW w:w="478" w:type="pct"/>
            <w:tcBorders>
              <w:left w:val="single" w:sz="4" w:space="0" w:color="FFFFFF"/>
              <w:bottom w:val="single" w:sz="4" w:space="0" w:color="auto"/>
              <w:right w:val="single" w:sz="4" w:space="0" w:color="FFFFFF"/>
            </w:tcBorders>
            <w:shd w:val="clear" w:color="auto" w:fill="B6DDE8"/>
          </w:tcPr>
          <w:p w14:paraId="0379CEC0"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0,4%</w:t>
            </w:r>
          </w:p>
        </w:tc>
        <w:tc>
          <w:tcPr>
            <w:tcW w:w="478" w:type="pct"/>
            <w:tcBorders>
              <w:left w:val="single" w:sz="4" w:space="0" w:color="FFFFFF"/>
              <w:bottom w:val="single" w:sz="4" w:space="0" w:color="auto"/>
              <w:right w:val="single" w:sz="4" w:space="0" w:color="FFFFFF"/>
            </w:tcBorders>
            <w:shd w:val="clear" w:color="auto" w:fill="B6DDE8"/>
          </w:tcPr>
          <w:p w14:paraId="72FD48EE"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0,4%</w:t>
            </w:r>
          </w:p>
        </w:tc>
        <w:tc>
          <w:tcPr>
            <w:tcW w:w="479" w:type="pct"/>
            <w:tcBorders>
              <w:left w:val="single" w:sz="4" w:space="0" w:color="FFFFFF"/>
              <w:bottom w:val="single" w:sz="4" w:space="0" w:color="auto"/>
              <w:right w:val="single" w:sz="4" w:space="0" w:color="FFFFFF"/>
            </w:tcBorders>
            <w:shd w:val="clear" w:color="auto" w:fill="B6DDE8"/>
          </w:tcPr>
          <w:p w14:paraId="79E3C09A"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0,3%</w:t>
            </w:r>
          </w:p>
        </w:tc>
        <w:tc>
          <w:tcPr>
            <w:tcW w:w="478" w:type="pct"/>
            <w:tcBorders>
              <w:left w:val="single" w:sz="4" w:space="0" w:color="FFFFFF"/>
              <w:bottom w:val="single" w:sz="4" w:space="0" w:color="auto"/>
            </w:tcBorders>
            <w:shd w:val="clear" w:color="auto" w:fill="B6DDE8"/>
          </w:tcPr>
          <w:p w14:paraId="3160D4C0"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0,3%</w:t>
            </w:r>
          </w:p>
        </w:tc>
      </w:tr>
      <w:tr w:rsidR="00C007D0" w:rsidRPr="008D51E7" w14:paraId="522D24CD" w14:textId="77777777" w:rsidTr="00197371">
        <w:trPr>
          <w:jc w:val="center"/>
        </w:trPr>
        <w:tc>
          <w:tcPr>
            <w:tcW w:w="3087" w:type="pct"/>
            <w:tcBorders>
              <w:bottom w:val="nil"/>
              <w:right w:val="single" w:sz="4" w:space="0" w:color="FFFFFF"/>
            </w:tcBorders>
            <w:shd w:val="clear" w:color="auto" w:fill="auto"/>
          </w:tcPr>
          <w:p w14:paraId="100B5BB6" w14:textId="77777777" w:rsidR="00EE7BE8" w:rsidRPr="00117BF8" w:rsidRDefault="00EE7BE8" w:rsidP="00C007D0">
            <w:pPr>
              <w:pStyle w:val="TablaC"/>
              <w:jc w:val="center"/>
              <w:rPr>
                <w:rFonts w:ascii="Arial" w:hAnsi="Arial" w:cs="Arial"/>
                <w:b/>
                <w:sz w:val="18"/>
                <w:szCs w:val="18"/>
              </w:rPr>
            </w:pPr>
            <w:r w:rsidRPr="00117BF8">
              <w:rPr>
                <w:rFonts w:ascii="Arial" w:hAnsi="Arial" w:cs="Arial"/>
                <w:b/>
                <w:sz w:val="18"/>
                <w:szCs w:val="18"/>
              </w:rPr>
              <w:t>Tipo de Deuda</w:t>
            </w:r>
          </w:p>
        </w:tc>
        <w:tc>
          <w:tcPr>
            <w:tcW w:w="478" w:type="pct"/>
            <w:tcBorders>
              <w:left w:val="single" w:sz="4" w:space="0" w:color="FFFFFF"/>
              <w:bottom w:val="nil"/>
              <w:right w:val="single" w:sz="4" w:space="0" w:color="FFFFFF"/>
            </w:tcBorders>
            <w:shd w:val="clear" w:color="auto" w:fill="auto"/>
          </w:tcPr>
          <w:p w14:paraId="1EC9FC02" w14:textId="77777777" w:rsidR="00EE7BE8" w:rsidRPr="00117BF8" w:rsidRDefault="00EE7BE8" w:rsidP="00C007D0">
            <w:pPr>
              <w:pStyle w:val="TablaC"/>
              <w:jc w:val="center"/>
              <w:rPr>
                <w:rFonts w:ascii="Arial" w:hAnsi="Arial" w:cs="Arial"/>
                <w:b/>
                <w:sz w:val="18"/>
                <w:szCs w:val="18"/>
              </w:rPr>
            </w:pPr>
          </w:p>
        </w:tc>
        <w:tc>
          <w:tcPr>
            <w:tcW w:w="478" w:type="pct"/>
            <w:tcBorders>
              <w:left w:val="single" w:sz="4" w:space="0" w:color="FFFFFF"/>
              <w:bottom w:val="nil"/>
              <w:right w:val="single" w:sz="4" w:space="0" w:color="FFFFFF"/>
            </w:tcBorders>
            <w:shd w:val="clear" w:color="auto" w:fill="auto"/>
          </w:tcPr>
          <w:p w14:paraId="45D5969E" w14:textId="77777777" w:rsidR="00EE7BE8" w:rsidRPr="00117BF8" w:rsidRDefault="00EE7BE8" w:rsidP="00C007D0">
            <w:pPr>
              <w:pStyle w:val="TablaC"/>
              <w:jc w:val="center"/>
              <w:rPr>
                <w:rFonts w:ascii="Arial" w:hAnsi="Arial" w:cs="Arial"/>
                <w:b/>
                <w:sz w:val="18"/>
                <w:szCs w:val="18"/>
              </w:rPr>
            </w:pPr>
          </w:p>
        </w:tc>
        <w:tc>
          <w:tcPr>
            <w:tcW w:w="479" w:type="pct"/>
            <w:tcBorders>
              <w:left w:val="single" w:sz="4" w:space="0" w:color="FFFFFF"/>
              <w:bottom w:val="nil"/>
              <w:right w:val="single" w:sz="4" w:space="0" w:color="FFFFFF"/>
            </w:tcBorders>
            <w:shd w:val="clear" w:color="auto" w:fill="auto"/>
          </w:tcPr>
          <w:p w14:paraId="2E000696" w14:textId="77777777" w:rsidR="00EE7BE8" w:rsidRPr="00117BF8" w:rsidRDefault="00EE7BE8" w:rsidP="00C007D0">
            <w:pPr>
              <w:pStyle w:val="TablaC"/>
              <w:jc w:val="center"/>
              <w:rPr>
                <w:rFonts w:ascii="Arial" w:hAnsi="Arial" w:cs="Arial"/>
                <w:b/>
                <w:sz w:val="18"/>
                <w:szCs w:val="18"/>
              </w:rPr>
            </w:pPr>
          </w:p>
        </w:tc>
        <w:tc>
          <w:tcPr>
            <w:tcW w:w="478" w:type="pct"/>
            <w:tcBorders>
              <w:left w:val="single" w:sz="4" w:space="0" w:color="FFFFFF"/>
              <w:bottom w:val="nil"/>
            </w:tcBorders>
            <w:shd w:val="clear" w:color="auto" w:fill="auto"/>
          </w:tcPr>
          <w:p w14:paraId="52098481" w14:textId="77777777" w:rsidR="00EE7BE8" w:rsidRPr="00117BF8" w:rsidRDefault="00EE7BE8" w:rsidP="00C007D0">
            <w:pPr>
              <w:pStyle w:val="TablaC"/>
              <w:jc w:val="center"/>
              <w:rPr>
                <w:rFonts w:ascii="Arial" w:hAnsi="Arial" w:cs="Arial"/>
                <w:b/>
                <w:sz w:val="18"/>
                <w:szCs w:val="18"/>
              </w:rPr>
            </w:pPr>
          </w:p>
        </w:tc>
      </w:tr>
      <w:tr w:rsidR="00C007D0" w:rsidRPr="008D51E7" w14:paraId="4C36B026" w14:textId="77777777" w:rsidTr="00197371">
        <w:trPr>
          <w:jc w:val="center"/>
        </w:trPr>
        <w:tc>
          <w:tcPr>
            <w:tcW w:w="3087" w:type="pct"/>
            <w:tcBorders>
              <w:top w:val="nil"/>
              <w:bottom w:val="nil"/>
              <w:right w:val="single" w:sz="4" w:space="0" w:color="FFFFFF"/>
            </w:tcBorders>
            <w:shd w:val="clear" w:color="auto" w:fill="auto"/>
          </w:tcPr>
          <w:p w14:paraId="28E9A171"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Préstamos</w:t>
            </w:r>
          </w:p>
        </w:tc>
        <w:tc>
          <w:tcPr>
            <w:tcW w:w="478" w:type="pct"/>
            <w:tcBorders>
              <w:top w:val="nil"/>
              <w:left w:val="single" w:sz="4" w:space="0" w:color="FFFFFF"/>
              <w:bottom w:val="nil"/>
              <w:right w:val="single" w:sz="4" w:space="0" w:color="FFFFFF"/>
            </w:tcBorders>
            <w:shd w:val="clear" w:color="auto" w:fill="auto"/>
          </w:tcPr>
          <w:p w14:paraId="25E34524"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51,5%</w:t>
            </w:r>
          </w:p>
        </w:tc>
        <w:tc>
          <w:tcPr>
            <w:tcW w:w="478" w:type="pct"/>
            <w:tcBorders>
              <w:top w:val="nil"/>
              <w:left w:val="single" w:sz="4" w:space="0" w:color="FFFFFF"/>
              <w:bottom w:val="nil"/>
              <w:right w:val="single" w:sz="4" w:space="0" w:color="FFFFFF"/>
            </w:tcBorders>
            <w:shd w:val="clear" w:color="auto" w:fill="auto"/>
          </w:tcPr>
          <w:p w14:paraId="1AE04ECC"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46,5%</w:t>
            </w:r>
          </w:p>
        </w:tc>
        <w:tc>
          <w:tcPr>
            <w:tcW w:w="479" w:type="pct"/>
            <w:tcBorders>
              <w:top w:val="nil"/>
              <w:left w:val="single" w:sz="4" w:space="0" w:color="FFFFFF"/>
              <w:bottom w:val="nil"/>
              <w:right w:val="single" w:sz="4" w:space="0" w:color="FFFFFF"/>
            </w:tcBorders>
            <w:shd w:val="clear" w:color="auto" w:fill="auto"/>
          </w:tcPr>
          <w:p w14:paraId="2A3B9DFC"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44,0%</w:t>
            </w:r>
          </w:p>
        </w:tc>
        <w:tc>
          <w:tcPr>
            <w:tcW w:w="478" w:type="pct"/>
            <w:tcBorders>
              <w:top w:val="nil"/>
              <w:left w:val="single" w:sz="4" w:space="0" w:color="FFFFFF"/>
              <w:bottom w:val="nil"/>
            </w:tcBorders>
            <w:shd w:val="clear" w:color="auto" w:fill="auto"/>
          </w:tcPr>
          <w:p w14:paraId="4C289706"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29,3%</w:t>
            </w:r>
          </w:p>
        </w:tc>
      </w:tr>
      <w:tr w:rsidR="00C007D0" w:rsidRPr="008D51E7" w14:paraId="1590E74B" w14:textId="77777777" w:rsidTr="00197371">
        <w:trPr>
          <w:jc w:val="center"/>
        </w:trPr>
        <w:tc>
          <w:tcPr>
            <w:tcW w:w="3087" w:type="pct"/>
            <w:tcBorders>
              <w:top w:val="nil"/>
              <w:bottom w:val="single" w:sz="4" w:space="0" w:color="auto"/>
              <w:right w:val="single" w:sz="4" w:space="0" w:color="FFFFFF"/>
            </w:tcBorders>
            <w:shd w:val="clear" w:color="auto" w:fill="auto"/>
          </w:tcPr>
          <w:p w14:paraId="69107C04"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Bonos</w:t>
            </w:r>
          </w:p>
        </w:tc>
        <w:tc>
          <w:tcPr>
            <w:tcW w:w="478" w:type="pct"/>
            <w:tcBorders>
              <w:top w:val="nil"/>
              <w:left w:val="single" w:sz="4" w:space="0" w:color="FFFFFF"/>
              <w:bottom w:val="single" w:sz="4" w:space="0" w:color="auto"/>
              <w:right w:val="single" w:sz="4" w:space="0" w:color="FFFFFF"/>
            </w:tcBorders>
            <w:shd w:val="clear" w:color="auto" w:fill="auto"/>
          </w:tcPr>
          <w:p w14:paraId="387299F8"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48,5%</w:t>
            </w:r>
          </w:p>
        </w:tc>
        <w:tc>
          <w:tcPr>
            <w:tcW w:w="478" w:type="pct"/>
            <w:tcBorders>
              <w:top w:val="nil"/>
              <w:left w:val="single" w:sz="4" w:space="0" w:color="FFFFFF"/>
              <w:bottom w:val="single" w:sz="4" w:space="0" w:color="auto"/>
              <w:right w:val="single" w:sz="4" w:space="0" w:color="FFFFFF"/>
            </w:tcBorders>
            <w:shd w:val="clear" w:color="auto" w:fill="auto"/>
          </w:tcPr>
          <w:p w14:paraId="1F8983E1"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53,5%</w:t>
            </w:r>
          </w:p>
        </w:tc>
        <w:tc>
          <w:tcPr>
            <w:tcW w:w="479" w:type="pct"/>
            <w:tcBorders>
              <w:top w:val="nil"/>
              <w:left w:val="single" w:sz="4" w:space="0" w:color="FFFFFF"/>
              <w:bottom w:val="single" w:sz="4" w:space="0" w:color="auto"/>
              <w:right w:val="single" w:sz="4" w:space="0" w:color="FFFFFF"/>
            </w:tcBorders>
            <w:shd w:val="clear" w:color="auto" w:fill="auto"/>
          </w:tcPr>
          <w:p w14:paraId="79951ED5"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56,0%</w:t>
            </w:r>
          </w:p>
        </w:tc>
        <w:tc>
          <w:tcPr>
            <w:tcW w:w="478" w:type="pct"/>
            <w:tcBorders>
              <w:top w:val="nil"/>
              <w:left w:val="single" w:sz="4" w:space="0" w:color="FFFFFF"/>
              <w:bottom w:val="single" w:sz="4" w:space="0" w:color="auto"/>
            </w:tcBorders>
            <w:shd w:val="clear" w:color="auto" w:fill="auto"/>
          </w:tcPr>
          <w:p w14:paraId="68CCD83F"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70,7%</w:t>
            </w:r>
          </w:p>
        </w:tc>
      </w:tr>
      <w:tr w:rsidR="00C007D0" w:rsidRPr="008D51E7" w14:paraId="6AA9C7FC" w14:textId="77777777" w:rsidTr="00197371">
        <w:trPr>
          <w:jc w:val="center"/>
        </w:trPr>
        <w:tc>
          <w:tcPr>
            <w:tcW w:w="3087" w:type="pct"/>
            <w:tcBorders>
              <w:bottom w:val="nil"/>
              <w:right w:val="single" w:sz="4" w:space="0" w:color="FFFFFF"/>
            </w:tcBorders>
            <w:shd w:val="clear" w:color="auto" w:fill="B6DDE8"/>
          </w:tcPr>
          <w:p w14:paraId="7305EC21" w14:textId="77777777" w:rsidR="00EE7BE8" w:rsidRPr="00117BF8" w:rsidRDefault="00EE7BE8" w:rsidP="00C007D0">
            <w:pPr>
              <w:pStyle w:val="TablaC"/>
              <w:jc w:val="center"/>
              <w:rPr>
                <w:rFonts w:ascii="Arial" w:hAnsi="Arial" w:cs="Arial"/>
                <w:b/>
                <w:sz w:val="18"/>
                <w:szCs w:val="18"/>
              </w:rPr>
            </w:pPr>
            <w:r w:rsidRPr="00117BF8">
              <w:rPr>
                <w:rFonts w:ascii="Arial" w:hAnsi="Arial" w:cs="Arial"/>
                <w:b/>
                <w:sz w:val="18"/>
                <w:szCs w:val="18"/>
              </w:rPr>
              <w:t>Jurisdicción</w:t>
            </w:r>
          </w:p>
        </w:tc>
        <w:tc>
          <w:tcPr>
            <w:tcW w:w="478" w:type="pct"/>
            <w:tcBorders>
              <w:left w:val="single" w:sz="4" w:space="0" w:color="FFFFFF"/>
              <w:bottom w:val="nil"/>
              <w:right w:val="single" w:sz="4" w:space="0" w:color="FFFFFF"/>
            </w:tcBorders>
            <w:shd w:val="clear" w:color="auto" w:fill="B6DDE8"/>
          </w:tcPr>
          <w:p w14:paraId="45409D8E" w14:textId="77777777" w:rsidR="00EE7BE8" w:rsidRPr="00117BF8" w:rsidRDefault="00EE7BE8" w:rsidP="00C007D0">
            <w:pPr>
              <w:pStyle w:val="TablaC"/>
              <w:jc w:val="center"/>
              <w:rPr>
                <w:rFonts w:ascii="Arial" w:hAnsi="Arial" w:cs="Arial"/>
                <w:b/>
                <w:sz w:val="18"/>
                <w:szCs w:val="18"/>
              </w:rPr>
            </w:pPr>
          </w:p>
        </w:tc>
        <w:tc>
          <w:tcPr>
            <w:tcW w:w="478" w:type="pct"/>
            <w:tcBorders>
              <w:left w:val="single" w:sz="4" w:space="0" w:color="FFFFFF"/>
              <w:bottom w:val="nil"/>
              <w:right w:val="single" w:sz="4" w:space="0" w:color="FFFFFF"/>
            </w:tcBorders>
            <w:shd w:val="clear" w:color="auto" w:fill="B6DDE8"/>
          </w:tcPr>
          <w:p w14:paraId="5AE93C42" w14:textId="77777777" w:rsidR="00EE7BE8" w:rsidRPr="00117BF8" w:rsidRDefault="00EE7BE8" w:rsidP="00C007D0">
            <w:pPr>
              <w:pStyle w:val="TablaC"/>
              <w:jc w:val="center"/>
              <w:rPr>
                <w:rFonts w:ascii="Arial" w:hAnsi="Arial" w:cs="Arial"/>
                <w:b/>
                <w:sz w:val="18"/>
                <w:szCs w:val="18"/>
              </w:rPr>
            </w:pPr>
          </w:p>
        </w:tc>
        <w:tc>
          <w:tcPr>
            <w:tcW w:w="479" w:type="pct"/>
            <w:tcBorders>
              <w:left w:val="single" w:sz="4" w:space="0" w:color="FFFFFF"/>
              <w:bottom w:val="nil"/>
              <w:right w:val="single" w:sz="4" w:space="0" w:color="FFFFFF"/>
            </w:tcBorders>
            <w:shd w:val="clear" w:color="auto" w:fill="B6DDE8"/>
          </w:tcPr>
          <w:p w14:paraId="40B98A7D" w14:textId="77777777" w:rsidR="00EE7BE8" w:rsidRPr="00117BF8" w:rsidRDefault="00EE7BE8" w:rsidP="00C007D0">
            <w:pPr>
              <w:pStyle w:val="TablaC"/>
              <w:jc w:val="center"/>
              <w:rPr>
                <w:rFonts w:ascii="Arial" w:hAnsi="Arial" w:cs="Arial"/>
                <w:b/>
                <w:sz w:val="18"/>
                <w:szCs w:val="18"/>
              </w:rPr>
            </w:pPr>
          </w:p>
        </w:tc>
        <w:tc>
          <w:tcPr>
            <w:tcW w:w="478" w:type="pct"/>
            <w:tcBorders>
              <w:left w:val="single" w:sz="4" w:space="0" w:color="FFFFFF"/>
              <w:bottom w:val="nil"/>
            </w:tcBorders>
            <w:shd w:val="clear" w:color="auto" w:fill="B6DDE8"/>
          </w:tcPr>
          <w:p w14:paraId="2902C76F" w14:textId="77777777" w:rsidR="00EE7BE8" w:rsidRPr="00117BF8" w:rsidRDefault="00EE7BE8" w:rsidP="00C007D0">
            <w:pPr>
              <w:pStyle w:val="TablaC"/>
              <w:jc w:val="center"/>
              <w:rPr>
                <w:rFonts w:ascii="Arial" w:hAnsi="Arial" w:cs="Arial"/>
                <w:b/>
                <w:sz w:val="18"/>
                <w:szCs w:val="18"/>
              </w:rPr>
            </w:pPr>
          </w:p>
        </w:tc>
      </w:tr>
      <w:tr w:rsidR="00C007D0" w:rsidRPr="008D51E7" w14:paraId="42EFDD0C" w14:textId="77777777" w:rsidTr="00197371">
        <w:trPr>
          <w:jc w:val="center"/>
        </w:trPr>
        <w:tc>
          <w:tcPr>
            <w:tcW w:w="3087" w:type="pct"/>
            <w:tcBorders>
              <w:top w:val="nil"/>
              <w:bottom w:val="nil"/>
              <w:right w:val="single" w:sz="4" w:space="0" w:color="FFFFFF"/>
            </w:tcBorders>
            <w:shd w:val="clear" w:color="auto" w:fill="B6DDE8"/>
          </w:tcPr>
          <w:p w14:paraId="0E6A0683"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Ley Local</w:t>
            </w:r>
          </w:p>
        </w:tc>
        <w:tc>
          <w:tcPr>
            <w:tcW w:w="478" w:type="pct"/>
            <w:tcBorders>
              <w:top w:val="nil"/>
              <w:left w:val="single" w:sz="4" w:space="0" w:color="FFFFFF"/>
              <w:bottom w:val="nil"/>
              <w:right w:val="single" w:sz="4" w:space="0" w:color="FFFFFF"/>
            </w:tcBorders>
            <w:shd w:val="clear" w:color="auto" w:fill="B6DDE8"/>
          </w:tcPr>
          <w:p w14:paraId="14887BA7"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50,4%</w:t>
            </w:r>
          </w:p>
        </w:tc>
        <w:tc>
          <w:tcPr>
            <w:tcW w:w="478" w:type="pct"/>
            <w:tcBorders>
              <w:top w:val="nil"/>
              <w:left w:val="single" w:sz="4" w:space="0" w:color="FFFFFF"/>
              <w:bottom w:val="nil"/>
              <w:right w:val="single" w:sz="4" w:space="0" w:color="FFFFFF"/>
            </w:tcBorders>
            <w:shd w:val="clear" w:color="auto" w:fill="B6DDE8"/>
          </w:tcPr>
          <w:p w14:paraId="52FC61A6"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44,4%</w:t>
            </w:r>
          </w:p>
        </w:tc>
        <w:tc>
          <w:tcPr>
            <w:tcW w:w="479" w:type="pct"/>
            <w:tcBorders>
              <w:top w:val="nil"/>
              <w:left w:val="single" w:sz="4" w:space="0" w:color="FFFFFF"/>
              <w:bottom w:val="nil"/>
              <w:right w:val="single" w:sz="4" w:space="0" w:color="FFFFFF"/>
            </w:tcBorders>
            <w:shd w:val="clear" w:color="auto" w:fill="B6DDE8"/>
          </w:tcPr>
          <w:p w14:paraId="373B0F0C"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42,2%</w:t>
            </w:r>
          </w:p>
        </w:tc>
        <w:tc>
          <w:tcPr>
            <w:tcW w:w="478" w:type="pct"/>
            <w:tcBorders>
              <w:top w:val="nil"/>
              <w:left w:val="single" w:sz="4" w:space="0" w:color="FFFFFF"/>
              <w:bottom w:val="nil"/>
            </w:tcBorders>
            <w:shd w:val="clear" w:color="auto" w:fill="B6DDE8"/>
          </w:tcPr>
          <w:p w14:paraId="6FBD0EDB"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33,8%</w:t>
            </w:r>
          </w:p>
        </w:tc>
      </w:tr>
      <w:tr w:rsidR="00C007D0" w:rsidRPr="008D51E7" w14:paraId="2D46C434" w14:textId="77777777" w:rsidTr="00197371">
        <w:trPr>
          <w:jc w:val="center"/>
        </w:trPr>
        <w:tc>
          <w:tcPr>
            <w:tcW w:w="3087" w:type="pct"/>
            <w:tcBorders>
              <w:top w:val="nil"/>
              <w:right w:val="single" w:sz="4" w:space="0" w:color="FFFFFF"/>
            </w:tcBorders>
            <w:shd w:val="clear" w:color="auto" w:fill="B6DDE8"/>
          </w:tcPr>
          <w:p w14:paraId="06FFE802" w14:textId="77777777" w:rsidR="00EE7BE8" w:rsidRPr="00117BF8" w:rsidRDefault="00EE7BE8" w:rsidP="00C007D0">
            <w:pPr>
              <w:pStyle w:val="TablaC"/>
              <w:jc w:val="left"/>
              <w:rPr>
                <w:rFonts w:ascii="Arial" w:hAnsi="Arial" w:cs="Arial"/>
                <w:sz w:val="18"/>
                <w:szCs w:val="18"/>
              </w:rPr>
            </w:pPr>
            <w:r w:rsidRPr="00117BF8">
              <w:rPr>
                <w:rFonts w:ascii="Arial" w:hAnsi="Arial" w:cs="Arial"/>
                <w:sz w:val="18"/>
                <w:szCs w:val="18"/>
              </w:rPr>
              <w:t>Ley Externa</w:t>
            </w:r>
          </w:p>
        </w:tc>
        <w:tc>
          <w:tcPr>
            <w:tcW w:w="478" w:type="pct"/>
            <w:tcBorders>
              <w:top w:val="nil"/>
              <w:left w:val="single" w:sz="4" w:space="0" w:color="FFFFFF"/>
              <w:right w:val="single" w:sz="4" w:space="0" w:color="FFFFFF"/>
            </w:tcBorders>
            <w:shd w:val="clear" w:color="auto" w:fill="B6DDE8"/>
          </w:tcPr>
          <w:p w14:paraId="2274559E"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49,6%</w:t>
            </w:r>
          </w:p>
        </w:tc>
        <w:tc>
          <w:tcPr>
            <w:tcW w:w="478" w:type="pct"/>
            <w:tcBorders>
              <w:top w:val="nil"/>
              <w:left w:val="single" w:sz="4" w:space="0" w:color="FFFFFF"/>
              <w:right w:val="single" w:sz="4" w:space="0" w:color="FFFFFF"/>
            </w:tcBorders>
            <w:shd w:val="clear" w:color="auto" w:fill="B6DDE8"/>
          </w:tcPr>
          <w:p w14:paraId="64054D69"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55,6%</w:t>
            </w:r>
          </w:p>
        </w:tc>
        <w:tc>
          <w:tcPr>
            <w:tcW w:w="479" w:type="pct"/>
            <w:tcBorders>
              <w:top w:val="nil"/>
              <w:left w:val="single" w:sz="4" w:space="0" w:color="FFFFFF"/>
              <w:right w:val="single" w:sz="4" w:space="0" w:color="FFFFFF"/>
            </w:tcBorders>
            <w:shd w:val="clear" w:color="auto" w:fill="B6DDE8"/>
          </w:tcPr>
          <w:p w14:paraId="3A77AC22"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57,8%</w:t>
            </w:r>
          </w:p>
        </w:tc>
        <w:tc>
          <w:tcPr>
            <w:tcW w:w="478" w:type="pct"/>
            <w:tcBorders>
              <w:top w:val="nil"/>
              <w:left w:val="single" w:sz="4" w:space="0" w:color="FFFFFF"/>
            </w:tcBorders>
            <w:shd w:val="clear" w:color="auto" w:fill="B6DDE8"/>
          </w:tcPr>
          <w:p w14:paraId="1C1358EA" w14:textId="77777777" w:rsidR="00EE7BE8" w:rsidRPr="00117BF8" w:rsidRDefault="00EE7BE8" w:rsidP="00903CC4">
            <w:pPr>
              <w:pStyle w:val="TablaC"/>
              <w:rPr>
                <w:rFonts w:ascii="Arial" w:hAnsi="Arial" w:cs="Arial"/>
                <w:sz w:val="18"/>
                <w:szCs w:val="18"/>
              </w:rPr>
            </w:pPr>
            <w:r w:rsidRPr="00117BF8">
              <w:rPr>
                <w:rFonts w:ascii="Arial" w:hAnsi="Arial" w:cs="Arial"/>
                <w:sz w:val="18"/>
                <w:szCs w:val="18"/>
              </w:rPr>
              <w:t>66,2%</w:t>
            </w:r>
          </w:p>
        </w:tc>
      </w:tr>
    </w:tbl>
    <w:p w14:paraId="0EE1C567" w14:textId="77777777" w:rsidR="00F20957" w:rsidRPr="00117BF8" w:rsidRDefault="00F20957" w:rsidP="00635A32">
      <w:pPr>
        <w:pStyle w:val="Hfuente"/>
        <w:rPr>
          <w:rFonts w:ascii="Arial" w:eastAsia="Calibri" w:hAnsi="Arial" w:cs="Arial"/>
          <w:sz w:val="18"/>
          <w:szCs w:val="18"/>
        </w:rPr>
      </w:pPr>
      <w:r w:rsidRPr="00117BF8">
        <w:rPr>
          <w:rFonts w:ascii="Arial" w:eastAsia="Calibri" w:hAnsi="Arial" w:cs="Arial"/>
          <w:sz w:val="18"/>
          <w:szCs w:val="18"/>
        </w:rPr>
        <w:t>Fuente: Informe de Deuda Pública al 31/12/16 – Ministerio de Economía de la PBA</w:t>
      </w:r>
    </w:p>
    <w:p w14:paraId="065EB0FA" w14:textId="77777777" w:rsidR="006143A6" w:rsidRPr="00117BF8" w:rsidRDefault="004F6C64" w:rsidP="004F6C64">
      <w:pPr>
        <w:pStyle w:val="hsa"/>
        <w:rPr>
          <w:rFonts w:ascii="Arial" w:hAnsi="Arial" w:cs="Arial"/>
          <w:sz w:val="22"/>
          <w:szCs w:val="22"/>
        </w:rPr>
      </w:pPr>
      <w:r w:rsidRPr="00117BF8">
        <w:rPr>
          <w:rFonts w:ascii="Arial" w:hAnsi="Arial" w:cs="Arial"/>
          <w:sz w:val="22"/>
          <w:szCs w:val="22"/>
        </w:rPr>
        <w:t>La tasa promedio de la deuda ha crecido tanto en US</w:t>
      </w:r>
      <w:r w:rsidR="00F05DC7" w:rsidRPr="00117BF8">
        <w:rPr>
          <w:rFonts w:ascii="Arial" w:hAnsi="Arial" w:cs="Arial"/>
          <w:sz w:val="22"/>
          <w:szCs w:val="22"/>
        </w:rPr>
        <w:t xml:space="preserve">D </w:t>
      </w:r>
      <w:r w:rsidRPr="00117BF8">
        <w:rPr>
          <w:rFonts w:ascii="Arial" w:hAnsi="Arial" w:cs="Arial"/>
          <w:sz w:val="22"/>
          <w:szCs w:val="22"/>
        </w:rPr>
        <w:t>como en ARS, mientras que en euros durante los últimos tres años registra una leva declinación.</w:t>
      </w:r>
    </w:p>
    <w:tbl>
      <w:tblPr>
        <w:tblW w:w="750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121"/>
        <w:gridCol w:w="1093"/>
        <w:gridCol w:w="1093"/>
        <w:gridCol w:w="1100"/>
        <w:gridCol w:w="1100"/>
      </w:tblGrid>
      <w:tr w:rsidR="00C007D0" w:rsidRPr="004E6455" w14:paraId="73B06F50" w14:textId="77777777" w:rsidTr="00C007D0">
        <w:trPr>
          <w:jc w:val="center"/>
        </w:trPr>
        <w:tc>
          <w:tcPr>
            <w:tcW w:w="1304" w:type="dxa"/>
            <w:gridSpan w:val="5"/>
            <w:tcBorders>
              <w:top w:val="single" w:sz="8" w:space="0" w:color="7BA0CD"/>
              <w:left w:val="single" w:sz="8" w:space="0" w:color="7BA0CD"/>
              <w:bottom w:val="single" w:sz="8" w:space="0" w:color="7BA0CD"/>
              <w:right w:val="single" w:sz="8" w:space="0" w:color="7BA0CD"/>
            </w:tcBorders>
            <w:shd w:val="clear" w:color="auto" w:fill="0070C0"/>
          </w:tcPr>
          <w:p w14:paraId="79B80EE7" w14:textId="77777777" w:rsidR="006143A6" w:rsidRPr="00117BF8" w:rsidRDefault="000C737B" w:rsidP="000C737B">
            <w:pPr>
              <w:pStyle w:val="TablaT"/>
              <w:rPr>
                <w:rFonts w:ascii="Arial" w:hAnsi="Arial" w:cs="Arial"/>
                <w:bCs/>
                <w:sz w:val="22"/>
                <w:szCs w:val="22"/>
                <w:lang w:val="es-ES_tradnl"/>
              </w:rPr>
            </w:pPr>
            <w:bookmarkStart w:id="74" w:name="_Toc493861137"/>
            <w:r w:rsidRPr="00117BF8">
              <w:rPr>
                <w:rFonts w:ascii="Arial" w:hAnsi="Arial" w:cs="Arial"/>
                <w:bCs/>
                <w:sz w:val="22"/>
                <w:szCs w:val="22"/>
                <w:lang w:val="es-ES_tradnl"/>
              </w:rPr>
              <w:t xml:space="preserve">Tabla </w:t>
            </w:r>
            <w:r w:rsidR="00635A32" w:rsidRPr="00117BF8">
              <w:rPr>
                <w:rFonts w:ascii="Arial" w:hAnsi="Arial" w:cs="Arial"/>
                <w:bCs/>
                <w:sz w:val="22"/>
                <w:szCs w:val="22"/>
                <w:lang w:val="es-ES_tradnl"/>
              </w:rPr>
              <w:t>27</w:t>
            </w:r>
            <w:r w:rsidRPr="00117BF8">
              <w:rPr>
                <w:rFonts w:ascii="Arial" w:hAnsi="Arial" w:cs="Arial"/>
                <w:bCs/>
                <w:sz w:val="22"/>
                <w:szCs w:val="22"/>
                <w:lang w:val="es-ES_tradnl"/>
              </w:rPr>
              <w:t xml:space="preserve"> - </w:t>
            </w:r>
            <w:r w:rsidR="006143A6" w:rsidRPr="00117BF8">
              <w:rPr>
                <w:rFonts w:ascii="Arial" w:hAnsi="Arial" w:cs="Arial"/>
                <w:bCs/>
                <w:sz w:val="22"/>
                <w:szCs w:val="22"/>
                <w:lang w:val="es-ES_tradnl"/>
              </w:rPr>
              <w:t>Tasa de interés de la deuda promedio ponderada</w:t>
            </w:r>
            <w:bookmarkEnd w:id="74"/>
          </w:p>
          <w:p w14:paraId="2520BAF1" w14:textId="77777777" w:rsidR="006143A6" w:rsidRPr="00117BF8" w:rsidRDefault="006143A6" w:rsidP="00C007D0">
            <w:pPr>
              <w:pStyle w:val="TablaC"/>
              <w:rPr>
                <w:rFonts w:ascii="Arial" w:hAnsi="Arial" w:cs="Arial"/>
                <w:b/>
                <w:bCs/>
                <w:color w:val="FFFFFF"/>
                <w:szCs w:val="22"/>
              </w:rPr>
            </w:pPr>
            <w:r w:rsidRPr="00117BF8">
              <w:rPr>
                <w:rFonts w:ascii="Arial" w:hAnsi="Arial" w:cs="Arial"/>
                <w:b/>
                <w:bCs/>
                <w:color w:val="FFFFFF"/>
                <w:szCs w:val="22"/>
              </w:rPr>
              <w:t>% anual</w:t>
            </w:r>
          </w:p>
        </w:tc>
      </w:tr>
      <w:tr w:rsidR="00C007D0" w:rsidRPr="004E6455" w14:paraId="35B50BDF" w14:textId="77777777" w:rsidTr="00C007D0">
        <w:trPr>
          <w:jc w:val="center"/>
        </w:trPr>
        <w:tc>
          <w:tcPr>
            <w:tcW w:w="4254" w:type="dxa"/>
            <w:tcBorders>
              <w:right w:val="nil"/>
            </w:tcBorders>
            <w:shd w:val="clear" w:color="auto" w:fill="0070C0"/>
          </w:tcPr>
          <w:p w14:paraId="52AB4001" w14:textId="77777777" w:rsidR="006143A6" w:rsidRPr="00117BF8" w:rsidRDefault="006143A6" w:rsidP="000C737B">
            <w:pPr>
              <w:pStyle w:val="TablaE"/>
              <w:rPr>
                <w:rFonts w:ascii="Arial" w:hAnsi="Arial" w:cs="Arial"/>
                <w:bCs/>
                <w:sz w:val="22"/>
                <w:szCs w:val="22"/>
              </w:rPr>
            </w:pPr>
            <w:r w:rsidRPr="00117BF8">
              <w:rPr>
                <w:rFonts w:ascii="Arial" w:hAnsi="Arial" w:cs="Arial"/>
                <w:bCs/>
                <w:sz w:val="22"/>
                <w:szCs w:val="22"/>
              </w:rPr>
              <w:t>Moneda</w:t>
            </w:r>
          </w:p>
        </w:tc>
        <w:tc>
          <w:tcPr>
            <w:tcW w:w="1304" w:type="dxa"/>
            <w:tcBorders>
              <w:left w:val="nil"/>
              <w:right w:val="nil"/>
            </w:tcBorders>
            <w:shd w:val="clear" w:color="auto" w:fill="0070C0"/>
          </w:tcPr>
          <w:p w14:paraId="0EC34E98" w14:textId="77777777" w:rsidR="006143A6" w:rsidRPr="00117BF8" w:rsidRDefault="006143A6" w:rsidP="000C737B">
            <w:pPr>
              <w:pStyle w:val="TablaE"/>
              <w:rPr>
                <w:rFonts w:ascii="Arial" w:hAnsi="Arial" w:cs="Arial"/>
                <w:bCs/>
                <w:sz w:val="22"/>
                <w:szCs w:val="22"/>
              </w:rPr>
            </w:pPr>
            <w:r w:rsidRPr="00117BF8">
              <w:rPr>
                <w:rFonts w:ascii="Arial" w:hAnsi="Arial" w:cs="Arial"/>
                <w:bCs/>
                <w:sz w:val="22"/>
                <w:szCs w:val="22"/>
              </w:rPr>
              <w:t>2013</w:t>
            </w:r>
          </w:p>
        </w:tc>
        <w:tc>
          <w:tcPr>
            <w:tcW w:w="1304" w:type="dxa"/>
            <w:tcBorders>
              <w:left w:val="nil"/>
              <w:right w:val="nil"/>
            </w:tcBorders>
            <w:shd w:val="clear" w:color="auto" w:fill="0070C0"/>
          </w:tcPr>
          <w:p w14:paraId="75AAC3BB" w14:textId="77777777" w:rsidR="006143A6" w:rsidRPr="00117BF8" w:rsidRDefault="006143A6" w:rsidP="000C737B">
            <w:pPr>
              <w:pStyle w:val="TablaE"/>
              <w:rPr>
                <w:rFonts w:ascii="Arial" w:hAnsi="Arial" w:cs="Arial"/>
                <w:bCs/>
                <w:sz w:val="22"/>
                <w:szCs w:val="22"/>
              </w:rPr>
            </w:pPr>
            <w:r w:rsidRPr="00117BF8">
              <w:rPr>
                <w:rFonts w:ascii="Arial" w:hAnsi="Arial" w:cs="Arial"/>
                <w:bCs/>
                <w:sz w:val="22"/>
                <w:szCs w:val="22"/>
              </w:rPr>
              <w:t>2014</w:t>
            </w:r>
          </w:p>
        </w:tc>
        <w:tc>
          <w:tcPr>
            <w:tcW w:w="1304" w:type="dxa"/>
            <w:tcBorders>
              <w:left w:val="nil"/>
              <w:right w:val="nil"/>
            </w:tcBorders>
            <w:shd w:val="clear" w:color="auto" w:fill="0070C0"/>
          </w:tcPr>
          <w:p w14:paraId="3323C4B6" w14:textId="77777777" w:rsidR="006143A6" w:rsidRPr="00117BF8" w:rsidRDefault="006143A6" w:rsidP="000C737B">
            <w:pPr>
              <w:pStyle w:val="TablaE"/>
              <w:rPr>
                <w:rFonts w:ascii="Arial" w:hAnsi="Arial" w:cs="Arial"/>
                <w:bCs/>
                <w:sz w:val="22"/>
                <w:szCs w:val="22"/>
              </w:rPr>
            </w:pPr>
            <w:r w:rsidRPr="00117BF8">
              <w:rPr>
                <w:rFonts w:ascii="Arial" w:hAnsi="Arial" w:cs="Arial"/>
                <w:bCs/>
                <w:sz w:val="22"/>
                <w:szCs w:val="22"/>
              </w:rPr>
              <w:t>2015</w:t>
            </w:r>
          </w:p>
        </w:tc>
        <w:tc>
          <w:tcPr>
            <w:tcW w:w="1304" w:type="dxa"/>
            <w:tcBorders>
              <w:left w:val="nil"/>
            </w:tcBorders>
            <w:shd w:val="clear" w:color="auto" w:fill="0070C0"/>
          </w:tcPr>
          <w:p w14:paraId="7E3E439E" w14:textId="77777777" w:rsidR="006143A6" w:rsidRPr="00117BF8" w:rsidRDefault="006143A6" w:rsidP="000C737B">
            <w:pPr>
              <w:pStyle w:val="TablaE"/>
              <w:rPr>
                <w:rFonts w:ascii="Arial" w:hAnsi="Arial" w:cs="Arial"/>
                <w:bCs/>
                <w:sz w:val="22"/>
                <w:szCs w:val="22"/>
              </w:rPr>
            </w:pPr>
            <w:r w:rsidRPr="00117BF8">
              <w:rPr>
                <w:rFonts w:ascii="Arial" w:hAnsi="Arial" w:cs="Arial"/>
                <w:bCs/>
                <w:sz w:val="22"/>
                <w:szCs w:val="22"/>
              </w:rPr>
              <w:t>2016</w:t>
            </w:r>
          </w:p>
        </w:tc>
      </w:tr>
      <w:tr w:rsidR="00C007D0" w:rsidRPr="004E6455" w14:paraId="43B50AAC" w14:textId="77777777" w:rsidTr="00C007D0">
        <w:trPr>
          <w:jc w:val="center"/>
        </w:trPr>
        <w:tc>
          <w:tcPr>
            <w:tcW w:w="4254" w:type="dxa"/>
            <w:tcBorders>
              <w:right w:val="nil"/>
            </w:tcBorders>
            <w:shd w:val="clear" w:color="auto" w:fill="auto"/>
          </w:tcPr>
          <w:p w14:paraId="7D952D12" w14:textId="77777777" w:rsidR="00EE7BE8" w:rsidRPr="00117BF8" w:rsidRDefault="00EE7BE8" w:rsidP="00C007D0">
            <w:pPr>
              <w:pStyle w:val="TablaC"/>
              <w:jc w:val="center"/>
              <w:rPr>
                <w:rFonts w:ascii="Arial" w:hAnsi="Arial" w:cs="Arial"/>
                <w:b/>
                <w:bCs/>
                <w:sz w:val="18"/>
                <w:szCs w:val="18"/>
              </w:rPr>
            </w:pPr>
            <w:r w:rsidRPr="00117BF8">
              <w:rPr>
                <w:rFonts w:ascii="Arial" w:hAnsi="Arial" w:cs="Arial"/>
                <w:b/>
                <w:bCs/>
                <w:sz w:val="18"/>
                <w:szCs w:val="18"/>
              </w:rPr>
              <w:t>USD</w:t>
            </w:r>
          </w:p>
        </w:tc>
        <w:tc>
          <w:tcPr>
            <w:tcW w:w="1304" w:type="dxa"/>
            <w:tcBorders>
              <w:left w:val="nil"/>
              <w:right w:val="nil"/>
            </w:tcBorders>
            <w:shd w:val="clear" w:color="auto" w:fill="auto"/>
          </w:tcPr>
          <w:p w14:paraId="5EEEFB2E"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7,7%</w:t>
            </w:r>
          </w:p>
        </w:tc>
        <w:tc>
          <w:tcPr>
            <w:tcW w:w="1304" w:type="dxa"/>
            <w:tcBorders>
              <w:left w:val="nil"/>
              <w:right w:val="nil"/>
            </w:tcBorders>
            <w:shd w:val="clear" w:color="auto" w:fill="auto"/>
          </w:tcPr>
          <w:p w14:paraId="1127066E"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7,4%</w:t>
            </w:r>
          </w:p>
        </w:tc>
        <w:tc>
          <w:tcPr>
            <w:tcW w:w="1304" w:type="dxa"/>
            <w:tcBorders>
              <w:left w:val="nil"/>
              <w:right w:val="nil"/>
            </w:tcBorders>
            <w:shd w:val="clear" w:color="auto" w:fill="auto"/>
          </w:tcPr>
          <w:p w14:paraId="212E60F6"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7,5%</w:t>
            </w:r>
          </w:p>
        </w:tc>
        <w:tc>
          <w:tcPr>
            <w:tcW w:w="1304" w:type="dxa"/>
            <w:tcBorders>
              <w:left w:val="nil"/>
            </w:tcBorders>
            <w:shd w:val="clear" w:color="auto" w:fill="auto"/>
          </w:tcPr>
          <w:p w14:paraId="0B4A7D49"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7,8%</w:t>
            </w:r>
          </w:p>
        </w:tc>
      </w:tr>
      <w:tr w:rsidR="00C007D0" w:rsidRPr="004E6455" w14:paraId="5E4EA240" w14:textId="77777777" w:rsidTr="00C007D0">
        <w:trPr>
          <w:jc w:val="center"/>
        </w:trPr>
        <w:tc>
          <w:tcPr>
            <w:tcW w:w="4254" w:type="dxa"/>
            <w:shd w:val="clear" w:color="auto" w:fill="D3DFEE"/>
          </w:tcPr>
          <w:p w14:paraId="13674852" w14:textId="77777777" w:rsidR="00EE7BE8" w:rsidRPr="00117BF8" w:rsidRDefault="00EE7BE8" w:rsidP="00C007D0">
            <w:pPr>
              <w:pStyle w:val="TablaC"/>
              <w:jc w:val="center"/>
              <w:rPr>
                <w:rFonts w:ascii="Arial" w:hAnsi="Arial" w:cs="Arial"/>
                <w:b/>
                <w:bCs/>
                <w:sz w:val="18"/>
                <w:szCs w:val="18"/>
              </w:rPr>
            </w:pPr>
            <w:r w:rsidRPr="00117BF8">
              <w:rPr>
                <w:rFonts w:ascii="Arial" w:hAnsi="Arial" w:cs="Arial"/>
                <w:b/>
                <w:bCs/>
                <w:sz w:val="18"/>
                <w:szCs w:val="18"/>
              </w:rPr>
              <w:t>ARS</w:t>
            </w:r>
          </w:p>
        </w:tc>
        <w:tc>
          <w:tcPr>
            <w:tcW w:w="1304" w:type="dxa"/>
            <w:shd w:val="clear" w:color="auto" w:fill="D3DFEE"/>
          </w:tcPr>
          <w:p w14:paraId="7C4E317A"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7,3%</w:t>
            </w:r>
          </w:p>
        </w:tc>
        <w:tc>
          <w:tcPr>
            <w:tcW w:w="1304" w:type="dxa"/>
            <w:shd w:val="clear" w:color="auto" w:fill="D3DFEE"/>
          </w:tcPr>
          <w:p w14:paraId="5ECCFE4B"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8,0%</w:t>
            </w:r>
          </w:p>
        </w:tc>
        <w:tc>
          <w:tcPr>
            <w:tcW w:w="1304" w:type="dxa"/>
            <w:shd w:val="clear" w:color="auto" w:fill="D3DFEE"/>
          </w:tcPr>
          <w:p w14:paraId="79446F84"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12,5%</w:t>
            </w:r>
          </w:p>
        </w:tc>
        <w:tc>
          <w:tcPr>
            <w:tcW w:w="1304" w:type="dxa"/>
            <w:shd w:val="clear" w:color="auto" w:fill="D3DFEE"/>
          </w:tcPr>
          <w:p w14:paraId="517706D9"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12,3%</w:t>
            </w:r>
          </w:p>
        </w:tc>
      </w:tr>
      <w:tr w:rsidR="00C007D0" w:rsidRPr="004E6455" w14:paraId="507EB187" w14:textId="77777777" w:rsidTr="00C007D0">
        <w:trPr>
          <w:jc w:val="center"/>
        </w:trPr>
        <w:tc>
          <w:tcPr>
            <w:tcW w:w="4254" w:type="dxa"/>
            <w:tcBorders>
              <w:right w:val="nil"/>
            </w:tcBorders>
            <w:shd w:val="clear" w:color="auto" w:fill="auto"/>
          </w:tcPr>
          <w:p w14:paraId="09B34EEA" w14:textId="77777777" w:rsidR="00EE7BE8" w:rsidRPr="00117BF8" w:rsidRDefault="00EE7BE8" w:rsidP="00C007D0">
            <w:pPr>
              <w:pStyle w:val="TablaC"/>
              <w:jc w:val="center"/>
              <w:rPr>
                <w:rFonts w:ascii="Arial" w:hAnsi="Arial" w:cs="Arial"/>
                <w:b/>
                <w:bCs/>
                <w:sz w:val="18"/>
                <w:szCs w:val="18"/>
              </w:rPr>
            </w:pPr>
            <w:r w:rsidRPr="00117BF8">
              <w:rPr>
                <w:rFonts w:ascii="Arial" w:hAnsi="Arial" w:cs="Arial"/>
                <w:b/>
                <w:bCs/>
                <w:sz w:val="18"/>
                <w:szCs w:val="18"/>
              </w:rPr>
              <w:t>EUR</w:t>
            </w:r>
          </w:p>
        </w:tc>
        <w:tc>
          <w:tcPr>
            <w:tcW w:w="1304" w:type="dxa"/>
            <w:tcBorders>
              <w:left w:val="nil"/>
              <w:right w:val="nil"/>
            </w:tcBorders>
            <w:shd w:val="clear" w:color="auto" w:fill="auto"/>
          </w:tcPr>
          <w:p w14:paraId="3EE71C6F"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3,4%</w:t>
            </w:r>
          </w:p>
        </w:tc>
        <w:tc>
          <w:tcPr>
            <w:tcW w:w="1304" w:type="dxa"/>
            <w:tcBorders>
              <w:left w:val="nil"/>
              <w:right w:val="nil"/>
            </w:tcBorders>
            <w:shd w:val="clear" w:color="auto" w:fill="auto"/>
          </w:tcPr>
          <w:p w14:paraId="433A955B"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3,8%</w:t>
            </w:r>
          </w:p>
        </w:tc>
        <w:tc>
          <w:tcPr>
            <w:tcW w:w="1304" w:type="dxa"/>
            <w:tcBorders>
              <w:left w:val="nil"/>
              <w:right w:val="nil"/>
            </w:tcBorders>
            <w:shd w:val="clear" w:color="auto" w:fill="auto"/>
          </w:tcPr>
          <w:p w14:paraId="3980A564"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3,7%</w:t>
            </w:r>
          </w:p>
        </w:tc>
        <w:tc>
          <w:tcPr>
            <w:tcW w:w="1304" w:type="dxa"/>
            <w:tcBorders>
              <w:left w:val="nil"/>
            </w:tcBorders>
            <w:shd w:val="clear" w:color="auto" w:fill="auto"/>
          </w:tcPr>
          <w:p w14:paraId="1755C54C" w14:textId="77777777" w:rsidR="00EE7BE8" w:rsidRPr="00117BF8" w:rsidRDefault="00EE7BE8" w:rsidP="000C737B">
            <w:pPr>
              <w:pStyle w:val="TablaC"/>
              <w:rPr>
                <w:rFonts w:ascii="Arial" w:hAnsi="Arial" w:cs="Arial"/>
                <w:sz w:val="18"/>
                <w:szCs w:val="18"/>
              </w:rPr>
            </w:pPr>
            <w:r w:rsidRPr="00117BF8">
              <w:rPr>
                <w:rFonts w:ascii="Arial" w:hAnsi="Arial" w:cs="Arial"/>
                <w:sz w:val="18"/>
                <w:szCs w:val="18"/>
              </w:rPr>
              <w:t>3,6%</w:t>
            </w:r>
          </w:p>
        </w:tc>
      </w:tr>
    </w:tbl>
    <w:p w14:paraId="276D555F" w14:textId="77777777" w:rsidR="00F20957" w:rsidRPr="00117BF8" w:rsidRDefault="00F20957" w:rsidP="00117BF8">
      <w:pPr>
        <w:pStyle w:val="Hfuente"/>
        <w:ind w:firstLine="540"/>
        <w:rPr>
          <w:rFonts w:ascii="Arial" w:eastAsia="Calibri" w:hAnsi="Arial" w:cs="Arial"/>
          <w:sz w:val="18"/>
          <w:szCs w:val="18"/>
        </w:rPr>
      </w:pPr>
      <w:r w:rsidRPr="00117BF8">
        <w:rPr>
          <w:rFonts w:ascii="Arial" w:eastAsia="Calibri" w:hAnsi="Arial" w:cs="Arial"/>
          <w:sz w:val="18"/>
          <w:szCs w:val="18"/>
        </w:rPr>
        <w:t>Fuente: Informe de Deuda Pública al 31/12/16 – Ministerio de Economía de la PBA</w:t>
      </w:r>
    </w:p>
    <w:p w14:paraId="2870E25F" w14:textId="6DAE2C84" w:rsidR="00EC4C0A" w:rsidRPr="00117BF8" w:rsidRDefault="009808C0" w:rsidP="00EC4C0A">
      <w:pPr>
        <w:pStyle w:val="hsa"/>
        <w:rPr>
          <w:rFonts w:ascii="Arial" w:hAnsi="Arial" w:cs="Arial"/>
          <w:sz w:val="22"/>
          <w:szCs w:val="22"/>
        </w:rPr>
      </w:pPr>
      <w:r w:rsidRPr="00117BF8">
        <w:rPr>
          <w:rFonts w:ascii="Arial" w:hAnsi="Arial" w:cs="Arial"/>
          <w:sz w:val="22"/>
          <w:szCs w:val="22"/>
        </w:rPr>
        <w:t>Al 31 de Diciembre de 2016 la deuda de la Provincia con OMC era de 10.301 millones de pesos, el 50% de esta deuda era con el BID y 46% con el BIRF (Ver Tabla 28, mayor detalle en tabla A-III-11)</w:t>
      </w:r>
    </w:p>
    <w:tbl>
      <w:tblPr>
        <w:tblW w:w="5685"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83"/>
        <w:gridCol w:w="1701"/>
        <w:gridCol w:w="1701"/>
      </w:tblGrid>
      <w:tr w:rsidR="009808C0" w:rsidRPr="004E6455" w14:paraId="2E466327" w14:textId="77777777" w:rsidTr="006D22B0">
        <w:trPr>
          <w:trHeight w:val="300"/>
          <w:jc w:val="center"/>
        </w:trPr>
        <w:tc>
          <w:tcPr>
            <w:tcW w:w="5685" w:type="dxa"/>
            <w:gridSpan w:val="3"/>
            <w:tcBorders>
              <w:top w:val="single" w:sz="8" w:space="0" w:color="7BA0CD"/>
              <w:left w:val="single" w:sz="8" w:space="0" w:color="7BA0CD"/>
              <w:bottom w:val="single" w:sz="8" w:space="0" w:color="7BA0CD"/>
              <w:right w:val="single" w:sz="8" w:space="0" w:color="7BA0CD"/>
            </w:tcBorders>
            <w:shd w:val="clear" w:color="auto" w:fill="0070C0"/>
            <w:noWrap/>
          </w:tcPr>
          <w:p w14:paraId="0DA92D95" w14:textId="77777777" w:rsidR="009808C0" w:rsidRPr="00117BF8" w:rsidRDefault="009808C0" w:rsidP="009817B1">
            <w:pPr>
              <w:pStyle w:val="TablaT"/>
              <w:rPr>
                <w:rFonts w:ascii="Arial" w:hAnsi="Arial" w:cs="Arial"/>
                <w:sz w:val="22"/>
                <w:szCs w:val="22"/>
                <w:lang w:val="es-ES_tradnl"/>
              </w:rPr>
            </w:pPr>
            <w:bookmarkStart w:id="75" w:name="_Toc493861138"/>
            <w:r w:rsidRPr="00117BF8">
              <w:rPr>
                <w:rFonts w:ascii="Arial" w:hAnsi="Arial" w:cs="Arial"/>
                <w:sz w:val="22"/>
                <w:szCs w:val="22"/>
                <w:lang w:val="es-ES_tradnl"/>
              </w:rPr>
              <w:t>Tabla 28 – Deuda con OMC al 31/12/16</w:t>
            </w:r>
            <w:bookmarkEnd w:id="75"/>
          </w:p>
        </w:tc>
      </w:tr>
      <w:tr w:rsidR="006D22B0" w:rsidRPr="004E6455" w14:paraId="02E424CA" w14:textId="77777777" w:rsidTr="006D22B0">
        <w:trPr>
          <w:trHeight w:val="300"/>
          <w:jc w:val="center"/>
        </w:trPr>
        <w:tc>
          <w:tcPr>
            <w:tcW w:w="2283" w:type="dxa"/>
            <w:tcBorders>
              <w:right w:val="nil"/>
            </w:tcBorders>
            <w:shd w:val="clear" w:color="auto" w:fill="0070C0"/>
            <w:noWrap/>
          </w:tcPr>
          <w:p w14:paraId="5D56A795" w14:textId="77777777" w:rsidR="00E26793" w:rsidRPr="00117BF8" w:rsidRDefault="00E26793" w:rsidP="009817B1">
            <w:pPr>
              <w:pStyle w:val="TablaE"/>
              <w:rPr>
                <w:rFonts w:ascii="Arial" w:hAnsi="Arial" w:cs="Arial"/>
              </w:rPr>
            </w:pPr>
            <w:r w:rsidRPr="00117BF8">
              <w:rPr>
                <w:rFonts w:ascii="Arial" w:hAnsi="Arial" w:cs="Arial"/>
              </w:rPr>
              <w:t>OMC</w:t>
            </w:r>
          </w:p>
        </w:tc>
        <w:tc>
          <w:tcPr>
            <w:tcW w:w="1701" w:type="dxa"/>
            <w:tcBorders>
              <w:left w:val="nil"/>
              <w:right w:val="nil"/>
            </w:tcBorders>
            <w:shd w:val="clear" w:color="auto" w:fill="0070C0"/>
            <w:noWrap/>
          </w:tcPr>
          <w:p w14:paraId="6067E5DB" w14:textId="77777777" w:rsidR="00E26793" w:rsidRPr="00117BF8" w:rsidRDefault="00E26793" w:rsidP="009817B1">
            <w:pPr>
              <w:pStyle w:val="TablaE"/>
              <w:rPr>
                <w:rFonts w:ascii="Arial" w:hAnsi="Arial" w:cs="Arial"/>
                <w:sz w:val="22"/>
                <w:szCs w:val="22"/>
              </w:rPr>
            </w:pPr>
            <w:r w:rsidRPr="00117BF8">
              <w:rPr>
                <w:rFonts w:ascii="Arial" w:hAnsi="Arial" w:cs="Arial"/>
                <w:sz w:val="22"/>
                <w:szCs w:val="22"/>
              </w:rPr>
              <w:t>Millones</w:t>
            </w:r>
          </w:p>
        </w:tc>
        <w:tc>
          <w:tcPr>
            <w:tcW w:w="1701" w:type="dxa"/>
            <w:tcBorders>
              <w:left w:val="nil"/>
            </w:tcBorders>
            <w:shd w:val="clear" w:color="auto" w:fill="0070C0"/>
            <w:noWrap/>
          </w:tcPr>
          <w:p w14:paraId="0CE9DD86" w14:textId="77777777" w:rsidR="00E26793" w:rsidRPr="00117BF8" w:rsidRDefault="00E26793" w:rsidP="009817B1">
            <w:pPr>
              <w:pStyle w:val="TablaE"/>
              <w:rPr>
                <w:rFonts w:ascii="Arial" w:hAnsi="Arial" w:cs="Arial"/>
                <w:sz w:val="22"/>
                <w:szCs w:val="22"/>
              </w:rPr>
            </w:pPr>
            <w:r w:rsidRPr="00117BF8">
              <w:rPr>
                <w:rFonts w:ascii="Arial" w:hAnsi="Arial" w:cs="Arial"/>
                <w:sz w:val="22"/>
                <w:szCs w:val="22"/>
              </w:rPr>
              <w:t>Participación</w:t>
            </w:r>
          </w:p>
        </w:tc>
      </w:tr>
      <w:tr w:rsidR="006D22B0" w:rsidRPr="008D51E7" w14:paraId="047BEF65" w14:textId="77777777" w:rsidTr="006D22B0">
        <w:trPr>
          <w:trHeight w:val="300"/>
          <w:jc w:val="center"/>
        </w:trPr>
        <w:tc>
          <w:tcPr>
            <w:tcW w:w="2283" w:type="dxa"/>
            <w:tcBorders>
              <w:right w:val="nil"/>
            </w:tcBorders>
            <w:shd w:val="clear" w:color="auto" w:fill="auto"/>
            <w:noWrap/>
            <w:hideMark/>
          </w:tcPr>
          <w:p w14:paraId="05641B53" w14:textId="77777777" w:rsidR="00E26793" w:rsidRPr="00117BF8" w:rsidRDefault="00E26793" w:rsidP="006D22B0">
            <w:pPr>
              <w:pStyle w:val="TablaC"/>
              <w:jc w:val="left"/>
              <w:rPr>
                <w:rFonts w:ascii="Arial" w:hAnsi="Arial" w:cs="Arial"/>
                <w:bCs/>
                <w:sz w:val="18"/>
                <w:szCs w:val="18"/>
              </w:rPr>
            </w:pPr>
            <w:r w:rsidRPr="00117BF8">
              <w:rPr>
                <w:rFonts w:ascii="Arial" w:hAnsi="Arial" w:cs="Arial"/>
                <w:bCs/>
                <w:sz w:val="18"/>
                <w:szCs w:val="18"/>
              </w:rPr>
              <w:t>BID</w:t>
            </w:r>
          </w:p>
        </w:tc>
        <w:tc>
          <w:tcPr>
            <w:tcW w:w="1701" w:type="dxa"/>
            <w:tcBorders>
              <w:left w:val="nil"/>
              <w:right w:val="nil"/>
            </w:tcBorders>
            <w:shd w:val="clear" w:color="auto" w:fill="auto"/>
            <w:noWrap/>
            <w:hideMark/>
          </w:tcPr>
          <w:p w14:paraId="6C78ECA2" w14:textId="77777777" w:rsidR="00E26793" w:rsidRPr="00117BF8" w:rsidRDefault="00E26793" w:rsidP="00E26793">
            <w:pPr>
              <w:pStyle w:val="TablaC"/>
              <w:rPr>
                <w:rFonts w:ascii="Arial" w:hAnsi="Arial" w:cs="Arial"/>
                <w:sz w:val="18"/>
                <w:szCs w:val="18"/>
              </w:rPr>
            </w:pPr>
            <w:r w:rsidRPr="00117BF8">
              <w:rPr>
                <w:rFonts w:ascii="Arial" w:hAnsi="Arial" w:cs="Arial"/>
                <w:sz w:val="18"/>
                <w:szCs w:val="18"/>
              </w:rPr>
              <w:t>5.148</w:t>
            </w:r>
          </w:p>
        </w:tc>
        <w:tc>
          <w:tcPr>
            <w:tcW w:w="1701" w:type="dxa"/>
            <w:tcBorders>
              <w:left w:val="nil"/>
            </w:tcBorders>
            <w:shd w:val="clear" w:color="auto" w:fill="auto"/>
            <w:noWrap/>
            <w:hideMark/>
          </w:tcPr>
          <w:p w14:paraId="761AFD7F" w14:textId="77777777" w:rsidR="00E26793" w:rsidRPr="00117BF8" w:rsidRDefault="00E26793" w:rsidP="00E26793">
            <w:pPr>
              <w:pStyle w:val="TablaC"/>
              <w:rPr>
                <w:rFonts w:ascii="Arial" w:hAnsi="Arial" w:cs="Arial"/>
                <w:sz w:val="18"/>
                <w:szCs w:val="18"/>
              </w:rPr>
            </w:pPr>
            <w:r w:rsidRPr="00117BF8">
              <w:rPr>
                <w:rFonts w:ascii="Arial" w:hAnsi="Arial" w:cs="Arial"/>
                <w:sz w:val="18"/>
                <w:szCs w:val="18"/>
              </w:rPr>
              <w:t>50,0%</w:t>
            </w:r>
          </w:p>
        </w:tc>
      </w:tr>
      <w:tr w:rsidR="006D22B0" w:rsidRPr="008D51E7" w14:paraId="7CF4C868" w14:textId="77777777" w:rsidTr="006D22B0">
        <w:trPr>
          <w:trHeight w:val="300"/>
          <w:jc w:val="center"/>
        </w:trPr>
        <w:tc>
          <w:tcPr>
            <w:tcW w:w="2283" w:type="dxa"/>
            <w:tcBorders>
              <w:right w:val="nil"/>
            </w:tcBorders>
            <w:shd w:val="clear" w:color="auto" w:fill="D3DFEE"/>
            <w:noWrap/>
            <w:hideMark/>
          </w:tcPr>
          <w:p w14:paraId="219BABB8" w14:textId="77777777" w:rsidR="00E26793" w:rsidRPr="00117BF8" w:rsidRDefault="00E26793" w:rsidP="006D22B0">
            <w:pPr>
              <w:pStyle w:val="TablaC"/>
              <w:jc w:val="left"/>
              <w:rPr>
                <w:rFonts w:ascii="Arial" w:hAnsi="Arial" w:cs="Arial"/>
                <w:bCs/>
                <w:sz w:val="18"/>
                <w:szCs w:val="18"/>
              </w:rPr>
            </w:pPr>
            <w:r w:rsidRPr="00117BF8">
              <w:rPr>
                <w:rFonts w:ascii="Arial" w:hAnsi="Arial" w:cs="Arial"/>
                <w:bCs/>
                <w:sz w:val="18"/>
                <w:szCs w:val="18"/>
              </w:rPr>
              <w:t>BIRF</w:t>
            </w:r>
          </w:p>
        </w:tc>
        <w:tc>
          <w:tcPr>
            <w:tcW w:w="1701" w:type="dxa"/>
            <w:tcBorders>
              <w:left w:val="nil"/>
              <w:right w:val="nil"/>
            </w:tcBorders>
            <w:shd w:val="clear" w:color="auto" w:fill="D3DFEE"/>
            <w:noWrap/>
            <w:hideMark/>
          </w:tcPr>
          <w:p w14:paraId="6C1763E5" w14:textId="77777777" w:rsidR="00E26793" w:rsidRPr="00117BF8" w:rsidRDefault="00E26793" w:rsidP="00E26793">
            <w:pPr>
              <w:pStyle w:val="TablaC"/>
              <w:rPr>
                <w:rFonts w:ascii="Arial" w:hAnsi="Arial" w:cs="Arial"/>
                <w:sz w:val="18"/>
                <w:szCs w:val="18"/>
              </w:rPr>
            </w:pPr>
            <w:r w:rsidRPr="00117BF8">
              <w:rPr>
                <w:rFonts w:ascii="Arial" w:hAnsi="Arial" w:cs="Arial"/>
                <w:sz w:val="18"/>
                <w:szCs w:val="18"/>
              </w:rPr>
              <w:t>4.786</w:t>
            </w:r>
          </w:p>
        </w:tc>
        <w:tc>
          <w:tcPr>
            <w:tcW w:w="1701" w:type="dxa"/>
            <w:tcBorders>
              <w:left w:val="nil"/>
            </w:tcBorders>
            <w:shd w:val="clear" w:color="auto" w:fill="D3DFEE"/>
            <w:noWrap/>
            <w:hideMark/>
          </w:tcPr>
          <w:p w14:paraId="58602EEB" w14:textId="77777777" w:rsidR="00E26793" w:rsidRPr="00117BF8" w:rsidRDefault="00E26793" w:rsidP="00E26793">
            <w:pPr>
              <w:pStyle w:val="TablaC"/>
              <w:rPr>
                <w:rFonts w:ascii="Arial" w:hAnsi="Arial" w:cs="Arial"/>
                <w:sz w:val="18"/>
                <w:szCs w:val="18"/>
              </w:rPr>
            </w:pPr>
            <w:r w:rsidRPr="00117BF8">
              <w:rPr>
                <w:rFonts w:ascii="Arial" w:hAnsi="Arial" w:cs="Arial"/>
                <w:sz w:val="18"/>
                <w:szCs w:val="18"/>
              </w:rPr>
              <w:t>46,5%</w:t>
            </w:r>
          </w:p>
        </w:tc>
      </w:tr>
      <w:tr w:rsidR="006D22B0" w:rsidRPr="008D51E7" w14:paraId="78ABF577" w14:textId="77777777" w:rsidTr="006D22B0">
        <w:trPr>
          <w:trHeight w:val="300"/>
          <w:jc w:val="center"/>
        </w:trPr>
        <w:tc>
          <w:tcPr>
            <w:tcW w:w="2283" w:type="dxa"/>
            <w:tcBorders>
              <w:right w:val="nil"/>
            </w:tcBorders>
            <w:shd w:val="clear" w:color="auto" w:fill="auto"/>
            <w:noWrap/>
            <w:hideMark/>
          </w:tcPr>
          <w:p w14:paraId="55B93238" w14:textId="77777777" w:rsidR="00E26793" w:rsidRPr="00117BF8" w:rsidRDefault="00E26793" w:rsidP="006D22B0">
            <w:pPr>
              <w:pStyle w:val="TablaC"/>
              <w:jc w:val="left"/>
              <w:rPr>
                <w:rFonts w:ascii="Arial" w:hAnsi="Arial" w:cs="Arial"/>
                <w:bCs/>
                <w:sz w:val="18"/>
                <w:szCs w:val="18"/>
              </w:rPr>
            </w:pPr>
            <w:r w:rsidRPr="00117BF8">
              <w:rPr>
                <w:rFonts w:ascii="Arial" w:hAnsi="Arial" w:cs="Arial"/>
                <w:bCs/>
                <w:sz w:val="18"/>
                <w:szCs w:val="18"/>
              </w:rPr>
              <w:t>FONPLATA</w:t>
            </w:r>
          </w:p>
        </w:tc>
        <w:tc>
          <w:tcPr>
            <w:tcW w:w="1701" w:type="dxa"/>
            <w:tcBorders>
              <w:left w:val="nil"/>
              <w:right w:val="nil"/>
            </w:tcBorders>
            <w:shd w:val="clear" w:color="auto" w:fill="auto"/>
            <w:noWrap/>
            <w:hideMark/>
          </w:tcPr>
          <w:p w14:paraId="3CC872AC" w14:textId="77777777" w:rsidR="00E26793" w:rsidRPr="00117BF8" w:rsidRDefault="00E26793" w:rsidP="00E26793">
            <w:pPr>
              <w:pStyle w:val="TablaC"/>
              <w:rPr>
                <w:rFonts w:ascii="Arial" w:hAnsi="Arial" w:cs="Arial"/>
                <w:sz w:val="18"/>
                <w:szCs w:val="18"/>
              </w:rPr>
            </w:pPr>
            <w:r w:rsidRPr="00117BF8">
              <w:rPr>
                <w:rFonts w:ascii="Arial" w:hAnsi="Arial" w:cs="Arial"/>
                <w:sz w:val="18"/>
                <w:szCs w:val="18"/>
              </w:rPr>
              <w:t>367</w:t>
            </w:r>
          </w:p>
        </w:tc>
        <w:tc>
          <w:tcPr>
            <w:tcW w:w="1701" w:type="dxa"/>
            <w:tcBorders>
              <w:left w:val="nil"/>
            </w:tcBorders>
            <w:shd w:val="clear" w:color="auto" w:fill="auto"/>
            <w:noWrap/>
            <w:hideMark/>
          </w:tcPr>
          <w:p w14:paraId="70E412A3" w14:textId="77777777" w:rsidR="00E26793" w:rsidRPr="00117BF8" w:rsidRDefault="00E26793" w:rsidP="00E26793">
            <w:pPr>
              <w:pStyle w:val="TablaC"/>
              <w:rPr>
                <w:rFonts w:ascii="Arial" w:hAnsi="Arial" w:cs="Arial"/>
                <w:sz w:val="18"/>
                <w:szCs w:val="18"/>
              </w:rPr>
            </w:pPr>
            <w:r w:rsidRPr="00117BF8">
              <w:rPr>
                <w:rFonts w:ascii="Arial" w:hAnsi="Arial" w:cs="Arial"/>
                <w:sz w:val="18"/>
                <w:szCs w:val="18"/>
              </w:rPr>
              <w:t>3,6%</w:t>
            </w:r>
          </w:p>
        </w:tc>
      </w:tr>
      <w:tr w:rsidR="006D22B0" w:rsidRPr="008D51E7" w14:paraId="4565146C" w14:textId="77777777" w:rsidTr="006D22B0">
        <w:trPr>
          <w:trHeight w:val="300"/>
          <w:jc w:val="center"/>
        </w:trPr>
        <w:tc>
          <w:tcPr>
            <w:tcW w:w="2283" w:type="dxa"/>
            <w:tcBorders>
              <w:right w:val="nil"/>
            </w:tcBorders>
            <w:shd w:val="clear" w:color="auto" w:fill="D3DFEE"/>
            <w:noWrap/>
            <w:hideMark/>
          </w:tcPr>
          <w:p w14:paraId="77F4D8FA" w14:textId="77777777" w:rsidR="00E26793" w:rsidRPr="00117BF8" w:rsidRDefault="00E26793" w:rsidP="006D22B0">
            <w:pPr>
              <w:pStyle w:val="TablaC"/>
              <w:jc w:val="left"/>
              <w:rPr>
                <w:rFonts w:ascii="Arial" w:hAnsi="Arial" w:cs="Arial"/>
                <w:bCs/>
                <w:sz w:val="18"/>
                <w:szCs w:val="18"/>
              </w:rPr>
            </w:pPr>
            <w:r w:rsidRPr="00117BF8">
              <w:rPr>
                <w:rFonts w:ascii="Arial" w:hAnsi="Arial" w:cs="Arial"/>
                <w:bCs/>
                <w:sz w:val="18"/>
                <w:szCs w:val="18"/>
              </w:rPr>
              <w:t>Total</w:t>
            </w:r>
          </w:p>
        </w:tc>
        <w:tc>
          <w:tcPr>
            <w:tcW w:w="1701" w:type="dxa"/>
            <w:tcBorders>
              <w:left w:val="nil"/>
              <w:right w:val="nil"/>
            </w:tcBorders>
            <w:shd w:val="clear" w:color="auto" w:fill="D3DFEE"/>
            <w:noWrap/>
            <w:hideMark/>
          </w:tcPr>
          <w:p w14:paraId="0734EDAD" w14:textId="77777777" w:rsidR="00E26793" w:rsidRPr="00117BF8" w:rsidRDefault="00E26793" w:rsidP="00E26793">
            <w:pPr>
              <w:pStyle w:val="TablaC"/>
              <w:rPr>
                <w:rFonts w:ascii="Arial" w:hAnsi="Arial" w:cs="Arial"/>
                <w:sz w:val="18"/>
                <w:szCs w:val="18"/>
              </w:rPr>
            </w:pPr>
            <w:r w:rsidRPr="00117BF8">
              <w:rPr>
                <w:rFonts w:ascii="Arial" w:hAnsi="Arial" w:cs="Arial"/>
                <w:sz w:val="18"/>
                <w:szCs w:val="18"/>
              </w:rPr>
              <w:t>10.301</w:t>
            </w:r>
          </w:p>
        </w:tc>
        <w:tc>
          <w:tcPr>
            <w:tcW w:w="1701" w:type="dxa"/>
            <w:tcBorders>
              <w:left w:val="nil"/>
            </w:tcBorders>
            <w:shd w:val="clear" w:color="auto" w:fill="D3DFEE"/>
            <w:noWrap/>
            <w:hideMark/>
          </w:tcPr>
          <w:p w14:paraId="148ECD42" w14:textId="77777777" w:rsidR="00E26793" w:rsidRPr="00117BF8" w:rsidRDefault="00E26793" w:rsidP="00E26793">
            <w:pPr>
              <w:pStyle w:val="TablaC"/>
              <w:rPr>
                <w:rFonts w:ascii="Arial" w:hAnsi="Arial" w:cs="Arial"/>
                <w:sz w:val="18"/>
                <w:szCs w:val="18"/>
              </w:rPr>
            </w:pPr>
            <w:r w:rsidRPr="00117BF8">
              <w:rPr>
                <w:rFonts w:ascii="Arial" w:hAnsi="Arial" w:cs="Arial"/>
                <w:sz w:val="18"/>
                <w:szCs w:val="18"/>
              </w:rPr>
              <w:t>100,0%</w:t>
            </w:r>
          </w:p>
        </w:tc>
      </w:tr>
    </w:tbl>
    <w:p w14:paraId="4E740828" w14:textId="0C0EA4F7" w:rsidR="00E26793" w:rsidRPr="00117BF8" w:rsidRDefault="009808C0" w:rsidP="00117BF8">
      <w:pPr>
        <w:pStyle w:val="Hfuente"/>
        <w:ind w:left="708" w:firstLine="708"/>
      </w:pPr>
      <w:r w:rsidRPr="00117BF8">
        <w:rPr>
          <w:rFonts w:ascii="Arial" w:eastAsia="Calibri" w:hAnsi="Arial" w:cs="Arial"/>
          <w:sz w:val="18"/>
          <w:szCs w:val="18"/>
        </w:rPr>
        <w:t>Fuente: Elaboración propia en base a datos de la CGPBA</w:t>
      </w:r>
    </w:p>
    <w:p w14:paraId="5469C89D" w14:textId="77777777" w:rsidR="00E951B4" w:rsidRPr="00117BF8" w:rsidRDefault="00E951B4" w:rsidP="00117BF8">
      <w:pPr>
        <w:pStyle w:val="Heading2"/>
        <w:spacing w:before="120" w:after="120"/>
        <w:rPr>
          <w:rFonts w:ascii="Arial" w:eastAsia="Calibri" w:hAnsi="Arial" w:cs="Arial"/>
          <w:sz w:val="22"/>
          <w:szCs w:val="22"/>
        </w:rPr>
      </w:pPr>
      <w:bookmarkStart w:id="76" w:name="_Toc494040323"/>
      <w:r w:rsidRPr="00117BF8">
        <w:rPr>
          <w:rFonts w:ascii="Arial" w:eastAsia="Calibri" w:hAnsi="Arial" w:cs="Arial"/>
          <w:sz w:val="22"/>
          <w:szCs w:val="22"/>
        </w:rPr>
        <w:t>Análisis de Balances de Situación</w:t>
      </w:r>
      <w:bookmarkEnd w:id="76"/>
    </w:p>
    <w:p w14:paraId="7941FFF4" w14:textId="77777777" w:rsidR="00E951B4" w:rsidRPr="00117BF8" w:rsidRDefault="005D63A9" w:rsidP="00123EE5">
      <w:pPr>
        <w:pStyle w:val="hsa"/>
        <w:rPr>
          <w:rFonts w:ascii="Arial" w:eastAsia="Calibri" w:hAnsi="Arial" w:cs="Arial"/>
          <w:sz w:val="22"/>
          <w:szCs w:val="22"/>
        </w:rPr>
      </w:pPr>
      <w:r w:rsidRPr="00117BF8">
        <w:rPr>
          <w:rFonts w:ascii="Arial" w:hAnsi="Arial" w:cs="Arial"/>
          <w:sz w:val="22"/>
          <w:szCs w:val="22"/>
        </w:rPr>
        <w:t xml:space="preserve">Por </w:t>
      </w:r>
      <w:r w:rsidR="00123EE5" w:rsidRPr="00117BF8">
        <w:rPr>
          <w:rFonts w:ascii="Arial" w:hAnsi="Arial" w:cs="Arial"/>
          <w:sz w:val="22"/>
          <w:szCs w:val="22"/>
        </w:rPr>
        <w:t xml:space="preserve">lo señalado en el título </w:t>
      </w:r>
      <w:r w:rsidR="00D90F79" w:rsidRPr="00117BF8">
        <w:rPr>
          <w:rFonts w:ascii="Arial" w:hAnsi="Arial" w:cs="Arial"/>
          <w:sz w:val="22"/>
          <w:szCs w:val="22"/>
        </w:rPr>
        <w:t>“Contabilidad Presupuestaria”</w:t>
      </w:r>
      <w:r w:rsidR="00123EE5" w:rsidRPr="00117BF8">
        <w:rPr>
          <w:rFonts w:ascii="Arial" w:hAnsi="Arial" w:cs="Arial"/>
          <w:sz w:val="22"/>
          <w:szCs w:val="22"/>
        </w:rPr>
        <w:t xml:space="preserve"> no existe un balance de situación, la Provincia publica </w:t>
      </w:r>
      <w:r w:rsidR="00D90F79" w:rsidRPr="00117BF8">
        <w:rPr>
          <w:rFonts w:ascii="Arial" w:hAnsi="Arial" w:cs="Arial"/>
          <w:sz w:val="22"/>
          <w:szCs w:val="22"/>
        </w:rPr>
        <w:t xml:space="preserve">un </w:t>
      </w:r>
      <w:r w:rsidR="00123EE5" w:rsidRPr="00117BF8">
        <w:rPr>
          <w:rFonts w:ascii="Arial" w:hAnsi="Arial" w:cs="Arial"/>
          <w:sz w:val="22"/>
          <w:szCs w:val="22"/>
        </w:rPr>
        <w:t xml:space="preserve">“Resumen de Saldos del Patrimonio de la Provincia” </w:t>
      </w:r>
      <w:r w:rsidR="00D90F79" w:rsidRPr="00117BF8">
        <w:rPr>
          <w:rFonts w:ascii="Arial" w:hAnsi="Arial" w:cs="Arial"/>
          <w:sz w:val="22"/>
          <w:szCs w:val="22"/>
        </w:rPr>
        <w:t>compuesto por cuentas agrupadas en: Muebles, Inmuebles, Valores Financieros y Semovientes. Sin embargo, estos valores tienen poca significación económica en la medida que, como se indicó en el título antes</w:t>
      </w:r>
      <w:r w:rsidR="00F05DC7" w:rsidRPr="00117BF8">
        <w:rPr>
          <w:rFonts w:ascii="Arial" w:hAnsi="Arial" w:cs="Arial"/>
          <w:sz w:val="22"/>
          <w:szCs w:val="22"/>
        </w:rPr>
        <w:t xml:space="preserve"> mencionado</w:t>
      </w:r>
      <w:r w:rsidR="00D90F79" w:rsidRPr="00117BF8">
        <w:rPr>
          <w:rFonts w:ascii="Arial" w:hAnsi="Arial" w:cs="Arial"/>
          <w:sz w:val="22"/>
          <w:szCs w:val="22"/>
        </w:rPr>
        <w:t>, los activos de capital se contabilizan al costo, sin reducciones por depreciación o amortización.</w:t>
      </w:r>
    </w:p>
    <w:p w14:paraId="74053A6F" w14:textId="77777777" w:rsidR="00E951B4" w:rsidRPr="00117BF8" w:rsidRDefault="00A5498E" w:rsidP="00117BF8">
      <w:pPr>
        <w:pStyle w:val="Heading2"/>
        <w:spacing w:before="0" w:after="180"/>
        <w:rPr>
          <w:rFonts w:ascii="Arial" w:eastAsia="Calibri" w:hAnsi="Arial" w:cs="Arial"/>
          <w:sz w:val="22"/>
          <w:szCs w:val="22"/>
        </w:rPr>
      </w:pPr>
      <w:bookmarkStart w:id="77" w:name="_Toc494040324"/>
      <w:r w:rsidRPr="00117BF8">
        <w:rPr>
          <w:rFonts w:ascii="Arial" w:eastAsia="Calibri" w:hAnsi="Arial" w:cs="Arial"/>
          <w:sz w:val="22"/>
          <w:szCs w:val="22"/>
        </w:rPr>
        <w:t>Servicios Económicos</w:t>
      </w:r>
      <w:bookmarkEnd w:id="77"/>
    </w:p>
    <w:p w14:paraId="079FABD7" w14:textId="77777777" w:rsidR="00A5498E" w:rsidRPr="00117BF8" w:rsidRDefault="0086088E" w:rsidP="00A5498E">
      <w:pPr>
        <w:pStyle w:val="hsa"/>
        <w:rPr>
          <w:rFonts w:ascii="Arial" w:eastAsia="Calibri" w:hAnsi="Arial" w:cs="Arial"/>
          <w:sz w:val="22"/>
          <w:szCs w:val="22"/>
        </w:rPr>
      </w:pPr>
      <w:r w:rsidRPr="00117BF8">
        <w:rPr>
          <w:rFonts w:ascii="Arial" w:eastAsia="Calibri" w:hAnsi="Arial" w:cs="Arial"/>
          <w:sz w:val="22"/>
          <w:szCs w:val="22"/>
        </w:rPr>
        <w:t xml:space="preserve">Las erogaciones relacionadas con los préstamos AR-L1273 y AR-L1274 son contabilizadas en la Finalidad 4 Servicios Económicos y en las </w:t>
      </w:r>
      <w:r w:rsidR="00635A32" w:rsidRPr="00117BF8">
        <w:rPr>
          <w:rFonts w:ascii="Arial" w:eastAsia="Calibri" w:hAnsi="Arial" w:cs="Arial"/>
          <w:sz w:val="22"/>
          <w:szCs w:val="22"/>
        </w:rPr>
        <w:t>F</w:t>
      </w:r>
      <w:r w:rsidRPr="00117BF8">
        <w:rPr>
          <w:rFonts w:ascii="Arial" w:eastAsia="Calibri" w:hAnsi="Arial" w:cs="Arial"/>
          <w:sz w:val="22"/>
          <w:szCs w:val="22"/>
        </w:rPr>
        <w:t xml:space="preserve">unciones 4 (Suelo, Riego, Desagües y Drenajes) y 3 (Transporte) respectivamente. La evolución de los gastos contabilizados en esas funciones se </w:t>
      </w:r>
      <w:r w:rsidR="00695D34" w:rsidRPr="00117BF8">
        <w:rPr>
          <w:rFonts w:ascii="Arial" w:eastAsia="Calibri" w:hAnsi="Arial" w:cs="Arial"/>
          <w:sz w:val="22"/>
          <w:szCs w:val="22"/>
        </w:rPr>
        <w:t>indica</w:t>
      </w:r>
      <w:r w:rsidRPr="00117BF8">
        <w:rPr>
          <w:rFonts w:ascii="Arial" w:eastAsia="Calibri" w:hAnsi="Arial" w:cs="Arial"/>
          <w:sz w:val="22"/>
          <w:szCs w:val="22"/>
        </w:rPr>
        <w:t xml:space="preserve"> a continuación.</w:t>
      </w:r>
      <w:r w:rsidR="000B7726" w:rsidRPr="00117BF8">
        <w:rPr>
          <w:rFonts w:ascii="Arial" w:eastAsia="Calibri" w:hAnsi="Arial" w:cs="Arial"/>
          <w:sz w:val="22"/>
          <w:szCs w:val="22"/>
        </w:rPr>
        <w:t xml:space="preserve"> </w:t>
      </w:r>
    </w:p>
    <w:p w14:paraId="138FFFCB" w14:textId="77777777" w:rsidR="0086088E" w:rsidRPr="00117BF8" w:rsidRDefault="0086088E" w:rsidP="00A5498E">
      <w:pPr>
        <w:pStyle w:val="hsa"/>
        <w:rPr>
          <w:rFonts w:ascii="Arial" w:eastAsia="Calibri" w:hAnsi="Arial" w:cs="Arial"/>
          <w:sz w:val="22"/>
          <w:szCs w:val="22"/>
        </w:rPr>
      </w:pPr>
      <w:r w:rsidRPr="00117BF8">
        <w:rPr>
          <w:rFonts w:ascii="Arial" w:eastAsia="Calibri" w:hAnsi="Arial" w:cs="Arial"/>
          <w:sz w:val="22"/>
          <w:szCs w:val="22"/>
        </w:rPr>
        <w:t xml:space="preserve">En la tabla </w:t>
      </w:r>
      <w:r w:rsidR="00635A32" w:rsidRPr="00117BF8">
        <w:rPr>
          <w:rFonts w:ascii="Arial" w:eastAsia="Calibri" w:hAnsi="Arial" w:cs="Arial"/>
          <w:sz w:val="22"/>
          <w:szCs w:val="22"/>
        </w:rPr>
        <w:t>2</w:t>
      </w:r>
      <w:r w:rsidR="009808C0" w:rsidRPr="00117BF8">
        <w:rPr>
          <w:rFonts w:ascii="Arial" w:eastAsia="Calibri" w:hAnsi="Arial" w:cs="Arial"/>
          <w:sz w:val="22"/>
          <w:szCs w:val="22"/>
        </w:rPr>
        <w:t>9</w:t>
      </w:r>
      <w:r w:rsidRPr="00117BF8">
        <w:rPr>
          <w:rFonts w:ascii="Arial" w:eastAsia="Calibri" w:hAnsi="Arial" w:cs="Arial"/>
          <w:sz w:val="22"/>
          <w:szCs w:val="22"/>
        </w:rPr>
        <w:t xml:space="preserve"> se señala el monto correspondiente a Vialidad y</w:t>
      </w:r>
      <w:r w:rsidR="00635A32" w:rsidRPr="00117BF8">
        <w:rPr>
          <w:rFonts w:ascii="Arial" w:eastAsia="Calibri" w:hAnsi="Arial" w:cs="Arial"/>
          <w:sz w:val="22"/>
          <w:szCs w:val="22"/>
        </w:rPr>
        <w:t xml:space="preserve"> el</w:t>
      </w:r>
      <w:r w:rsidRPr="00117BF8">
        <w:rPr>
          <w:rFonts w:ascii="Arial" w:eastAsia="Calibri" w:hAnsi="Arial" w:cs="Arial"/>
          <w:sz w:val="22"/>
          <w:szCs w:val="22"/>
        </w:rPr>
        <w:t xml:space="preserve"> total de la función, </w:t>
      </w:r>
      <w:r w:rsidR="00635A32" w:rsidRPr="00117BF8">
        <w:rPr>
          <w:rFonts w:ascii="Arial" w:eastAsia="Calibri" w:hAnsi="Arial" w:cs="Arial"/>
          <w:sz w:val="22"/>
          <w:szCs w:val="22"/>
        </w:rPr>
        <w:t>que</w:t>
      </w:r>
      <w:r w:rsidRPr="00117BF8">
        <w:rPr>
          <w:rFonts w:ascii="Arial" w:eastAsia="Calibri" w:hAnsi="Arial" w:cs="Arial"/>
          <w:sz w:val="22"/>
          <w:szCs w:val="22"/>
        </w:rPr>
        <w:t xml:space="preserve"> abarca los gastos relacionados con la infraestru</w:t>
      </w:r>
      <w:r w:rsidR="000B7726" w:rsidRPr="00117BF8">
        <w:rPr>
          <w:rFonts w:ascii="Arial" w:eastAsia="Calibri" w:hAnsi="Arial" w:cs="Arial"/>
          <w:sz w:val="22"/>
          <w:szCs w:val="22"/>
        </w:rPr>
        <w:t>c</w:t>
      </w:r>
      <w:r w:rsidRPr="00117BF8">
        <w:rPr>
          <w:rFonts w:ascii="Arial" w:eastAsia="Calibri" w:hAnsi="Arial" w:cs="Arial"/>
          <w:sz w:val="22"/>
          <w:szCs w:val="22"/>
        </w:rPr>
        <w:t>tura de trasporte</w:t>
      </w:r>
      <w:r w:rsidR="000B7726" w:rsidRPr="00117BF8">
        <w:rPr>
          <w:rFonts w:ascii="Arial" w:eastAsia="Calibri" w:hAnsi="Arial" w:cs="Arial"/>
          <w:sz w:val="22"/>
          <w:szCs w:val="22"/>
        </w:rPr>
        <w:t xml:space="preserve">. La </w:t>
      </w:r>
      <w:r w:rsidR="00695D34" w:rsidRPr="00117BF8">
        <w:rPr>
          <w:rFonts w:ascii="Arial" w:eastAsia="Calibri" w:hAnsi="Arial" w:cs="Arial"/>
          <w:sz w:val="22"/>
          <w:szCs w:val="22"/>
        </w:rPr>
        <w:t>Dirección</w:t>
      </w:r>
      <w:r w:rsidR="000B7726" w:rsidRPr="00117BF8">
        <w:rPr>
          <w:rFonts w:ascii="Arial" w:eastAsia="Calibri" w:hAnsi="Arial" w:cs="Arial"/>
          <w:sz w:val="22"/>
          <w:szCs w:val="22"/>
        </w:rPr>
        <w:t xml:space="preserve"> de Vialidad es la encargada de la construcción, operación y mantenimiento de las rutas</w:t>
      </w:r>
      <w:r w:rsidR="00635A32" w:rsidRPr="00117BF8">
        <w:rPr>
          <w:rFonts w:ascii="Arial" w:eastAsia="Calibri" w:hAnsi="Arial" w:cs="Arial"/>
          <w:sz w:val="22"/>
          <w:szCs w:val="22"/>
        </w:rPr>
        <w:t>,</w:t>
      </w:r>
      <w:r w:rsidRPr="00117BF8">
        <w:rPr>
          <w:rFonts w:ascii="Arial" w:eastAsia="Calibri" w:hAnsi="Arial" w:cs="Arial"/>
          <w:sz w:val="22"/>
          <w:szCs w:val="22"/>
        </w:rPr>
        <w:t xml:space="preserve"> </w:t>
      </w:r>
      <w:r w:rsidR="000B7726" w:rsidRPr="00117BF8">
        <w:rPr>
          <w:rFonts w:ascii="Arial" w:eastAsia="Calibri" w:hAnsi="Arial" w:cs="Arial"/>
          <w:sz w:val="22"/>
          <w:szCs w:val="22"/>
        </w:rPr>
        <w:t xml:space="preserve">el </w:t>
      </w:r>
      <w:r w:rsidR="00635A32" w:rsidRPr="00117BF8">
        <w:rPr>
          <w:rFonts w:ascii="Arial" w:eastAsia="Calibri" w:hAnsi="Arial" w:cs="Arial"/>
          <w:sz w:val="22"/>
          <w:szCs w:val="22"/>
        </w:rPr>
        <w:t>gasto</w:t>
      </w:r>
      <w:r w:rsidR="000B7726" w:rsidRPr="00117BF8">
        <w:rPr>
          <w:rFonts w:ascii="Arial" w:eastAsia="Calibri" w:hAnsi="Arial" w:cs="Arial"/>
          <w:sz w:val="22"/>
          <w:szCs w:val="22"/>
        </w:rPr>
        <w:t xml:space="preserve"> de esta Dirección en 2016 representó el 72% de la función.</w:t>
      </w:r>
    </w:p>
    <w:tbl>
      <w:tblPr>
        <w:tblW w:w="750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00"/>
        <w:gridCol w:w="1240"/>
        <w:gridCol w:w="1220"/>
        <w:gridCol w:w="1220"/>
        <w:gridCol w:w="1220"/>
      </w:tblGrid>
      <w:tr w:rsidR="00E15B57" w:rsidRPr="004E6455" w14:paraId="1A23BB51" w14:textId="77777777" w:rsidTr="00C007D0">
        <w:trPr>
          <w:trHeight w:val="315"/>
          <w:jc w:val="center"/>
        </w:trPr>
        <w:tc>
          <w:tcPr>
            <w:tcW w:w="7500" w:type="dxa"/>
            <w:gridSpan w:val="5"/>
            <w:tcBorders>
              <w:top w:val="single" w:sz="8" w:space="0" w:color="7BA0CD"/>
              <w:left w:val="single" w:sz="8" w:space="0" w:color="7BA0CD"/>
              <w:bottom w:val="single" w:sz="8" w:space="0" w:color="7BA0CD"/>
              <w:right w:val="single" w:sz="8" w:space="0" w:color="7BA0CD"/>
            </w:tcBorders>
            <w:shd w:val="clear" w:color="auto" w:fill="0070C0"/>
            <w:noWrap/>
          </w:tcPr>
          <w:p w14:paraId="1654DA6D" w14:textId="77777777" w:rsidR="00E15B57" w:rsidRPr="00117BF8" w:rsidRDefault="00E15B57" w:rsidP="00A03DD6">
            <w:pPr>
              <w:pStyle w:val="TablaT"/>
              <w:rPr>
                <w:rFonts w:ascii="Arial" w:hAnsi="Arial" w:cs="Arial"/>
                <w:bCs/>
                <w:sz w:val="22"/>
                <w:szCs w:val="22"/>
                <w:lang w:val="es-ES_tradnl"/>
              </w:rPr>
            </w:pPr>
            <w:bookmarkStart w:id="78" w:name="_Toc493861139"/>
            <w:r w:rsidRPr="00117BF8">
              <w:rPr>
                <w:rFonts w:ascii="Arial" w:hAnsi="Arial" w:cs="Arial"/>
                <w:bCs/>
                <w:sz w:val="22"/>
                <w:szCs w:val="22"/>
                <w:lang w:val="es-ES_tradnl"/>
              </w:rPr>
              <w:t xml:space="preserve">Tabla </w:t>
            </w:r>
            <w:r w:rsidR="00635A32" w:rsidRPr="00117BF8">
              <w:rPr>
                <w:rFonts w:ascii="Arial" w:hAnsi="Arial" w:cs="Arial"/>
                <w:bCs/>
                <w:sz w:val="22"/>
                <w:szCs w:val="22"/>
                <w:lang w:val="es-ES_tradnl"/>
              </w:rPr>
              <w:t>2</w:t>
            </w:r>
            <w:r w:rsidR="009808C0" w:rsidRPr="00117BF8">
              <w:rPr>
                <w:rFonts w:ascii="Arial" w:hAnsi="Arial" w:cs="Arial"/>
                <w:bCs/>
                <w:sz w:val="22"/>
                <w:szCs w:val="22"/>
                <w:lang w:val="es-ES_tradnl"/>
              </w:rPr>
              <w:t>9</w:t>
            </w:r>
            <w:r w:rsidRPr="00117BF8">
              <w:rPr>
                <w:rFonts w:ascii="Arial" w:hAnsi="Arial" w:cs="Arial"/>
                <w:bCs/>
                <w:sz w:val="22"/>
                <w:szCs w:val="22"/>
                <w:lang w:val="es-ES_tradnl"/>
              </w:rPr>
              <w:t xml:space="preserve"> - </w:t>
            </w:r>
            <w:r w:rsidR="00A5498E" w:rsidRPr="00117BF8">
              <w:rPr>
                <w:rFonts w:ascii="Arial" w:hAnsi="Arial" w:cs="Arial"/>
                <w:bCs/>
                <w:sz w:val="22"/>
                <w:szCs w:val="22"/>
                <w:lang w:val="es-ES_tradnl"/>
              </w:rPr>
              <w:t>Función 3 – Transporte</w:t>
            </w:r>
            <w:bookmarkEnd w:id="78"/>
          </w:p>
          <w:p w14:paraId="504C4C9B" w14:textId="77777777" w:rsidR="00A5498E" w:rsidRPr="00117BF8" w:rsidRDefault="00A5498E" w:rsidP="00A5498E">
            <w:pPr>
              <w:pStyle w:val="TablaC"/>
              <w:rPr>
                <w:rFonts w:ascii="Arial" w:hAnsi="Arial" w:cs="Arial"/>
                <w:b/>
                <w:bCs/>
                <w:color w:val="FFFFFF"/>
                <w:szCs w:val="22"/>
                <w:lang w:val="es-ES_tradnl"/>
              </w:rPr>
            </w:pPr>
            <w:r w:rsidRPr="00117BF8">
              <w:rPr>
                <w:rFonts w:ascii="Arial" w:hAnsi="Arial" w:cs="Arial"/>
                <w:b/>
                <w:bCs/>
                <w:color w:val="FFFFFF"/>
                <w:szCs w:val="22"/>
                <w:lang w:val="es-ES_tradnl"/>
              </w:rPr>
              <w:t>Millones de pesos</w:t>
            </w:r>
          </w:p>
        </w:tc>
      </w:tr>
      <w:tr w:rsidR="00C007D0" w:rsidRPr="004E6455" w14:paraId="273FF2F9" w14:textId="77777777" w:rsidTr="00C007D0">
        <w:trPr>
          <w:trHeight w:val="315"/>
          <w:jc w:val="center"/>
        </w:trPr>
        <w:tc>
          <w:tcPr>
            <w:tcW w:w="2600" w:type="dxa"/>
            <w:tcBorders>
              <w:right w:val="nil"/>
            </w:tcBorders>
            <w:shd w:val="clear" w:color="auto" w:fill="0070C0"/>
            <w:noWrap/>
            <w:hideMark/>
          </w:tcPr>
          <w:p w14:paraId="67D5C034" w14:textId="77777777" w:rsidR="00E15B57" w:rsidRPr="00117BF8" w:rsidRDefault="00E15B57" w:rsidP="00E15B57">
            <w:pPr>
              <w:pStyle w:val="TablaE"/>
              <w:rPr>
                <w:rFonts w:ascii="Arial" w:hAnsi="Arial" w:cs="Arial"/>
                <w:b w:val="0"/>
                <w:bCs/>
              </w:rPr>
            </w:pPr>
          </w:p>
        </w:tc>
        <w:tc>
          <w:tcPr>
            <w:tcW w:w="1240" w:type="dxa"/>
            <w:tcBorders>
              <w:left w:val="nil"/>
              <w:right w:val="nil"/>
            </w:tcBorders>
            <w:shd w:val="clear" w:color="auto" w:fill="0070C0"/>
            <w:noWrap/>
            <w:hideMark/>
          </w:tcPr>
          <w:p w14:paraId="0E3B8A6C" w14:textId="77777777" w:rsidR="00E15B57" w:rsidRPr="00117BF8" w:rsidRDefault="00E15B57" w:rsidP="00E15B57">
            <w:pPr>
              <w:pStyle w:val="TablaE"/>
              <w:rPr>
                <w:rFonts w:ascii="Arial" w:hAnsi="Arial" w:cs="Arial"/>
                <w:sz w:val="22"/>
                <w:szCs w:val="22"/>
              </w:rPr>
            </w:pPr>
            <w:r w:rsidRPr="00117BF8">
              <w:rPr>
                <w:rFonts w:ascii="Arial" w:hAnsi="Arial" w:cs="Arial"/>
                <w:sz w:val="22"/>
                <w:szCs w:val="22"/>
              </w:rPr>
              <w:t>2013</w:t>
            </w:r>
          </w:p>
        </w:tc>
        <w:tc>
          <w:tcPr>
            <w:tcW w:w="1220" w:type="dxa"/>
            <w:tcBorders>
              <w:left w:val="nil"/>
              <w:right w:val="nil"/>
            </w:tcBorders>
            <w:shd w:val="clear" w:color="auto" w:fill="0070C0"/>
            <w:noWrap/>
            <w:hideMark/>
          </w:tcPr>
          <w:p w14:paraId="1D3A0A8F" w14:textId="77777777" w:rsidR="00E15B57" w:rsidRPr="00117BF8" w:rsidRDefault="00E15B57" w:rsidP="00E15B57">
            <w:pPr>
              <w:pStyle w:val="TablaE"/>
              <w:rPr>
                <w:rFonts w:ascii="Arial" w:hAnsi="Arial" w:cs="Arial"/>
                <w:sz w:val="22"/>
                <w:szCs w:val="22"/>
              </w:rPr>
            </w:pPr>
            <w:r w:rsidRPr="00117BF8">
              <w:rPr>
                <w:rFonts w:ascii="Arial" w:hAnsi="Arial" w:cs="Arial"/>
                <w:sz w:val="22"/>
                <w:szCs w:val="22"/>
              </w:rPr>
              <w:t>2014</w:t>
            </w:r>
          </w:p>
        </w:tc>
        <w:tc>
          <w:tcPr>
            <w:tcW w:w="1220" w:type="dxa"/>
            <w:tcBorders>
              <w:left w:val="nil"/>
              <w:right w:val="nil"/>
            </w:tcBorders>
            <w:shd w:val="clear" w:color="auto" w:fill="0070C0"/>
            <w:noWrap/>
            <w:hideMark/>
          </w:tcPr>
          <w:p w14:paraId="56B3C1B3" w14:textId="77777777" w:rsidR="00E15B57" w:rsidRPr="00117BF8" w:rsidRDefault="00E15B57" w:rsidP="00E15B57">
            <w:pPr>
              <w:pStyle w:val="TablaE"/>
              <w:rPr>
                <w:rFonts w:ascii="Arial" w:hAnsi="Arial" w:cs="Arial"/>
                <w:sz w:val="22"/>
                <w:szCs w:val="22"/>
              </w:rPr>
            </w:pPr>
            <w:r w:rsidRPr="00117BF8">
              <w:rPr>
                <w:rFonts w:ascii="Arial" w:hAnsi="Arial" w:cs="Arial"/>
                <w:sz w:val="22"/>
                <w:szCs w:val="22"/>
              </w:rPr>
              <w:t>2015</w:t>
            </w:r>
          </w:p>
        </w:tc>
        <w:tc>
          <w:tcPr>
            <w:tcW w:w="1220" w:type="dxa"/>
            <w:tcBorders>
              <w:left w:val="nil"/>
            </w:tcBorders>
            <w:shd w:val="clear" w:color="auto" w:fill="0070C0"/>
            <w:noWrap/>
            <w:hideMark/>
          </w:tcPr>
          <w:p w14:paraId="491AE13E" w14:textId="77777777" w:rsidR="00E15B57" w:rsidRPr="00117BF8" w:rsidRDefault="00E15B57" w:rsidP="00E15B57">
            <w:pPr>
              <w:pStyle w:val="TablaE"/>
              <w:rPr>
                <w:rFonts w:ascii="Arial" w:hAnsi="Arial" w:cs="Arial"/>
                <w:sz w:val="22"/>
                <w:szCs w:val="22"/>
              </w:rPr>
            </w:pPr>
            <w:r w:rsidRPr="00117BF8">
              <w:rPr>
                <w:rFonts w:ascii="Arial" w:hAnsi="Arial" w:cs="Arial"/>
                <w:sz w:val="22"/>
                <w:szCs w:val="22"/>
              </w:rPr>
              <w:t>2016</w:t>
            </w:r>
          </w:p>
        </w:tc>
      </w:tr>
      <w:tr w:rsidR="00C007D0" w:rsidRPr="008D51E7" w14:paraId="17B0E5CC" w14:textId="77777777" w:rsidTr="00C007D0">
        <w:trPr>
          <w:trHeight w:val="300"/>
          <w:jc w:val="center"/>
        </w:trPr>
        <w:tc>
          <w:tcPr>
            <w:tcW w:w="2600" w:type="dxa"/>
            <w:tcBorders>
              <w:right w:val="nil"/>
            </w:tcBorders>
            <w:shd w:val="clear" w:color="auto" w:fill="auto"/>
            <w:noWrap/>
            <w:hideMark/>
          </w:tcPr>
          <w:p w14:paraId="5B590010" w14:textId="77777777" w:rsidR="00E15B57" w:rsidRPr="00117BF8" w:rsidRDefault="00E15B57" w:rsidP="00C007D0">
            <w:pPr>
              <w:pStyle w:val="TablaC"/>
              <w:jc w:val="left"/>
              <w:rPr>
                <w:rFonts w:ascii="Arial" w:hAnsi="Arial" w:cs="Arial"/>
                <w:bCs/>
                <w:sz w:val="18"/>
                <w:szCs w:val="18"/>
              </w:rPr>
            </w:pPr>
            <w:r w:rsidRPr="00117BF8">
              <w:rPr>
                <w:rFonts w:ascii="Arial" w:hAnsi="Arial" w:cs="Arial"/>
                <w:bCs/>
                <w:sz w:val="18"/>
                <w:szCs w:val="18"/>
              </w:rPr>
              <w:t>Dirección de Vialidad</w:t>
            </w:r>
          </w:p>
        </w:tc>
        <w:tc>
          <w:tcPr>
            <w:tcW w:w="1240" w:type="dxa"/>
            <w:tcBorders>
              <w:left w:val="nil"/>
              <w:right w:val="nil"/>
            </w:tcBorders>
            <w:shd w:val="clear" w:color="auto" w:fill="auto"/>
            <w:noWrap/>
            <w:hideMark/>
          </w:tcPr>
          <w:p w14:paraId="00645C34"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1.418</w:t>
            </w:r>
          </w:p>
        </w:tc>
        <w:tc>
          <w:tcPr>
            <w:tcW w:w="1220" w:type="dxa"/>
            <w:tcBorders>
              <w:left w:val="nil"/>
              <w:right w:val="nil"/>
            </w:tcBorders>
            <w:shd w:val="clear" w:color="auto" w:fill="auto"/>
            <w:noWrap/>
            <w:hideMark/>
          </w:tcPr>
          <w:p w14:paraId="2531EA12"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2.114</w:t>
            </w:r>
          </w:p>
        </w:tc>
        <w:tc>
          <w:tcPr>
            <w:tcW w:w="1220" w:type="dxa"/>
            <w:tcBorders>
              <w:left w:val="nil"/>
              <w:right w:val="nil"/>
            </w:tcBorders>
            <w:shd w:val="clear" w:color="auto" w:fill="auto"/>
            <w:noWrap/>
            <w:hideMark/>
          </w:tcPr>
          <w:p w14:paraId="06ED6A58"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2.255</w:t>
            </w:r>
          </w:p>
        </w:tc>
        <w:tc>
          <w:tcPr>
            <w:tcW w:w="1220" w:type="dxa"/>
            <w:tcBorders>
              <w:left w:val="nil"/>
            </w:tcBorders>
            <w:shd w:val="clear" w:color="auto" w:fill="auto"/>
            <w:noWrap/>
            <w:hideMark/>
          </w:tcPr>
          <w:p w14:paraId="5D155D80"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4.434</w:t>
            </w:r>
          </w:p>
        </w:tc>
      </w:tr>
      <w:tr w:rsidR="00C007D0" w:rsidRPr="008D51E7" w14:paraId="72611E34" w14:textId="77777777" w:rsidTr="00C007D0">
        <w:trPr>
          <w:trHeight w:val="300"/>
          <w:jc w:val="center"/>
        </w:trPr>
        <w:tc>
          <w:tcPr>
            <w:tcW w:w="2600" w:type="dxa"/>
            <w:shd w:val="clear" w:color="auto" w:fill="D3DFEE"/>
            <w:noWrap/>
            <w:hideMark/>
          </w:tcPr>
          <w:p w14:paraId="786C84F8" w14:textId="77777777" w:rsidR="00E15B57" w:rsidRPr="00117BF8" w:rsidRDefault="00E15B57" w:rsidP="00C007D0">
            <w:pPr>
              <w:pStyle w:val="TablaC"/>
              <w:jc w:val="left"/>
              <w:rPr>
                <w:rFonts w:ascii="Arial" w:hAnsi="Arial" w:cs="Arial"/>
                <w:bCs/>
                <w:sz w:val="18"/>
                <w:szCs w:val="18"/>
              </w:rPr>
            </w:pPr>
            <w:r w:rsidRPr="00117BF8">
              <w:rPr>
                <w:rFonts w:ascii="Arial" w:hAnsi="Arial" w:cs="Arial"/>
                <w:bCs/>
                <w:sz w:val="18"/>
                <w:szCs w:val="18"/>
              </w:rPr>
              <w:t>Transporte</w:t>
            </w:r>
          </w:p>
        </w:tc>
        <w:tc>
          <w:tcPr>
            <w:tcW w:w="1240" w:type="dxa"/>
            <w:shd w:val="clear" w:color="auto" w:fill="D3DFEE"/>
            <w:noWrap/>
            <w:hideMark/>
          </w:tcPr>
          <w:p w14:paraId="76361155"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2.119</w:t>
            </w:r>
          </w:p>
        </w:tc>
        <w:tc>
          <w:tcPr>
            <w:tcW w:w="1220" w:type="dxa"/>
            <w:shd w:val="clear" w:color="auto" w:fill="D3DFEE"/>
            <w:noWrap/>
            <w:hideMark/>
          </w:tcPr>
          <w:p w14:paraId="1343D1CF"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3.233</w:t>
            </w:r>
          </w:p>
        </w:tc>
        <w:tc>
          <w:tcPr>
            <w:tcW w:w="1220" w:type="dxa"/>
            <w:shd w:val="clear" w:color="auto" w:fill="D3DFEE"/>
            <w:noWrap/>
            <w:hideMark/>
          </w:tcPr>
          <w:p w14:paraId="2BD4A347"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3.579</w:t>
            </w:r>
          </w:p>
        </w:tc>
        <w:tc>
          <w:tcPr>
            <w:tcW w:w="1220" w:type="dxa"/>
            <w:shd w:val="clear" w:color="auto" w:fill="D3DFEE"/>
            <w:noWrap/>
            <w:hideMark/>
          </w:tcPr>
          <w:p w14:paraId="1788B3A9"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6.184</w:t>
            </w:r>
          </w:p>
        </w:tc>
      </w:tr>
      <w:tr w:rsidR="00C007D0" w:rsidRPr="008D51E7" w14:paraId="6B1934B1" w14:textId="77777777" w:rsidTr="00C007D0">
        <w:trPr>
          <w:trHeight w:val="300"/>
          <w:jc w:val="center"/>
        </w:trPr>
        <w:tc>
          <w:tcPr>
            <w:tcW w:w="2600" w:type="dxa"/>
            <w:tcBorders>
              <w:right w:val="nil"/>
            </w:tcBorders>
            <w:shd w:val="clear" w:color="auto" w:fill="auto"/>
            <w:noWrap/>
            <w:hideMark/>
          </w:tcPr>
          <w:p w14:paraId="12D0997E" w14:textId="77777777" w:rsidR="00E15B57" w:rsidRPr="00117BF8" w:rsidRDefault="00E15B57" w:rsidP="00C007D0">
            <w:pPr>
              <w:pStyle w:val="TablaC"/>
              <w:jc w:val="left"/>
              <w:rPr>
                <w:rFonts w:ascii="Arial" w:hAnsi="Arial" w:cs="Arial"/>
                <w:bCs/>
                <w:sz w:val="18"/>
                <w:szCs w:val="18"/>
              </w:rPr>
            </w:pPr>
            <w:r w:rsidRPr="00117BF8">
              <w:rPr>
                <w:rFonts w:ascii="Arial" w:hAnsi="Arial" w:cs="Arial"/>
                <w:bCs/>
                <w:sz w:val="18"/>
                <w:szCs w:val="18"/>
              </w:rPr>
              <w:t>Vialidad S/ Total</w:t>
            </w:r>
          </w:p>
        </w:tc>
        <w:tc>
          <w:tcPr>
            <w:tcW w:w="1240" w:type="dxa"/>
            <w:tcBorders>
              <w:left w:val="nil"/>
              <w:right w:val="nil"/>
            </w:tcBorders>
            <w:shd w:val="clear" w:color="auto" w:fill="auto"/>
            <w:noWrap/>
            <w:hideMark/>
          </w:tcPr>
          <w:p w14:paraId="679D4020"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67%</w:t>
            </w:r>
          </w:p>
        </w:tc>
        <w:tc>
          <w:tcPr>
            <w:tcW w:w="1220" w:type="dxa"/>
            <w:tcBorders>
              <w:left w:val="nil"/>
              <w:right w:val="nil"/>
            </w:tcBorders>
            <w:shd w:val="clear" w:color="auto" w:fill="auto"/>
            <w:noWrap/>
            <w:hideMark/>
          </w:tcPr>
          <w:p w14:paraId="16B20529"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65%</w:t>
            </w:r>
          </w:p>
        </w:tc>
        <w:tc>
          <w:tcPr>
            <w:tcW w:w="1220" w:type="dxa"/>
            <w:tcBorders>
              <w:left w:val="nil"/>
              <w:right w:val="nil"/>
            </w:tcBorders>
            <w:shd w:val="clear" w:color="auto" w:fill="auto"/>
            <w:noWrap/>
            <w:hideMark/>
          </w:tcPr>
          <w:p w14:paraId="467CC133"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63%</w:t>
            </w:r>
          </w:p>
        </w:tc>
        <w:tc>
          <w:tcPr>
            <w:tcW w:w="1220" w:type="dxa"/>
            <w:tcBorders>
              <w:left w:val="nil"/>
            </w:tcBorders>
            <w:shd w:val="clear" w:color="auto" w:fill="auto"/>
            <w:noWrap/>
            <w:hideMark/>
          </w:tcPr>
          <w:p w14:paraId="3B0C8A0F" w14:textId="77777777" w:rsidR="00E15B57" w:rsidRPr="00117BF8" w:rsidRDefault="00E15B57" w:rsidP="00E15B57">
            <w:pPr>
              <w:pStyle w:val="TablaC"/>
              <w:rPr>
                <w:rFonts w:ascii="Arial" w:hAnsi="Arial" w:cs="Arial"/>
                <w:sz w:val="18"/>
                <w:szCs w:val="18"/>
              </w:rPr>
            </w:pPr>
            <w:r w:rsidRPr="00117BF8">
              <w:rPr>
                <w:rFonts w:ascii="Arial" w:hAnsi="Arial" w:cs="Arial"/>
                <w:sz w:val="18"/>
                <w:szCs w:val="18"/>
              </w:rPr>
              <w:t>72%</w:t>
            </w:r>
          </w:p>
        </w:tc>
      </w:tr>
    </w:tbl>
    <w:p w14:paraId="410762F0" w14:textId="77777777" w:rsidR="00635A32" w:rsidRPr="00117BF8" w:rsidRDefault="00635A32" w:rsidP="00117BF8">
      <w:pPr>
        <w:pStyle w:val="Hfuente"/>
        <w:ind w:firstLine="708"/>
        <w:rPr>
          <w:rFonts w:ascii="Arial" w:eastAsia="Calibri" w:hAnsi="Arial" w:cs="Arial"/>
          <w:sz w:val="18"/>
          <w:szCs w:val="18"/>
        </w:rPr>
      </w:pPr>
      <w:r w:rsidRPr="00117BF8">
        <w:rPr>
          <w:rFonts w:ascii="Arial" w:eastAsia="Calibri" w:hAnsi="Arial" w:cs="Arial"/>
          <w:sz w:val="18"/>
          <w:szCs w:val="18"/>
        </w:rPr>
        <w:t>Fuente: CGPBA</w:t>
      </w:r>
    </w:p>
    <w:p w14:paraId="536B55BF" w14:textId="77777777" w:rsidR="00E15B57" w:rsidRPr="00117BF8" w:rsidRDefault="000B7726" w:rsidP="00E15B57">
      <w:pPr>
        <w:pStyle w:val="hsa"/>
        <w:rPr>
          <w:rFonts w:ascii="Arial" w:eastAsia="Calibri" w:hAnsi="Arial" w:cs="Arial"/>
          <w:sz w:val="22"/>
          <w:szCs w:val="22"/>
        </w:rPr>
      </w:pPr>
      <w:r w:rsidRPr="00117BF8">
        <w:rPr>
          <w:rFonts w:ascii="Arial" w:eastAsia="Calibri" w:hAnsi="Arial" w:cs="Arial"/>
          <w:sz w:val="22"/>
          <w:szCs w:val="22"/>
        </w:rPr>
        <w:t xml:space="preserve">En la función 4 no se identifica un organismo encargado de la operación y mantenimiento de la infraestructura a financiar con préstamo AR-L1273, se estima que esta operación formará parte del presupuesto de </w:t>
      </w:r>
      <w:r w:rsidR="00695D34" w:rsidRPr="00117BF8">
        <w:rPr>
          <w:rFonts w:ascii="Arial" w:eastAsia="Calibri" w:hAnsi="Arial" w:cs="Arial"/>
          <w:sz w:val="22"/>
          <w:szCs w:val="22"/>
        </w:rPr>
        <w:t>Infraestructura</w:t>
      </w:r>
      <w:r w:rsidRPr="00117BF8">
        <w:rPr>
          <w:rFonts w:ascii="Arial" w:eastAsia="Calibri" w:hAnsi="Arial" w:cs="Arial"/>
          <w:sz w:val="22"/>
          <w:szCs w:val="22"/>
        </w:rPr>
        <w:t xml:space="preserve"> y Servicios Públicos.</w:t>
      </w:r>
    </w:p>
    <w:tbl>
      <w:tblPr>
        <w:tblW w:w="813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230"/>
        <w:gridCol w:w="1240"/>
        <w:gridCol w:w="1220"/>
        <w:gridCol w:w="1220"/>
        <w:gridCol w:w="1220"/>
      </w:tblGrid>
      <w:tr w:rsidR="00A5498E" w:rsidRPr="004E6455" w14:paraId="44FFD127" w14:textId="77777777" w:rsidTr="00C007D0">
        <w:trPr>
          <w:trHeight w:val="315"/>
          <w:jc w:val="center"/>
        </w:trPr>
        <w:tc>
          <w:tcPr>
            <w:tcW w:w="8130" w:type="dxa"/>
            <w:gridSpan w:val="5"/>
            <w:tcBorders>
              <w:top w:val="single" w:sz="8" w:space="0" w:color="7BA0CD"/>
              <w:left w:val="single" w:sz="8" w:space="0" w:color="7BA0CD"/>
              <w:bottom w:val="single" w:sz="8" w:space="0" w:color="7BA0CD"/>
              <w:right w:val="single" w:sz="8" w:space="0" w:color="7BA0CD"/>
            </w:tcBorders>
            <w:shd w:val="clear" w:color="auto" w:fill="0070C0"/>
            <w:noWrap/>
          </w:tcPr>
          <w:p w14:paraId="57C561F1" w14:textId="77777777" w:rsidR="00A5498E" w:rsidRPr="00117BF8" w:rsidRDefault="00A5498E" w:rsidP="00635A32">
            <w:pPr>
              <w:pStyle w:val="TablaT"/>
              <w:rPr>
                <w:rFonts w:ascii="Arial" w:hAnsi="Arial" w:cs="Arial"/>
                <w:bCs/>
                <w:sz w:val="22"/>
                <w:szCs w:val="22"/>
                <w:lang w:val="es-ES_tradnl"/>
              </w:rPr>
            </w:pPr>
            <w:bookmarkStart w:id="79" w:name="_Toc493861140"/>
            <w:r w:rsidRPr="00117BF8">
              <w:rPr>
                <w:rFonts w:ascii="Arial" w:hAnsi="Arial" w:cs="Arial"/>
                <w:bCs/>
                <w:sz w:val="22"/>
                <w:szCs w:val="22"/>
                <w:lang w:val="es-ES_tradnl"/>
              </w:rPr>
              <w:t xml:space="preserve">Tabla </w:t>
            </w:r>
            <w:r w:rsidR="00084AD2" w:rsidRPr="00117BF8">
              <w:rPr>
                <w:rFonts w:ascii="Arial" w:hAnsi="Arial" w:cs="Arial"/>
                <w:bCs/>
                <w:sz w:val="22"/>
                <w:szCs w:val="22"/>
                <w:lang w:val="es-ES_tradnl"/>
              </w:rPr>
              <w:t>30</w:t>
            </w:r>
            <w:r w:rsidRPr="00117BF8">
              <w:rPr>
                <w:rFonts w:ascii="Arial" w:hAnsi="Arial" w:cs="Arial"/>
                <w:bCs/>
                <w:sz w:val="22"/>
                <w:szCs w:val="22"/>
                <w:lang w:val="es-ES_tradnl"/>
              </w:rPr>
              <w:t xml:space="preserve"> - Función 4- Suelo, Riego, Desagües y Drenajes</w:t>
            </w:r>
            <w:bookmarkEnd w:id="79"/>
          </w:p>
          <w:p w14:paraId="4A4B476C" w14:textId="77777777" w:rsidR="00A5498E" w:rsidRPr="00117BF8" w:rsidRDefault="00A5498E" w:rsidP="00C57D83">
            <w:pPr>
              <w:pStyle w:val="TablaC"/>
              <w:rPr>
                <w:rFonts w:ascii="Arial" w:hAnsi="Arial" w:cs="Arial"/>
                <w:b/>
                <w:bCs/>
                <w:color w:val="FFFFFF"/>
                <w:szCs w:val="22"/>
              </w:rPr>
            </w:pPr>
            <w:r w:rsidRPr="00117BF8">
              <w:rPr>
                <w:rFonts w:ascii="Arial" w:hAnsi="Arial" w:cs="Arial"/>
                <w:b/>
                <w:bCs/>
                <w:color w:val="FFFFFF"/>
                <w:szCs w:val="22"/>
              </w:rPr>
              <w:t>Millones de pesos</w:t>
            </w:r>
          </w:p>
        </w:tc>
      </w:tr>
      <w:tr w:rsidR="00C007D0" w:rsidRPr="004E6455" w14:paraId="56D3E813" w14:textId="77777777" w:rsidTr="00C007D0">
        <w:trPr>
          <w:trHeight w:val="315"/>
          <w:jc w:val="center"/>
        </w:trPr>
        <w:tc>
          <w:tcPr>
            <w:tcW w:w="3230" w:type="dxa"/>
            <w:tcBorders>
              <w:right w:val="nil"/>
            </w:tcBorders>
            <w:shd w:val="clear" w:color="auto" w:fill="0070C0"/>
            <w:noWrap/>
            <w:hideMark/>
          </w:tcPr>
          <w:p w14:paraId="2507939F" w14:textId="77777777" w:rsidR="00A5498E" w:rsidRPr="00117BF8" w:rsidRDefault="00A5498E" w:rsidP="00C57D83">
            <w:pPr>
              <w:pStyle w:val="TablaE"/>
              <w:rPr>
                <w:rFonts w:ascii="Arial" w:hAnsi="Arial" w:cs="Arial"/>
                <w:b w:val="0"/>
                <w:bCs/>
                <w:sz w:val="22"/>
                <w:szCs w:val="22"/>
              </w:rPr>
            </w:pPr>
          </w:p>
        </w:tc>
        <w:tc>
          <w:tcPr>
            <w:tcW w:w="1240" w:type="dxa"/>
            <w:tcBorders>
              <w:left w:val="nil"/>
              <w:right w:val="nil"/>
            </w:tcBorders>
            <w:shd w:val="clear" w:color="auto" w:fill="0070C0"/>
            <w:noWrap/>
            <w:hideMark/>
          </w:tcPr>
          <w:p w14:paraId="2EB6F50F" w14:textId="77777777" w:rsidR="00A5498E" w:rsidRPr="00117BF8" w:rsidRDefault="00A5498E" w:rsidP="00C57D83">
            <w:pPr>
              <w:pStyle w:val="TablaE"/>
              <w:rPr>
                <w:rFonts w:ascii="Arial" w:hAnsi="Arial" w:cs="Arial"/>
                <w:sz w:val="22"/>
                <w:szCs w:val="22"/>
              </w:rPr>
            </w:pPr>
            <w:r w:rsidRPr="00117BF8">
              <w:rPr>
                <w:rFonts w:ascii="Arial" w:hAnsi="Arial" w:cs="Arial"/>
                <w:sz w:val="22"/>
                <w:szCs w:val="22"/>
              </w:rPr>
              <w:t>2013</w:t>
            </w:r>
          </w:p>
        </w:tc>
        <w:tc>
          <w:tcPr>
            <w:tcW w:w="1220" w:type="dxa"/>
            <w:tcBorders>
              <w:left w:val="nil"/>
              <w:right w:val="nil"/>
            </w:tcBorders>
            <w:shd w:val="clear" w:color="auto" w:fill="0070C0"/>
            <w:noWrap/>
            <w:hideMark/>
          </w:tcPr>
          <w:p w14:paraId="3BE40010" w14:textId="77777777" w:rsidR="00A5498E" w:rsidRPr="00117BF8" w:rsidRDefault="00A5498E" w:rsidP="00C57D83">
            <w:pPr>
              <w:pStyle w:val="TablaE"/>
              <w:rPr>
                <w:rFonts w:ascii="Arial" w:hAnsi="Arial" w:cs="Arial"/>
                <w:sz w:val="22"/>
                <w:szCs w:val="22"/>
              </w:rPr>
            </w:pPr>
            <w:r w:rsidRPr="00117BF8">
              <w:rPr>
                <w:rFonts w:ascii="Arial" w:hAnsi="Arial" w:cs="Arial"/>
                <w:sz w:val="22"/>
                <w:szCs w:val="22"/>
              </w:rPr>
              <w:t>2014</w:t>
            </w:r>
          </w:p>
        </w:tc>
        <w:tc>
          <w:tcPr>
            <w:tcW w:w="1220" w:type="dxa"/>
            <w:tcBorders>
              <w:left w:val="nil"/>
              <w:right w:val="nil"/>
            </w:tcBorders>
            <w:shd w:val="clear" w:color="auto" w:fill="0070C0"/>
            <w:noWrap/>
            <w:hideMark/>
          </w:tcPr>
          <w:p w14:paraId="34E347D2" w14:textId="77777777" w:rsidR="00A5498E" w:rsidRPr="00117BF8" w:rsidRDefault="00A5498E" w:rsidP="00C57D83">
            <w:pPr>
              <w:pStyle w:val="TablaE"/>
              <w:rPr>
                <w:rFonts w:ascii="Arial" w:hAnsi="Arial" w:cs="Arial"/>
                <w:sz w:val="22"/>
                <w:szCs w:val="22"/>
              </w:rPr>
            </w:pPr>
            <w:r w:rsidRPr="00117BF8">
              <w:rPr>
                <w:rFonts w:ascii="Arial" w:hAnsi="Arial" w:cs="Arial"/>
                <w:sz w:val="22"/>
                <w:szCs w:val="22"/>
              </w:rPr>
              <w:t>2015</w:t>
            </w:r>
          </w:p>
        </w:tc>
        <w:tc>
          <w:tcPr>
            <w:tcW w:w="1220" w:type="dxa"/>
            <w:tcBorders>
              <w:left w:val="nil"/>
            </w:tcBorders>
            <w:shd w:val="clear" w:color="auto" w:fill="0070C0"/>
            <w:noWrap/>
            <w:hideMark/>
          </w:tcPr>
          <w:p w14:paraId="0E470D3F" w14:textId="77777777" w:rsidR="00A5498E" w:rsidRPr="00117BF8" w:rsidRDefault="00A5498E" w:rsidP="00C57D83">
            <w:pPr>
              <w:pStyle w:val="TablaE"/>
              <w:rPr>
                <w:rFonts w:ascii="Arial" w:hAnsi="Arial" w:cs="Arial"/>
                <w:sz w:val="22"/>
                <w:szCs w:val="22"/>
              </w:rPr>
            </w:pPr>
            <w:r w:rsidRPr="00117BF8">
              <w:rPr>
                <w:rFonts w:ascii="Arial" w:hAnsi="Arial" w:cs="Arial"/>
                <w:sz w:val="22"/>
                <w:szCs w:val="22"/>
              </w:rPr>
              <w:t>2016</w:t>
            </w:r>
          </w:p>
        </w:tc>
      </w:tr>
      <w:tr w:rsidR="00C007D0" w:rsidRPr="008D51E7" w14:paraId="168DF64F" w14:textId="77777777" w:rsidTr="00C007D0">
        <w:trPr>
          <w:trHeight w:val="300"/>
          <w:jc w:val="center"/>
        </w:trPr>
        <w:tc>
          <w:tcPr>
            <w:tcW w:w="3230" w:type="dxa"/>
            <w:tcBorders>
              <w:right w:val="nil"/>
            </w:tcBorders>
            <w:shd w:val="clear" w:color="auto" w:fill="auto"/>
            <w:noWrap/>
            <w:vAlign w:val="bottom"/>
            <w:hideMark/>
          </w:tcPr>
          <w:p w14:paraId="1A7B17F7" w14:textId="77777777" w:rsidR="00A5498E" w:rsidRPr="00117BF8" w:rsidRDefault="00A5498E" w:rsidP="004206A5">
            <w:pPr>
              <w:pStyle w:val="TablaC"/>
              <w:jc w:val="left"/>
              <w:rPr>
                <w:rFonts w:ascii="Arial" w:hAnsi="Arial" w:cs="Arial"/>
                <w:sz w:val="18"/>
                <w:szCs w:val="18"/>
                <w:lang w:val="es-ES_tradnl"/>
              </w:rPr>
            </w:pPr>
            <w:r w:rsidRPr="00117BF8">
              <w:rPr>
                <w:rFonts w:ascii="Arial" w:hAnsi="Arial" w:cs="Arial"/>
                <w:sz w:val="18"/>
                <w:szCs w:val="18"/>
                <w:lang w:val="es-ES_tradnl"/>
              </w:rPr>
              <w:t>Ministerio de Infraestructura y Servicios Públicos</w:t>
            </w:r>
          </w:p>
        </w:tc>
        <w:tc>
          <w:tcPr>
            <w:tcW w:w="1240" w:type="dxa"/>
            <w:tcBorders>
              <w:left w:val="nil"/>
              <w:right w:val="nil"/>
            </w:tcBorders>
            <w:shd w:val="clear" w:color="auto" w:fill="auto"/>
            <w:noWrap/>
            <w:vAlign w:val="bottom"/>
            <w:hideMark/>
          </w:tcPr>
          <w:p w14:paraId="7F532A41"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183</w:t>
            </w:r>
          </w:p>
        </w:tc>
        <w:tc>
          <w:tcPr>
            <w:tcW w:w="1220" w:type="dxa"/>
            <w:tcBorders>
              <w:left w:val="nil"/>
              <w:right w:val="nil"/>
            </w:tcBorders>
            <w:shd w:val="clear" w:color="auto" w:fill="auto"/>
            <w:noWrap/>
            <w:vAlign w:val="bottom"/>
            <w:hideMark/>
          </w:tcPr>
          <w:p w14:paraId="3489036A"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204</w:t>
            </w:r>
          </w:p>
        </w:tc>
        <w:tc>
          <w:tcPr>
            <w:tcW w:w="1220" w:type="dxa"/>
            <w:tcBorders>
              <w:left w:val="nil"/>
              <w:right w:val="nil"/>
            </w:tcBorders>
            <w:shd w:val="clear" w:color="auto" w:fill="auto"/>
            <w:noWrap/>
            <w:vAlign w:val="bottom"/>
            <w:hideMark/>
          </w:tcPr>
          <w:p w14:paraId="0754C078"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603</w:t>
            </w:r>
          </w:p>
        </w:tc>
        <w:tc>
          <w:tcPr>
            <w:tcW w:w="1220" w:type="dxa"/>
            <w:tcBorders>
              <w:left w:val="nil"/>
            </w:tcBorders>
            <w:shd w:val="clear" w:color="auto" w:fill="auto"/>
            <w:noWrap/>
            <w:vAlign w:val="bottom"/>
            <w:hideMark/>
          </w:tcPr>
          <w:p w14:paraId="59686F98"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1.162</w:t>
            </w:r>
          </w:p>
        </w:tc>
      </w:tr>
      <w:tr w:rsidR="00C007D0" w:rsidRPr="008D51E7" w14:paraId="62387237" w14:textId="77777777" w:rsidTr="00C007D0">
        <w:trPr>
          <w:trHeight w:val="300"/>
          <w:jc w:val="center"/>
        </w:trPr>
        <w:tc>
          <w:tcPr>
            <w:tcW w:w="3230" w:type="dxa"/>
            <w:shd w:val="clear" w:color="auto" w:fill="D3DFEE"/>
            <w:noWrap/>
            <w:vAlign w:val="bottom"/>
            <w:hideMark/>
          </w:tcPr>
          <w:p w14:paraId="5F2EF13D" w14:textId="77777777" w:rsidR="00A5498E" w:rsidRPr="00117BF8" w:rsidRDefault="00A5498E" w:rsidP="004206A5">
            <w:pPr>
              <w:pStyle w:val="TablaC"/>
              <w:jc w:val="left"/>
              <w:rPr>
                <w:rFonts w:ascii="Arial" w:hAnsi="Arial" w:cs="Arial"/>
                <w:color w:val="000000"/>
                <w:sz w:val="18"/>
                <w:szCs w:val="18"/>
                <w:lang w:val="es-AR" w:eastAsia="es-AR"/>
              </w:rPr>
            </w:pPr>
            <w:r w:rsidRPr="00117BF8">
              <w:rPr>
                <w:rFonts w:ascii="Arial" w:hAnsi="Arial" w:cs="Arial"/>
                <w:color w:val="000000"/>
                <w:sz w:val="18"/>
                <w:szCs w:val="18"/>
                <w:lang w:val="es-AR" w:eastAsia="es-AR"/>
              </w:rPr>
              <w:t>Suelo, Riego, Desagües y Drenajes</w:t>
            </w:r>
            <w:r w:rsidR="004206A5" w:rsidRPr="00117BF8">
              <w:rPr>
                <w:rFonts w:ascii="Arial" w:hAnsi="Arial" w:cs="Arial"/>
                <w:color w:val="000000"/>
                <w:sz w:val="18"/>
                <w:szCs w:val="18"/>
                <w:lang w:val="es-AR" w:eastAsia="es-AR"/>
              </w:rPr>
              <w:t xml:space="preserve"> total</w:t>
            </w:r>
          </w:p>
        </w:tc>
        <w:tc>
          <w:tcPr>
            <w:tcW w:w="1240" w:type="dxa"/>
            <w:shd w:val="clear" w:color="auto" w:fill="D3DFEE"/>
            <w:noWrap/>
            <w:vAlign w:val="bottom"/>
            <w:hideMark/>
          </w:tcPr>
          <w:p w14:paraId="26E9A85F"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219</w:t>
            </w:r>
          </w:p>
        </w:tc>
        <w:tc>
          <w:tcPr>
            <w:tcW w:w="1220" w:type="dxa"/>
            <w:shd w:val="clear" w:color="auto" w:fill="D3DFEE"/>
            <w:noWrap/>
            <w:vAlign w:val="bottom"/>
            <w:hideMark/>
          </w:tcPr>
          <w:p w14:paraId="6CED1DF9"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251</w:t>
            </w:r>
          </w:p>
        </w:tc>
        <w:tc>
          <w:tcPr>
            <w:tcW w:w="1220" w:type="dxa"/>
            <w:shd w:val="clear" w:color="auto" w:fill="D3DFEE"/>
            <w:noWrap/>
            <w:vAlign w:val="bottom"/>
            <w:hideMark/>
          </w:tcPr>
          <w:p w14:paraId="5FA3D503"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699</w:t>
            </w:r>
          </w:p>
        </w:tc>
        <w:tc>
          <w:tcPr>
            <w:tcW w:w="1220" w:type="dxa"/>
            <w:shd w:val="clear" w:color="auto" w:fill="D3DFEE"/>
            <w:noWrap/>
            <w:vAlign w:val="bottom"/>
            <w:hideMark/>
          </w:tcPr>
          <w:p w14:paraId="2B2FC229"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1.278</w:t>
            </w:r>
          </w:p>
        </w:tc>
      </w:tr>
      <w:tr w:rsidR="00C007D0" w:rsidRPr="008D51E7" w14:paraId="4954AF0F" w14:textId="77777777" w:rsidTr="00C007D0">
        <w:trPr>
          <w:trHeight w:val="300"/>
          <w:jc w:val="center"/>
        </w:trPr>
        <w:tc>
          <w:tcPr>
            <w:tcW w:w="3230" w:type="dxa"/>
            <w:tcBorders>
              <w:right w:val="nil"/>
            </w:tcBorders>
            <w:shd w:val="clear" w:color="auto" w:fill="auto"/>
            <w:noWrap/>
            <w:vAlign w:val="bottom"/>
            <w:hideMark/>
          </w:tcPr>
          <w:p w14:paraId="2A828139" w14:textId="77777777" w:rsidR="00A5498E" w:rsidRPr="00117BF8" w:rsidRDefault="00A5498E" w:rsidP="004206A5">
            <w:pPr>
              <w:pStyle w:val="TablaC"/>
              <w:jc w:val="left"/>
              <w:rPr>
                <w:rFonts w:ascii="Arial" w:hAnsi="Arial" w:cs="Arial"/>
                <w:color w:val="000000"/>
                <w:sz w:val="18"/>
                <w:szCs w:val="18"/>
                <w:lang w:val="es-AR" w:eastAsia="es-AR"/>
              </w:rPr>
            </w:pPr>
            <w:r w:rsidRPr="00117BF8">
              <w:rPr>
                <w:rFonts w:ascii="Arial" w:hAnsi="Arial" w:cs="Arial"/>
                <w:color w:val="000000"/>
                <w:sz w:val="18"/>
                <w:szCs w:val="18"/>
                <w:lang w:val="es-AR" w:eastAsia="es-AR"/>
              </w:rPr>
              <w:t>Mtrio. de Infr. y Ss. Públ./Función</w:t>
            </w:r>
          </w:p>
        </w:tc>
        <w:tc>
          <w:tcPr>
            <w:tcW w:w="1240" w:type="dxa"/>
            <w:tcBorders>
              <w:left w:val="nil"/>
              <w:right w:val="nil"/>
            </w:tcBorders>
            <w:shd w:val="clear" w:color="auto" w:fill="auto"/>
            <w:noWrap/>
            <w:vAlign w:val="bottom"/>
            <w:hideMark/>
          </w:tcPr>
          <w:p w14:paraId="6BA427FE"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84%</w:t>
            </w:r>
          </w:p>
        </w:tc>
        <w:tc>
          <w:tcPr>
            <w:tcW w:w="1220" w:type="dxa"/>
            <w:tcBorders>
              <w:left w:val="nil"/>
              <w:right w:val="nil"/>
            </w:tcBorders>
            <w:shd w:val="clear" w:color="auto" w:fill="auto"/>
            <w:noWrap/>
            <w:vAlign w:val="bottom"/>
            <w:hideMark/>
          </w:tcPr>
          <w:p w14:paraId="139F35A2"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81%</w:t>
            </w:r>
          </w:p>
        </w:tc>
        <w:tc>
          <w:tcPr>
            <w:tcW w:w="1220" w:type="dxa"/>
            <w:tcBorders>
              <w:left w:val="nil"/>
              <w:right w:val="nil"/>
            </w:tcBorders>
            <w:shd w:val="clear" w:color="auto" w:fill="auto"/>
            <w:noWrap/>
            <w:vAlign w:val="bottom"/>
            <w:hideMark/>
          </w:tcPr>
          <w:p w14:paraId="5DD95327"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86%</w:t>
            </w:r>
          </w:p>
        </w:tc>
        <w:tc>
          <w:tcPr>
            <w:tcW w:w="1220" w:type="dxa"/>
            <w:tcBorders>
              <w:left w:val="nil"/>
            </w:tcBorders>
            <w:shd w:val="clear" w:color="auto" w:fill="auto"/>
            <w:noWrap/>
            <w:vAlign w:val="bottom"/>
            <w:hideMark/>
          </w:tcPr>
          <w:p w14:paraId="7557EE0F" w14:textId="77777777" w:rsidR="00A5498E" w:rsidRPr="00117BF8" w:rsidRDefault="00A5498E" w:rsidP="004206A5">
            <w:pPr>
              <w:pStyle w:val="TablaC"/>
              <w:rPr>
                <w:rFonts w:ascii="Arial" w:hAnsi="Arial" w:cs="Arial"/>
                <w:color w:val="000000"/>
                <w:sz w:val="18"/>
                <w:szCs w:val="18"/>
                <w:lang w:val="es-AR" w:eastAsia="es-AR"/>
              </w:rPr>
            </w:pPr>
            <w:r w:rsidRPr="00117BF8">
              <w:rPr>
                <w:rFonts w:ascii="Arial" w:hAnsi="Arial" w:cs="Arial"/>
                <w:color w:val="000000"/>
                <w:sz w:val="18"/>
                <w:szCs w:val="18"/>
                <w:lang w:val="es-AR" w:eastAsia="es-AR"/>
              </w:rPr>
              <w:t>91%</w:t>
            </w:r>
          </w:p>
        </w:tc>
      </w:tr>
    </w:tbl>
    <w:p w14:paraId="50CCA4CB" w14:textId="77777777" w:rsidR="00635A32" w:rsidRPr="00117BF8" w:rsidRDefault="00635A32" w:rsidP="00117BF8">
      <w:pPr>
        <w:pStyle w:val="Hfuente"/>
        <w:ind w:firstLine="180"/>
        <w:rPr>
          <w:rFonts w:ascii="Arial" w:eastAsia="Calibri" w:hAnsi="Arial" w:cs="Arial"/>
          <w:sz w:val="18"/>
          <w:szCs w:val="18"/>
        </w:rPr>
      </w:pPr>
      <w:r w:rsidRPr="00117BF8">
        <w:rPr>
          <w:rFonts w:ascii="Arial" w:eastAsia="Calibri" w:hAnsi="Arial" w:cs="Arial"/>
          <w:sz w:val="18"/>
          <w:szCs w:val="18"/>
        </w:rPr>
        <w:t>Fuente: CGPBA</w:t>
      </w:r>
    </w:p>
    <w:p w14:paraId="55DAF17C" w14:textId="77777777" w:rsidR="00611FB6" w:rsidRPr="00117BF8" w:rsidRDefault="00611FB6" w:rsidP="00117BF8">
      <w:pPr>
        <w:pStyle w:val="Heading1"/>
        <w:spacing w:before="120" w:after="180"/>
        <w:rPr>
          <w:rFonts w:ascii="Arial" w:eastAsia="Calibri" w:hAnsi="Arial" w:cs="Arial"/>
          <w:sz w:val="22"/>
          <w:szCs w:val="22"/>
        </w:rPr>
      </w:pPr>
      <w:bookmarkStart w:id="80" w:name="_Ref493357375"/>
      <w:bookmarkStart w:id="81" w:name="_Toc494040325"/>
      <w:r w:rsidRPr="00117BF8">
        <w:rPr>
          <w:rFonts w:ascii="Arial" w:eastAsia="Calibri" w:hAnsi="Arial" w:cs="Arial"/>
          <w:sz w:val="22"/>
          <w:szCs w:val="22"/>
        </w:rPr>
        <w:t>Las Operaciones de Préstamo BID</w:t>
      </w:r>
      <w:bookmarkEnd w:id="80"/>
      <w:bookmarkEnd w:id="81"/>
    </w:p>
    <w:p w14:paraId="4B6F17E9" w14:textId="77777777" w:rsidR="00F27BF4" w:rsidRPr="00117BF8" w:rsidRDefault="00F27BF4" w:rsidP="00117BF8">
      <w:pPr>
        <w:pStyle w:val="Heading2"/>
        <w:spacing w:before="0" w:after="120"/>
        <w:rPr>
          <w:rFonts w:ascii="Arial" w:eastAsia="Calibri" w:hAnsi="Arial" w:cs="Arial"/>
          <w:sz w:val="22"/>
          <w:szCs w:val="22"/>
        </w:rPr>
      </w:pPr>
      <w:bookmarkStart w:id="82" w:name="_Ref493357368"/>
      <w:bookmarkStart w:id="83" w:name="_Toc494040326"/>
      <w:r w:rsidRPr="00117BF8">
        <w:rPr>
          <w:rFonts w:ascii="Arial" w:eastAsia="Calibri" w:hAnsi="Arial" w:cs="Arial"/>
          <w:sz w:val="22"/>
          <w:szCs w:val="22"/>
        </w:rPr>
        <w:t>Características</w:t>
      </w:r>
      <w:r w:rsidR="00647345" w:rsidRPr="00117BF8">
        <w:rPr>
          <w:rFonts w:ascii="Arial" w:eastAsia="Calibri" w:hAnsi="Arial" w:cs="Arial"/>
          <w:sz w:val="22"/>
          <w:szCs w:val="22"/>
        </w:rPr>
        <w:t xml:space="preserve"> y Proyecciones</w:t>
      </w:r>
      <w:bookmarkEnd w:id="82"/>
      <w:bookmarkEnd w:id="83"/>
    </w:p>
    <w:p w14:paraId="7FF514C4" w14:textId="77777777" w:rsidR="00F27BF4" w:rsidRPr="00117BF8" w:rsidRDefault="00F27BF4" w:rsidP="00F27BF4">
      <w:pPr>
        <w:pStyle w:val="hsa"/>
        <w:rPr>
          <w:rFonts w:ascii="Arial" w:eastAsia="Calibri" w:hAnsi="Arial" w:cs="Arial"/>
          <w:sz w:val="22"/>
          <w:szCs w:val="22"/>
        </w:rPr>
      </w:pPr>
      <w:r w:rsidRPr="00117BF8">
        <w:rPr>
          <w:rFonts w:ascii="Arial" w:eastAsia="Calibri" w:hAnsi="Arial" w:cs="Arial"/>
          <w:sz w:val="22"/>
          <w:szCs w:val="22"/>
        </w:rPr>
        <w:t xml:space="preserve">En el Anexo </w:t>
      </w:r>
      <w:r w:rsidR="002009BF" w:rsidRPr="00117BF8">
        <w:rPr>
          <w:rFonts w:ascii="Arial" w:eastAsia="Calibri" w:hAnsi="Arial" w:cs="Arial"/>
          <w:sz w:val="22"/>
          <w:szCs w:val="22"/>
        </w:rPr>
        <w:t>I</w:t>
      </w:r>
      <w:r w:rsidRPr="00117BF8">
        <w:rPr>
          <w:rFonts w:ascii="Arial" w:eastAsia="Calibri" w:hAnsi="Arial" w:cs="Arial"/>
          <w:sz w:val="22"/>
          <w:szCs w:val="22"/>
        </w:rPr>
        <w:t xml:space="preserve"> se incluye información recibida de los representantes del BID que completa la contenida en los TOR, también en ese anexo se </w:t>
      </w:r>
      <w:r w:rsidR="00A04FDB" w:rsidRPr="00117BF8">
        <w:rPr>
          <w:rFonts w:ascii="Arial" w:eastAsia="Calibri" w:hAnsi="Arial" w:cs="Arial"/>
          <w:sz w:val="22"/>
          <w:szCs w:val="22"/>
        </w:rPr>
        <w:t>detallan</w:t>
      </w:r>
      <w:r w:rsidRPr="00117BF8">
        <w:rPr>
          <w:rFonts w:ascii="Arial" w:eastAsia="Calibri" w:hAnsi="Arial" w:cs="Arial"/>
          <w:sz w:val="22"/>
          <w:szCs w:val="22"/>
        </w:rPr>
        <w:t xml:space="preserve"> las previsiones para el desembolso de los tres préstamos y los aportes de la contraparte.</w:t>
      </w:r>
    </w:p>
    <w:p w14:paraId="782A9C36" w14:textId="77777777" w:rsidR="00534EB2" w:rsidRPr="00117BF8" w:rsidRDefault="00F27BF4" w:rsidP="00F27BF4">
      <w:pPr>
        <w:pStyle w:val="hsa"/>
        <w:rPr>
          <w:rFonts w:ascii="Arial" w:eastAsia="Calibri" w:hAnsi="Arial" w:cs="Arial"/>
          <w:sz w:val="22"/>
          <w:szCs w:val="22"/>
        </w:rPr>
      </w:pPr>
      <w:r w:rsidRPr="00117BF8">
        <w:rPr>
          <w:rFonts w:ascii="Arial" w:eastAsia="Calibri" w:hAnsi="Arial" w:cs="Arial"/>
          <w:sz w:val="22"/>
          <w:szCs w:val="22"/>
        </w:rPr>
        <w:t>Además del ritmo de los desem</w:t>
      </w:r>
      <w:r w:rsidR="00534EB2" w:rsidRPr="00117BF8">
        <w:rPr>
          <w:rFonts w:ascii="Arial" w:eastAsia="Calibri" w:hAnsi="Arial" w:cs="Arial"/>
          <w:sz w:val="22"/>
          <w:szCs w:val="22"/>
        </w:rPr>
        <w:t>bolsos, l</w:t>
      </w:r>
      <w:r w:rsidRPr="00117BF8">
        <w:rPr>
          <w:rFonts w:ascii="Arial" w:eastAsia="Calibri" w:hAnsi="Arial" w:cs="Arial"/>
          <w:sz w:val="22"/>
          <w:szCs w:val="22"/>
        </w:rPr>
        <w:t xml:space="preserve">as principales características de las operaciones consideradas </w:t>
      </w:r>
      <w:r w:rsidR="00534EB2" w:rsidRPr="00117BF8">
        <w:rPr>
          <w:rFonts w:ascii="Arial" w:eastAsia="Calibri" w:hAnsi="Arial" w:cs="Arial"/>
          <w:sz w:val="22"/>
          <w:szCs w:val="22"/>
        </w:rPr>
        <w:t>se resume</w:t>
      </w:r>
      <w:r w:rsidR="00186356" w:rsidRPr="00117BF8">
        <w:rPr>
          <w:rFonts w:ascii="Arial" w:eastAsia="Calibri" w:hAnsi="Arial" w:cs="Arial"/>
          <w:sz w:val="22"/>
          <w:szCs w:val="22"/>
        </w:rPr>
        <w:t>n</w:t>
      </w:r>
      <w:r w:rsidR="00534EB2" w:rsidRPr="00117BF8">
        <w:rPr>
          <w:rFonts w:ascii="Arial" w:eastAsia="Calibri" w:hAnsi="Arial" w:cs="Arial"/>
          <w:sz w:val="22"/>
          <w:szCs w:val="22"/>
        </w:rPr>
        <w:t xml:space="preserve"> en la tabla </w:t>
      </w:r>
      <w:r w:rsidR="00186356" w:rsidRPr="00117BF8">
        <w:rPr>
          <w:rFonts w:ascii="Arial" w:eastAsia="Calibri" w:hAnsi="Arial" w:cs="Arial"/>
          <w:sz w:val="22"/>
          <w:szCs w:val="22"/>
        </w:rPr>
        <w:t>31</w:t>
      </w:r>
      <w:r w:rsidR="00534EB2" w:rsidRPr="00117BF8">
        <w:rPr>
          <w:rFonts w:ascii="Arial" w:eastAsia="Calibri" w:hAnsi="Arial" w:cs="Arial"/>
          <w:sz w:val="22"/>
          <w:szCs w:val="22"/>
        </w:rPr>
        <w:t>.</w:t>
      </w:r>
    </w:p>
    <w:tbl>
      <w:tblPr>
        <w:tblW w:w="7445"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425"/>
        <w:gridCol w:w="1420"/>
        <w:gridCol w:w="1200"/>
        <w:gridCol w:w="1200"/>
        <w:gridCol w:w="1200"/>
      </w:tblGrid>
      <w:tr w:rsidR="00BB314B" w:rsidRPr="004E6455" w14:paraId="4225CBF9" w14:textId="77777777" w:rsidTr="008E382E">
        <w:trPr>
          <w:trHeight w:val="300"/>
          <w:jc w:val="center"/>
        </w:trPr>
        <w:tc>
          <w:tcPr>
            <w:tcW w:w="7445" w:type="dxa"/>
            <w:gridSpan w:val="5"/>
            <w:tcBorders>
              <w:top w:val="single" w:sz="8" w:space="0" w:color="7BA0CD"/>
              <w:left w:val="single" w:sz="8" w:space="0" w:color="7BA0CD"/>
              <w:bottom w:val="single" w:sz="8" w:space="0" w:color="7BA0CD"/>
              <w:right w:val="single" w:sz="8" w:space="0" w:color="7BA0CD"/>
            </w:tcBorders>
            <w:shd w:val="clear" w:color="auto" w:fill="0070C0"/>
            <w:noWrap/>
          </w:tcPr>
          <w:p w14:paraId="15B7AAF2" w14:textId="77777777" w:rsidR="00BB314B" w:rsidRPr="00117BF8" w:rsidRDefault="00BB314B" w:rsidP="00A04FDB">
            <w:pPr>
              <w:pStyle w:val="TablaT"/>
              <w:rPr>
                <w:rFonts w:ascii="Arial" w:hAnsi="Arial" w:cs="Arial"/>
                <w:b w:val="0"/>
                <w:bCs/>
                <w:sz w:val="22"/>
                <w:szCs w:val="22"/>
              </w:rPr>
            </w:pPr>
            <w:bookmarkStart w:id="84" w:name="_Toc493861141"/>
            <w:r w:rsidRPr="00117BF8">
              <w:rPr>
                <w:rFonts w:ascii="Arial" w:hAnsi="Arial" w:cs="Arial"/>
                <w:b w:val="0"/>
                <w:bCs/>
                <w:sz w:val="22"/>
                <w:szCs w:val="22"/>
              </w:rPr>
              <w:t xml:space="preserve">Tabla </w:t>
            </w:r>
            <w:r w:rsidR="00186356" w:rsidRPr="00117BF8">
              <w:rPr>
                <w:rFonts w:ascii="Arial" w:hAnsi="Arial" w:cs="Arial"/>
                <w:b w:val="0"/>
                <w:bCs/>
                <w:sz w:val="22"/>
                <w:szCs w:val="22"/>
              </w:rPr>
              <w:t>31</w:t>
            </w:r>
            <w:r w:rsidRPr="00117BF8">
              <w:rPr>
                <w:rFonts w:ascii="Arial" w:hAnsi="Arial" w:cs="Arial"/>
                <w:b w:val="0"/>
                <w:bCs/>
                <w:sz w:val="22"/>
                <w:szCs w:val="22"/>
              </w:rPr>
              <w:t xml:space="preserve"> – Características de los Programas</w:t>
            </w:r>
            <w:bookmarkEnd w:id="84"/>
          </w:p>
        </w:tc>
      </w:tr>
      <w:tr w:rsidR="008E382E" w:rsidRPr="004E6455" w14:paraId="05318978" w14:textId="77777777" w:rsidTr="008E382E">
        <w:trPr>
          <w:trHeight w:val="300"/>
          <w:jc w:val="center"/>
        </w:trPr>
        <w:tc>
          <w:tcPr>
            <w:tcW w:w="2425" w:type="dxa"/>
            <w:tcBorders>
              <w:right w:val="nil"/>
            </w:tcBorders>
            <w:shd w:val="clear" w:color="auto" w:fill="0070C0"/>
            <w:noWrap/>
            <w:hideMark/>
          </w:tcPr>
          <w:p w14:paraId="3F0EE2ED" w14:textId="77777777" w:rsidR="00534EB2" w:rsidRPr="00117BF8" w:rsidRDefault="00534EB2" w:rsidP="00BB314B">
            <w:pPr>
              <w:pStyle w:val="TablaE"/>
              <w:rPr>
                <w:rFonts w:ascii="Arial" w:hAnsi="Arial" w:cs="Arial"/>
                <w:b w:val="0"/>
                <w:bCs/>
                <w:sz w:val="22"/>
                <w:szCs w:val="22"/>
              </w:rPr>
            </w:pPr>
          </w:p>
        </w:tc>
        <w:tc>
          <w:tcPr>
            <w:tcW w:w="1420" w:type="dxa"/>
            <w:tcBorders>
              <w:left w:val="nil"/>
              <w:right w:val="nil"/>
            </w:tcBorders>
            <w:shd w:val="clear" w:color="auto" w:fill="0070C0"/>
            <w:noWrap/>
            <w:hideMark/>
          </w:tcPr>
          <w:p w14:paraId="39248546" w14:textId="77777777" w:rsidR="00534EB2" w:rsidRPr="00117BF8" w:rsidRDefault="00BB314B" w:rsidP="00BB314B">
            <w:pPr>
              <w:pStyle w:val="TablaE"/>
              <w:rPr>
                <w:rFonts w:ascii="Arial" w:hAnsi="Arial" w:cs="Arial"/>
                <w:sz w:val="22"/>
                <w:szCs w:val="22"/>
              </w:rPr>
            </w:pPr>
            <w:r w:rsidRPr="00117BF8">
              <w:rPr>
                <w:rFonts w:ascii="Arial" w:hAnsi="Arial" w:cs="Arial"/>
                <w:sz w:val="22"/>
                <w:szCs w:val="22"/>
              </w:rPr>
              <w:t>Unidad</w:t>
            </w:r>
          </w:p>
        </w:tc>
        <w:tc>
          <w:tcPr>
            <w:tcW w:w="1200" w:type="dxa"/>
            <w:tcBorders>
              <w:left w:val="nil"/>
              <w:right w:val="nil"/>
            </w:tcBorders>
            <w:shd w:val="clear" w:color="auto" w:fill="0070C0"/>
            <w:noWrap/>
            <w:hideMark/>
          </w:tcPr>
          <w:p w14:paraId="4919ACD7" w14:textId="77777777" w:rsidR="00534EB2" w:rsidRPr="00117BF8" w:rsidRDefault="00534EB2" w:rsidP="00BB314B">
            <w:pPr>
              <w:pStyle w:val="TablaE"/>
              <w:rPr>
                <w:rFonts w:ascii="Arial" w:hAnsi="Arial" w:cs="Arial"/>
                <w:sz w:val="22"/>
                <w:szCs w:val="22"/>
              </w:rPr>
            </w:pPr>
            <w:r w:rsidRPr="00117BF8">
              <w:rPr>
                <w:rFonts w:ascii="Arial" w:hAnsi="Arial" w:cs="Arial"/>
                <w:sz w:val="22"/>
                <w:szCs w:val="22"/>
              </w:rPr>
              <w:t>ARL 1272</w:t>
            </w:r>
          </w:p>
        </w:tc>
        <w:tc>
          <w:tcPr>
            <w:tcW w:w="1200" w:type="dxa"/>
            <w:tcBorders>
              <w:left w:val="nil"/>
              <w:right w:val="nil"/>
            </w:tcBorders>
            <w:shd w:val="clear" w:color="auto" w:fill="0070C0"/>
            <w:noWrap/>
            <w:hideMark/>
          </w:tcPr>
          <w:p w14:paraId="790888D9" w14:textId="77777777" w:rsidR="00534EB2" w:rsidRPr="00117BF8" w:rsidRDefault="00534EB2" w:rsidP="00BB314B">
            <w:pPr>
              <w:pStyle w:val="TablaE"/>
              <w:rPr>
                <w:rFonts w:ascii="Arial" w:hAnsi="Arial" w:cs="Arial"/>
                <w:sz w:val="22"/>
                <w:szCs w:val="22"/>
              </w:rPr>
            </w:pPr>
            <w:r w:rsidRPr="00117BF8">
              <w:rPr>
                <w:rFonts w:ascii="Arial" w:hAnsi="Arial" w:cs="Arial"/>
                <w:sz w:val="22"/>
                <w:szCs w:val="22"/>
              </w:rPr>
              <w:t>ARL 1273</w:t>
            </w:r>
          </w:p>
        </w:tc>
        <w:tc>
          <w:tcPr>
            <w:tcW w:w="1200" w:type="dxa"/>
            <w:tcBorders>
              <w:left w:val="nil"/>
            </w:tcBorders>
            <w:shd w:val="clear" w:color="auto" w:fill="0070C0"/>
            <w:noWrap/>
            <w:hideMark/>
          </w:tcPr>
          <w:p w14:paraId="5776D761" w14:textId="77777777" w:rsidR="00534EB2" w:rsidRPr="00117BF8" w:rsidRDefault="00534EB2" w:rsidP="00BB314B">
            <w:pPr>
              <w:pStyle w:val="TablaE"/>
              <w:rPr>
                <w:rFonts w:ascii="Arial" w:hAnsi="Arial" w:cs="Arial"/>
                <w:sz w:val="22"/>
                <w:szCs w:val="22"/>
              </w:rPr>
            </w:pPr>
            <w:r w:rsidRPr="00117BF8">
              <w:rPr>
                <w:rFonts w:ascii="Arial" w:hAnsi="Arial" w:cs="Arial"/>
                <w:sz w:val="22"/>
                <w:szCs w:val="22"/>
              </w:rPr>
              <w:t>ARL 1274</w:t>
            </w:r>
          </w:p>
        </w:tc>
      </w:tr>
      <w:tr w:rsidR="008E382E" w:rsidRPr="004E6455" w14:paraId="68CEAFAD" w14:textId="77777777" w:rsidTr="008E382E">
        <w:trPr>
          <w:trHeight w:val="300"/>
          <w:jc w:val="center"/>
        </w:trPr>
        <w:tc>
          <w:tcPr>
            <w:tcW w:w="2425" w:type="dxa"/>
            <w:tcBorders>
              <w:right w:val="nil"/>
            </w:tcBorders>
            <w:shd w:val="clear" w:color="auto" w:fill="auto"/>
            <w:noWrap/>
            <w:hideMark/>
          </w:tcPr>
          <w:p w14:paraId="58738347"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Préstamo</w:t>
            </w:r>
          </w:p>
        </w:tc>
        <w:tc>
          <w:tcPr>
            <w:tcW w:w="1420" w:type="dxa"/>
            <w:tcBorders>
              <w:left w:val="nil"/>
              <w:right w:val="nil"/>
            </w:tcBorders>
            <w:shd w:val="clear" w:color="auto" w:fill="auto"/>
            <w:noWrap/>
            <w:hideMark/>
          </w:tcPr>
          <w:p w14:paraId="62802DF5" w14:textId="77777777" w:rsidR="00534EB2" w:rsidRPr="00117BF8" w:rsidRDefault="00534EB2" w:rsidP="008E382E">
            <w:pPr>
              <w:pStyle w:val="TablaC"/>
              <w:jc w:val="center"/>
              <w:rPr>
                <w:rFonts w:ascii="Arial" w:hAnsi="Arial" w:cs="Arial"/>
                <w:sz w:val="18"/>
              </w:rPr>
            </w:pPr>
            <w:r w:rsidRPr="00117BF8">
              <w:rPr>
                <w:rFonts w:ascii="Arial" w:hAnsi="Arial" w:cs="Arial"/>
                <w:sz w:val="18"/>
              </w:rPr>
              <w:t>Millones USD</w:t>
            </w:r>
          </w:p>
        </w:tc>
        <w:tc>
          <w:tcPr>
            <w:tcW w:w="1200" w:type="dxa"/>
            <w:tcBorders>
              <w:left w:val="nil"/>
              <w:right w:val="nil"/>
            </w:tcBorders>
            <w:shd w:val="clear" w:color="auto" w:fill="auto"/>
            <w:noWrap/>
            <w:hideMark/>
          </w:tcPr>
          <w:p w14:paraId="6A6FF0CF" w14:textId="77777777" w:rsidR="00534EB2" w:rsidRPr="00117BF8" w:rsidRDefault="00534EB2" w:rsidP="00534EB2">
            <w:pPr>
              <w:pStyle w:val="TablaC"/>
              <w:rPr>
                <w:rFonts w:ascii="Arial" w:hAnsi="Arial" w:cs="Arial"/>
                <w:sz w:val="18"/>
              </w:rPr>
            </w:pPr>
            <w:r w:rsidRPr="00117BF8">
              <w:rPr>
                <w:rFonts w:ascii="Arial" w:hAnsi="Arial" w:cs="Arial"/>
                <w:sz w:val="18"/>
              </w:rPr>
              <w:t>20</w:t>
            </w:r>
          </w:p>
        </w:tc>
        <w:tc>
          <w:tcPr>
            <w:tcW w:w="1200" w:type="dxa"/>
            <w:tcBorders>
              <w:left w:val="nil"/>
              <w:right w:val="nil"/>
            </w:tcBorders>
            <w:shd w:val="clear" w:color="auto" w:fill="auto"/>
            <w:noWrap/>
            <w:hideMark/>
          </w:tcPr>
          <w:p w14:paraId="6376291D" w14:textId="77777777" w:rsidR="00534EB2" w:rsidRPr="00117BF8" w:rsidRDefault="00534EB2" w:rsidP="00534EB2">
            <w:pPr>
              <w:pStyle w:val="TablaC"/>
              <w:rPr>
                <w:rFonts w:ascii="Arial" w:hAnsi="Arial" w:cs="Arial"/>
                <w:sz w:val="18"/>
              </w:rPr>
            </w:pPr>
            <w:r w:rsidRPr="00117BF8">
              <w:rPr>
                <w:rFonts w:ascii="Arial" w:hAnsi="Arial" w:cs="Arial"/>
                <w:sz w:val="18"/>
              </w:rPr>
              <w:t>150</w:t>
            </w:r>
          </w:p>
        </w:tc>
        <w:tc>
          <w:tcPr>
            <w:tcW w:w="1200" w:type="dxa"/>
            <w:tcBorders>
              <w:left w:val="nil"/>
            </w:tcBorders>
            <w:shd w:val="clear" w:color="auto" w:fill="auto"/>
            <w:noWrap/>
            <w:hideMark/>
          </w:tcPr>
          <w:p w14:paraId="4714174D" w14:textId="77777777" w:rsidR="00534EB2" w:rsidRPr="00117BF8" w:rsidRDefault="00534EB2" w:rsidP="00534EB2">
            <w:pPr>
              <w:pStyle w:val="TablaC"/>
              <w:rPr>
                <w:rFonts w:ascii="Arial" w:hAnsi="Arial" w:cs="Arial"/>
                <w:sz w:val="18"/>
              </w:rPr>
            </w:pPr>
            <w:r w:rsidRPr="00117BF8">
              <w:rPr>
                <w:rFonts w:ascii="Arial" w:hAnsi="Arial" w:cs="Arial"/>
                <w:sz w:val="18"/>
              </w:rPr>
              <w:t>200</w:t>
            </w:r>
          </w:p>
        </w:tc>
      </w:tr>
      <w:tr w:rsidR="008E382E" w:rsidRPr="004E6455" w14:paraId="26BD0B5C" w14:textId="77777777" w:rsidTr="008E382E">
        <w:trPr>
          <w:trHeight w:val="300"/>
          <w:jc w:val="center"/>
        </w:trPr>
        <w:tc>
          <w:tcPr>
            <w:tcW w:w="2425" w:type="dxa"/>
            <w:tcBorders>
              <w:right w:val="nil"/>
            </w:tcBorders>
            <w:shd w:val="clear" w:color="auto" w:fill="D3DFEE"/>
            <w:noWrap/>
            <w:hideMark/>
          </w:tcPr>
          <w:p w14:paraId="5C365D5B"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Contraparte</w:t>
            </w:r>
          </w:p>
        </w:tc>
        <w:tc>
          <w:tcPr>
            <w:tcW w:w="1420" w:type="dxa"/>
            <w:tcBorders>
              <w:left w:val="nil"/>
              <w:right w:val="nil"/>
            </w:tcBorders>
            <w:shd w:val="clear" w:color="auto" w:fill="D3DFEE"/>
            <w:noWrap/>
            <w:hideMark/>
          </w:tcPr>
          <w:p w14:paraId="2CA86046" w14:textId="77777777" w:rsidR="00534EB2" w:rsidRPr="00117BF8" w:rsidRDefault="00534EB2" w:rsidP="008E382E">
            <w:pPr>
              <w:pStyle w:val="TablaC"/>
              <w:jc w:val="center"/>
              <w:rPr>
                <w:rFonts w:ascii="Arial" w:hAnsi="Arial" w:cs="Arial"/>
                <w:sz w:val="18"/>
              </w:rPr>
            </w:pPr>
            <w:r w:rsidRPr="00117BF8">
              <w:rPr>
                <w:rFonts w:ascii="Arial" w:hAnsi="Arial" w:cs="Arial"/>
                <w:sz w:val="18"/>
              </w:rPr>
              <w:t>Millones USD</w:t>
            </w:r>
          </w:p>
        </w:tc>
        <w:tc>
          <w:tcPr>
            <w:tcW w:w="1200" w:type="dxa"/>
            <w:tcBorders>
              <w:left w:val="nil"/>
              <w:right w:val="nil"/>
            </w:tcBorders>
            <w:shd w:val="clear" w:color="auto" w:fill="D3DFEE"/>
            <w:noWrap/>
            <w:hideMark/>
          </w:tcPr>
          <w:p w14:paraId="52822CB4" w14:textId="77777777" w:rsidR="00534EB2" w:rsidRPr="00117BF8" w:rsidRDefault="00534EB2" w:rsidP="00534EB2">
            <w:pPr>
              <w:pStyle w:val="TablaC"/>
              <w:rPr>
                <w:rFonts w:ascii="Arial" w:hAnsi="Arial" w:cs="Arial"/>
                <w:sz w:val="18"/>
              </w:rPr>
            </w:pPr>
          </w:p>
        </w:tc>
        <w:tc>
          <w:tcPr>
            <w:tcW w:w="1200" w:type="dxa"/>
            <w:tcBorders>
              <w:left w:val="nil"/>
              <w:right w:val="nil"/>
            </w:tcBorders>
            <w:shd w:val="clear" w:color="auto" w:fill="D3DFEE"/>
            <w:noWrap/>
            <w:hideMark/>
          </w:tcPr>
          <w:p w14:paraId="66F9D5F9" w14:textId="77777777" w:rsidR="00534EB2" w:rsidRPr="00117BF8" w:rsidRDefault="00534EB2" w:rsidP="00534EB2">
            <w:pPr>
              <w:pStyle w:val="TablaC"/>
              <w:rPr>
                <w:rFonts w:ascii="Arial" w:hAnsi="Arial" w:cs="Arial"/>
                <w:sz w:val="18"/>
              </w:rPr>
            </w:pPr>
            <w:r w:rsidRPr="00117BF8">
              <w:rPr>
                <w:rFonts w:ascii="Arial" w:hAnsi="Arial" w:cs="Arial"/>
                <w:sz w:val="18"/>
              </w:rPr>
              <w:t>30</w:t>
            </w:r>
          </w:p>
        </w:tc>
        <w:tc>
          <w:tcPr>
            <w:tcW w:w="1200" w:type="dxa"/>
            <w:tcBorders>
              <w:left w:val="nil"/>
            </w:tcBorders>
            <w:shd w:val="clear" w:color="auto" w:fill="D3DFEE"/>
            <w:noWrap/>
            <w:hideMark/>
          </w:tcPr>
          <w:p w14:paraId="19929078" w14:textId="77777777" w:rsidR="00534EB2" w:rsidRPr="00117BF8" w:rsidRDefault="00534EB2" w:rsidP="00534EB2">
            <w:pPr>
              <w:pStyle w:val="TablaC"/>
              <w:rPr>
                <w:rFonts w:ascii="Arial" w:hAnsi="Arial" w:cs="Arial"/>
                <w:sz w:val="18"/>
              </w:rPr>
            </w:pPr>
            <w:r w:rsidRPr="00117BF8">
              <w:rPr>
                <w:rFonts w:ascii="Arial" w:hAnsi="Arial" w:cs="Arial"/>
                <w:sz w:val="18"/>
              </w:rPr>
              <w:t>80</w:t>
            </w:r>
          </w:p>
        </w:tc>
      </w:tr>
      <w:tr w:rsidR="008E382E" w:rsidRPr="004E6455" w14:paraId="392E8A35" w14:textId="77777777" w:rsidTr="008E382E">
        <w:trPr>
          <w:trHeight w:val="300"/>
          <w:jc w:val="center"/>
        </w:trPr>
        <w:tc>
          <w:tcPr>
            <w:tcW w:w="2425" w:type="dxa"/>
            <w:tcBorders>
              <w:right w:val="nil"/>
            </w:tcBorders>
            <w:shd w:val="clear" w:color="auto" w:fill="auto"/>
            <w:noWrap/>
            <w:hideMark/>
          </w:tcPr>
          <w:p w14:paraId="3D699200"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Ejecución</w:t>
            </w:r>
          </w:p>
        </w:tc>
        <w:tc>
          <w:tcPr>
            <w:tcW w:w="1420" w:type="dxa"/>
            <w:tcBorders>
              <w:left w:val="nil"/>
              <w:right w:val="nil"/>
            </w:tcBorders>
            <w:shd w:val="clear" w:color="auto" w:fill="auto"/>
            <w:noWrap/>
            <w:hideMark/>
          </w:tcPr>
          <w:p w14:paraId="1612F214" w14:textId="77777777" w:rsidR="00534EB2" w:rsidRPr="00117BF8" w:rsidRDefault="00534EB2" w:rsidP="008E382E">
            <w:pPr>
              <w:pStyle w:val="TablaC"/>
              <w:jc w:val="center"/>
              <w:rPr>
                <w:rFonts w:ascii="Arial" w:hAnsi="Arial" w:cs="Arial"/>
                <w:sz w:val="18"/>
              </w:rPr>
            </w:pPr>
            <w:r w:rsidRPr="00117BF8">
              <w:rPr>
                <w:rFonts w:ascii="Arial" w:hAnsi="Arial" w:cs="Arial"/>
                <w:sz w:val="18"/>
              </w:rPr>
              <w:t>Años</w:t>
            </w:r>
          </w:p>
        </w:tc>
        <w:tc>
          <w:tcPr>
            <w:tcW w:w="1200" w:type="dxa"/>
            <w:tcBorders>
              <w:left w:val="nil"/>
              <w:right w:val="nil"/>
            </w:tcBorders>
            <w:shd w:val="clear" w:color="auto" w:fill="auto"/>
            <w:noWrap/>
            <w:hideMark/>
          </w:tcPr>
          <w:p w14:paraId="6FDDA834" w14:textId="77777777" w:rsidR="00534EB2" w:rsidRPr="00117BF8" w:rsidRDefault="00534EB2" w:rsidP="00534EB2">
            <w:pPr>
              <w:pStyle w:val="TablaC"/>
              <w:rPr>
                <w:rFonts w:ascii="Arial" w:hAnsi="Arial" w:cs="Arial"/>
                <w:sz w:val="18"/>
              </w:rPr>
            </w:pPr>
            <w:r w:rsidRPr="00117BF8">
              <w:rPr>
                <w:rFonts w:ascii="Arial" w:hAnsi="Arial" w:cs="Arial"/>
                <w:sz w:val="18"/>
              </w:rPr>
              <w:t>1</w:t>
            </w:r>
          </w:p>
        </w:tc>
        <w:tc>
          <w:tcPr>
            <w:tcW w:w="1200" w:type="dxa"/>
            <w:tcBorders>
              <w:left w:val="nil"/>
              <w:right w:val="nil"/>
            </w:tcBorders>
            <w:shd w:val="clear" w:color="auto" w:fill="auto"/>
            <w:noWrap/>
            <w:hideMark/>
          </w:tcPr>
          <w:p w14:paraId="258AC2E9" w14:textId="77777777" w:rsidR="00534EB2" w:rsidRPr="00117BF8" w:rsidRDefault="00534EB2" w:rsidP="00534EB2">
            <w:pPr>
              <w:pStyle w:val="TablaC"/>
              <w:rPr>
                <w:rFonts w:ascii="Arial" w:hAnsi="Arial" w:cs="Arial"/>
                <w:sz w:val="18"/>
              </w:rPr>
            </w:pPr>
            <w:r w:rsidRPr="00117BF8">
              <w:rPr>
                <w:rFonts w:ascii="Arial" w:hAnsi="Arial" w:cs="Arial"/>
                <w:sz w:val="18"/>
              </w:rPr>
              <w:t>5</w:t>
            </w:r>
          </w:p>
        </w:tc>
        <w:tc>
          <w:tcPr>
            <w:tcW w:w="1200" w:type="dxa"/>
            <w:tcBorders>
              <w:left w:val="nil"/>
            </w:tcBorders>
            <w:shd w:val="clear" w:color="auto" w:fill="auto"/>
            <w:noWrap/>
            <w:hideMark/>
          </w:tcPr>
          <w:p w14:paraId="57642D66" w14:textId="77777777" w:rsidR="00534EB2" w:rsidRPr="00117BF8" w:rsidRDefault="00534EB2" w:rsidP="00534EB2">
            <w:pPr>
              <w:pStyle w:val="TablaC"/>
              <w:rPr>
                <w:rFonts w:ascii="Arial" w:hAnsi="Arial" w:cs="Arial"/>
                <w:sz w:val="18"/>
              </w:rPr>
            </w:pPr>
            <w:r w:rsidRPr="00117BF8">
              <w:rPr>
                <w:rFonts w:ascii="Arial" w:hAnsi="Arial" w:cs="Arial"/>
                <w:sz w:val="18"/>
              </w:rPr>
              <w:t>5</w:t>
            </w:r>
          </w:p>
        </w:tc>
      </w:tr>
      <w:tr w:rsidR="008E382E" w:rsidRPr="004E6455" w14:paraId="347B8F1C" w14:textId="77777777" w:rsidTr="008E382E">
        <w:trPr>
          <w:trHeight w:val="300"/>
          <w:jc w:val="center"/>
        </w:trPr>
        <w:tc>
          <w:tcPr>
            <w:tcW w:w="2425" w:type="dxa"/>
            <w:tcBorders>
              <w:right w:val="nil"/>
            </w:tcBorders>
            <w:shd w:val="clear" w:color="auto" w:fill="D3DFEE"/>
            <w:noWrap/>
            <w:hideMark/>
          </w:tcPr>
          <w:p w14:paraId="4978D929"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Carencia</w:t>
            </w:r>
          </w:p>
        </w:tc>
        <w:tc>
          <w:tcPr>
            <w:tcW w:w="1420" w:type="dxa"/>
            <w:tcBorders>
              <w:left w:val="nil"/>
              <w:right w:val="nil"/>
            </w:tcBorders>
            <w:shd w:val="clear" w:color="auto" w:fill="D3DFEE"/>
            <w:noWrap/>
            <w:hideMark/>
          </w:tcPr>
          <w:p w14:paraId="3C2FE5CB" w14:textId="77777777" w:rsidR="00534EB2" w:rsidRPr="00117BF8" w:rsidRDefault="00534EB2" w:rsidP="008E382E">
            <w:pPr>
              <w:pStyle w:val="TablaC"/>
              <w:jc w:val="center"/>
              <w:rPr>
                <w:rFonts w:ascii="Arial" w:hAnsi="Arial" w:cs="Arial"/>
                <w:sz w:val="18"/>
              </w:rPr>
            </w:pPr>
            <w:r w:rsidRPr="00117BF8">
              <w:rPr>
                <w:rFonts w:ascii="Arial" w:hAnsi="Arial" w:cs="Arial"/>
                <w:sz w:val="18"/>
              </w:rPr>
              <w:t>Años</w:t>
            </w:r>
          </w:p>
        </w:tc>
        <w:tc>
          <w:tcPr>
            <w:tcW w:w="1200" w:type="dxa"/>
            <w:tcBorders>
              <w:left w:val="nil"/>
              <w:right w:val="nil"/>
            </w:tcBorders>
            <w:shd w:val="clear" w:color="auto" w:fill="D3DFEE"/>
            <w:noWrap/>
            <w:hideMark/>
          </w:tcPr>
          <w:p w14:paraId="148F65CE" w14:textId="77777777" w:rsidR="00534EB2" w:rsidRPr="00117BF8" w:rsidRDefault="00534EB2" w:rsidP="00534EB2">
            <w:pPr>
              <w:pStyle w:val="TablaC"/>
              <w:rPr>
                <w:rFonts w:ascii="Arial" w:hAnsi="Arial" w:cs="Arial"/>
                <w:sz w:val="18"/>
              </w:rPr>
            </w:pPr>
            <w:r w:rsidRPr="00117BF8">
              <w:rPr>
                <w:rFonts w:ascii="Arial" w:hAnsi="Arial" w:cs="Arial"/>
                <w:sz w:val="18"/>
              </w:rPr>
              <w:t>5</w:t>
            </w:r>
          </w:p>
        </w:tc>
        <w:tc>
          <w:tcPr>
            <w:tcW w:w="1200" w:type="dxa"/>
            <w:tcBorders>
              <w:left w:val="nil"/>
              <w:right w:val="nil"/>
            </w:tcBorders>
            <w:shd w:val="clear" w:color="auto" w:fill="D3DFEE"/>
            <w:noWrap/>
            <w:hideMark/>
          </w:tcPr>
          <w:p w14:paraId="5C414722" w14:textId="77777777" w:rsidR="00534EB2" w:rsidRPr="00117BF8" w:rsidRDefault="00534EB2" w:rsidP="00534EB2">
            <w:pPr>
              <w:pStyle w:val="TablaC"/>
              <w:rPr>
                <w:rFonts w:ascii="Arial" w:hAnsi="Arial" w:cs="Arial"/>
                <w:sz w:val="18"/>
              </w:rPr>
            </w:pPr>
            <w:r w:rsidRPr="00117BF8">
              <w:rPr>
                <w:rFonts w:ascii="Arial" w:hAnsi="Arial" w:cs="Arial"/>
                <w:sz w:val="18"/>
              </w:rPr>
              <w:t>5</w:t>
            </w:r>
          </w:p>
        </w:tc>
        <w:tc>
          <w:tcPr>
            <w:tcW w:w="1200" w:type="dxa"/>
            <w:tcBorders>
              <w:left w:val="nil"/>
            </w:tcBorders>
            <w:shd w:val="clear" w:color="auto" w:fill="D3DFEE"/>
            <w:noWrap/>
            <w:hideMark/>
          </w:tcPr>
          <w:p w14:paraId="4F52BF23" w14:textId="77777777" w:rsidR="00534EB2" w:rsidRPr="00117BF8" w:rsidRDefault="00534EB2" w:rsidP="00534EB2">
            <w:pPr>
              <w:pStyle w:val="TablaC"/>
              <w:rPr>
                <w:rFonts w:ascii="Arial" w:hAnsi="Arial" w:cs="Arial"/>
                <w:sz w:val="18"/>
              </w:rPr>
            </w:pPr>
            <w:r w:rsidRPr="00117BF8">
              <w:rPr>
                <w:rFonts w:ascii="Arial" w:hAnsi="Arial" w:cs="Arial"/>
                <w:sz w:val="18"/>
              </w:rPr>
              <w:t>5</w:t>
            </w:r>
          </w:p>
        </w:tc>
      </w:tr>
      <w:tr w:rsidR="008E382E" w:rsidRPr="004E6455" w14:paraId="33A45E03" w14:textId="77777777" w:rsidTr="008E382E">
        <w:trPr>
          <w:trHeight w:val="300"/>
          <w:jc w:val="center"/>
        </w:trPr>
        <w:tc>
          <w:tcPr>
            <w:tcW w:w="2425" w:type="dxa"/>
            <w:tcBorders>
              <w:right w:val="nil"/>
            </w:tcBorders>
            <w:shd w:val="clear" w:color="auto" w:fill="auto"/>
            <w:noWrap/>
            <w:hideMark/>
          </w:tcPr>
          <w:p w14:paraId="032E0682"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Repago</w:t>
            </w:r>
          </w:p>
        </w:tc>
        <w:tc>
          <w:tcPr>
            <w:tcW w:w="1420" w:type="dxa"/>
            <w:tcBorders>
              <w:left w:val="nil"/>
              <w:right w:val="nil"/>
            </w:tcBorders>
            <w:shd w:val="clear" w:color="auto" w:fill="auto"/>
            <w:noWrap/>
            <w:hideMark/>
          </w:tcPr>
          <w:p w14:paraId="17BC5AD5" w14:textId="77777777" w:rsidR="00534EB2" w:rsidRPr="00117BF8" w:rsidRDefault="00534EB2" w:rsidP="008E382E">
            <w:pPr>
              <w:pStyle w:val="TablaC"/>
              <w:jc w:val="center"/>
              <w:rPr>
                <w:rFonts w:ascii="Arial" w:hAnsi="Arial" w:cs="Arial"/>
                <w:sz w:val="18"/>
              </w:rPr>
            </w:pPr>
            <w:r w:rsidRPr="00117BF8">
              <w:rPr>
                <w:rFonts w:ascii="Arial" w:hAnsi="Arial" w:cs="Arial"/>
                <w:sz w:val="18"/>
              </w:rPr>
              <w:t>Años</w:t>
            </w:r>
          </w:p>
        </w:tc>
        <w:tc>
          <w:tcPr>
            <w:tcW w:w="1200" w:type="dxa"/>
            <w:tcBorders>
              <w:left w:val="nil"/>
              <w:right w:val="nil"/>
            </w:tcBorders>
            <w:shd w:val="clear" w:color="auto" w:fill="auto"/>
            <w:noWrap/>
            <w:hideMark/>
          </w:tcPr>
          <w:p w14:paraId="2FF55A4D" w14:textId="77777777" w:rsidR="00534EB2" w:rsidRPr="00117BF8" w:rsidRDefault="00534EB2" w:rsidP="00534EB2">
            <w:pPr>
              <w:pStyle w:val="TablaC"/>
              <w:rPr>
                <w:rFonts w:ascii="Arial" w:hAnsi="Arial" w:cs="Arial"/>
                <w:sz w:val="18"/>
              </w:rPr>
            </w:pPr>
            <w:r w:rsidRPr="00117BF8">
              <w:rPr>
                <w:rFonts w:ascii="Arial" w:hAnsi="Arial" w:cs="Arial"/>
                <w:sz w:val="18"/>
              </w:rPr>
              <w:t>20</w:t>
            </w:r>
          </w:p>
        </w:tc>
        <w:tc>
          <w:tcPr>
            <w:tcW w:w="1200" w:type="dxa"/>
            <w:tcBorders>
              <w:left w:val="nil"/>
              <w:right w:val="nil"/>
            </w:tcBorders>
            <w:shd w:val="clear" w:color="auto" w:fill="auto"/>
            <w:noWrap/>
            <w:hideMark/>
          </w:tcPr>
          <w:p w14:paraId="7295F9F0" w14:textId="77777777" w:rsidR="00534EB2" w:rsidRPr="00117BF8" w:rsidRDefault="00534EB2" w:rsidP="00534EB2">
            <w:pPr>
              <w:pStyle w:val="TablaC"/>
              <w:rPr>
                <w:rFonts w:ascii="Arial" w:hAnsi="Arial" w:cs="Arial"/>
                <w:sz w:val="18"/>
              </w:rPr>
            </w:pPr>
            <w:r w:rsidRPr="00117BF8">
              <w:rPr>
                <w:rFonts w:ascii="Arial" w:hAnsi="Arial" w:cs="Arial"/>
                <w:sz w:val="18"/>
              </w:rPr>
              <w:t>20</w:t>
            </w:r>
          </w:p>
        </w:tc>
        <w:tc>
          <w:tcPr>
            <w:tcW w:w="1200" w:type="dxa"/>
            <w:tcBorders>
              <w:left w:val="nil"/>
            </w:tcBorders>
            <w:shd w:val="clear" w:color="auto" w:fill="auto"/>
            <w:noWrap/>
            <w:hideMark/>
          </w:tcPr>
          <w:p w14:paraId="7EA24E57" w14:textId="77777777" w:rsidR="00534EB2" w:rsidRPr="00117BF8" w:rsidRDefault="00534EB2" w:rsidP="00534EB2">
            <w:pPr>
              <w:pStyle w:val="TablaC"/>
              <w:rPr>
                <w:rFonts w:ascii="Arial" w:hAnsi="Arial" w:cs="Arial"/>
                <w:sz w:val="18"/>
              </w:rPr>
            </w:pPr>
            <w:r w:rsidRPr="00117BF8">
              <w:rPr>
                <w:rFonts w:ascii="Arial" w:hAnsi="Arial" w:cs="Arial"/>
                <w:sz w:val="18"/>
              </w:rPr>
              <w:t>20</w:t>
            </w:r>
          </w:p>
        </w:tc>
      </w:tr>
      <w:tr w:rsidR="008E382E" w:rsidRPr="004E6455" w14:paraId="2BFE3C8D" w14:textId="77777777" w:rsidTr="008E382E">
        <w:trPr>
          <w:trHeight w:val="300"/>
          <w:jc w:val="center"/>
        </w:trPr>
        <w:tc>
          <w:tcPr>
            <w:tcW w:w="2425" w:type="dxa"/>
            <w:tcBorders>
              <w:right w:val="nil"/>
            </w:tcBorders>
            <w:shd w:val="clear" w:color="auto" w:fill="D3DFEE"/>
            <w:noWrap/>
            <w:hideMark/>
          </w:tcPr>
          <w:p w14:paraId="43B75D0D"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Inicio</w:t>
            </w:r>
          </w:p>
        </w:tc>
        <w:tc>
          <w:tcPr>
            <w:tcW w:w="1420" w:type="dxa"/>
            <w:tcBorders>
              <w:left w:val="nil"/>
              <w:right w:val="nil"/>
            </w:tcBorders>
            <w:shd w:val="clear" w:color="auto" w:fill="D3DFEE"/>
            <w:noWrap/>
            <w:hideMark/>
          </w:tcPr>
          <w:p w14:paraId="6C798BE5" w14:textId="77777777" w:rsidR="00534EB2" w:rsidRPr="00117BF8" w:rsidRDefault="00534EB2" w:rsidP="008E382E">
            <w:pPr>
              <w:pStyle w:val="TablaC"/>
              <w:jc w:val="center"/>
              <w:rPr>
                <w:rFonts w:ascii="Arial" w:hAnsi="Arial" w:cs="Arial"/>
                <w:sz w:val="18"/>
              </w:rPr>
            </w:pPr>
          </w:p>
        </w:tc>
        <w:tc>
          <w:tcPr>
            <w:tcW w:w="1200" w:type="dxa"/>
            <w:tcBorders>
              <w:left w:val="nil"/>
              <w:right w:val="nil"/>
            </w:tcBorders>
            <w:shd w:val="clear" w:color="auto" w:fill="D3DFEE"/>
            <w:noWrap/>
            <w:hideMark/>
          </w:tcPr>
          <w:p w14:paraId="0DF8B7AC" w14:textId="77777777" w:rsidR="00534EB2" w:rsidRPr="00117BF8" w:rsidRDefault="00534EB2" w:rsidP="00534EB2">
            <w:pPr>
              <w:pStyle w:val="TablaC"/>
              <w:rPr>
                <w:rFonts w:ascii="Arial" w:hAnsi="Arial" w:cs="Arial"/>
                <w:sz w:val="18"/>
              </w:rPr>
            </w:pPr>
            <w:r w:rsidRPr="00117BF8">
              <w:rPr>
                <w:rFonts w:ascii="Arial" w:hAnsi="Arial" w:cs="Arial"/>
                <w:sz w:val="18"/>
              </w:rPr>
              <w:t>2018</w:t>
            </w:r>
          </w:p>
        </w:tc>
        <w:tc>
          <w:tcPr>
            <w:tcW w:w="1200" w:type="dxa"/>
            <w:tcBorders>
              <w:left w:val="nil"/>
              <w:right w:val="nil"/>
            </w:tcBorders>
            <w:shd w:val="clear" w:color="auto" w:fill="D3DFEE"/>
            <w:noWrap/>
            <w:hideMark/>
          </w:tcPr>
          <w:p w14:paraId="19AAEF1E" w14:textId="77777777" w:rsidR="00534EB2" w:rsidRPr="00117BF8" w:rsidRDefault="00534EB2" w:rsidP="00534EB2">
            <w:pPr>
              <w:pStyle w:val="TablaC"/>
              <w:rPr>
                <w:rFonts w:ascii="Arial" w:hAnsi="Arial" w:cs="Arial"/>
                <w:sz w:val="18"/>
              </w:rPr>
            </w:pPr>
            <w:r w:rsidRPr="00117BF8">
              <w:rPr>
                <w:rFonts w:ascii="Arial" w:hAnsi="Arial" w:cs="Arial"/>
                <w:sz w:val="18"/>
              </w:rPr>
              <w:t>2018</w:t>
            </w:r>
          </w:p>
        </w:tc>
        <w:tc>
          <w:tcPr>
            <w:tcW w:w="1200" w:type="dxa"/>
            <w:tcBorders>
              <w:left w:val="nil"/>
            </w:tcBorders>
            <w:shd w:val="clear" w:color="auto" w:fill="D3DFEE"/>
            <w:noWrap/>
            <w:hideMark/>
          </w:tcPr>
          <w:p w14:paraId="4DA41D20" w14:textId="77777777" w:rsidR="00534EB2" w:rsidRPr="00117BF8" w:rsidRDefault="00534EB2" w:rsidP="00534EB2">
            <w:pPr>
              <w:pStyle w:val="TablaC"/>
              <w:rPr>
                <w:rFonts w:ascii="Arial" w:hAnsi="Arial" w:cs="Arial"/>
                <w:sz w:val="18"/>
              </w:rPr>
            </w:pPr>
            <w:r w:rsidRPr="00117BF8">
              <w:rPr>
                <w:rFonts w:ascii="Arial" w:hAnsi="Arial" w:cs="Arial"/>
                <w:sz w:val="18"/>
              </w:rPr>
              <w:t>2018</w:t>
            </w:r>
          </w:p>
        </w:tc>
      </w:tr>
      <w:tr w:rsidR="008E382E" w:rsidRPr="004E6455" w14:paraId="5BE8D733" w14:textId="77777777" w:rsidTr="008E382E">
        <w:trPr>
          <w:trHeight w:val="300"/>
          <w:jc w:val="center"/>
        </w:trPr>
        <w:tc>
          <w:tcPr>
            <w:tcW w:w="2425" w:type="dxa"/>
            <w:tcBorders>
              <w:right w:val="nil"/>
            </w:tcBorders>
            <w:shd w:val="clear" w:color="auto" w:fill="auto"/>
            <w:noWrap/>
            <w:hideMark/>
          </w:tcPr>
          <w:p w14:paraId="5365C497"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Tasa</w:t>
            </w:r>
          </w:p>
        </w:tc>
        <w:tc>
          <w:tcPr>
            <w:tcW w:w="1420" w:type="dxa"/>
            <w:tcBorders>
              <w:left w:val="nil"/>
              <w:right w:val="nil"/>
            </w:tcBorders>
            <w:shd w:val="clear" w:color="auto" w:fill="auto"/>
            <w:noWrap/>
            <w:hideMark/>
          </w:tcPr>
          <w:p w14:paraId="0233A6C2" w14:textId="77777777" w:rsidR="00534EB2" w:rsidRPr="00117BF8" w:rsidRDefault="00534EB2" w:rsidP="008E382E">
            <w:pPr>
              <w:pStyle w:val="TablaC"/>
              <w:jc w:val="center"/>
              <w:rPr>
                <w:rFonts w:ascii="Arial" w:hAnsi="Arial" w:cs="Arial"/>
                <w:sz w:val="18"/>
              </w:rPr>
            </w:pPr>
            <w:r w:rsidRPr="00117BF8">
              <w:rPr>
                <w:rFonts w:ascii="Arial" w:hAnsi="Arial" w:cs="Arial"/>
                <w:sz w:val="18"/>
              </w:rPr>
              <w:t>Anual</w:t>
            </w:r>
          </w:p>
        </w:tc>
        <w:tc>
          <w:tcPr>
            <w:tcW w:w="1200" w:type="dxa"/>
            <w:tcBorders>
              <w:left w:val="nil"/>
              <w:right w:val="nil"/>
            </w:tcBorders>
            <w:shd w:val="clear" w:color="auto" w:fill="auto"/>
            <w:noWrap/>
            <w:hideMark/>
          </w:tcPr>
          <w:p w14:paraId="1291020C" w14:textId="77777777" w:rsidR="00534EB2" w:rsidRPr="00117BF8" w:rsidRDefault="00534EB2" w:rsidP="00534EB2">
            <w:pPr>
              <w:pStyle w:val="TablaC"/>
              <w:rPr>
                <w:rFonts w:ascii="Arial" w:hAnsi="Arial" w:cs="Arial"/>
                <w:sz w:val="18"/>
              </w:rPr>
            </w:pPr>
            <w:r w:rsidRPr="00117BF8">
              <w:rPr>
                <w:rFonts w:ascii="Arial" w:hAnsi="Arial" w:cs="Arial"/>
                <w:sz w:val="18"/>
              </w:rPr>
              <w:t>2,25%</w:t>
            </w:r>
          </w:p>
        </w:tc>
        <w:tc>
          <w:tcPr>
            <w:tcW w:w="1200" w:type="dxa"/>
            <w:tcBorders>
              <w:left w:val="nil"/>
              <w:right w:val="nil"/>
            </w:tcBorders>
            <w:shd w:val="clear" w:color="auto" w:fill="auto"/>
            <w:noWrap/>
            <w:hideMark/>
          </w:tcPr>
          <w:p w14:paraId="60084839" w14:textId="77777777" w:rsidR="00534EB2" w:rsidRPr="00117BF8" w:rsidRDefault="00534EB2" w:rsidP="00534EB2">
            <w:pPr>
              <w:pStyle w:val="TablaC"/>
              <w:rPr>
                <w:rFonts w:ascii="Arial" w:hAnsi="Arial" w:cs="Arial"/>
                <w:sz w:val="18"/>
              </w:rPr>
            </w:pPr>
            <w:r w:rsidRPr="00117BF8">
              <w:rPr>
                <w:rFonts w:ascii="Arial" w:hAnsi="Arial" w:cs="Arial"/>
                <w:sz w:val="18"/>
              </w:rPr>
              <w:t>2,25%</w:t>
            </w:r>
          </w:p>
        </w:tc>
        <w:tc>
          <w:tcPr>
            <w:tcW w:w="1200" w:type="dxa"/>
            <w:tcBorders>
              <w:left w:val="nil"/>
            </w:tcBorders>
            <w:shd w:val="clear" w:color="auto" w:fill="auto"/>
            <w:noWrap/>
            <w:hideMark/>
          </w:tcPr>
          <w:p w14:paraId="38C79696" w14:textId="77777777" w:rsidR="00534EB2" w:rsidRPr="00117BF8" w:rsidRDefault="00534EB2" w:rsidP="00534EB2">
            <w:pPr>
              <w:pStyle w:val="TablaC"/>
              <w:rPr>
                <w:rFonts w:ascii="Arial" w:hAnsi="Arial" w:cs="Arial"/>
                <w:sz w:val="18"/>
              </w:rPr>
            </w:pPr>
            <w:r w:rsidRPr="00117BF8">
              <w:rPr>
                <w:rFonts w:ascii="Arial" w:hAnsi="Arial" w:cs="Arial"/>
                <w:sz w:val="18"/>
              </w:rPr>
              <w:t>2,25%</w:t>
            </w:r>
          </w:p>
        </w:tc>
      </w:tr>
      <w:tr w:rsidR="008E382E" w:rsidRPr="004E6455" w14:paraId="0128D67B" w14:textId="77777777" w:rsidTr="008E382E">
        <w:trPr>
          <w:trHeight w:val="300"/>
          <w:jc w:val="center"/>
        </w:trPr>
        <w:tc>
          <w:tcPr>
            <w:tcW w:w="2425" w:type="dxa"/>
            <w:tcBorders>
              <w:right w:val="nil"/>
            </w:tcBorders>
            <w:shd w:val="clear" w:color="auto" w:fill="D3DFEE"/>
            <w:noWrap/>
            <w:hideMark/>
          </w:tcPr>
          <w:p w14:paraId="0E94B026"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Comisión</w:t>
            </w:r>
          </w:p>
        </w:tc>
        <w:tc>
          <w:tcPr>
            <w:tcW w:w="1420" w:type="dxa"/>
            <w:tcBorders>
              <w:left w:val="nil"/>
              <w:right w:val="nil"/>
            </w:tcBorders>
            <w:shd w:val="clear" w:color="auto" w:fill="D3DFEE"/>
            <w:noWrap/>
            <w:hideMark/>
          </w:tcPr>
          <w:p w14:paraId="79365581" w14:textId="77777777" w:rsidR="00534EB2" w:rsidRPr="00117BF8" w:rsidRDefault="00534EB2" w:rsidP="008E382E">
            <w:pPr>
              <w:pStyle w:val="TablaC"/>
              <w:jc w:val="center"/>
              <w:rPr>
                <w:rFonts w:ascii="Arial" w:hAnsi="Arial" w:cs="Arial"/>
                <w:sz w:val="18"/>
              </w:rPr>
            </w:pPr>
            <w:r w:rsidRPr="00117BF8">
              <w:rPr>
                <w:rFonts w:ascii="Arial" w:hAnsi="Arial" w:cs="Arial"/>
                <w:sz w:val="18"/>
              </w:rPr>
              <w:t>Anual</w:t>
            </w:r>
          </w:p>
        </w:tc>
        <w:tc>
          <w:tcPr>
            <w:tcW w:w="1200" w:type="dxa"/>
            <w:tcBorders>
              <w:left w:val="nil"/>
              <w:right w:val="nil"/>
            </w:tcBorders>
            <w:shd w:val="clear" w:color="auto" w:fill="D3DFEE"/>
            <w:noWrap/>
            <w:hideMark/>
          </w:tcPr>
          <w:p w14:paraId="347B1C71" w14:textId="77777777" w:rsidR="00534EB2" w:rsidRPr="00117BF8" w:rsidRDefault="00534EB2" w:rsidP="00534EB2">
            <w:pPr>
              <w:pStyle w:val="TablaC"/>
              <w:rPr>
                <w:rFonts w:ascii="Arial" w:hAnsi="Arial" w:cs="Arial"/>
                <w:sz w:val="18"/>
              </w:rPr>
            </w:pPr>
            <w:r w:rsidRPr="00117BF8">
              <w:rPr>
                <w:rFonts w:ascii="Arial" w:hAnsi="Arial" w:cs="Arial"/>
                <w:sz w:val="18"/>
              </w:rPr>
              <w:t>0,50%</w:t>
            </w:r>
          </w:p>
        </w:tc>
        <w:tc>
          <w:tcPr>
            <w:tcW w:w="1200" w:type="dxa"/>
            <w:tcBorders>
              <w:left w:val="nil"/>
              <w:right w:val="nil"/>
            </w:tcBorders>
            <w:shd w:val="clear" w:color="auto" w:fill="D3DFEE"/>
            <w:noWrap/>
            <w:hideMark/>
          </w:tcPr>
          <w:p w14:paraId="71FEE826" w14:textId="77777777" w:rsidR="00534EB2" w:rsidRPr="00117BF8" w:rsidRDefault="00534EB2" w:rsidP="00534EB2">
            <w:pPr>
              <w:pStyle w:val="TablaC"/>
              <w:rPr>
                <w:rFonts w:ascii="Arial" w:hAnsi="Arial" w:cs="Arial"/>
                <w:sz w:val="18"/>
              </w:rPr>
            </w:pPr>
            <w:r w:rsidRPr="00117BF8">
              <w:rPr>
                <w:rFonts w:ascii="Arial" w:hAnsi="Arial" w:cs="Arial"/>
                <w:sz w:val="18"/>
              </w:rPr>
              <w:t>0,50%</w:t>
            </w:r>
          </w:p>
        </w:tc>
        <w:tc>
          <w:tcPr>
            <w:tcW w:w="1200" w:type="dxa"/>
            <w:tcBorders>
              <w:left w:val="nil"/>
            </w:tcBorders>
            <w:shd w:val="clear" w:color="auto" w:fill="D3DFEE"/>
            <w:noWrap/>
            <w:hideMark/>
          </w:tcPr>
          <w:p w14:paraId="5B1CF67C" w14:textId="77777777" w:rsidR="00534EB2" w:rsidRPr="00117BF8" w:rsidRDefault="00534EB2" w:rsidP="00534EB2">
            <w:pPr>
              <w:pStyle w:val="TablaC"/>
              <w:rPr>
                <w:rFonts w:ascii="Arial" w:hAnsi="Arial" w:cs="Arial"/>
                <w:sz w:val="18"/>
              </w:rPr>
            </w:pPr>
            <w:r w:rsidRPr="00117BF8">
              <w:rPr>
                <w:rFonts w:ascii="Arial" w:hAnsi="Arial" w:cs="Arial"/>
                <w:sz w:val="18"/>
              </w:rPr>
              <w:t>0,50%</w:t>
            </w:r>
          </w:p>
        </w:tc>
      </w:tr>
      <w:tr w:rsidR="008E382E" w:rsidRPr="004E6455" w14:paraId="52B5705D" w14:textId="77777777" w:rsidTr="008E382E">
        <w:trPr>
          <w:trHeight w:val="300"/>
          <w:jc w:val="center"/>
        </w:trPr>
        <w:tc>
          <w:tcPr>
            <w:tcW w:w="2425" w:type="dxa"/>
            <w:tcBorders>
              <w:right w:val="nil"/>
            </w:tcBorders>
            <w:shd w:val="clear" w:color="auto" w:fill="auto"/>
            <w:noWrap/>
            <w:hideMark/>
          </w:tcPr>
          <w:p w14:paraId="16B8E196"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Mantenimiento Pres. A</w:t>
            </w:r>
            <w:r w:rsidR="00B8231B" w:rsidRPr="00117BF8">
              <w:rPr>
                <w:rFonts w:ascii="Arial" w:hAnsi="Arial" w:cs="Arial"/>
                <w:b/>
                <w:bCs/>
                <w:sz w:val="18"/>
              </w:rPr>
              <w:t>P</w:t>
            </w:r>
            <w:r w:rsidRPr="00117BF8">
              <w:rPr>
                <w:rFonts w:ascii="Arial" w:hAnsi="Arial" w:cs="Arial"/>
                <w:b/>
                <w:bCs/>
                <w:sz w:val="18"/>
              </w:rPr>
              <w:t>NF</w:t>
            </w:r>
          </w:p>
        </w:tc>
        <w:tc>
          <w:tcPr>
            <w:tcW w:w="1420" w:type="dxa"/>
            <w:tcBorders>
              <w:left w:val="nil"/>
              <w:right w:val="nil"/>
            </w:tcBorders>
            <w:shd w:val="clear" w:color="auto" w:fill="auto"/>
            <w:noWrap/>
            <w:hideMark/>
          </w:tcPr>
          <w:p w14:paraId="4DB2F41C" w14:textId="77777777" w:rsidR="00534EB2" w:rsidRPr="00117BF8" w:rsidRDefault="00534EB2" w:rsidP="008E382E">
            <w:pPr>
              <w:pStyle w:val="TablaC"/>
              <w:jc w:val="center"/>
              <w:rPr>
                <w:rFonts w:ascii="Arial" w:hAnsi="Arial" w:cs="Arial"/>
                <w:sz w:val="18"/>
              </w:rPr>
            </w:pPr>
            <w:r w:rsidRPr="00117BF8">
              <w:rPr>
                <w:rFonts w:ascii="Arial" w:hAnsi="Arial" w:cs="Arial"/>
                <w:sz w:val="18"/>
              </w:rPr>
              <w:t>Anual</w:t>
            </w:r>
          </w:p>
        </w:tc>
        <w:tc>
          <w:tcPr>
            <w:tcW w:w="1200" w:type="dxa"/>
            <w:tcBorders>
              <w:left w:val="nil"/>
              <w:right w:val="nil"/>
            </w:tcBorders>
            <w:shd w:val="clear" w:color="auto" w:fill="auto"/>
            <w:noWrap/>
            <w:hideMark/>
          </w:tcPr>
          <w:p w14:paraId="654BB97D" w14:textId="77777777" w:rsidR="00534EB2" w:rsidRPr="00117BF8" w:rsidRDefault="00534EB2" w:rsidP="00534EB2">
            <w:pPr>
              <w:pStyle w:val="TablaC"/>
              <w:rPr>
                <w:rFonts w:ascii="Arial" w:hAnsi="Arial" w:cs="Arial"/>
                <w:sz w:val="18"/>
              </w:rPr>
            </w:pPr>
            <w:r w:rsidRPr="00117BF8">
              <w:rPr>
                <w:rFonts w:ascii="Arial" w:hAnsi="Arial" w:cs="Arial"/>
                <w:sz w:val="18"/>
              </w:rPr>
              <w:t>0%</w:t>
            </w:r>
          </w:p>
        </w:tc>
        <w:tc>
          <w:tcPr>
            <w:tcW w:w="1200" w:type="dxa"/>
            <w:tcBorders>
              <w:left w:val="nil"/>
              <w:right w:val="nil"/>
            </w:tcBorders>
            <w:shd w:val="clear" w:color="auto" w:fill="auto"/>
            <w:noWrap/>
            <w:hideMark/>
          </w:tcPr>
          <w:p w14:paraId="2517D45E" w14:textId="77777777" w:rsidR="00534EB2" w:rsidRPr="00117BF8" w:rsidRDefault="00534EB2" w:rsidP="00534EB2">
            <w:pPr>
              <w:pStyle w:val="TablaC"/>
              <w:rPr>
                <w:rFonts w:ascii="Arial" w:hAnsi="Arial" w:cs="Arial"/>
                <w:sz w:val="18"/>
              </w:rPr>
            </w:pPr>
            <w:r w:rsidRPr="00117BF8">
              <w:rPr>
                <w:rFonts w:ascii="Arial" w:hAnsi="Arial" w:cs="Arial"/>
                <w:sz w:val="18"/>
              </w:rPr>
              <w:t>1%</w:t>
            </w:r>
          </w:p>
        </w:tc>
        <w:tc>
          <w:tcPr>
            <w:tcW w:w="1200" w:type="dxa"/>
            <w:tcBorders>
              <w:left w:val="nil"/>
            </w:tcBorders>
            <w:shd w:val="clear" w:color="auto" w:fill="auto"/>
            <w:noWrap/>
            <w:hideMark/>
          </w:tcPr>
          <w:p w14:paraId="1E3AD977" w14:textId="77777777" w:rsidR="00534EB2" w:rsidRPr="00117BF8" w:rsidRDefault="00534EB2" w:rsidP="00534EB2">
            <w:pPr>
              <w:pStyle w:val="TablaC"/>
              <w:rPr>
                <w:rFonts w:ascii="Arial" w:hAnsi="Arial" w:cs="Arial"/>
                <w:sz w:val="18"/>
              </w:rPr>
            </w:pPr>
            <w:r w:rsidRPr="00117BF8">
              <w:rPr>
                <w:rFonts w:ascii="Arial" w:hAnsi="Arial" w:cs="Arial"/>
                <w:sz w:val="18"/>
              </w:rPr>
              <w:t>0%</w:t>
            </w:r>
          </w:p>
        </w:tc>
      </w:tr>
      <w:tr w:rsidR="008E382E" w:rsidRPr="004E6455" w14:paraId="3DE42562" w14:textId="77777777" w:rsidTr="008E382E">
        <w:trPr>
          <w:trHeight w:val="300"/>
          <w:jc w:val="center"/>
        </w:trPr>
        <w:tc>
          <w:tcPr>
            <w:tcW w:w="2425" w:type="dxa"/>
            <w:tcBorders>
              <w:right w:val="nil"/>
            </w:tcBorders>
            <w:shd w:val="clear" w:color="auto" w:fill="D3DFEE"/>
            <w:noWrap/>
            <w:hideMark/>
          </w:tcPr>
          <w:p w14:paraId="15A47A3A" w14:textId="77777777" w:rsidR="00534EB2" w:rsidRPr="00117BF8" w:rsidRDefault="00534EB2" w:rsidP="008E382E">
            <w:pPr>
              <w:pStyle w:val="TablaC"/>
              <w:jc w:val="left"/>
              <w:rPr>
                <w:rFonts w:ascii="Arial" w:hAnsi="Arial" w:cs="Arial"/>
                <w:b/>
                <w:bCs/>
                <w:sz w:val="18"/>
              </w:rPr>
            </w:pPr>
            <w:r w:rsidRPr="00117BF8">
              <w:rPr>
                <w:rFonts w:ascii="Arial" w:hAnsi="Arial" w:cs="Arial"/>
                <w:b/>
                <w:bCs/>
                <w:sz w:val="18"/>
              </w:rPr>
              <w:t>Mantenimiento AUBSA</w:t>
            </w:r>
          </w:p>
        </w:tc>
        <w:tc>
          <w:tcPr>
            <w:tcW w:w="1420" w:type="dxa"/>
            <w:tcBorders>
              <w:left w:val="nil"/>
              <w:right w:val="nil"/>
            </w:tcBorders>
            <w:shd w:val="clear" w:color="auto" w:fill="D3DFEE"/>
            <w:noWrap/>
            <w:hideMark/>
          </w:tcPr>
          <w:p w14:paraId="61F1BFC3" w14:textId="77777777" w:rsidR="00534EB2" w:rsidRPr="00117BF8" w:rsidRDefault="00534EB2" w:rsidP="008E382E">
            <w:pPr>
              <w:pStyle w:val="TablaC"/>
              <w:jc w:val="center"/>
              <w:rPr>
                <w:rFonts w:ascii="Arial" w:hAnsi="Arial" w:cs="Arial"/>
                <w:sz w:val="18"/>
              </w:rPr>
            </w:pPr>
            <w:r w:rsidRPr="00117BF8">
              <w:rPr>
                <w:rFonts w:ascii="Arial" w:hAnsi="Arial" w:cs="Arial"/>
                <w:sz w:val="18"/>
              </w:rPr>
              <w:t>Anual</w:t>
            </w:r>
          </w:p>
        </w:tc>
        <w:tc>
          <w:tcPr>
            <w:tcW w:w="1200" w:type="dxa"/>
            <w:tcBorders>
              <w:left w:val="nil"/>
              <w:right w:val="nil"/>
            </w:tcBorders>
            <w:shd w:val="clear" w:color="auto" w:fill="D3DFEE"/>
            <w:noWrap/>
            <w:hideMark/>
          </w:tcPr>
          <w:p w14:paraId="12567AA1" w14:textId="77777777" w:rsidR="00534EB2" w:rsidRPr="00117BF8" w:rsidRDefault="00534EB2" w:rsidP="00534EB2">
            <w:pPr>
              <w:pStyle w:val="TablaC"/>
              <w:rPr>
                <w:rFonts w:ascii="Arial" w:hAnsi="Arial" w:cs="Arial"/>
                <w:sz w:val="18"/>
              </w:rPr>
            </w:pPr>
            <w:r w:rsidRPr="00117BF8">
              <w:rPr>
                <w:rFonts w:ascii="Arial" w:hAnsi="Arial" w:cs="Arial"/>
                <w:sz w:val="18"/>
              </w:rPr>
              <w:t>0%</w:t>
            </w:r>
          </w:p>
        </w:tc>
        <w:tc>
          <w:tcPr>
            <w:tcW w:w="1200" w:type="dxa"/>
            <w:tcBorders>
              <w:left w:val="nil"/>
              <w:right w:val="nil"/>
            </w:tcBorders>
            <w:shd w:val="clear" w:color="auto" w:fill="D3DFEE"/>
            <w:noWrap/>
            <w:hideMark/>
          </w:tcPr>
          <w:p w14:paraId="1AAB1D5A" w14:textId="77777777" w:rsidR="00534EB2" w:rsidRPr="00117BF8" w:rsidRDefault="00534EB2" w:rsidP="00534EB2">
            <w:pPr>
              <w:pStyle w:val="TablaC"/>
              <w:rPr>
                <w:rFonts w:ascii="Arial" w:hAnsi="Arial" w:cs="Arial"/>
                <w:sz w:val="18"/>
              </w:rPr>
            </w:pPr>
            <w:r w:rsidRPr="00117BF8">
              <w:rPr>
                <w:rFonts w:ascii="Arial" w:hAnsi="Arial" w:cs="Arial"/>
                <w:sz w:val="18"/>
              </w:rPr>
              <w:t>0%</w:t>
            </w:r>
          </w:p>
        </w:tc>
        <w:tc>
          <w:tcPr>
            <w:tcW w:w="1200" w:type="dxa"/>
            <w:tcBorders>
              <w:left w:val="nil"/>
            </w:tcBorders>
            <w:shd w:val="clear" w:color="auto" w:fill="D3DFEE"/>
            <w:noWrap/>
            <w:hideMark/>
          </w:tcPr>
          <w:p w14:paraId="3191B547" w14:textId="77777777" w:rsidR="00534EB2" w:rsidRPr="00117BF8" w:rsidRDefault="00534EB2" w:rsidP="00534EB2">
            <w:pPr>
              <w:pStyle w:val="TablaC"/>
              <w:rPr>
                <w:rFonts w:ascii="Arial" w:hAnsi="Arial" w:cs="Arial"/>
                <w:sz w:val="18"/>
              </w:rPr>
            </w:pPr>
            <w:r w:rsidRPr="00117BF8">
              <w:rPr>
                <w:rFonts w:ascii="Arial" w:hAnsi="Arial" w:cs="Arial"/>
                <w:sz w:val="18"/>
              </w:rPr>
              <w:t>1%</w:t>
            </w:r>
          </w:p>
        </w:tc>
      </w:tr>
    </w:tbl>
    <w:p w14:paraId="747AEA1A" w14:textId="77777777" w:rsidR="00F27BF4" w:rsidRPr="00117BF8" w:rsidRDefault="009F42C3" w:rsidP="00117BF8">
      <w:pPr>
        <w:pStyle w:val="Hfuente"/>
        <w:ind w:firstLine="540"/>
        <w:rPr>
          <w:rFonts w:ascii="Arial" w:eastAsia="Calibri" w:hAnsi="Arial" w:cs="Arial"/>
          <w:sz w:val="18"/>
          <w:szCs w:val="18"/>
        </w:rPr>
      </w:pPr>
      <w:r w:rsidRPr="00117BF8">
        <w:rPr>
          <w:rFonts w:ascii="Arial" w:eastAsia="Calibri" w:hAnsi="Arial" w:cs="Arial"/>
          <w:sz w:val="18"/>
          <w:szCs w:val="18"/>
        </w:rPr>
        <w:t>Fuente: BID</w:t>
      </w:r>
    </w:p>
    <w:p w14:paraId="2A73EEEB" w14:textId="56A900C5" w:rsidR="00647345" w:rsidRPr="00117BF8" w:rsidRDefault="00647345" w:rsidP="00F27BF4">
      <w:pPr>
        <w:pStyle w:val="hsa"/>
        <w:rPr>
          <w:rFonts w:ascii="Arial" w:eastAsia="Calibri" w:hAnsi="Arial" w:cs="Arial"/>
          <w:sz w:val="22"/>
          <w:szCs w:val="22"/>
        </w:rPr>
      </w:pPr>
      <w:r w:rsidRPr="00117BF8">
        <w:rPr>
          <w:rFonts w:ascii="Arial" w:eastAsia="Calibri" w:hAnsi="Arial" w:cs="Arial"/>
          <w:sz w:val="22"/>
          <w:szCs w:val="22"/>
        </w:rPr>
        <w:t>Sobre la base de esta información se proyectaron los gastos de corrientes y de capital que se derivan de estas operaciones, los valores determi</w:t>
      </w:r>
      <w:r w:rsidR="00186356" w:rsidRPr="00117BF8">
        <w:rPr>
          <w:rFonts w:ascii="Arial" w:eastAsia="Calibri" w:hAnsi="Arial" w:cs="Arial"/>
          <w:sz w:val="22"/>
          <w:szCs w:val="22"/>
        </w:rPr>
        <w:t>nados se indican en las tablas 32</w:t>
      </w:r>
      <w:r w:rsidRPr="00117BF8">
        <w:rPr>
          <w:rFonts w:ascii="Arial" w:eastAsia="Calibri" w:hAnsi="Arial" w:cs="Arial"/>
          <w:sz w:val="22"/>
          <w:szCs w:val="22"/>
        </w:rPr>
        <w:t xml:space="preserve"> y </w:t>
      </w:r>
      <w:r w:rsidR="00186356" w:rsidRPr="00117BF8">
        <w:rPr>
          <w:rFonts w:ascii="Arial" w:eastAsia="Calibri" w:hAnsi="Arial" w:cs="Arial"/>
          <w:sz w:val="22"/>
          <w:szCs w:val="22"/>
        </w:rPr>
        <w:t>33</w:t>
      </w:r>
      <w:r w:rsidRPr="00117BF8">
        <w:rPr>
          <w:rFonts w:ascii="Arial" w:eastAsia="Calibri" w:hAnsi="Arial" w:cs="Arial"/>
          <w:sz w:val="22"/>
          <w:szCs w:val="22"/>
        </w:rPr>
        <w:t>. Estos montos fueron incorporados a las proyecciones denominadas “Alternativas” que se tratan en el título “</w:t>
      </w:r>
      <w:r w:rsidRPr="00117BF8">
        <w:rPr>
          <w:rFonts w:ascii="Arial" w:eastAsia="Calibri" w:hAnsi="Arial" w:cs="Arial"/>
          <w:sz w:val="22"/>
          <w:szCs w:val="22"/>
        </w:rPr>
        <w:fldChar w:fldCharType="begin"/>
      </w:r>
      <w:r w:rsidRPr="00117BF8">
        <w:rPr>
          <w:rFonts w:ascii="Arial" w:eastAsia="Calibri" w:hAnsi="Arial" w:cs="Arial"/>
          <w:sz w:val="22"/>
          <w:szCs w:val="22"/>
        </w:rPr>
        <w:instrText xml:space="preserve"> REF _Ref493354574 \h </w:instrText>
      </w:r>
      <w:r w:rsidR="004E6455" w:rsidRPr="00117BF8">
        <w:rPr>
          <w:rFonts w:ascii="Arial" w:eastAsia="Calibri" w:hAnsi="Arial" w:cs="Arial"/>
          <w:sz w:val="22"/>
          <w:szCs w:val="22"/>
        </w:rPr>
        <w:instrText xml:space="preserve"> \* MERGEFORMAT </w:instrText>
      </w:r>
      <w:r w:rsidRPr="00117BF8">
        <w:rPr>
          <w:rFonts w:ascii="Arial" w:eastAsia="Calibri" w:hAnsi="Arial" w:cs="Arial"/>
          <w:sz w:val="22"/>
          <w:szCs w:val="22"/>
        </w:rPr>
      </w:r>
      <w:r w:rsidRPr="00117BF8">
        <w:rPr>
          <w:rFonts w:ascii="Arial" w:eastAsia="Calibri" w:hAnsi="Arial" w:cs="Arial"/>
          <w:sz w:val="22"/>
          <w:szCs w:val="22"/>
        </w:rPr>
        <w:fldChar w:fldCharType="separate"/>
      </w:r>
      <w:r w:rsidR="00446921" w:rsidRPr="00117BF8">
        <w:rPr>
          <w:rFonts w:ascii="Arial" w:hAnsi="Arial" w:cs="Arial"/>
          <w:sz w:val="22"/>
          <w:szCs w:val="22"/>
        </w:rPr>
        <w:t>Análisis de la Proyección de la Provincia y Estimación de una Proyección Alternativa.</w:t>
      </w:r>
      <w:r w:rsidRPr="00117BF8">
        <w:rPr>
          <w:rFonts w:ascii="Arial" w:eastAsia="Calibri" w:hAnsi="Arial" w:cs="Arial"/>
          <w:sz w:val="22"/>
          <w:szCs w:val="22"/>
        </w:rPr>
        <w:fldChar w:fldCharType="end"/>
      </w:r>
      <w:r w:rsidR="00446921" w:rsidRPr="00117BF8">
        <w:rPr>
          <w:rFonts w:ascii="Arial" w:eastAsia="Calibri" w:hAnsi="Arial" w:cs="Arial"/>
          <w:sz w:val="22"/>
          <w:szCs w:val="22"/>
        </w:rPr>
        <w:t>”</w:t>
      </w:r>
      <w:r w:rsidRPr="00117BF8">
        <w:rPr>
          <w:rFonts w:ascii="Arial" w:eastAsia="Calibri" w:hAnsi="Arial" w:cs="Arial"/>
          <w:sz w:val="22"/>
          <w:szCs w:val="22"/>
        </w:rPr>
        <w:t xml:space="preserve"> </w:t>
      </w:r>
      <w:r w:rsidR="00727A25" w:rsidRPr="00117BF8">
        <w:rPr>
          <w:rFonts w:ascii="Arial" w:eastAsia="Calibri" w:hAnsi="Arial" w:cs="Arial"/>
          <w:sz w:val="22"/>
          <w:szCs w:val="22"/>
        </w:rPr>
        <w:t xml:space="preserve">Estas proyecciones se corresponden con el presupuesto de la Administración Pública no Financiera que no comprende a AUBASA, por esta razón, aunque se indican en </w:t>
      </w:r>
      <w:r w:rsidRPr="00117BF8">
        <w:rPr>
          <w:rFonts w:ascii="Arial" w:eastAsia="Calibri" w:hAnsi="Arial" w:cs="Arial"/>
          <w:sz w:val="22"/>
          <w:szCs w:val="22"/>
        </w:rPr>
        <w:t>la</w:t>
      </w:r>
      <w:r w:rsidR="00727A25" w:rsidRPr="00117BF8">
        <w:rPr>
          <w:rFonts w:ascii="Arial" w:eastAsia="Calibri" w:hAnsi="Arial" w:cs="Arial"/>
          <w:sz w:val="22"/>
          <w:szCs w:val="22"/>
        </w:rPr>
        <w:t>s</w:t>
      </w:r>
      <w:r w:rsidRPr="00117BF8">
        <w:rPr>
          <w:rFonts w:ascii="Arial" w:eastAsia="Calibri" w:hAnsi="Arial" w:cs="Arial"/>
          <w:sz w:val="22"/>
          <w:szCs w:val="22"/>
        </w:rPr>
        <w:t xml:space="preserve"> tabla</w:t>
      </w:r>
      <w:r w:rsidR="00186356" w:rsidRPr="00117BF8">
        <w:rPr>
          <w:rFonts w:ascii="Arial" w:eastAsia="Calibri" w:hAnsi="Arial" w:cs="Arial"/>
          <w:sz w:val="22"/>
          <w:szCs w:val="22"/>
        </w:rPr>
        <w:t>s</w:t>
      </w:r>
      <w:r w:rsidRPr="00117BF8">
        <w:rPr>
          <w:rFonts w:ascii="Arial" w:eastAsia="Calibri" w:hAnsi="Arial" w:cs="Arial"/>
          <w:sz w:val="22"/>
          <w:szCs w:val="22"/>
        </w:rPr>
        <w:t xml:space="preserve"> </w:t>
      </w:r>
      <w:r w:rsidR="00186356" w:rsidRPr="00117BF8">
        <w:rPr>
          <w:rFonts w:ascii="Arial" w:eastAsia="Calibri" w:hAnsi="Arial" w:cs="Arial"/>
          <w:sz w:val="22"/>
          <w:szCs w:val="22"/>
        </w:rPr>
        <w:t>32</w:t>
      </w:r>
      <w:r w:rsidR="00727A25" w:rsidRPr="00117BF8">
        <w:rPr>
          <w:rFonts w:ascii="Arial" w:eastAsia="Calibri" w:hAnsi="Arial" w:cs="Arial"/>
          <w:sz w:val="22"/>
          <w:szCs w:val="22"/>
        </w:rPr>
        <w:t xml:space="preserve"> y </w:t>
      </w:r>
      <w:r w:rsidR="00186356" w:rsidRPr="00117BF8">
        <w:rPr>
          <w:rFonts w:ascii="Arial" w:eastAsia="Calibri" w:hAnsi="Arial" w:cs="Arial"/>
          <w:sz w:val="22"/>
          <w:szCs w:val="22"/>
        </w:rPr>
        <w:t>33</w:t>
      </w:r>
      <w:r w:rsidR="00727A25" w:rsidRPr="00117BF8">
        <w:rPr>
          <w:rFonts w:ascii="Arial" w:eastAsia="Calibri" w:hAnsi="Arial" w:cs="Arial"/>
          <w:sz w:val="22"/>
          <w:szCs w:val="22"/>
        </w:rPr>
        <w:t>,</w:t>
      </w:r>
      <w:r w:rsidRPr="00117BF8">
        <w:rPr>
          <w:rFonts w:ascii="Arial" w:eastAsia="Calibri" w:hAnsi="Arial" w:cs="Arial"/>
          <w:sz w:val="22"/>
          <w:szCs w:val="22"/>
        </w:rPr>
        <w:t xml:space="preserve"> los costos de mantenimiento de la infraestructura prevista en ARL 1274</w:t>
      </w:r>
      <w:r w:rsidR="00727A25" w:rsidRPr="00117BF8">
        <w:rPr>
          <w:rFonts w:ascii="Arial" w:eastAsia="Calibri" w:hAnsi="Arial" w:cs="Arial"/>
          <w:sz w:val="22"/>
          <w:szCs w:val="22"/>
        </w:rPr>
        <w:t xml:space="preserve"> no se consideran en las Proyecciones Alternativas.</w:t>
      </w:r>
    </w:p>
    <w:p w14:paraId="3CA1706F" w14:textId="129112DD" w:rsidR="00A646B9" w:rsidRPr="00117BF8" w:rsidRDefault="00A646B9" w:rsidP="00F27BF4">
      <w:pPr>
        <w:pStyle w:val="hsa"/>
        <w:rPr>
          <w:rFonts w:ascii="Arial" w:eastAsia="Calibri" w:hAnsi="Arial" w:cs="Arial"/>
          <w:sz w:val="22"/>
          <w:szCs w:val="22"/>
        </w:rPr>
      </w:pPr>
      <w:r w:rsidRPr="00117BF8">
        <w:rPr>
          <w:rFonts w:ascii="Arial" w:eastAsia="Calibri" w:hAnsi="Arial" w:cs="Arial"/>
          <w:sz w:val="22"/>
          <w:szCs w:val="22"/>
        </w:rPr>
        <w:t>Los fundamentos de la proyección del tipo de cambio se explican en el título “</w:t>
      </w:r>
      <w:r w:rsidRPr="00117BF8">
        <w:rPr>
          <w:rFonts w:ascii="Arial" w:eastAsia="Calibri" w:hAnsi="Arial" w:cs="Arial"/>
          <w:sz w:val="22"/>
          <w:szCs w:val="22"/>
        </w:rPr>
        <w:fldChar w:fldCharType="begin"/>
      </w:r>
      <w:r w:rsidRPr="00117BF8">
        <w:rPr>
          <w:rFonts w:ascii="Arial" w:eastAsia="Calibri" w:hAnsi="Arial" w:cs="Arial"/>
          <w:sz w:val="22"/>
          <w:szCs w:val="22"/>
        </w:rPr>
        <w:instrText xml:space="preserve"> REF _Ref493355091 \h </w:instrText>
      </w:r>
      <w:r w:rsidR="004E6455" w:rsidRPr="00117BF8">
        <w:rPr>
          <w:rFonts w:ascii="Arial" w:eastAsia="Calibri" w:hAnsi="Arial" w:cs="Arial"/>
          <w:sz w:val="22"/>
          <w:szCs w:val="22"/>
        </w:rPr>
        <w:instrText xml:space="preserve"> \* MERGEFORMAT </w:instrText>
      </w:r>
      <w:r w:rsidRPr="00117BF8">
        <w:rPr>
          <w:rFonts w:ascii="Arial" w:eastAsia="Calibri" w:hAnsi="Arial" w:cs="Arial"/>
          <w:sz w:val="22"/>
          <w:szCs w:val="22"/>
        </w:rPr>
      </w:r>
      <w:r w:rsidRPr="00117BF8">
        <w:rPr>
          <w:rFonts w:ascii="Arial" w:eastAsia="Calibri" w:hAnsi="Arial" w:cs="Arial"/>
          <w:sz w:val="22"/>
          <w:szCs w:val="22"/>
        </w:rPr>
        <w:fldChar w:fldCharType="separate"/>
      </w:r>
      <w:r w:rsidRPr="00117BF8">
        <w:rPr>
          <w:rFonts w:ascii="Arial" w:hAnsi="Arial" w:cs="Arial"/>
          <w:sz w:val="22"/>
          <w:szCs w:val="22"/>
        </w:rPr>
        <w:t>Supuestos</w:t>
      </w:r>
      <w:r w:rsidRPr="00117BF8">
        <w:rPr>
          <w:rFonts w:ascii="Arial" w:eastAsia="Calibri" w:hAnsi="Arial" w:cs="Arial"/>
          <w:sz w:val="22"/>
          <w:szCs w:val="22"/>
        </w:rPr>
        <w:fldChar w:fldCharType="end"/>
      </w:r>
      <w:r w:rsidRPr="00117BF8">
        <w:rPr>
          <w:rFonts w:ascii="Arial" w:eastAsia="Calibri" w:hAnsi="Arial" w:cs="Arial"/>
          <w:sz w:val="22"/>
          <w:szCs w:val="22"/>
        </w:rPr>
        <w:t>” del capítulo “</w:t>
      </w:r>
      <w:r w:rsidR="00446921" w:rsidRPr="00117BF8">
        <w:rPr>
          <w:rFonts w:ascii="Arial" w:eastAsia="Calibri" w:hAnsi="Arial" w:cs="Arial"/>
          <w:sz w:val="22"/>
          <w:szCs w:val="22"/>
        </w:rPr>
        <w:fldChar w:fldCharType="begin"/>
      </w:r>
      <w:r w:rsidR="00446921" w:rsidRPr="00117BF8">
        <w:rPr>
          <w:rFonts w:ascii="Arial" w:eastAsia="Calibri" w:hAnsi="Arial" w:cs="Arial"/>
          <w:sz w:val="22"/>
          <w:szCs w:val="22"/>
        </w:rPr>
        <w:instrText xml:space="preserve"> REF _Ref493527519 \h </w:instrText>
      </w:r>
      <w:r w:rsidR="004E6455" w:rsidRPr="00117BF8">
        <w:rPr>
          <w:rFonts w:ascii="Arial" w:eastAsia="Calibri" w:hAnsi="Arial" w:cs="Arial"/>
          <w:sz w:val="22"/>
          <w:szCs w:val="22"/>
        </w:rPr>
        <w:instrText xml:space="preserve"> \* MERGEFORMAT </w:instrText>
      </w:r>
      <w:r w:rsidR="00446921" w:rsidRPr="00117BF8">
        <w:rPr>
          <w:rFonts w:ascii="Arial" w:eastAsia="Calibri" w:hAnsi="Arial" w:cs="Arial"/>
          <w:sz w:val="22"/>
          <w:szCs w:val="22"/>
        </w:rPr>
      </w:r>
      <w:r w:rsidR="00446921" w:rsidRPr="00117BF8">
        <w:rPr>
          <w:rFonts w:ascii="Arial" w:eastAsia="Calibri" w:hAnsi="Arial" w:cs="Arial"/>
          <w:sz w:val="22"/>
          <w:szCs w:val="22"/>
        </w:rPr>
        <w:fldChar w:fldCharType="separate"/>
      </w:r>
      <w:r w:rsidR="00446921" w:rsidRPr="00117BF8">
        <w:rPr>
          <w:rFonts w:ascii="Arial" w:hAnsi="Arial" w:cs="Arial"/>
          <w:sz w:val="22"/>
          <w:szCs w:val="22"/>
        </w:rPr>
        <w:t>Proyecciones Fiscales de la Provincia de Buenos Aires</w:t>
      </w:r>
      <w:r w:rsidR="00446921" w:rsidRPr="00117BF8">
        <w:rPr>
          <w:rFonts w:ascii="Arial" w:eastAsia="Calibri" w:hAnsi="Arial" w:cs="Arial"/>
          <w:sz w:val="22"/>
          <w:szCs w:val="22"/>
        </w:rPr>
        <w:fldChar w:fldCharType="end"/>
      </w:r>
      <w:r w:rsidRPr="00117BF8">
        <w:rPr>
          <w:rFonts w:ascii="Arial" w:eastAsia="Calibri" w:hAnsi="Arial" w:cs="Arial"/>
          <w:sz w:val="22"/>
          <w:szCs w:val="22"/>
        </w:rPr>
        <w:t>”.</w:t>
      </w:r>
    </w:p>
    <w:p w14:paraId="18631B9B" w14:textId="77777777" w:rsidR="00697F95" w:rsidRPr="00117BF8" w:rsidRDefault="00697F95" w:rsidP="00F27BF4">
      <w:pPr>
        <w:pStyle w:val="hsa"/>
        <w:rPr>
          <w:rFonts w:ascii="Arial" w:eastAsia="Calibri" w:hAnsi="Arial" w:cs="Arial"/>
        </w:rPr>
      </w:pPr>
    </w:p>
    <w:p w14:paraId="51CF1416" w14:textId="77777777" w:rsidR="002F43BF" w:rsidRPr="00117BF8" w:rsidRDefault="002F43BF" w:rsidP="00F27BF4">
      <w:pPr>
        <w:pStyle w:val="hsa"/>
        <w:rPr>
          <w:rFonts w:ascii="Arial" w:eastAsia="Calibri" w:hAnsi="Arial" w:cs="Arial"/>
        </w:rPr>
        <w:sectPr w:rsidR="002F43BF" w:rsidRPr="00117BF8" w:rsidSect="009F594F">
          <w:headerReference w:type="default" r:id="rId37"/>
          <w:footerReference w:type="default" r:id="rId38"/>
          <w:pgSz w:w="11907" w:h="16840"/>
          <w:pgMar w:top="1418" w:right="1701" w:bottom="1418" w:left="1701" w:header="851" w:footer="851" w:gutter="0"/>
          <w:cols w:space="720"/>
          <w:docGrid w:linePitch="326"/>
        </w:sectPr>
      </w:pPr>
    </w:p>
    <w:p w14:paraId="10426A82" w14:textId="77777777" w:rsidR="002F43BF" w:rsidRPr="00117BF8" w:rsidRDefault="002F43BF" w:rsidP="00F27BF4">
      <w:pPr>
        <w:pStyle w:val="hsa"/>
        <w:rPr>
          <w:rFonts w:ascii="Arial" w:eastAsia="Calibri" w:hAnsi="Arial" w:cs="Arial"/>
        </w:rPr>
      </w:pPr>
    </w:p>
    <w:tbl>
      <w:tblPr>
        <w:tblW w:w="14043" w:type="dxa"/>
        <w:tblInd w:w="55" w:type="dxa"/>
        <w:tblCellMar>
          <w:left w:w="70" w:type="dxa"/>
          <w:right w:w="70" w:type="dxa"/>
        </w:tblCellMar>
        <w:tblLook w:val="04A0" w:firstRow="1" w:lastRow="0" w:firstColumn="1" w:lastColumn="0" w:noHBand="0" w:noVBand="1"/>
      </w:tblPr>
      <w:tblGrid>
        <w:gridCol w:w="2567"/>
        <w:gridCol w:w="1044"/>
        <w:gridCol w:w="1044"/>
        <w:gridCol w:w="1044"/>
        <w:gridCol w:w="1043"/>
        <w:gridCol w:w="1043"/>
        <w:gridCol w:w="1043"/>
        <w:gridCol w:w="1043"/>
        <w:gridCol w:w="1043"/>
        <w:gridCol w:w="1043"/>
        <w:gridCol w:w="1043"/>
        <w:gridCol w:w="1043"/>
      </w:tblGrid>
      <w:tr w:rsidR="000D4582" w:rsidRPr="004E6455" w14:paraId="5E658695" w14:textId="77777777" w:rsidTr="000D4582">
        <w:trPr>
          <w:trHeight w:val="300"/>
          <w:tblHeader/>
        </w:trPr>
        <w:tc>
          <w:tcPr>
            <w:tcW w:w="14043" w:type="dxa"/>
            <w:gridSpan w:val="12"/>
            <w:tcBorders>
              <w:top w:val="nil"/>
              <w:left w:val="nil"/>
              <w:bottom w:val="nil"/>
              <w:right w:val="nil"/>
            </w:tcBorders>
            <w:shd w:val="clear" w:color="auto" w:fill="0070C0"/>
            <w:noWrap/>
            <w:vAlign w:val="bottom"/>
          </w:tcPr>
          <w:p w14:paraId="5EFCC0E3" w14:textId="77777777" w:rsidR="000D4582" w:rsidRPr="00117BF8" w:rsidRDefault="000D4582" w:rsidP="000D4582">
            <w:pPr>
              <w:pStyle w:val="TablaT"/>
              <w:rPr>
                <w:rFonts w:ascii="Arial" w:hAnsi="Arial" w:cs="Arial"/>
                <w:sz w:val="22"/>
                <w:szCs w:val="22"/>
                <w:lang w:val="es-ES_tradnl"/>
              </w:rPr>
            </w:pPr>
            <w:bookmarkStart w:id="85" w:name="_Toc493861142"/>
            <w:r w:rsidRPr="00117BF8">
              <w:rPr>
                <w:rFonts w:ascii="Arial" w:hAnsi="Arial" w:cs="Arial"/>
                <w:sz w:val="22"/>
                <w:szCs w:val="22"/>
                <w:lang w:val="es-ES_tradnl"/>
              </w:rPr>
              <w:t xml:space="preserve">Tabla </w:t>
            </w:r>
            <w:r w:rsidR="00186356" w:rsidRPr="00117BF8">
              <w:rPr>
                <w:rFonts w:ascii="Arial" w:hAnsi="Arial" w:cs="Arial"/>
                <w:sz w:val="22"/>
                <w:szCs w:val="22"/>
                <w:lang w:val="es-ES_tradnl"/>
              </w:rPr>
              <w:t>32</w:t>
            </w:r>
            <w:r w:rsidR="00446921" w:rsidRPr="00117BF8">
              <w:rPr>
                <w:rFonts w:ascii="Arial" w:hAnsi="Arial" w:cs="Arial"/>
                <w:sz w:val="22"/>
                <w:szCs w:val="22"/>
                <w:lang w:val="es-ES_tradnl"/>
              </w:rPr>
              <w:t xml:space="preserve"> – Proyecciones p</w:t>
            </w:r>
            <w:r w:rsidRPr="00117BF8">
              <w:rPr>
                <w:rFonts w:ascii="Arial" w:hAnsi="Arial" w:cs="Arial"/>
                <w:sz w:val="22"/>
                <w:szCs w:val="22"/>
                <w:lang w:val="es-ES_tradnl"/>
              </w:rPr>
              <w:t>or Operación</w:t>
            </w:r>
            <w:bookmarkEnd w:id="85"/>
            <w:r w:rsidRPr="00117BF8">
              <w:rPr>
                <w:rFonts w:ascii="Arial" w:hAnsi="Arial" w:cs="Arial"/>
                <w:sz w:val="22"/>
                <w:szCs w:val="22"/>
                <w:lang w:val="es-ES_tradnl"/>
              </w:rPr>
              <w:t xml:space="preserve"> </w:t>
            </w:r>
          </w:p>
          <w:p w14:paraId="21809F21" w14:textId="77777777" w:rsidR="000D4582" w:rsidRPr="00117BF8" w:rsidRDefault="000D4582" w:rsidP="000D4582">
            <w:pPr>
              <w:pStyle w:val="TablaC"/>
              <w:rPr>
                <w:rFonts w:ascii="Arial" w:hAnsi="Arial" w:cs="Arial"/>
                <w:color w:val="FFFFFF"/>
                <w:szCs w:val="22"/>
                <w:lang w:val="es-ES_tradnl"/>
              </w:rPr>
            </w:pPr>
            <w:r w:rsidRPr="00117BF8">
              <w:rPr>
                <w:rFonts w:ascii="Arial" w:hAnsi="Arial" w:cs="Arial"/>
                <w:color w:val="FFFFFF"/>
                <w:szCs w:val="22"/>
                <w:lang w:val="es-ES_tradnl"/>
              </w:rPr>
              <w:t>En millones de USD</w:t>
            </w:r>
          </w:p>
        </w:tc>
      </w:tr>
      <w:tr w:rsidR="002F43BF" w:rsidRPr="004E6455" w14:paraId="2EBB3EFF" w14:textId="77777777" w:rsidTr="000D4582">
        <w:trPr>
          <w:trHeight w:val="300"/>
          <w:tblHeader/>
        </w:trPr>
        <w:tc>
          <w:tcPr>
            <w:tcW w:w="2567" w:type="dxa"/>
            <w:tcBorders>
              <w:top w:val="nil"/>
              <w:left w:val="nil"/>
              <w:bottom w:val="nil"/>
              <w:right w:val="nil"/>
            </w:tcBorders>
            <w:shd w:val="clear" w:color="auto" w:fill="0070C0"/>
            <w:noWrap/>
            <w:vAlign w:val="bottom"/>
            <w:hideMark/>
          </w:tcPr>
          <w:p w14:paraId="77E8FAE9" w14:textId="77777777" w:rsidR="002F43BF" w:rsidRPr="00117BF8" w:rsidRDefault="002F43BF" w:rsidP="000D4582">
            <w:pPr>
              <w:pStyle w:val="TablaE"/>
              <w:rPr>
                <w:rFonts w:ascii="Arial" w:hAnsi="Arial" w:cs="Arial"/>
                <w:sz w:val="22"/>
                <w:szCs w:val="22"/>
              </w:rPr>
            </w:pPr>
          </w:p>
        </w:tc>
        <w:tc>
          <w:tcPr>
            <w:tcW w:w="1044" w:type="dxa"/>
            <w:tcBorders>
              <w:top w:val="nil"/>
              <w:left w:val="nil"/>
              <w:bottom w:val="nil"/>
              <w:right w:val="nil"/>
            </w:tcBorders>
            <w:shd w:val="clear" w:color="auto" w:fill="0070C0"/>
            <w:noWrap/>
            <w:vAlign w:val="bottom"/>
            <w:hideMark/>
          </w:tcPr>
          <w:p w14:paraId="3FEEB55B"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2018</w:t>
            </w:r>
          </w:p>
        </w:tc>
        <w:tc>
          <w:tcPr>
            <w:tcW w:w="1044" w:type="dxa"/>
            <w:tcBorders>
              <w:top w:val="nil"/>
              <w:left w:val="nil"/>
              <w:bottom w:val="nil"/>
              <w:right w:val="nil"/>
            </w:tcBorders>
            <w:shd w:val="clear" w:color="auto" w:fill="0070C0"/>
            <w:noWrap/>
            <w:vAlign w:val="bottom"/>
            <w:hideMark/>
          </w:tcPr>
          <w:p w14:paraId="43B02F83"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2019</w:t>
            </w:r>
          </w:p>
        </w:tc>
        <w:tc>
          <w:tcPr>
            <w:tcW w:w="1044" w:type="dxa"/>
            <w:tcBorders>
              <w:top w:val="nil"/>
              <w:left w:val="nil"/>
              <w:bottom w:val="nil"/>
              <w:right w:val="nil"/>
            </w:tcBorders>
            <w:shd w:val="clear" w:color="auto" w:fill="0070C0"/>
            <w:noWrap/>
            <w:vAlign w:val="bottom"/>
            <w:hideMark/>
          </w:tcPr>
          <w:p w14:paraId="591B8B0E"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2020</w:t>
            </w:r>
          </w:p>
        </w:tc>
        <w:tc>
          <w:tcPr>
            <w:tcW w:w="1043" w:type="dxa"/>
            <w:tcBorders>
              <w:top w:val="nil"/>
              <w:left w:val="nil"/>
              <w:bottom w:val="nil"/>
              <w:right w:val="nil"/>
            </w:tcBorders>
            <w:shd w:val="clear" w:color="auto" w:fill="0070C0"/>
            <w:noWrap/>
            <w:vAlign w:val="bottom"/>
            <w:hideMark/>
          </w:tcPr>
          <w:p w14:paraId="10B28975"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2021</w:t>
            </w:r>
          </w:p>
        </w:tc>
        <w:tc>
          <w:tcPr>
            <w:tcW w:w="1043" w:type="dxa"/>
            <w:tcBorders>
              <w:top w:val="nil"/>
              <w:left w:val="nil"/>
              <w:bottom w:val="nil"/>
              <w:right w:val="nil"/>
            </w:tcBorders>
            <w:shd w:val="clear" w:color="auto" w:fill="0070C0"/>
            <w:noWrap/>
            <w:vAlign w:val="bottom"/>
            <w:hideMark/>
          </w:tcPr>
          <w:p w14:paraId="2C4FFA2A"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2022</w:t>
            </w:r>
          </w:p>
        </w:tc>
        <w:tc>
          <w:tcPr>
            <w:tcW w:w="1043" w:type="dxa"/>
            <w:tcBorders>
              <w:top w:val="nil"/>
              <w:left w:val="nil"/>
              <w:bottom w:val="nil"/>
              <w:right w:val="nil"/>
            </w:tcBorders>
            <w:shd w:val="clear" w:color="auto" w:fill="0070C0"/>
            <w:noWrap/>
            <w:vAlign w:val="bottom"/>
            <w:hideMark/>
          </w:tcPr>
          <w:p w14:paraId="133CDAA1"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2023</w:t>
            </w:r>
          </w:p>
        </w:tc>
        <w:tc>
          <w:tcPr>
            <w:tcW w:w="1043" w:type="dxa"/>
            <w:tcBorders>
              <w:top w:val="nil"/>
              <w:left w:val="nil"/>
              <w:bottom w:val="nil"/>
              <w:right w:val="nil"/>
            </w:tcBorders>
            <w:shd w:val="clear" w:color="auto" w:fill="0070C0"/>
            <w:noWrap/>
            <w:vAlign w:val="bottom"/>
            <w:hideMark/>
          </w:tcPr>
          <w:p w14:paraId="209BFCE6"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2024</w:t>
            </w:r>
          </w:p>
        </w:tc>
        <w:tc>
          <w:tcPr>
            <w:tcW w:w="1043" w:type="dxa"/>
            <w:tcBorders>
              <w:top w:val="nil"/>
              <w:left w:val="nil"/>
              <w:bottom w:val="nil"/>
              <w:right w:val="nil"/>
            </w:tcBorders>
            <w:shd w:val="clear" w:color="auto" w:fill="0070C0"/>
            <w:noWrap/>
            <w:vAlign w:val="bottom"/>
            <w:hideMark/>
          </w:tcPr>
          <w:p w14:paraId="1B41D60E"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2025</w:t>
            </w:r>
          </w:p>
        </w:tc>
        <w:tc>
          <w:tcPr>
            <w:tcW w:w="1043" w:type="dxa"/>
            <w:tcBorders>
              <w:top w:val="nil"/>
              <w:left w:val="nil"/>
              <w:bottom w:val="nil"/>
              <w:right w:val="nil"/>
            </w:tcBorders>
            <w:shd w:val="clear" w:color="auto" w:fill="0070C0"/>
            <w:noWrap/>
            <w:vAlign w:val="bottom"/>
            <w:hideMark/>
          </w:tcPr>
          <w:p w14:paraId="47BD8A09"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2026</w:t>
            </w:r>
          </w:p>
        </w:tc>
        <w:tc>
          <w:tcPr>
            <w:tcW w:w="1043" w:type="dxa"/>
            <w:tcBorders>
              <w:top w:val="nil"/>
              <w:left w:val="nil"/>
              <w:bottom w:val="nil"/>
              <w:right w:val="nil"/>
            </w:tcBorders>
            <w:shd w:val="clear" w:color="auto" w:fill="0070C0"/>
            <w:noWrap/>
            <w:vAlign w:val="bottom"/>
            <w:hideMark/>
          </w:tcPr>
          <w:p w14:paraId="4D6568E4"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2027</w:t>
            </w:r>
          </w:p>
        </w:tc>
        <w:tc>
          <w:tcPr>
            <w:tcW w:w="1043" w:type="dxa"/>
            <w:tcBorders>
              <w:top w:val="nil"/>
              <w:left w:val="nil"/>
              <w:bottom w:val="nil"/>
              <w:right w:val="nil"/>
            </w:tcBorders>
            <w:shd w:val="clear" w:color="auto" w:fill="0070C0"/>
            <w:noWrap/>
            <w:vAlign w:val="bottom"/>
            <w:hideMark/>
          </w:tcPr>
          <w:p w14:paraId="4675C2B4" w14:textId="77777777" w:rsidR="002F43BF" w:rsidRPr="00117BF8" w:rsidRDefault="002F43BF" w:rsidP="000D4582">
            <w:pPr>
              <w:pStyle w:val="TablaE"/>
              <w:rPr>
                <w:rFonts w:ascii="Arial" w:hAnsi="Arial" w:cs="Arial"/>
                <w:sz w:val="22"/>
                <w:szCs w:val="22"/>
              </w:rPr>
            </w:pPr>
            <w:r w:rsidRPr="00117BF8">
              <w:rPr>
                <w:rFonts w:ascii="Arial" w:hAnsi="Arial" w:cs="Arial"/>
                <w:sz w:val="22"/>
                <w:szCs w:val="22"/>
              </w:rPr>
              <w:t>2028</w:t>
            </w:r>
          </w:p>
        </w:tc>
      </w:tr>
      <w:tr w:rsidR="002F43BF" w:rsidRPr="004E6455" w14:paraId="7EB5AB66" w14:textId="77777777" w:rsidTr="002F43BF">
        <w:trPr>
          <w:trHeight w:val="300"/>
        </w:trPr>
        <w:tc>
          <w:tcPr>
            <w:tcW w:w="2567" w:type="dxa"/>
            <w:tcBorders>
              <w:top w:val="nil"/>
              <w:left w:val="nil"/>
              <w:bottom w:val="nil"/>
              <w:right w:val="nil"/>
            </w:tcBorders>
            <w:shd w:val="clear" w:color="auto" w:fill="auto"/>
            <w:noWrap/>
            <w:vAlign w:val="bottom"/>
          </w:tcPr>
          <w:p w14:paraId="606C7AAD" w14:textId="77777777" w:rsidR="002F43BF" w:rsidRPr="00117BF8" w:rsidRDefault="002F43BF" w:rsidP="002F43BF">
            <w:pPr>
              <w:pStyle w:val="TablaC"/>
              <w:jc w:val="left"/>
              <w:rPr>
                <w:rFonts w:ascii="Arial" w:hAnsi="Arial" w:cs="Arial"/>
                <w:sz w:val="18"/>
              </w:rPr>
            </w:pPr>
            <w:r w:rsidRPr="00117BF8">
              <w:rPr>
                <w:rFonts w:ascii="Arial" w:hAnsi="Arial" w:cs="Arial"/>
                <w:sz w:val="18"/>
              </w:rPr>
              <w:t>ARL 1272</w:t>
            </w:r>
          </w:p>
        </w:tc>
        <w:tc>
          <w:tcPr>
            <w:tcW w:w="1044" w:type="dxa"/>
            <w:tcBorders>
              <w:top w:val="nil"/>
              <w:left w:val="nil"/>
              <w:bottom w:val="nil"/>
              <w:right w:val="nil"/>
            </w:tcBorders>
            <w:shd w:val="clear" w:color="auto" w:fill="auto"/>
            <w:noWrap/>
            <w:vAlign w:val="bottom"/>
          </w:tcPr>
          <w:p w14:paraId="3CAB27F9"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tcPr>
          <w:p w14:paraId="0D294F3B"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tcPr>
          <w:p w14:paraId="04D140C3"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tcPr>
          <w:p w14:paraId="6AAE2066"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tcPr>
          <w:p w14:paraId="351DE5A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tcPr>
          <w:p w14:paraId="570060DB"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tcPr>
          <w:p w14:paraId="449090F1"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tcPr>
          <w:p w14:paraId="79155027"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tcPr>
          <w:p w14:paraId="41B0E9DE"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tcPr>
          <w:p w14:paraId="3B08D3AC"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tcPr>
          <w:p w14:paraId="5CAD4825" w14:textId="77777777" w:rsidR="002F43BF" w:rsidRPr="00117BF8" w:rsidRDefault="002F43BF" w:rsidP="002F43BF">
            <w:pPr>
              <w:pStyle w:val="TablaC"/>
              <w:rPr>
                <w:rFonts w:ascii="Arial" w:hAnsi="Arial" w:cs="Arial"/>
                <w:sz w:val="18"/>
              </w:rPr>
            </w:pPr>
          </w:p>
        </w:tc>
      </w:tr>
      <w:tr w:rsidR="002F43BF" w:rsidRPr="004E6455" w14:paraId="57179DC1" w14:textId="77777777" w:rsidTr="002F43BF">
        <w:trPr>
          <w:trHeight w:val="300"/>
        </w:trPr>
        <w:tc>
          <w:tcPr>
            <w:tcW w:w="2567" w:type="dxa"/>
            <w:tcBorders>
              <w:top w:val="nil"/>
              <w:left w:val="nil"/>
              <w:bottom w:val="nil"/>
              <w:right w:val="nil"/>
            </w:tcBorders>
            <w:shd w:val="clear" w:color="auto" w:fill="auto"/>
            <w:noWrap/>
            <w:vAlign w:val="bottom"/>
            <w:hideMark/>
          </w:tcPr>
          <w:p w14:paraId="1A7D60D7" w14:textId="77777777" w:rsidR="002F43BF" w:rsidRPr="00117BF8" w:rsidRDefault="002F43BF" w:rsidP="002F43BF">
            <w:pPr>
              <w:pStyle w:val="TablaC"/>
              <w:jc w:val="left"/>
              <w:rPr>
                <w:rFonts w:ascii="Arial" w:hAnsi="Arial" w:cs="Arial"/>
                <w:sz w:val="18"/>
              </w:rPr>
            </w:pPr>
            <w:r w:rsidRPr="00117BF8">
              <w:rPr>
                <w:rFonts w:ascii="Arial" w:hAnsi="Arial" w:cs="Arial"/>
                <w:sz w:val="18"/>
              </w:rPr>
              <w:t>Desembolso</w:t>
            </w:r>
          </w:p>
        </w:tc>
        <w:tc>
          <w:tcPr>
            <w:tcW w:w="1044" w:type="dxa"/>
            <w:tcBorders>
              <w:top w:val="nil"/>
              <w:left w:val="nil"/>
              <w:bottom w:val="nil"/>
              <w:right w:val="nil"/>
            </w:tcBorders>
            <w:shd w:val="clear" w:color="auto" w:fill="auto"/>
            <w:noWrap/>
            <w:vAlign w:val="bottom"/>
            <w:hideMark/>
          </w:tcPr>
          <w:p w14:paraId="56F8EA73" w14:textId="77777777" w:rsidR="002F43BF" w:rsidRPr="00117BF8" w:rsidRDefault="002F43BF" w:rsidP="002F43BF">
            <w:pPr>
              <w:pStyle w:val="TablaC"/>
              <w:rPr>
                <w:rFonts w:ascii="Arial" w:hAnsi="Arial" w:cs="Arial"/>
                <w:sz w:val="18"/>
              </w:rPr>
            </w:pPr>
            <w:r w:rsidRPr="00117BF8">
              <w:rPr>
                <w:rFonts w:ascii="Arial" w:hAnsi="Arial" w:cs="Arial"/>
                <w:sz w:val="18"/>
              </w:rPr>
              <w:t>2,00</w:t>
            </w:r>
          </w:p>
        </w:tc>
        <w:tc>
          <w:tcPr>
            <w:tcW w:w="1044" w:type="dxa"/>
            <w:tcBorders>
              <w:top w:val="nil"/>
              <w:left w:val="nil"/>
              <w:bottom w:val="nil"/>
              <w:right w:val="nil"/>
            </w:tcBorders>
            <w:shd w:val="clear" w:color="auto" w:fill="auto"/>
            <w:noWrap/>
            <w:vAlign w:val="bottom"/>
            <w:hideMark/>
          </w:tcPr>
          <w:p w14:paraId="26472F85" w14:textId="77777777" w:rsidR="002F43BF" w:rsidRPr="00117BF8" w:rsidRDefault="002F43BF" w:rsidP="002F43BF">
            <w:pPr>
              <w:pStyle w:val="TablaC"/>
              <w:rPr>
                <w:rFonts w:ascii="Arial" w:hAnsi="Arial" w:cs="Arial"/>
                <w:sz w:val="18"/>
              </w:rPr>
            </w:pPr>
            <w:r w:rsidRPr="00117BF8">
              <w:rPr>
                <w:rFonts w:ascii="Arial" w:hAnsi="Arial" w:cs="Arial"/>
                <w:sz w:val="18"/>
              </w:rPr>
              <w:t>4,00</w:t>
            </w:r>
          </w:p>
        </w:tc>
        <w:tc>
          <w:tcPr>
            <w:tcW w:w="1044" w:type="dxa"/>
            <w:tcBorders>
              <w:top w:val="nil"/>
              <w:left w:val="nil"/>
              <w:bottom w:val="nil"/>
              <w:right w:val="nil"/>
            </w:tcBorders>
            <w:shd w:val="clear" w:color="auto" w:fill="auto"/>
            <w:noWrap/>
            <w:vAlign w:val="bottom"/>
            <w:hideMark/>
          </w:tcPr>
          <w:p w14:paraId="13F6D0D1" w14:textId="77777777" w:rsidR="002F43BF" w:rsidRPr="00117BF8" w:rsidRDefault="002F43BF" w:rsidP="002F43BF">
            <w:pPr>
              <w:pStyle w:val="TablaC"/>
              <w:rPr>
                <w:rFonts w:ascii="Arial" w:hAnsi="Arial" w:cs="Arial"/>
                <w:sz w:val="18"/>
              </w:rPr>
            </w:pPr>
            <w:r w:rsidRPr="00117BF8">
              <w:rPr>
                <w:rFonts w:ascii="Arial" w:hAnsi="Arial" w:cs="Arial"/>
                <w:sz w:val="18"/>
              </w:rPr>
              <w:t>3,00</w:t>
            </w:r>
          </w:p>
        </w:tc>
        <w:tc>
          <w:tcPr>
            <w:tcW w:w="1043" w:type="dxa"/>
            <w:tcBorders>
              <w:top w:val="nil"/>
              <w:left w:val="nil"/>
              <w:bottom w:val="nil"/>
              <w:right w:val="nil"/>
            </w:tcBorders>
            <w:shd w:val="clear" w:color="auto" w:fill="auto"/>
            <w:noWrap/>
            <w:vAlign w:val="bottom"/>
            <w:hideMark/>
          </w:tcPr>
          <w:p w14:paraId="7EB5B10C" w14:textId="77777777" w:rsidR="002F43BF" w:rsidRPr="00117BF8" w:rsidRDefault="002F43BF" w:rsidP="002F43BF">
            <w:pPr>
              <w:pStyle w:val="TablaC"/>
              <w:rPr>
                <w:rFonts w:ascii="Arial" w:hAnsi="Arial" w:cs="Arial"/>
                <w:sz w:val="18"/>
              </w:rPr>
            </w:pPr>
            <w:r w:rsidRPr="00117BF8">
              <w:rPr>
                <w:rFonts w:ascii="Arial" w:hAnsi="Arial" w:cs="Arial"/>
                <w:sz w:val="18"/>
              </w:rPr>
              <w:t>5,00</w:t>
            </w:r>
          </w:p>
        </w:tc>
        <w:tc>
          <w:tcPr>
            <w:tcW w:w="1043" w:type="dxa"/>
            <w:tcBorders>
              <w:top w:val="nil"/>
              <w:left w:val="nil"/>
              <w:bottom w:val="nil"/>
              <w:right w:val="nil"/>
            </w:tcBorders>
            <w:shd w:val="clear" w:color="auto" w:fill="auto"/>
            <w:noWrap/>
            <w:vAlign w:val="bottom"/>
            <w:hideMark/>
          </w:tcPr>
          <w:p w14:paraId="1B56125F" w14:textId="77777777" w:rsidR="002F43BF" w:rsidRPr="00117BF8" w:rsidRDefault="002F43BF" w:rsidP="002F43BF">
            <w:pPr>
              <w:pStyle w:val="TablaC"/>
              <w:rPr>
                <w:rFonts w:ascii="Arial" w:hAnsi="Arial" w:cs="Arial"/>
                <w:sz w:val="18"/>
              </w:rPr>
            </w:pPr>
            <w:r w:rsidRPr="00117BF8">
              <w:rPr>
                <w:rFonts w:ascii="Arial" w:hAnsi="Arial" w:cs="Arial"/>
                <w:sz w:val="18"/>
              </w:rPr>
              <w:t>6,00</w:t>
            </w:r>
          </w:p>
        </w:tc>
        <w:tc>
          <w:tcPr>
            <w:tcW w:w="1043" w:type="dxa"/>
            <w:tcBorders>
              <w:top w:val="nil"/>
              <w:left w:val="nil"/>
              <w:bottom w:val="nil"/>
              <w:right w:val="nil"/>
            </w:tcBorders>
            <w:shd w:val="clear" w:color="auto" w:fill="auto"/>
            <w:noWrap/>
            <w:vAlign w:val="bottom"/>
            <w:hideMark/>
          </w:tcPr>
          <w:p w14:paraId="500B877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559194D"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262C91D7"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6E3AA0B"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36FF1FAB"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46EBB62" w14:textId="77777777" w:rsidR="002F43BF" w:rsidRPr="00117BF8" w:rsidRDefault="002F43BF" w:rsidP="002F43BF">
            <w:pPr>
              <w:pStyle w:val="TablaC"/>
              <w:rPr>
                <w:rFonts w:ascii="Arial" w:hAnsi="Arial" w:cs="Arial"/>
                <w:sz w:val="18"/>
              </w:rPr>
            </w:pPr>
          </w:p>
        </w:tc>
      </w:tr>
      <w:tr w:rsidR="002F43BF" w:rsidRPr="004E6455" w14:paraId="2F7C23F3" w14:textId="77777777" w:rsidTr="002F43BF">
        <w:trPr>
          <w:trHeight w:val="300"/>
        </w:trPr>
        <w:tc>
          <w:tcPr>
            <w:tcW w:w="2567" w:type="dxa"/>
            <w:tcBorders>
              <w:top w:val="nil"/>
              <w:left w:val="nil"/>
              <w:bottom w:val="nil"/>
              <w:right w:val="nil"/>
            </w:tcBorders>
            <w:shd w:val="clear" w:color="auto" w:fill="auto"/>
            <w:noWrap/>
            <w:vAlign w:val="bottom"/>
            <w:hideMark/>
          </w:tcPr>
          <w:p w14:paraId="400BD865" w14:textId="77777777" w:rsidR="002F43BF" w:rsidRPr="00117BF8" w:rsidRDefault="002F43BF" w:rsidP="002F43BF">
            <w:pPr>
              <w:pStyle w:val="TablaC"/>
              <w:jc w:val="left"/>
              <w:rPr>
                <w:rFonts w:ascii="Arial" w:hAnsi="Arial" w:cs="Arial"/>
                <w:sz w:val="18"/>
              </w:rPr>
            </w:pPr>
            <w:r w:rsidRPr="00117BF8">
              <w:rPr>
                <w:rFonts w:ascii="Arial" w:hAnsi="Arial" w:cs="Arial"/>
                <w:sz w:val="18"/>
              </w:rPr>
              <w:t>Contraparte</w:t>
            </w:r>
          </w:p>
        </w:tc>
        <w:tc>
          <w:tcPr>
            <w:tcW w:w="1044" w:type="dxa"/>
            <w:tcBorders>
              <w:top w:val="nil"/>
              <w:left w:val="nil"/>
              <w:bottom w:val="nil"/>
              <w:right w:val="nil"/>
            </w:tcBorders>
            <w:shd w:val="clear" w:color="auto" w:fill="auto"/>
            <w:noWrap/>
            <w:vAlign w:val="bottom"/>
            <w:hideMark/>
          </w:tcPr>
          <w:p w14:paraId="21796805"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4" w:type="dxa"/>
            <w:tcBorders>
              <w:top w:val="nil"/>
              <w:left w:val="nil"/>
              <w:bottom w:val="nil"/>
              <w:right w:val="nil"/>
            </w:tcBorders>
            <w:shd w:val="clear" w:color="auto" w:fill="auto"/>
            <w:noWrap/>
            <w:vAlign w:val="bottom"/>
            <w:hideMark/>
          </w:tcPr>
          <w:p w14:paraId="49984CAD"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72C25FE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25E67065"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472AB2F"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0E1DF16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2DC2F9A0"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2BEF369C"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30EBD17"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3778DA9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3266DEBF" w14:textId="77777777" w:rsidR="002F43BF" w:rsidRPr="00117BF8" w:rsidRDefault="002F43BF" w:rsidP="002F43BF">
            <w:pPr>
              <w:pStyle w:val="TablaC"/>
              <w:rPr>
                <w:rFonts w:ascii="Arial" w:hAnsi="Arial" w:cs="Arial"/>
                <w:sz w:val="18"/>
              </w:rPr>
            </w:pPr>
          </w:p>
        </w:tc>
      </w:tr>
      <w:tr w:rsidR="002F43BF" w:rsidRPr="004E6455" w14:paraId="7E6483D1" w14:textId="77777777" w:rsidTr="002F43BF">
        <w:trPr>
          <w:trHeight w:val="300"/>
        </w:trPr>
        <w:tc>
          <w:tcPr>
            <w:tcW w:w="2567" w:type="dxa"/>
            <w:tcBorders>
              <w:top w:val="nil"/>
              <w:left w:val="nil"/>
              <w:bottom w:val="nil"/>
              <w:right w:val="nil"/>
            </w:tcBorders>
            <w:shd w:val="clear" w:color="auto" w:fill="auto"/>
            <w:noWrap/>
            <w:vAlign w:val="bottom"/>
            <w:hideMark/>
          </w:tcPr>
          <w:p w14:paraId="487BDD98" w14:textId="77777777" w:rsidR="002F43BF" w:rsidRPr="00117BF8" w:rsidRDefault="002F43BF" w:rsidP="002F43BF">
            <w:pPr>
              <w:pStyle w:val="TablaC"/>
              <w:jc w:val="left"/>
              <w:rPr>
                <w:rFonts w:ascii="Arial" w:hAnsi="Arial" w:cs="Arial"/>
                <w:sz w:val="18"/>
              </w:rPr>
            </w:pPr>
            <w:r w:rsidRPr="00117BF8">
              <w:rPr>
                <w:rFonts w:ascii="Arial" w:hAnsi="Arial" w:cs="Arial"/>
                <w:sz w:val="18"/>
              </w:rPr>
              <w:t>Deuda la 31/12</w:t>
            </w:r>
          </w:p>
        </w:tc>
        <w:tc>
          <w:tcPr>
            <w:tcW w:w="1044" w:type="dxa"/>
            <w:tcBorders>
              <w:top w:val="nil"/>
              <w:left w:val="nil"/>
              <w:bottom w:val="nil"/>
              <w:right w:val="nil"/>
            </w:tcBorders>
            <w:shd w:val="clear" w:color="auto" w:fill="auto"/>
            <w:noWrap/>
            <w:vAlign w:val="bottom"/>
            <w:hideMark/>
          </w:tcPr>
          <w:p w14:paraId="52F0F286" w14:textId="77777777" w:rsidR="002F43BF" w:rsidRPr="00117BF8" w:rsidRDefault="002F43BF" w:rsidP="002F43BF">
            <w:pPr>
              <w:pStyle w:val="TablaC"/>
              <w:rPr>
                <w:rFonts w:ascii="Arial" w:hAnsi="Arial" w:cs="Arial"/>
                <w:sz w:val="18"/>
              </w:rPr>
            </w:pPr>
            <w:r w:rsidRPr="00117BF8">
              <w:rPr>
                <w:rFonts w:ascii="Arial" w:hAnsi="Arial" w:cs="Arial"/>
                <w:sz w:val="18"/>
              </w:rPr>
              <w:t>2,00</w:t>
            </w:r>
          </w:p>
        </w:tc>
        <w:tc>
          <w:tcPr>
            <w:tcW w:w="1044" w:type="dxa"/>
            <w:tcBorders>
              <w:top w:val="nil"/>
              <w:left w:val="nil"/>
              <w:bottom w:val="nil"/>
              <w:right w:val="nil"/>
            </w:tcBorders>
            <w:shd w:val="clear" w:color="auto" w:fill="auto"/>
            <w:noWrap/>
            <w:vAlign w:val="bottom"/>
            <w:hideMark/>
          </w:tcPr>
          <w:p w14:paraId="0094E483" w14:textId="77777777" w:rsidR="002F43BF" w:rsidRPr="00117BF8" w:rsidRDefault="002F43BF" w:rsidP="002F43BF">
            <w:pPr>
              <w:pStyle w:val="TablaC"/>
              <w:rPr>
                <w:rFonts w:ascii="Arial" w:hAnsi="Arial" w:cs="Arial"/>
                <w:sz w:val="18"/>
              </w:rPr>
            </w:pPr>
            <w:r w:rsidRPr="00117BF8">
              <w:rPr>
                <w:rFonts w:ascii="Arial" w:hAnsi="Arial" w:cs="Arial"/>
                <w:sz w:val="18"/>
              </w:rPr>
              <w:t>6,00</w:t>
            </w:r>
          </w:p>
        </w:tc>
        <w:tc>
          <w:tcPr>
            <w:tcW w:w="1044" w:type="dxa"/>
            <w:tcBorders>
              <w:top w:val="nil"/>
              <w:left w:val="nil"/>
              <w:bottom w:val="nil"/>
              <w:right w:val="nil"/>
            </w:tcBorders>
            <w:shd w:val="clear" w:color="auto" w:fill="auto"/>
            <w:noWrap/>
            <w:vAlign w:val="bottom"/>
            <w:hideMark/>
          </w:tcPr>
          <w:p w14:paraId="6B0F234B" w14:textId="77777777" w:rsidR="002F43BF" w:rsidRPr="00117BF8" w:rsidRDefault="002F43BF" w:rsidP="002F43BF">
            <w:pPr>
              <w:pStyle w:val="TablaC"/>
              <w:rPr>
                <w:rFonts w:ascii="Arial" w:hAnsi="Arial" w:cs="Arial"/>
                <w:sz w:val="18"/>
              </w:rPr>
            </w:pPr>
            <w:r w:rsidRPr="00117BF8">
              <w:rPr>
                <w:rFonts w:ascii="Arial" w:hAnsi="Arial" w:cs="Arial"/>
                <w:sz w:val="18"/>
              </w:rPr>
              <w:t>9,00</w:t>
            </w:r>
          </w:p>
        </w:tc>
        <w:tc>
          <w:tcPr>
            <w:tcW w:w="1043" w:type="dxa"/>
            <w:tcBorders>
              <w:top w:val="nil"/>
              <w:left w:val="nil"/>
              <w:bottom w:val="nil"/>
              <w:right w:val="nil"/>
            </w:tcBorders>
            <w:shd w:val="clear" w:color="auto" w:fill="auto"/>
            <w:noWrap/>
            <w:vAlign w:val="bottom"/>
            <w:hideMark/>
          </w:tcPr>
          <w:p w14:paraId="3EC9ECCF" w14:textId="77777777" w:rsidR="002F43BF" w:rsidRPr="00117BF8" w:rsidRDefault="002F43BF" w:rsidP="002F43BF">
            <w:pPr>
              <w:pStyle w:val="TablaC"/>
              <w:rPr>
                <w:rFonts w:ascii="Arial" w:hAnsi="Arial" w:cs="Arial"/>
                <w:sz w:val="18"/>
              </w:rPr>
            </w:pPr>
            <w:r w:rsidRPr="00117BF8">
              <w:rPr>
                <w:rFonts w:ascii="Arial" w:hAnsi="Arial" w:cs="Arial"/>
                <w:sz w:val="18"/>
              </w:rPr>
              <w:t>14,00</w:t>
            </w:r>
          </w:p>
        </w:tc>
        <w:tc>
          <w:tcPr>
            <w:tcW w:w="1043" w:type="dxa"/>
            <w:tcBorders>
              <w:top w:val="nil"/>
              <w:left w:val="nil"/>
              <w:bottom w:val="nil"/>
              <w:right w:val="nil"/>
            </w:tcBorders>
            <w:shd w:val="clear" w:color="auto" w:fill="auto"/>
            <w:noWrap/>
            <w:vAlign w:val="bottom"/>
            <w:hideMark/>
          </w:tcPr>
          <w:p w14:paraId="638E8A41" w14:textId="77777777" w:rsidR="002F43BF" w:rsidRPr="00117BF8" w:rsidRDefault="002F43BF" w:rsidP="002F43BF">
            <w:pPr>
              <w:pStyle w:val="TablaC"/>
              <w:rPr>
                <w:rFonts w:ascii="Arial" w:hAnsi="Arial" w:cs="Arial"/>
                <w:sz w:val="18"/>
              </w:rPr>
            </w:pPr>
            <w:r w:rsidRPr="00117BF8">
              <w:rPr>
                <w:rFonts w:ascii="Arial" w:hAnsi="Arial" w:cs="Arial"/>
                <w:sz w:val="18"/>
              </w:rPr>
              <w:t>20,00</w:t>
            </w:r>
          </w:p>
        </w:tc>
        <w:tc>
          <w:tcPr>
            <w:tcW w:w="1043" w:type="dxa"/>
            <w:tcBorders>
              <w:top w:val="nil"/>
              <w:left w:val="nil"/>
              <w:bottom w:val="nil"/>
              <w:right w:val="nil"/>
            </w:tcBorders>
            <w:shd w:val="clear" w:color="auto" w:fill="auto"/>
            <w:noWrap/>
            <w:vAlign w:val="bottom"/>
            <w:hideMark/>
          </w:tcPr>
          <w:p w14:paraId="6E5ABD45" w14:textId="77777777" w:rsidR="002F43BF" w:rsidRPr="00117BF8" w:rsidRDefault="002F43BF" w:rsidP="002F43BF">
            <w:pPr>
              <w:pStyle w:val="TablaC"/>
              <w:rPr>
                <w:rFonts w:ascii="Arial" w:hAnsi="Arial" w:cs="Arial"/>
                <w:sz w:val="18"/>
              </w:rPr>
            </w:pPr>
            <w:r w:rsidRPr="00117BF8">
              <w:rPr>
                <w:rFonts w:ascii="Arial" w:hAnsi="Arial" w:cs="Arial"/>
                <w:sz w:val="18"/>
              </w:rPr>
              <w:t>19,00</w:t>
            </w:r>
          </w:p>
        </w:tc>
        <w:tc>
          <w:tcPr>
            <w:tcW w:w="1043" w:type="dxa"/>
            <w:tcBorders>
              <w:top w:val="nil"/>
              <w:left w:val="nil"/>
              <w:bottom w:val="nil"/>
              <w:right w:val="nil"/>
            </w:tcBorders>
            <w:shd w:val="clear" w:color="auto" w:fill="auto"/>
            <w:noWrap/>
            <w:vAlign w:val="bottom"/>
            <w:hideMark/>
          </w:tcPr>
          <w:p w14:paraId="2A1C0238" w14:textId="77777777" w:rsidR="002F43BF" w:rsidRPr="00117BF8" w:rsidRDefault="002F43BF" w:rsidP="002F43BF">
            <w:pPr>
              <w:pStyle w:val="TablaC"/>
              <w:rPr>
                <w:rFonts w:ascii="Arial" w:hAnsi="Arial" w:cs="Arial"/>
                <w:sz w:val="18"/>
              </w:rPr>
            </w:pPr>
            <w:r w:rsidRPr="00117BF8">
              <w:rPr>
                <w:rFonts w:ascii="Arial" w:hAnsi="Arial" w:cs="Arial"/>
                <w:sz w:val="18"/>
              </w:rPr>
              <w:t>18,00</w:t>
            </w:r>
          </w:p>
        </w:tc>
        <w:tc>
          <w:tcPr>
            <w:tcW w:w="1043" w:type="dxa"/>
            <w:tcBorders>
              <w:top w:val="nil"/>
              <w:left w:val="nil"/>
              <w:bottom w:val="nil"/>
              <w:right w:val="nil"/>
            </w:tcBorders>
            <w:shd w:val="clear" w:color="auto" w:fill="auto"/>
            <w:noWrap/>
            <w:vAlign w:val="bottom"/>
            <w:hideMark/>
          </w:tcPr>
          <w:p w14:paraId="0F8DE574" w14:textId="77777777" w:rsidR="002F43BF" w:rsidRPr="00117BF8" w:rsidRDefault="002F43BF" w:rsidP="002F43BF">
            <w:pPr>
              <w:pStyle w:val="TablaC"/>
              <w:rPr>
                <w:rFonts w:ascii="Arial" w:hAnsi="Arial" w:cs="Arial"/>
                <w:sz w:val="18"/>
              </w:rPr>
            </w:pPr>
            <w:r w:rsidRPr="00117BF8">
              <w:rPr>
                <w:rFonts w:ascii="Arial" w:hAnsi="Arial" w:cs="Arial"/>
                <w:sz w:val="18"/>
              </w:rPr>
              <w:t>17,00</w:t>
            </w:r>
          </w:p>
        </w:tc>
        <w:tc>
          <w:tcPr>
            <w:tcW w:w="1043" w:type="dxa"/>
            <w:tcBorders>
              <w:top w:val="nil"/>
              <w:left w:val="nil"/>
              <w:bottom w:val="nil"/>
              <w:right w:val="nil"/>
            </w:tcBorders>
            <w:shd w:val="clear" w:color="auto" w:fill="auto"/>
            <w:noWrap/>
            <w:vAlign w:val="bottom"/>
            <w:hideMark/>
          </w:tcPr>
          <w:p w14:paraId="51A85514" w14:textId="77777777" w:rsidR="002F43BF" w:rsidRPr="00117BF8" w:rsidRDefault="002F43BF" w:rsidP="002F43BF">
            <w:pPr>
              <w:pStyle w:val="TablaC"/>
              <w:rPr>
                <w:rFonts w:ascii="Arial" w:hAnsi="Arial" w:cs="Arial"/>
                <w:sz w:val="18"/>
              </w:rPr>
            </w:pPr>
            <w:r w:rsidRPr="00117BF8">
              <w:rPr>
                <w:rFonts w:ascii="Arial" w:hAnsi="Arial" w:cs="Arial"/>
                <w:sz w:val="18"/>
              </w:rPr>
              <w:t>16,00</w:t>
            </w:r>
          </w:p>
        </w:tc>
        <w:tc>
          <w:tcPr>
            <w:tcW w:w="1043" w:type="dxa"/>
            <w:tcBorders>
              <w:top w:val="nil"/>
              <w:left w:val="nil"/>
              <w:bottom w:val="nil"/>
              <w:right w:val="nil"/>
            </w:tcBorders>
            <w:shd w:val="clear" w:color="auto" w:fill="auto"/>
            <w:noWrap/>
            <w:vAlign w:val="bottom"/>
            <w:hideMark/>
          </w:tcPr>
          <w:p w14:paraId="41D4B41C" w14:textId="77777777" w:rsidR="002F43BF" w:rsidRPr="00117BF8" w:rsidRDefault="002F43BF" w:rsidP="002F43BF">
            <w:pPr>
              <w:pStyle w:val="TablaC"/>
              <w:rPr>
                <w:rFonts w:ascii="Arial" w:hAnsi="Arial" w:cs="Arial"/>
                <w:sz w:val="18"/>
              </w:rPr>
            </w:pPr>
            <w:r w:rsidRPr="00117BF8">
              <w:rPr>
                <w:rFonts w:ascii="Arial" w:hAnsi="Arial" w:cs="Arial"/>
                <w:sz w:val="18"/>
              </w:rPr>
              <w:t>15,00</w:t>
            </w:r>
          </w:p>
        </w:tc>
        <w:tc>
          <w:tcPr>
            <w:tcW w:w="1043" w:type="dxa"/>
            <w:tcBorders>
              <w:top w:val="nil"/>
              <w:left w:val="nil"/>
              <w:bottom w:val="nil"/>
              <w:right w:val="nil"/>
            </w:tcBorders>
            <w:shd w:val="clear" w:color="auto" w:fill="auto"/>
            <w:noWrap/>
            <w:vAlign w:val="bottom"/>
            <w:hideMark/>
          </w:tcPr>
          <w:p w14:paraId="180E79D4" w14:textId="77777777" w:rsidR="002F43BF" w:rsidRPr="00117BF8" w:rsidRDefault="002F43BF" w:rsidP="002F43BF">
            <w:pPr>
              <w:pStyle w:val="TablaC"/>
              <w:rPr>
                <w:rFonts w:ascii="Arial" w:hAnsi="Arial" w:cs="Arial"/>
                <w:sz w:val="18"/>
              </w:rPr>
            </w:pPr>
            <w:r w:rsidRPr="00117BF8">
              <w:rPr>
                <w:rFonts w:ascii="Arial" w:hAnsi="Arial" w:cs="Arial"/>
                <w:sz w:val="18"/>
              </w:rPr>
              <w:t>14,00</w:t>
            </w:r>
          </w:p>
        </w:tc>
      </w:tr>
      <w:tr w:rsidR="002F43BF" w:rsidRPr="004E6455" w14:paraId="6175A92E" w14:textId="77777777" w:rsidTr="002F43BF">
        <w:trPr>
          <w:trHeight w:val="300"/>
        </w:trPr>
        <w:tc>
          <w:tcPr>
            <w:tcW w:w="2567" w:type="dxa"/>
            <w:tcBorders>
              <w:top w:val="nil"/>
              <w:left w:val="nil"/>
              <w:bottom w:val="nil"/>
              <w:right w:val="nil"/>
            </w:tcBorders>
            <w:shd w:val="clear" w:color="auto" w:fill="auto"/>
            <w:noWrap/>
            <w:vAlign w:val="bottom"/>
            <w:hideMark/>
          </w:tcPr>
          <w:p w14:paraId="7121E5E7" w14:textId="77777777" w:rsidR="002F43BF" w:rsidRPr="00117BF8" w:rsidRDefault="002F43BF" w:rsidP="002F43BF">
            <w:pPr>
              <w:pStyle w:val="TablaC"/>
              <w:jc w:val="left"/>
              <w:rPr>
                <w:rFonts w:ascii="Arial" w:hAnsi="Arial" w:cs="Arial"/>
                <w:sz w:val="18"/>
              </w:rPr>
            </w:pPr>
            <w:r w:rsidRPr="00117BF8">
              <w:rPr>
                <w:rFonts w:ascii="Arial" w:hAnsi="Arial" w:cs="Arial"/>
                <w:sz w:val="18"/>
              </w:rPr>
              <w:t>Amortización</w:t>
            </w:r>
          </w:p>
        </w:tc>
        <w:tc>
          <w:tcPr>
            <w:tcW w:w="1044" w:type="dxa"/>
            <w:tcBorders>
              <w:top w:val="nil"/>
              <w:left w:val="nil"/>
              <w:bottom w:val="nil"/>
              <w:right w:val="nil"/>
            </w:tcBorders>
            <w:shd w:val="clear" w:color="auto" w:fill="auto"/>
            <w:noWrap/>
            <w:vAlign w:val="bottom"/>
            <w:hideMark/>
          </w:tcPr>
          <w:p w14:paraId="3C7DCE39"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415D2B90"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2E5CF866"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3FB226AA"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308217C8"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09D72D33" w14:textId="77777777" w:rsidR="002F43BF" w:rsidRPr="00117BF8" w:rsidRDefault="002F43BF" w:rsidP="002F43BF">
            <w:pPr>
              <w:pStyle w:val="TablaC"/>
              <w:rPr>
                <w:rFonts w:ascii="Arial" w:hAnsi="Arial" w:cs="Arial"/>
                <w:sz w:val="18"/>
              </w:rPr>
            </w:pPr>
            <w:r w:rsidRPr="00117BF8">
              <w:rPr>
                <w:rFonts w:ascii="Arial" w:hAnsi="Arial" w:cs="Arial"/>
                <w:sz w:val="18"/>
              </w:rPr>
              <w:t>1,00</w:t>
            </w:r>
          </w:p>
        </w:tc>
        <w:tc>
          <w:tcPr>
            <w:tcW w:w="1043" w:type="dxa"/>
            <w:tcBorders>
              <w:top w:val="nil"/>
              <w:left w:val="nil"/>
              <w:bottom w:val="nil"/>
              <w:right w:val="nil"/>
            </w:tcBorders>
            <w:shd w:val="clear" w:color="auto" w:fill="auto"/>
            <w:noWrap/>
            <w:vAlign w:val="bottom"/>
            <w:hideMark/>
          </w:tcPr>
          <w:p w14:paraId="1EEDB354" w14:textId="77777777" w:rsidR="002F43BF" w:rsidRPr="00117BF8" w:rsidRDefault="002F43BF" w:rsidP="002F43BF">
            <w:pPr>
              <w:pStyle w:val="TablaC"/>
              <w:rPr>
                <w:rFonts w:ascii="Arial" w:hAnsi="Arial" w:cs="Arial"/>
                <w:sz w:val="18"/>
              </w:rPr>
            </w:pPr>
            <w:r w:rsidRPr="00117BF8">
              <w:rPr>
                <w:rFonts w:ascii="Arial" w:hAnsi="Arial" w:cs="Arial"/>
                <w:sz w:val="18"/>
              </w:rPr>
              <w:t>1,00</w:t>
            </w:r>
          </w:p>
        </w:tc>
        <w:tc>
          <w:tcPr>
            <w:tcW w:w="1043" w:type="dxa"/>
            <w:tcBorders>
              <w:top w:val="nil"/>
              <w:left w:val="nil"/>
              <w:bottom w:val="nil"/>
              <w:right w:val="nil"/>
            </w:tcBorders>
            <w:shd w:val="clear" w:color="auto" w:fill="auto"/>
            <w:noWrap/>
            <w:vAlign w:val="bottom"/>
            <w:hideMark/>
          </w:tcPr>
          <w:p w14:paraId="20056107" w14:textId="77777777" w:rsidR="002F43BF" w:rsidRPr="00117BF8" w:rsidRDefault="002F43BF" w:rsidP="002F43BF">
            <w:pPr>
              <w:pStyle w:val="TablaC"/>
              <w:rPr>
                <w:rFonts w:ascii="Arial" w:hAnsi="Arial" w:cs="Arial"/>
                <w:sz w:val="18"/>
              </w:rPr>
            </w:pPr>
            <w:r w:rsidRPr="00117BF8">
              <w:rPr>
                <w:rFonts w:ascii="Arial" w:hAnsi="Arial" w:cs="Arial"/>
                <w:sz w:val="18"/>
              </w:rPr>
              <w:t>1,00</w:t>
            </w:r>
          </w:p>
        </w:tc>
        <w:tc>
          <w:tcPr>
            <w:tcW w:w="1043" w:type="dxa"/>
            <w:tcBorders>
              <w:top w:val="nil"/>
              <w:left w:val="nil"/>
              <w:bottom w:val="nil"/>
              <w:right w:val="nil"/>
            </w:tcBorders>
            <w:shd w:val="clear" w:color="auto" w:fill="auto"/>
            <w:noWrap/>
            <w:vAlign w:val="bottom"/>
            <w:hideMark/>
          </w:tcPr>
          <w:p w14:paraId="09681646" w14:textId="77777777" w:rsidR="002F43BF" w:rsidRPr="00117BF8" w:rsidRDefault="002F43BF" w:rsidP="002F43BF">
            <w:pPr>
              <w:pStyle w:val="TablaC"/>
              <w:rPr>
                <w:rFonts w:ascii="Arial" w:hAnsi="Arial" w:cs="Arial"/>
                <w:sz w:val="18"/>
              </w:rPr>
            </w:pPr>
            <w:r w:rsidRPr="00117BF8">
              <w:rPr>
                <w:rFonts w:ascii="Arial" w:hAnsi="Arial" w:cs="Arial"/>
                <w:sz w:val="18"/>
              </w:rPr>
              <w:t>1,00</w:t>
            </w:r>
          </w:p>
        </w:tc>
        <w:tc>
          <w:tcPr>
            <w:tcW w:w="1043" w:type="dxa"/>
            <w:tcBorders>
              <w:top w:val="nil"/>
              <w:left w:val="nil"/>
              <w:bottom w:val="nil"/>
              <w:right w:val="nil"/>
            </w:tcBorders>
            <w:shd w:val="clear" w:color="auto" w:fill="auto"/>
            <w:noWrap/>
            <w:vAlign w:val="bottom"/>
            <w:hideMark/>
          </w:tcPr>
          <w:p w14:paraId="792B2EE7" w14:textId="77777777" w:rsidR="002F43BF" w:rsidRPr="00117BF8" w:rsidRDefault="002F43BF" w:rsidP="002F43BF">
            <w:pPr>
              <w:pStyle w:val="TablaC"/>
              <w:rPr>
                <w:rFonts w:ascii="Arial" w:hAnsi="Arial" w:cs="Arial"/>
                <w:sz w:val="18"/>
              </w:rPr>
            </w:pPr>
            <w:r w:rsidRPr="00117BF8">
              <w:rPr>
                <w:rFonts w:ascii="Arial" w:hAnsi="Arial" w:cs="Arial"/>
                <w:sz w:val="18"/>
              </w:rPr>
              <w:t>1,00</w:t>
            </w:r>
          </w:p>
        </w:tc>
        <w:tc>
          <w:tcPr>
            <w:tcW w:w="1043" w:type="dxa"/>
            <w:tcBorders>
              <w:top w:val="nil"/>
              <w:left w:val="nil"/>
              <w:bottom w:val="nil"/>
              <w:right w:val="nil"/>
            </w:tcBorders>
            <w:shd w:val="clear" w:color="auto" w:fill="auto"/>
            <w:noWrap/>
            <w:vAlign w:val="bottom"/>
            <w:hideMark/>
          </w:tcPr>
          <w:p w14:paraId="08B34BF5" w14:textId="77777777" w:rsidR="002F43BF" w:rsidRPr="00117BF8" w:rsidRDefault="002F43BF" w:rsidP="002F43BF">
            <w:pPr>
              <w:pStyle w:val="TablaC"/>
              <w:rPr>
                <w:rFonts w:ascii="Arial" w:hAnsi="Arial" w:cs="Arial"/>
                <w:sz w:val="18"/>
              </w:rPr>
            </w:pPr>
            <w:r w:rsidRPr="00117BF8">
              <w:rPr>
                <w:rFonts w:ascii="Arial" w:hAnsi="Arial" w:cs="Arial"/>
                <w:sz w:val="18"/>
              </w:rPr>
              <w:t>1,00</w:t>
            </w:r>
          </w:p>
        </w:tc>
      </w:tr>
      <w:tr w:rsidR="002F43BF" w:rsidRPr="004E6455" w14:paraId="6BE19708" w14:textId="77777777" w:rsidTr="002F43BF">
        <w:trPr>
          <w:trHeight w:val="300"/>
        </w:trPr>
        <w:tc>
          <w:tcPr>
            <w:tcW w:w="2567" w:type="dxa"/>
            <w:tcBorders>
              <w:top w:val="nil"/>
              <w:left w:val="nil"/>
              <w:bottom w:val="nil"/>
              <w:right w:val="nil"/>
            </w:tcBorders>
            <w:shd w:val="clear" w:color="auto" w:fill="auto"/>
            <w:noWrap/>
            <w:vAlign w:val="bottom"/>
            <w:hideMark/>
          </w:tcPr>
          <w:p w14:paraId="79E825DF" w14:textId="77777777" w:rsidR="002F43BF" w:rsidRPr="00117BF8" w:rsidRDefault="002F43BF" w:rsidP="002F43BF">
            <w:pPr>
              <w:pStyle w:val="TablaC"/>
              <w:jc w:val="left"/>
              <w:rPr>
                <w:rFonts w:ascii="Arial" w:hAnsi="Arial" w:cs="Arial"/>
                <w:sz w:val="18"/>
              </w:rPr>
            </w:pPr>
            <w:r w:rsidRPr="00117BF8">
              <w:rPr>
                <w:rFonts w:ascii="Arial" w:hAnsi="Arial" w:cs="Arial"/>
                <w:sz w:val="18"/>
              </w:rPr>
              <w:t>Intereses Devengados</w:t>
            </w:r>
          </w:p>
        </w:tc>
        <w:tc>
          <w:tcPr>
            <w:tcW w:w="1044" w:type="dxa"/>
            <w:tcBorders>
              <w:top w:val="nil"/>
              <w:left w:val="nil"/>
              <w:bottom w:val="nil"/>
              <w:right w:val="nil"/>
            </w:tcBorders>
            <w:shd w:val="clear" w:color="auto" w:fill="auto"/>
            <w:noWrap/>
            <w:vAlign w:val="bottom"/>
            <w:hideMark/>
          </w:tcPr>
          <w:p w14:paraId="5A01C5E2" w14:textId="77777777" w:rsidR="002F43BF" w:rsidRPr="00117BF8" w:rsidRDefault="002F43BF" w:rsidP="002F43BF">
            <w:pPr>
              <w:pStyle w:val="TablaC"/>
              <w:rPr>
                <w:rFonts w:ascii="Arial" w:hAnsi="Arial" w:cs="Arial"/>
                <w:sz w:val="18"/>
              </w:rPr>
            </w:pPr>
            <w:r w:rsidRPr="00117BF8">
              <w:rPr>
                <w:rFonts w:ascii="Arial" w:hAnsi="Arial" w:cs="Arial"/>
                <w:sz w:val="18"/>
              </w:rPr>
              <w:t>0,02</w:t>
            </w:r>
          </w:p>
        </w:tc>
        <w:tc>
          <w:tcPr>
            <w:tcW w:w="1044" w:type="dxa"/>
            <w:tcBorders>
              <w:top w:val="nil"/>
              <w:left w:val="nil"/>
              <w:bottom w:val="nil"/>
              <w:right w:val="nil"/>
            </w:tcBorders>
            <w:shd w:val="clear" w:color="auto" w:fill="auto"/>
            <w:noWrap/>
            <w:vAlign w:val="bottom"/>
            <w:hideMark/>
          </w:tcPr>
          <w:p w14:paraId="11116245" w14:textId="77777777" w:rsidR="002F43BF" w:rsidRPr="00117BF8" w:rsidRDefault="002F43BF" w:rsidP="002F43BF">
            <w:pPr>
              <w:pStyle w:val="TablaC"/>
              <w:rPr>
                <w:rFonts w:ascii="Arial" w:hAnsi="Arial" w:cs="Arial"/>
                <w:sz w:val="18"/>
              </w:rPr>
            </w:pPr>
            <w:r w:rsidRPr="00117BF8">
              <w:rPr>
                <w:rFonts w:ascii="Arial" w:hAnsi="Arial" w:cs="Arial"/>
                <w:sz w:val="18"/>
              </w:rPr>
              <w:t>0,09</w:t>
            </w:r>
          </w:p>
        </w:tc>
        <w:tc>
          <w:tcPr>
            <w:tcW w:w="1044" w:type="dxa"/>
            <w:tcBorders>
              <w:top w:val="nil"/>
              <w:left w:val="nil"/>
              <w:bottom w:val="nil"/>
              <w:right w:val="nil"/>
            </w:tcBorders>
            <w:shd w:val="clear" w:color="auto" w:fill="auto"/>
            <w:noWrap/>
            <w:vAlign w:val="bottom"/>
            <w:hideMark/>
          </w:tcPr>
          <w:p w14:paraId="62F3AB82" w14:textId="77777777" w:rsidR="002F43BF" w:rsidRPr="00117BF8" w:rsidRDefault="002F43BF" w:rsidP="002F43BF">
            <w:pPr>
              <w:pStyle w:val="TablaC"/>
              <w:rPr>
                <w:rFonts w:ascii="Arial" w:hAnsi="Arial" w:cs="Arial"/>
                <w:sz w:val="18"/>
              </w:rPr>
            </w:pPr>
            <w:r w:rsidRPr="00117BF8">
              <w:rPr>
                <w:rFonts w:ascii="Arial" w:hAnsi="Arial" w:cs="Arial"/>
                <w:sz w:val="18"/>
              </w:rPr>
              <w:t>0,17</w:t>
            </w:r>
          </w:p>
        </w:tc>
        <w:tc>
          <w:tcPr>
            <w:tcW w:w="1043" w:type="dxa"/>
            <w:tcBorders>
              <w:top w:val="nil"/>
              <w:left w:val="nil"/>
              <w:bottom w:val="nil"/>
              <w:right w:val="nil"/>
            </w:tcBorders>
            <w:shd w:val="clear" w:color="auto" w:fill="auto"/>
            <w:noWrap/>
            <w:vAlign w:val="bottom"/>
            <w:hideMark/>
          </w:tcPr>
          <w:p w14:paraId="39078E24" w14:textId="77777777" w:rsidR="002F43BF" w:rsidRPr="00117BF8" w:rsidRDefault="002F43BF" w:rsidP="002F43BF">
            <w:pPr>
              <w:pStyle w:val="TablaC"/>
              <w:rPr>
                <w:rFonts w:ascii="Arial" w:hAnsi="Arial" w:cs="Arial"/>
                <w:sz w:val="18"/>
              </w:rPr>
            </w:pPr>
            <w:r w:rsidRPr="00117BF8">
              <w:rPr>
                <w:rFonts w:ascii="Arial" w:hAnsi="Arial" w:cs="Arial"/>
                <w:sz w:val="18"/>
              </w:rPr>
              <w:t>0,26</w:t>
            </w:r>
          </w:p>
        </w:tc>
        <w:tc>
          <w:tcPr>
            <w:tcW w:w="1043" w:type="dxa"/>
            <w:tcBorders>
              <w:top w:val="nil"/>
              <w:left w:val="nil"/>
              <w:bottom w:val="nil"/>
              <w:right w:val="nil"/>
            </w:tcBorders>
            <w:shd w:val="clear" w:color="auto" w:fill="auto"/>
            <w:noWrap/>
            <w:vAlign w:val="bottom"/>
            <w:hideMark/>
          </w:tcPr>
          <w:p w14:paraId="71E4D4D7" w14:textId="77777777" w:rsidR="002F43BF" w:rsidRPr="00117BF8" w:rsidRDefault="002F43BF" w:rsidP="002F43BF">
            <w:pPr>
              <w:pStyle w:val="TablaC"/>
              <w:rPr>
                <w:rFonts w:ascii="Arial" w:hAnsi="Arial" w:cs="Arial"/>
                <w:sz w:val="18"/>
              </w:rPr>
            </w:pPr>
            <w:r w:rsidRPr="00117BF8">
              <w:rPr>
                <w:rFonts w:ascii="Arial" w:hAnsi="Arial" w:cs="Arial"/>
                <w:sz w:val="18"/>
              </w:rPr>
              <w:t>0,38</w:t>
            </w:r>
          </w:p>
        </w:tc>
        <w:tc>
          <w:tcPr>
            <w:tcW w:w="1043" w:type="dxa"/>
            <w:tcBorders>
              <w:top w:val="nil"/>
              <w:left w:val="nil"/>
              <w:bottom w:val="nil"/>
              <w:right w:val="nil"/>
            </w:tcBorders>
            <w:shd w:val="clear" w:color="auto" w:fill="auto"/>
            <w:noWrap/>
            <w:vAlign w:val="bottom"/>
            <w:hideMark/>
          </w:tcPr>
          <w:p w14:paraId="72C62D2B" w14:textId="77777777" w:rsidR="002F43BF" w:rsidRPr="00117BF8" w:rsidRDefault="002F43BF" w:rsidP="002F43BF">
            <w:pPr>
              <w:pStyle w:val="TablaC"/>
              <w:rPr>
                <w:rFonts w:ascii="Arial" w:hAnsi="Arial" w:cs="Arial"/>
                <w:sz w:val="18"/>
              </w:rPr>
            </w:pPr>
            <w:r w:rsidRPr="00117BF8">
              <w:rPr>
                <w:rFonts w:ascii="Arial" w:hAnsi="Arial" w:cs="Arial"/>
                <w:sz w:val="18"/>
              </w:rPr>
              <w:t>0,44</w:t>
            </w:r>
          </w:p>
        </w:tc>
        <w:tc>
          <w:tcPr>
            <w:tcW w:w="1043" w:type="dxa"/>
            <w:tcBorders>
              <w:top w:val="nil"/>
              <w:left w:val="nil"/>
              <w:bottom w:val="nil"/>
              <w:right w:val="nil"/>
            </w:tcBorders>
            <w:shd w:val="clear" w:color="auto" w:fill="auto"/>
            <w:noWrap/>
            <w:vAlign w:val="bottom"/>
            <w:hideMark/>
          </w:tcPr>
          <w:p w14:paraId="37BFCE92" w14:textId="77777777" w:rsidR="002F43BF" w:rsidRPr="00117BF8" w:rsidRDefault="002F43BF" w:rsidP="002F43BF">
            <w:pPr>
              <w:pStyle w:val="TablaC"/>
              <w:rPr>
                <w:rFonts w:ascii="Arial" w:hAnsi="Arial" w:cs="Arial"/>
                <w:sz w:val="18"/>
              </w:rPr>
            </w:pPr>
            <w:r w:rsidRPr="00117BF8">
              <w:rPr>
                <w:rFonts w:ascii="Arial" w:hAnsi="Arial" w:cs="Arial"/>
                <w:sz w:val="18"/>
              </w:rPr>
              <w:t>0,42</w:t>
            </w:r>
          </w:p>
        </w:tc>
        <w:tc>
          <w:tcPr>
            <w:tcW w:w="1043" w:type="dxa"/>
            <w:tcBorders>
              <w:top w:val="nil"/>
              <w:left w:val="nil"/>
              <w:bottom w:val="nil"/>
              <w:right w:val="nil"/>
            </w:tcBorders>
            <w:shd w:val="clear" w:color="auto" w:fill="auto"/>
            <w:noWrap/>
            <w:vAlign w:val="bottom"/>
            <w:hideMark/>
          </w:tcPr>
          <w:p w14:paraId="54648BEF" w14:textId="77777777" w:rsidR="002F43BF" w:rsidRPr="00117BF8" w:rsidRDefault="002F43BF" w:rsidP="002F43BF">
            <w:pPr>
              <w:pStyle w:val="TablaC"/>
              <w:rPr>
                <w:rFonts w:ascii="Arial" w:hAnsi="Arial" w:cs="Arial"/>
                <w:sz w:val="18"/>
              </w:rPr>
            </w:pPr>
            <w:r w:rsidRPr="00117BF8">
              <w:rPr>
                <w:rFonts w:ascii="Arial" w:hAnsi="Arial" w:cs="Arial"/>
                <w:sz w:val="18"/>
              </w:rPr>
              <w:t>0,39</w:t>
            </w:r>
          </w:p>
        </w:tc>
        <w:tc>
          <w:tcPr>
            <w:tcW w:w="1043" w:type="dxa"/>
            <w:tcBorders>
              <w:top w:val="nil"/>
              <w:left w:val="nil"/>
              <w:bottom w:val="nil"/>
              <w:right w:val="nil"/>
            </w:tcBorders>
            <w:shd w:val="clear" w:color="auto" w:fill="auto"/>
            <w:noWrap/>
            <w:vAlign w:val="bottom"/>
            <w:hideMark/>
          </w:tcPr>
          <w:p w14:paraId="305921F2" w14:textId="77777777" w:rsidR="002F43BF" w:rsidRPr="00117BF8" w:rsidRDefault="002F43BF" w:rsidP="002F43BF">
            <w:pPr>
              <w:pStyle w:val="TablaC"/>
              <w:rPr>
                <w:rFonts w:ascii="Arial" w:hAnsi="Arial" w:cs="Arial"/>
                <w:sz w:val="18"/>
              </w:rPr>
            </w:pPr>
            <w:r w:rsidRPr="00117BF8">
              <w:rPr>
                <w:rFonts w:ascii="Arial" w:hAnsi="Arial" w:cs="Arial"/>
                <w:sz w:val="18"/>
              </w:rPr>
              <w:t>0,37</w:t>
            </w:r>
          </w:p>
        </w:tc>
        <w:tc>
          <w:tcPr>
            <w:tcW w:w="1043" w:type="dxa"/>
            <w:tcBorders>
              <w:top w:val="nil"/>
              <w:left w:val="nil"/>
              <w:bottom w:val="nil"/>
              <w:right w:val="nil"/>
            </w:tcBorders>
            <w:shd w:val="clear" w:color="auto" w:fill="auto"/>
            <w:noWrap/>
            <w:vAlign w:val="bottom"/>
            <w:hideMark/>
          </w:tcPr>
          <w:p w14:paraId="66781DC0" w14:textId="77777777" w:rsidR="002F43BF" w:rsidRPr="00117BF8" w:rsidRDefault="002F43BF" w:rsidP="002F43BF">
            <w:pPr>
              <w:pStyle w:val="TablaC"/>
              <w:rPr>
                <w:rFonts w:ascii="Arial" w:hAnsi="Arial" w:cs="Arial"/>
                <w:sz w:val="18"/>
              </w:rPr>
            </w:pPr>
            <w:r w:rsidRPr="00117BF8">
              <w:rPr>
                <w:rFonts w:ascii="Arial" w:hAnsi="Arial" w:cs="Arial"/>
                <w:sz w:val="18"/>
              </w:rPr>
              <w:t>0,35</w:t>
            </w:r>
          </w:p>
        </w:tc>
        <w:tc>
          <w:tcPr>
            <w:tcW w:w="1043" w:type="dxa"/>
            <w:tcBorders>
              <w:top w:val="nil"/>
              <w:left w:val="nil"/>
              <w:bottom w:val="nil"/>
              <w:right w:val="nil"/>
            </w:tcBorders>
            <w:shd w:val="clear" w:color="auto" w:fill="auto"/>
            <w:noWrap/>
            <w:vAlign w:val="bottom"/>
            <w:hideMark/>
          </w:tcPr>
          <w:p w14:paraId="291A2A9D" w14:textId="77777777" w:rsidR="002F43BF" w:rsidRPr="00117BF8" w:rsidRDefault="002F43BF" w:rsidP="002F43BF">
            <w:pPr>
              <w:pStyle w:val="TablaC"/>
              <w:rPr>
                <w:rFonts w:ascii="Arial" w:hAnsi="Arial" w:cs="Arial"/>
                <w:sz w:val="18"/>
              </w:rPr>
            </w:pPr>
            <w:r w:rsidRPr="00117BF8">
              <w:rPr>
                <w:rFonts w:ascii="Arial" w:hAnsi="Arial" w:cs="Arial"/>
                <w:sz w:val="18"/>
              </w:rPr>
              <w:t>0,33</w:t>
            </w:r>
          </w:p>
        </w:tc>
      </w:tr>
      <w:tr w:rsidR="002F43BF" w:rsidRPr="004E6455" w14:paraId="588CD666" w14:textId="77777777" w:rsidTr="002F43BF">
        <w:trPr>
          <w:trHeight w:val="300"/>
        </w:trPr>
        <w:tc>
          <w:tcPr>
            <w:tcW w:w="2567" w:type="dxa"/>
            <w:tcBorders>
              <w:top w:val="nil"/>
              <w:left w:val="nil"/>
              <w:bottom w:val="nil"/>
              <w:right w:val="nil"/>
            </w:tcBorders>
            <w:shd w:val="clear" w:color="auto" w:fill="auto"/>
            <w:noWrap/>
            <w:vAlign w:val="bottom"/>
            <w:hideMark/>
          </w:tcPr>
          <w:p w14:paraId="486C117B" w14:textId="77777777" w:rsidR="002F43BF" w:rsidRPr="00117BF8" w:rsidRDefault="002F43BF" w:rsidP="002F43BF">
            <w:pPr>
              <w:pStyle w:val="TablaC"/>
              <w:jc w:val="left"/>
              <w:rPr>
                <w:rFonts w:ascii="Arial" w:hAnsi="Arial" w:cs="Arial"/>
                <w:sz w:val="18"/>
              </w:rPr>
            </w:pPr>
            <w:r w:rsidRPr="00117BF8">
              <w:rPr>
                <w:rFonts w:ascii="Arial" w:hAnsi="Arial" w:cs="Arial"/>
                <w:sz w:val="18"/>
              </w:rPr>
              <w:t>Intereses Pagados</w:t>
            </w:r>
          </w:p>
        </w:tc>
        <w:tc>
          <w:tcPr>
            <w:tcW w:w="1044" w:type="dxa"/>
            <w:tcBorders>
              <w:top w:val="nil"/>
              <w:left w:val="nil"/>
              <w:bottom w:val="nil"/>
              <w:right w:val="nil"/>
            </w:tcBorders>
            <w:shd w:val="clear" w:color="auto" w:fill="auto"/>
            <w:noWrap/>
            <w:vAlign w:val="bottom"/>
            <w:hideMark/>
          </w:tcPr>
          <w:p w14:paraId="74E77405" w14:textId="77777777" w:rsidR="002F43BF" w:rsidRPr="00117BF8" w:rsidRDefault="002F43BF" w:rsidP="002F43BF">
            <w:pPr>
              <w:pStyle w:val="TablaC"/>
              <w:rPr>
                <w:rFonts w:ascii="Arial" w:hAnsi="Arial" w:cs="Arial"/>
                <w:sz w:val="18"/>
              </w:rPr>
            </w:pPr>
            <w:r w:rsidRPr="00117BF8">
              <w:rPr>
                <w:rFonts w:ascii="Arial" w:hAnsi="Arial" w:cs="Arial"/>
                <w:sz w:val="18"/>
              </w:rPr>
              <w:t>0,02</w:t>
            </w:r>
          </w:p>
        </w:tc>
        <w:tc>
          <w:tcPr>
            <w:tcW w:w="1044" w:type="dxa"/>
            <w:tcBorders>
              <w:top w:val="nil"/>
              <w:left w:val="nil"/>
              <w:bottom w:val="nil"/>
              <w:right w:val="nil"/>
            </w:tcBorders>
            <w:shd w:val="clear" w:color="auto" w:fill="auto"/>
            <w:noWrap/>
            <w:vAlign w:val="bottom"/>
            <w:hideMark/>
          </w:tcPr>
          <w:p w14:paraId="6E5AE9F0" w14:textId="77777777" w:rsidR="002F43BF" w:rsidRPr="00117BF8" w:rsidRDefault="002F43BF" w:rsidP="002F43BF">
            <w:pPr>
              <w:pStyle w:val="TablaC"/>
              <w:rPr>
                <w:rFonts w:ascii="Arial" w:hAnsi="Arial" w:cs="Arial"/>
                <w:sz w:val="18"/>
              </w:rPr>
            </w:pPr>
            <w:r w:rsidRPr="00117BF8">
              <w:rPr>
                <w:rFonts w:ascii="Arial" w:hAnsi="Arial" w:cs="Arial"/>
                <w:sz w:val="18"/>
              </w:rPr>
              <w:t>0,09</w:t>
            </w:r>
          </w:p>
        </w:tc>
        <w:tc>
          <w:tcPr>
            <w:tcW w:w="1044" w:type="dxa"/>
            <w:tcBorders>
              <w:top w:val="nil"/>
              <w:left w:val="nil"/>
              <w:bottom w:val="nil"/>
              <w:right w:val="nil"/>
            </w:tcBorders>
            <w:shd w:val="clear" w:color="auto" w:fill="auto"/>
            <w:noWrap/>
            <w:vAlign w:val="bottom"/>
            <w:hideMark/>
          </w:tcPr>
          <w:p w14:paraId="30CD7B6C" w14:textId="77777777" w:rsidR="002F43BF" w:rsidRPr="00117BF8" w:rsidRDefault="002F43BF" w:rsidP="002F43BF">
            <w:pPr>
              <w:pStyle w:val="TablaC"/>
              <w:rPr>
                <w:rFonts w:ascii="Arial" w:hAnsi="Arial" w:cs="Arial"/>
                <w:sz w:val="18"/>
              </w:rPr>
            </w:pPr>
            <w:r w:rsidRPr="00117BF8">
              <w:rPr>
                <w:rFonts w:ascii="Arial" w:hAnsi="Arial" w:cs="Arial"/>
                <w:sz w:val="18"/>
              </w:rPr>
              <w:t>0,17</w:t>
            </w:r>
          </w:p>
        </w:tc>
        <w:tc>
          <w:tcPr>
            <w:tcW w:w="1043" w:type="dxa"/>
            <w:tcBorders>
              <w:top w:val="nil"/>
              <w:left w:val="nil"/>
              <w:bottom w:val="nil"/>
              <w:right w:val="nil"/>
            </w:tcBorders>
            <w:shd w:val="clear" w:color="auto" w:fill="auto"/>
            <w:noWrap/>
            <w:vAlign w:val="bottom"/>
            <w:hideMark/>
          </w:tcPr>
          <w:p w14:paraId="5604B2FA" w14:textId="77777777" w:rsidR="002F43BF" w:rsidRPr="00117BF8" w:rsidRDefault="002F43BF" w:rsidP="002F43BF">
            <w:pPr>
              <w:pStyle w:val="TablaC"/>
              <w:rPr>
                <w:rFonts w:ascii="Arial" w:hAnsi="Arial" w:cs="Arial"/>
                <w:sz w:val="18"/>
              </w:rPr>
            </w:pPr>
            <w:r w:rsidRPr="00117BF8">
              <w:rPr>
                <w:rFonts w:ascii="Arial" w:hAnsi="Arial" w:cs="Arial"/>
                <w:sz w:val="18"/>
              </w:rPr>
              <w:t>0,26</w:t>
            </w:r>
          </w:p>
        </w:tc>
        <w:tc>
          <w:tcPr>
            <w:tcW w:w="1043" w:type="dxa"/>
            <w:tcBorders>
              <w:top w:val="nil"/>
              <w:left w:val="nil"/>
              <w:bottom w:val="nil"/>
              <w:right w:val="nil"/>
            </w:tcBorders>
            <w:shd w:val="clear" w:color="auto" w:fill="auto"/>
            <w:noWrap/>
            <w:vAlign w:val="bottom"/>
            <w:hideMark/>
          </w:tcPr>
          <w:p w14:paraId="0D530B5F" w14:textId="77777777" w:rsidR="002F43BF" w:rsidRPr="00117BF8" w:rsidRDefault="002F43BF" w:rsidP="002F43BF">
            <w:pPr>
              <w:pStyle w:val="TablaC"/>
              <w:rPr>
                <w:rFonts w:ascii="Arial" w:hAnsi="Arial" w:cs="Arial"/>
                <w:sz w:val="18"/>
              </w:rPr>
            </w:pPr>
            <w:r w:rsidRPr="00117BF8">
              <w:rPr>
                <w:rFonts w:ascii="Arial" w:hAnsi="Arial" w:cs="Arial"/>
                <w:sz w:val="18"/>
              </w:rPr>
              <w:t>0,38</w:t>
            </w:r>
          </w:p>
        </w:tc>
        <w:tc>
          <w:tcPr>
            <w:tcW w:w="1043" w:type="dxa"/>
            <w:tcBorders>
              <w:top w:val="nil"/>
              <w:left w:val="nil"/>
              <w:bottom w:val="nil"/>
              <w:right w:val="nil"/>
            </w:tcBorders>
            <w:shd w:val="clear" w:color="auto" w:fill="auto"/>
            <w:noWrap/>
            <w:vAlign w:val="bottom"/>
            <w:hideMark/>
          </w:tcPr>
          <w:p w14:paraId="45E7FA3A" w14:textId="77777777" w:rsidR="002F43BF" w:rsidRPr="00117BF8" w:rsidRDefault="002F43BF" w:rsidP="002F43BF">
            <w:pPr>
              <w:pStyle w:val="TablaC"/>
              <w:rPr>
                <w:rFonts w:ascii="Arial" w:hAnsi="Arial" w:cs="Arial"/>
                <w:sz w:val="18"/>
              </w:rPr>
            </w:pPr>
            <w:r w:rsidRPr="00117BF8">
              <w:rPr>
                <w:rFonts w:ascii="Arial" w:hAnsi="Arial" w:cs="Arial"/>
                <w:sz w:val="18"/>
              </w:rPr>
              <w:t>0,44</w:t>
            </w:r>
          </w:p>
        </w:tc>
        <w:tc>
          <w:tcPr>
            <w:tcW w:w="1043" w:type="dxa"/>
            <w:tcBorders>
              <w:top w:val="nil"/>
              <w:left w:val="nil"/>
              <w:bottom w:val="nil"/>
              <w:right w:val="nil"/>
            </w:tcBorders>
            <w:shd w:val="clear" w:color="auto" w:fill="auto"/>
            <w:noWrap/>
            <w:vAlign w:val="bottom"/>
            <w:hideMark/>
          </w:tcPr>
          <w:p w14:paraId="6F775E2E" w14:textId="77777777" w:rsidR="002F43BF" w:rsidRPr="00117BF8" w:rsidRDefault="002F43BF" w:rsidP="002F43BF">
            <w:pPr>
              <w:pStyle w:val="TablaC"/>
              <w:rPr>
                <w:rFonts w:ascii="Arial" w:hAnsi="Arial" w:cs="Arial"/>
                <w:sz w:val="18"/>
              </w:rPr>
            </w:pPr>
            <w:r w:rsidRPr="00117BF8">
              <w:rPr>
                <w:rFonts w:ascii="Arial" w:hAnsi="Arial" w:cs="Arial"/>
                <w:sz w:val="18"/>
              </w:rPr>
              <w:t>0,42</w:t>
            </w:r>
          </w:p>
        </w:tc>
        <w:tc>
          <w:tcPr>
            <w:tcW w:w="1043" w:type="dxa"/>
            <w:tcBorders>
              <w:top w:val="nil"/>
              <w:left w:val="nil"/>
              <w:bottom w:val="nil"/>
              <w:right w:val="nil"/>
            </w:tcBorders>
            <w:shd w:val="clear" w:color="auto" w:fill="auto"/>
            <w:noWrap/>
            <w:vAlign w:val="bottom"/>
            <w:hideMark/>
          </w:tcPr>
          <w:p w14:paraId="5165061E" w14:textId="77777777" w:rsidR="002F43BF" w:rsidRPr="00117BF8" w:rsidRDefault="002F43BF" w:rsidP="002F43BF">
            <w:pPr>
              <w:pStyle w:val="TablaC"/>
              <w:rPr>
                <w:rFonts w:ascii="Arial" w:hAnsi="Arial" w:cs="Arial"/>
                <w:sz w:val="18"/>
              </w:rPr>
            </w:pPr>
            <w:r w:rsidRPr="00117BF8">
              <w:rPr>
                <w:rFonts w:ascii="Arial" w:hAnsi="Arial" w:cs="Arial"/>
                <w:sz w:val="18"/>
              </w:rPr>
              <w:t>0,39</w:t>
            </w:r>
          </w:p>
        </w:tc>
        <w:tc>
          <w:tcPr>
            <w:tcW w:w="1043" w:type="dxa"/>
            <w:tcBorders>
              <w:top w:val="nil"/>
              <w:left w:val="nil"/>
              <w:bottom w:val="nil"/>
              <w:right w:val="nil"/>
            </w:tcBorders>
            <w:shd w:val="clear" w:color="auto" w:fill="auto"/>
            <w:noWrap/>
            <w:vAlign w:val="bottom"/>
            <w:hideMark/>
          </w:tcPr>
          <w:p w14:paraId="2BA88D08" w14:textId="77777777" w:rsidR="002F43BF" w:rsidRPr="00117BF8" w:rsidRDefault="002F43BF" w:rsidP="002F43BF">
            <w:pPr>
              <w:pStyle w:val="TablaC"/>
              <w:rPr>
                <w:rFonts w:ascii="Arial" w:hAnsi="Arial" w:cs="Arial"/>
                <w:sz w:val="18"/>
              </w:rPr>
            </w:pPr>
            <w:r w:rsidRPr="00117BF8">
              <w:rPr>
                <w:rFonts w:ascii="Arial" w:hAnsi="Arial" w:cs="Arial"/>
                <w:sz w:val="18"/>
              </w:rPr>
              <w:t>0,37</w:t>
            </w:r>
          </w:p>
        </w:tc>
        <w:tc>
          <w:tcPr>
            <w:tcW w:w="1043" w:type="dxa"/>
            <w:tcBorders>
              <w:top w:val="nil"/>
              <w:left w:val="nil"/>
              <w:bottom w:val="nil"/>
              <w:right w:val="nil"/>
            </w:tcBorders>
            <w:shd w:val="clear" w:color="auto" w:fill="auto"/>
            <w:noWrap/>
            <w:vAlign w:val="bottom"/>
            <w:hideMark/>
          </w:tcPr>
          <w:p w14:paraId="7C374777" w14:textId="77777777" w:rsidR="002F43BF" w:rsidRPr="00117BF8" w:rsidRDefault="002F43BF" w:rsidP="002F43BF">
            <w:pPr>
              <w:pStyle w:val="TablaC"/>
              <w:rPr>
                <w:rFonts w:ascii="Arial" w:hAnsi="Arial" w:cs="Arial"/>
                <w:sz w:val="18"/>
              </w:rPr>
            </w:pPr>
            <w:r w:rsidRPr="00117BF8">
              <w:rPr>
                <w:rFonts w:ascii="Arial" w:hAnsi="Arial" w:cs="Arial"/>
                <w:sz w:val="18"/>
              </w:rPr>
              <w:t>0,35</w:t>
            </w:r>
          </w:p>
        </w:tc>
        <w:tc>
          <w:tcPr>
            <w:tcW w:w="1043" w:type="dxa"/>
            <w:tcBorders>
              <w:top w:val="nil"/>
              <w:left w:val="nil"/>
              <w:bottom w:val="nil"/>
              <w:right w:val="nil"/>
            </w:tcBorders>
            <w:shd w:val="clear" w:color="auto" w:fill="auto"/>
            <w:noWrap/>
            <w:vAlign w:val="bottom"/>
            <w:hideMark/>
          </w:tcPr>
          <w:p w14:paraId="6FBD9F15" w14:textId="77777777" w:rsidR="002F43BF" w:rsidRPr="00117BF8" w:rsidRDefault="002F43BF" w:rsidP="002F43BF">
            <w:pPr>
              <w:pStyle w:val="TablaC"/>
              <w:rPr>
                <w:rFonts w:ascii="Arial" w:hAnsi="Arial" w:cs="Arial"/>
                <w:sz w:val="18"/>
              </w:rPr>
            </w:pPr>
            <w:r w:rsidRPr="00117BF8">
              <w:rPr>
                <w:rFonts w:ascii="Arial" w:hAnsi="Arial" w:cs="Arial"/>
                <w:sz w:val="18"/>
              </w:rPr>
              <w:t>0,33</w:t>
            </w:r>
          </w:p>
        </w:tc>
      </w:tr>
      <w:tr w:rsidR="002F43BF" w:rsidRPr="004E6455" w14:paraId="2EBB92DE" w14:textId="77777777" w:rsidTr="002F43BF">
        <w:trPr>
          <w:trHeight w:val="300"/>
        </w:trPr>
        <w:tc>
          <w:tcPr>
            <w:tcW w:w="2567" w:type="dxa"/>
            <w:tcBorders>
              <w:top w:val="nil"/>
              <w:left w:val="nil"/>
              <w:bottom w:val="nil"/>
              <w:right w:val="nil"/>
            </w:tcBorders>
            <w:shd w:val="clear" w:color="auto" w:fill="auto"/>
            <w:noWrap/>
            <w:vAlign w:val="bottom"/>
            <w:hideMark/>
          </w:tcPr>
          <w:p w14:paraId="2E09E4F1" w14:textId="77777777" w:rsidR="002F43BF" w:rsidRPr="00117BF8" w:rsidRDefault="002F43BF" w:rsidP="000D4582">
            <w:pPr>
              <w:pStyle w:val="TablaC"/>
              <w:jc w:val="left"/>
              <w:rPr>
                <w:rFonts w:ascii="Arial" w:hAnsi="Arial" w:cs="Arial"/>
                <w:sz w:val="18"/>
              </w:rPr>
            </w:pPr>
            <w:r w:rsidRPr="00117BF8">
              <w:rPr>
                <w:rFonts w:ascii="Arial" w:hAnsi="Arial" w:cs="Arial"/>
                <w:sz w:val="18"/>
              </w:rPr>
              <w:t>Comisión</w:t>
            </w:r>
          </w:p>
        </w:tc>
        <w:tc>
          <w:tcPr>
            <w:tcW w:w="1044" w:type="dxa"/>
            <w:tcBorders>
              <w:top w:val="nil"/>
              <w:left w:val="nil"/>
              <w:bottom w:val="nil"/>
              <w:right w:val="nil"/>
            </w:tcBorders>
            <w:shd w:val="clear" w:color="auto" w:fill="auto"/>
            <w:noWrap/>
            <w:vAlign w:val="bottom"/>
            <w:hideMark/>
          </w:tcPr>
          <w:p w14:paraId="4CA0BBE1" w14:textId="77777777" w:rsidR="002F43BF" w:rsidRPr="00117BF8" w:rsidRDefault="002F43BF" w:rsidP="002F43BF">
            <w:pPr>
              <w:pStyle w:val="TablaC"/>
              <w:rPr>
                <w:rFonts w:ascii="Arial" w:hAnsi="Arial" w:cs="Arial"/>
                <w:sz w:val="18"/>
              </w:rPr>
            </w:pPr>
            <w:r w:rsidRPr="00117BF8">
              <w:rPr>
                <w:rFonts w:ascii="Arial" w:hAnsi="Arial" w:cs="Arial"/>
                <w:sz w:val="18"/>
              </w:rPr>
              <w:t>0,10</w:t>
            </w:r>
          </w:p>
        </w:tc>
        <w:tc>
          <w:tcPr>
            <w:tcW w:w="1044" w:type="dxa"/>
            <w:tcBorders>
              <w:top w:val="nil"/>
              <w:left w:val="nil"/>
              <w:bottom w:val="nil"/>
              <w:right w:val="nil"/>
            </w:tcBorders>
            <w:shd w:val="clear" w:color="auto" w:fill="auto"/>
            <w:noWrap/>
            <w:vAlign w:val="bottom"/>
            <w:hideMark/>
          </w:tcPr>
          <w:p w14:paraId="4D5487C5" w14:textId="77777777" w:rsidR="002F43BF" w:rsidRPr="00117BF8" w:rsidRDefault="002F43BF" w:rsidP="002F43BF">
            <w:pPr>
              <w:pStyle w:val="TablaC"/>
              <w:rPr>
                <w:rFonts w:ascii="Arial" w:hAnsi="Arial" w:cs="Arial"/>
                <w:sz w:val="18"/>
              </w:rPr>
            </w:pPr>
            <w:r w:rsidRPr="00117BF8">
              <w:rPr>
                <w:rFonts w:ascii="Arial" w:hAnsi="Arial" w:cs="Arial"/>
                <w:sz w:val="18"/>
              </w:rPr>
              <w:t>0,08</w:t>
            </w:r>
          </w:p>
        </w:tc>
        <w:tc>
          <w:tcPr>
            <w:tcW w:w="1044" w:type="dxa"/>
            <w:tcBorders>
              <w:top w:val="nil"/>
              <w:left w:val="nil"/>
              <w:bottom w:val="nil"/>
              <w:right w:val="nil"/>
            </w:tcBorders>
            <w:shd w:val="clear" w:color="auto" w:fill="auto"/>
            <w:noWrap/>
            <w:vAlign w:val="bottom"/>
            <w:hideMark/>
          </w:tcPr>
          <w:p w14:paraId="3EE97306" w14:textId="77777777" w:rsidR="002F43BF" w:rsidRPr="00117BF8" w:rsidRDefault="002F43BF" w:rsidP="002F43BF">
            <w:pPr>
              <w:pStyle w:val="TablaC"/>
              <w:rPr>
                <w:rFonts w:ascii="Arial" w:hAnsi="Arial" w:cs="Arial"/>
                <w:sz w:val="18"/>
              </w:rPr>
            </w:pPr>
            <w:r w:rsidRPr="00117BF8">
              <w:rPr>
                <w:rFonts w:ascii="Arial" w:hAnsi="Arial" w:cs="Arial"/>
                <w:sz w:val="18"/>
              </w:rPr>
              <w:t>0,06</w:t>
            </w:r>
          </w:p>
        </w:tc>
        <w:tc>
          <w:tcPr>
            <w:tcW w:w="1043" w:type="dxa"/>
            <w:tcBorders>
              <w:top w:val="nil"/>
              <w:left w:val="nil"/>
              <w:bottom w:val="nil"/>
              <w:right w:val="nil"/>
            </w:tcBorders>
            <w:shd w:val="clear" w:color="auto" w:fill="auto"/>
            <w:noWrap/>
            <w:vAlign w:val="bottom"/>
            <w:hideMark/>
          </w:tcPr>
          <w:p w14:paraId="1CEE7A95" w14:textId="77777777" w:rsidR="002F43BF" w:rsidRPr="00117BF8" w:rsidRDefault="002F43BF" w:rsidP="002F43BF">
            <w:pPr>
              <w:pStyle w:val="TablaC"/>
              <w:rPr>
                <w:rFonts w:ascii="Arial" w:hAnsi="Arial" w:cs="Arial"/>
                <w:sz w:val="18"/>
              </w:rPr>
            </w:pPr>
            <w:r w:rsidRPr="00117BF8">
              <w:rPr>
                <w:rFonts w:ascii="Arial" w:hAnsi="Arial" w:cs="Arial"/>
                <w:sz w:val="18"/>
              </w:rPr>
              <w:t>0,04</w:t>
            </w:r>
          </w:p>
        </w:tc>
        <w:tc>
          <w:tcPr>
            <w:tcW w:w="1043" w:type="dxa"/>
            <w:tcBorders>
              <w:top w:val="nil"/>
              <w:left w:val="nil"/>
              <w:bottom w:val="nil"/>
              <w:right w:val="nil"/>
            </w:tcBorders>
            <w:shd w:val="clear" w:color="auto" w:fill="auto"/>
            <w:noWrap/>
            <w:vAlign w:val="bottom"/>
            <w:hideMark/>
          </w:tcPr>
          <w:p w14:paraId="03E171F6" w14:textId="77777777" w:rsidR="002F43BF" w:rsidRPr="00117BF8" w:rsidRDefault="002F43BF" w:rsidP="002F43BF">
            <w:pPr>
              <w:pStyle w:val="TablaC"/>
              <w:rPr>
                <w:rFonts w:ascii="Arial" w:hAnsi="Arial" w:cs="Arial"/>
                <w:sz w:val="18"/>
              </w:rPr>
            </w:pPr>
            <w:r w:rsidRPr="00117BF8">
              <w:rPr>
                <w:rFonts w:ascii="Arial" w:hAnsi="Arial" w:cs="Arial"/>
                <w:sz w:val="18"/>
              </w:rPr>
              <w:t>0,02</w:t>
            </w:r>
          </w:p>
        </w:tc>
        <w:tc>
          <w:tcPr>
            <w:tcW w:w="1043" w:type="dxa"/>
            <w:tcBorders>
              <w:top w:val="nil"/>
              <w:left w:val="nil"/>
              <w:bottom w:val="nil"/>
              <w:right w:val="nil"/>
            </w:tcBorders>
            <w:shd w:val="clear" w:color="auto" w:fill="auto"/>
            <w:noWrap/>
            <w:vAlign w:val="bottom"/>
            <w:hideMark/>
          </w:tcPr>
          <w:p w14:paraId="7ADD96F2"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21F4C50A"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4637E5AD"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6972FDE7"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7B8381DF"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7F1A4AFC"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r>
      <w:tr w:rsidR="002F43BF" w:rsidRPr="004E6455" w14:paraId="389C03D2" w14:textId="77777777" w:rsidTr="002F43BF">
        <w:trPr>
          <w:trHeight w:val="300"/>
        </w:trPr>
        <w:tc>
          <w:tcPr>
            <w:tcW w:w="2567" w:type="dxa"/>
            <w:tcBorders>
              <w:top w:val="nil"/>
              <w:left w:val="nil"/>
              <w:bottom w:val="nil"/>
              <w:right w:val="nil"/>
            </w:tcBorders>
            <w:shd w:val="clear" w:color="auto" w:fill="auto"/>
            <w:noWrap/>
            <w:vAlign w:val="bottom"/>
            <w:hideMark/>
          </w:tcPr>
          <w:p w14:paraId="6CFE2916" w14:textId="77777777" w:rsidR="002F43BF" w:rsidRPr="00117BF8" w:rsidRDefault="002F43BF" w:rsidP="002F43BF">
            <w:pPr>
              <w:pStyle w:val="TablaC"/>
              <w:jc w:val="left"/>
              <w:rPr>
                <w:rFonts w:ascii="Arial" w:hAnsi="Arial" w:cs="Arial"/>
                <w:sz w:val="18"/>
              </w:rPr>
            </w:pPr>
            <w:r w:rsidRPr="00117BF8">
              <w:rPr>
                <w:rFonts w:ascii="Arial" w:hAnsi="Arial" w:cs="Arial"/>
                <w:sz w:val="18"/>
              </w:rPr>
              <w:t>Mantenimiento</w:t>
            </w:r>
          </w:p>
        </w:tc>
        <w:tc>
          <w:tcPr>
            <w:tcW w:w="1044" w:type="dxa"/>
            <w:tcBorders>
              <w:top w:val="nil"/>
              <w:left w:val="nil"/>
              <w:bottom w:val="nil"/>
              <w:right w:val="nil"/>
            </w:tcBorders>
            <w:shd w:val="clear" w:color="auto" w:fill="auto"/>
            <w:noWrap/>
            <w:vAlign w:val="bottom"/>
            <w:hideMark/>
          </w:tcPr>
          <w:p w14:paraId="6D7B140C" w14:textId="77777777" w:rsidR="002F43BF" w:rsidRPr="00117BF8" w:rsidRDefault="002F43BF" w:rsidP="002F43BF">
            <w:pPr>
              <w:pStyle w:val="TablaC"/>
              <w:rPr>
                <w:rFonts w:ascii="Arial" w:hAnsi="Arial" w:cs="Arial"/>
                <w:sz w:val="18"/>
              </w:rPr>
            </w:pPr>
            <w:r w:rsidRPr="00117BF8">
              <w:rPr>
                <w:rFonts w:ascii="Arial" w:hAnsi="Arial" w:cs="Arial"/>
                <w:sz w:val="18"/>
              </w:rPr>
              <w:t> </w:t>
            </w:r>
          </w:p>
        </w:tc>
        <w:tc>
          <w:tcPr>
            <w:tcW w:w="1044" w:type="dxa"/>
            <w:tcBorders>
              <w:top w:val="nil"/>
              <w:left w:val="nil"/>
              <w:bottom w:val="nil"/>
              <w:right w:val="nil"/>
            </w:tcBorders>
            <w:shd w:val="clear" w:color="auto" w:fill="auto"/>
            <w:noWrap/>
            <w:vAlign w:val="bottom"/>
            <w:hideMark/>
          </w:tcPr>
          <w:p w14:paraId="25BCEF4C"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5C34EF7B"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5D4165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46A5E46"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FAF8CB4"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CB5B718"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23E0E88"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1C01FCA"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29084E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2D47DAA7" w14:textId="77777777" w:rsidR="002F43BF" w:rsidRPr="00117BF8" w:rsidRDefault="002F43BF" w:rsidP="002F43BF">
            <w:pPr>
              <w:pStyle w:val="TablaC"/>
              <w:rPr>
                <w:rFonts w:ascii="Arial" w:hAnsi="Arial" w:cs="Arial"/>
                <w:sz w:val="18"/>
              </w:rPr>
            </w:pPr>
          </w:p>
        </w:tc>
      </w:tr>
      <w:tr w:rsidR="002F43BF" w:rsidRPr="004E6455" w14:paraId="0B1EBB38" w14:textId="77777777" w:rsidTr="002F43BF">
        <w:trPr>
          <w:trHeight w:val="300"/>
        </w:trPr>
        <w:tc>
          <w:tcPr>
            <w:tcW w:w="2567" w:type="dxa"/>
            <w:tcBorders>
              <w:top w:val="nil"/>
              <w:left w:val="nil"/>
              <w:bottom w:val="nil"/>
              <w:right w:val="nil"/>
            </w:tcBorders>
            <w:shd w:val="clear" w:color="auto" w:fill="auto"/>
            <w:noWrap/>
            <w:vAlign w:val="bottom"/>
            <w:hideMark/>
          </w:tcPr>
          <w:p w14:paraId="544B703F" w14:textId="77777777" w:rsidR="002F43BF" w:rsidRPr="00117BF8" w:rsidRDefault="002F43BF" w:rsidP="000D4582">
            <w:pPr>
              <w:pStyle w:val="TablaC"/>
              <w:keepNext w:val="0"/>
              <w:jc w:val="left"/>
              <w:rPr>
                <w:rFonts w:ascii="Arial" w:hAnsi="Arial" w:cs="Arial"/>
                <w:sz w:val="18"/>
              </w:rPr>
            </w:pPr>
          </w:p>
        </w:tc>
        <w:tc>
          <w:tcPr>
            <w:tcW w:w="1044" w:type="dxa"/>
            <w:tcBorders>
              <w:top w:val="nil"/>
              <w:left w:val="nil"/>
              <w:bottom w:val="nil"/>
              <w:right w:val="nil"/>
            </w:tcBorders>
            <w:shd w:val="clear" w:color="auto" w:fill="auto"/>
            <w:noWrap/>
            <w:vAlign w:val="bottom"/>
            <w:hideMark/>
          </w:tcPr>
          <w:p w14:paraId="6D1DFC5F" w14:textId="77777777" w:rsidR="002F43BF" w:rsidRPr="00117BF8" w:rsidRDefault="002F43BF" w:rsidP="000D4582">
            <w:pPr>
              <w:pStyle w:val="TablaC"/>
              <w:keepNext w:val="0"/>
              <w:rPr>
                <w:rFonts w:ascii="Arial" w:hAnsi="Arial" w:cs="Arial"/>
                <w:sz w:val="18"/>
              </w:rPr>
            </w:pPr>
          </w:p>
        </w:tc>
        <w:tc>
          <w:tcPr>
            <w:tcW w:w="1044" w:type="dxa"/>
            <w:tcBorders>
              <w:top w:val="nil"/>
              <w:left w:val="nil"/>
              <w:bottom w:val="nil"/>
              <w:right w:val="nil"/>
            </w:tcBorders>
            <w:shd w:val="clear" w:color="auto" w:fill="auto"/>
            <w:noWrap/>
            <w:vAlign w:val="bottom"/>
            <w:hideMark/>
          </w:tcPr>
          <w:p w14:paraId="3267C066" w14:textId="77777777" w:rsidR="002F43BF" w:rsidRPr="00117BF8" w:rsidRDefault="002F43BF" w:rsidP="000D4582">
            <w:pPr>
              <w:pStyle w:val="TablaC"/>
              <w:keepNext w:val="0"/>
              <w:rPr>
                <w:rFonts w:ascii="Arial" w:hAnsi="Arial" w:cs="Arial"/>
                <w:sz w:val="18"/>
              </w:rPr>
            </w:pPr>
          </w:p>
        </w:tc>
        <w:tc>
          <w:tcPr>
            <w:tcW w:w="1044" w:type="dxa"/>
            <w:tcBorders>
              <w:top w:val="nil"/>
              <w:left w:val="nil"/>
              <w:bottom w:val="nil"/>
              <w:right w:val="nil"/>
            </w:tcBorders>
            <w:shd w:val="clear" w:color="auto" w:fill="auto"/>
            <w:noWrap/>
            <w:vAlign w:val="bottom"/>
            <w:hideMark/>
          </w:tcPr>
          <w:p w14:paraId="514CD482"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0B8155B3"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7BC158AA"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43736B24"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3DE227CF"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281E00F9"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221822F5"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1301C3F5"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45C75543" w14:textId="77777777" w:rsidR="002F43BF" w:rsidRPr="00117BF8" w:rsidRDefault="002F43BF" w:rsidP="000D4582">
            <w:pPr>
              <w:pStyle w:val="TablaC"/>
              <w:keepNext w:val="0"/>
              <w:rPr>
                <w:rFonts w:ascii="Arial" w:hAnsi="Arial" w:cs="Arial"/>
                <w:sz w:val="18"/>
              </w:rPr>
            </w:pPr>
          </w:p>
        </w:tc>
      </w:tr>
      <w:tr w:rsidR="002F43BF" w:rsidRPr="004E6455" w14:paraId="121A4BE6" w14:textId="77777777" w:rsidTr="002F43BF">
        <w:trPr>
          <w:trHeight w:val="300"/>
        </w:trPr>
        <w:tc>
          <w:tcPr>
            <w:tcW w:w="2567" w:type="dxa"/>
            <w:tcBorders>
              <w:top w:val="nil"/>
              <w:left w:val="nil"/>
              <w:bottom w:val="nil"/>
              <w:right w:val="nil"/>
            </w:tcBorders>
            <w:shd w:val="clear" w:color="auto" w:fill="auto"/>
            <w:noWrap/>
            <w:vAlign w:val="bottom"/>
            <w:hideMark/>
          </w:tcPr>
          <w:p w14:paraId="3500F896" w14:textId="77777777" w:rsidR="002F43BF" w:rsidRPr="00117BF8" w:rsidRDefault="002F43BF" w:rsidP="002F43BF">
            <w:pPr>
              <w:pStyle w:val="TablaC"/>
              <w:jc w:val="left"/>
              <w:rPr>
                <w:rFonts w:ascii="Arial" w:hAnsi="Arial" w:cs="Arial"/>
                <w:sz w:val="18"/>
              </w:rPr>
            </w:pPr>
            <w:r w:rsidRPr="00117BF8">
              <w:rPr>
                <w:rFonts w:ascii="Arial" w:hAnsi="Arial" w:cs="Arial"/>
                <w:sz w:val="18"/>
              </w:rPr>
              <w:t>ARL 1273</w:t>
            </w:r>
          </w:p>
        </w:tc>
        <w:tc>
          <w:tcPr>
            <w:tcW w:w="1044" w:type="dxa"/>
            <w:tcBorders>
              <w:top w:val="nil"/>
              <w:left w:val="nil"/>
              <w:bottom w:val="nil"/>
              <w:right w:val="nil"/>
            </w:tcBorders>
            <w:shd w:val="clear" w:color="auto" w:fill="auto"/>
            <w:noWrap/>
            <w:vAlign w:val="bottom"/>
            <w:hideMark/>
          </w:tcPr>
          <w:p w14:paraId="014D5089"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0E175A89"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30F8E72E"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7C9918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AE11157"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7633396"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3BEDA6F"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BCE9F1B"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0BA8CEC"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FBD29D3"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46FA79AA" w14:textId="77777777" w:rsidR="002F43BF" w:rsidRPr="00117BF8" w:rsidRDefault="002F43BF" w:rsidP="002F43BF">
            <w:pPr>
              <w:pStyle w:val="TablaC"/>
              <w:rPr>
                <w:rFonts w:ascii="Arial" w:hAnsi="Arial" w:cs="Arial"/>
                <w:sz w:val="18"/>
              </w:rPr>
            </w:pPr>
          </w:p>
        </w:tc>
      </w:tr>
      <w:tr w:rsidR="002F43BF" w:rsidRPr="004E6455" w14:paraId="4743FFAB" w14:textId="77777777" w:rsidTr="002F43BF">
        <w:trPr>
          <w:trHeight w:val="300"/>
        </w:trPr>
        <w:tc>
          <w:tcPr>
            <w:tcW w:w="2567" w:type="dxa"/>
            <w:tcBorders>
              <w:top w:val="nil"/>
              <w:left w:val="nil"/>
              <w:bottom w:val="nil"/>
              <w:right w:val="nil"/>
            </w:tcBorders>
            <w:shd w:val="clear" w:color="auto" w:fill="auto"/>
            <w:noWrap/>
            <w:vAlign w:val="bottom"/>
            <w:hideMark/>
          </w:tcPr>
          <w:p w14:paraId="15DE6191" w14:textId="77777777" w:rsidR="002F43BF" w:rsidRPr="00117BF8" w:rsidRDefault="002F43BF" w:rsidP="002F43BF">
            <w:pPr>
              <w:pStyle w:val="TablaC"/>
              <w:jc w:val="left"/>
              <w:rPr>
                <w:rFonts w:ascii="Arial" w:hAnsi="Arial" w:cs="Arial"/>
                <w:sz w:val="18"/>
              </w:rPr>
            </w:pPr>
            <w:r w:rsidRPr="00117BF8">
              <w:rPr>
                <w:rFonts w:ascii="Arial" w:hAnsi="Arial" w:cs="Arial"/>
                <w:sz w:val="18"/>
              </w:rPr>
              <w:t>Desembolso</w:t>
            </w:r>
          </w:p>
        </w:tc>
        <w:tc>
          <w:tcPr>
            <w:tcW w:w="1044" w:type="dxa"/>
            <w:tcBorders>
              <w:top w:val="nil"/>
              <w:left w:val="nil"/>
              <w:bottom w:val="nil"/>
              <w:right w:val="nil"/>
            </w:tcBorders>
            <w:shd w:val="clear" w:color="auto" w:fill="auto"/>
            <w:noWrap/>
            <w:vAlign w:val="bottom"/>
            <w:hideMark/>
          </w:tcPr>
          <w:p w14:paraId="0F51B532" w14:textId="77777777" w:rsidR="002F43BF" w:rsidRPr="00117BF8" w:rsidRDefault="002F43BF" w:rsidP="002F43BF">
            <w:pPr>
              <w:pStyle w:val="TablaC"/>
              <w:rPr>
                <w:rFonts w:ascii="Arial" w:hAnsi="Arial" w:cs="Arial"/>
                <w:sz w:val="18"/>
              </w:rPr>
            </w:pPr>
            <w:r w:rsidRPr="00117BF8">
              <w:rPr>
                <w:rFonts w:ascii="Arial" w:hAnsi="Arial" w:cs="Arial"/>
                <w:sz w:val="18"/>
              </w:rPr>
              <w:t>10,05</w:t>
            </w:r>
          </w:p>
        </w:tc>
        <w:tc>
          <w:tcPr>
            <w:tcW w:w="1044" w:type="dxa"/>
            <w:tcBorders>
              <w:top w:val="nil"/>
              <w:left w:val="nil"/>
              <w:bottom w:val="nil"/>
              <w:right w:val="nil"/>
            </w:tcBorders>
            <w:shd w:val="clear" w:color="auto" w:fill="auto"/>
            <w:noWrap/>
            <w:vAlign w:val="bottom"/>
            <w:hideMark/>
          </w:tcPr>
          <w:p w14:paraId="4CA0F782" w14:textId="77777777" w:rsidR="002F43BF" w:rsidRPr="00117BF8" w:rsidRDefault="002F43BF" w:rsidP="002F43BF">
            <w:pPr>
              <w:pStyle w:val="TablaC"/>
              <w:rPr>
                <w:rFonts w:ascii="Arial" w:hAnsi="Arial" w:cs="Arial"/>
                <w:sz w:val="18"/>
              </w:rPr>
            </w:pPr>
            <w:r w:rsidRPr="00117BF8">
              <w:rPr>
                <w:rFonts w:ascii="Arial" w:hAnsi="Arial" w:cs="Arial"/>
                <w:sz w:val="18"/>
              </w:rPr>
              <w:t>41,71</w:t>
            </w:r>
          </w:p>
        </w:tc>
        <w:tc>
          <w:tcPr>
            <w:tcW w:w="1044" w:type="dxa"/>
            <w:tcBorders>
              <w:top w:val="nil"/>
              <w:left w:val="nil"/>
              <w:bottom w:val="nil"/>
              <w:right w:val="nil"/>
            </w:tcBorders>
            <w:shd w:val="clear" w:color="auto" w:fill="auto"/>
            <w:noWrap/>
            <w:vAlign w:val="bottom"/>
            <w:hideMark/>
          </w:tcPr>
          <w:p w14:paraId="564426D8" w14:textId="77777777" w:rsidR="002F43BF" w:rsidRPr="00117BF8" w:rsidRDefault="002F43BF" w:rsidP="002F43BF">
            <w:pPr>
              <w:pStyle w:val="TablaC"/>
              <w:rPr>
                <w:rFonts w:ascii="Arial" w:hAnsi="Arial" w:cs="Arial"/>
                <w:sz w:val="18"/>
              </w:rPr>
            </w:pPr>
            <w:r w:rsidRPr="00117BF8">
              <w:rPr>
                <w:rFonts w:ascii="Arial" w:hAnsi="Arial" w:cs="Arial"/>
                <w:sz w:val="18"/>
              </w:rPr>
              <w:t>53,41</w:t>
            </w:r>
          </w:p>
        </w:tc>
        <w:tc>
          <w:tcPr>
            <w:tcW w:w="1043" w:type="dxa"/>
            <w:tcBorders>
              <w:top w:val="nil"/>
              <w:left w:val="nil"/>
              <w:bottom w:val="nil"/>
              <w:right w:val="nil"/>
            </w:tcBorders>
            <w:shd w:val="clear" w:color="auto" w:fill="auto"/>
            <w:noWrap/>
            <w:vAlign w:val="bottom"/>
            <w:hideMark/>
          </w:tcPr>
          <w:p w14:paraId="0F930689" w14:textId="77777777" w:rsidR="002F43BF" w:rsidRPr="00117BF8" w:rsidRDefault="002F43BF" w:rsidP="002F43BF">
            <w:pPr>
              <w:pStyle w:val="TablaC"/>
              <w:rPr>
                <w:rFonts w:ascii="Arial" w:hAnsi="Arial" w:cs="Arial"/>
                <w:sz w:val="18"/>
              </w:rPr>
            </w:pPr>
            <w:r w:rsidRPr="00117BF8">
              <w:rPr>
                <w:rFonts w:ascii="Arial" w:hAnsi="Arial" w:cs="Arial"/>
                <w:sz w:val="18"/>
              </w:rPr>
              <w:t>26,34</w:t>
            </w:r>
          </w:p>
        </w:tc>
        <w:tc>
          <w:tcPr>
            <w:tcW w:w="1043" w:type="dxa"/>
            <w:tcBorders>
              <w:top w:val="nil"/>
              <w:left w:val="nil"/>
              <w:bottom w:val="nil"/>
              <w:right w:val="nil"/>
            </w:tcBorders>
            <w:shd w:val="clear" w:color="auto" w:fill="auto"/>
            <w:noWrap/>
            <w:vAlign w:val="bottom"/>
            <w:hideMark/>
          </w:tcPr>
          <w:p w14:paraId="166E75FC" w14:textId="77777777" w:rsidR="002F43BF" w:rsidRPr="00117BF8" w:rsidRDefault="002F43BF" w:rsidP="002F43BF">
            <w:pPr>
              <w:pStyle w:val="TablaC"/>
              <w:rPr>
                <w:rFonts w:ascii="Arial" w:hAnsi="Arial" w:cs="Arial"/>
                <w:sz w:val="18"/>
              </w:rPr>
            </w:pPr>
            <w:r w:rsidRPr="00117BF8">
              <w:rPr>
                <w:rFonts w:ascii="Arial" w:hAnsi="Arial" w:cs="Arial"/>
                <w:sz w:val="18"/>
              </w:rPr>
              <w:t>18,49</w:t>
            </w:r>
          </w:p>
        </w:tc>
        <w:tc>
          <w:tcPr>
            <w:tcW w:w="1043" w:type="dxa"/>
            <w:tcBorders>
              <w:top w:val="nil"/>
              <w:left w:val="nil"/>
              <w:bottom w:val="nil"/>
              <w:right w:val="nil"/>
            </w:tcBorders>
            <w:shd w:val="clear" w:color="auto" w:fill="auto"/>
            <w:noWrap/>
            <w:vAlign w:val="bottom"/>
            <w:hideMark/>
          </w:tcPr>
          <w:p w14:paraId="26B11193"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1FC03C0"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C28C44C"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2FF9902"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29DD63D"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0C30CD63" w14:textId="77777777" w:rsidR="002F43BF" w:rsidRPr="00117BF8" w:rsidRDefault="002F43BF" w:rsidP="002F43BF">
            <w:pPr>
              <w:pStyle w:val="TablaC"/>
              <w:rPr>
                <w:rFonts w:ascii="Arial" w:hAnsi="Arial" w:cs="Arial"/>
                <w:sz w:val="18"/>
              </w:rPr>
            </w:pPr>
          </w:p>
        </w:tc>
      </w:tr>
      <w:tr w:rsidR="002F43BF" w:rsidRPr="004E6455" w14:paraId="72A637C7" w14:textId="77777777" w:rsidTr="002F43BF">
        <w:trPr>
          <w:trHeight w:val="300"/>
        </w:trPr>
        <w:tc>
          <w:tcPr>
            <w:tcW w:w="2567" w:type="dxa"/>
            <w:tcBorders>
              <w:top w:val="nil"/>
              <w:left w:val="nil"/>
              <w:bottom w:val="nil"/>
              <w:right w:val="nil"/>
            </w:tcBorders>
            <w:shd w:val="clear" w:color="auto" w:fill="auto"/>
            <w:noWrap/>
            <w:vAlign w:val="bottom"/>
            <w:hideMark/>
          </w:tcPr>
          <w:p w14:paraId="16B41F83" w14:textId="77777777" w:rsidR="002F43BF" w:rsidRPr="00117BF8" w:rsidRDefault="002F43BF" w:rsidP="002F43BF">
            <w:pPr>
              <w:pStyle w:val="TablaC"/>
              <w:jc w:val="left"/>
              <w:rPr>
                <w:rFonts w:ascii="Arial" w:hAnsi="Arial" w:cs="Arial"/>
                <w:sz w:val="18"/>
              </w:rPr>
            </w:pPr>
            <w:r w:rsidRPr="00117BF8">
              <w:rPr>
                <w:rFonts w:ascii="Arial" w:hAnsi="Arial" w:cs="Arial"/>
                <w:sz w:val="18"/>
              </w:rPr>
              <w:t>Contraparte</w:t>
            </w:r>
          </w:p>
        </w:tc>
        <w:tc>
          <w:tcPr>
            <w:tcW w:w="1044" w:type="dxa"/>
            <w:tcBorders>
              <w:top w:val="nil"/>
              <w:left w:val="nil"/>
              <w:bottom w:val="nil"/>
              <w:right w:val="nil"/>
            </w:tcBorders>
            <w:shd w:val="clear" w:color="auto" w:fill="auto"/>
            <w:noWrap/>
            <w:vAlign w:val="bottom"/>
            <w:hideMark/>
          </w:tcPr>
          <w:p w14:paraId="172996A5" w14:textId="77777777" w:rsidR="002F43BF" w:rsidRPr="00117BF8" w:rsidRDefault="002F43BF" w:rsidP="002F43BF">
            <w:pPr>
              <w:pStyle w:val="TablaC"/>
              <w:rPr>
                <w:rFonts w:ascii="Arial" w:hAnsi="Arial" w:cs="Arial"/>
                <w:sz w:val="18"/>
              </w:rPr>
            </w:pPr>
            <w:r w:rsidRPr="00117BF8">
              <w:rPr>
                <w:rFonts w:ascii="Arial" w:hAnsi="Arial" w:cs="Arial"/>
                <w:sz w:val="18"/>
              </w:rPr>
              <w:t>1,92</w:t>
            </w:r>
          </w:p>
        </w:tc>
        <w:tc>
          <w:tcPr>
            <w:tcW w:w="1044" w:type="dxa"/>
            <w:tcBorders>
              <w:top w:val="nil"/>
              <w:left w:val="nil"/>
              <w:bottom w:val="nil"/>
              <w:right w:val="nil"/>
            </w:tcBorders>
            <w:shd w:val="clear" w:color="auto" w:fill="auto"/>
            <w:noWrap/>
            <w:vAlign w:val="bottom"/>
            <w:hideMark/>
          </w:tcPr>
          <w:p w14:paraId="3184F84E" w14:textId="77777777" w:rsidR="002F43BF" w:rsidRPr="00117BF8" w:rsidRDefault="002F43BF" w:rsidP="002F43BF">
            <w:pPr>
              <w:pStyle w:val="TablaC"/>
              <w:rPr>
                <w:rFonts w:ascii="Arial" w:hAnsi="Arial" w:cs="Arial"/>
                <w:sz w:val="18"/>
              </w:rPr>
            </w:pPr>
            <w:r w:rsidRPr="00117BF8">
              <w:rPr>
                <w:rFonts w:ascii="Arial" w:hAnsi="Arial" w:cs="Arial"/>
                <w:sz w:val="18"/>
              </w:rPr>
              <w:t>8,04</w:t>
            </w:r>
          </w:p>
        </w:tc>
        <w:tc>
          <w:tcPr>
            <w:tcW w:w="1044" w:type="dxa"/>
            <w:tcBorders>
              <w:top w:val="nil"/>
              <w:left w:val="nil"/>
              <w:bottom w:val="nil"/>
              <w:right w:val="nil"/>
            </w:tcBorders>
            <w:shd w:val="clear" w:color="auto" w:fill="auto"/>
            <w:noWrap/>
            <w:vAlign w:val="bottom"/>
            <w:hideMark/>
          </w:tcPr>
          <w:p w14:paraId="5536A34C" w14:textId="77777777" w:rsidR="002F43BF" w:rsidRPr="00117BF8" w:rsidRDefault="002F43BF" w:rsidP="002F43BF">
            <w:pPr>
              <w:pStyle w:val="TablaC"/>
              <w:rPr>
                <w:rFonts w:ascii="Arial" w:hAnsi="Arial" w:cs="Arial"/>
                <w:sz w:val="18"/>
              </w:rPr>
            </w:pPr>
            <w:r w:rsidRPr="00117BF8">
              <w:rPr>
                <w:rFonts w:ascii="Arial" w:hAnsi="Arial" w:cs="Arial"/>
                <w:sz w:val="18"/>
              </w:rPr>
              <w:t>10,93</w:t>
            </w:r>
          </w:p>
        </w:tc>
        <w:tc>
          <w:tcPr>
            <w:tcW w:w="1043" w:type="dxa"/>
            <w:tcBorders>
              <w:top w:val="nil"/>
              <w:left w:val="nil"/>
              <w:bottom w:val="nil"/>
              <w:right w:val="nil"/>
            </w:tcBorders>
            <w:shd w:val="clear" w:color="auto" w:fill="auto"/>
            <w:noWrap/>
            <w:vAlign w:val="bottom"/>
            <w:hideMark/>
          </w:tcPr>
          <w:p w14:paraId="2C238815" w14:textId="77777777" w:rsidR="002F43BF" w:rsidRPr="00117BF8" w:rsidRDefault="002F43BF" w:rsidP="002F43BF">
            <w:pPr>
              <w:pStyle w:val="TablaC"/>
              <w:rPr>
                <w:rFonts w:ascii="Arial" w:hAnsi="Arial" w:cs="Arial"/>
                <w:sz w:val="18"/>
              </w:rPr>
            </w:pPr>
            <w:r w:rsidRPr="00117BF8">
              <w:rPr>
                <w:rFonts w:ascii="Arial" w:hAnsi="Arial" w:cs="Arial"/>
                <w:sz w:val="18"/>
              </w:rPr>
              <w:t>5,35</w:t>
            </w:r>
          </w:p>
        </w:tc>
        <w:tc>
          <w:tcPr>
            <w:tcW w:w="1043" w:type="dxa"/>
            <w:tcBorders>
              <w:top w:val="nil"/>
              <w:left w:val="nil"/>
              <w:bottom w:val="nil"/>
              <w:right w:val="nil"/>
            </w:tcBorders>
            <w:shd w:val="clear" w:color="auto" w:fill="auto"/>
            <w:noWrap/>
            <w:vAlign w:val="bottom"/>
            <w:hideMark/>
          </w:tcPr>
          <w:p w14:paraId="6A284F90" w14:textId="77777777" w:rsidR="002F43BF" w:rsidRPr="00117BF8" w:rsidRDefault="002F43BF" w:rsidP="002F43BF">
            <w:pPr>
              <w:pStyle w:val="TablaC"/>
              <w:rPr>
                <w:rFonts w:ascii="Arial" w:hAnsi="Arial" w:cs="Arial"/>
                <w:sz w:val="18"/>
              </w:rPr>
            </w:pPr>
            <w:r w:rsidRPr="00117BF8">
              <w:rPr>
                <w:rFonts w:ascii="Arial" w:hAnsi="Arial" w:cs="Arial"/>
                <w:sz w:val="18"/>
              </w:rPr>
              <w:t>3,76</w:t>
            </w:r>
          </w:p>
        </w:tc>
        <w:tc>
          <w:tcPr>
            <w:tcW w:w="1043" w:type="dxa"/>
            <w:tcBorders>
              <w:top w:val="nil"/>
              <w:left w:val="nil"/>
              <w:bottom w:val="nil"/>
              <w:right w:val="nil"/>
            </w:tcBorders>
            <w:shd w:val="clear" w:color="auto" w:fill="auto"/>
            <w:noWrap/>
            <w:vAlign w:val="bottom"/>
            <w:hideMark/>
          </w:tcPr>
          <w:p w14:paraId="27814186"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24BB6EF9"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459D1043"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3585B0F5"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4E27FF1"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05331B1" w14:textId="77777777" w:rsidR="002F43BF" w:rsidRPr="00117BF8" w:rsidRDefault="002F43BF" w:rsidP="002F43BF">
            <w:pPr>
              <w:pStyle w:val="TablaC"/>
              <w:rPr>
                <w:rFonts w:ascii="Arial" w:hAnsi="Arial" w:cs="Arial"/>
                <w:sz w:val="18"/>
              </w:rPr>
            </w:pPr>
          </w:p>
        </w:tc>
      </w:tr>
      <w:tr w:rsidR="002F43BF" w:rsidRPr="004E6455" w14:paraId="0EFAB148" w14:textId="77777777" w:rsidTr="002F43BF">
        <w:trPr>
          <w:trHeight w:val="300"/>
        </w:trPr>
        <w:tc>
          <w:tcPr>
            <w:tcW w:w="2567" w:type="dxa"/>
            <w:tcBorders>
              <w:top w:val="nil"/>
              <w:left w:val="nil"/>
              <w:bottom w:val="nil"/>
              <w:right w:val="nil"/>
            </w:tcBorders>
            <w:shd w:val="clear" w:color="auto" w:fill="auto"/>
            <w:noWrap/>
            <w:vAlign w:val="bottom"/>
            <w:hideMark/>
          </w:tcPr>
          <w:p w14:paraId="6DB6BD62" w14:textId="77777777" w:rsidR="002F43BF" w:rsidRPr="00117BF8" w:rsidRDefault="002F43BF" w:rsidP="002F43BF">
            <w:pPr>
              <w:pStyle w:val="TablaC"/>
              <w:jc w:val="left"/>
              <w:rPr>
                <w:rFonts w:ascii="Arial" w:hAnsi="Arial" w:cs="Arial"/>
                <w:sz w:val="18"/>
              </w:rPr>
            </w:pPr>
            <w:r w:rsidRPr="00117BF8">
              <w:rPr>
                <w:rFonts w:ascii="Arial" w:hAnsi="Arial" w:cs="Arial"/>
                <w:sz w:val="18"/>
              </w:rPr>
              <w:t>Deuda la 31/12</w:t>
            </w:r>
          </w:p>
        </w:tc>
        <w:tc>
          <w:tcPr>
            <w:tcW w:w="1044" w:type="dxa"/>
            <w:tcBorders>
              <w:top w:val="nil"/>
              <w:left w:val="nil"/>
              <w:bottom w:val="nil"/>
              <w:right w:val="nil"/>
            </w:tcBorders>
            <w:shd w:val="clear" w:color="auto" w:fill="auto"/>
            <w:noWrap/>
            <w:vAlign w:val="bottom"/>
            <w:hideMark/>
          </w:tcPr>
          <w:p w14:paraId="168C4E9E" w14:textId="77777777" w:rsidR="002F43BF" w:rsidRPr="00117BF8" w:rsidRDefault="002F43BF" w:rsidP="002F43BF">
            <w:pPr>
              <w:pStyle w:val="TablaC"/>
              <w:rPr>
                <w:rFonts w:ascii="Arial" w:hAnsi="Arial" w:cs="Arial"/>
                <w:sz w:val="18"/>
              </w:rPr>
            </w:pPr>
            <w:r w:rsidRPr="00117BF8">
              <w:rPr>
                <w:rFonts w:ascii="Arial" w:hAnsi="Arial" w:cs="Arial"/>
                <w:sz w:val="18"/>
              </w:rPr>
              <w:t>10,05</w:t>
            </w:r>
          </w:p>
        </w:tc>
        <w:tc>
          <w:tcPr>
            <w:tcW w:w="1044" w:type="dxa"/>
            <w:tcBorders>
              <w:top w:val="nil"/>
              <w:left w:val="nil"/>
              <w:bottom w:val="nil"/>
              <w:right w:val="nil"/>
            </w:tcBorders>
            <w:shd w:val="clear" w:color="auto" w:fill="auto"/>
            <w:noWrap/>
            <w:vAlign w:val="bottom"/>
            <w:hideMark/>
          </w:tcPr>
          <w:p w14:paraId="1FB0BA2C" w14:textId="77777777" w:rsidR="002F43BF" w:rsidRPr="00117BF8" w:rsidRDefault="002F43BF" w:rsidP="002F43BF">
            <w:pPr>
              <w:pStyle w:val="TablaC"/>
              <w:rPr>
                <w:rFonts w:ascii="Arial" w:hAnsi="Arial" w:cs="Arial"/>
                <w:sz w:val="18"/>
              </w:rPr>
            </w:pPr>
            <w:r w:rsidRPr="00117BF8">
              <w:rPr>
                <w:rFonts w:ascii="Arial" w:hAnsi="Arial" w:cs="Arial"/>
                <w:sz w:val="18"/>
              </w:rPr>
              <w:t>51,76</w:t>
            </w:r>
          </w:p>
        </w:tc>
        <w:tc>
          <w:tcPr>
            <w:tcW w:w="1044" w:type="dxa"/>
            <w:tcBorders>
              <w:top w:val="nil"/>
              <w:left w:val="nil"/>
              <w:bottom w:val="nil"/>
              <w:right w:val="nil"/>
            </w:tcBorders>
            <w:shd w:val="clear" w:color="auto" w:fill="auto"/>
            <w:noWrap/>
            <w:vAlign w:val="bottom"/>
            <w:hideMark/>
          </w:tcPr>
          <w:p w14:paraId="59E2FB5B" w14:textId="77777777" w:rsidR="002F43BF" w:rsidRPr="00117BF8" w:rsidRDefault="002F43BF" w:rsidP="002F43BF">
            <w:pPr>
              <w:pStyle w:val="TablaC"/>
              <w:rPr>
                <w:rFonts w:ascii="Arial" w:hAnsi="Arial" w:cs="Arial"/>
                <w:sz w:val="18"/>
              </w:rPr>
            </w:pPr>
            <w:r w:rsidRPr="00117BF8">
              <w:rPr>
                <w:rFonts w:ascii="Arial" w:hAnsi="Arial" w:cs="Arial"/>
                <w:sz w:val="18"/>
              </w:rPr>
              <w:t>105,17</w:t>
            </w:r>
          </w:p>
        </w:tc>
        <w:tc>
          <w:tcPr>
            <w:tcW w:w="1043" w:type="dxa"/>
            <w:tcBorders>
              <w:top w:val="nil"/>
              <w:left w:val="nil"/>
              <w:bottom w:val="nil"/>
              <w:right w:val="nil"/>
            </w:tcBorders>
            <w:shd w:val="clear" w:color="auto" w:fill="auto"/>
            <w:noWrap/>
            <w:vAlign w:val="bottom"/>
            <w:hideMark/>
          </w:tcPr>
          <w:p w14:paraId="73D1B5EF" w14:textId="77777777" w:rsidR="002F43BF" w:rsidRPr="00117BF8" w:rsidRDefault="002F43BF" w:rsidP="002F43BF">
            <w:pPr>
              <w:pStyle w:val="TablaC"/>
              <w:rPr>
                <w:rFonts w:ascii="Arial" w:hAnsi="Arial" w:cs="Arial"/>
                <w:sz w:val="18"/>
              </w:rPr>
            </w:pPr>
            <w:r w:rsidRPr="00117BF8">
              <w:rPr>
                <w:rFonts w:ascii="Arial" w:hAnsi="Arial" w:cs="Arial"/>
                <w:sz w:val="18"/>
              </w:rPr>
              <w:t>131,51</w:t>
            </w:r>
          </w:p>
        </w:tc>
        <w:tc>
          <w:tcPr>
            <w:tcW w:w="1043" w:type="dxa"/>
            <w:tcBorders>
              <w:top w:val="nil"/>
              <w:left w:val="nil"/>
              <w:bottom w:val="nil"/>
              <w:right w:val="nil"/>
            </w:tcBorders>
            <w:shd w:val="clear" w:color="auto" w:fill="auto"/>
            <w:noWrap/>
            <w:vAlign w:val="bottom"/>
            <w:hideMark/>
          </w:tcPr>
          <w:p w14:paraId="4F3D96E5" w14:textId="77777777" w:rsidR="002F43BF" w:rsidRPr="00117BF8" w:rsidRDefault="002F43BF" w:rsidP="002F43BF">
            <w:pPr>
              <w:pStyle w:val="TablaC"/>
              <w:rPr>
                <w:rFonts w:ascii="Arial" w:hAnsi="Arial" w:cs="Arial"/>
                <w:sz w:val="18"/>
              </w:rPr>
            </w:pPr>
            <w:r w:rsidRPr="00117BF8">
              <w:rPr>
                <w:rFonts w:ascii="Arial" w:hAnsi="Arial" w:cs="Arial"/>
                <w:sz w:val="18"/>
              </w:rPr>
              <w:t>150,00</w:t>
            </w:r>
          </w:p>
        </w:tc>
        <w:tc>
          <w:tcPr>
            <w:tcW w:w="1043" w:type="dxa"/>
            <w:tcBorders>
              <w:top w:val="nil"/>
              <w:left w:val="nil"/>
              <w:bottom w:val="nil"/>
              <w:right w:val="nil"/>
            </w:tcBorders>
            <w:shd w:val="clear" w:color="auto" w:fill="auto"/>
            <w:noWrap/>
            <w:vAlign w:val="bottom"/>
            <w:hideMark/>
          </w:tcPr>
          <w:p w14:paraId="08D2BFD0" w14:textId="77777777" w:rsidR="002F43BF" w:rsidRPr="00117BF8" w:rsidRDefault="002F43BF" w:rsidP="002F43BF">
            <w:pPr>
              <w:pStyle w:val="TablaC"/>
              <w:rPr>
                <w:rFonts w:ascii="Arial" w:hAnsi="Arial" w:cs="Arial"/>
                <w:sz w:val="18"/>
              </w:rPr>
            </w:pPr>
            <w:r w:rsidRPr="00117BF8">
              <w:rPr>
                <w:rFonts w:ascii="Arial" w:hAnsi="Arial" w:cs="Arial"/>
                <w:sz w:val="18"/>
              </w:rPr>
              <w:t>142,50</w:t>
            </w:r>
          </w:p>
        </w:tc>
        <w:tc>
          <w:tcPr>
            <w:tcW w:w="1043" w:type="dxa"/>
            <w:tcBorders>
              <w:top w:val="nil"/>
              <w:left w:val="nil"/>
              <w:bottom w:val="nil"/>
              <w:right w:val="nil"/>
            </w:tcBorders>
            <w:shd w:val="clear" w:color="auto" w:fill="auto"/>
            <w:noWrap/>
            <w:vAlign w:val="bottom"/>
            <w:hideMark/>
          </w:tcPr>
          <w:p w14:paraId="18154244" w14:textId="77777777" w:rsidR="002F43BF" w:rsidRPr="00117BF8" w:rsidRDefault="002F43BF" w:rsidP="002F43BF">
            <w:pPr>
              <w:pStyle w:val="TablaC"/>
              <w:rPr>
                <w:rFonts w:ascii="Arial" w:hAnsi="Arial" w:cs="Arial"/>
                <w:sz w:val="18"/>
              </w:rPr>
            </w:pPr>
            <w:r w:rsidRPr="00117BF8">
              <w:rPr>
                <w:rFonts w:ascii="Arial" w:hAnsi="Arial" w:cs="Arial"/>
                <w:sz w:val="18"/>
              </w:rPr>
              <w:t>135,00</w:t>
            </w:r>
          </w:p>
        </w:tc>
        <w:tc>
          <w:tcPr>
            <w:tcW w:w="1043" w:type="dxa"/>
            <w:tcBorders>
              <w:top w:val="nil"/>
              <w:left w:val="nil"/>
              <w:bottom w:val="nil"/>
              <w:right w:val="nil"/>
            </w:tcBorders>
            <w:shd w:val="clear" w:color="auto" w:fill="auto"/>
            <w:noWrap/>
            <w:vAlign w:val="bottom"/>
            <w:hideMark/>
          </w:tcPr>
          <w:p w14:paraId="029BEAEC" w14:textId="77777777" w:rsidR="002F43BF" w:rsidRPr="00117BF8" w:rsidRDefault="002F43BF" w:rsidP="002F43BF">
            <w:pPr>
              <w:pStyle w:val="TablaC"/>
              <w:rPr>
                <w:rFonts w:ascii="Arial" w:hAnsi="Arial" w:cs="Arial"/>
                <w:sz w:val="18"/>
              </w:rPr>
            </w:pPr>
            <w:r w:rsidRPr="00117BF8">
              <w:rPr>
                <w:rFonts w:ascii="Arial" w:hAnsi="Arial" w:cs="Arial"/>
                <w:sz w:val="18"/>
              </w:rPr>
              <w:t>127,50</w:t>
            </w:r>
          </w:p>
        </w:tc>
        <w:tc>
          <w:tcPr>
            <w:tcW w:w="1043" w:type="dxa"/>
            <w:tcBorders>
              <w:top w:val="nil"/>
              <w:left w:val="nil"/>
              <w:bottom w:val="nil"/>
              <w:right w:val="nil"/>
            </w:tcBorders>
            <w:shd w:val="clear" w:color="auto" w:fill="auto"/>
            <w:noWrap/>
            <w:vAlign w:val="bottom"/>
            <w:hideMark/>
          </w:tcPr>
          <w:p w14:paraId="32900666" w14:textId="77777777" w:rsidR="002F43BF" w:rsidRPr="00117BF8" w:rsidRDefault="002F43BF" w:rsidP="002F43BF">
            <w:pPr>
              <w:pStyle w:val="TablaC"/>
              <w:rPr>
                <w:rFonts w:ascii="Arial" w:hAnsi="Arial" w:cs="Arial"/>
                <w:sz w:val="18"/>
              </w:rPr>
            </w:pPr>
            <w:r w:rsidRPr="00117BF8">
              <w:rPr>
                <w:rFonts w:ascii="Arial" w:hAnsi="Arial" w:cs="Arial"/>
                <w:sz w:val="18"/>
              </w:rPr>
              <w:t>120,00</w:t>
            </w:r>
          </w:p>
        </w:tc>
        <w:tc>
          <w:tcPr>
            <w:tcW w:w="1043" w:type="dxa"/>
            <w:tcBorders>
              <w:top w:val="nil"/>
              <w:left w:val="nil"/>
              <w:bottom w:val="nil"/>
              <w:right w:val="nil"/>
            </w:tcBorders>
            <w:shd w:val="clear" w:color="auto" w:fill="auto"/>
            <w:noWrap/>
            <w:vAlign w:val="bottom"/>
            <w:hideMark/>
          </w:tcPr>
          <w:p w14:paraId="5A524668" w14:textId="77777777" w:rsidR="002F43BF" w:rsidRPr="00117BF8" w:rsidRDefault="002F43BF" w:rsidP="002F43BF">
            <w:pPr>
              <w:pStyle w:val="TablaC"/>
              <w:rPr>
                <w:rFonts w:ascii="Arial" w:hAnsi="Arial" w:cs="Arial"/>
                <w:sz w:val="18"/>
              </w:rPr>
            </w:pPr>
            <w:r w:rsidRPr="00117BF8">
              <w:rPr>
                <w:rFonts w:ascii="Arial" w:hAnsi="Arial" w:cs="Arial"/>
                <w:sz w:val="18"/>
              </w:rPr>
              <w:t>112,50</w:t>
            </w:r>
          </w:p>
        </w:tc>
        <w:tc>
          <w:tcPr>
            <w:tcW w:w="1043" w:type="dxa"/>
            <w:tcBorders>
              <w:top w:val="nil"/>
              <w:left w:val="nil"/>
              <w:bottom w:val="nil"/>
              <w:right w:val="nil"/>
            </w:tcBorders>
            <w:shd w:val="clear" w:color="auto" w:fill="auto"/>
            <w:noWrap/>
            <w:vAlign w:val="bottom"/>
            <w:hideMark/>
          </w:tcPr>
          <w:p w14:paraId="2163DBF9" w14:textId="77777777" w:rsidR="002F43BF" w:rsidRPr="00117BF8" w:rsidRDefault="002F43BF" w:rsidP="002F43BF">
            <w:pPr>
              <w:pStyle w:val="TablaC"/>
              <w:rPr>
                <w:rFonts w:ascii="Arial" w:hAnsi="Arial" w:cs="Arial"/>
                <w:sz w:val="18"/>
              </w:rPr>
            </w:pPr>
            <w:r w:rsidRPr="00117BF8">
              <w:rPr>
                <w:rFonts w:ascii="Arial" w:hAnsi="Arial" w:cs="Arial"/>
                <w:sz w:val="18"/>
              </w:rPr>
              <w:t>105,00</w:t>
            </w:r>
          </w:p>
        </w:tc>
      </w:tr>
      <w:tr w:rsidR="002F43BF" w:rsidRPr="004E6455" w14:paraId="02494AE8" w14:textId="77777777" w:rsidTr="002F43BF">
        <w:trPr>
          <w:trHeight w:val="300"/>
        </w:trPr>
        <w:tc>
          <w:tcPr>
            <w:tcW w:w="2567" w:type="dxa"/>
            <w:tcBorders>
              <w:top w:val="nil"/>
              <w:left w:val="nil"/>
              <w:bottom w:val="nil"/>
              <w:right w:val="nil"/>
            </w:tcBorders>
            <w:shd w:val="clear" w:color="auto" w:fill="auto"/>
            <w:noWrap/>
            <w:vAlign w:val="bottom"/>
            <w:hideMark/>
          </w:tcPr>
          <w:p w14:paraId="426FD81F" w14:textId="77777777" w:rsidR="002F43BF" w:rsidRPr="00117BF8" w:rsidRDefault="002F43BF" w:rsidP="002F43BF">
            <w:pPr>
              <w:pStyle w:val="TablaC"/>
              <w:jc w:val="left"/>
              <w:rPr>
                <w:rFonts w:ascii="Arial" w:hAnsi="Arial" w:cs="Arial"/>
                <w:sz w:val="18"/>
              </w:rPr>
            </w:pPr>
            <w:r w:rsidRPr="00117BF8">
              <w:rPr>
                <w:rFonts w:ascii="Arial" w:hAnsi="Arial" w:cs="Arial"/>
                <w:sz w:val="18"/>
              </w:rPr>
              <w:t>Amortización</w:t>
            </w:r>
          </w:p>
        </w:tc>
        <w:tc>
          <w:tcPr>
            <w:tcW w:w="1044" w:type="dxa"/>
            <w:tcBorders>
              <w:top w:val="nil"/>
              <w:left w:val="nil"/>
              <w:bottom w:val="nil"/>
              <w:right w:val="nil"/>
            </w:tcBorders>
            <w:shd w:val="clear" w:color="auto" w:fill="auto"/>
            <w:noWrap/>
            <w:vAlign w:val="bottom"/>
            <w:hideMark/>
          </w:tcPr>
          <w:p w14:paraId="57C2E33E"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6A94B463"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65D92543"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6775960"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3BAC9024"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6228DDE" w14:textId="77777777" w:rsidR="002F43BF" w:rsidRPr="00117BF8" w:rsidRDefault="002F43BF" w:rsidP="002F43BF">
            <w:pPr>
              <w:pStyle w:val="TablaC"/>
              <w:rPr>
                <w:rFonts w:ascii="Arial" w:hAnsi="Arial" w:cs="Arial"/>
                <w:sz w:val="18"/>
              </w:rPr>
            </w:pPr>
            <w:r w:rsidRPr="00117BF8">
              <w:rPr>
                <w:rFonts w:ascii="Arial" w:hAnsi="Arial" w:cs="Arial"/>
                <w:sz w:val="18"/>
              </w:rPr>
              <w:t>7,50</w:t>
            </w:r>
          </w:p>
        </w:tc>
        <w:tc>
          <w:tcPr>
            <w:tcW w:w="1043" w:type="dxa"/>
            <w:tcBorders>
              <w:top w:val="nil"/>
              <w:left w:val="nil"/>
              <w:bottom w:val="nil"/>
              <w:right w:val="nil"/>
            </w:tcBorders>
            <w:shd w:val="clear" w:color="auto" w:fill="auto"/>
            <w:noWrap/>
            <w:vAlign w:val="bottom"/>
            <w:hideMark/>
          </w:tcPr>
          <w:p w14:paraId="56A960DA" w14:textId="77777777" w:rsidR="002F43BF" w:rsidRPr="00117BF8" w:rsidRDefault="002F43BF" w:rsidP="002F43BF">
            <w:pPr>
              <w:pStyle w:val="TablaC"/>
              <w:rPr>
                <w:rFonts w:ascii="Arial" w:hAnsi="Arial" w:cs="Arial"/>
                <w:sz w:val="18"/>
              </w:rPr>
            </w:pPr>
            <w:r w:rsidRPr="00117BF8">
              <w:rPr>
                <w:rFonts w:ascii="Arial" w:hAnsi="Arial" w:cs="Arial"/>
                <w:sz w:val="18"/>
              </w:rPr>
              <w:t>7,50</w:t>
            </w:r>
          </w:p>
        </w:tc>
        <w:tc>
          <w:tcPr>
            <w:tcW w:w="1043" w:type="dxa"/>
            <w:tcBorders>
              <w:top w:val="nil"/>
              <w:left w:val="nil"/>
              <w:bottom w:val="nil"/>
              <w:right w:val="nil"/>
            </w:tcBorders>
            <w:shd w:val="clear" w:color="auto" w:fill="auto"/>
            <w:noWrap/>
            <w:vAlign w:val="bottom"/>
            <w:hideMark/>
          </w:tcPr>
          <w:p w14:paraId="3AF577EB" w14:textId="77777777" w:rsidR="002F43BF" w:rsidRPr="00117BF8" w:rsidRDefault="002F43BF" w:rsidP="002F43BF">
            <w:pPr>
              <w:pStyle w:val="TablaC"/>
              <w:rPr>
                <w:rFonts w:ascii="Arial" w:hAnsi="Arial" w:cs="Arial"/>
                <w:sz w:val="18"/>
              </w:rPr>
            </w:pPr>
            <w:r w:rsidRPr="00117BF8">
              <w:rPr>
                <w:rFonts w:ascii="Arial" w:hAnsi="Arial" w:cs="Arial"/>
                <w:sz w:val="18"/>
              </w:rPr>
              <w:t>7,50</w:t>
            </w:r>
          </w:p>
        </w:tc>
        <w:tc>
          <w:tcPr>
            <w:tcW w:w="1043" w:type="dxa"/>
            <w:tcBorders>
              <w:top w:val="nil"/>
              <w:left w:val="nil"/>
              <w:bottom w:val="nil"/>
              <w:right w:val="nil"/>
            </w:tcBorders>
            <w:shd w:val="clear" w:color="auto" w:fill="auto"/>
            <w:noWrap/>
            <w:vAlign w:val="bottom"/>
            <w:hideMark/>
          </w:tcPr>
          <w:p w14:paraId="76063B59" w14:textId="77777777" w:rsidR="002F43BF" w:rsidRPr="00117BF8" w:rsidRDefault="002F43BF" w:rsidP="002F43BF">
            <w:pPr>
              <w:pStyle w:val="TablaC"/>
              <w:rPr>
                <w:rFonts w:ascii="Arial" w:hAnsi="Arial" w:cs="Arial"/>
                <w:sz w:val="18"/>
              </w:rPr>
            </w:pPr>
            <w:r w:rsidRPr="00117BF8">
              <w:rPr>
                <w:rFonts w:ascii="Arial" w:hAnsi="Arial" w:cs="Arial"/>
                <w:sz w:val="18"/>
              </w:rPr>
              <w:t>7,50</w:t>
            </w:r>
          </w:p>
        </w:tc>
        <w:tc>
          <w:tcPr>
            <w:tcW w:w="1043" w:type="dxa"/>
            <w:tcBorders>
              <w:top w:val="nil"/>
              <w:left w:val="nil"/>
              <w:bottom w:val="nil"/>
              <w:right w:val="nil"/>
            </w:tcBorders>
            <w:shd w:val="clear" w:color="auto" w:fill="auto"/>
            <w:noWrap/>
            <w:vAlign w:val="bottom"/>
            <w:hideMark/>
          </w:tcPr>
          <w:p w14:paraId="681FC263" w14:textId="77777777" w:rsidR="002F43BF" w:rsidRPr="00117BF8" w:rsidRDefault="002F43BF" w:rsidP="002F43BF">
            <w:pPr>
              <w:pStyle w:val="TablaC"/>
              <w:rPr>
                <w:rFonts w:ascii="Arial" w:hAnsi="Arial" w:cs="Arial"/>
                <w:sz w:val="18"/>
              </w:rPr>
            </w:pPr>
            <w:r w:rsidRPr="00117BF8">
              <w:rPr>
                <w:rFonts w:ascii="Arial" w:hAnsi="Arial" w:cs="Arial"/>
                <w:sz w:val="18"/>
              </w:rPr>
              <w:t>7,50</w:t>
            </w:r>
          </w:p>
        </w:tc>
        <w:tc>
          <w:tcPr>
            <w:tcW w:w="1043" w:type="dxa"/>
            <w:tcBorders>
              <w:top w:val="nil"/>
              <w:left w:val="nil"/>
              <w:bottom w:val="nil"/>
              <w:right w:val="nil"/>
            </w:tcBorders>
            <w:shd w:val="clear" w:color="auto" w:fill="auto"/>
            <w:noWrap/>
            <w:vAlign w:val="bottom"/>
            <w:hideMark/>
          </w:tcPr>
          <w:p w14:paraId="25712FF3" w14:textId="77777777" w:rsidR="002F43BF" w:rsidRPr="00117BF8" w:rsidRDefault="002F43BF" w:rsidP="002F43BF">
            <w:pPr>
              <w:pStyle w:val="TablaC"/>
              <w:rPr>
                <w:rFonts w:ascii="Arial" w:hAnsi="Arial" w:cs="Arial"/>
                <w:sz w:val="18"/>
              </w:rPr>
            </w:pPr>
            <w:r w:rsidRPr="00117BF8">
              <w:rPr>
                <w:rFonts w:ascii="Arial" w:hAnsi="Arial" w:cs="Arial"/>
                <w:sz w:val="18"/>
              </w:rPr>
              <w:t>7,50</w:t>
            </w:r>
          </w:p>
        </w:tc>
      </w:tr>
      <w:tr w:rsidR="002F43BF" w:rsidRPr="004E6455" w14:paraId="2F3CA6E5" w14:textId="77777777" w:rsidTr="002F43BF">
        <w:trPr>
          <w:trHeight w:val="300"/>
        </w:trPr>
        <w:tc>
          <w:tcPr>
            <w:tcW w:w="2567" w:type="dxa"/>
            <w:tcBorders>
              <w:top w:val="nil"/>
              <w:left w:val="nil"/>
              <w:bottom w:val="nil"/>
              <w:right w:val="nil"/>
            </w:tcBorders>
            <w:shd w:val="clear" w:color="auto" w:fill="auto"/>
            <w:noWrap/>
            <w:vAlign w:val="bottom"/>
            <w:hideMark/>
          </w:tcPr>
          <w:p w14:paraId="50CB60A6" w14:textId="77777777" w:rsidR="002F43BF" w:rsidRPr="00117BF8" w:rsidRDefault="002F43BF" w:rsidP="002F43BF">
            <w:pPr>
              <w:pStyle w:val="TablaC"/>
              <w:jc w:val="left"/>
              <w:rPr>
                <w:rFonts w:ascii="Arial" w:hAnsi="Arial" w:cs="Arial"/>
                <w:sz w:val="18"/>
              </w:rPr>
            </w:pPr>
            <w:r w:rsidRPr="00117BF8">
              <w:rPr>
                <w:rFonts w:ascii="Arial" w:hAnsi="Arial" w:cs="Arial"/>
                <w:sz w:val="18"/>
              </w:rPr>
              <w:t>Intereses Devengados</w:t>
            </w:r>
          </w:p>
        </w:tc>
        <w:tc>
          <w:tcPr>
            <w:tcW w:w="1044" w:type="dxa"/>
            <w:tcBorders>
              <w:top w:val="nil"/>
              <w:left w:val="nil"/>
              <w:bottom w:val="nil"/>
              <w:right w:val="nil"/>
            </w:tcBorders>
            <w:shd w:val="clear" w:color="auto" w:fill="auto"/>
            <w:noWrap/>
            <w:vAlign w:val="bottom"/>
            <w:hideMark/>
          </w:tcPr>
          <w:p w14:paraId="2547AD41" w14:textId="77777777" w:rsidR="002F43BF" w:rsidRPr="00117BF8" w:rsidRDefault="002F43BF" w:rsidP="002F43BF">
            <w:pPr>
              <w:pStyle w:val="TablaC"/>
              <w:rPr>
                <w:rFonts w:ascii="Arial" w:hAnsi="Arial" w:cs="Arial"/>
                <w:sz w:val="18"/>
              </w:rPr>
            </w:pPr>
            <w:r w:rsidRPr="00117BF8">
              <w:rPr>
                <w:rFonts w:ascii="Arial" w:hAnsi="Arial" w:cs="Arial"/>
                <w:sz w:val="18"/>
              </w:rPr>
              <w:t>0,11</w:t>
            </w:r>
          </w:p>
        </w:tc>
        <w:tc>
          <w:tcPr>
            <w:tcW w:w="1044" w:type="dxa"/>
            <w:tcBorders>
              <w:top w:val="nil"/>
              <w:left w:val="nil"/>
              <w:bottom w:val="nil"/>
              <w:right w:val="nil"/>
            </w:tcBorders>
            <w:shd w:val="clear" w:color="auto" w:fill="auto"/>
            <w:noWrap/>
            <w:vAlign w:val="bottom"/>
            <w:hideMark/>
          </w:tcPr>
          <w:p w14:paraId="49CE6523" w14:textId="77777777" w:rsidR="002F43BF" w:rsidRPr="00117BF8" w:rsidRDefault="002F43BF" w:rsidP="002F43BF">
            <w:pPr>
              <w:pStyle w:val="TablaC"/>
              <w:rPr>
                <w:rFonts w:ascii="Arial" w:hAnsi="Arial" w:cs="Arial"/>
                <w:sz w:val="18"/>
              </w:rPr>
            </w:pPr>
            <w:r w:rsidRPr="00117BF8">
              <w:rPr>
                <w:rFonts w:ascii="Arial" w:hAnsi="Arial" w:cs="Arial"/>
                <w:sz w:val="18"/>
              </w:rPr>
              <w:t>0,70</w:t>
            </w:r>
          </w:p>
        </w:tc>
        <w:tc>
          <w:tcPr>
            <w:tcW w:w="1044" w:type="dxa"/>
            <w:tcBorders>
              <w:top w:val="nil"/>
              <w:left w:val="nil"/>
              <w:bottom w:val="nil"/>
              <w:right w:val="nil"/>
            </w:tcBorders>
            <w:shd w:val="clear" w:color="auto" w:fill="auto"/>
            <w:noWrap/>
            <w:vAlign w:val="bottom"/>
            <w:hideMark/>
          </w:tcPr>
          <w:p w14:paraId="0E0AD758" w14:textId="77777777" w:rsidR="002F43BF" w:rsidRPr="00117BF8" w:rsidRDefault="002F43BF" w:rsidP="002F43BF">
            <w:pPr>
              <w:pStyle w:val="TablaC"/>
              <w:rPr>
                <w:rFonts w:ascii="Arial" w:hAnsi="Arial" w:cs="Arial"/>
                <w:sz w:val="18"/>
              </w:rPr>
            </w:pPr>
            <w:r w:rsidRPr="00117BF8">
              <w:rPr>
                <w:rFonts w:ascii="Arial" w:hAnsi="Arial" w:cs="Arial"/>
                <w:sz w:val="18"/>
              </w:rPr>
              <w:t>1,77</w:t>
            </w:r>
          </w:p>
        </w:tc>
        <w:tc>
          <w:tcPr>
            <w:tcW w:w="1043" w:type="dxa"/>
            <w:tcBorders>
              <w:top w:val="nil"/>
              <w:left w:val="nil"/>
              <w:bottom w:val="nil"/>
              <w:right w:val="nil"/>
            </w:tcBorders>
            <w:shd w:val="clear" w:color="auto" w:fill="auto"/>
            <w:noWrap/>
            <w:vAlign w:val="bottom"/>
            <w:hideMark/>
          </w:tcPr>
          <w:p w14:paraId="50F40676" w14:textId="77777777" w:rsidR="002F43BF" w:rsidRPr="00117BF8" w:rsidRDefault="002F43BF" w:rsidP="002F43BF">
            <w:pPr>
              <w:pStyle w:val="TablaC"/>
              <w:rPr>
                <w:rFonts w:ascii="Arial" w:hAnsi="Arial" w:cs="Arial"/>
                <w:sz w:val="18"/>
              </w:rPr>
            </w:pPr>
            <w:r w:rsidRPr="00117BF8">
              <w:rPr>
                <w:rFonts w:ascii="Arial" w:hAnsi="Arial" w:cs="Arial"/>
                <w:sz w:val="18"/>
              </w:rPr>
              <w:t>2,66</w:t>
            </w:r>
          </w:p>
        </w:tc>
        <w:tc>
          <w:tcPr>
            <w:tcW w:w="1043" w:type="dxa"/>
            <w:tcBorders>
              <w:top w:val="nil"/>
              <w:left w:val="nil"/>
              <w:bottom w:val="nil"/>
              <w:right w:val="nil"/>
            </w:tcBorders>
            <w:shd w:val="clear" w:color="auto" w:fill="auto"/>
            <w:noWrap/>
            <w:vAlign w:val="bottom"/>
            <w:hideMark/>
          </w:tcPr>
          <w:p w14:paraId="3CA8BF40" w14:textId="77777777" w:rsidR="002F43BF" w:rsidRPr="00117BF8" w:rsidRDefault="002F43BF" w:rsidP="002F43BF">
            <w:pPr>
              <w:pStyle w:val="TablaC"/>
              <w:rPr>
                <w:rFonts w:ascii="Arial" w:hAnsi="Arial" w:cs="Arial"/>
                <w:sz w:val="18"/>
              </w:rPr>
            </w:pPr>
            <w:r w:rsidRPr="00117BF8">
              <w:rPr>
                <w:rFonts w:ascii="Arial" w:hAnsi="Arial" w:cs="Arial"/>
                <w:sz w:val="18"/>
              </w:rPr>
              <w:t>3,17</w:t>
            </w:r>
          </w:p>
        </w:tc>
        <w:tc>
          <w:tcPr>
            <w:tcW w:w="1043" w:type="dxa"/>
            <w:tcBorders>
              <w:top w:val="nil"/>
              <w:left w:val="nil"/>
              <w:bottom w:val="nil"/>
              <w:right w:val="nil"/>
            </w:tcBorders>
            <w:shd w:val="clear" w:color="auto" w:fill="auto"/>
            <w:noWrap/>
            <w:vAlign w:val="bottom"/>
            <w:hideMark/>
          </w:tcPr>
          <w:p w14:paraId="30BDC0AF" w14:textId="77777777" w:rsidR="002F43BF" w:rsidRPr="00117BF8" w:rsidRDefault="002F43BF" w:rsidP="002F43BF">
            <w:pPr>
              <w:pStyle w:val="TablaC"/>
              <w:rPr>
                <w:rFonts w:ascii="Arial" w:hAnsi="Arial" w:cs="Arial"/>
                <w:sz w:val="18"/>
              </w:rPr>
            </w:pPr>
            <w:r w:rsidRPr="00117BF8">
              <w:rPr>
                <w:rFonts w:ascii="Arial" w:hAnsi="Arial" w:cs="Arial"/>
                <w:sz w:val="18"/>
              </w:rPr>
              <w:t>3,29</w:t>
            </w:r>
          </w:p>
        </w:tc>
        <w:tc>
          <w:tcPr>
            <w:tcW w:w="1043" w:type="dxa"/>
            <w:tcBorders>
              <w:top w:val="nil"/>
              <w:left w:val="nil"/>
              <w:bottom w:val="nil"/>
              <w:right w:val="nil"/>
            </w:tcBorders>
            <w:shd w:val="clear" w:color="auto" w:fill="auto"/>
            <w:noWrap/>
            <w:vAlign w:val="bottom"/>
            <w:hideMark/>
          </w:tcPr>
          <w:p w14:paraId="7A95C985" w14:textId="77777777" w:rsidR="002F43BF" w:rsidRPr="00117BF8" w:rsidRDefault="002F43BF" w:rsidP="002F43BF">
            <w:pPr>
              <w:pStyle w:val="TablaC"/>
              <w:rPr>
                <w:rFonts w:ascii="Arial" w:hAnsi="Arial" w:cs="Arial"/>
                <w:sz w:val="18"/>
              </w:rPr>
            </w:pPr>
            <w:r w:rsidRPr="00117BF8">
              <w:rPr>
                <w:rFonts w:ascii="Arial" w:hAnsi="Arial" w:cs="Arial"/>
                <w:sz w:val="18"/>
              </w:rPr>
              <w:t>3,12</w:t>
            </w:r>
          </w:p>
        </w:tc>
        <w:tc>
          <w:tcPr>
            <w:tcW w:w="1043" w:type="dxa"/>
            <w:tcBorders>
              <w:top w:val="nil"/>
              <w:left w:val="nil"/>
              <w:bottom w:val="nil"/>
              <w:right w:val="nil"/>
            </w:tcBorders>
            <w:shd w:val="clear" w:color="auto" w:fill="auto"/>
            <w:noWrap/>
            <w:vAlign w:val="bottom"/>
            <w:hideMark/>
          </w:tcPr>
          <w:p w14:paraId="5F60EC40" w14:textId="77777777" w:rsidR="002F43BF" w:rsidRPr="00117BF8" w:rsidRDefault="002F43BF" w:rsidP="002F43BF">
            <w:pPr>
              <w:pStyle w:val="TablaC"/>
              <w:rPr>
                <w:rFonts w:ascii="Arial" w:hAnsi="Arial" w:cs="Arial"/>
                <w:sz w:val="18"/>
              </w:rPr>
            </w:pPr>
            <w:r w:rsidRPr="00117BF8">
              <w:rPr>
                <w:rFonts w:ascii="Arial" w:hAnsi="Arial" w:cs="Arial"/>
                <w:sz w:val="18"/>
              </w:rPr>
              <w:t>2,95</w:t>
            </w:r>
          </w:p>
        </w:tc>
        <w:tc>
          <w:tcPr>
            <w:tcW w:w="1043" w:type="dxa"/>
            <w:tcBorders>
              <w:top w:val="nil"/>
              <w:left w:val="nil"/>
              <w:bottom w:val="nil"/>
              <w:right w:val="nil"/>
            </w:tcBorders>
            <w:shd w:val="clear" w:color="auto" w:fill="auto"/>
            <w:noWrap/>
            <w:vAlign w:val="bottom"/>
            <w:hideMark/>
          </w:tcPr>
          <w:p w14:paraId="245433AF" w14:textId="77777777" w:rsidR="002F43BF" w:rsidRPr="00117BF8" w:rsidRDefault="002F43BF" w:rsidP="002F43BF">
            <w:pPr>
              <w:pStyle w:val="TablaC"/>
              <w:rPr>
                <w:rFonts w:ascii="Arial" w:hAnsi="Arial" w:cs="Arial"/>
                <w:sz w:val="18"/>
              </w:rPr>
            </w:pPr>
            <w:r w:rsidRPr="00117BF8">
              <w:rPr>
                <w:rFonts w:ascii="Arial" w:hAnsi="Arial" w:cs="Arial"/>
                <w:sz w:val="18"/>
              </w:rPr>
              <w:t>2,78</w:t>
            </w:r>
          </w:p>
        </w:tc>
        <w:tc>
          <w:tcPr>
            <w:tcW w:w="1043" w:type="dxa"/>
            <w:tcBorders>
              <w:top w:val="nil"/>
              <w:left w:val="nil"/>
              <w:bottom w:val="nil"/>
              <w:right w:val="nil"/>
            </w:tcBorders>
            <w:shd w:val="clear" w:color="auto" w:fill="auto"/>
            <w:noWrap/>
            <w:vAlign w:val="bottom"/>
            <w:hideMark/>
          </w:tcPr>
          <w:p w14:paraId="4D4F91A5" w14:textId="77777777" w:rsidR="002F43BF" w:rsidRPr="00117BF8" w:rsidRDefault="002F43BF" w:rsidP="002F43BF">
            <w:pPr>
              <w:pStyle w:val="TablaC"/>
              <w:rPr>
                <w:rFonts w:ascii="Arial" w:hAnsi="Arial" w:cs="Arial"/>
                <w:sz w:val="18"/>
              </w:rPr>
            </w:pPr>
            <w:r w:rsidRPr="00117BF8">
              <w:rPr>
                <w:rFonts w:ascii="Arial" w:hAnsi="Arial" w:cs="Arial"/>
                <w:sz w:val="18"/>
              </w:rPr>
              <w:t>2,62</w:t>
            </w:r>
          </w:p>
        </w:tc>
        <w:tc>
          <w:tcPr>
            <w:tcW w:w="1043" w:type="dxa"/>
            <w:tcBorders>
              <w:top w:val="nil"/>
              <w:left w:val="nil"/>
              <w:bottom w:val="nil"/>
              <w:right w:val="nil"/>
            </w:tcBorders>
            <w:shd w:val="clear" w:color="auto" w:fill="auto"/>
            <w:noWrap/>
            <w:vAlign w:val="bottom"/>
            <w:hideMark/>
          </w:tcPr>
          <w:p w14:paraId="00935551" w14:textId="77777777" w:rsidR="002F43BF" w:rsidRPr="00117BF8" w:rsidRDefault="002F43BF" w:rsidP="002F43BF">
            <w:pPr>
              <w:pStyle w:val="TablaC"/>
              <w:rPr>
                <w:rFonts w:ascii="Arial" w:hAnsi="Arial" w:cs="Arial"/>
                <w:sz w:val="18"/>
              </w:rPr>
            </w:pPr>
            <w:r w:rsidRPr="00117BF8">
              <w:rPr>
                <w:rFonts w:ascii="Arial" w:hAnsi="Arial" w:cs="Arial"/>
                <w:sz w:val="18"/>
              </w:rPr>
              <w:t>2,45</w:t>
            </w:r>
          </w:p>
        </w:tc>
      </w:tr>
      <w:tr w:rsidR="002F43BF" w:rsidRPr="004E6455" w14:paraId="3BD59563" w14:textId="77777777" w:rsidTr="002F43BF">
        <w:trPr>
          <w:trHeight w:val="300"/>
        </w:trPr>
        <w:tc>
          <w:tcPr>
            <w:tcW w:w="2567" w:type="dxa"/>
            <w:tcBorders>
              <w:top w:val="nil"/>
              <w:left w:val="nil"/>
              <w:bottom w:val="nil"/>
              <w:right w:val="nil"/>
            </w:tcBorders>
            <w:shd w:val="clear" w:color="auto" w:fill="auto"/>
            <w:noWrap/>
            <w:vAlign w:val="bottom"/>
            <w:hideMark/>
          </w:tcPr>
          <w:p w14:paraId="44DB67F3" w14:textId="77777777" w:rsidR="002F43BF" w:rsidRPr="00117BF8" w:rsidRDefault="002F43BF" w:rsidP="002F43BF">
            <w:pPr>
              <w:pStyle w:val="TablaC"/>
              <w:jc w:val="left"/>
              <w:rPr>
                <w:rFonts w:ascii="Arial" w:hAnsi="Arial" w:cs="Arial"/>
                <w:sz w:val="18"/>
              </w:rPr>
            </w:pPr>
            <w:r w:rsidRPr="00117BF8">
              <w:rPr>
                <w:rFonts w:ascii="Arial" w:hAnsi="Arial" w:cs="Arial"/>
                <w:sz w:val="18"/>
              </w:rPr>
              <w:t>Intereses Pagados</w:t>
            </w:r>
          </w:p>
        </w:tc>
        <w:tc>
          <w:tcPr>
            <w:tcW w:w="1044" w:type="dxa"/>
            <w:tcBorders>
              <w:top w:val="nil"/>
              <w:left w:val="nil"/>
              <w:bottom w:val="nil"/>
              <w:right w:val="nil"/>
            </w:tcBorders>
            <w:shd w:val="clear" w:color="auto" w:fill="auto"/>
            <w:noWrap/>
            <w:vAlign w:val="bottom"/>
            <w:hideMark/>
          </w:tcPr>
          <w:p w14:paraId="302FA291" w14:textId="77777777" w:rsidR="002F43BF" w:rsidRPr="00117BF8" w:rsidRDefault="002F43BF" w:rsidP="002F43BF">
            <w:pPr>
              <w:pStyle w:val="TablaC"/>
              <w:rPr>
                <w:rFonts w:ascii="Arial" w:hAnsi="Arial" w:cs="Arial"/>
                <w:sz w:val="18"/>
              </w:rPr>
            </w:pPr>
            <w:r w:rsidRPr="00117BF8">
              <w:rPr>
                <w:rFonts w:ascii="Arial" w:hAnsi="Arial" w:cs="Arial"/>
                <w:sz w:val="18"/>
              </w:rPr>
              <w:t>0,11</w:t>
            </w:r>
          </w:p>
        </w:tc>
        <w:tc>
          <w:tcPr>
            <w:tcW w:w="1044" w:type="dxa"/>
            <w:tcBorders>
              <w:top w:val="nil"/>
              <w:left w:val="nil"/>
              <w:bottom w:val="nil"/>
              <w:right w:val="nil"/>
            </w:tcBorders>
            <w:shd w:val="clear" w:color="auto" w:fill="auto"/>
            <w:noWrap/>
            <w:vAlign w:val="bottom"/>
            <w:hideMark/>
          </w:tcPr>
          <w:p w14:paraId="2E7C6932" w14:textId="77777777" w:rsidR="002F43BF" w:rsidRPr="00117BF8" w:rsidRDefault="002F43BF" w:rsidP="002F43BF">
            <w:pPr>
              <w:pStyle w:val="TablaC"/>
              <w:rPr>
                <w:rFonts w:ascii="Arial" w:hAnsi="Arial" w:cs="Arial"/>
                <w:sz w:val="18"/>
              </w:rPr>
            </w:pPr>
            <w:r w:rsidRPr="00117BF8">
              <w:rPr>
                <w:rFonts w:ascii="Arial" w:hAnsi="Arial" w:cs="Arial"/>
                <w:sz w:val="18"/>
              </w:rPr>
              <w:t>0,70</w:t>
            </w:r>
          </w:p>
        </w:tc>
        <w:tc>
          <w:tcPr>
            <w:tcW w:w="1044" w:type="dxa"/>
            <w:tcBorders>
              <w:top w:val="nil"/>
              <w:left w:val="nil"/>
              <w:bottom w:val="nil"/>
              <w:right w:val="nil"/>
            </w:tcBorders>
            <w:shd w:val="clear" w:color="auto" w:fill="auto"/>
            <w:noWrap/>
            <w:vAlign w:val="bottom"/>
            <w:hideMark/>
          </w:tcPr>
          <w:p w14:paraId="75DC78CE" w14:textId="77777777" w:rsidR="002F43BF" w:rsidRPr="00117BF8" w:rsidRDefault="002F43BF" w:rsidP="002F43BF">
            <w:pPr>
              <w:pStyle w:val="TablaC"/>
              <w:rPr>
                <w:rFonts w:ascii="Arial" w:hAnsi="Arial" w:cs="Arial"/>
                <w:sz w:val="18"/>
              </w:rPr>
            </w:pPr>
            <w:r w:rsidRPr="00117BF8">
              <w:rPr>
                <w:rFonts w:ascii="Arial" w:hAnsi="Arial" w:cs="Arial"/>
                <w:sz w:val="18"/>
              </w:rPr>
              <w:t>1,77</w:t>
            </w:r>
          </w:p>
        </w:tc>
        <w:tc>
          <w:tcPr>
            <w:tcW w:w="1043" w:type="dxa"/>
            <w:tcBorders>
              <w:top w:val="nil"/>
              <w:left w:val="nil"/>
              <w:bottom w:val="nil"/>
              <w:right w:val="nil"/>
            </w:tcBorders>
            <w:shd w:val="clear" w:color="auto" w:fill="auto"/>
            <w:noWrap/>
            <w:vAlign w:val="bottom"/>
            <w:hideMark/>
          </w:tcPr>
          <w:p w14:paraId="26136847" w14:textId="77777777" w:rsidR="002F43BF" w:rsidRPr="00117BF8" w:rsidRDefault="002F43BF" w:rsidP="002F43BF">
            <w:pPr>
              <w:pStyle w:val="TablaC"/>
              <w:rPr>
                <w:rFonts w:ascii="Arial" w:hAnsi="Arial" w:cs="Arial"/>
                <w:sz w:val="18"/>
              </w:rPr>
            </w:pPr>
            <w:r w:rsidRPr="00117BF8">
              <w:rPr>
                <w:rFonts w:ascii="Arial" w:hAnsi="Arial" w:cs="Arial"/>
                <w:sz w:val="18"/>
              </w:rPr>
              <w:t>2,66</w:t>
            </w:r>
          </w:p>
        </w:tc>
        <w:tc>
          <w:tcPr>
            <w:tcW w:w="1043" w:type="dxa"/>
            <w:tcBorders>
              <w:top w:val="nil"/>
              <w:left w:val="nil"/>
              <w:bottom w:val="nil"/>
              <w:right w:val="nil"/>
            </w:tcBorders>
            <w:shd w:val="clear" w:color="auto" w:fill="auto"/>
            <w:noWrap/>
            <w:vAlign w:val="bottom"/>
            <w:hideMark/>
          </w:tcPr>
          <w:p w14:paraId="519445EE" w14:textId="77777777" w:rsidR="002F43BF" w:rsidRPr="00117BF8" w:rsidRDefault="002F43BF" w:rsidP="002F43BF">
            <w:pPr>
              <w:pStyle w:val="TablaC"/>
              <w:rPr>
                <w:rFonts w:ascii="Arial" w:hAnsi="Arial" w:cs="Arial"/>
                <w:sz w:val="18"/>
              </w:rPr>
            </w:pPr>
            <w:r w:rsidRPr="00117BF8">
              <w:rPr>
                <w:rFonts w:ascii="Arial" w:hAnsi="Arial" w:cs="Arial"/>
                <w:sz w:val="18"/>
              </w:rPr>
              <w:t>3,17</w:t>
            </w:r>
          </w:p>
        </w:tc>
        <w:tc>
          <w:tcPr>
            <w:tcW w:w="1043" w:type="dxa"/>
            <w:tcBorders>
              <w:top w:val="nil"/>
              <w:left w:val="nil"/>
              <w:bottom w:val="nil"/>
              <w:right w:val="nil"/>
            </w:tcBorders>
            <w:shd w:val="clear" w:color="auto" w:fill="auto"/>
            <w:noWrap/>
            <w:vAlign w:val="bottom"/>
            <w:hideMark/>
          </w:tcPr>
          <w:p w14:paraId="404BA902" w14:textId="77777777" w:rsidR="002F43BF" w:rsidRPr="00117BF8" w:rsidRDefault="002F43BF" w:rsidP="002F43BF">
            <w:pPr>
              <w:pStyle w:val="TablaC"/>
              <w:rPr>
                <w:rFonts w:ascii="Arial" w:hAnsi="Arial" w:cs="Arial"/>
                <w:sz w:val="18"/>
              </w:rPr>
            </w:pPr>
            <w:r w:rsidRPr="00117BF8">
              <w:rPr>
                <w:rFonts w:ascii="Arial" w:hAnsi="Arial" w:cs="Arial"/>
                <w:sz w:val="18"/>
              </w:rPr>
              <w:t>3,29</w:t>
            </w:r>
          </w:p>
        </w:tc>
        <w:tc>
          <w:tcPr>
            <w:tcW w:w="1043" w:type="dxa"/>
            <w:tcBorders>
              <w:top w:val="nil"/>
              <w:left w:val="nil"/>
              <w:bottom w:val="nil"/>
              <w:right w:val="nil"/>
            </w:tcBorders>
            <w:shd w:val="clear" w:color="auto" w:fill="auto"/>
            <w:noWrap/>
            <w:vAlign w:val="bottom"/>
            <w:hideMark/>
          </w:tcPr>
          <w:p w14:paraId="319F7AA2" w14:textId="77777777" w:rsidR="002F43BF" w:rsidRPr="00117BF8" w:rsidRDefault="002F43BF" w:rsidP="002F43BF">
            <w:pPr>
              <w:pStyle w:val="TablaC"/>
              <w:rPr>
                <w:rFonts w:ascii="Arial" w:hAnsi="Arial" w:cs="Arial"/>
                <w:sz w:val="18"/>
              </w:rPr>
            </w:pPr>
            <w:r w:rsidRPr="00117BF8">
              <w:rPr>
                <w:rFonts w:ascii="Arial" w:hAnsi="Arial" w:cs="Arial"/>
                <w:sz w:val="18"/>
              </w:rPr>
              <w:t>3,12</w:t>
            </w:r>
          </w:p>
        </w:tc>
        <w:tc>
          <w:tcPr>
            <w:tcW w:w="1043" w:type="dxa"/>
            <w:tcBorders>
              <w:top w:val="nil"/>
              <w:left w:val="nil"/>
              <w:bottom w:val="nil"/>
              <w:right w:val="nil"/>
            </w:tcBorders>
            <w:shd w:val="clear" w:color="auto" w:fill="auto"/>
            <w:noWrap/>
            <w:vAlign w:val="bottom"/>
            <w:hideMark/>
          </w:tcPr>
          <w:p w14:paraId="4E306893" w14:textId="77777777" w:rsidR="002F43BF" w:rsidRPr="00117BF8" w:rsidRDefault="002F43BF" w:rsidP="002F43BF">
            <w:pPr>
              <w:pStyle w:val="TablaC"/>
              <w:rPr>
                <w:rFonts w:ascii="Arial" w:hAnsi="Arial" w:cs="Arial"/>
                <w:sz w:val="18"/>
              </w:rPr>
            </w:pPr>
            <w:r w:rsidRPr="00117BF8">
              <w:rPr>
                <w:rFonts w:ascii="Arial" w:hAnsi="Arial" w:cs="Arial"/>
                <w:sz w:val="18"/>
              </w:rPr>
              <w:t>2,95</w:t>
            </w:r>
          </w:p>
        </w:tc>
        <w:tc>
          <w:tcPr>
            <w:tcW w:w="1043" w:type="dxa"/>
            <w:tcBorders>
              <w:top w:val="nil"/>
              <w:left w:val="nil"/>
              <w:bottom w:val="nil"/>
              <w:right w:val="nil"/>
            </w:tcBorders>
            <w:shd w:val="clear" w:color="auto" w:fill="auto"/>
            <w:noWrap/>
            <w:vAlign w:val="bottom"/>
            <w:hideMark/>
          </w:tcPr>
          <w:p w14:paraId="3228B36F" w14:textId="77777777" w:rsidR="002F43BF" w:rsidRPr="00117BF8" w:rsidRDefault="002F43BF" w:rsidP="002F43BF">
            <w:pPr>
              <w:pStyle w:val="TablaC"/>
              <w:rPr>
                <w:rFonts w:ascii="Arial" w:hAnsi="Arial" w:cs="Arial"/>
                <w:sz w:val="18"/>
              </w:rPr>
            </w:pPr>
            <w:r w:rsidRPr="00117BF8">
              <w:rPr>
                <w:rFonts w:ascii="Arial" w:hAnsi="Arial" w:cs="Arial"/>
                <w:sz w:val="18"/>
              </w:rPr>
              <w:t>2,78</w:t>
            </w:r>
          </w:p>
        </w:tc>
        <w:tc>
          <w:tcPr>
            <w:tcW w:w="1043" w:type="dxa"/>
            <w:tcBorders>
              <w:top w:val="nil"/>
              <w:left w:val="nil"/>
              <w:bottom w:val="nil"/>
              <w:right w:val="nil"/>
            </w:tcBorders>
            <w:shd w:val="clear" w:color="auto" w:fill="auto"/>
            <w:noWrap/>
            <w:vAlign w:val="bottom"/>
            <w:hideMark/>
          </w:tcPr>
          <w:p w14:paraId="5E786F9B" w14:textId="77777777" w:rsidR="002F43BF" w:rsidRPr="00117BF8" w:rsidRDefault="002F43BF" w:rsidP="002F43BF">
            <w:pPr>
              <w:pStyle w:val="TablaC"/>
              <w:rPr>
                <w:rFonts w:ascii="Arial" w:hAnsi="Arial" w:cs="Arial"/>
                <w:sz w:val="18"/>
              </w:rPr>
            </w:pPr>
            <w:r w:rsidRPr="00117BF8">
              <w:rPr>
                <w:rFonts w:ascii="Arial" w:hAnsi="Arial" w:cs="Arial"/>
                <w:sz w:val="18"/>
              </w:rPr>
              <w:t>2,62</w:t>
            </w:r>
          </w:p>
        </w:tc>
        <w:tc>
          <w:tcPr>
            <w:tcW w:w="1043" w:type="dxa"/>
            <w:tcBorders>
              <w:top w:val="nil"/>
              <w:left w:val="nil"/>
              <w:bottom w:val="nil"/>
              <w:right w:val="nil"/>
            </w:tcBorders>
            <w:shd w:val="clear" w:color="auto" w:fill="auto"/>
            <w:noWrap/>
            <w:vAlign w:val="bottom"/>
            <w:hideMark/>
          </w:tcPr>
          <w:p w14:paraId="4D5E75AF" w14:textId="77777777" w:rsidR="002F43BF" w:rsidRPr="00117BF8" w:rsidRDefault="002F43BF" w:rsidP="002F43BF">
            <w:pPr>
              <w:pStyle w:val="TablaC"/>
              <w:rPr>
                <w:rFonts w:ascii="Arial" w:hAnsi="Arial" w:cs="Arial"/>
                <w:sz w:val="18"/>
              </w:rPr>
            </w:pPr>
            <w:r w:rsidRPr="00117BF8">
              <w:rPr>
                <w:rFonts w:ascii="Arial" w:hAnsi="Arial" w:cs="Arial"/>
                <w:sz w:val="18"/>
              </w:rPr>
              <w:t>2,45</w:t>
            </w:r>
          </w:p>
        </w:tc>
      </w:tr>
      <w:tr w:rsidR="002F43BF" w:rsidRPr="004E6455" w14:paraId="06798C8B" w14:textId="77777777" w:rsidTr="002F43BF">
        <w:trPr>
          <w:trHeight w:val="300"/>
        </w:trPr>
        <w:tc>
          <w:tcPr>
            <w:tcW w:w="2567" w:type="dxa"/>
            <w:tcBorders>
              <w:top w:val="nil"/>
              <w:left w:val="nil"/>
              <w:bottom w:val="nil"/>
              <w:right w:val="nil"/>
            </w:tcBorders>
            <w:shd w:val="clear" w:color="auto" w:fill="auto"/>
            <w:noWrap/>
            <w:vAlign w:val="bottom"/>
            <w:hideMark/>
          </w:tcPr>
          <w:p w14:paraId="0BD0D680" w14:textId="77777777" w:rsidR="002F43BF" w:rsidRPr="00117BF8" w:rsidRDefault="002F43BF" w:rsidP="000D4582">
            <w:pPr>
              <w:pStyle w:val="TablaC"/>
              <w:jc w:val="left"/>
              <w:rPr>
                <w:rFonts w:ascii="Arial" w:hAnsi="Arial" w:cs="Arial"/>
                <w:sz w:val="18"/>
              </w:rPr>
            </w:pPr>
            <w:r w:rsidRPr="00117BF8">
              <w:rPr>
                <w:rFonts w:ascii="Arial" w:hAnsi="Arial" w:cs="Arial"/>
                <w:sz w:val="18"/>
              </w:rPr>
              <w:t>Comisión</w:t>
            </w:r>
          </w:p>
        </w:tc>
        <w:tc>
          <w:tcPr>
            <w:tcW w:w="1044" w:type="dxa"/>
            <w:tcBorders>
              <w:top w:val="nil"/>
              <w:left w:val="nil"/>
              <w:bottom w:val="nil"/>
              <w:right w:val="nil"/>
            </w:tcBorders>
            <w:shd w:val="clear" w:color="auto" w:fill="auto"/>
            <w:noWrap/>
            <w:vAlign w:val="bottom"/>
            <w:hideMark/>
          </w:tcPr>
          <w:p w14:paraId="65C1B6AD" w14:textId="77777777" w:rsidR="002F43BF" w:rsidRPr="00117BF8" w:rsidRDefault="002F43BF" w:rsidP="002F43BF">
            <w:pPr>
              <w:pStyle w:val="TablaC"/>
              <w:rPr>
                <w:rFonts w:ascii="Arial" w:hAnsi="Arial" w:cs="Arial"/>
                <w:sz w:val="18"/>
              </w:rPr>
            </w:pPr>
            <w:r w:rsidRPr="00117BF8">
              <w:rPr>
                <w:rFonts w:ascii="Arial" w:hAnsi="Arial" w:cs="Arial"/>
                <w:sz w:val="18"/>
              </w:rPr>
              <w:t>0,72</w:t>
            </w:r>
          </w:p>
        </w:tc>
        <w:tc>
          <w:tcPr>
            <w:tcW w:w="1044" w:type="dxa"/>
            <w:tcBorders>
              <w:top w:val="nil"/>
              <w:left w:val="nil"/>
              <w:bottom w:val="nil"/>
              <w:right w:val="nil"/>
            </w:tcBorders>
            <w:shd w:val="clear" w:color="auto" w:fill="auto"/>
            <w:noWrap/>
            <w:vAlign w:val="bottom"/>
            <w:hideMark/>
          </w:tcPr>
          <w:p w14:paraId="538A044E" w14:textId="77777777" w:rsidR="002F43BF" w:rsidRPr="00117BF8" w:rsidRDefault="002F43BF" w:rsidP="002F43BF">
            <w:pPr>
              <w:pStyle w:val="TablaC"/>
              <w:rPr>
                <w:rFonts w:ascii="Arial" w:hAnsi="Arial" w:cs="Arial"/>
                <w:sz w:val="18"/>
              </w:rPr>
            </w:pPr>
            <w:r w:rsidRPr="00117BF8">
              <w:rPr>
                <w:rFonts w:ascii="Arial" w:hAnsi="Arial" w:cs="Arial"/>
                <w:sz w:val="18"/>
              </w:rPr>
              <w:t>0,60</w:t>
            </w:r>
          </w:p>
        </w:tc>
        <w:tc>
          <w:tcPr>
            <w:tcW w:w="1044" w:type="dxa"/>
            <w:tcBorders>
              <w:top w:val="nil"/>
              <w:left w:val="nil"/>
              <w:bottom w:val="nil"/>
              <w:right w:val="nil"/>
            </w:tcBorders>
            <w:shd w:val="clear" w:color="auto" w:fill="auto"/>
            <w:noWrap/>
            <w:vAlign w:val="bottom"/>
            <w:hideMark/>
          </w:tcPr>
          <w:p w14:paraId="70D40F08" w14:textId="77777777" w:rsidR="002F43BF" w:rsidRPr="00117BF8" w:rsidRDefault="002F43BF" w:rsidP="002F43BF">
            <w:pPr>
              <w:pStyle w:val="TablaC"/>
              <w:rPr>
                <w:rFonts w:ascii="Arial" w:hAnsi="Arial" w:cs="Arial"/>
                <w:sz w:val="18"/>
              </w:rPr>
            </w:pPr>
            <w:r w:rsidRPr="00117BF8">
              <w:rPr>
                <w:rFonts w:ascii="Arial" w:hAnsi="Arial" w:cs="Arial"/>
                <w:sz w:val="18"/>
              </w:rPr>
              <w:t>0,36</w:t>
            </w:r>
          </w:p>
        </w:tc>
        <w:tc>
          <w:tcPr>
            <w:tcW w:w="1043" w:type="dxa"/>
            <w:tcBorders>
              <w:top w:val="nil"/>
              <w:left w:val="nil"/>
              <w:bottom w:val="nil"/>
              <w:right w:val="nil"/>
            </w:tcBorders>
            <w:shd w:val="clear" w:color="auto" w:fill="auto"/>
            <w:noWrap/>
            <w:vAlign w:val="bottom"/>
            <w:hideMark/>
          </w:tcPr>
          <w:p w14:paraId="125198ED" w14:textId="77777777" w:rsidR="002F43BF" w:rsidRPr="00117BF8" w:rsidRDefault="002F43BF" w:rsidP="002F43BF">
            <w:pPr>
              <w:pStyle w:val="TablaC"/>
              <w:rPr>
                <w:rFonts w:ascii="Arial" w:hAnsi="Arial" w:cs="Arial"/>
                <w:sz w:val="18"/>
              </w:rPr>
            </w:pPr>
            <w:r w:rsidRPr="00117BF8">
              <w:rPr>
                <w:rFonts w:ascii="Arial" w:hAnsi="Arial" w:cs="Arial"/>
                <w:sz w:val="18"/>
              </w:rPr>
              <w:t>0,16</w:t>
            </w:r>
          </w:p>
        </w:tc>
        <w:tc>
          <w:tcPr>
            <w:tcW w:w="1043" w:type="dxa"/>
            <w:tcBorders>
              <w:top w:val="nil"/>
              <w:left w:val="nil"/>
              <w:bottom w:val="nil"/>
              <w:right w:val="nil"/>
            </w:tcBorders>
            <w:shd w:val="clear" w:color="auto" w:fill="auto"/>
            <w:noWrap/>
            <w:vAlign w:val="bottom"/>
            <w:hideMark/>
          </w:tcPr>
          <w:p w14:paraId="5F6468AE" w14:textId="77777777" w:rsidR="002F43BF" w:rsidRPr="00117BF8" w:rsidRDefault="002F43BF" w:rsidP="002F43BF">
            <w:pPr>
              <w:pStyle w:val="TablaC"/>
              <w:rPr>
                <w:rFonts w:ascii="Arial" w:hAnsi="Arial" w:cs="Arial"/>
                <w:sz w:val="18"/>
              </w:rPr>
            </w:pPr>
            <w:r w:rsidRPr="00117BF8">
              <w:rPr>
                <w:rFonts w:ascii="Arial" w:hAnsi="Arial" w:cs="Arial"/>
                <w:sz w:val="18"/>
              </w:rPr>
              <w:t>0,05</w:t>
            </w:r>
          </w:p>
        </w:tc>
        <w:tc>
          <w:tcPr>
            <w:tcW w:w="1043" w:type="dxa"/>
            <w:tcBorders>
              <w:top w:val="nil"/>
              <w:left w:val="nil"/>
              <w:bottom w:val="nil"/>
              <w:right w:val="nil"/>
            </w:tcBorders>
            <w:shd w:val="clear" w:color="auto" w:fill="auto"/>
            <w:noWrap/>
            <w:vAlign w:val="bottom"/>
            <w:hideMark/>
          </w:tcPr>
          <w:p w14:paraId="2A10B7F9"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5E6EA059"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550A6ED1"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0C4A24C4"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137128B4"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77334F63"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r>
      <w:tr w:rsidR="002F43BF" w:rsidRPr="004E6455" w14:paraId="596064A0" w14:textId="77777777" w:rsidTr="002F43BF">
        <w:trPr>
          <w:trHeight w:val="300"/>
        </w:trPr>
        <w:tc>
          <w:tcPr>
            <w:tcW w:w="2567" w:type="dxa"/>
            <w:tcBorders>
              <w:top w:val="nil"/>
              <w:left w:val="nil"/>
              <w:bottom w:val="nil"/>
              <w:right w:val="nil"/>
            </w:tcBorders>
            <w:shd w:val="clear" w:color="auto" w:fill="auto"/>
            <w:noWrap/>
            <w:vAlign w:val="bottom"/>
            <w:hideMark/>
          </w:tcPr>
          <w:p w14:paraId="0011627A" w14:textId="77777777" w:rsidR="002F43BF" w:rsidRPr="00117BF8" w:rsidRDefault="002F43BF" w:rsidP="002F43BF">
            <w:pPr>
              <w:pStyle w:val="TablaC"/>
              <w:jc w:val="left"/>
              <w:rPr>
                <w:rFonts w:ascii="Arial" w:hAnsi="Arial" w:cs="Arial"/>
                <w:sz w:val="18"/>
              </w:rPr>
            </w:pPr>
            <w:r w:rsidRPr="00117BF8">
              <w:rPr>
                <w:rFonts w:ascii="Arial" w:hAnsi="Arial" w:cs="Arial"/>
                <w:sz w:val="18"/>
              </w:rPr>
              <w:t>Mantenimiento</w:t>
            </w:r>
          </w:p>
        </w:tc>
        <w:tc>
          <w:tcPr>
            <w:tcW w:w="1044" w:type="dxa"/>
            <w:tcBorders>
              <w:top w:val="nil"/>
              <w:left w:val="nil"/>
              <w:bottom w:val="nil"/>
              <w:right w:val="nil"/>
            </w:tcBorders>
            <w:shd w:val="clear" w:color="auto" w:fill="auto"/>
            <w:noWrap/>
            <w:vAlign w:val="bottom"/>
            <w:hideMark/>
          </w:tcPr>
          <w:p w14:paraId="35FB9BB7" w14:textId="77777777" w:rsidR="002F43BF" w:rsidRPr="00117BF8" w:rsidRDefault="002F43BF" w:rsidP="002F43BF">
            <w:pPr>
              <w:pStyle w:val="TablaC"/>
              <w:rPr>
                <w:rFonts w:ascii="Arial" w:hAnsi="Arial" w:cs="Arial"/>
                <w:sz w:val="18"/>
              </w:rPr>
            </w:pPr>
            <w:r w:rsidRPr="00117BF8">
              <w:rPr>
                <w:rFonts w:ascii="Arial" w:hAnsi="Arial" w:cs="Arial"/>
                <w:sz w:val="18"/>
              </w:rPr>
              <w:t> </w:t>
            </w:r>
          </w:p>
        </w:tc>
        <w:tc>
          <w:tcPr>
            <w:tcW w:w="1044" w:type="dxa"/>
            <w:tcBorders>
              <w:top w:val="nil"/>
              <w:left w:val="nil"/>
              <w:bottom w:val="nil"/>
              <w:right w:val="nil"/>
            </w:tcBorders>
            <w:shd w:val="clear" w:color="auto" w:fill="auto"/>
            <w:noWrap/>
            <w:vAlign w:val="bottom"/>
            <w:hideMark/>
          </w:tcPr>
          <w:p w14:paraId="10919A92"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3CE3810C"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EDA7110"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D306C80"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5BF1D60" w14:textId="77777777" w:rsidR="002F43BF" w:rsidRPr="00117BF8" w:rsidRDefault="002F43BF" w:rsidP="002F43BF">
            <w:pPr>
              <w:pStyle w:val="TablaC"/>
              <w:rPr>
                <w:rFonts w:ascii="Arial" w:hAnsi="Arial" w:cs="Arial"/>
                <w:sz w:val="18"/>
              </w:rPr>
            </w:pPr>
            <w:r w:rsidRPr="00117BF8">
              <w:rPr>
                <w:rFonts w:ascii="Arial" w:hAnsi="Arial" w:cs="Arial"/>
                <w:sz w:val="18"/>
              </w:rPr>
              <w:t>1,80</w:t>
            </w:r>
          </w:p>
        </w:tc>
        <w:tc>
          <w:tcPr>
            <w:tcW w:w="1043" w:type="dxa"/>
            <w:tcBorders>
              <w:top w:val="nil"/>
              <w:left w:val="nil"/>
              <w:bottom w:val="nil"/>
              <w:right w:val="nil"/>
            </w:tcBorders>
            <w:shd w:val="clear" w:color="auto" w:fill="auto"/>
            <w:noWrap/>
            <w:vAlign w:val="bottom"/>
            <w:hideMark/>
          </w:tcPr>
          <w:p w14:paraId="6FD6D286" w14:textId="77777777" w:rsidR="002F43BF" w:rsidRPr="00117BF8" w:rsidRDefault="002F43BF" w:rsidP="002F43BF">
            <w:pPr>
              <w:pStyle w:val="TablaC"/>
              <w:rPr>
                <w:rFonts w:ascii="Arial" w:hAnsi="Arial" w:cs="Arial"/>
                <w:sz w:val="18"/>
              </w:rPr>
            </w:pPr>
            <w:r w:rsidRPr="00117BF8">
              <w:rPr>
                <w:rFonts w:ascii="Arial" w:hAnsi="Arial" w:cs="Arial"/>
                <w:sz w:val="18"/>
              </w:rPr>
              <w:t>1,80</w:t>
            </w:r>
          </w:p>
        </w:tc>
        <w:tc>
          <w:tcPr>
            <w:tcW w:w="1043" w:type="dxa"/>
            <w:tcBorders>
              <w:top w:val="nil"/>
              <w:left w:val="nil"/>
              <w:bottom w:val="nil"/>
              <w:right w:val="nil"/>
            </w:tcBorders>
            <w:shd w:val="clear" w:color="auto" w:fill="auto"/>
            <w:noWrap/>
            <w:vAlign w:val="bottom"/>
            <w:hideMark/>
          </w:tcPr>
          <w:p w14:paraId="1F57590A" w14:textId="77777777" w:rsidR="002F43BF" w:rsidRPr="00117BF8" w:rsidRDefault="002F43BF" w:rsidP="002F43BF">
            <w:pPr>
              <w:pStyle w:val="TablaC"/>
              <w:rPr>
                <w:rFonts w:ascii="Arial" w:hAnsi="Arial" w:cs="Arial"/>
                <w:sz w:val="18"/>
              </w:rPr>
            </w:pPr>
            <w:r w:rsidRPr="00117BF8">
              <w:rPr>
                <w:rFonts w:ascii="Arial" w:hAnsi="Arial" w:cs="Arial"/>
                <w:sz w:val="18"/>
              </w:rPr>
              <w:t>1,80</w:t>
            </w:r>
          </w:p>
        </w:tc>
        <w:tc>
          <w:tcPr>
            <w:tcW w:w="1043" w:type="dxa"/>
            <w:tcBorders>
              <w:top w:val="nil"/>
              <w:left w:val="nil"/>
              <w:bottom w:val="nil"/>
              <w:right w:val="nil"/>
            </w:tcBorders>
            <w:shd w:val="clear" w:color="auto" w:fill="auto"/>
            <w:noWrap/>
            <w:vAlign w:val="bottom"/>
            <w:hideMark/>
          </w:tcPr>
          <w:p w14:paraId="74FF9FEF" w14:textId="77777777" w:rsidR="002F43BF" w:rsidRPr="00117BF8" w:rsidRDefault="002F43BF" w:rsidP="002F43BF">
            <w:pPr>
              <w:pStyle w:val="TablaC"/>
              <w:rPr>
                <w:rFonts w:ascii="Arial" w:hAnsi="Arial" w:cs="Arial"/>
                <w:sz w:val="18"/>
              </w:rPr>
            </w:pPr>
            <w:r w:rsidRPr="00117BF8">
              <w:rPr>
                <w:rFonts w:ascii="Arial" w:hAnsi="Arial" w:cs="Arial"/>
                <w:sz w:val="18"/>
              </w:rPr>
              <w:t>1,80</w:t>
            </w:r>
          </w:p>
        </w:tc>
        <w:tc>
          <w:tcPr>
            <w:tcW w:w="1043" w:type="dxa"/>
            <w:tcBorders>
              <w:top w:val="nil"/>
              <w:left w:val="nil"/>
              <w:bottom w:val="nil"/>
              <w:right w:val="nil"/>
            </w:tcBorders>
            <w:shd w:val="clear" w:color="auto" w:fill="auto"/>
            <w:noWrap/>
            <w:vAlign w:val="bottom"/>
            <w:hideMark/>
          </w:tcPr>
          <w:p w14:paraId="0DA782B9" w14:textId="77777777" w:rsidR="002F43BF" w:rsidRPr="00117BF8" w:rsidRDefault="002F43BF" w:rsidP="002F43BF">
            <w:pPr>
              <w:pStyle w:val="TablaC"/>
              <w:rPr>
                <w:rFonts w:ascii="Arial" w:hAnsi="Arial" w:cs="Arial"/>
                <w:sz w:val="18"/>
              </w:rPr>
            </w:pPr>
            <w:r w:rsidRPr="00117BF8">
              <w:rPr>
                <w:rFonts w:ascii="Arial" w:hAnsi="Arial" w:cs="Arial"/>
                <w:sz w:val="18"/>
              </w:rPr>
              <w:t>1,80</w:t>
            </w:r>
          </w:p>
        </w:tc>
        <w:tc>
          <w:tcPr>
            <w:tcW w:w="1043" w:type="dxa"/>
            <w:tcBorders>
              <w:top w:val="nil"/>
              <w:left w:val="nil"/>
              <w:bottom w:val="nil"/>
              <w:right w:val="nil"/>
            </w:tcBorders>
            <w:shd w:val="clear" w:color="auto" w:fill="auto"/>
            <w:noWrap/>
            <w:vAlign w:val="bottom"/>
            <w:hideMark/>
          </w:tcPr>
          <w:p w14:paraId="6E4EA016" w14:textId="77777777" w:rsidR="002F43BF" w:rsidRPr="00117BF8" w:rsidRDefault="002F43BF" w:rsidP="002F43BF">
            <w:pPr>
              <w:pStyle w:val="TablaC"/>
              <w:rPr>
                <w:rFonts w:ascii="Arial" w:hAnsi="Arial" w:cs="Arial"/>
                <w:sz w:val="18"/>
              </w:rPr>
            </w:pPr>
            <w:r w:rsidRPr="00117BF8">
              <w:rPr>
                <w:rFonts w:ascii="Arial" w:hAnsi="Arial" w:cs="Arial"/>
                <w:sz w:val="18"/>
              </w:rPr>
              <w:t>1,80</w:t>
            </w:r>
          </w:p>
        </w:tc>
      </w:tr>
      <w:tr w:rsidR="002F43BF" w:rsidRPr="004E6455" w14:paraId="6DC31266" w14:textId="77777777" w:rsidTr="002F43BF">
        <w:trPr>
          <w:trHeight w:val="300"/>
        </w:trPr>
        <w:tc>
          <w:tcPr>
            <w:tcW w:w="2567" w:type="dxa"/>
            <w:tcBorders>
              <w:top w:val="nil"/>
              <w:left w:val="nil"/>
              <w:bottom w:val="nil"/>
              <w:right w:val="nil"/>
            </w:tcBorders>
            <w:shd w:val="clear" w:color="auto" w:fill="auto"/>
            <w:noWrap/>
            <w:vAlign w:val="bottom"/>
            <w:hideMark/>
          </w:tcPr>
          <w:p w14:paraId="6201390C" w14:textId="77777777" w:rsidR="002F43BF" w:rsidRPr="00117BF8" w:rsidRDefault="002F43BF" w:rsidP="000D4582">
            <w:pPr>
              <w:pStyle w:val="TablaC"/>
              <w:keepNext w:val="0"/>
              <w:jc w:val="left"/>
              <w:rPr>
                <w:rFonts w:ascii="Arial" w:hAnsi="Arial" w:cs="Arial"/>
                <w:sz w:val="18"/>
              </w:rPr>
            </w:pPr>
          </w:p>
        </w:tc>
        <w:tc>
          <w:tcPr>
            <w:tcW w:w="1044" w:type="dxa"/>
            <w:tcBorders>
              <w:top w:val="nil"/>
              <w:left w:val="nil"/>
              <w:bottom w:val="nil"/>
              <w:right w:val="nil"/>
            </w:tcBorders>
            <w:shd w:val="clear" w:color="auto" w:fill="auto"/>
            <w:noWrap/>
            <w:vAlign w:val="bottom"/>
            <w:hideMark/>
          </w:tcPr>
          <w:p w14:paraId="63F662EA" w14:textId="77777777" w:rsidR="002F43BF" w:rsidRPr="00117BF8" w:rsidRDefault="002F43BF" w:rsidP="000D4582">
            <w:pPr>
              <w:pStyle w:val="TablaC"/>
              <w:keepNext w:val="0"/>
              <w:rPr>
                <w:rFonts w:ascii="Arial" w:hAnsi="Arial" w:cs="Arial"/>
                <w:sz w:val="18"/>
              </w:rPr>
            </w:pPr>
          </w:p>
        </w:tc>
        <w:tc>
          <w:tcPr>
            <w:tcW w:w="1044" w:type="dxa"/>
            <w:tcBorders>
              <w:top w:val="nil"/>
              <w:left w:val="nil"/>
              <w:bottom w:val="nil"/>
              <w:right w:val="nil"/>
            </w:tcBorders>
            <w:shd w:val="clear" w:color="auto" w:fill="auto"/>
            <w:noWrap/>
            <w:vAlign w:val="bottom"/>
            <w:hideMark/>
          </w:tcPr>
          <w:p w14:paraId="7E3D97E0" w14:textId="77777777" w:rsidR="002F43BF" w:rsidRPr="00117BF8" w:rsidRDefault="002F43BF" w:rsidP="000D4582">
            <w:pPr>
              <w:pStyle w:val="TablaC"/>
              <w:keepNext w:val="0"/>
              <w:rPr>
                <w:rFonts w:ascii="Arial" w:hAnsi="Arial" w:cs="Arial"/>
                <w:sz w:val="18"/>
              </w:rPr>
            </w:pPr>
          </w:p>
        </w:tc>
        <w:tc>
          <w:tcPr>
            <w:tcW w:w="1044" w:type="dxa"/>
            <w:tcBorders>
              <w:top w:val="nil"/>
              <w:left w:val="nil"/>
              <w:bottom w:val="nil"/>
              <w:right w:val="nil"/>
            </w:tcBorders>
            <w:shd w:val="clear" w:color="auto" w:fill="auto"/>
            <w:noWrap/>
            <w:vAlign w:val="bottom"/>
            <w:hideMark/>
          </w:tcPr>
          <w:p w14:paraId="1BF869A8"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23FA207C"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4DBCEF57"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6436C295"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23D3B023"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0B18F8AC"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58089CAC"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5D6F698B"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1630EB64" w14:textId="77777777" w:rsidR="002F43BF" w:rsidRPr="00117BF8" w:rsidRDefault="002F43BF" w:rsidP="000D4582">
            <w:pPr>
              <w:pStyle w:val="TablaC"/>
              <w:keepNext w:val="0"/>
              <w:rPr>
                <w:rFonts w:ascii="Arial" w:hAnsi="Arial" w:cs="Arial"/>
                <w:sz w:val="18"/>
              </w:rPr>
            </w:pPr>
          </w:p>
        </w:tc>
      </w:tr>
      <w:tr w:rsidR="002F43BF" w:rsidRPr="004E6455" w14:paraId="4588D4DD" w14:textId="77777777" w:rsidTr="002F43BF">
        <w:trPr>
          <w:trHeight w:val="300"/>
        </w:trPr>
        <w:tc>
          <w:tcPr>
            <w:tcW w:w="2567" w:type="dxa"/>
            <w:tcBorders>
              <w:top w:val="nil"/>
              <w:left w:val="nil"/>
              <w:bottom w:val="nil"/>
              <w:right w:val="nil"/>
            </w:tcBorders>
            <w:shd w:val="clear" w:color="auto" w:fill="auto"/>
            <w:noWrap/>
            <w:vAlign w:val="bottom"/>
            <w:hideMark/>
          </w:tcPr>
          <w:p w14:paraId="6FA5C04C" w14:textId="77777777" w:rsidR="002F43BF" w:rsidRPr="00117BF8" w:rsidRDefault="002F43BF" w:rsidP="002F43BF">
            <w:pPr>
              <w:pStyle w:val="TablaC"/>
              <w:jc w:val="left"/>
              <w:rPr>
                <w:rFonts w:ascii="Arial" w:hAnsi="Arial" w:cs="Arial"/>
                <w:sz w:val="18"/>
              </w:rPr>
            </w:pPr>
            <w:r w:rsidRPr="00117BF8">
              <w:rPr>
                <w:rFonts w:ascii="Arial" w:hAnsi="Arial" w:cs="Arial"/>
                <w:sz w:val="18"/>
              </w:rPr>
              <w:t>ARL 1274</w:t>
            </w:r>
          </w:p>
        </w:tc>
        <w:tc>
          <w:tcPr>
            <w:tcW w:w="1044" w:type="dxa"/>
            <w:tcBorders>
              <w:top w:val="nil"/>
              <w:left w:val="nil"/>
              <w:bottom w:val="nil"/>
              <w:right w:val="nil"/>
            </w:tcBorders>
            <w:shd w:val="clear" w:color="auto" w:fill="auto"/>
            <w:noWrap/>
            <w:vAlign w:val="bottom"/>
            <w:hideMark/>
          </w:tcPr>
          <w:p w14:paraId="44CF1D85"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58AC3F2C"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63005C3D"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FDF8786"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D5EE0B7"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BDFBFCC"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1CDBD7D"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CEB5014"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A6C1037"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4EB6FF0C"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D634CDE" w14:textId="77777777" w:rsidR="002F43BF" w:rsidRPr="00117BF8" w:rsidRDefault="002F43BF" w:rsidP="002F43BF">
            <w:pPr>
              <w:pStyle w:val="TablaC"/>
              <w:rPr>
                <w:rFonts w:ascii="Arial" w:hAnsi="Arial" w:cs="Arial"/>
                <w:sz w:val="18"/>
              </w:rPr>
            </w:pPr>
          </w:p>
        </w:tc>
      </w:tr>
      <w:tr w:rsidR="002F43BF" w:rsidRPr="004E6455" w14:paraId="78DEA981" w14:textId="77777777" w:rsidTr="002F43BF">
        <w:trPr>
          <w:trHeight w:val="300"/>
        </w:trPr>
        <w:tc>
          <w:tcPr>
            <w:tcW w:w="2567" w:type="dxa"/>
            <w:tcBorders>
              <w:top w:val="nil"/>
              <w:left w:val="nil"/>
              <w:bottom w:val="nil"/>
              <w:right w:val="nil"/>
            </w:tcBorders>
            <w:shd w:val="clear" w:color="auto" w:fill="auto"/>
            <w:noWrap/>
            <w:vAlign w:val="bottom"/>
            <w:hideMark/>
          </w:tcPr>
          <w:p w14:paraId="2D5AF190" w14:textId="77777777" w:rsidR="002F43BF" w:rsidRPr="00117BF8" w:rsidRDefault="002F43BF" w:rsidP="002F43BF">
            <w:pPr>
              <w:pStyle w:val="TablaC"/>
              <w:jc w:val="left"/>
              <w:rPr>
                <w:rFonts w:ascii="Arial" w:hAnsi="Arial" w:cs="Arial"/>
                <w:sz w:val="18"/>
              </w:rPr>
            </w:pPr>
            <w:r w:rsidRPr="00117BF8">
              <w:rPr>
                <w:rFonts w:ascii="Arial" w:hAnsi="Arial" w:cs="Arial"/>
                <w:sz w:val="18"/>
              </w:rPr>
              <w:t>Desembolso</w:t>
            </w:r>
          </w:p>
        </w:tc>
        <w:tc>
          <w:tcPr>
            <w:tcW w:w="1044" w:type="dxa"/>
            <w:tcBorders>
              <w:top w:val="nil"/>
              <w:left w:val="nil"/>
              <w:bottom w:val="nil"/>
              <w:right w:val="nil"/>
            </w:tcBorders>
            <w:shd w:val="clear" w:color="auto" w:fill="auto"/>
            <w:noWrap/>
            <w:vAlign w:val="bottom"/>
            <w:hideMark/>
          </w:tcPr>
          <w:p w14:paraId="14F1DB89" w14:textId="77777777" w:rsidR="002F43BF" w:rsidRPr="00117BF8" w:rsidRDefault="002F43BF" w:rsidP="002F43BF">
            <w:pPr>
              <w:pStyle w:val="TablaC"/>
              <w:rPr>
                <w:rFonts w:ascii="Arial" w:hAnsi="Arial" w:cs="Arial"/>
                <w:sz w:val="18"/>
              </w:rPr>
            </w:pPr>
            <w:r w:rsidRPr="00117BF8">
              <w:rPr>
                <w:rFonts w:ascii="Arial" w:hAnsi="Arial" w:cs="Arial"/>
                <w:sz w:val="18"/>
              </w:rPr>
              <w:t>26,99</w:t>
            </w:r>
          </w:p>
        </w:tc>
        <w:tc>
          <w:tcPr>
            <w:tcW w:w="1044" w:type="dxa"/>
            <w:tcBorders>
              <w:top w:val="nil"/>
              <w:left w:val="nil"/>
              <w:bottom w:val="nil"/>
              <w:right w:val="nil"/>
            </w:tcBorders>
            <w:shd w:val="clear" w:color="auto" w:fill="auto"/>
            <w:noWrap/>
            <w:vAlign w:val="bottom"/>
            <w:hideMark/>
          </w:tcPr>
          <w:p w14:paraId="1D7FCF6B" w14:textId="77777777" w:rsidR="002F43BF" w:rsidRPr="00117BF8" w:rsidRDefault="002F43BF" w:rsidP="002F43BF">
            <w:pPr>
              <w:pStyle w:val="TablaC"/>
              <w:rPr>
                <w:rFonts w:ascii="Arial" w:hAnsi="Arial" w:cs="Arial"/>
                <w:sz w:val="18"/>
              </w:rPr>
            </w:pPr>
            <w:r w:rsidRPr="00117BF8">
              <w:rPr>
                <w:rFonts w:ascii="Arial" w:hAnsi="Arial" w:cs="Arial"/>
                <w:sz w:val="18"/>
              </w:rPr>
              <w:t>71,58</w:t>
            </w:r>
          </w:p>
        </w:tc>
        <w:tc>
          <w:tcPr>
            <w:tcW w:w="1044" w:type="dxa"/>
            <w:tcBorders>
              <w:top w:val="nil"/>
              <w:left w:val="nil"/>
              <w:bottom w:val="nil"/>
              <w:right w:val="nil"/>
            </w:tcBorders>
            <w:shd w:val="clear" w:color="auto" w:fill="auto"/>
            <w:noWrap/>
            <w:vAlign w:val="bottom"/>
            <w:hideMark/>
          </w:tcPr>
          <w:p w14:paraId="4B44FBA2" w14:textId="77777777" w:rsidR="002F43BF" w:rsidRPr="00117BF8" w:rsidRDefault="002F43BF" w:rsidP="002F43BF">
            <w:pPr>
              <w:pStyle w:val="TablaC"/>
              <w:rPr>
                <w:rFonts w:ascii="Arial" w:hAnsi="Arial" w:cs="Arial"/>
                <w:sz w:val="18"/>
              </w:rPr>
            </w:pPr>
            <w:r w:rsidRPr="00117BF8">
              <w:rPr>
                <w:rFonts w:ascii="Arial" w:hAnsi="Arial" w:cs="Arial"/>
                <w:sz w:val="18"/>
              </w:rPr>
              <w:t>58,39</w:t>
            </w:r>
          </w:p>
        </w:tc>
        <w:tc>
          <w:tcPr>
            <w:tcW w:w="1043" w:type="dxa"/>
            <w:tcBorders>
              <w:top w:val="nil"/>
              <w:left w:val="nil"/>
              <w:bottom w:val="nil"/>
              <w:right w:val="nil"/>
            </w:tcBorders>
            <w:shd w:val="clear" w:color="auto" w:fill="auto"/>
            <w:noWrap/>
            <w:vAlign w:val="bottom"/>
            <w:hideMark/>
          </w:tcPr>
          <w:p w14:paraId="307665CC" w14:textId="77777777" w:rsidR="002F43BF" w:rsidRPr="00117BF8" w:rsidRDefault="002F43BF" w:rsidP="002F43BF">
            <w:pPr>
              <w:pStyle w:val="TablaC"/>
              <w:rPr>
                <w:rFonts w:ascii="Arial" w:hAnsi="Arial" w:cs="Arial"/>
                <w:sz w:val="18"/>
              </w:rPr>
            </w:pPr>
            <w:r w:rsidRPr="00117BF8">
              <w:rPr>
                <w:rFonts w:ascii="Arial" w:hAnsi="Arial" w:cs="Arial"/>
                <w:sz w:val="18"/>
              </w:rPr>
              <w:t>42,74</w:t>
            </w:r>
          </w:p>
        </w:tc>
        <w:tc>
          <w:tcPr>
            <w:tcW w:w="1043" w:type="dxa"/>
            <w:tcBorders>
              <w:top w:val="nil"/>
              <w:left w:val="nil"/>
              <w:bottom w:val="nil"/>
              <w:right w:val="nil"/>
            </w:tcBorders>
            <w:shd w:val="clear" w:color="auto" w:fill="auto"/>
            <w:noWrap/>
            <w:vAlign w:val="bottom"/>
            <w:hideMark/>
          </w:tcPr>
          <w:p w14:paraId="492C04D2" w14:textId="77777777" w:rsidR="002F43BF" w:rsidRPr="00117BF8" w:rsidRDefault="002F43BF" w:rsidP="002F43BF">
            <w:pPr>
              <w:pStyle w:val="TablaC"/>
              <w:rPr>
                <w:rFonts w:ascii="Arial" w:hAnsi="Arial" w:cs="Arial"/>
                <w:sz w:val="18"/>
              </w:rPr>
            </w:pPr>
            <w:r w:rsidRPr="00117BF8">
              <w:rPr>
                <w:rFonts w:ascii="Arial" w:hAnsi="Arial" w:cs="Arial"/>
                <w:sz w:val="18"/>
              </w:rPr>
              <w:t>0,30</w:t>
            </w:r>
          </w:p>
        </w:tc>
        <w:tc>
          <w:tcPr>
            <w:tcW w:w="1043" w:type="dxa"/>
            <w:tcBorders>
              <w:top w:val="nil"/>
              <w:left w:val="nil"/>
              <w:bottom w:val="nil"/>
              <w:right w:val="nil"/>
            </w:tcBorders>
            <w:shd w:val="clear" w:color="auto" w:fill="auto"/>
            <w:noWrap/>
            <w:vAlign w:val="bottom"/>
            <w:hideMark/>
          </w:tcPr>
          <w:p w14:paraId="38C1D198"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E927DDF"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4F3C30E"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268ED16B"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004CDD6"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3596E05" w14:textId="77777777" w:rsidR="002F43BF" w:rsidRPr="00117BF8" w:rsidRDefault="002F43BF" w:rsidP="002F43BF">
            <w:pPr>
              <w:pStyle w:val="TablaC"/>
              <w:rPr>
                <w:rFonts w:ascii="Arial" w:hAnsi="Arial" w:cs="Arial"/>
                <w:sz w:val="18"/>
              </w:rPr>
            </w:pPr>
          </w:p>
        </w:tc>
      </w:tr>
      <w:tr w:rsidR="002F43BF" w:rsidRPr="004E6455" w14:paraId="66EF46B7" w14:textId="77777777" w:rsidTr="002F43BF">
        <w:trPr>
          <w:trHeight w:val="300"/>
        </w:trPr>
        <w:tc>
          <w:tcPr>
            <w:tcW w:w="2567" w:type="dxa"/>
            <w:tcBorders>
              <w:top w:val="nil"/>
              <w:left w:val="nil"/>
              <w:bottom w:val="nil"/>
              <w:right w:val="nil"/>
            </w:tcBorders>
            <w:shd w:val="clear" w:color="auto" w:fill="auto"/>
            <w:noWrap/>
            <w:vAlign w:val="bottom"/>
            <w:hideMark/>
          </w:tcPr>
          <w:p w14:paraId="1119A517" w14:textId="77777777" w:rsidR="002F43BF" w:rsidRPr="00117BF8" w:rsidRDefault="002F43BF" w:rsidP="002F43BF">
            <w:pPr>
              <w:pStyle w:val="TablaC"/>
              <w:jc w:val="left"/>
              <w:rPr>
                <w:rFonts w:ascii="Arial" w:hAnsi="Arial" w:cs="Arial"/>
                <w:sz w:val="18"/>
              </w:rPr>
            </w:pPr>
            <w:r w:rsidRPr="00117BF8">
              <w:rPr>
                <w:rFonts w:ascii="Arial" w:hAnsi="Arial" w:cs="Arial"/>
                <w:sz w:val="18"/>
              </w:rPr>
              <w:t>Contraparte</w:t>
            </w:r>
          </w:p>
        </w:tc>
        <w:tc>
          <w:tcPr>
            <w:tcW w:w="1044" w:type="dxa"/>
            <w:tcBorders>
              <w:top w:val="nil"/>
              <w:left w:val="nil"/>
              <w:bottom w:val="nil"/>
              <w:right w:val="nil"/>
            </w:tcBorders>
            <w:shd w:val="clear" w:color="auto" w:fill="auto"/>
            <w:noWrap/>
            <w:vAlign w:val="bottom"/>
            <w:hideMark/>
          </w:tcPr>
          <w:p w14:paraId="1FDF1423" w14:textId="77777777" w:rsidR="002F43BF" w:rsidRPr="00117BF8" w:rsidRDefault="002F43BF" w:rsidP="002F43BF">
            <w:pPr>
              <w:pStyle w:val="TablaC"/>
              <w:rPr>
                <w:rFonts w:ascii="Arial" w:hAnsi="Arial" w:cs="Arial"/>
                <w:sz w:val="18"/>
              </w:rPr>
            </w:pPr>
            <w:r w:rsidRPr="00117BF8">
              <w:rPr>
                <w:rFonts w:ascii="Arial" w:hAnsi="Arial" w:cs="Arial"/>
                <w:sz w:val="18"/>
              </w:rPr>
              <w:t>9,96</w:t>
            </w:r>
          </w:p>
        </w:tc>
        <w:tc>
          <w:tcPr>
            <w:tcW w:w="1044" w:type="dxa"/>
            <w:tcBorders>
              <w:top w:val="nil"/>
              <w:left w:val="nil"/>
              <w:bottom w:val="nil"/>
              <w:right w:val="nil"/>
            </w:tcBorders>
            <w:shd w:val="clear" w:color="auto" w:fill="auto"/>
            <w:noWrap/>
            <w:vAlign w:val="bottom"/>
            <w:hideMark/>
          </w:tcPr>
          <w:p w14:paraId="4C143FB5" w14:textId="77777777" w:rsidR="002F43BF" w:rsidRPr="00117BF8" w:rsidRDefault="002F43BF" w:rsidP="002F43BF">
            <w:pPr>
              <w:pStyle w:val="TablaC"/>
              <w:rPr>
                <w:rFonts w:ascii="Arial" w:hAnsi="Arial" w:cs="Arial"/>
                <w:sz w:val="18"/>
              </w:rPr>
            </w:pPr>
            <w:r w:rsidRPr="00117BF8">
              <w:rPr>
                <w:rFonts w:ascii="Arial" w:hAnsi="Arial" w:cs="Arial"/>
                <w:sz w:val="18"/>
              </w:rPr>
              <w:t>26,44</w:t>
            </w:r>
          </w:p>
        </w:tc>
        <w:tc>
          <w:tcPr>
            <w:tcW w:w="1044" w:type="dxa"/>
            <w:tcBorders>
              <w:top w:val="nil"/>
              <w:left w:val="nil"/>
              <w:bottom w:val="nil"/>
              <w:right w:val="nil"/>
            </w:tcBorders>
            <w:shd w:val="clear" w:color="auto" w:fill="auto"/>
            <w:noWrap/>
            <w:vAlign w:val="bottom"/>
            <w:hideMark/>
          </w:tcPr>
          <w:p w14:paraId="3FDCD70C" w14:textId="77777777" w:rsidR="002F43BF" w:rsidRPr="00117BF8" w:rsidRDefault="002F43BF" w:rsidP="002F43BF">
            <w:pPr>
              <w:pStyle w:val="TablaC"/>
              <w:rPr>
                <w:rFonts w:ascii="Arial" w:hAnsi="Arial" w:cs="Arial"/>
                <w:sz w:val="18"/>
              </w:rPr>
            </w:pPr>
            <w:r w:rsidRPr="00117BF8">
              <w:rPr>
                <w:rFonts w:ascii="Arial" w:hAnsi="Arial" w:cs="Arial"/>
                <w:sz w:val="18"/>
              </w:rPr>
              <w:t>24,80</w:t>
            </w:r>
          </w:p>
        </w:tc>
        <w:tc>
          <w:tcPr>
            <w:tcW w:w="1043" w:type="dxa"/>
            <w:tcBorders>
              <w:top w:val="nil"/>
              <w:left w:val="nil"/>
              <w:bottom w:val="nil"/>
              <w:right w:val="nil"/>
            </w:tcBorders>
            <w:shd w:val="clear" w:color="auto" w:fill="auto"/>
            <w:noWrap/>
            <w:vAlign w:val="bottom"/>
            <w:hideMark/>
          </w:tcPr>
          <w:p w14:paraId="1632CE77" w14:textId="77777777" w:rsidR="002F43BF" w:rsidRPr="00117BF8" w:rsidRDefault="002F43BF" w:rsidP="002F43BF">
            <w:pPr>
              <w:pStyle w:val="TablaC"/>
              <w:rPr>
                <w:rFonts w:ascii="Arial" w:hAnsi="Arial" w:cs="Arial"/>
                <w:sz w:val="18"/>
              </w:rPr>
            </w:pPr>
            <w:r w:rsidRPr="00117BF8">
              <w:rPr>
                <w:rFonts w:ascii="Arial" w:hAnsi="Arial" w:cs="Arial"/>
                <w:sz w:val="18"/>
              </w:rPr>
              <w:t>18,80</w:t>
            </w:r>
          </w:p>
        </w:tc>
        <w:tc>
          <w:tcPr>
            <w:tcW w:w="1043" w:type="dxa"/>
            <w:tcBorders>
              <w:top w:val="nil"/>
              <w:left w:val="nil"/>
              <w:bottom w:val="nil"/>
              <w:right w:val="nil"/>
            </w:tcBorders>
            <w:shd w:val="clear" w:color="auto" w:fill="auto"/>
            <w:noWrap/>
            <w:vAlign w:val="bottom"/>
            <w:hideMark/>
          </w:tcPr>
          <w:p w14:paraId="36275C4F"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1F0D1B91"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54E74D7C"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489476A6"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029887AA"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30993191"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000F52FC" w14:textId="77777777" w:rsidR="002F43BF" w:rsidRPr="00117BF8" w:rsidRDefault="002F43BF" w:rsidP="002F43BF">
            <w:pPr>
              <w:pStyle w:val="TablaC"/>
              <w:rPr>
                <w:rFonts w:ascii="Arial" w:hAnsi="Arial" w:cs="Arial"/>
                <w:sz w:val="18"/>
              </w:rPr>
            </w:pPr>
          </w:p>
        </w:tc>
      </w:tr>
      <w:tr w:rsidR="002F43BF" w:rsidRPr="004E6455" w14:paraId="16147A53" w14:textId="77777777" w:rsidTr="002F43BF">
        <w:trPr>
          <w:trHeight w:val="300"/>
        </w:trPr>
        <w:tc>
          <w:tcPr>
            <w:tcW w:w="2567" w:type="dxa"/>
            <w:tcBorders>
              <w:top w:val="nil"/>
              <w:left w:val="nil"/>
              <w:bottom w:val="nil"/>
              <w:right w:val="nil"/>
            </w:tcBorders>
            <w:shd w:val="clear" w:color="auto" w:fill="auto"/>
            <w:noWrap/>
            <w:vAlign w:val="bottom"/>
            <w:hideMark/>
          </w:tcPr>
          <w:p w14:paraId="0478CB07" w14:textId="77777777" w:rsidR="002F43BF" w:rsidRPr="00117BF8" w:rsidRDefault="002F43BF" w:rsidP="002F43BF">
            <w:pPr>
              <w:pStyle w:val="TablaC"/>
              <w:jc w:val="left"/>
              <w:rPr>
                <w:rFonts w:ascii="Arial" w:hAnsi="Arial" w:cs="Arial"/>
                <w:sz w:val="18"/>
              </w:rPr>
            </w:pPr>
            <w:r w:rsidRPr="00117BF8">
              <w:rPr>
                <w:rFonts w:ascii="Arial" w:hAnsi="Arial" w:cs="Arial"/>
                <w:sz w:val="18"/>
              </w:rPr>
              <w:t>Deuda la 31/12</w:t>
            </w:r>
          </w:p>
        </w:tc>
        <w:tc>
          <w:tcPr>
            <w:tcW w:w="1044" w:type="dxa"/>
            <w:tcBorders>
              <w:top w:val="nil"/>
              <w:left w:val="nil"/>
              <w:bottom w:val="nil"/>
              <w:right w:val="nil"/>
            </w:tcBorders>
            <w:shd w:val="clear" w:color="auto" w:fill="auto"/>
            <w:noWrap/>
            <w:vAlign w:val="bottom"/>
            <w:hideMark/>
          </w:tcPr>
          <w:p w14:paraId="291185EA" w14:textId="77777777" w:rsidR="002F43BF" w:rsidRPr="00117BF8" w:rsidRDefault="002F43BF" w:rsidP="002F43BF">
            <w:pPr>
              <w:pStyle w:val="TablaC"/>
              <w:rPr>
                <w:rFonts w:ascii="Arial" w:hAnsi="Arial" w:cs="Arial"/>
                <w:sz w:val="18"/>
              </w:rPr>
            </w:pPr>
            <w:r w:rsidRPr="00117BF8">
              <w:rPr>
                <w:rFonts w:ascii="Arial" w:hAnsi="Arial" w:cs="Arial"/>
                <w:sz w:val="18"/>
              </w:rPr>
              <w:t>26,99</w:t>
            </w:r>
          </w:p>
        </w:tc>
        <w:tc>
          <w:tcPr>
            <w:tcW w:w="1044" w:type="dxa"/>
            <w:tcBorders>
              <w:top w:val="nil"/>
              <w:left w:val="nil"/>
              <w:bottom w:val="nil"/>
              <w:right w:val="nil"/>
            </w:tcBorders>
            <w:shd w:val="clear" w:color="auto" w:fill="auto"/>
            <w:noWrap/>
            <w:vAlign w:val="bottom"/>
            <w:hideMark/>
          </w:tcPr>
          <w:p w14:paraId="204B2898" w14:textId="77777777" w:rsidR="002F43BF" w:rsidRPr="00117BF8" w:rsidRDefault="002F43BF" w:rsidP="002F43BF">
            <w:pPr>
              <w:pStyle w:val="TablaC"/>
              <w:rPr>
                <w:rFonts w:ascii="Arial" w:hAnsi="Arial" w:cs="Arial"/>
                <w:sz w:val="18"/>
              </w:rPr>
            </w:pPr>
            <w:r w:rsidRPr="00117BF8">
              <w:rPr>
                <w:rFonts w:ascii="Arial" w:hAnsi="Arial" w:cs="Arial"/>
                <w:sz w:val="18"/>
              </w:rPr>
              <w:t>98,57</w:t>
            </w:r>
          </w:p>
        </w:tc>
        <w:tc>
          <w:tcPr>
            <w:tcW w:w="1044" w:type="dxa"/>
            <w:tcBorders>
              <w:top w:val="nil"/>
              <w:left w:val="nil"/>
              <w:bottom w:val="nil"/>
              <w:right w:val="nil"/>
            </w:tcBorders>
            <w:shd w:val="clear" w:color="auto" w:fill="auto"/>
            <w:noWrap/>
            <w:vAlign w:val="bottom"/>
            <w:hideMark/>
          </w:tcPr>
          <w:p w14:paraId="7E6106BD" w14:textId="77777777" w:rsidR="002F43BF" w:rsidRPr="00117BF8" w:rsidRDefault="002F43BF" w:rsidP="002F43BF">
            <w:pPr>
              <w:pStyle w:val="TablaC"/>
              <w:rPr>
                <w:rFonts w:ascii="Arial" w:hAnsi="Arial" w:cs="Arial"/>
                <w:sz w:val="18"/>
              </w:rPr>
            </w:pPr>
            <w:r w:rsidRPr="00117BF8">
              <w:rPr>
                <w:rFonts w:ascii="Arial" w:hAnsi="Arial" w:cs="Arial"/>
                <w:sz w:val="18"/>
              </w:rPr>
              <w:t>156,96</w:t>
            </w:r>
          </w:p>
        </w:tc>
        <w:tc>
          <w:tcPr>
            <w:tcW w:w="1043" w:type="dxa"/>
            <w:tcBorders>
              <w:top w:val="nil"/>
              <w:left w:val="nil"/>
              <w:bottom w:val="nil"/>
              <w:right w:val="nil"/>
            </w:tcBorders>
            <w:shd w:val="clear" w:color="auto" w:fill="auto"/>
            <w:noWrap/>
            <w:vAlign w:val="bottom"/>
            <w:hideMark/>
          </w:tcPr>
          <w:p w14:paraId="6B4C715A" w14:textId="77777777" w:rsidR="002F43BF" w:rsidRPr="00117BF8" w:rsidRDefault="002F43BF" w:rsidP="002F43BF">
            <w:pPr>
              <w:pStyle w:val="TablaC"/>
              <w:rPr>
                <w:rFonts w:ascii="Arial" w:hAnsi="Arial" w:cs="Arial"/>
                <w:sz w:val="18"/>
              </w:rPr>
            </w:pPr>
            <w:r w:rsidRPr="00117BF8">
              <w:rPr>
                <w:rFonts w:ascii="Arial" w:hAnsi="Arial" w:cs="Arial"/>
                <w:sz w:val="18"/>
              </w:rPr>
              <w:t>199,70</w:t>
            </w:r>
          </w:p>
        </w:tc>
        <w:tc>
          <w:tcPr>
            <w:tcW w:w="1043" w:type="dxa"/>
            <w:tcBorders>
              <w:top w:val="nil"/>
              <w:left w:val="nil"/>
              <w:bottom w:val="nil"/>
              <w:right w:val="nil"/>
            </w:tcBorders>
            <w:shd w:val="clear" w:color="auto" w:fill="auto"/>
            <w:noWrap/>
            <w:vAlign w:val="bottom"/>
            <w:hideMark/>
          </w:tcPr>
          <w:p w14:paraId="6EA56ABA" w14:textId="77777777" w:rsidR="002F43BF" w:rsidRPr="00117BF8" w:rsidRDefault="002F43BF" w:rsidP="002F43BF">
            <w:pPr>
              <w:pStyle w:val="TablaC"/>
              <w:rPr>
                <w:rFonts w:ascii="Arial" w:hAnsi="Arial" w:cs="Arial"/>
                <w:sz w:val="18"/>
              </w:rPr>
            </w:pPr>
            <w:r w:rsidRPr="00117BF8">
              <w:rPr>
                <w:rFonts w:ascii="Arial" w:hAnsi="Arial" w:cs="Arial"/>
                <w:sz w:val="18"/>
              </w:rPr>
              <w:t>200,00</w:t>
            </w:r>
          </w:p>
        </w:tc>
        <w:tc>
          <w:tcPr>
            <w:tcW w:w="1043" w:type="dxa"/>
            <w:tcBorders>
              <w:top w:val="nil"/>
              <w:left w:val="nil"/>
              <w:bottom w:val="nil"/>
              <w:right w:val="nil"/>
            </w:tcBorders>
            <w:shd w:val="clear" w:color="auto" w:fill="auto"/>
            <w:noWrap/>
            <w:vAlign w:val="bottom"/>
            <w:hideMark/>
          </w:tcPr>
          <w:p w14:paraId="5AFC441A" w14:textId="77777777" w:rsidR="002F43BF" w:rsidRPr="00117BF8" w:rsidRDefault="002F43BF" w:rsidP="002F43BF">
            <w:pPr>
              <w:pStyle w:val="TablaC"/>
              <w:rPr>
                <w:rFonts w:ascii="Arial" w:hAnsi="Arial" w:cs="Arial"/>
                <w:sz w:val="18"/>
              </w:rPr>
            </w:pPr>
            <w:r w:rsidRPr="00117BF8">
              <w:rPr>
                <w:rFonts w:ascii="Arial" w:hAnsi="Arial" w:cs="Arial"/>
                <w:sz w:val="18"/>
              </w:rPr>
              <w:t>190,00</w:t>
            </w:r>
          </w:p>
        </w:tc>
        <w:tc>
          <w:tcPr>
            <w:tcW w:w="1043" w:type="dxa"/>
            <w:tcBorders>
              <w:top w:val="nil"/>
              <w:left w:val="nil"/>
              <w:bottom w:val="nil"/>
              <w:right w:val="nil"/>
            </w:tcBorders>
            <w:shd w:val="clear" w:color="auto" w:fill="auto"/>
            <w:noWrap/>
            <w:vAlign w:val="bottom"/>
            <w:hideMark/>
          </w:tcPr>
          <w:p w14:paraId="1ACD6DE4" w14:textId="77777777" w:rsidR="002F43BF" w:rsidRPr="00117BF8" w:rsidRDefault="002F43BF" w:rsidP="002F43BF">
            <w:pPr>
              <w:pStyle w:val="TablaC"/>
              <w:rPr>
                <w:rFonts w:ascii="Arial" w:hAnsi="Arial" w:cs="Arial"/>
                <w:sz w:val="18"/>
              </w:rPr>
            </w:pPr>
            <w:r w:rsidRPr="00117BF8">
              <w:rPr>
                <w:rFonts w:ascii="Arial" w:hAnsi="Arial" w:cs="Arial"/>
                <w:sz w:val="18"/>
              </w:rPr>
              <w:t>180,00</w:t>
            </w:r>
          </w:p>
        </w:tc>
        <w:tc>
          <w:tcPr>
            <w:tcW w:w="1043" w:type="dxa"/>
            <w:tcBorders>
              <w:top w:val="nil"/>
              <w:left w:val="nil"/>
              <w:bottom w:val="nil"/>
              <w:right w:val="nil"/>
            </w:tcBorders>
            <w:shd w:val="clear" w:color="auto" w:fill="auto"/>
            <w:noWrap/>
            <w:vAlign w:val="bottom"/>
            <w:hideMark/>
          </w:tcPr>
          <w:p w14:paraId="55FD9280" w14:textId="77777777" w:rsidR="002F43BF" w:rsidRPr="00117BF8" w:rsidRDefault="002F43BF" w:rsidP="002F43BF">
            <w:pPr>
              <w:pStyle w:val="TablaC"/>
              <w:rPr>
                <w:rFonts w:ascii="Arial" w:hAnsi="Arial" w:cs="Arial"/>
                <w:sz w:val="18"/>
              </w:rPr>
            </w:pPr>
            <w:r w:rsidRPr="00117BF8">
              <w:rPr>
                <w:rFonts w:ascii="Arial" w:hAnsi="Arial" w:cs="Arial"/>
                <w:sz w:val="18"/>
              </w:rPr>
              <w:t>170,00</w:t>
            </w:r>
          </w:p>
        </w:tc>
        <w:tc>
          <w:tcPr>
            <w:tcW w:w="1043" w:type="dxa"/>
            <w:tcBorders>
              <w:top w:val="nil"/>
              <w:left w:val="nil"/>
              <w:bottom w:val="nil"/>
              <w:right w:val="nil"/>
            </w:tcBorders>
            <w:shd w:val="clear" w:color="auto" w:fill="auto"/>
            <w:noWrap/>
            <w:vAlign w:val="bottom"/>
            <w:hideMark/>
          </w:tcPr>
          <w:p w14:paraId="7BEA2E0F" w14:textId="77777777" w:rsidR="002F43BF" w:rsidRPr="00117BF8" w:rsidRDefault="002F43BF" w:rsidP="002F43BF">
            <w:pPr>
              <w:pStyle w:val="TablaC"/>
              <w:rPr>
                <w:rFonts w:ascii="Arial" w:hAnsi="Arial" w:cs="Arial"/>
                <w:sz w:val="18"/>
              </w:rPr>
            </w:pPr>
            <w:r w:rsidRPr="00117BF8">
              <w:rPr>
                <w:rFonts w:ascii="Arial" w:hAnsi="Arial" w:cs="Arial"/>
                <w:sz w:val="18"/>
              </w:rPr>
              <w:t>160,00</w:t>
            </w:r>
          </w:p>
        </w:tc>
        <w:tc>
          <w:tcPr>
            <w:tcW w:w="1043" w:type="dxa"/>
            <w:tcBorders>
              <w:top w:val="nil"/>
              <w:left w:val="nil"/>
              <w:bottom w:val="nil"/>
              <w:right w:val="nil"/>
            </w:tcBorders>
            <w:shd w:val="clear" w:color="auto" w:fill="auto"/>
            <w:noWrap/>
            <w:vAlign w:val="bottom"/>
            <w:hideMark/>
          </w:tcPr>
          <w:p w14:paraId="61F5F56D" w14:textId="77777777" w:rsidR="002F43BF" w:rsidRPr="00117BF8" w:rsidRDefault="002F43BF" w:rsidP="002F43BF">
            <w:pPr>
              <w:pStyle w:val="TablaC"/>
              <w:rPr>
                <w:rFonts w:ascii="Arial" w:hAnsi="Arial" w:cs="Arial"/>
                <w:sz w:val="18"/>
              </w:rPr>
            </w:pPr>
            <w:r w:rsidRPr="00117BF8">
              <w:rPr>
                <w:rFonts w:ascii="Arial" w:hAnsi="Arial" w:cs="Arial"/>
                <w:sz w:val="18"/>
              </w:rPr>
              <w:t>150,00</w:t>
            </w:r>
          </w:p>
        </w:tc>
        <w:tc>
          <w:tcPr>
            <w:tcW w:w="1043" w:type="dxa"/>
            <w:tcBorders>
              <w:top w:val="nil"/>
              <w:left w:val="nil"/>
              <w:bottom w:val="nil"/>
              <w:right w:val="nil"/>
            </w:tcBorders>
            <w:shd w:val="clear" w:color="auto" w:fill="auto"/>
            <w:noWrap/>
            <w:vAlign w:val="bottom"/>
            <w:hideMark/>
          </w:tcPr>
          <w:p w14:paraId="33D539BB" w14:textId="77777777" w:rsidR="002F43BF" w:rsidRPr="00117BF8" w:rsidRDefault="002F43BF" w:rsidP="002F43BF">
            <w:pPr>
              <w:pStyle w:val="TablaC"/>
              <w:rPr>
                <w:rFonts w:ascii="Arial" w:hAnsi="Arial" w:cs="Arial"/>
                <w:sz w:val="18"/>
              </w:rPr>
            </w:pPr>
            <w:r w:rsidRPr="00117BF8">
              <w:rPr>
                <w:rFonts w:ascii="Arial" w:hAnsi="Arial" w:cs="Arial"/>
                <w:sz w:val="18"/>
              </w:rPr>
              <w:t>140,00</w:t>
            </w:r>
          </w:p>
        </w:tc>
      </w:tr>
      <w:tr w:rsidR="002F43BF" w:rsidRPr="004E6455" w14:paraId="3D118435" w14:textId="77777777" w:rsidTr="002F43BF">
        <w:trPr>
          <w:trHeight w:val="300"/>
        </w:trPr>
        <w:tc>
          <w:tcPr>
            <w:tcW w:w="2567" w:type="dxa"/>
            <w:tcBorders>
              <w:top w:val="nil"/>
              <w:left w:val="nil"/>
              <w:bottom w:val="nil"/>
              <w:right w:val="nil"/>
            </w:tcBorders>
            <w:shd w:val="clear" w:color="auto" w:fill="auto"/>
            <w:noWrap/>
            <w:vAlign w:val="bottom"/>
            <w:hideMark/>
          </w:tcPr>
          <w:p w14:paraId="2AA58F41" w14:textId="77777777" w:rsidR="002F43BF" w:rsidRPr="00117BF8" w:rsidRDefault="002F43BF" w:rsidP="002F43BF">
            <w:pPr>
              <w:pStyle w:val="TablaC"/>
              <w:jc w:val="left"/>
              <w:rPr>
                <w:rFonts w:ascii="Arial" w:hAnsi="Arial" w:cs="Arial"/>
                <w:sz w:val="18"/>
              </w:rPr>
            </w:pPr>
            <w:r w:rsidRPr="00117BF8">
              <w:rPr>
                <w:rFonts w:ascii="Arial" w:hAnsi="Arial" w:cs="Arial"/>
                <w:sz w:val="18"/>
              </w:rPr>
              <w:t>Amortización</w:t>
            </w:r>
          </w:p>
        </w:tc>
        <w:tc>
          <w:tcPr>
            <w:tcW w:w="1044" w:type="dxa"/>
            <w:tcBorders>
              <w:top w:val="nil"/>
              <w:left w:val="nil"/>
              <w:bottom w:val="nil"/>
              <w:right w:val="nil"/>
            </w:tcBorders>
            <w:shd w:val="clear" w:color="auto" w:fill="auto"/>
            <w:noWrap/>
            <w:vAlign w:val="bottom"/>
            <w:hideMark/>
          </w:tcPr>
          <w:p w14:paraId="2C7586EF"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33C63BE4" w14:textId="77777777" w:rsidR="002F43BF" w:rsidRPr="00117BF8" w:rsidRDefault="002F43BF" w:rsidP="002F43BF">
            <w:pPr>
              <w:pStyle w:val="TablaC"/>
              <w:rPr>
                <w:rFonts w:ascii="Arial" w:hAnsi="Arial" w:cs="Arial"/>
                <w:sz w:val="18"/>
              </w:rPr>
            </w:pPr>
          </w:p>
        </w:tc>
        <w:tc>
          <w:tcPr>
            <w:tcW w:w="1044" w:type="dxa"/>
            <w:tcBorders>
              <w:top w:val="nil"/>
              <w:left w:val="nil"/>
              <w:bottom w:val="nil"/>
              <w:right w:val="nil"/>
            </w:tcBorders>
            <w:shd w:val="clear" w:color="auto" w:fill="auto"/>
            <w:noWrap/>
            <w:vAlign w:val="bottom"/>
            <w:hideMark/>
          </w:tcPr>
          <w:p w14:paraId="56F47517"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7B3CD655"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67F7790E" w14:textId="77777777" w:rsidR="002F43BF" w:rsidRPr="00117BF8" w:rsidRDefault="002F43BF" w:rsidP="002F43BF">
            <w:pPr>
              <w:pStyle w:val="TablaC"/>
              <w:rPr>
                <w:rFonts w:ascii="Arial" w:hAnsi="Arial" w:cs="Arial"/>
                <w:sz w:val="18"/>
              </w:rPr>
            </w:pPr>
          </w:p>
        </w:tc>
        <w:tc>
          <w:tcPr>
            <w:tcW w:w="1043" w:type="dxa"/>
            <w:tcBorders>
              <w:top w:val="nil"/>
              <w:left w:val="nil"/>
              <w:bottom w:val="nil"/>
              <w:right w:val="nil"/>
            </w:tcBorders>
            <w:shd w:val="clear" w:color="auto" w:fill="auto"/>
            <w:noWrap/>
            <w:vAlign w:val="bottom"/>
            <w:hideMark/>
          </w:tcPr>
          <w:p w14:paraId="1BEC09CC" w14:textId="77777777" w:rsidR="002F43BF" w:rsidRPr="00117BF8" w:rsidRDefault="002F43BF" w:rsidP="002F43BF">
            <w:pPr>
              <w:pStyle w:val="TablaC"/>
              <w:rPr>
                <w:rFonts w:ascii="Arial" w:hAnsi="Arial" w:cs="Arial"/>
                <w:sz w:val="18"/>
              </w:rPr>
            </w:pPr>
            <w:r w:rsidRPr="00117BF8">
              <w:rPr>
                <w:rFonts w:ascii="Arial" w:hAnsi="Arial" w:cs="Arial"/>
                <w:sz w:val="18"/>
              </w:rPr>
              <w:t>10,00</w:t>
            </w:r>
          </w:p>
        </w:tc>
        <w:tc>
          <w:tcPr>
            <w:tcW w:w="1043" w:type="dxa"/>
            <w:tcBorders>
              <w:top w:val="nil"/>
              <w:left w:val="nil"/>
              <w:bottom w:val="nil"/>
              <w:right w:val="nil"/>
            </w:tcBorders>
            <w:shd w:val="clear" w:color="auto" w:fill="auto"/>
            <w:noWrap/>
            <w:vAlign w:val="bottom"/>
            <w:hideMark/>
          </w:tcPr>
          <w:p w14:paraId="49408650" w14:textId="77777777" w:rsidR="002F43BF" w:rsidRPr="00117BF8" w:rsidRDefault="002F43BF" w:rsidP="002F43BF">
            <w:pPr>
              <w:pStyle w:val="TablaC"/>
              <w:rPr>
                <w:rFonts w:ascii="Arial" w:hAnsi="Arial" w:cs="Arial"/>
                <w:sz w:val="18"/>
              </w:rPr>
            </w:pPr>
            <w:r w:rsidRPr="00117BF8">
              <w:rPr>
                <w:rFonts w:ascii="Arial" w:hAnsi="Arial" w:cs="Arial"/>
                <w:sz w:val="18"/>
              </w:rPr>
              <w:t>10,00</w:t>
            </w:r>
          </w:p>
        </w:tc>
        <w:tc>
          <w:tcPr>
            <w:tcW w:w="1043" w:type="dxa"/>
            <w:tcBorders>
              <w:top w:val="nil"/>
              <w:left w:val="nil"/>
              <w:bottom w:val="nil"/>
              <w:right w:val="nil"/>
            </w:tcBorders>
            <w:shd w:val="clear" w:color="auto" w:fill="auto"/>
            <w:noWrap/>
            <w:vAlign w:val="bottom"/>
            <w:hideMark/>
          </w:tcPr>
          <w:p w14:paraId="4B6D9589" w14:textId="77777777" w:rsidR="002F43BF" w:rsidRPr="00117BF8" w:rsidRDefault="002F43BF" w:rsidP="002F43BF">
            <w:pPr>
              <w:pStyle w:val="TablaC"/>
              <w:rPr>
                <w:rFonts w:ascii="Arial" w:hAnsi="Arial" w:cs="Arial"/>
                <w:sz w:val="18"/>
              </w:rPr>
            </w:pPr>
            <w:r w:rsidRPr="00117BF8">
              <w:rPr>
                <w:rFonts w:ascii="Arial" w:hAnsi="Arial" w:cs="Arial"/>
                <w:sz w:val="18"/>
              </w:rPr>
              <w:t>10,00</w:t>
            </w:r>
          </w:p>
        </w:tc>
        <w:tc>
          <w:tcPr>
            <w:tcW w:w="1043" w:type="dxa"/>
            <w:tcBorders>
              <w:top w:val="nil"/>
              <w:left w:val="nil"/>
              <w:bottom w:val="nil"/>
              <w:right w:val="nil"/>
            </w:tcBorders>
            <w:shd w:val="clear" w:color="auto" w:fill="auto"/>
            <w:noWrap/>
            <w:vAlign w:val="bottom"/>
            <w:hideMark/>
          </w:tcPr>
          <w:p w14:paraId="460E86E1" w14:textId="77777777" w:rsidR="002F43BF" w:rsidRPr="00117BF8" w:rsidRDefault="002F43BF" w:rsidP="002F43BF">
            <w:pPr>
              <w:pStyle w:val="TablaC"/>
              <w:rPr>
                <w:rFonts w:ascii="Arial" w:hAnsi="Arial" w:cs="Arial"/>
                <w:sz w:val="18"/>
              </w:rPr>
            </w:pPr>
            <w:r w:rsidRPr="00117BF8">
              <w:rPr>
                <w:rFonts w:ascii="Arial" w:hAnsi="Arial" w:cs="Arial"/>
                <w:sz w:val="18"/>
              </w:rPr>
              <w:t>10,00</w:t>
            </w:r>
          </w:p>
        </w:tc>
        <w:tc>
          <w:tcPr>
            <w:tcW w:w="1043" w:type="dxa"/>
            <w:tcBorders>
              <w:top w:val="nil"/>
              <w:left w:val="nil"/>
              <w:bottom w:val="nil"/>
              <w:right w:val="nil"/>
            </w:tcBorders>
            <w:shd w:val="clear" w:color="auto" w:fill="auto"/>
            <w:noWrap/>
            <w:vAlign w:val="bottom"/>
            <w:hideMark/>
          </w:tcPr>
          <w:p w14:paraId="365944F9" w14:textId="77777777" w:rsidR="002F43BF" w:rsidRPr="00117BF8" w:rsidRDefault="002F43BF" w:rsidP="002F43BF">
            <w:pPr>
              <w:pStyle w:val="TablaC"/>
              <w:rPr>
                <w:rFonts w:ascii="Arial" w:hAnsi="Arial" w:cs="Arial"/>
                <w:sz w:val="18"/>
              </w:rPr>
            </w:pPr>
            <w:r w:rsidRPr="00117BF8">
              <w:rPr>
                <w:rFonts w:ascii="Arial" w:hAnsi="Arial" w:cs="Arial"/>
                <w:sz w:val="18"/>
              </w:rPr>
              <w:t>10,00</w:t>
            </w:r>
          </w:p>
        </w:tc>
        <w:tc>
          <w:tcPr>
            <w:tcW w:w="1043" w:type="dxa"/>
            <w:tcBorders>
              <w:top w:val="nil"/>
              <w:left w:val="nil"/>
              <w:bottom w:val="nil"/>
              <w:right w:val="nil"/>
            </w:tcBorders>
            <w:shd w:val="clear" w:color="auto" w:fill="auto"/>
            <w:noWrap/>
            <w:vAlign w:val="bottom"/>
            <w:hideMark/>
          </w:tcPr>
          <w:p w14:paraId="19B7D921" w14:textId="77777777" w:rsidR="002F43BF" w:rsidRPr="00117BF8" w:rsidRDefault="002F43BF" w:rsidP="002F43BF">
            <w:pPr>
              <w:pStyle w:val="TablaC"/>
              <w:rPr>
                <w:rFonts w:ascii="Arial" w:hAnsi="Arial" w:cs="Arial"/>
                <w:sz w:val="18"/>
              </w:rPr>
            </w:pPr>
            <w:r w:rsidRPr="00117BF8">
              <w:rPr>
                <w:rFonts w:ascii="Arial" w:hAnsi="Arial" w:cs="Arial"/>
                <w:sz w:val="18"/>
              </w:rPr>
              <w:t>10,00</w:t>
            </w:r>
          </w:p>
        </w:tc>
      </w:tr>
      <w:tr w:rsidR="002F43BF" w:rsidRPr="004E6455" w14:paraId="6DD574BD" w14:textId="77777777" w:rsidTr="002F43BF">
        <w:trPr>
          <w:trHeight w:val="300"/>
        </w:trPr>
        <w:tc>
          <w:tcPr>
            <w:tcW w:w="2567" w:type="dxa"/>
            <w:tcBorders>
              <w:top w:val="nil"/>
              <w:left w:val="nil"/>
              <w:bottom w:val="nil"/>
              <w:right w:val="nil"/>
            </w:tcBorders>
            <w:shd w:val="clear" w:color="auto" w:fill="auto"/>
            <w:noWrap/>
            <w:vAlign w:val="bottom"/>
            <w:hideMark/>
          </w:tcPr>
          <w:p w14:paraId="6409A817" w14:textId="77777777" w:rsidR="002F43BF" w:rsidRPr="00117BF8" w:rsidRDefault="002F43BF" w:rsidP="002F43BF">
            <w:pPr>
              <w:pStyle w:val="TablaC"/>
              <w:jc w:val="left"/>
              <w:rPr>
                <w:rFonts w:ascii="Arial" w:hAnsi="Arial" w:cs="Arial"/>
                <w:sz w:val="18"/>
              </w:rPr>
            </w:pPr>
            <w:r w:rsidRPr="00117BF8">
              <w:rPr>
                <w:rFonts w:ascii="Arial" w:hAnsi="Arial" w:cs="Arial"/>
                <w:sz w:val="18"/>
              </w:rPr>
              <w:t>Intereses Devengados</w:t>
            </w:r>
          </w:p>
        </w:tc>
        <w:tc>
          <w:tcPr>
            <w:tcW w:w="1044" w:type="dxa"/>
            <w:tcBorders>
              <w:top w:val="nil"/>
              <w:left w:val="nil"/>
              <w:bottom w:val="nil"/>
              <w:right w:val="nil"/>
            </w:tcBorders>
            <w:shd w:val="clear" w:color="auto" w:fill="auto"/>
            <w:noWrap/>
            <w:vAlign w:val="bottom"/>
            <w:hideMark/>
          </w:tcPr>
          <w:p w14:paraId="61825518" w14:textId="77777777" w:rsidR="002F43BF" w:rsidRPr="00117BF8" w:rsidRDefault="002F43BF" w:rsidP="002F43BF">
            <w:pPr>
              <w:pStyle w:val="TablaC"/>
              <w:rPr>
                <w:rFonts w:ascii="Arial" w:hAnsi="Arial" w:cs="Arial"/>
                <w:sz w:val="18"/>
              </w:rPr>
            </w:pPr>
            <w:r w:rsidRPr="00117BF8">
              <w:rPr>
                <w:rFonts w:ascii="Arial" w:hAnsi="Arial" w:cs="Arial"/>
                <w:sz w:val="18"/>
              </w:rPr>
              <w:t>0,30</w:t>
            </w:r>
          </w:p>
        </w:tc>
        <w:tc>
          <w:tcPr>
            <w:tcW w:w="1044" w:type="dxa"/>
            <w:tcBorders>
              <w:top w:val="nil"/>
              <w:left w:val="nil"/>
              <w:bottom w:val="nil"/>
              <w:right w:val="nil"/>
            </w:tcBorders>
            <w:shd w:val="clear" w:color="auto" w:fill="auto"/>
            <w:noWrap/>
            <w:vAlign w:val="bottom"/>
            <w:hideMark/>
          </w:tcPr>
          <w:p w14:paraId="60075248" w14:textId="77777777" w:rsidR="002F43BF" w:rsidRPr="00117BF8" w:rsidRDefault="002F43BF" w:rsidP="002F43BF">
            <w:pPr>
              <w:pStyle w:val="TablaC"/>
              <w:rPr>
                <w:rFonts w:ascii="Arial" w:hAnsi="Arial" w:cs="Arial"/>
                <w:sz w:val="18"/>
              </w:rPr>
            </w:pPr>
            <w:r w:rsidRPr="00117BF8">
              <w:rPr>
                <w:rFonts w:ascii="Arial" w:hAnsi="Arial" w:cs="Arial"/>
                <w:sz w:val="18"/>
              </w:rPr>
              <w:t>1,41</w:t>
            </w:r>
          </w:p>
        </w:tc>
        <w:tc>
          <w:tcPr>
            <w:tcW w:w="1044" w:type="dxa"/>
            <w:tcBorders>
              <w:top w:val="nil"/>
              <w:left w:val="nil"/>
              <w:bottom w:val="nil"/>
              <w:right w:val="nil"/>
            </w:tcBorders>
            <w:shd w:val="clear" w:color="auto" w:fill="auto"/>
            <w:noWrap/>
            <w:vAlign w:val="bottom"/>
            <w:hideMark/>
          </w:tcPr>
          <w:p w14:paraId="13EC88D3" w14:textId="77777777" w:rsidR="002F43BF" w:rsidRPr="00117BF8" w:rsidRDefault="002F43BF" w:rsidP="002F43BF">
            <w:pPr>
              <w:pStyle w:val="TablaC"/>
              <w:rPr>
                <w:rFonts w:ascii="Arial" w:hAnsi="Arial" w:cs="Arial"/>
                <w:sz w:val="18"/>
              </w:rPr>
            </w:pPr>
            <w:r w:rsidRPr="00117BF8">
              <w:rPr>
                <w:rFonts w:ascii="Arial" w:hAnsi="Arial" w:cs="Arial"/>
                <w:sz w:val="18"/>
              </w:rPr>
              <w:t>2,87</w:t>
            </w:r>
          </w:p>
        </w:tc>
        <w:tc>
          <w:tcPr>
            <w:tcW w:w="1043" w:type="dxa"/>
            <w:tcBorders>
              <w:top w:val="nil"/>
              <w:left w:val="nil"/>
              <w:bottom w:val="nil"/>
              <w:right w:val="nil"/>
            </w:tcBorders>
            <w:shd w:val="clear" w:color="auto" w:fill="auto"/>
            <w:noWrap/>
            <w:vAlign w:val="bottom"/>
            <w:hideMark/>
          </w:tcPr>
          <w:p w14:paraId="7449B302" w14:textId="77777777" w:rsidR="002F43BF" w:rsidRPr="00117BF8" w:rsidRDefault="002F43BF" w:rsidP="002F43BF">
            <w:pPr>
              <w:pStyle w:val="TablaC"/>
              <w:rPr>
                <w:rFonts w:ascii="Arial" w:hAnsi="Arial" w:cs="Arial"/>
                <w:sz w:val="18"/>
              </w:rPr>
            </w:pPr>
            <w:r w:rsidRPr="00117BF8">
              <w:rPr>
                <w:rFonts w:ascii="Arial" w:hAnsi="Arial" w:cs="Arial"/>
                <w:sz w:val="18"/>
              </w:rPr>
              <w:t>4,01</w:t>
            </w:r>
          </w:p>
        </w:tc>
        <w:tc>
          <w:tcPr>
            <w:tcW w:w="1043" w:type="dxa"/>
            <w:tcBorders>
              <w:top w:val="nil"/>
              <w:left w:val="nil"/>
              <w:bottom w:val="nil"/>
              <w:right w:val="nil"/>
            </w:tcBorders>
            <w:shd w:val="clear" w:color="auto" w:fill="auto"/>
            <w:noWrap/>
            <w:vAlign w:val="bottom"/>
            <w:hideMark/>
          </w:tcPr>
          <w:p w14:paraId="4A6541F2" w14:textId="77777777" w:rsidR="002F43BF" w:rsidRPr="00117BF8" w:rsidRDefault="002F43BF" w:rsidP="002F43BF">
            <w:pPr>
              <w:pStyle w:val="TablaC"/>
              <w:rPr>
                <w:rFonts w:ascii="Arial" w:hAnsi="Arial" w:cs="Arial"/>
                <w:sz w:val="18"/>
              </w:rPr>
            </w:pPr>
            <w:r w:rsidRPr="00117BF8">
              <w:rPr>
                <w:rFonts w:ascii="Arial" w:hAnsi="Arial" w:cs="Arial"/>
                <w:sz w:val="18"/>
              </w:rPr>
              <w:t>4,50</w:t>
            </w:r>
          </w:p>
        </w:tc>
        <w:tc>
          <w:tcPr>
            <w:tcW w:w="1043" w:type="dxa"/>
            <w:tcBorders>
              <w:top w:val="nil"/>
              <w:left w:val="nil"/>
              <w:bottom w:val="nil"/>
              <w:right w:val="nil"/>
            </w:tcBorders>
            <w:shd w:val="clear" w:color="auto" w:fill="auto"/>
            <w:noWrap/>
            <w:vAlign w:val="bottom"/>
            <w:hideMark/>
          </w:tcPr>
          <w:p w14:paraId="299FC23F" w14:textId="77777777" w:rsidR="002F43BF" w:rsidRPr="00117BF8" w:rsidRDefault="002F43BF" w:rsidP="002F43BF">
            <w:pPr>
              <w:pStyle w:val="TablaC"/>
              <w:rPr>
                <w:rFonts w:ascii="Arial" w:hAnsi="Arial" w:cs="Arial"/>
                <w:sz w:val="18"/>
              </w:rPr>
            </w:pPr>
            <w:r w:rsidRPr="00117BF8">
              <w:rPr>
                <w:rFonts w:ascii="Arial" w:hAnsi="Arial" w:cs="Arial"/>
                <w:sz w:val="18"/>
              </w:rPr>
              <w:t>4,39</w:t>
            </w:r>
          </w:p>
        </w:tc>
        <w:tc>
          <w:tcPr>
            <w:tcW w:w="1043" w:type="dxa"/>
            <w:tcBorders>
              <w:top w:val="nil"/>
              <w:left w:val="nil"/>
              <w:bottom w:val="nil"/>
              <w:right w:val="nil"/>
            </w:tcBorders>
            <w:shd w:val="clear" w:color="auto" w:fill="auto"/>
            <w:noWrap/>
            <w:vAlign w:val="bottom"/>
            <w:hideMark/>
          </w:tcPr>
          <w:p w14:paraId="70EBC2DA" w14:textId="77777777" w:rsidR="002F43BF" w:rsidRPr="00117BF8" w:rsidRDefault="002F43BF" w:rsidP="002F43BF">
            <w:pPr>
              <w:pStyle w:val="TablaC"/>
              <w:rPr>
                <w:rFonts w:ascii="Arial" w:hAnsi="Arial" w:cs="Arial"/>
                <w:sz w:val="18"/>
              </w:rPr>
            </w:pPr>
            <w:r w:rsidRPr="00117BF8">
              <w:rPr>
                <w:rFonts w:ascii="Arial" w:hAnsi="Arial" w:cs="Arial"/>
                <w:sz w:val="18"/>
              </w:rPr>
              <w:t>4,16</w:t>
            </w:r>
          </w:p>
        </w:tc>
        <w:tc>
          <w:tcPr>
            <w:tcW w:w="1043" w:type="dxa"/>
            <w:tcBorders>
              <w:top w:val="nil"/>
              <w:left w:val="nil"/>
              <w:bottom w:val="nil"/>
              <w:right w:val="nil"/>
            </w:tcBorders>
            <w:shd w:val="clear" w:color="auto" w:fill="auto"/>
            <w:noWrap/>
            <w:vAlign w:val="bottom"/>
            <w:hideMark/>
          </w:tcPr>
          <w:p w14:paraId="1F9F087A" w14:textId="77777777" w:rsidR="002F43BF" w:rsidRPr="00117BF8" w:rsidRDefault="002F43BF" w:rsidP="002F43BF">
            <w:pPr>
              <w:pStyle w:val="TablaC"/>
              <w:rPr>
                <w:rFonts w:ascii="Arial" w:hAnsi="Arial" w:cs="Arial"/>
                <w:sz w:val="18"/>
              </w:rPr>
            </w:pPr>
            <w:r w:rsidRPr="00117BF8">
              <w:rPr>
                <w:rFonts w:ascii="Arial" w:hAnsi="Arial" w:cs="Arial"/>
                <w:sz w:val="18"/>
              </w:rPr>
              <w:t>3,94</w:t>
            </w:r>
          </w:p>
        </w:tc>
        <w:tc>
          <w:tcPr>
            <w:tcW w:w="1043" w:type="dxa"/>
            <w:tcBorders>
              <w:top w:val="nil"/>
              <w:left w:val="nil"/>
              <w:bottom w:val="nil"/>
              <w:right w:val="nil"/>
            </w:tcBorders>
            <w:shd w:val="clear" w:color="auto" w:fill="auto"/>
            <w:noWrap/>
            <w:vAlign w:val="bottom"/>
            <w:hideMark/>
          </w:tcPr>
          <w:p w14:paraId="3314FDB9" w14:textId="77777777" w:rsidR="002F43BF" w:rsidRPr="00117BF8" w:rsidRDefault="002F43BF" w:rsidP="002F43BF">
            <w:pPr>
              <w:pStyle w:val="TablaC"/>
              <w:rPr>
                <w:rFonts w:ascii="Arial" w:hAnsi="Arial" w:cs="Arial"/>
                <w:sz w:val="18"/>
              </w:rPr>
            </w:pPr>
            <w:r w:rsidRPr="00117BF8">
              <w:rPr>
                <w:rFonts w:ascii="Arial" w:hAnsi="Arial" w:cs="Arial"/>
                <w:sz w:val="18"/>
              </w:rPr>
              <w:t>3,71</w:t>
            </w:r>
          </w:p>
        </w:tc>
        <w:tc>
          <w:tcPr>
            <w:tcW w:w="1043" w:type="dxa"/>
            <w:tcBorders>
              <w:top w:val="nil"/>
              <w:left w:val="nil"/>
              <w:bottom w:val="nil"/>
              <w:right w:val="nil"/>
            </w:tcBorders>
            <w:shd w:val="clear" w:color="auto" w:fill="auto"/>
            <w:noWrap/>
            <w:vAlign w:val="bottom"/>
            <w:hideMark/>
          </w:tcPr>
          <w:p w14:paraId="47566E09" w14:textId="77777777" w:rsidR="002F43BF" w:rsidRPr="00117BF8" w:rsidRDefault="002F43BF" w:rsidP="002F43BF">
            <w:pPr>
              <w:pStyle w:val="TablaC"/>
              <w:rPr>
                <w:rFonts w:ascii="Arial" w:hAnsi="Arial" w:cs="Arial"/>
                <w:sz w:val="18"/>
              </w:rPr>
            </w:pPr>
            <w:r w:rsidRPr="00117BF8">
              <w:rPr>
                <w:rFonts w:ascii="Arial" w:hAnsi="Arial" w:cs="Arial"/>
                <w:sz w:val="18"/>
              </w:rPr>
              <w:t>3,49</w:t>
            </w:r>
          </w:p>
        </w:tc>
        <w:tc>
          <w:tcPr>
            <w:tcW w:w="1043" w:type="dxa"/>
            <w:tcBorders>
              <w:top w:val="nil"/>
              <w:left w:val="nil"/>
              <w:bottom w:val="nil"/>
              <w:right w:val="nil"/>
            </w:tcBorders>
            <w:shd w:val="clear" w:color="auto" w:fill="auto"/>
            <w:noWrap/>
            <w:vAlign w:val="bottom"/>
            <w:hideMark/>
          </w:tcPr>
          <w:p w14:paraId="59C82237" w14:textId="77777777" w:rsidR="002F43BF" w:rsidRPr="00117BF8" w:rsidRDefault="002F43BF" w:rsidP="002F43BF">
            <w:pPr>
              <w:pStyle w:val="TablaC"/>
              <w:rPr>
                <w:rFonts w:ascii="Arial" w:hAnsi="Arial" w:cs="Arial"/>
                <w:sz w:val="18"/>
              </w:rPr>
            </w:pPr>
            <w:r w:rsidRPr="00117BF8">
              <w:rPr>
                <w:rFonts w:ascii="Arial" w:hAnsi="Arial" w:cs="Arial"/>
                <w:sz w:val="18"/>
              </w:rPr>
              <w:t>3,26</w:t>
            </w:r>
          </w:p>
        </w:tc>
      </w:tr>
      <w:tr w:rsidR="002F43BF" w:rsidRPr="004E6455" w14:paraId="4F851E29" w14:textId="77777777" w:rsidTr="002F43BF">
        <w:trPr>
          <w:trHeight w:val="300"/>
        </w:trPr>
        <w:tc>
          <w:tcPr>
            <w:tcW w:w="2567" w:type="dxa"/>
            <w:tcBorders>
              <w:top w:val="nil"/>
              <w:left w:val="nil"/>
              <w:bottom w:val="nil"/>
              <w:right w:val="nil"/>
            </w:tcBorders>
            <w:shd w:val="clear" w:color="auto" w:fill="auto"/>
            <w:noWrap/>
            <w:vAlign w:val="bottom"/>
            <w:hideMark/>
          </w:tcPr>
          <w:p w14:paraId="30EC71EB" w14:textId="77777777" w:rsidR="002F43BF" w:rsidRPr="00117BF8" w:rsidRDefault="002F43BF" w:rsidP="002F43BF">
            <w:pPr>
              <w:pStyle w:val="TablaC"/>
              <w:jc w:val="left"/>
              <w:rPr>
                <w:rFonts w:ascii="Arial" w:hAnsi="Arial" w:cs="Arial"/>
                <w:sz w:val="18"/>
              </w:rPr>
            </w:pPr>
            <w:r w:rsidRPr="00117BF8">
              <w:rPr>
                <w:rFonts w:ascii="Arial" w:hAnsi="Arial" w:cs="Arial"/>
                <w:sz w:val="18"/>
              </w:rPr>
              <w:t>Intereses Pagados</w:t>
            </w:r>
          </w:p>
        </w:tc>
        <w:tc>
          <w:tcPr>
            <w:tcW w:w="1044" w:type="dxa"/>
            <w:tcBorders>
              <w:top w:val="nil"/>
              <w:left w:val="nil"/>
              <w:bottom w:val="nil"/>
              <w:right w:val="nil"/>
            </w:tcBorders>
            <w:shd w:val="clear" w:color="auto" w:fill="auto"/>
            <w:noWrap/>
            <w:vAlign w:val="bottom"/>
            <w:hideMark/>
          </w:tcPr>
          <w:p w14:paraId="79DB1690" w14:textId="77777777" w:rsidR="002F43BF" w:rsidRPr="00117BF8" w:rsidRDefault="002F43BF" w:rsidP="002F43BF">
            <w:pPr>
              <w:pStyle w:val="TablaC"/>
              <w:rPr>
                <w:rFonts w:ascii="Arial" w:hAnsi="Arial" w:cs="Arial"/>
                <w:sz w:val="18"/>
              </w:rPr>
            </w:pPr>
            <w:r w:rsidRPr="00117BF8">
              <w:rPr>
                <w:rFonts w:ascii="Arial" w:hAnsi="Arial" w:cs="Arial"/>
                <w:sz w:val="18"/>
              </w:rPr>
              <w:t>0,30</w:t>
            </w:r>
          </w:p>
        </w:tc>
        <w:tc>
          <w:tcPr>
            <w:tcW w:w="1044" w:type="dxa"/>
            <w:tcBorders>
              <w:top w:val="nil"/>
              <w:left w:val="nil"/>
              <w:bottom w:val="nil"/>
              <w:right w:val="nil"/>
            </w:tcBorders>
            <w:shd w:val="clear" w:color="auto" w:fill="auto"/>
            <w:noWrap/>
            <w:vAlign w:val="bottom"/>
            <w:hideMark/>
          </w:tcPr>
          <w:p w14:paraId="64FD9C7A" w14:textId="77777777" w:rsidR="002F43BF" w:rsidRPr="00117BF8" w:rsidRDefault="002F43BF" w:rsidP="002F43BF">
            <w:pPr>
              <w:pStyle w:val="TablaC"/>
              <w:rPr>
                <w:rFonts w:ascii="Arial" w:hAnsi="Arial" w:cs="Arial"/>
                <w:sz w:val="18"/>
              </w:rPr>
            </w:pPr>
            <w:r w:rsidRPr="00117BF8">
              <w:rPr>
                <w:rFonts w:ascii="Arial" w:hAnsi="Arial" w:cs="Arial"/>
                <w:sz w:val="18"/>
              </w:rPr>
              <w:t>1,41</w:t>
            </w:r>
          </w:p>
        </w:tc>
        <w:tc>
          <w:tcPr>
            <w:tcW w:w="1044" w:type="dxa"/>
            <w:tcBorders>
              <w:top w:val="nil"/>
              <w:left w:val="nil"/>
              <w:bottom w:val="nil"/>
              <w:right w:val="nil"/>
            </w:tcBorders>
            <w:shd w:val="clear" w:color="auto" w:fill="auto"/>
            <w:noWrap/>
            <w:vAlign w:val="bottom"/>
            <w:hideMark/>
          </w:tcPr>
          <w:p w14:paraId="7068F26C" w14:textId="77777777" w:rsidR="002F43BF" w:rsidRPr="00117BF8" w:rsidRDefault="002F43BF" w:rsidP="002F43BF">
            <w:pPr>
              <w:pStyle w:val="TablaC"/>
              <w:rPr>
                <w:rFonts w:ascii="Arial" w:hAnsi="Arial" w:cs="Arial"/>
                <w:sz w:val="18"/>
              </w:rPr>
            </w:pPr>
            <w:r w:rsidRPr="00117BF8">
              <w:rPr>
                <w:rFonts w:ascii="Arial" w:hAnsi="Arial" w:cs="Arial"/>
                <w:sz w:val="18"/>
              </w:rPr>
              <w:t>2,87</w:t>
            </w:r>
          </w:p>
        </w:tc>
        <w:tc>
          <w:tcPr>
            <w:tcW w:w="1043" w:type="dxa"/>
            <w:tcBorders>
              <w:top w:val="nil"/>
              <w:left w:val="nil"/>
              <w:bottom w:val="nil"/>
              <w:right w:val="nil"/>
            </w:tcBorders>
            <w:shd w:val="clear" w:color="auto" w:fill="auto"/>
            <w:noWrap/>
            <w:vAlign w:val="bottom"/>
            <w:hideMark/>
          </w:tcPr>
          <w:p w14:paraId="05290DFA" w14:textId="77777777" w:rsidR="002F43BF" w:rsidRPr="00117BF8" w:rsidRDefault="002F43BF" w:rsidP="002F43BF">
            <w:pPr>
              <w:pStyle w:val="TablaC"/>
              <w:rPr>
                <w:rFonts w:ascii="Arial" w:hAnsi="Arial" w:cs="Arial"/>
                <w:sz w:val="18"/>
              </w:rPr>
            </w:pPr>
            <w:r w:rsidRPr="00117BF8">
              <w:rPr>
                <w:rFonts w:ascii="Arial" w:hAnsi="Arial" w:cs="Arial"/>
                <w:sz w:val="18"/>
              </w:rPr>
              <w:t>4,01</w:t>
            </w:r>
          </w:p>
        </w:tc>
        <w:tc>
          <w:tcPr>
            <w:tcW w:w="1043" w:type="dxa"/>
            <w:tcBorders>
              <w:top w:val="nil"/>
              <w:left w:val="nil"/>
              <w:bottom w:val="nil"/>
              <w:right w:val="nil"/>
            </w:tcBorders>
            <w:shd w:val="clear" w:color="auto" w:fill="auto"/>
            <w:noWrap/>
            <w:vAlign w:val="bottom"/>
            <w:hideMark/>
          </w:tcPr>
          <w:p w14:paraId="1309E34D" w14:textId="77777777" w:rsidR="002F43BF" w:rsidRPr="00117BF8" w:rsidRDefault="002F43BF" w:rsidP="002F43BF">
            <w:pPr>
              <w:pStyle w:val="TablaC"/>
              <w:rPr>
                <w:rFonts w:ascii="Arial" w:hAnsi="Arial" w:cs="Arial"/>
                <w:sz w:val="18"/>
              </w:rPr>
            </w:pPr>
            <w:r w:rsidRPr="00117BF8">
              <w:rPr>
                <w:rFonts w:ascii="Arial" w:hAnsi="Arial" w:cs="Arial"/>
                <w:sz w:val="18"/>
              </w:rPr>
              <w:t>4,50</w:t>
            </w:r>
          </w:p>
        </w:tc>
        <w:tc>
          <w:tcPr>
            <w:tcW w:w="1043" w:type="dxa"/>
            <w:tcBorders>
              <w:top w:val="nil"/>
              <w:left w:val="nil"/>
              <w:bottom w:val="nil"/>
              <w:right w:val="nil"/>
            </w:tcBorders>
            <w:shd w:val="clear" w:color="auto" w:fill="auto"/>
            <w:noWrap/>
            <w:vAlign w:val="bottom"/>
            <w:hideMark/>
          </w:tcPr>
          <w:p w14:paraId="7D61AC47" w14:textId="77777777" w:rsidR="002F43BF" w:rsidRPr="00117BF8" w:rsidRDefault="002F43BF" w:rsidP="002F43BF">
            <w:pPr>
              <w:pStyle w:val="TablaC"/>
              <w:rPr>
                <w:rFonts w:ascii="Arial" w:hAnsi="Arial" w:cs="Arial"/>
                <w:sz w:val="18"/>
              </w:rPr>
            </w:pPr>
            <w:r w:rsidRPr="00117BF8">
              <w:rPr>
                <w:rFonts w:ascii="Arial" w:hAnsi="Arial" w:cs="Arial"/>
                <w:sz w:val="18"/>
              </w:rPr>
              <w:t>4,39</w:t>
            </w:r>
          </w:p>
        </w:tc>
        <w:tc>
          <w:tcPr>
            <w:tcW w:w="1043" w:type="dxa"/>
            <w:tcBorders>
              <w:top w:val="nil"/>
              <w:left w:val="nil"/>
              <w:bottom w:val="nil"/>
              <w:right w:val="nil"/>
            </w:tcBorders>
            <w:shd w:val="clear" w:color="auto" w:fill="auto"/>
            <w:noWrap/>
            <w:vAlign w:val="bottom"/>
            <w:hideMark/>
          </w:tcPr>
          <w:p w14:paraId="271B1F8C" w14:textId="77777777" w:rsidR="002F43BF" w:rsidRPr="00117BF8" w:rsidRDefault="002F43BF" w:rsidP="002F43BF">
            <w:pPr>
              <w:pStyle w:val="TablaC"/>
              <w:rPr>
                <w:rFonts w:ascii="Arial" w:hAnsi="Arial" w:cs="Arial"/>
                <w:sz w:val="18"/>
              </w:rPr>
            </w:pPr>
            <w:r w:rsidRPr="00117BF8">
              <w:rPr>
                <w:rFonts w:ascii="Arial" w:hAnsi="Arial" w:cs="Arial"/>
                <w:sz w:val="18"/>
              </w:rPr>
              <w:t>4,16</w:t>
            </w:r>
          </w:p>
        </w:tc>
        <w:tc>
          <w:tcPr>
            <w:tcW w:w="1043" w:type="dxa"/>
            <w:tcBorders>
              <w:top w:val="nil"/>
              <w:left w:val="nil"/>
              <w:bottom w:val="nil"/>
              <w:right w:val="nil"/>
            </w:tcBorders>
            <w:shd w:val="clear" w:color="auto" w:fill="auto"/>
            <w:noWrap/>
            <w:vAlign w:val="bottom"/>
            <w:hideMark/>
          </w:tcPr>
          <w:p w14:paraId="56960C29" w14:textId="77777777" w:rsidR="002F43BF" w:rsidRPr="00117BF8" w:rsidRDefault="002F43BF" w:rsidP="002F43BF">
            <w:pPr>
              <w:pStyle w:val="TablaC"/>
              <w:rPr>
                <w:rFonts w:ascii="Arial" w:hAnsi="Arial" w:cs="Arial"/>
                <w:sz w:val="18"/>
              </w:rPr>
            </w:pPr>
            <w:r w:rsidRPr="00117BF8">
              <w:rPr>
                <w:rFonts w:ascii="Arial" w:hAnsi="Arial" w:cs="Arial"/>
                <w:sz w:val="18"/>
              </w:rPr>
              <w:t>3,94</w:t>
            </w:r>
          </w:p>
        </w:tc>
        <w:tc>
          <w:tcPr>
            <w:tcW w:w="1043" w:type="dxa"/>
            <w:tcBorders>
              <w:top w:val="nil"/>
              <w:left w:val="nil"/>
              <w:bottom w:val="nil"/>
              <w:right w:val="nil"/>
            </w:tcBorders>
            <w:shd w:val="clear" w:color="auto" w:fill="auto"/>
            <w:noWrap/>
            <w:vAlign w:val="bottom"/>
            <w:hideMark/>
          </w:tcPr>
          <w:p w14:paraId="555D539D" w14:textId="77777777" w:rsidR="002F43BF" w:rsidRPr="00117BF8" w:rsidRDefault="002F43BF" w:rsidP="002F43BF">
            <w:pPr>
              <w:pStyle w:val="TablaC"/>
              <w:rPr>
                <w:rFonts w:ascii="Arial" w:hAnsi="Arial" w:cs="Arial"/>
                <w:sz w:val="18"/>
              </w:rPr>
            </w:pPr>
            <w:r w:rsidRPr="00117BF8">
              <w:rPr>
                <w:rFonts w:ascii="Arial" w:hAnsi="Arial" w:cs="Arial"/>
                <w:sz w:val="18"/>
              </w:rPr>
              <w:t>3,71</w:t>
            </w:r>
          </w:p>
        </w:tc>
        <w:tc>
          <w:tcPr>
            <w:tcW w:w="1043" w:type="dxa"/>
            <w:tcBorders>
              <w:top w:val="nil"/>
              <w:left w:val="nil"/>
              <w:bottom w:val="nil"/>
              <w:right w:val="nil"/>
            </w:tcBorders>
            <w:shd w:val="clear" w:color="auto" w:fill="auto"/>
            <w:noWrap/>
            <w:vAlign w:val="bottom"/>
            <w:hideMark/>
          </w:tcPr>
          <w:p w14:paraId="785D9C40" w14:textId="77777777" w:rsidR="002F43BF" w:rsidRPr="00117BF8" w:rsidRDefault="002F43BF" w:rsidP="002F43BF">
            <w:pPr>
              <w:pStyle w:val="TablaC"/>
              <w:rPr>
                <w:rFonts w:ascii="Arial" w:hAnsi="Arial" w:cs="Arial"/>
                <w:sz w:val="18"/>
              </w:rPr>
            </w:pPr>
            <w:r w:rsidRPr="00117BF8">
              <w:rPr>
                <w:rFonts w:ascii="Arial" w:hAnsi="Arial" w:cs="Arial"/>
                <w:sz w:val="18"/>
              </w:rPr>
              <w:t>3,49</w:t>
            </w:r>
          </w:p>
        </w:tc>
        <w:tc>
          <w:tcPr>
            <w:tcW w:w="1043" w:type="dxa"/>
            <w:tcBorders>
              <w:top w:val="nil"/>
              <w:left w:val="nil"/>
              <w:bottom w:val="nil"/>
              <w:right w:val="nil"/>
            </w:tcBorders>
            <w:shd w:val="clear" w:color="auto" w:fill="auto"/>
            <w:noWrap/>
            <w:vAlign w:val="bottom"/>
            <w:hideMark/>
          </w:tcPr>
          <w:p w14:paraId="3A404ADF" w14:textId="77777777" w:rsidR="002F43BF" w:rsidRPr="00117BF8" w:rsidRDefault="002F43BF" w:rsidP="002F43BF">
            <w:pPr>
              <w:pStyle w:val="TablaC"/>
              <w:rPr>
                <w:rFonts w:ascii="Arial" w:hAnsi="Arial" w:cs="Arial"/>
                <w:sz w:val="18"/>
              </w:rPr>
            </w:pPr>
            <w:r w:rsidRPr="00117BF8">
              <w:rPr>
                <w:rFonts w:ascii="Arial" w:hAnsi="Arial" w:cs="Arial"/>
                <w:sz w:val="18"/>
              </w:rPr>
              <w:t>3,26</w:t>
            </w:r>
          </w:p>
        </w:tc>
      </w:tr>
      <w:tr w:rsidR="002F43BF" w:rsidRPr="004E6455" w14:paraId="6AEF2164" w14:textId="77777777" w:rsidTr="002F43BF">
        <w:trPr>
          <w:trHeight w:val="300"/>
        </w:trPr>
        <w:tc>
          <w:tcPr>
            <w:tcW w:w="2567" w:type="dxa"/>
            <w:tcBorders>
              <w:top w:val="nil"/>
              <w:left w:val="nil"/>
              <w:bottom w:val="nil"/>
              <w:right w:val="nil"/>
            </w:tcBorders>
            <w:shd w:val="clear" w:color="auto" w:fill="auto"/>
            <w:noWrap/>
            <w:vAlign w:val="bottom"/>
            <w:hideMark/>
          </w:tcPr>
          <w:p w14:paraId="40E2D9DF" w14:textId="77777777" w:rsidR="002F43BF" w:rsidRPr="00117BF8" w:rsidRDefault="002F43BF" w:rsidP="000D4582">
            <w:pPr>
              <w:pStyle w:val="TablaC"/>
              <w:jc w:val="left"/>
              <w:rPr>
                <w:rFonts w:ascii="Arial" w:hAnsi="Arial" w:cs="Arial"/>
                <w:sz w:val="18"/>
              </w:rPr>
            </w:pPr>
            <w:r w:rsidRPr="00117BF8">
              <w:rPr>
                <w:rFonts w:ascii="Arial" w:hAnsi="Arial" w:cs="Arial"/>
                <w:sz w:val="18"/>
              </w:rPr>
              <w:t xml:space="preserve">Comisión </w:t>
            </w:r>
          </w:p>
        </w:tc>
        <w:tc>
          <w:tcPr>
            <w:tcW w:w="1044" w:type="dxa"/>
            <w:tcBorders>
              <w:top w:val="nil"/>
              <w:left w:val="nil"/>
              <w:bottom w:val="nil"/>
              <w:right w:val="nil"/>
            </w:tcBorders>
            <w:shd w:val="clear" w:color="auto" w:fill="auto"/>
            <w:noWrap/>
            <w:vAlign w:val="bottom"/>
            <w:hideMark/>
          </w:tcPr>
          <w:p w14:paraId="59CD04B8" w14:textId="77777777" w:rsidR="002F43BF" w:rsidRPr="00117BF8" w:rsidRDefault="002F43BF" w:rsidP="002F43BF">
            <w:pPr>
              <w:pStyle w:val="TablaC"/>
              <w:rPr>
                <w:rFonts w:ascii="Arial" w:hAnsi="Arial" w:cs="Arial"/>
                <w:sz w:val="18"/>
              </w:rPr>
            </w:pPr>
            <w:r w:rsidRPr="00117BF8">
              <w:rPr>
                <w:rFonts w:ascii="Arial" w:hAnsi="Arial" w:cs="Arial"/>
                <w:sz w:val="18"/>
              </w:rPr>
              <w:t>0,93</w:t>
            </w:r>
          </w:p>
        </w:tc>
        <w:tc>
          <w:tcPr>
            <w:tcW w:w="1044" w:type="dxa"/>
            <w:tcBorders>
              <w:top w:val="nil"/>
              <w:left w:val="nil"/>
              <w:bottom w:val="nil"/>
              <w:right w:val="nil"/>
            </w:tcBorders>
            <w:shd w:val="clear" w:color="auto" w:fill="auto"/>
            <w:noWrap/>
            <w:vAlign w:val="bottom"/>
            <w:hideMark/>
          </w:tcPr>
          <w:p w14:paraId="293AF657" w14:textId="77777777" w:rsidR="002F43BF" w:rsidRPr="00117BF8" w:rsidRDefault="002F43BF" w:rsidP="002F43BF">
            <w:pPr>
              <w:pStyle w:val="TablaC"/>
              <w:rPr>
                <w:rFonts w:ascii="Arial" w:hAnsi="Arial" w:cs="Arial"/>
                <w:sz w:val="18"/>
              </w:rPr>
            </w:pPr>
            <w:r w:rsidRPr="00117BF8">
              <w:rPr>
                <w:rFonts w:ascii="Arial" w:hAnsi="Arial" w:cs="Arial"/>
                <w:sz w:val="18"/>
              </w:rPr>
              <w:t>0,69</w:t>
            </w:r>
          </w:p>
        </w:tc>
        <w:tc>
          <w:tcPr>
            <w:tcW w:w="1044" w:type="dxa"/>
            <w:tcBorders>
              <w:top w:val="nil"/>
              <w:left w:val="nil"/>
              <w:bottom w:val="nil"/>
              <w:right w:val="nil"/>
            </w:tcBorders>
            <w:shd w:val="clear" w:color="auto" w:fill="auto"/>
            <w:noWrap/>
            <w:vAlign w:val="bottom"/>
            <w:hideMark/>
          </w:tcPr>
          <w:p w14:paraId="560925DF" w14:textId="77777777" w:rsidR="002F43BF" w:rsidRPr="00117BF8" w:rsidRDefault="002F43BF" w:rsidP="002F43BF">
            <w:pPr>
              <w:pStyle w:val="TablaC"/>
              <w:rPr>
                <w:rFonts w:ascii="Arial" w:hAnsi="Arial" w:cs="Arial"/>
                <w:sz w:val="18"/>
              </w:rPr>
            </w:pPr>
            <w:r w:rsidRPr="00117BF8">
              <w:rPr>
                <w:rFonts w:ascii="Arial" w:hAnsi="Arial" w:cs="Arial"/>
                <w:sz w:val="18"/>
              </w:rPr>
              <w:t>0,36</w:t>
            </w:r>
          </w:p>
        </w:tc>
        <w:tc>
          <w:tcPr>
            <w:tcW w:w="1043" w:type="dxa"/>
            <w:tcBorders>
              <w:top w:val="nil"/>
              <w:left w:val="nil"/>
              <w:bottom w:val="nil"/>
              <w:right w:val="nil"/>
            </w:tcBorders>
            <w:shd w:val="clear" w:color="auto" w:fill="auto"/>
            <w:noWrap/>
            <w:vAlign w:val="bottom"/>
            <w:hideMark/>
          </w:tcPr>
          <w:p w14:paraId="37FEB3AE" w14:textId="77777777" w:rsidR="002F43BF" w:rsidRPr="00117BF8" w:rsidRDefault="002F43BF" w:rsidP="002F43BF">
            <w:pPr>
              <w:pStyle w:val="TablaC"/>
              <w:rPr>
                <w:rFonts w:ascii="Arial" w:hAnsi="Arial" w:cs="Arial"/>
                <w:sz w:val="18"/>
              </w:rPr>
            </w:pPr>
            <w:r w:rsidRPr="00117BF8">
              <w:rPr>
                <w:rFonts w:ascii="Arial" w:hAnsi="Arial" w:cs="Arial"/>
                <w:sz w:val="18"/>
              </w:rPr>
              <w:t>0,11</w:t>
            </w:r>
          </w:p>
        </w:tc>
        <w:tc>
          <w:tcPr>
            <w:tcW w:w="1043" w:type="dxa"/>
            <w:tcBorders>
              <w:top w:val="nil"/>
              <w:left w:val="nil"/>
              <w:bottom w:val="nil"/>
              <w:right w:val="nil"/>
            </w:tcBorders>
            <w:shd w:val="clear" w:color="auto" w:fill="auto"/>
            <w:noWrap/>
            <w:vAlign w:val="bottom"/>
            <w:hideMark/>
          </w:tcPr>
          <w:p w14:paraId="413FE19E"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4ABF4835"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274202FB"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2A7915FA"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024CD38B"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585C260E"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c>
          <w:tcPr>
            <w:tcW w:w="1043" w:type="dxa"/>
            <w:tcBorders>
              <w:top w:val="nil"/>
              <w:left w:val="nil"/>
              <w:bottom w:val="nil"/>
              <w:right w:val="nil"/>
            </w:tcBorders>
            <w:shd w:val="clear" w:color="auto" w:fill="auto"/>
            <w:noWrap/>
            <w:vAlign w:val="bottom"/>
            <w:hideMark/>
          </w:tcPr>
          <w:p w14:paraId="622CC785" w14:textId="77777777" w:rsidR="002F43BF" w:rsidRPr="00117BF8" w:rsidRDefault="002F43BF" w:rsidP="002F43BF">
            <w:pPr>
              <w:pStyle w:val="TablaC"/>
              <w:rPr>
                <w:rFonts w:ascii="Arial" w:hAnsi="Arial" w:cs="Arial"/>
                <w:sz w:val="18"/>
              </w:rPr>
            </w:pPr>
            <w:r w:rsidRPr="00117BF8">
              <w:rPr>
                <w:rFonts w:ascii="Arial" w:hAnsi="Arial" w:cs="Arial"/>
                <w:sz w:val="18"/>
              </w:rPr>
              <w:t>0,00</w:t>
            </w:r>
          </w:p>
        </w:tc>
      </w:tr>
      <w:tr w:rsidR="002F43BF" w:rsidRPr="004E6455" w14:paraId="664B7167" w14:textId="77777777" w:rsidTr="002F43BF">
        <w:trPr>
          <w:trHeight w:val="300"/>
        </w:trPr>
        <w:tc>
          <w:tcPr>
            <w:tcW w:w="2567" w:type="dxa"/>
            <w:tcBorders>
              <w:top w:val="nil"/>
              <w:left w:val="nil"/>
              <w:bottom w:val="nil"/>
              <w:right w:val="nil"/>
            </w:tcBorders>
            <w:shd w:val="clear" w:color="auto" w:fill="auto"/>
            <w:noWrap/>
            <w:vAlign w:val="bottom"/>
            <w:hideMark/>
          </w:tcPr>
          <w:p w14:paraId="72E0DEA1" w14:textId="77777777" w:rsidR="002F43BF" w:rsidRPr="00117BF8" w:rsidRDefault="002F43BF" w:rsidP="000D4582">
            <w:pPr>
              <w:pStyle w:val="TablaC"/>
              <w:keepNext w:val="0"/>
              <w:jc w:val="left"/>
              <w:rPr>
                <w:rFonts w:ascii="Arial" w:hAnsi="Arial" w:cs="Arial"/>
                <w:sz w:val="18"/>
              </w:rPr>
            </w:pPr>
            <w:r w:rsidRPr="00117BF8">
              <w:rPr>
                <w:rFonts w:ascii="Arial" w:hAnsi="Arial" w:cs="Arial"/>
                <w:sz w:val="18"/>
              </w:rPr>
              <w:t>Mantenimiento AUBASA</w:t>
            </w:r>
          </w:p>
        </w:tc>
        <w:tc>
          <w:tcPr>
            <w:tcW w:w="1044" w:type="dxa"/>
            <w:tcBorders>
              <w:top w:val="nil"/>
              <w:left w:val="nil"/>
              <w:bottom w:val="nil"/>
              <w:right w:val="nil"/>
            </w:tcBorders>
            <w:shd w:val="clear" w:color="auto" w:fill="auto"/>
            <w:noWrap/>
            <w:vAlign w:val="bottom"/>
            <w:hideMark/>
          </w:tcPr>
          <w:p w14:paraId="37C9B682" w14:textId="77777777" w:rsidR="002F43BF" w:rsidRPr="00117BF8" w:rsidRDefault="002F43BF" w:rsidP="000D4582">
            <w:pPr>
              <w:pStyle w:val="TablaC"/>
              <w:keepNext w:val="0"/>
              <w:rPr>
                <w:rFonts w:ascii="Arial" w:hAnsi="Arial" w:cs="Arial"/>
                <w:sz w:val="18"/>
              </w:rPr>
            </w:pPr>
          </w:p>
        </w:tc>
        <w:tc>
          <w:tcPr>
            <w:tcW w:w="1044" w:type="dxa"/>
            <w:tcBorders>
              <w:top w:val="nil"/>
              <w:left w:val="nil"/>
              <w:bottom w:val="nil"/>
              <w:right w:val="nil"/>
            </w:tcBorders>
            <w:shd w:val="clear" w:color="auto" w:fill="auto"/>
            <w:noWrap/>
            <w:vAlign w:val="bottom"/>
            <w:hideMark/>
          </w:tcPr>
          <w:p w14:paraId="506B61FB" w14:textId="77777777" w:rsidR="002F43BF" w:rsidRPr="00117BF8" w:rsidRDefault="002F43BF" w:rsidP="000D4582">
            <w:pPr>
              <w:pStyle w:val="TablaC"/>
              <w:keepNext w:val="0"/>
              <w:rPr>
                <w:rFonts w:ascii="Arial" w:hAnsi="Arial" w:cs="Arial"/>
                <w:sz w:val="18"/>
              </w:rPr>
            </w:pPr>
          </w:p>
        </w:tc>
        <w:tc>
          <w:tcPr>
            <w:tcW w:w="1044" w:type="dxa"/>
            <w:tcBorders>
              <w:top w:val="nil"/>
              <w:left w:val="nil"/>
              <w:bottom w:val="nil"/>
              <w:right w:val="nil"/>
            </w:tcBorders>
            <w:shd w:val="clear" w:color="auto" w:fill="auto"/>
            <w:noWrap/>
            <w:vAlign w:val="bottom"/>
            <w:hideMark/>
          </w:tcPr>
          <w:p w14:paraId="429AC256"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461E2326"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0D3754B4" w14:textId="77777777" w:rsidR="002F43BF" w:rsidRPr="00117BF8" w:rsidRDefault="002F43BF" w:rsidP="000D4582">
            <w:pPr>
              <w:pStyle w:val="TablaC"/>
              <w:keepNext w:val="0"/>
              <w:rPr>
                <w:rFonts w:ascii="Arial" w:hAnsi="Arial" w:cs="Arial"/>
                <w:sz w:val="18"/>
              </w:rPr>
            </w:pPr>
          </w:p>
        </w:tc>
        <w:tc>
          <w:tcPr>
            <w:tcW w:w="1043" w:type="dxa"/>
            <w:tcBorders>
              <w:top w:val="nil"/>
              <w:left w:val="nil"/>
              <w:bottom w:val="nil"/>
              <w:right w:val="nil"/>
            </w:tcBorders>
            <w:shd w:val="clear" w:color="auto" w:fill="auto"/>
            <w:noWrap/>
            <w:vAlign w:val="bottom"/>
            <w:hideMark/>
          </w:tcPr>
          <w:p w14:paraId="1EB94673" w14:textId="77777777" w:rsidR="002F43BF" w:rsidRPr="00117BF8" w:rsidRDefault="002F43BF" w:rsidP="000D4582">
            <w:pPr>
              <w:pStyle w:val="TablaC"/>
              <w:keepNext w:val="0"/>
              <w:rPr>
                <w:rFonts w:ascii="Arial" w:hAnsi="Arial" w:cs="Arial"/>
                <w:sz w:val="18"/>
              </w:rPr>
            </w:pPr>
            <w:r w:rsidRPr="00117BF8">
              <w:rPr>
                <w:rFonts w:ascii="Arial" w:hAnsi="Arial" w:cs="Arial"/>
                <w:sz w:val="18"/>
              </w:rPr>
              <w:t>2,80</w:t>
            </w:r>
          </w:p>
        </w:tc>
        <w:tc>
          <w:tcPr>
            <w:tcW w:w="1043" w:type="dxa"/>
            <w:tcBorders>
              <w:top w:val="nil"/>
              <w:left w:val="nil"/>
              <w:bottom w:val="nil"/>
              <w:right w:val="nil"/>
            </w:tcBorders>
            <w:shd w:val="clear" w:color="auto" w:fill="auto"/>
            <w:noWrap/>
            <w:vAlign w:val="bottom"/>
            <w:hideMark/>
          </w:tcPr>
          <w:p w14:paraId="44D06113" w14:textId="77777777" w:rsidR="002F43BF" w:rsidRPr="00117BF8" w:rsidRDefault="002F43BF" w:rsidP="000D4582">
            <w:pPr>
              <w:pStyle w:val="TablaC"/>
              <w:keepNext w:val="0"/>
              <w:rPr>
                <w:rFonts w:ascii="Arial" w:hAnsi="Arial" w:cs="Arial"/>
                <w:sz w:val="18"/>
              </w:rPr>
            </w:pPr>
            <w:r w:rsidRPr="00117BF8">
              <w:rPr>
                <w:rFonts w:ascii="Arial" w:hAnsi="Arial" w:cs="Arial"/>
                <w:sz w:val="18"/>
              </w:rPr>
              <w:t>2,80</w:t>
            </w:r>
          </w:p>
        </w:tc>
        <w:tc>
          <w:tcPr>
            <w:tcW w:w="1043" w:type="dxa"/>
            <w:tcBorders>
              <w:top w:val="nil"/>
              <w:left w:val="nil"/>
              <w:bottom w:val="nil"/>
              <w:right w:val="nil"/>
            </w:tcBorders>
            <w:shd w:val="clear" w:color="auto" w:fill="auto"/>
            <w:noWrap/>
            <w:vAlign w:val="bottom"/>
            <w:hideMark/>
          </w:tcPr>
          <w:p w14:paraId="0928F1B1" w14:textId="77777777" w:rsidR="002F43BF" w:rsidRPr="00117BF8" w:rsidRDefault="002F43BF" w:rsidP="000D4582">
            <w:pPr>
              <w:pStyle w:val="TablaC"/>
              <w:keepNext w:val="0"/>
              <w:rPr>
                <w:rFonts w:ascii="Arial" w:hAnsi="Arial" w:cs="Arial"/>
                <w:sz w:val="18"/>
              </w:rPr>
            </w:pPr>
            <w:r w:rsidRPr="00117BF8">
              <w:rPr>
                <w:rFonts w:ascii="Arial" w:hAnsi="Arial" w:cs="Arial"/>
                <w:sz w:val="18"/>
              </w:rPr>
              <w:t>2,80</w:t>
            </w:r>
          </w:p>
        </w:tc>
        <w:tc>
          <w:tcPr>
            <w:tcW w:w="1043" w:type="dxa"/>
            <w:tcBorders>
              <w:top w:val="nil"/>
              <w:left w:val="nil"/>
              <w:bottom w:val="nil"/>
              <w:right w:val="nil"/>
            </w:tcBorders>
            <w:shd w:val="clear" w:color="auto" w:fill="auto"/>
            <w:noWrap/>
            <w:vAlign w:val="bottom"/>
            <w:hideMark/>
          </w:tcPr>
          <w:p w14:paraId="02CCDA56" w14:textId="77777777" w:rsidR="002F43BF" w:rsidRPr="00117BF8" w:rsidRDefault="002F43BF" w:rsidP="000D4582">
            <w:pPr>
              <w:pStyle w:val="TablaC"/>
              <w:keepNext w:val="0"/>
              <w:rPr>
                <w:rFonts w:ascii="Arial" w:hAnsi="Arial" w:cs="Arial"/>
                <w:sz w:val="18"/>
              </w:rPr>
            </w:pPr>
            <w:r w:rsidRPr="00117BF8">
              <w:rPr>
                <w:rFonts w:ascii="Arial" w:hAnsi="Arial" w:cs="Arial"/>
                <w:sz w:val="18"/>
              </w:rPr>
              <w:t>2,80</w:t>
            </w:r>
          </w:p>
        </w:tc>
        <w:tc>
          <w:tcPr>
            <w:tcW w:w="1043" w:type="dxa"/>
            <w:tcBorders>
              <w:top w:val="nil"/>
              <w:left w:val="nil"/>
              <w:bottom w:val="nil"/>
              <w:right w:val="nil"/>
            </w:tcBorders>
            <w:shd w:val="clear" w:color="auto" w:fill="auto"/>
            <w:noWrap/>
            <w:vAlign w:val="bottom"/>
            <w:hideMark/>
          </w:tcPr>
          <w:p w14:paraId="07E0D037" w14:textId="77777777" w:rsidR="002F43BF" w:rsidRPr="00117BF8" w:rsidRDefault="002F43BF" w:rsidP="000D4582">
            <w:pPr>
              <w:pStyle w:val="TablaC"/>
              <w:keepNext w:val="0"/>
              <w:rPr>
                <w:rFonts w:ascii="Arial" w:hAnsi="Arial" w:cs="Arial"/>
                <w:sz w:val="18"/>
              </w:rPr>
            </w:pPr>
            <w:r w:rsidRPr="00117BF8">
              <w:rPr>
                <w:rFonts w:ascii="Arial" w:hAnsi="Arial" w:cs="Arial"/>
                <w:sz w:val="18"/>
              </w:rPr>
              <w:t>2,80</w:t>
            </w:r>
          </w:p>
        </w:tc>
        <w:tc>
          <w:tcPr>
            <w:tcW w:w="1043" w:type="dxa"/>
            <w:tcBorders>
              <w:top w:val="nil"/>
              <w:left w:val="nil"/>
              <w:bottom w:val="nil"/>
              <w:right w:val="nil"/>
            </w:tcBorders>
            <w:shd w:val="clear" w:color="auto" w:fill="auto"/>
            <w:noWrap/>
            <w:vAlign w:val="bottom"/>
            <w:hideMark/>
          </w:tcPr>
          <w:p w14:paraId="56A07F96" w14:textId="77777777" w:rsidR="002F43BF" w:rsidRPr="00117BF8" w:rsidRDefault="002F43BF" w:rsidP="000D4582">
            <w:pPr>
              <w:pStyle w:val="TablaC"/>
              <w:keepNext w:val="0"/>
              <w:rPr>
                <w:rFonts w:ascii="Arial" w:hAnsi="Arial" w:cs="Arial"/>
                <w:sz w:val="18"/>
              </w:rPr>
            </w:pPr>
            <w:r w:rsidRPr="00117BF8">
              <w:rPr>
                <w:rFonts w:ascii="Arial" w:hAnsi="Arial" w:cs="Arial"/>
                <w:sz w:val="18"/>
              </w:rPr>
              <w:t>2,80</w:t>
            </w:r>
          </w:p>
        </w:tc>
      </w:tr>
    </w:tbl>
    <w:p w14:paraId="774A57C1" w14:textId="77777777" w:rsidR="000D4582" w:rsidRPr="00117BF8" w:rsidRDefault="000D4582" w:rsidP="000D4582">
      <w:pPr>
        <w:pStyle w:val="TablaC"/>
        <w:keepNext w:val="0"/>
        <w:rPr>
          <w:rFonts w:ascii="Arial" w:hAnsi="Arial" w:cs="Arial"/>
          <w:sz w:val="18"/>
        </w:rPr>
      </w:pPr>
    </w:p>
    <w:p w14:paraId="7A15710F" w14:textId="77777777" w:rsidR="000D4582" w:rsidRPr="00117BF8" w:rsidRDefault="000D4582" w:rsidP="000D4582">
      <w:pPr>
        <w:pStyle w:val="TablaC"/>
        <w:keepNext w:val="0"/>
        <w:rPr>
          <w:rFonts w:ascii="Arial" w:hAnsi="Arial" w:cs="Arial"/>
          <w:sz w:val="18"/>
        </w:rPr>
      </w:pPr>
    </w:p>
    <w:tbl>
      <w:tblPr>
        <w:tblW w:w="14043" w:type="dxa"/>
        <w:tblInd w:w="55" w:type="dxa"/>
        <w:tblCellMar>
          <w:left w:w="70" w:type="dxa"/>
          <w:right w:w="70" w:type="dxa"/>
        </w:tblCellMar>
        <w:tblLook w:val="04A0" w:firstRow="1" w:lastRow="0" w:firstColumn="1" w:lastColumn="0" w:noHBand="0" w:noVBand="1"/>
      </w:tblPr>
      <w:tblGrid>
        <w:gridCol w:w="2567"/>
        <w:gridCol w:w="1044"/>
        <w:gridCol w:w="1044"/>
        <w:gridCol w:w="1044"/>
        <w:gridCol w:w="1043"/>
        <w:gridCol w:w="1043"/>
        <w:gridCol w:w="1043"/>
        <w:gridCol w:w="1043"/>
        <w:gridCol w:w="1043"/>
        <w:gridCol w:w="1043"/>
        <w:gridCol w:w="1043"/>
        <w:gridCol w:w="1043"/>
      </w:tblGrid>
      <w:tr w:rsidR="000D4582" w:rsidRPr="004E6455" w14:paraId="6719CF9C" w14:textId="77777777" w:rsidTr="00BB314B">
        <w:trPr>
          <w:trHeight w:val="300"/>
          <w:tblHeader/>
        </w:trPr>
        <w:tc>
          <w:tcPr>
            <w:tcW w:w="14043" w:type="dxa"/>
            <w:gridSpan w:val="12"/>
            <w:tcBorders>
              <w:top w:val="nil"/>
              <w:left w:val="nil"/>
              <w:bottom w:val="nil"/>
              <w:right w:val="nil"/>
            </w:tcBorders>
            <w:shd w:val="clear" w:color="auto" w:fill="0070C0"/>
            <w:noWrap/>
            <w:vAlign w:val="bottom"/>
          </w:tcPr>
          <w:p w14:paraId="239F46A9" w14:textId="77777777" w:rsidR="000D4582" w:rsidRPr="00117BF8" w:rsidRDefault="000D4582" w:rsidP="00BB314B">
            <w:pPr>
              <w:pStyle w:val="TablaT"/>
              <w:rPr>
                <w:rFonts w:ascii="Arial" w:hAnsi="Arial" w:cs="Arial"/>
                <w:sz w:val="22"/>
                <w:szCs w:val="22"/>
                <w:lang w:val="es-ES_tradnl"/>
              </w:rPr>
            </w:pPr>
            <w:bookmarkStart w:id="86" w:name="_Toc493861143"/>
            <w:r w:rsidRPr="00117BF8">
              <w:rPr>
                <w:rFonts w:ascii="Arial" w:hAnsi="Arial" w:cs="Arial"/>
                <w:sz w:val="22"/>
                <w:szCs w:val="22"/>
                <w:lang w:val="es-ES_tradnl"/>
              </w:rPr>
              <w:t xml:space="preserve">Tabla </w:t>
            </w:r>
            <w:r w:rsidR="00186356" w:rsidRPr="00117BF8">
              <w:rPr>
                <w:rFonts w:ascii="Arial" w:hAnsi="Arial" w:cs="Arial"/>
                <w:sz w:val="22"/>
                <w:szCs w:val="22"/>
                <w:lang w:val="es-ES_tradnl"/>
              </w:rPr>
              <w:t>33</w:t>
            </w:r>
            <w:r w:rsidRPr="00117BF8">
              <w:rPr>
                <w:rFonts w:ascii="Arial" w:hAnsi="Arial" w:cs="Arial"/>
                <w:sz w:val="22"/>
                <w:szCs w:val="22"/>
                <w:lang w:val="es-ES_tradnl"/>
              </w:rPr>
              <w:t xml:space="preserve"> – Proyecciones Totales de </w:t>
            </w:r>
            <w:r w:rsidR="00446921" w:rsidRPr="00117BF8">
              <w:rPr>
                <w:rFonts w:ascii="Arial" w:hAnsi="Arial" w:cs="Arial"/>
                <w:sz w:val="22"/>
                <w:szCs w:val="22"/>
                <w:lang w:val="es-ES_tradnl"/>
              </w:rPr>
              <w:t>las Operaciones</w:t>
            </w:r>
            <w:bookmarkEnd w:id="86"/>
          </w:p>
          <w:p w14:paraId="30667EC3" w14:textId="77777777" w:rsidR="000D4582" w:rsidRPr="00117BF8" w:rsidRDefault="000D4582" w:rsidP="000D4582">
            <w:pPr>
              <w:pStyle w:val="TablaC"/>
              <w:rPr>
                <w:rFonts w:ascii="Arial" w:hAnsi="Arial" w:cs="Arial"/>
                <w:color w:val="FFFFFF"/>
                <w:szCs w:val="22"/>
              </w:rPr>
            </w:pPr>
            <w:r w:rsidRPr="00117BF8">
              <w:rPr>
                <w:rFonts w:ascii="Arial" w:hAnsi="Arial" w:cs="Arial"/>
                <w:color w:val="FFFFFF"/>
                <w:szCs w:val="22"/>
              </w:rPr>
              <w:t>En millones</w:t>
            </w:r>
          </w:p>
        </w:tc>
      </w:tr>
      <w:tr w:rsidR="000D4582" w:rsidRPr="004E6455" w14:paraId="6E7FAD54" w14:textId="77777777" w:rsidTr="00BB314B">
        <w:trPr>
          <w:trHeight w:val="300"/>
          <w:tblHeader/>
        </w:trPr>
        <w:tc>
          <w:tcPr>
            <w:tcW w:w="2567" w:type="dxa"/>
            <w:tcBorders>
              <w:top w:val="nil"/>
              <w:left w:val="nil"/>
              <w:bottom w:val="nil"/>
              <w:right w:val="nil"/>
            </w:tcBorders>
            <w:shd w:val="clear" w:color="auto" w:fill="0070C0"/>
            <w:noWrap/>
            <w:vAlign w:val="bottom"/>
            <w:hideMark/>
          </w:tcPr>
          <w:p w14:paraId="643E8C88" w14:textId="77777777" w:rsidR="000D4582" w:rsidRPr="00117BF8" w:rsidRDefault="000D4582" w:rsidP="00BB314B">
            <w:pPr>
              <w:pStyle w:val="TablaE"/>
              <w:rPr>
                <w:rFonts w:ascii="Arial" w:hAnsi="Arial" w:cs="Arial"/>
                <w:sz w:val="22"/>
                <w:szCs w:val="22"/>
              </w:rPr>
            </w:pPr>
          </w:p>
        </w:tc>
        <w:tc>
          <w:tcPr>
            <w:tcW w:w="1044" w:type="dxa"/>
            <w:tcBorders>
              <w:top w:val="nil"/>
              <w:left w:val="nil"/>
              <w:bottom w:val="nil"/>
              <w:right w:val="nil"/>
            </w:tcBorders>
            <w:shd w:val="clear" w:color="auto" w:fill="0070C0"/>
            <w:noWrap/>
            <w:vAlign w:val="bottom"/>
            <w:hideMark/>
          </w:tcPr>
          <w:p w14:paraId="4EA216B8"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2018</w:t>
            </w:r>
          </w:p>
        </w:tc>
        <w:tc>
          <w:tcPr>
            <w:tcW w:w="1044" w:type="dxa"/>
            <w:tcBorders>
              <w:top w:val="nil"/>
              <w:left w:val="nil"/>
              <w:bottom w:val="nil"/>
              <w:right w:val="nil"/>
            </w:tcBorders>
            <w:shd w:val="clear" w:color="auto" w:fill="0070C0"/>
            <w:noWrap/>
            <w:vAlign w:val="bottom"/>
            <w:hideMark/>
          </w:tcPr>
          <w:p w14:paraId="3B4E7E77"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2019</w:t>
            </w:r>
          </w:p>
        </w:tc>
        <w:tc>
          <w:tcPr>
            <w:tcW w:w="1044" w:type="dxa"/>
            <w:tcBorders>
              <w:top w:val="nil"/>
              <w:left w:val="nil"/>
              <w:bottom w:val="nil"/>
              <w:right w:val="nil"/>
            </w:tcBorders>
            <w:shd w:val="clear" w:color="auto" w:fill="0070C0"/>
            <w:noWrap/>
            <w:vAlign w:val="bottom"/>
            <w:hideMark/>
          </w:tcPr>
          <w:p w14:paraId="4D566B1B"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2020</w:t>
            </w:r>
          </w:p>
        </w:tc>
        <w:tc>
          <w:tcPr>
            <w:tcW w:w="1043" w:type="dxa"/>
            <w:tcBorders>
              <w:top w:val="nil"/>
              <w:left w:val="nil"/>
              <w:bottom w:val="nil"/>
              <w:right w:val="nil"/>
            </w:tcBorders>
            <w:shd w:val="clear" w:color="auto" w:fill="0070C0"/>
            <w:noWrap/>
            <w:vAlign w:val="bottom"/>
            <w:hideMark/>
          </w:tcPr>
          <w:p w14:paraId="0757B66A"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2021</w:t>
            </w:r>
          </w:p>
        </w:tc>
        <w:tc>
          <w:tcPr>
            <w:tcW w:w="1043" w:type="dxa"/>
            <w:tcBorders>
              <w:top w:val="nil"/>
              <w:left w:val="nil"/>
              <w:bottom w:val="nil"/>
              <w:right w:val="nil"/>
            </w:tcBorders>
            <w:shd w:val="clear" w:color="auto" w:fill="0070C0"/>
            <w:noWrap/>
            <w:vAlign w:val="bottom"/>
            <w:hideMark/>
          </w:tcPr>
          <w:p w14:paraId="4AFDBE8C"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2022</w:t>
            </w:r>
          </w:p>
        </w:tc>
        <w:tc>
          <w:tcPr>
            <w:tcW w:w="1043" w:type="dxa"/>
            <w:tcBorders>
              <w:top w:val="nil"/>
              <w:left w:val="nil"/>
              <w:bottom w:val="nil"/>
              <w:right w:val="nil"/>
            </w:tcBorders>
            <w:shd w:val="clear" w:color="auto" w:fill="0070C0"/>
            <w:noWrap/>
            <w:vAlign w:val="bottom"/>
            <w:hideMark/>
          </w:tcPr>
          <w:p w14:paraId="0383E9FD"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2023</w:t>
            </w:r>
          </w:p>
        </w:tc>
        <w:tc>
          <w:tcPr>
            <w:tcW w:w="1043" w:type="dxa"/>
            <w:tcBorders>
              <w:top w:val="nil"/>
              <w:left w:val="nil"/>
              <w:bottom w:val="nil"/>
              <w:right w:val="nil"/>
            </w:tcBorders>
            <w:shd w:val="clear" w:color="auto" w:fill="0070C0"/>
            <w:noWrap/>
            <w:vAlign w:val="bottom"/>
            <w:hideMark/>
          </w:tcPr>
          <w:p w14:paraId="76B43C50"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2024</w:t>
            </w:r>
          </w:p>
        </w:tc>
        <w:tc>
          <w:tcPr>
            <w:tcW w:w="1043" w:type="dxa"/>
            <w:tcBorders>
              <w:top w:val="nil"/>
              <w:left w:val="nil"/>
              <w:bottom w:val="nil"/>
              <w:right w:val="nil"/>
            </w:tcBorders>
            <w:shd w:val="clear" w:color="auto" w:fill="0070C0"/>
            <w:noWrap/>
            <w:vAlign w:val="bottom"/>
            <w:hideMark/>
          </w:tcPr>
          <w:p w14:paraId="7B7ACC1C"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2025</w:t>
            </w:r>
          </w:p>
        </w:tc>
        <w:tc>
          <w:tcPr>
            <w:tcW w:w="1043" w:type="dxa"/>
            <w:tcBorders>
              <w:top w:val="nil"/>
              <w:left w:val="nil"/>
              <w:bottom w:val="nil"/>
              <w:right w:val="nil"/>
            </w:tcBorders>
            <w:shd w:val="clear" w:color="auto" w:fill="0070C0"/>
            <w:noWrap/>
            <w:vAlign w:val="bottom"/>
            <w:hideMark/>
          </w:tcPr>
          <w:p w14:paraId="30F54289"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2026</w:t>
            </w:r>
          </w:p>
        </w:tc>
        <w:tc>
          <w:tcPr>
            <w:tcW w:w="1043" w:type="dxa"/>
            <w:tcBorders>
              <w:top w:val="nil"/>
              <w:left w:val="nil"/>
              <w:bottom w:val="nil"/>
              <w:right w:val="nil"/>
            </w:tcBorders>
            <w:shd w:val="clear" w:color="auto" w:fill="0070C0"/>
            <w:noWrap/>
            <w:vAlign w:val="bottom"/>
            <w:hideMark/>
          </w:tcPr>
          <w:p w14:paraId="4C065F0E"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2027</w:t>
            </w:r>
          </w:p>
        </w:tc>
        <w:tc>
          <w:tcPr>
            <w:tcW w:w="1043" w:type="dxa"/>
            <w:tcBorders>
              <w:top w:val="nil"/>
              <w:left w:val="nil"/>
              <w:bottom w:val="nil"/>
              <w:right w:val="nil"/>
            </w:tcBorders>
            <w:shd w:val="clear" w:color="auto" w:fill="0070C0"/>
            <w:noWrap/>
            <w:vAlign w:val="bottom"/>
            <w:hideMark/>
          </w:tcPr>
          <w:p w14:paraId="2B797B65" w14:textId="77777777" w:rsidR="000D4582" w:rsidRPr="00117BF8" w:rsidRDefault="000D4582" w:rsidP="00BB314B">
            <w:pPr>
              <w:pStyle w:val="TablaE"/>
              <w:rPr>
                <w:rFonts w:ascii="Arial" w:hAnsi="Arial" w:cs="Arial"/>
                <w:sz w:val="22"/>
                <w:szCs w:val="22"/>
              </w:rPr>
            </w:pPr>
            <w:r w:rsidRPr="00117BF8">
              <w:rPr>
                <w:rFonts w:ascii="Arial" w:hAnsi="Arial" w:cs="Arial"/>
                <w:sz w:val="22"/>
                <w:szCs w:val="22"/>
              </w:rPr>
              <w:t>2028</w:t>
            </w:r>
          </w:p>
        </w:tc>
      </w:tr>
      <w:tr w:rsidR="000D4582" w:rsidRPr="008D51E7" w14:paraId="3B12C12B" w14:textId="77777777" w:rsidTr="002F43BF">
        <w:trPr>
          <w:trHeight w:val="300"/>
        </w:trPr>
        <w:tc>
          <w:tcPr>
            <w:tcW w:w="2567" w:type="dxa"/>
            <w:tcBorders>
              <w:top w:val="nil"/>
              <w:left w:val="nil"/>
              <w:bottom w:val="nil"/>
              <w:right w:val="nil"/>
            </w:tcBorders>
            <w:shd w:val="clear" w:color="auto" w:fill="auto"/>
            <w:noWrap/>
            <w:vAlign w:val="bottom"/>
            <w:hideMark/>
          </w:tcPr>
          <w:p w14:paraId="33294EFA" w14:textId="77777777" w:rsidR="000D4582" w:rsidRPr="00117BF8" w:rsidRDefault="000D4582" w:rsidP="002F43BF">
            <w:pPr>
              <w:pStyle w:val="TablaC"/>
              <w:jc w:val="left"/>
              <w:rPr>
                <w:rFonts w:ascii="Arial" w:hAnsi="Arial" w:cs="Arial"/>
                <w:b/>
                <w:sz w:val="18"/>
                <w:szCs w:val="18"/>
              </w:rPr>
            </w:pPr>
            <w:r w:rsidRPr="00117BF8">
              <w:rPr>
                <w:rFonts w:ascii="Arial" w:hAnsi="Arial" w:cs="Arial"/>
                <w:b/>
                <w:sz w:val="18"/>
                <w:szCs w:val="18"/>
              </w:rPr>
              <w:t>USD</w:t>
            </w:r>
          </w:p>
        </w:tc>
        <w:tc>
          <w:tcPr>
            <w:tcW w:w="1044" w:type="dxa"/>
            <w:tcBorders>
              <w:top w:val="nil"/>
              <w:left w:val="nil"/>
              <w:bottom w:val="nil"/>
              <w:right w:val="nil"/>
            </w:tcBorders>
            <w:shd w:val="clear" w:color="auto" w:fill="auto"/>
            <w:noWrap/>
            <w:vAlign w:val="bottom"/>
            <w:hideMark/>
          </w:tcPr>
          <w:p w14:paraId="52C7902E" w14:textId="77777777" w:rsidR="000D4582" w:rsidRPr="00117BF8" w:rsidRDefault="000D4582" w:rsidP="002F43BF">
            <w:pPr>
              <w:pStyle w:val="TablaC"/>
              <w:rPr>
                <w:rFonts w:ascii="Arial" w:hAnsi="Arial" w:cs="Arial"/>
                <w:sz w:val="18"/>
                <w:szCs w:val="18"/>
              </w:rPr>
            </w:pPr>
          </w:p>
        </w:tc>
        <w:tc>
          <w:tcPr>
            <w:tcW w:w="1044" w:type="dxa"/>
            <w:tcBorders>
              <w:top w:val="nil"/>
              <w:left w:val="nil"/>
              <w:bottom w:val="nil"/>
              <w:right w:val="nil"/>
            </w:tcBorders>
            <w:shd w:val="clear" w:color="auto" w:fill="auto"/>
            <w:noWrap/>
            <w:vAlign w:val="bottom"/>
            <w:hideMark/>
          </w:tcPr>
          <w:p w14:paraId="4CF319DD" w14:textId="77777777" w:rsidR="000D4582" w:rsidRPr="00117BF8" w:rsidRDefault="000D4582" w:rsidP="002F43BF">
            <w:pPr>
              <w:pStyle w:val="TablaC"/>
              <w:rPr>
                <w:rFonts w:ascii="Arial" w:hAnsi="Arial" w:cs="Arial"/>
                <w:sz w:val="18"/>
                <w:szCs w:val="18"/>
              </w:rPr>
            </w:pPr>
          </w:p>
        </w:tc>
        <w:tc>
          <w:tcPr>
            <w:tcW w:w="1044" w:type="dxa"/>
            <w:tcBorders>
              <w:top w:val="nil"/>
              <w:left w:val="nil"/>
              <w:bottom w:val="nil"/>
              <w:right w:val="nil"/>
            </w:tcBorders>
            <w:shd w:val="clear" w:color="auto" w:fill="auto"/>
            <w:noWrap/>
            <w:vAlign w:val="bottom"/>
            <w:hideMark/>
          </w:tcPr>
          <w:p w14:paraId="2534155E"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5A248812"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4684FAF9"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769CF387"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7E377069"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2FE05B6A"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4D1FC14E"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5647B855"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18777D68" w14:textId="77777777" w:rsidR="000D4582" w:rsidRPr="00117BF8" w:rsidRDefault="000D4582" w:rsidP="002F43BF">
            <w:pPr>
              <w:pStyle w:val="TablaC"/>
              <w:rPr>
                <w:rFonts w:ascii="Arial" w:hAnsi="Arial" w:cs="Arial"/>
                <w:sz w:val="18"/>
                <w:szCs w:val="18"/>
              </w:rPr>
            </w:pPr>
          </w:p>
        </w:tc>
      </w:tr>
      <w:tr w:rsidR="000D4582" w:rsidRPr="008D51E7" w14:paraId="102F7BDE" w14:textId="77777777" w:rsidTr="002F43BF">
        <w:trPr>
          <w:trHeight w:val="300"/>
        </w:trPr>
        <w:tc>
          <w:tcPr>
            <w:tcW w:w="2567" w:type="dxa"/>
            <w:tcBorders>
              <w:top w:val="nil"/>
              <w:left w:val="nil"/>
              <w:bottom w:val="nil"/>
              <w:right w:val="nil"/>
            </w:tcBorders>
            <w:shd w:val="clear" w:color="auto" w:fill="auto"/>
            <w:noWrap/>
            <w:vAlign w:val="bottom"/>
            <w:hideMark/>
          </w:tcPr>
          <w:p w14:paraId="598965E9"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Gastos de Capital</w:t>
            </w:r>
          </w:p>
        </w:tc>
        <w:tc>
          <w:tcPr>
            <w:tcW w:w="1044" w:type="dxa"/>
            <w:tcBorders>
              <w:top w:val="nil"/>
              <w:left w:val="nil"/>
              <w:bottom w:val="nil"/>
              <w:right w:val="nil"/>
            </w:tcBorders>
            <w:shd w:val="clear" w:color="auto" w:fill="auto"/>
            <w:noWrap/>
            <w:vAlign w:val="bottom"/>
            <w:hideMark/>
          </w:tcPr>
          <w:p w14:paraId="07178CF1"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50,92</w:t>
            </w:r>
          </w:p>
        </w:tc>
        <w:tc>
          <w:tcPr>
            <w:tcW w:w="1044" w:type="dxa"/>
            <w:tcBorders>
              <w:top w:val="nil"/>
              <w:left w:val="nil"/>
              <w:bottom w:val="nil"/>
              <w:right w:val="nil"/>
            </w:tcBorders>
            <w:shd w:val="clear" w:color="auto" w:fill="auto"/>
            <w:noWrap/>
            <w:vAlign w:val="bottom"/>
            <w:hideMark/>
          </w:tcPr>
          <w:p w14:paraId="2D869F3E"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151,78</w:t>
            </w:r>
          </w:p>
        </w:tc>
        <w:tc>
          <w:tcPr>
            <w:tcW w:w="1044" w:type="dxa"/>
            <w:tcBorders>
              <w:top w:val="nil"/>
              <w:left w:val="nil"/>
              <w:bottom w:val="nil"/>
              <w:right w:val="nil"/>
            </w:tcBorders>
            <w:shd w:val="clear" w:color="auto" w:fill="auto"/>
            <w:noWrap/>
            <w:vAlign w:val="bottom"/>
            <w:hideMark/>
          </w:tcPr>
          <w:p w14:paraId="2097CF03"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150,53</w:t>
            </w:r>
          </w:p>
        </w:tc>
        <w:tc>
          <w:tcPr>
            <w:tcW w:w="1043" w:type="dxa"/>
            <w:tcBorders>
              <w:top w:val="nil"/>
              <w:left w:val="nil"/>
              <w:bottom w:val="nil"/>
              <w:right w:val="nil"/>
            </w:tcBorders>
            <w:shd w:val="clear" w:color="auto" w:fill="auto"/>
            <w:noWrap/>
            <w:vAlign w:val="bottom"/>
            <w:hideMark/>
          </w:tcPr>
          <w:p w14:paraId="7AED767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98,23</w:t>
            </w:r>
          </w:p>
        </w:tc>
        <w:tc>
          <w:tcPr>
            <w:tcW w:w="1043" w:type="dxa"/>
            <w:tcBorders>
              <w:top w:val="nil"/>
              <w:left w:val="nil"/>
              <w:bottom w:val="nil"/>
              <w:right w:val="nil"/>
            </w:tcBorders>
            <w:shd w:val="clear" w:color="auto" w:fill="auto"/>
            <w:noWrap/>
            <w:vAlign w:val="bottom"/>
            <w:hideMark/>
          </w:tcPr>
          <w:p w14:paraId="02E76F6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28,55</w:t>
            </w:r>
          </w:p>
        </w:tc>
        <w:tc>
          <w:tcPr>
            <w:tcW w:w="1043" w:type="dxa"/>
            <w:tcBorders>
              <w:top w:val="nil"/>
              <w:left w:val="nil"/>
              <w:bottom w:val="nil"/>
              <w:right w:val="nil"/>
            </w:tcBorders>
            <w:shd w:val="clear" w:color="auto" w:fill="auto"/>
            <w:noWrap/>
            <w:vAlign w:val="bottom"/>
            <w:hideMark/>
          </w:tcPr>
          <w:p w14:paraId="03AA9685"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425D31B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0C48988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580F5A6A"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600C6E45"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57EF3E2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r>
      <w:tr w:rsidR="000D4582" w:rsidRPr="008D51E7" w14:paraId="76C3D7CD" w14:textId="77777777" w:rsidTr="002F43BF">
        <w:trPr>
          <w:trHeight w:val="300"/>
        </w:trPr>
        <w:tc>
          <w:tcPr>
            <w:tcW w:w="2567" w:type="dxa"/>
            <w:tcBorders>
              <w:top w:val="nil"/>
              <w:left w:val="nil"/>
              <w:bottom w:val="nil"/>
              <w:right w:val="nil"/>
            </w:tcBorders>
            <w:shd w:val="clear" w:color="auto" w:fill="auto"/>
            <w:noWrap/>
            <w:vAlign w:val="bottom"/>
            <w:hideMark/>
          </w:tcPr>
          <w:p w14:paraId="08AF9B24"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Intereses y Comisiones</w:t>
            </w:r>
          </w:p>
        </w:tc>
        <w:tc>
          <w:tcPr>
            <w:tcW w:w="1044" w:type="dxa"/>
            <w:tcBorders>
              <w:top w:val="nil"/>
              <w:left w:val="nil"/>
              <w:bottom w:val="nil"/>
              <w:right w:val="nil"/>
            </w:tcBorders>
            <w:shd w:val="clear" w:color="auto" w:fill="auto"/>
            <w:noWrap/>
            <w:vAlign w:val="bottom"/>
            <w:hideMark/>
          </w:tcPr>
          <w:p w14:paraId="53DF5CFD"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2,19</w:t>
            </w:r>
          </w:p>
        </w:tc>
        <w:tc>
          <w:tcPr>
            <w:tcW w:w="1044" w:type="dxa"/>
            <w:tcBorders>
              <w:top w:val="nil"/>
              <w:left w:val="nil"/>
              <w:bottom w:val="nil"/>
              <w:right w:val="nil"/>
            </w:tcBorders>
            <w:shd w:val="clear" w:color="auto" w:fill="auto"/>
            <w:noWrap/>
            <w:vAlign w:val="bottom"/>
            <w:hideMark/>
          </w:tcPr>
          <w:p w14:paraId="3AFF367E"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3,56</w:t>
            </w:r>
          </w:p>
        </w:tc>
        <w:tc>
          <w:tcPr>
            <w:tcW w:w="1044" w:type="dxa"/>
            <w:tcBorders>
              <w:top w:val="nil"/>
              <w:left w:val="nil"/>
              <w:bottom w:val="nil"/>
              <w:right w:val="nil"/>
            </w:tcBorders>
            <w:shd w:val="clear" w:color="auto" w:fill="auto"/>
            <w:noWrap/>
            <w:vAlign w:val="bottom"/>
            <w:hideMark/>
          </w:tcPr>
          <w:p w14:paraId="6BDA5EC8"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5,59</w:t>
            </w:r>
          </w:p>
        </w:tc>
        <w:tc>
          <w:tcPr>
            <w:tcW w:w="1043" w:type="dxa"/>
            <w:tcBorders>
              <w:top w:val="nil"/>
              <w:left w:val="nil"/>
              <w:bottom w:val="nil"/>
              <w:right w:val="nil"/>
            </w:tcBorders>
            <w:shd w:val="clear" w:color="auto" w:fill="auto"/>
            <w:noWrap/>
            <w:vAlign w:val="bottom"/>
            <w:hideMark/>
          </w:tcPr>
          <w:p w14:paraId="337304C9"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7,24</w:t>
            </w:r>
          </w:p>
        </w:tc>
        <w:tc>
          <w:tcPr>
            <w:tcW w:w="1043" w:type="dxa"/>
            <w:tcBorders>
              <w:top w:val="nil"/>
              <w:left w:val="nil"/>
              <w:bottom w:val="nil"/>
              <w:right w:val="nil"/>
            </w:tcBorders>
            <w:shd w:val="clear" w:color="auto" w:fill="auto"/>
            <w:noWrap/>
            <w:vAlign w:val="bottom"/>
            <w:hideMark/>
          </w:tcPr>
          <w:p w14:paraId="5E8B5CA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8,11</w:t>
            </w:r>
          </w:p>
        </w:tc>
        <w:tc>
          <w:tcPr>
            <w:tcW w:w="1043" w:type="dxa"/>
            <w:tcBorders>
              <w:top w:val="nil"/>
              <w:left w:val="nil"/>
              <w:bottom w:val="nil"/>
              <w:right w:val="nil"/>
            </w:tcBorders>
            <w:shd w:val="clear" w:color="auto" w:fill="auto"/>
            <w:noWrap/>
            <w:vAlign w:val="bottom"/>
            <w:hideMark/>
          </w:tcPr>
          <w:p w14:paraId="236F2188"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8,12</w:t>
            </w:r>
          </w:p>
        </w:tc>
        <w:tc>
          <w:tcPr>
            <w:tcW w:w="1043" w:type="dxa"/>
            <w:tcBorders>
              <w:top w:val="nil"/>
              <w:left w:val="nil"/>
              <w:bottom w:val="nil"/>
              <w:right w:val="nil"/>
            </w:tcBorders>
            <w:shd w:val="clear" w:color="auto" w:fill="auto"/>
            <w:noWrap/>
            <w:vAlign w:val="bottom"/>
            <w:hideMark/>
          </w:tcPr>
          <w:p w14:paraId="79661939"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7,70</w:t>
            </w:r>
          </w:p>
        </w:tc>
        <w:tc>
          <w:tcPr>
            <w:tcW w:w="1043" w:type="dxa"/>
            <w:tcBorders>
              <w:top w:val="nil"/>
              <w:left w:val="nil"/>
              <w:bottom w:val="nil"/>
              <w:right w:val="nil"/>
            </w:tcBorders>
            <w:shd w:val="clear" w:color="auto" w:fill="auto"/>
            <w:noWrap/>
            <w:vAlign w:val="bottom"/>
            <w:hideMark/>
          </w:tcPr>
          <w:p w14:paraId="5CE29019"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7,28</w:t>
            </w:r>
          </w:p>
        </w:tc>
        <w:tc>
          <w:tcPr>
            <w:tcW w:w="1043" w:type="dxa"/>
            <w:tcBorders>
              <w:top w:val="nil"/>
              <w:left w:val="nil"/>
              <w:bottom w:val="nil"/>
              <w:right w:val="nil"/>
            </w:tcBorders>
            <w:shd w:val="clear" w:color="auto" w:fill="auto"/>
            <w:noWrap/>
            <w:vAlign w:val="bottom"/>
            <w:hideMark/>
          </w:tcPr>
          <w:p w14:paraId="7ABEFA9A"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6,87</w:t>
            </w:r>
          </w:p>
        </w:tc>
        <w:tc>
          <w:tcPr>
            <w:tcW w:w="1043" w:type="dxa"/>
            <w:tcBorders>
              <w:top w:val="nil"/>
              <w:left w:val="nil"/>
              <w:bottom w:val="nil"/>
              <w:right w:val="nil"/>
            </w:tcBorders>
            <w:shd w:val="clear" w:color="auto" w:fill="auto"/>
            <w:noWrap/>
            <w:vAlign w:val="bottom"/>
            <w:hideMark/>
          </w:tcPr>
          <w:p w14:paraId="0BA0D8E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6,45</w:t>
            </w:r>
          </w:p>
        </w:tc>
        <w:tc>
          <w:tcPr>
            <w:tcW w:w="1043" w:type="dxa"/>
            <w:tcBorders>
              <w:top w:val="nil"/>
              <w:left w:val="nil"/>
              <w:bottom w:val="nil"/>
              <w:right w:val="nil"/>
            </w:tcBorders>
            <w:shd w:val="clear" w:color="auto" w:fill="auto"/>
            <w:noWrap/>
            <w:vAlign w:val="bottom"/>
            <w:hideMark/>
          </w:tcPr>
          <w:p w14:paraId="34AD4885"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6,04</w:t>
            </w:r>
          </w:p>
        </w:tc>
      </w:tr>
      <w:tr w:rsidR="000D4582" w:rsidRPr="008D51E7" w14:paraId="3D00AF0C" w14:textId="77777777" w:rsidTr="002F43BF">
        <w:trPr>
          <w:trHeight w:val="300"/>
        </w:trPr>
        <w:tc>
          <w:tcPr>
            <w:tcW w:w="2567" w:type="dxa"/>
            <w:tcBorders>
              <w:top w:val="nil"/>
              <w:left w:val="nil"/>
              <w:bottom w:val="nil"/>
              <w:right w:val="nil"/>
            </w:tcBorders>
            <w:shd w:val="clear" w:color="auto" w:fill="auto"/>
            <w:noWrap/>
            <w:vAlign w:val="bottom"/>
            <w:hideMark/>
          </w:tcPr>
          <w:p w14:paraId="523ACA3C"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Bienes y Servicios</w:t>
            </w:r>
          </w:p>
        </w:tc>
        <w:tc>
          <w:tcPr>
            <w:tcW w:w="1044" w:type="dxa"/>
            <w:tcBorders>
              <w:top w:val="nil"/>
              <w:left w:val="nil"/>
              <w:bottom w:val="nil"/>
              <w:right w:val="nil"/>
            </w:tcBorders>
            <w:shd w:val="clear" w:color="auto" w:fill="auto"/>
            <w:noWrap/>
            <w:vAlign w:val="bottom"/>
            <w:hideMark/>
          </w:tcPr>
          <w:p w14:paraId="346D35E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4" w:type="dxa"/>
            <w:tcBorders>
              <w:top w:val="nil"/>
              <w:left w:val="nil"/>
              <w:bottom w:val="nil"/>
              <w:right w:val="nil"/>
            </w:tcBorders>
            <w:shd w:val="clear" w:color="auto" w:fill="auto"/>
            <w:noWrap/>
            <w:vAlign w:val="bottom"/>
            <w:hideMark/>
          </w:tcPr>
          <w:p w14:paraId="5CB93A5A"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4" w:type="dxa"/>
            <w:tcBorders>
              <w:top w:val="nil"/>
              <w:left w:val="nil"/>
              <w:bottom w:val="nil"/>
              <w:right w:val="nil"/>
            </w:tcBorders>
            <w:shd w:val="clear" w:color="auto" w:fill="auto"/>
            <w:noWrap/>
            <w:vAlign w:val="bottom"/>
            <w:hideMark/>
          </w:tcPr>
          <w:p w14:paraId="4900765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31C809A6"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6226E15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089EF397"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1,80</w:t>
            </w:r>
          </w:p>
        </w:tc>
        <w:tc>
          <w:tcPr>
            <w:tcW w:w="1043" w:type="dxa"/>
            <w:tcBorders>
              <w:top w:val="nil"/>
              <w:left w:val="nil"/>
              <w:bottom w:val="nil"/>
              <w:right w:val="nil"/>
            </w:tcBorders>
            <w:shd w:val="clear" w:color="auto" w:fill="auto"/>
            <w:noWrap/>
            <w:vAlign w:val="bottom"/>
            <w:hideMark/>
          </w:tcPr>
          <w:p w14:paraId="54F39171"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1,80</w:t>
            </w:r>
          </w:p>
        </w:tc>
        <w:tc>
          <w:tcPr>
            <w:tcW w:w="1043" w:type="dxa"/>
            <w:tcBorders>
              <w:top w:val="nil"/>
              <w:left w:val="nil"/>
              <w:bottom w:val="nil"/>
              <w:right w:val="nil"/>
            </w:tcBorders>
            <w:shd w:val="clear" w:color="auto" w:fill="auto"/>
            <w:noWrap/>
            <w:vAlign w:val="bottom"/>
            <w:hideMark/>
          </w:tcPr>
          <w:p w14:paraId="1F1F6EA0"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1,80</w:t>
            </w:r>
          </w:p>
        </w:tc>
        <w:tc>
          <w:tcPr>
            <w:tcW w:w="1043" w:type="dxa"/>
            <w:tcBorders>
              <w:top w:val="nil"/>
              <w:left w:val="nil"/>
              <w:bottom w:val="nil"/>
              <w:right w:val="nil"/>
            </w:tcBorders>
            <w:shd w:val="clear" w:color="auto" w:fill="auto"/>
            <w:noWrap/>
            <w:vAlign w:val="bottom"/>
            <w:hideMark/>
          </w:tcPr>
          <w:p w14:paraId="13E3AA0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1,80</w:t>
            </w:r>
          </w:p>
        </w:tc>
        <w:tc>
          <w:tcPr>
            <w:tcW w:w="1043" w:type="dxa"/>
            <w:tcBorders>
              <w:top w:val="nil"/>
              <w:left w:val="nil"/>
              <w:bottom w:val="nil"/>
              <w:right w:val="nil"/>
            </w:tcBorders>
            <w:shd w:val="clear" w:color="auto" w:fill="auto"/>
            <w:noWrap/>
            <w:vAlign w:val="bottom"/>
            <w:hideMark/>
          </w:tcPr>
          <w:p w14:paraId="1FFF517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1,80</w:t>
            </w:r>
          </w:p>
        </w:tc>
        <w:tc>
          <w:tcPr>
            <w:tcW w:w="1043" w:type="dxa"/>
            <w:tcBorders>
              <w:top w:val="nil"/>
              <w:left w:val="nil"/>
              <w:bottom w:val="nil"/>
              <w:right w:val="nil"/>
            </w:tcBorders>
            <w:shd w:val="clear" w:color="auto" w:fill="auto"/>
            <w:noWrap/>
            <w:vAlign w:val="bottom"/>
            <w:hideMark/>
          </w:tcPr>
          <w:p w14:paraId="20E64563"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1,80</w:t>
            </w:r>
          </w:p>
        </w:tc>
      </w:tr>
      <w:tr w:rsidR="000D4582" w:rsidRPr="008D51E7" w14:paraId="73677541" w14:textId="77777777" w:rsidTr="002F43BF">
        <w:trPr>
          <w:trHeight w:val="300"/>
        </w:trPr>
        <w:tc>
          <w:tcPr>
            <w:tcW w:w="2567" w:type="dxa"/>
            <w:tcBorders>
              <w:top w:val="nil"/>
              <w:left w:val="nil"/>
              <w:bottom w:val="nil"/>
              <w:right w:val="nil"/>
            </w:tcBorders>
            <w:shd w:val="clear" w:color="auto" w:fill="auto"/>
            <w:noWrap/>
            <w:vAlign w:val="bottom"/>
            <w:hideMark/>
          </w:tcPr>
          <w:p w14:paraId="5E482F28"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Deuda BID</w:t>
            </w:r>
          </w:p>
        </w:tc>
        <w:tc>
          <w:tcPr>
            <w:tcW w:w="1044" w:type="dxa"/>
            <w:tcBorders>
              <w:top w:val="nil"/>
              <w:left w:val="nil"/>
              <w:bottom w:val="nil"/>
              <w:right w:val="nil"/>
            </w:tcBorders>
            <w:shd w:val="clear" w:color="auto" w:fill="auto"/>
            <w:noWrap/>
            <w:vAlign w:val="bottom"/>
            <w:hideMark/>
          </w:tcPr>
          <w:p w14:paraId="1245FC88"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39,04</w:t>
            </w:r>
          </w:p>
        </w:tc>
        <w:tc>
          <w:tcPr>
            <w:tcW w:w="1044" w:type="dxa"/>
            <w:tcBorders>
              <w:top w:val="nil"/>
              <w:left w:val="nil"/>
              <w:bottom w:val="nil"/>
              <w:right w:val="nil"/>
            </w:tcBorders>
            <w:shd w:val="clear" w:color="auto" w:fill="auto"/>
            <w:noWrap/>
            <w:vAlign w:val="bottom"/>
            <w:hideMark/>
          </w:tcPr>
          <w:p w14:paraId="21F5AF9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156,33</w:t>
            </w:r>
          </w:p>
        </w:tc>
        <w:tc>
          <w:tcPr>
            <w:tcW w:w="1044" w:type="dxa"/>
            <w:tcBorders>
              <w:top w:val="nil"/>
              <w:left w:val="nil"/>
              <w:bottom w:val="nil"/>
              <w:right w:val="nil"/>
            </w:tcBorders>
            <w:shd w:val="clear" w:color="auto" w:fill="auto"/>
            <w:noWrap/>
            <w:vAlign w:val="bottom"/>
            <w:hideMark/>
          </w:tcPr>
          <w:p w14:paraId="695D366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271,13</w:t>
            </w:r>
          </w:p>
        </w:tc>
        <w:tc>
          <w:tcPr>
            <w:tcW w:w="1043" w:type="dxa"/>
            <w:tcBorders>
              <w:top w:val="nil"/>
              <w:left w:val="nil"/>
              <w:bottom w:val="nil"/>
              <w:right w:val="nil"/>
            </w:tcBorders>
            <w:shd w:val="clear" w:color="auto" w:fill="auto"/>
            <w:noWrap/>
            <w:vAlign w:val="bottom"/>
            <w:hideMark/>
          </w:tcPr>
          <w:p w14:paraId="37FDCAE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345,21</w:t>
            </w:r>
          </w:p>
        </w:tc>
        <w:tc>
          <w:tcPr>
            <w:tcW w:w="1043" w:type="dxa"/>
            <w:tcBorders>
              <w:top w:val="nil"/>
              <w:left w:val="nil"/>
              <w:bottom w:val="nil"/>
              <w:right w:val="nil"/>
            </w:tcBorders>
            <w:shd w:val="clear" w:color="auto" w:fill="auto"/>
            <w:noWrap/>
            <w:vAlign w:val="bottom"/>
            <w:hideMark/>
          </w:tcPr>
          <w:p w14:paraId="1E5D57C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370,00</w:t>
            </w:r>
          </w:p>
        </w:tc>
        <w:tc>
          <w:tcPr>
            <w:tcW w:w="1043" w:type="dxa"/>
            <w:tcBorders>
              <w:top w:val="nil"/>
              <w:left w:val="nil"/>
              <w:bottom w:val="nil"/>
              <w:right w:val="nil"/>
            </w:tcBorders>
            <w:shd w:val="clear" w:color="auto" w:fill="auto"/>
            <w:noWrap/>
            <w:vAlign w:val="bottom"/>
            <w:hideMark/>
          </w:tcPr>
          <w:p w14:paraId="7DFC7986"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351,50</w:t>
            </w:r>
          </w:p>
        </w:tc>
        <w:tc>
          <w:tcPr>
            <w:tcW w:w="1043" w:type="dxa"/>
            <w:tcBorders>
              <w:top w:val="nil"/>
              <w:left w:val="nil"/>
              <w:bottom w:val="nil"/>
              <w:right w:val="nil"/>
            </w:tcBorders>
            <w:shd w:val="clear" w:color="auto" w:fill="auto"/>
            <w:noWrap/>
            <w:vAlign w:val="bottom"/>
            <w:hideMark/>
          </w:tcPr>
          <w:p w14:paraId="59CF17E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333,00</w:t>
            </w:r>
          </w:p>
        </w:tc>
        <w:tc>
          <w:tcPr>
            <w:tcW w:w="1043" w:type="dxa"/>
            <w:tcBorders>
              <w:top w:val="nil"/>
              <w:left w:val="nil"/>
              <w:bottom w:val="nil"/>
              <w:right w:val="nil"/>
            </w:tcBorders>
            <w:shd w:val="clear" w:color="auto" w:fill="auto"/>
            <w:noWrap/>
            <w:vAlign w:val="bottom"/>
            <w:hideMark/>
          </w:tcPr>
          <w:p w14:paraId="78D47CB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314,50</w:t>
            </w:r>
          </w:p>
        </w:tc>
        <w:tc>
          <w:tcPr>
            <w:tcW w:w="1043" w:type="dxa"/>
            <w:tcBorders>
              <w:top w:val="nil"/>
              <w:left w:val="nil"/>
              <w:bottom w:val="nil"/>
              <w:right w:val="nil"/>
            </w:tcBorders>
            <w:shd w:val="clear" w:color="auto" w:fill="auto"/>
            <w:noWrap/>
            <w:vAlign w:val="bottom"/>
            <w:hideMark/>
          </w:tcPr>
          <w:p w14:paraId="0AC2429E"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296,00</w:t>
            </w:r>
          </w:p>
        </w:tc>
        <w:tc>
          <w:tcPr>
            <w:tcW w:w="1043" w:type="dxa"/>
            <w:tcBorders>
              <w:top w:val="nil"/>
              <w:left w:val="nil"/>
              <w:bottom w:val="nil"/>
              <w:right w:val="nil"/>
            </w:tcBorders>
            <w:shd w:val="clear" w:color="auto" w:fill="auto"/>
            <w:noWrap/>
            <w:vAlign w:val="bottom"/>
            <w:hideMark/>
          </w:tcPr>
          <w:p w14:paraId="598266DD"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277,50</w:t>
            </w:r>
          </w:p>
        </w:tc>
        <w:tc>
          <w:tcPr>
            <w:tcW w:w="1043" w:type="dxa"/>
            <w:tcBorders>
              <w:top w:val="nil"/>
              <w:left w:val="nil"/>
              <w:bottom w:val="nil"/>
              <w:right w:val="nil"/>
            </w:tcBorders>
            <w:shd w:val="clear" w:color="auto" w:fill="auto"/>
            <w:noWrap/>
            <w:vAlign w:val="bottom"/>
            <w:hideMark/>
          </w:tcPr>
          <w:p w14:paraId="7AB1005A"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259,00</w:t>
            </w:r>
          </w:p>
        </w:tc>
      </w:tr>
      <w:tr w:rsidR="000D4582" w:rsidRPr="008D51E7" w14:paraId="618A40FB" w14:textId="77777777" w:rsidTr="002F43BF">
        <w:trPr>
          <w:trHeight w:val="300"/>
        </w:trPr>
        <w:tc>
          <w:tcPr>
            <w:tcW w:w="2567" w:type="dxa"/>
            <w:tcBorders>
              <w:top w:val="nil"/>
              <w:left w:val="nil"/>
              <w:bottom w:val="nil"/>
              <w:right w:val="nil"/>
            </w:tcBorders>
            <w:shd w:val="clear" w:color="auto" w:fill="auto"/>
            <w:noWrap/>
            <w:vAlign w:val="bottom"/>
            <w:hideMark/>
          </w:tcPr>
          <w:p w14:paraId="630A227E" w14:textId="77777777" w:rsidR="000D4582" w:rsidRPr="00117BF8" w:rsidRDefault="000D4582" w:rsidP="002F43BF">
            <w:pPr>
              <w:pStyle w:val="TablaC"/>
              <w:jc w:val="left"/>
              <w:rPr>
                <w:rFonts w:ascii="Arial" w:hAnsi="Arial" w:cs="Arial"/>
                <w:sz w:val="18"/>
                <w:szCs w:val="18"/>
              </w:rPr>
            </w:pPr>
          </w:p>
        </w:tc>
        <w:tc>
          <w:tcPr>
            <w:tcW w:w="1044" w:type="dxa"/>
            <w:tcBorders>
              <w:top w:val="nil"/>
              <w:left w:val="nil"/>
              <w:bottom w:val="nil"/>
              <w:right w:val="nil"/>
            </w:tcBorders>
            <w:shd w:val="clear" w:color="auto" w:fill="auto"/>
            <w:noWrap/>
            <w:vAlign w:val="bottom"/>
            <w:hideMark/>
          </w:tcPr>
          <w:p w14:paraId="16DA1A90" w14:textId="77777777" w:rsidR="000D4582" w:rsidRPr="00117BF8" w:rsidRDefault="000D4582" w:rsidP="002F43BF">
            <w:pPr>
              <w:pStyle w:val="TablaC"/>
              <w:rPr>
                <w:rFonts w:ascii="Arial" w:hAnsi="Arial" w:cs="Arial"/>
                <w:sz w:val="18"/>
                <w:szCs w:val="18"/>
              </w:rPr>
            </w:pPr>
          </w:p>
        </w:tc>
        <w:tc>
          <w:tcPr>
            <w:tcW w:w="1044" w:type="dxa"/>
            <w:tcBorders>
              <w:top w:val="nil"/>
              <w:left w:val="nil"/>
              <w:bottom w:val="nil"/>
              <w:right w:val="nil"/>
            </w:tcBorders>
            <w:shd w:val="clear" w:color="auto" w:fill="auto"/>
            <w:noWrap/>
            <w:vAlign w:val="bottom"/>
            <w:hideMark/>
          </w:tcPr>
          <w:p w14:paraId="4839B12C" w14:textId="77777777" w:rsidR="000D4582" w:rsidRPr="00117BF8" w:rsidRDefault="000D4582" w:rsidP="002F43BF">
            <w:pPr>
              <w:pStyle w:val="TablaC"/>
              <w:rPr>
                <w:rFonts w:ascii="Arial" w:hAnsi="Arial" w:cs="Arial"/>
                <w:sz w:val="18"/>
                <w:szCs w:val="18"/>
              </w:rPr>
            </w:pPr>
          </w:p>
        </w:tc>
        <w:tc>
          <w:tcPr>
            <w:tcW w:w="1044" w:type="dxa"/>
            <w:tcBorders>
              <w:top w:val="nil"/>
              <w:left w:val="nil"/>
              <w:bottom w:val="nil"/>
              <w:right w:val="nil"/>
            </w:tcBorders>
            <w:shd w:val="clear" w:color="auto" w:fill="auto"/>
            <w:noWrap/>
            <w:vAlign w:val="bottom"/>
            <w:hideMark/>
          </w:tcPr>
          <w:p w14:paraId="684EBAED"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2F65FD0D"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76A9A539"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6534832D"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2A993EC6"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5409FB35"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1DF712D2"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2A99D1B7"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6A0F21A2" w14:textId="77777777" w:rsidR="000D4582" w:rsidRPr="00117BF8" w:rsidRDefault="000D4582" w:rsidP="002F43BF">
            <w:pPr>
              <w:pStyle w:val="TablaC"/>
              <w:rPr>
                <w:rFonts w:ascii="Arial" w:hAnsi="Arial" w:cs="Arial"/>
                <w:sz w:val="18"/>
                <w:szCs w:val="18"/>
              </w:rPr>
            </w:pPr>
          </w:p>
        </w:tc>
      </w:tr>
      <w:tr w:rsidR="000D4582" w:rsidRPr="008D51E7" w14:paraId="795D41B8" w14:textId="77777777" w:rsidTr="002F43BF">
        <w:trPr>
          <w:trHeight w:val="300"/>
        </w:trPr>
        <w:tc>
          <w:tcPr>
            <w:tcW w:w="2567" w:type="dxa"/>
            <w:tcBorders>
              <w:top w:val="nil"/>
              <w:left w:val="nil"/>
              <w:bottom w:val="nil"/>
              <w:right w:val="nil"/>
            </w:tcBorders>
            <w:shd w:val="clear" w:color="auto" w:fill="auto"/>
            <w:noWrap/>
            <w:vAlign w:val="bottom"/>
            <w:hideMark/>
          </w:tcPr>
          <w:p w14:paraId="0FEBC410" w14:textId="77777777" w:rsidR="000D4582" w:rsidRPr="00117BF8" w:rsidRDefault="000D4582" w:rsidP="002F43BF">
            <w:pPr>
              <w:pStyle w:val="TablaC"/>
              <w:jc w:val="left"/>
              <w:rPr>
                <w:rFonts w:ascii="Arial" w:hAnsi="Arial" w:cs="Arial"/>
                <w:b/>
                <w:sz w:val="18"/>
                <w:szCs w:val="18"/>
              </w:rPr>
            </w:pPr>
            <w:r w:rsidRPr="00117BF8">
              <w:rPr>
                <w:rFonts w:ascii="Arial" w:hAnsi="Arial" w:cs="Arial"/>
                <w:b/>
                <w:sz w:val="18"/>
                <w:szCs w:val="18"/>
              </w:rPr>
              <w:t>TC</w:t>
            </w:r>
            <w:r w:rsidR="00446921" w:rsidRPr="00117BF8">
              <w:rPr>
                <w:rFonts w:ascii="Arial" w:hAnsi="Arial" w:cs="Arial"/>
                <w:b/>
                <w:sz w:val="18"/>
                <w:szCs w:val="18"/>
              </w:rPr>
              <w:t xml:space="preserve"> ARS / USD</w:t>
            </w:r>
          </w:p>
        </w:tc>
        <w:tc>
          <w:tcPr>
            <w:tcW w:w="1044" w:type="dxa"/>
            <w:tcBorders>
              <w:top w:val="nil"/>
              <w:left w:val="nil"/>
              <w:bottom w:val="nil"/>
              <w:right w:val="nil"/>
            </w:tcBorders>
            <w:shd w:val="clear" w:color="auto" w:fill="auto"/>
            <w:noWrap/>
            <w:vAlign w:val="bottom"/>
            <w:hideMark/>
          </w:tcPr>
          <w:p w14:paraId="62CD5C59"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19,56</w:t>
            </w:r>
          </w:p>
        </w:tc>
        <w:tc>
          <w:tcPr>
            <w:tcW w:w="1044" w:type="dxa"/>
            <w:tcBorders>
              <w:top w:val="nil"/>
              <w:left w:val="nil"/>
              <w:bottom w:val="nil"/>
              <w:right w:val="nil"/>
            </w:tcBorders>
            <w:shd w:val="clear" w:color="auto" w:fill="auto"/>
            <w:noWrap/>
            <w:vAlign w:val="bottom"/>
            <w:hideMark/>
          </w:tcPr>
          <w:p w14:paraId="7B5CA78F"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23,99</w:t>
            </w:r>
          </w:p>
        </w:tc>
        <w:tc>
          <w:tcPr>
            <w:tcW w:w="1044" w:type="dxa"/>
            <w:tcBorders>
              <w:top w:val="nil"/>
              <w:left w:val="nil"/>
              <w:bottom w:val="nil"/>
              <w:right w:val="nil"/>
            </w:tcBorders>
            <w:shd w:val="clear" w:color="auto" w:fill="auto"/>
            <w:noWrap/>
            <w:vAlign w:val="bottom"/>
            <w:hideMark/>
          </w:tcPr>
          <w:p w14:paraId="2C950200"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25,73</w:t>
            </w:r>
          </w:p>
        </w:tc>
        <w:tc>
          <w:tcPr>
            <w:tcW w:w="1043" w:type="dxa"/>
            <w:tcBorders>
              <w:top w:val="nil"/>
              <w:left w:val="nil"/>
              <w:bottom w:val="nil"/>
              <w:right w:val="nil"/>
            </w:tcBorders>
            <w:shd w:val="clear" w:color="auto" w:fill="auto"/>
            <w:noWrap/>
            <w:vAlign w:val="bottom"/>
            <w:hideMark/>
          </w:tcPr>
          <w:p w14:paraId="6B7A86F3"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26,84</w:t>
            </w:r>
          </w:p>
        </w:tc>
        <w:tc>
          <w:tcPr>
            <w:tcW w:w="1043" w:type="dxa"/>
            <w:tcBorders>
              <w:top w:val="nil"/>
              <w:left w:val="nil"/>
              <w:bottom w:val="nil"/>
              <w:right w:val="nil"/>
            </w:tcBorders>
            <w:shd w:val="clear" w:color="auto" w:fill="auto"/>
            <w:noWrap/>
            <w:vAlign w:val="bottom"/>
            <w:hideMark/>
          </w:tcPr>
          <w:p w14:paraId="56980705"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27,51</w:t>
            </w:r>
          </w:p>
        </w:tc>
        <w:tc>
          <w:tcPr>
            <w:tcW w:w="1043" w:type="dxa"/>
            <w:tcBorders>
              <w:top w:val="nil"/>
              <w:left w:val="nil"/>
              <w:bottom w:val="nil"/>
              <w:right w:val="nil"/>
            </w:tcBorders>
            <w:shd w:val="clear" w:color="auto" w:fill="auto"/>
            <w:noWrap/>
            <w:vAlign w:val="bottom"/>
            <w:hideMark/>
          </w:tcPr>
          <w:p w14:paraId="215236A4"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28,20</w:t>
            </w:r>
          </w:p>
        </w:tc>
        <w:tc>
          <w:tcPr>
            <w:tcW w:w="1043" w:type="dxa"/>
            <w:tcBorders>
              <w:top w:val="nil"/>
              <w:left w:val="nil"/>
              <w:bottom w:val="nil"/>
              <w:right w:val="nil"/>
            </w:tcBorders>
            <w:shd w:val="clear" w:color="auto" w:fill="auto"/>
            <w:noWrap/>
            <w:vAlign w:val="bottom"/>
            <w:hideMark/>
          </w:tcPr>
          <w:p w14:paraId="6A06F3AA"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28,91</w:t>
            </w:r>
          </w:p>
        </w:tc>
        <w:tc>
          <w:tcPr>
            <w:tcW w:w="1043" w:type="dxa"/>
            <w:tcBorders>
              <w:top w:val="nil"/>
              <w:left w:val="nil"/>
              <w:bottom w:val="nil"/>
              <w:right w:val="nil"/>
            </w:tcBorders>
            <w:shd w:val="clear" w:color="auto" w:fill="auto"/>
            <w:noWrap/>
            <w:vAlign w:val="bottom"/>
            <w:hideMark/>
          </w:tcPr>
          <w:p w14:paraId="27BEA28B"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29,63</w:t>
            </w:r>
          </w:p>
        </w:tc>
        <w:tc>
          <w:tcPr>
            <w:tcW w:w="1043" w:type="dxa"/>
            <w:tcBorders>
              <w:top w:val="nil"/>
              <w:left w:val="nil"/>
              <w:bottom w:val="nil"/>
              <w:right w:val="nil"/>
            </w:tcBorders>
            <w:shd w:val="clear" w:color="auto" w:fill="auto"/>
            <w:noWrap/>
            <w:vAlign w:val="bottom"/>
            <w:hideMark/>
          </w:tcPr>
          <w:p w14:paraId="576E638B"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30,37</w:t>
            </w:r>
          </w:p>
        </w:tc>
        <w:tc>
          <w:tcPr>
            <w:tcW w:w="1043" w:type="dxa"/>
            <w:tcBorders>
              <w:top w:val="nil"/>
              <w:left w:val="nil"/>
              <w:bottom w:val="nil"/>
              <w:right w:val="nil"/>
            </w:tcBorders>
            <w:shd w:val="clear" w:color="auto" w:fill="auto"/>
            <w:noWrap/>
            <w:vAlign w:val="bottom"/>
            <w:hideMark/>
          </w:tcPr>
          <w:p w14:paraId="40EDBC6A"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31,13</w:t>
            </w:r>
          </w:p>
        </w:tc>
        <w:tc>
          <w:tcPr>
            <w:tcW w:w="1043" w:type="dxa"/>
            <w:tcBorders>
              <w:top w:val="nil"/>
              <w:left w:val="nil"/>
              <w:bottom w:val="nil"/>
              <w:right w:val="nil"/>
            </w:tcBorders>
            <w:shd w:val="clear" w:color="auto" w:fill="auto"/>
            <w:noWrap/>
            <w:vAlign w:val="bottom"/>
            <w:hideMark/>
          </w:tcPr>
          <w:p w14:paraId="7B61FE14" w14:textId="77777777" w:rsidR="000D4582" w:rsidRPr="00117BF8" w:rsidRDefault="000D4582" w:rsidP="002F43BF">
            <w:pPr>
              <w:pStyle w:val="TablaC"/>
              <w:rPr>
                <w:rFonts w:ascii="Arial" w:hAnsi="Arial" w:cs="Arial"/>
                <w:b/>
                <w:sz w:val="18"/>
                <w:szCs w:val="18"/>
              </w:rPr>
            </w:pPr>
            <w:r w:rsidRPr="00117BF8">
              <w:rPr>
                <w:rFonts w:ascii="Arial" w:hAnsi="Arial" w:cs="Arial"/>
                <w:b/>
                <w:sz w:val="18"/>
                <w:szCs w:val="18"/>
              </w:rPr>
              <w:t>31,91</w:t>
            </w:r>
          </w:p>
        </w:tc>
      </w:tr>
      <w:tr w:rsidR="000D4582" w:rsidRPr="008D51E7" w14:paraId="0565B5DB" w14:textId="77777777" w:rsidTr="002F43BF">
        <w:trPr>
          <w:trHeight w:val="300"/>
        </w:trPr>
        <w:tc>
          <w:tcPr>
            <w:tcW w:w="2567" w:type="dxa"/>
            <w:tcBorders>
              <w:top w:val="nil"/>
              <w:left w:val="nil"/>
              <w:bottom w:val="nil"/>
              <w:right w:val="nil"/>
            </w:tcBorders>
            <w:shd w:val="clear" w:color="auto" w:fill="auto"/>
            <w:noWrap/>
            <w:vAlign w:val="bottom"/>
            <w:hideMark/>
          </w:tcPr>
          <w:p w14:paraId="09AF24CF" w14:textId="77777777" w:rsidR="000D4582" w:rsidRPr="00117BF8" w:rsidRDefault="000D4582" w:rsidP="002F43BF">
            <w:pPr>
              <w:pStyle w:val="TablaC"/>
              <w:jc w:val="left"/>
              <w:rPr>
                <w:rFonts w:ascii="Arial" w:hAnsi="Arial" w:cs="Arial"/>
                <w:b/>
                <w:sz w:val="18"/>
                <w:szCs w:val="18"/>
              </w:rPr>
            </w:pPr>
            <w:r w:rsidRPr="00117BF8">
              <w:rPr>
                <w:rFonts w:ascii="Arial" w:hAnsi="Arial" w:cs="Arial"/>
                <w:b/>
                <w:sz w:val="18"/>
                <w:szCs w:val="18"/>
              </w:rPr>
              <w:t>ARS</w:t>
            </w:r>
          </w:p>
        </w:tc>
        <w:tc>
          <w:tcPr>
            <w:tcW w:w="1044" w:type="dxa"/>
            <w:tcBorders>
              <w:top w:val="nil"/>
              <w:left w:val="nil"/>
              <w:bottom w:val="nil"/>
              <w:right w:val="nil"/>
            </w:tcBorders>
            <w:shd w:val="clear" w:color="auto" w:fill="auto"/>
            <w:noWrap/>
            <w:vAlign w:val="bottom"/>
            <w:hideMark/>
          </w:tcPr>
          <w:p w14:paraId="1F23E182" w14:textId="77777777" w:rsidR="000D4582" w:rsidRPr="00117BF8" w:rsidRDefault="000D4582" w:rsidP="002F43BF">
            <w:pPr>
              <w:pStyle w:val="TablaC"/>
              <w:rPr>
                <w:rFonts w:ascii="Arial" w:hAnsi="Arial" w:cs="Arial"/>
                <w:b/>
                <w:sz w:val="18"/>
                <w:szCs w:val="18"/>
              </w:rPr>
            </w:pPr>
          </w:p>
        </w:tc>
        <w:tc>
          <w:tcPr>
            <w:tcW w:w="1044" w:type="dxa"/>
            <w:tcBorders>
              <w:top w:val="nil"/>
              <w:left w:val="nil"/>
              <w:bottom w:val="nil"/>
              <w:right w:val="nil"/>
            </w:tcBorders>
            <w:shd w:val="clear" w:color="auto" w:fill="auto"/>
            <w:noWrap/>
            <w:vAlign w:val="bottom"/>
            <w:hideMark/>
          </w:tcPr>
          <w:p w14:paraId="3E8EF691" w14:textId="77777777" w:rsidR="000D4582" w:rsidRPr="00117BF8" w:rsidRDefault="000D4582" w:rsidP="002F43BF">
            <w:pPr>
              <w:pStyle w:val="TablaC"/>
              <w:rPr>
                <w:rFonts w:ascii="Arial" w:hAnsi="Arial" w:cs="Arial"/>
                <w:b/>
                <w:sz w:val="18"/>
                <w:szCs w:val="18"/>
              </w:rPr>
            </w:pPr>
          </w:p>
        </w:tc>
        <w:tc>
          <w:tcPr>
            <w:tcW w:w="1044" w:type="dxa"/>
            <w:tcBorders>
              <w:top w:val="nil"/>
              <w:left w:val="nil"/>
              <w:bottom w:val="nil"/>
              <w:right w:val="nil"/>
            </w:tcBorders>
            <w:shd w:val="clear" w:color="auto" w:fill="auto"/>
            <w:noWrap/>
            <w:vAlign w:val="bottom"/>
            <w:hideMark/>
          </w:tcPr>
          <w:p w14:paraId="0D95F750" w14:textId="77777777" w:rsidR="000D4582" w:rsidRPr="00117BF8" w:rsidRDefault="000D4582" w:rsidP="002F43BF">
            <w:pPr>
              <w:pStyle w:val="TablaC"/>
              <w:rPr>
                <w:rFonts w:ascii="Arial" w:hAnsi="Arial" w:cs="Arial"/>
                <w:b/>
                <w:sz w:val="18"/>
                <w:szCs w:val="18"/>
              </w:rPr>
            </w:pPr>
          </w:p>
        </w:tc>
        <w:tc>
          <w:tcPr>
            <w:tcW w:w="1043" w:type="dxa"/>
            <w:tcBorders>
              <w:top w:val="nil"/>
              <w:left w:val="nil"/>
              <w:bottom w:val="nil"/>
              <w:right w:val="nil"/>
            </w:tcBorders>
            <w:shd w:val="clear" w:color="auto" w:fill="auto"/>
            <w:noWrap/>
            <w:vAlign w:val="bottom"/>
            <w:hideMark/>
          </w:tcPr>
          <w:p w14:paraId="4D3D7B59" w14:textId="77777777" w:rsidR="000D4582" w:rsidRPr="00117BF8" w:rsidRDefault="000D4582" w:rsidP="002F43BF">
            <w:pPr>
              <w:pStyle w:val="TablaC"/>
              <w:rPr>
                <w:rFonts w:ascii="Arial" w:hAnsi="Arial" w:cs="Arial"/>
                <w:b/>
                <w:sz w:val="18"/>
                <w:szCs w:val="18"/>
              </w:rPr>
            </w:pPr>
          </w:p>
        </w:tc>
        <w:tc>
          <w:tcPr>
            <w:tcW w:w="1043" w:type="dxa"/>
            <w:tcBorders>
              <w:top w:val="nil"/>
              <w:left w:val="nil"/>
              <w:bottom w:val="nil"/>
              <w:right w:val="nil"/>
            </w:tcBorders>
            <w:shd w:val="clear" w:color="auto" w:fill="auto"/>
            <w:noWrap/>
            <w:vAlign w:val="bottom"/>
            <w:hideMark/>
          </w:tcPr>
          <w:p w14:paraId="4AB1E384" w14:textId="77777777" w:rsidR="000D4582" w:rsidRPr="00117BF8" w:rsidRDefault="000D4582" w:rsidP="002F43BF">
            <w:pPr>
              <w:pStyle w:val="TablaC"/>
              <w:rPr>
                <w:rFonts w:ascii="Arial" w:hAnsi="Arial" w:cs="Arial"/>
                <w:b/>
                <w:sz w:val="18"/>
                <w:szCs w:val="18"/>
              </w:rPr>
            </w:pPr>
          </w:p>
        </w:tc>
        <w:tc>
          <w:tcPr>
            <w:tcW w:w="1043" w:type="dxa"/>
            <w:tcBorders>
              <w:top w:val="nil"/>
              <w:left w:val="nil"/>
              <w:bottom w:val="nil"/>
              <w:right w:val="nil"/>
            </w:tcBorders>
            <w:shd w:val="clear" w:color="auto" w:fill="auto"/>
            <w:noWrap/>
            <w:vAlign w:val="bottom"/>
            <w:hideMark/>
          </w:tcPr>
          <w:p w14:paraId="25722528" w14:textId="77777777" w:rsidR="000D4582" w:rsidRPr="00117BF8" w:rsidRDefault="000D4582" w:rsidP="002F43BF">
            <w:pPr>
              <w:pStyle w:val="TablaC"/>
              <w:rPr>
                <w:rFonts w:ascii="Arial" w:hAnsi="Arial" w:cs="Arial"/>
                <w:b/>
                <w:sz w:val="18"/>
                <w:szCs w:val="18"/>
              </w:rPr>
            </w:pPr>
          </w:p>
        </w:tc>
        <w:tc>
          <w:tcPr>
            <w:tcW w:w="1043" w:type="dxa"/>
            <w:tcBorders>
              <w:top w:val="nil"/>
              <w:left w:val="nil"/>
              <w:bottom w:val="nil"/>
              <w:right w:val="nil"/>
            </w:tcBorders>
            <w:shd w:val="clear" w:color="auto" w:fill="auto"/>
            <w:noWrap/>
            <w:vAlign w:val="bottom"/>
            <w:hideMark/>
          </w:tcPr>
          <w:p w14:paraId="27084015" w14:textId="77777777" w:rsidR="000D4582" w:rsidRPr="00117BF8" w:rsidRDefault="000D4582" w:rsidP="002F43BF">
            <w:pPr>
              <w:pStyle w:val="TablaC"/>
              <w:rPr>
                <w:rFonts w:ascii="Arial" w:hAnsi="Arial" w:cs="Arial"/>
                <w:b/>
                <w:sz w:val="18"/>
                <w:szCs w:val="18"/>
              </w:rPr>
            </w:pPr>
          </w:p>
        </w:tc>
        <w:tc>
          <w:tcPr>
            <w:tcW w:w="1043" w:type="dxa"/>
            <w:tcBorders>
              <w:top w:val="nil"/>
              <w:left w:val="nil"/>
              <w:bottom w:val="nil"/>
              <w:right w:val="nil"/>
            </w:tcBorders>
            <w:shd w:val="clear" w:color="auto" w:fill="auto"/>
            <w:noWrap/>
            <w:vAlign w:val="bottom"/>
            <w:hideMark/>
          </w:tcPr>
          <w:p w14:paraId="028F2339" w14:textId="77777777" w:rsidR="000D4582" w:rsidRPr="00117BF8" w:rsidRDefault="000D4582" w:rsidP="002F43BF">
            <w:pPr>
              <w:pStyle w:val="TablaC"/>
              <w:rPr>
                <w:rFonts w:ascii="Arial" w:hAnsi="Arial" w:cs="Arial"/>
                <w:b/>
                <w:sz w:val="18"/>
                <w:szCs w:val="18"/>
              </w:rPr>
            </w:pPr>
          </w:p>
        </w:tc>
        <w:tc>
          <w:tcPr>
            <w:tcW w:w="1043" w:type="dxa"/>
            <w:tcBorders>
              <w:top w:val="nil"/>
              <w:left w:val="nil"/>
              <w:bottom w:val="nil"/>
              <w:right w:val="nil"/>
            </w:tcBorders>
            <w:shd w:val="clear" w:color="auto" w:fill="auto"/>
            <w:noWrap/>
            <w:vAlign w:val="bottom"/>
            <w:hideMark/>
          </w:tcPr>
          <w:p w14:paraId="48470105" w14:textId="77777777" w:rsidR="000D4582" w:rsidRPr="00117BF8" w:rsidRDefault="000D4582" w:rsidP="002F43BF">
            <w:pPr>
              <w:pStyle w:val="TablaC"/>
              <w:rPr>
                <w:rFonts w:ascii="Arial" w:hAnsi="Arial" w:cs="Arial"/>
                <w:b/>
                <w:sz w:val="18"/>
                <w:szCs w:val="18"/>
              </w:rPr>
            </w:pPr>
          </w:p>
        </w:tc>
        <w:tc>
          <w:tcPr>
            <w:tcW w:w="1043" w:type="dxa"/>
            <w:tcBorders>
              <w:top w:val="nil"/>
              <w:left w:val="nil"/>
              <w:bottom w:val="nil"/>
              <w:right w:val="nil"/>
            </w:tcBorders>
            <w:shd w:val="clear" w:color="auto" w:fill="auto"/>
            <w:noWrap/>
            <w:vAlign w:val="bottom"/>
            <w:hideMark/>
          </w:tcPr>
          <w:p w14:paraId="66FF0950" w14:textId="77777777" w:rsidR="000D4582" w:rsidRPr="00117BF8" w:rsidRDefault="000D4582" w:rsidP="002F43BF">
            <w:pPr>
              <w:pStyle w:val="TablaC"/>
              <w:rPr>
                <w:rFonts w:ascii="Arial" w:hAnsi="Arial" w:cs="Arial"/>
                <w:b/>
                <w:sz w:val="18"/>
                <w:szCs w:val="18"/>
              </w:rPr>
            </w:pPr>
          </w:p>
        </w:tc>
        <w:tc>
          <w:tcPr>
            <w:tcW w:w="1043" w:type="dxa"/>
            <w:tcBorders>
              <w:top w:val="nil"/>
              <w:left w:val="nil"/>
              <w:bottom w:val="nil"/>
              <w:right w:val="nil"/>
            </w:tcBorders>
            <w:shd w:val="clear" w:color="auto" w:fill="auto"/>
            <w:noWrap/>
            <w:vAlign w:val="bottom"/>
            <w:hideMark/>
          </w:tcPr>
          <w:p w14:paraId="61153381" w14:textId="77777777" w:rsidR="000D4582" w:rsidRPr="00117BF8" w:rsidRDefault="000D4582" w:rsidP="002F43BF">
            <w:pPr>
              <w:pStyle w:val="TablaC"/>
              <w:rPr>
                <w:rFonts w:ascii="Arial" w:hAnsi="Arial" w:cs="Arial"/>
                <w:b/>
                <w:sz w:val="18"/>
                <w:szCs w:val="18"/>
              </w:rPr>
            </w:pPr>
          </w:p>
        </w:tc>
      </w:tr>
      <w:tr w:rsidR="000D4582" w:rsidRPr="008D51E7" w14:paraId="233384CB" w14:textId="77777777" w:rsidTr="002F43BF">
        <w:trPr>
          <w:trHeight w:val="300"/>
        </w:trPr>
        <w:tc>
          <w:tcPr>
            <w:tcW w:w="2567" w:type="dxa"/>
            <w:tcBorders>
              <w:top w:val="nil"/>
              <w:left w:val="nil"/>
              <w:bottom w:val="nil"/>
              <w:right w:val="nil"/>
            </w:tcBorders>
            <w:shd w:val="clear" w:color="auto" w:fill="auto"/>
            <w:noWrap/>
            <w:vAlign w:val="bottom"/>
            <w:hideMark/>
          </w:tcPr>
          <w:p w14:paraId="29FE4BCE"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Gastos de Capital</w:t>
            </w:r>
          </w:p>
        </w:tc>
        <w:tc>
          <w:tcPr>
            <w:tcW w:w="1044" w:type="dxa"/>
            <w:tcBorders>
              <w:top w:val="nil"/>
              <w:left w:val="nil"/>
              <w:bottom w:val="nil"/>
              <w:right w:val="nil"/>
            </w:tcBorders>
            <w:shd w:val="clear" w:color="auto" w:fill="auto"/>
            <w:noWrap/>
            <w:vAlign w:val="bottom"/>
            <w:hideMark/>
          </w:tcPr>
          <w:p w14:paraId="1BAEEEF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995,74</w:t>
            </w:r>
          </w:p>
        </w:tc>
        <w:tc>
          <w:tcPr>
            <w:tcW w:w="1044" w:type="dxa"/>
            <w:tcBorders>
              <w:top w:val="nil"/>
              <w:left w:val="nil"/>
              <w:bottom w:val="nil"/>
              <w:right w:val="nil"/>
            </w:tcBorders>
            <w:shd w:val="clear" w:color="auto" w:fill="auto"/>
            <w:noWrap/>
            <w:vAlign w:val="bottom"/>
            <w:hideMark/>
          </w:tcPr>
          <w:p w14:paraId="21130886"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3640,71</w:t>
            </w:r>
          </w:p>
        </w:tc>
        <w:tc>
          <w:tcPr>
            <w:tcW w:w="1044" w:type="dxa"/>
            <w:tcBorders>
              <w:top w:val="nil"/>
              <w:left w:val="nil"/>
              <w:bottom w:val="nil"/>
              <w:right w:val="nil"/>
            </w:tcBorders>
            <w:shd w:val="clear" w:color="auto" w:fill="auto"/>
            <w:noWrap/>
            <w:vAlign w:val="bottom"/>
            <w:hideMark/>
          </w:tcPr>
          <w:p w14:paraId="723AC163"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3873,03</w:t>
            </w:r>
          </w:p>
        </w:tc>
        <w:tc>
          <w:tcPr>
            <w:tcW w:w="1043" w:type="dxa"/>
            <w:tcBorders>
              <w:top w:val="nil"/>
              <w:left w:val="nil"/>
              <w:bottom w:val="nil"/>
              <w:right w:val="nil"/>
            </w:tcBorders>
            <w:shd w:val="clear" w:color="auto" w:fill="auto"/>
            <w:noWrap/>
            <w:vAlign w:val="bottom"/>
            <w:hideMark/>
          </w:tcPr>
          <w:p w14:paraId="5319E275"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2636,70</w:t>
            </w:r>
          </w:p>
        </w:tc>
        <w:tc>
          <w:tcPr>
            <w:tcW w:w="1043" w:type="dxa"/>
            <w:tcBorders>
              <w:top w:val="nil"/>
              <w:left w:val="nil"/>
              <w:bottom w:val="nil"/>
              <w:right w:val="nil"/>
            </w:tcBorders>
            <w:shd w:val="clear" w:color="auto" w:fill="auto"/>
            <w:noWrap/>
            <w:vAlign w:val="bottom"/>
            <w:hideMark/>
          </w:tcPr>
          <w:p w14:paraId="2311872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785,63</w:t>
            </w:r>
          </w:p>
        </w:tc>
        <w:tc>
          <w:tcPr>
            <w:tcW w:w="1043" w:type="dxa"/>
            <w:tcBorders>
              <w:top w:val="nil"/>
              <w:left w:val="nil"/>
              <w:bottom w:val="nil"/>
              <w:right w:val="nil"/>
            </w:tcBorders>
            <w:shd w:val="clear" w:color="auto" w:fill="auto"/>
            <w:noWrap/>
            <w:vAlign w:val="bottom"/>
            <w:hideMark/>
          </w:tcPr>
          <w:p w14:paraId="7279FB0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4C9FB639"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261E8698"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7C1E3F8B"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2F78BEE5"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4640135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r>
      <w:tr w:rsidR="000D4582" w:rsidRPr="008D51E7" w14:paraId="381A0FA0" w14:textId="77777777" w:rsidTr="002F43BF">
        <w:trPr>
          <w:trHeight w:val="300"/>
        </w:trPr>
        <w:tc>
          <w:tcPr>
            <w:tcW w:w="2567" w:type="dxa"/>
            <w:tcBorders>
              <w:top w:val="nil"/>
              <w:left w:val="nil"/>
              <w:bottom w:val="nil"/>
              <w:right w:val="nil"/>
            </w:tcBorders>
            <w:shd w:val="clear" w:color="auto" w:fill="auto"/>
            <w:noWrap/>
            <w:vAlign w:val="bottom"/>
            <w:hideMark/>
          </w:tcPr>
          <w:p w14:paraId="0A7A2775"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Intereses y Comisiones</w:t>
            </w:r>
          </w:p>
        </w:tc>
        <w:tc>
          <w:tcPr>
            <w:tcW w:w="1044" w:type="dxa"/>
            <w:tcBorders>
              <w:top w:val="nil"/>
              <w:left w:val="nil"/>
              <w:bottom w:val="nil"/>
              <w:right w:val="nil"/>
            </w:tcBorders>
            <w:shd w:val="clear" w:color="auto" w:fill="auto"/>
            <w:noWrap/>
            <w:vAlign w:val="bottom"/>
            <w:hideMark/>
          </w:tcPr>
          <w:p w14:paraId="0B486077"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42,86</w:t>
            </w:r>
          </w:p>
        </w:tc>
        <w:tc>
          <w:tcPr>
            <w:tcW w:w="1044" w:type="dxa"/>
            <w:tcBorders>
              <w:top w:val="nil"/>
              <w:left w:val="nil"/>
              <w:bottom w:val="nil"/>
              <w:right w:val="nil"/>
            </w:tcBorders>
            <w:shd w:val="clear" w:color="auto" w:fill="auto"/>
            <w:noWrap/>
            <w:vAlign w:val="bottom"/>
            <w:hideMark/>
          </w:tcPr>
          <w:p w14:paraId="72A9681B"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85,38</w:t>
            </w:r>
          </w:p>
        </w:tc>
        <w:tc>
          <w:tcPr>
            <w:tcW w:w="1044" w:type="dxa"/>
            <w:tcBorders>
              <w:top w:val="nil"/>
              <w:left w:val="nil"/>
              <w:bottom w:val="nil"/>
              <w:right w:val="nil"/>
            </w:tcBorders>
            <w:shd w:val="clear" w:color="auto" w:fill="auto"/>
            <w:noWrap/>
            <w:vAlign w:val="bottom"/>
            <w:hideMark/>
          </w:tcPr>
          <w:p w14:paraId="680BBA75"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143,83</w:t>
            </w:r>
          </w:p>
        </w:tc>
        <w:tc>
          <w:tcPr>
            <w:tcW w:w="1043" w:type="dxa"/>
            <w:tcBorders>
              <w:top w:val="nil"/>
              <w:left w:val="nil"/>
              <w:bottom w:val="nil"/>
              <w:right w:val="nil"/>
            </w:tcBorders>
            <w:shd w:val="clear" w:color="auto" w:fill="auto"/>
            <w:noWrap/>
            <w:vAlign w:val="bottom"/>
            <w:hideMark/>
          </w:tcPr>
          <w:p w14:paraId="24FD1503"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194,42</w:t>
            </w:r>
          </w:p>
        </w:tc>
        <w:tc>
          <w:tcPr>
            <w:tcW w:w="1043" w:type="dxa"/>
            <w:tcBorders>
              <w:top w:val="nil"/>
              <w:left w:val="nil"/>
              <w:bottom w:val="nil"/>
              <w:right w:val="nil"/>
            </w:tcBorders>
            <w:shd w:val="clear" w:color="auto" w:fill="auto"/>
            <w:noWrap/>
            <w:vAlign w:val="bottom"/>
            <w:hideMark/>
          </w:tcPr>
          <w:p w14:paraId="1C1BED4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223,09</w:t>
            </w:r>
          </w:p>
        </w:tc>
        <w:tc>
          <w:tcPr>
            <w:tcW w:w="1043" w:type="dxa"/>
            <w:tcBorders>
              <w:top w:val="nil"/>
              <w:left w:val="nil"/>
              <w:bottom w:val="nil"/>
              <w:right w:val="nil"/>
            </w:tcBorders>
            <w:shd w:val="clear" w:color="auto" w:fill="auto"/>
            <w:noWrap/>
            <w:vAlign w:val="bottom"/>
            <w:hideMark/>
          </w:tcPr>
          <w:p w14:paraId="7669B64B"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228,91</w:t>
            </w:r>
          </w:p>
        </w:tc>
        <w:tc>
          <w:tcPr>
            <w:tcW w:w="1043" w:type="dxa"/>
            <w:tcBorders>
              <w:top w:val="nil"/>
              <w:left w:val="nil"/>
              <w:bottom w:val="nil"/>
              <w:right w:val="nil"/>
            </w:tcBorders>
            <w:shd w:val="clear" w:color="auto" w:fill="auto"/>
            <w:noWrap/>
            <w:vAlign w:val="bottom"/>
            <w:hideMark/>
          </w:tcPr>
          <w:p w14:paraId="508359B9"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222,60</w:t>
            </w:r>
          </w:p>
        </w:tc>
        <w:tc>
          <w:tcPr>
            <w:tcW w:w="1043" w:type="dxa"/>
            <w:tcBorders>
              <w:top w:val="nil"/>
              <w:left w:val="nil"/>
              <w:bottom w:val="nil"/>
              <w:right w:val="nil"/>
            </w:tcBorders>
            <w:shd w:val="clear" w:color="auto" w:fill="auto"/>
            <w:noWrap/>
            <w:vAlign w:val="bottom"/>
            <w:hideMark/>
          </w:tcPr>
          <w:p w14:paraId="5A15FF6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215,83</w:t>
            </w:r>
          </w:p>
        </w:tc>
        <w:tc>
          <w:tcPr>
            <w:tcW w:w="1043" w:type="dxa"/>
            <w:tcBorders>
              <w:top w:val="nil"/>
              <w:left w:val="nil"/>
              <w:bottom w:val="nil"/>
              <w:right w:val="nil"/>
            </w:tcBorders>
            <w:shd w:val="clear" w:color="auto" w:fill="auto"/>
            <w:noWrap/>
            <w:vAlign w:val="bottom"/>
            <w:hideMark/>
          </w:tcPr>
          <w:p w14:paraId="18F4BDA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208,59</w:t>
            </w:r>
          </w:p>
        </w:tc>
        <w:tc>
          <w:tcPr>
            <w:tcW w:w="1043" w:type="dxa"/>
            <w:tcBorders>
              <w:top w:val="nil"/>
              <w:left w:val="nil"/>
              <w:bottom w:val="nil"/>
              <w:right w:val="nil"/>
            </w:tcBorders>
            <w:shd w:val="clear" w:color="auto" w:fill="auto"/>
            <w:noWrap/>
            <w:vAlign w:val="bottom"/>
            <w:hideMark/>
          </w:tcPr>
          <w:p w14:paraId="001DA830"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200,85</w:t>
            </w:r>
          </w:p>
        </w:tc>
        <w:tc>
          <w:tcPr>
            <w:tcW w:w="1043" w:type="dxa"/>
            <w:tcBorders>
              <w:top w:val="nil"/>
              <w:left w:val="nil"/>
              <w:bottom w:val="nil"/>
              <w:right w:val="nil"/>
            </w:tcBorders>
            <w:shd w:val="clear" w:color="auto" w:fill="auto"/>
            <w:noWrap/>
            <w:vAlign w:val="bottom"/>
            <w:hideMark/>
          </w:tcPr>
          <w:p w14:paraId="0CC9E31A"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192,58</w:t>
            </w:r>
          </w:p>
        </w:tc>
      </w:tr>
      <w:tr w:rsidR="000D4582" w:rsidRPr="008D51E7" w14:paraId="089DAA5C" w14:textId="77777777" w:rsidTr="002F43BF">
        <w:trPr>
          <w:trHeight w:val="300"/>
        </w:trPr>
        <w:tc>
          <w:tcPr>
            <w:tcW w:w="2567" w:type="dxa"/>
            <w:tcBorders>
              <w:top w:val="nil"/>
              <w:left w:val="nil"/>
              <w:bottom w:val="nil"/>
              <w:right w:val="nil"/>
            </w:tcBorders>
            <w:shd w:val="clear" w:color="auto" w:fill="auto"/>
            <w:noWrap/>
            <w:vAlign w:val="bottom"/>
            <w:hideMark/>
          </w:tcPr>
          <w:p w14:paraId="5AD6314D"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Bienes y Servicios</w:t>
            </w:r>
          </w:p>
        </w:tc>
        <w:tc>
          <w:tcPr>
            <w:tcW w:w="1044" w:type="dxa"/>
            <w:tcBorders>
              <w:top w:val="nil"/>
              <w:left w:val="nil"/>
              <w:bottom w:val="nil"/>
              <w:right w:val="nil"/>
            </w:tcBorders>
            <w:shd w:val="clear" w:color="auto" w:fill="auto"/>
            <w:noWrap/>
            <w:vAlign w:val="bottom"/>
            <w:hideMark/>
          </w:tcPr>
          <w:p w14:paraId="662E2CC3"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4" w:type="dxa"/>
            <w:tcBorders>
              <w:top w:val="nil"/>
              <w:left w:val="nil"/>
              <w:bottom w:val="nil"/>
              <w:right w:val="nil"/>
            </w:tcBorders>
            <w:shd w:val="clear" w:color="auto" w:fill="auto"/>
            <w:noWrap/>
            <w:vAlign w:val="bottom"/>
            <w:hideMark/>
          </w:tcPr>
          <w:p w14:paraId="14783439"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4" w:type="dxa"/>
            <w:tcBorders>
              <w:top w:val="nil"/>
              <w:left w:val="nil"/>
              <w:bottom w:val="nil"/>
              <w:right w:val="nil"/>
            </w:tcBorders>
            <w:shd w:val="clear" w:color="auto" w:fill="auto"/>
            <w:noWrap/>
            <w:vAlign w:val="bottom"/>
            <w:hideMark/>
          </w:tcPr>
          <w:p w14:paraId="62781A17"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348DC4B7"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3DC06A96"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19C5C89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50,77</w:t>
            </w:r>
          </w:p>
        </w:tc>
        <w:tc>
          <w:tcPr>
            <w:tcW w:w="1043" w:type="dxa"/>
            <w:tcBorders>
              <w:top w:val="nil"/>
              <w:left w:val="nil"/>
              <w:bottom w:val="nil"/>
              <w:right w:val="nil"/>
            </w:tcBorders>
            <w:shd w:val="clear" w:color="auto" w:fill="auto"/>
            <w:noWrap/>
            <w:vAlign w:val="bottom"/>
            <w:hideMark/>
          </w:tcPr>
          <w:p w14:paraId="53AE4437"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52,04</w:t>
            </w:r>
          </w:p>
        </w:tc>
        <w:tc>
          <w:tcPr>
            <w:tcW w:w="1043" w:type="dxa"/>
            <w:tcBorders>
              <w:top w:val="nil"/>
              <w:left w:val="nil"/>
              <w:bottom w:val="nil"/>
              <w:right w:val="nil"/>
            </w:tcBorders>
            <w:shd w:val="clear" w:color="auto" w:fill="auto"/>
            <w:noWrap/>
            <w:vAlign w:val="bottom"/>
            <w:hideMark/>
          </w:tcPr>
          <w:p w14:paraId="5F7BE49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53,34</w:t>
            </w:r>
          </w:p>
        </w:tc>
        <w:tc>
          <w:tcPr>
            <w:tcW w:w="1043" w:type="dxa"/>
            <w:tcBorders>
              <w:top w:val="nil"/>
              <w:left w:val="nil"/>
              <w:bottom w:val="nil"/>
              <w:right w:val="nil"/>
            </w:tcBorders>
            <w:shd w:val="clear" w:color="auto" w:fill="auto"/>
            <w:noWrap/>
            <w:vAlign w:val="bottom"/>
            <w:hideMark/>
          </w:tcPr>
          <w:p w14:paraId="2EFE7E28"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54,67</w:t>
            </w:r>
          </w:p>
        </w:tc>
        <w:tc>
          <w:tcPr>
            <w:tcW w:w="1043" w:type="dxa"/>
            <w:tcBorders>
              <w:top w:val="nil"/>
              <w:left w:val="nil"/>
              <w:bottom w:val="nil"/>
              <w:right w:val="nil"/>
            </w:tcBorders>
            <w:shd w:val="clear" w:color="auto" w:fill="auto"/>
            <w:noWrap/>
            <w:vAlign w:val="bottom"/>
            <w:hideMark/>
          </w:tcPr>
          <w:p w14:paraId="743A8890"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56,04</w:t>
            </w:r>
          </w:p>
        </w:tc>
        <w:tc>
          <w:tcPr>
            <w:tcW w:w="1043" w:type="dxa"/>
            <w:tcBorders>
              <w:top w:val="nil"/>
              <w:left w:val="nil"/>
              <w:bottom w:val="nil"/>
              <w:right w:val="nil"/>
            </w:tcBorders>
            <w:shd w:val="clear" w:color="auto" w:fill="auto"/>
            <w:noWrap/>
            <w:vAlign w:val="bottom"/>
            <w:hideMark/>
          </w:tcPr>
          <w:p w14:paraId="0495F9D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57,44</w:t>
            </w:r>
          </w:p>
        </w:tc>
      </w:tr>
      <w:tr w:rsidR="000D4582" w:rsidRPr="008D51E7" w14:paraId="365A22FF" w14:textId="77777777" w:rsidTr="002F43BF">
        <w:trPr>
          <w:trHeight w:val="300"/>
        </w:trPr>
        <w:tc>
          <w:tcPr>
            <w:tcW w:w="2567" w:type="dxa"/>
            <w:tcBorders>
              <w:top w:val="nil"/>
              <w:left w:val="nil"/>
              <w:bottom w:val="nil"/>
              <w:right w:val="nil"/>
            </w:tcBorders>
            <w:shd w:val="clear" w:color="auto" w:fill="auto"/>
            <w:noWrap/>
            <w:vAlign w:val="bottom"/>
            <w:hideMark/>
          </w:tcPr>
          <w:p w14:paraId="239D4053"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Deuda BID</w:t>
            </w:r>
          </w:p>
        </w:tc>
        <w:tc>
          <w:tcPr>
            <w:tcW w:w="1044" w:type="dxa"/>
            <w:tcBorders>
              <w:top w:val="nil"/>
              <w:left w:val="nil"/>
              <w:bottom w:val="nil"/>
              <w:right w:val="nil"/>
            </w:tcBorders>
            <w:shd w:val="clear" w:color="auto" w:fill="auto"/>
            <w:noWrap/>
            <w:vAlign w:val="bottom"/>
            <w:hideMark/>
          </w:tcPr>
          <w:p w14:paraId="62B96CC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763,42</w:t>
            </w:r>
          </w:p>
        </w:tc>
        <w:tc>
          <w:tcPr>
            <w:tcW w:w="1044" w:type="dxa"/>
            <w:tcBorders>
              <w:top w:val="nil"/>
              <w:left w:val="nil"/>
              <w:bottom w:val="nil"/>
              <w:right w:val="nil"/>
            </w:tcBorders>
            <w:shd w:val="clear" w:color="auto" w:fill="auto"/>
            <w:noWrap/>
            <w:vAlign w:val="bottom"/>
            <w:hideMark/>
          </w:tcPr>
          <w:p w14:paraId="7E8E9961"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3749,98</w:t>
            </w:r>
          </w:p>
        </w:tc>
        <w:tc>
          <w:tcPr>
            <w:tcW w:w="1044" w:type="dxa"/>
            <w:tcBorders>
              <w:top w:val="nil"/>
              <w:left w:val="nil"/>
              <w:bottom w:val="nil"/>
              <w:right w:val="nil"/>
            </w:tcBorders>
            <w:shd w:val="clear" w:color="auto" w:fill="auto"/>
            <w:noWrap/>
            <w:vAlign w:val="bottom"/>
            <w:hideMark/>
          </w:tcPr>
          <w:p w14:paraId="3F9F19F2"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6975,96</w:t>
            </w:r>
          </w:p>
        </w:tc>
        <w:tc>
          <w:tcPr>
            <w:tcW w:w="1043" w:type="dxa"/>
            <w:tcBorders>
              <w:top w:val="nil"/>
              <w:left w:val="nil"/>
              <w:bottom w:val="nil"/>
              <w:right w:val="nil"/>
            </w:tcBorders>
            <w:shd w:val="clear" w:color="auto" w:fill="auto"/>
            <w:noWrap/>
            <w:vAlign w:val="bottom"/>
            <w:hideMark/>
          </w:tcPr>
          <w:p w14:paraId="55B32E8E"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9266,43</w:t>
            </w:r>
          </w:p>
        </w:tc>
        <w:tc>
          <w:tcPr>
            <w:tcW w:w="1043" w:type="dxa"/>
            <w:tcBorders>
              <w:top w:val="nil"/>
              <w:left w:val="nil"/>
              <w:bottom w:val="nil"/>
              <w:right w:val="nil"/>
            </w:tcBorders>
            <w:shd w:val="clear" w:color="auto" w:fill="auto"/>
            <w:noWrap/>
            <w:vAlign w:val="bottom"/>
            <w:hideMark/>
          </w:tcPr>
          <w:p w14:paraId="560DEF07"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10180,24</w:t>
            </w:r>
          </w:p>
        </w:tc>
        <w:tc>
          <w:tcPr>
            <w:tcW w:w="1043" w:type="dxa"/>
            <w:tcBorders>
              <w:top w:val="nil"/>
              <w:left w:val="nil"/>
              <w:bottom w:val="nil"/>
              <w:right w:val="nil"/>
            </w:tcBorders>
            <w:shd w:val="clear" w:color="auto" w:fill="auto"/>
            <w:noWrap/>
            <w:vAlign w:val="bottom"/>
            <w:hideMark/>
          </w:tcPr>
          <w:p w14:paraId="6F97B987"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9913,00</w:t>
            </w:r>
          </w:p>
        </w:tc>
        <w:tc>
          <w:tcPr>
            <w:tcW w:w="1043" w:type="dxa"/>
            <w:tcBorders>
              <w:top w:val="nil"/>
              <w:left w:val="nil"/>
              <w:bottom w:val="nil"/>
              <w:right w:val="nil"/>
            </w:tcBorders>
            <w:shd w:val="clear" w:color="auto" w:fill="auto"/>
            <w:noWrap/>
            <w:vAlign w:val="bottom"/>
            <w:hideMark/>
          </w:tcPr>
          <w:p w14:paraId="2AB5760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9626,05</w:t>
            </w:r>
          </w:p>
        </w:tc>
        <w:tc>
          <w:tcPr>
            <w:tcW w:w="1043" w:type="dxa"/>
            <w:tcBorders>
              <w:top w:val="nil"/>
              <w:left w:val="nil"/>
              <w:bottom w:val="nil"/>
              <w:right w:val="nil"/>
            </w:tcBorders>
            <w:shd w:val="clear" w:color="auto" w:fill="auto"/>
            <w:noWrap/>
            <w:vAlign w:val="bottom"/>
            <w:hideMark/>
          </w:tcPr>
          <w:p w14:paraId="0E7D489B"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9318,55</w:t>
            </w:r>
          </w:p>
        </w:tc>
        <w:tc>
          <w:tcPr>
            <w:tcW w:w="1043" w:type="dxa"/>
            <w:tcBorders>
              <w:top w:val="nil"/>
              <w:left w:val="nil"/>
              <w:bottom w:val="nil"/>
              <w:right w:val="nil"/>
            </w:tcBorders>
            <w:shd w:val="clear" w:color="auto" w:fill="auto"/>
            <w:noWrap/>
            <w:vAlign w:val="bottom"/>
            <w:hideMark/>
          </w:tcPr>
          <w:p w14:paraId="77570AEB"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8989,66</w:t>
            </w:r>
          </w:p>
        </w:tc>
        <w:tc>
          <w:tcPr>
            <w:tcW w:w="1043" w:type="dxa"/>
            <w:tcBorders>
              <w:top w:val="nil"/>
              <w:left w:val="nil"/>
              <w:bottom w:val="nil"/>
              <w:right w:val="nil"/>
            </w:tcBorders>
            <w:shd w:val="clear" w:color="auto" w:fill="auto"/>
            <w:noWrap/>
            <w:vAlign w:val="bottom"/>
            <w:hideMark/>
          </w:tcPr>
          <w:p w14:paraId="614AC471"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8638,50</w:t>
            </w:r>
          </w:p>
        </w:tc>
        <w:tc>
          <w:tcPr>
            <w:tcW w:w="1043" w:type="dxa"/>
            <w:tcBorders>
              <w:top w:val="nil"/>
              <w:left w:val="nil"/>
              <w:bottom w:val="nil"/>
              <w:right w:val="nil"/>
            </w:tcBorders>
            <w:shd w:val="clear" w:color="auto" w:fill="auto"/>
            <w:noWrap/>
            <w:vAlign w:val="bottom"/>
            <w:hideMark/>
          </w:tcPr>
          <w:p w14:paraId="0C5F129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8264,17</w:t>
            </w:r>
          </w:p>
        </w:tc>
      </w:tr>
      <w:tr w:rsidR="000D4582" w:rsidRPr="008D51E7" w14:paraId="4A48FDB6" w14:textId="77777777" w:rsidTr="002F43BF">
        <w:trPr>
          <w:trHeight w:val="300"/>
        </w:trPr>
        <w:tc>
          <w:tcPr>
            <w:tcW w:w="2567" w:type="dxa"/>
            <w:tcBorders>
              <w:top w:val="nil"/>
              <w:left w:val="nil"/>
              <w:bottom w:val="nil"/>
              <w:right w:val="nil"/>
            </w:tcBorders>
            <w:shd w:val="clear" w:color="auto" w:fill="auto"/>
            <w:noWrap/>
            <w:vAlign w:val="bottom"/>
            <w:hideMark/>
          </w:tcPr>
          <w:p w14:paraId="3AFD642F"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Amortización</w:t>
            </w:r>
          </w:p>
        </w:tc>
        <w:tc>
          <w:tcPr>
            <w:tcW w:w="1044" w:type="dxa"/>
            <w:tcBorders>
              <w:top w:val="nil"/>
              <w:left w:val="nil"/>
              <w:bottom w:val="nil"/>
              <w:right w:val="nil"/>
            </w:tcBorders>
            <w:shd w:val="clear" w:color="auto" w:fill="auto"/>
            <w:noWrap/>
            <w:vAlign w:val="bottom"/>
            <w:hideMark/>
          </w:tcPr>
          <w:p w14:paraId="25F926D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4" w:type="dxa"/>
            <w:tcBorders>
              <w:top w:val="nil"/>
              <w:left w:val="nil"/>
              <w:bottom w:val="nil"/>
              <w:right w:val="nil"/>
            </w:tcBorders>
            <w:shd w:val="clear" w:color="auto" w:fill="auto"/>
            <w:noWrap/>
            <w:vAlign w:val="bottom"/>
            <w:hideMark/>
          </w:tcPr>
          <w:p w14:paraId="625479D8"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4" w:type="dxa"/>
            <w:tcBorders>
              <w:top w:val="nil"/>
              <w:left w:val="nil"/>
              <w:bottom w:val="nil"/>
              <w:right w:val="nil"/>
            </w:tcBorders>
            <w:shd w:val="clear" w:color="auto" w:fill="auto"/>
            <w:noWrap/>
            <w:vAlign w:val="bottom"/>
            <w:hideMark/>
          </w:tcPr>
          <w:p w14:paraId="5DD34EF3"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0E88A74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2B872BC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7BA8812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521,74</w:t>
            </w:r>
          </w:p>
        </w:tc>
        <w:tc>
          <w:tcPr>
            <w:tcW w:w="1043" w:type="dxa"/>
            <w:tcBorders>
              <w:top w:val="nil"/>
              <w:left w:val="nil"/>
              <w:bottom w:val="nil"/>
              <w:right w:val="nil"/>
            </w:tcBorders>
            <w:shd w:val="clear" w:color="auto" w:fill="auto"/>
            <w:noWrap/>
            <w:vAlign w:val="bottom"/>
            <w:hideMark/>
          </w:tcPr>
          <w:p w14:paraId="0A70D1E0"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534,78</w:t>
            </w:r>
          </w:p>
        </w:tc>
        <w:tc>
          <w:tcPr>
            <w:tcW w:w="1043" w:type="dxa"/>
            <w:tcBorders>
              <w:top w:val="nil"/>
              <w:left w:val="nil"/>
              <w:bottom w:val="nil"/>
              <w:right w:val="nil"/>
            </w:tcBorders>
            <w:shd w:val="clear" w:color="auto" w:fill="auto"/>
            <w:noWrap/>
            <w:vAlign w:val="bottom"/>
            <w:hideMark/>
          </w:tcPr>
          <w:p w14:paraId="25304423"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548,15</w:t>
            </w:r>
          </w:p>
        </w:tc>
        <w:tc>
          <w:tcPr>
            <w:tcW w:w="1043" w:type="dxa"/>
            <w:tcBorders>
              <w:top w:val="nil"/>
              <w:left w:val="nil"/>
              <w:bottom w:val="nil"/>
              <w:right w:val="nil"/>
            </w:tcBorders>
            <w:shd w:val="clear" w:color="auto" w:fill="auto"/>
            <w:noWrap/>
            <w:vAlign w:val="bottom"/>
            <w:hideMark/>
          </w:tcPr>
          <w:p w14:paraId="47B2AA50"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561,85</w:t>
            </w:r>
          </w:p>
        </w:tc>
        <w:tc>
          <w:tcPr>
            <w:tcW w:w="1043" w:type="dxa"/>
            <w:tcBorders>
              <w:top w:val="nil"/>
              <w:left w:val="nil"/>
              <w:bottom w:val="nil"/>
              <w:right w:val="nil"/>
            </w:tcBorders>
            <w:shd w:val="clear" w:color="auto" w:fill="auto"/>
            <w:noWrap/>
            <w:vAlign w:val="bottom"/>
            <w:hideMark/>
          </w:tcPr>
          <w:p w14:paraId="2C3C905C"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575,90</w:t>
            </w:r>
          </w:p>
        </w:tc>
        <w:tc>
          <w:tcPr>
            <w:tcW w:w="1043" w:type="dxa"/>
            <w:tcBorders>
              <w:top w:val="nil"/>
              <w:left w:val="nil"/>
              <w:bottom w:val="nil"/>
              <w:right w:val="nil"/>
            </w:tcBorders>
            <w:shd w:val="clear" w:color="auto" w:fill="auto"/>
            <w:noWrap/>
            <w:vAlign w:val="bottom"/>
            <w:hideMark/>
          </w:tcPr>
          <w:p w14:paraId="2A7AF656"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590,30</w:t>
            </w:r>
          </w:p>
        </w:tc>
      </w:tr>
      <w:tr w:rsidR="000D4582" w:rsidRPr="008D51E7" w14:paraId="09925A26" w14:textId="77777777" w:rsidTr="002F43BF">
        <w:trPr>
          <w:trHeight w:val="300"/>
        </w:trPr>
        <w:tc>
          <w:tcPr>
            <w:tcW w:w="2567" w:type="dxa"/>
            <w:tcBorders>
              <w:top w:val="nil"/>
              <w:left w:val="nil"/>
              <w:bottom w:val="nil"/>
              <w:right w:val="nil"/>
            </w:tcBorders>
            <w:shd w:val="clear" w:color="auto" w:fill="auto"/>
            <w:noWrap/>
            <w:vAlign w:val="bottom"/>
            <w:hideMark/>
          </w:tcPr>
          <w:p w14:paraId="6D39F8FE" w14:textId="77777777" w:rsidR="000D4582" w:rsidRPr="00117BF8" w:rsidRDefault="000D4582" w:rsidP="002F43BF">
            <w:pPr>
              <w:pStyle w:val="TablaC"/>
              <w:jc w:val="left"/>
              <w:rPr>
                <w:rFonts w:ascii="Arial" w:hAnsi="Arial" w:cs="Arial"/>
                <w:sz w:val="18"/>
                <w:szCs w:val="18"/>
              </w:rPr>
            </w:pPr>
          </w:p>
        </w:tc>
        <w:tc>
          <w:tcPr>
            <w:tcW w:w="1044" w:type="dxa"/>
            <w:tcBorders>
              <w:top w:val="nil"/>
              <w:left w:val="nil"/>
              <w:bottom w:val="nil"/>
              <w:right w:val="nil"/>
            </w:tcBorders>
            <w:shd w:val="clear" w:color="auto" w:fill="auto"/>
            <w:noWrap/>
            <w:vAlign w:val="bottom"/>
            <w:hideMark/>
          </w:tcPr>
          <w:p w14:paraId="64122C38" w14:textId="77777777" w:rsidR="000D4582" w:rsidRPr="00117BF8" w:rsidRDefault="000D4582" w:rsidP="002F43BF">
            <w:pPr>
              <w:pStyle w:val="TablaC"/>
              <w:rPr>
                <w:rFonts w:ascii="Arial" w:hAnsi="Arial" w:cs="Arial"/>
                <w:sz w:val="18"/>
                <w:szCs w:val="18"/>
              </w:rPr>
            </w:pPr>
          </w:p>
        </w:tc>
        <w:tc>
          <w:tcPr>
            <w:tcW w:w="1044" w:type="dxa"/>
            <w:tcBorders>
              <w:top w:val="nil"/>
              <w:left w:val="nil"/>
              <w:bottom w:val="nil"/>
              <w:right w:val="nil"/>
            </w:tcBorders>
            <w:shd w:val="clear" w:color="auto" w:fill="auto"/>
            <w:noWrap/>
            <w:vAlign w:val="bottom"/>
            <w:hideMark/>
          </w:tcPr>
          <w:p w14:paraId="28375B9A" w14:textId="77777777" w:rsidR="000D4582" w:rsidRPr="00117BF8" w:rsidRDefault="000D4582" w:rsidP="002F43BF">
            <w:pPr>
              <w:pStyle w:val="TablaC"/>
              <w:rPr>
                <w:rFonts w:ascii="Arial" w:hAnsi="Arial" w:cs="Arial"/>
                <w:sz w:val="18"/>
                <w:szCs w:val="18"/>
              </w:rPr>
            </w:pPr>
          </w:p>
        </w:tc>
        <w:tc>
          <w:tcPr>
            <w:tcW w:w="1044" w:type="dxa"/>
            <w:tcBorders>
              <w:top w:val="nil"/>
              <w:left w:val="nil"/>
              <w:bottom w:val="nil"/>
              <w:right w:val="nil"/>
            </w:tcBorders>
            <w:shd w:val="clear" w:color="auto" w:fill="auto"/>
            <w:noWrap/>
            <w:vAlign w:val="bottom"/>
            <w:hideMark/>
          </w:tcPr>
          <w:p w14:paraId="6EC1F510"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21E36A04"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2C66D107"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7F6DCE82"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329850AE"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185BFC01"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1BDF6F35"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65BA0A9C" w14:textId="77777777" w:rsidR="000D4582" w:rsidRPr="00117BF8" w:rsidRDefault="000D4582" w:rsidP="002F43BF">
            <w:pPr>
              <w:pStyle w:val="TablaC"/>
              <w:rPr>
                <w:rFonts w:ascii="Arial" w:hAnsi="Arial" w:cs="Arial"/>
                <w:sz w:val="18"/>
                <w:szCs w:val="18"/>
              </w:rPr>
            </w:pPr>
          </w:p>
        </w:tc>
        <w:tc>
          <w:tcPr>
            <w:tcW w:w="1043" w:type="dxa"/>
            <w:tcBorders>
              <w:top w:val="nil"/>
              <w:left w:val="nil"/>
              <w:bottom w:val="nil"/>
              <w:right w:val="nil"/>
            </w:tcBorders>
            <w:shd w:val="clear" w:color="auto" w:fill="auto"/>
            <w:noWrap/>
            <w:vAlign w:val="bottom"/>
            <w:hideMark/>
          </w:tcPr>
          <w:p w14:paraId="2D35F204" w14:textId="77777777" w:rsidR="000D4582" w:rsidRPr="00117BF8" w:rsidRDefault="000D4582" w:rsidP="002F43BF">
            <w:pPr>
              <w:pStyle w:val="TablaC"/>
              <w:rPr>
                <w:rFonts w:ascii="Arial" w:hAnsi="Arial" w:cs="Arial"/>
                <w:sz w:val="18"/>
                <w:szCs w:val="18"/>
              </w:rPr>
            </w:pPr>
          </w:p>
        </w:tc>
      </w:tr>
      <w:tr w:rsidR="000D4582" w:rsidRPr="008D51E7" w14:paraId="0CED6BEF" w14:textId="77777777" w:rsidTr="002F43BF">
        <w:trPr>
          <w:trHeight w:val="300"/>
        </w:trPr>
        <w:tc>
          <w:tcPr>
            <w:tcW w:w="2567" w:type="dxa"/>
            <w:tcBorders>
              <w:top w:val="nil"/>
              <w:left w:val="nil"/>
              <w:bottom w:val="nil"/>
              <w:right w:val="nil"/>
            </w:tcBorders>
            <w:shd w:val="clear" w:color="auto" w:fill="auto"/>
            <w:noWrap/>
            <w:vAlign w:val="bottom"/>
            <w:hideMark/>
          </w:tcPr>
          <w:p w14:paraId="4E991D59" w14:textId="77777777" w:rsidR="000D4582" w:rsidRPr="00117BF8" w:rsidRDefault="000D4582" w:rsidP="002F43BF">
            <w:pPr>
              <w:pStyle w:val="TablaC"/>
              <w:jc w:val="left"/>
              <w:rPr>
                <w:rFonts w:ascii="Arial" w:hAnsi="Arial" w:cs="Arial"/>
                <w:sz w:val="18"/>
                <w:szCs w:val="18"/>
              </w:rPr>
            </w:pPr>
            <w:r w:rsidRPr="00117BF8">
              <w:rPr>
                <w:rFonts w:ascii="Arial" w:hAnsi="Arial" w:cs="Arial"/>
                <w:sz w:val="18"/>
                <w:szCs w:val="18"/>
              </w:rPr>
              <w:t>Bienes y Servicios AUBASA</w:t>
            </w:r>
          </w:p>
        </w:tc>
        <w:tc>
          <w:tcPr>
            <w:tcW w:w="1044" w:type="dxa"/>
            <w:tcBorders>
              <w:top w:val="nil"/>
              <w:left w:val="nil"/>
              <w:bottom w:val="nil"/>
              <w:right w:val="nil"/>
            </w:tcBorders>
            <w:shd w:val="clear" w:color="auto" w:fill="auto"/>
            <w:noWrap/>
            <w:vAlign w:val="bottom"/>
            <w:hideMark/>
          </w:tcPr>
          <w:p w14:paraId="6307CC5A"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4" w:type="dxa"/>
            <w:tcBorders>
              <w:top w:val="nil"/>
              <w:left w:val="nil"/>
              <w:bottom w:val="nil"/>
              <w:right w:val="nil"/>
            </w:tcBorders>
            <w:shd w:val="clear" w:color="auto" w:fill="auto"/>
            <w:noWrap/>
            <w:vAlign w:val="bottom"/>
            <w:hideMark/>
          </w:tcPr>
          <w:p w14:paraId="3D377D8D"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4" w:type="dxa"/>
            <w:tcBorders>
              <w:top w:val="nil"/>
              <w:left w:val="nil"/>
              <w:bottom w:val="nil"/>
              <w:right w:val="nil"/>
            </w:tcBorders>
            <w:shd w:val="clear" w:color="auto" w:fill="auto"/>
            <w:noWrap/>
            <w:vAlign w:val="bottom"/>
            <w:hideMark/>
          </w:tcPr>
          <w:p w14:paraId="14D8506F"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49926D5E"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117A8E16"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0,00</w:t>
            </w:r>
          </w:p>
        </w:tc>
        <w:tc>
          <w:tcPr>
            <w:tcW w:w="1043" w:type="dxa"/>
            <w:tcBorders>
              <w:top w:val="nil"/>
              <w:left w:val="nil"/>
              <w:bottom w:val="nil"/>
              <w:right w:val="nil"/>
            </w:tcBorders>
            <w:shd w:val="clear" w:color="auto" w:fill="auto"/>
            <w:noWrap/>
            <w:vAlign w:val="bottom"/>
            <w:hideMark/>
          </w:tcPr>
          <w:p w14:paraId="25A99ACA"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78,96</w:t>
            </w:r>
          </w:p>
        </w:tc>
        <w:tc>
          <w:tcPr>
            <w:tcW w:w="1043" w:type="dxa"/>
            <w:tcBorders>
              <w:top w:val="nil"/>
              <w:left w:val="nil"/>
              <w:bottom w:val="nil"/>
              <w:right w:val="nil"/>
            </w:tcBorders>
            <w:shd w:val="clear" w:color="auto" w:fill="auto"/>
            <w:noWrap/>
            <w:vAlign w:val="bottom"/>
            <w:hideMark/>
          </w:tcPr>
          <w:p w14:paraId="76A40515"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80,94</w:t>
            </w:r>
          </w:p>
        </w:tc>
        <w:tc>
          <w:tcPr>
            <w:tcW w:w="1043" w:type="dxa"/>
            <w:tcBorders>
              <w:top w:val="nil"/>
              <w:left w:val="nil"/>
              <w:bottom w:val="nil"/>
              <w:right w:val="nil"/>
            </w:tcBorders>
            <w:shd w:val="clear" w:color="auto" w:fill="auto"/>
            <w:noWrap/>
            <w:vAlign w:val="bottom"/>
            <w:hideMark/>
          </w:tcPr>
          <w:p w14:paraId="0D63DE55"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82,96</w:t>
            </w:r>
          </w:p>
        </w:tc>
        <w:tc>
          <w:tcPr>
            <w:tcW w:w="1043" w:type="dxa"/>
            <w:tcBorders>
              <w:top w:val="nil"/>
              <w:left w:val="nil"/>
              <w:bottom w:val="nil"/>
              <w:right w:val="nil"/>
            </w:tcBorders>
            <w:shd w:val="clear" w:color="auto" w:fill="auto"/>
            <w:noWrap/>
            <w:vAlign w:val="bottom"/>
            <w:hideMark/>
          </w:tcPr>
          <w:p w14:paraId="4B552557"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85,04</w:t>
            </w:r>
          </w:p>
        </w:tc>
        <w:tc>
          <w:tcPr>
            <w:tcW w:w="1043" w:type="dxa"/>
            <w:tcBorders>
              <w:top w:val="nil"/>
              <w:left w:val="nil"/>
              <w:bottom w:val="nil"/>
              <w:right w:val="nil"/>
            </w:tcBorders>
            <w:shd w:val="clear" w:color="auto" w:fill="auto"/>
            <w:noWrap/>
            <w:vAlign w:val="bottom"/>
            <w:hideMark/>
          </w:tcPr>
          <w:p w14:paraId="1C8658DE"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87,16</w:t>
            </w:r>
          </w:p>
        </w:tc>
        <w:tc>
          <w:tcPr>
            <w:tcW w:w="1043" w:type="dxa"/>
            <w:tcBorders>
              <w:top w:val="nil"/>
              <w:left w:val="nil"/>
              <w:bottom w:val="nil"/>
              <w:right w:val="nil"/>
            </w:tcBorders>
            <w:shd w:val="clear" w:color="auto" w:fill="auto"/>
            <w:noWrap/>
            <w:vAlign w:val="bottom"/>
            <w:hideMark/>
          </w:tcPr>
          <w:p w14:paraId="690C0374" w14:textId="77777777" w:rsidR="000D4582" w:rsidRPr="00117BF8" w:rsidRDefault="000D4582" w:rsidP="002F43BF">
            <w:pPr>
              <w:pStyle w:val="TablaC"/>
              <w:rPr>
                <w:rFonts w:ascii="Arial" w:hAnsi="Arial" w:cs="Arial"/>
                <w:sz w:val="18"/>
                <w:szCs w:val="18"/>
              </w:rPr>
            </w:pPr>
            <w:r w:rsidRPr="00117BF8">
              <w:rPr>
                <w:rFonts w:ascii="Arial" w:hAnsi="Arial" w:cs="Arial"/>
                <w:sz w:val="18"/>
                <w:szCs w:val="18"/>
              </w:rPr>
              <w:t>89,34</w:t>
            </w:r>
          </w:p>
        </w:tc>
      </w:tr>
    </w:tbl>
    <w:p w14:paraId="0B526DCB" w14:textId="77777777" w:rsidR="002F43BF" w:rsidRPr="00117BF8" w:rsidRDefault="002F43BF" w:rsidP="00F27BF4">
      <w:pPr>
        <w:pStyle w:val="hsa"/>
        <w:rPr>
          <w:rFonts w:ascii="Arial" w:eastAsia="Calibri" w:hAnsi="Arial" w:cs="Arial"/>
        </w:rPr>
      </w:pPr>
    </w:p>
    <w:p w14:paraId="744AC089" w14:textId="77777777" w:rsidR="002F43BF" w:rsidRPr="00117BF8" w:rsidRDefault="002F43BF" w:rsidP="00F27BF4">
      <w:pPr>
        <w:pStyle w:val="hsa"/>
        <w:rPr>
          <w:rFonts w:ascii="Arial" w:eastAsia="Calibri" w:hAnsi="Arial" w:cs="Arial"/>
        </w:rPr>
      </w:pPr>
    </w:p>
    <w:p w14:paraId="72C94605" w14:textId="77777777" w:rsidR="002F43BF" w:rsidRPr="00117BF8" w:rsidRDefault="002F43BF" w:rsidP="00F27BF4">
      <w:pPr>
        <w:pStyle w:val="hsa"/>
        <w:rPr>
          <w:rFonts w:ascii="Arial" w:eastAsia="Calibri" w:hAnsi="Arial" w:cs="Arial"/>
        </w:rPr>
      </w:pPr>
    </w:p>
    <w:p w14:paraId="53958BA2" w14:textId="77777777" w:rsidR="002F43BF" w:rsidRPr="00117BF8" w:rsidRDefault="002F43BF" w:rsidP="00F27BF4">
      <w:pPr>
        <w:pStyle w:val="hsa"/>
        <w:rPr>
          <w:rFonts w:ascii="Arial" w:eastAsia="Calibri" w:hAnsi="Arial" w:cs="Arial"/>
        </w:rPr>
        <w:sectPr w:rsidR="002F43BF" w:rsidRPr="00117BF8" w:rsidSect="002F43BF">
          <w:headerReference w:type="default" r:id="rId39"/>
          <w:footerReference w:type="default" r:id="rId40"/>
          <w:pgSz w:w="16840" w:h="11907" w:orient="landscape"/>
          <w:pgMar w:top="1701" w:right="1418" w:bottom="1701" w:left="1418" w:header="851" w:footer="851" w:gutter="0"/>
          <w:cols w:space="720"/>
          <w:docGrid w:linePitch="326"/>
        </w:sectPr>
      </w:pPr>
    </w:p>
    <w:p w14:paraId="2B1A9BF2" w14:textId="77777777" w:rsidR="00CA1086" w:rsidRPr="00117BF8" w:rsidRDefault="00A646B9" w:rsidP="00117BF8">
      <w:pPr>
        <w:pStyle w:val="Heading2"/>
        <w:spacing w:before="0" w:after="180"/>
        <w:rPr>
          <w:rFonts w:ascii="Arial" w:eastAsia="Calibri" w:hAnsi="Arial" w:cs="Arial"/>
          <w:sz w:val="22"/>
          <w:szCs w:val="22"/>
        </w:rPr>
      </w:pPr>
      <w:bookmarkStart w:id="87" w:name="_Toc494040327"/>
      <w:r w:rsidRPr="00117BF8">
        <w:rPr>
          <w:rFonts w:ascii="Arial" w:eastAsia="Calibri" w:hAnsi="Arial" w:cs="Arial"/>
          <w:sz w:val="22"/>
          <w:szCs w:val="22"/>
        </w:rPr>
        <w:t>Mantenimiento – Consideraciones presupuestarias</w:t>
      </w:r>
      <w:bookmarkEnd w:id="87"/>
    </w:p>
    <w:p w14:paraId="36DD6171" w14:textId="77777777" w:rsidR="00015C1E" w:rsidRPr="00117BF8" w:rsidRDefault="00015C1E" w:rsidP="00015C1E">
      <w:pPr>
        <w:pStyle w:val="hsa"/>
        <w:rPr>
          <w:rFonts w:ascii="Arial" w:eastAsia="Calibri" w:hAnsi="Arial" w:cs="Arial"/>
          <w:sz w:val="22"/>
          <w:szCs w:val="22"/>
        </w:rPr>
      </w:pPr>
      <w:r w:rsidRPr="00117BF8">
        <w:rPr>
          <w:rFonts w:ascii="Arial" w:eastAsia="Calibri" w:hAnsi="Arial" w:cs="Arial"/>
          <w:sz w:val="22"/>
          <w:szCs w:val="22"/>
        </w:rPr>
        <w:t>En el título previo se detallaron los gastos históricos de las funciones relacionadas con los programas préstamos AR-L1273 y AR-L1274.</w:t>
      </w:r>
    </w:p>
    <w:p w14:paraId="65EFED50" w14:textId="77777777" w:rsidR="00015C1E" w:rsidRPr="00117BF8" w:rsidRDefault="00015C1E" w:rsidP="00015C1E">
      <w:pPr>
        <w:pStyle w:val="hsa"/>
        <w:rPr>
          <w:rFonts w:ascii="Arial" w:eastAsia="Calibri" w:hAnsi="Arial" w:cs="Arial"/>
          <w:sz w:val="22"/>
          <w:szCs w:val="22"/>
        </w:rPr>
      </w:pPr>
      <w:r w:rsidRPr="00117BF8">
        <w:rPr>
          <w:rFonts w:ascii="Arial" w:eastAsia="Calibri" w:hAnsi="Arial" w:cs="Arial"/>
          <w:sz w:val="22"/>
          <w:szCs w:val="22"/>
        </w:rPr>
        <w:t xml:space="preserve">Ninguno de los tres programas tiene previsiones presupuestarias para el año 2017, ni en las proyecciones a diez años presentadas por la Provincia. Con el propósito de evaluar las capacidades financieras de los organismos que se encargarían del mantenimiento de la infraestructura </w:t>
      </w:r>
      <w:r w:rsidR="00446921" w:rsidRPr="00117BF8">
        <w:rPr>
          <w:rFonts w:ascii="Arial" w:eastAsia="Calibri" w:hAnsi="Arial" w:cs="Arial"/>
          <w:sz w:val="22"/>
          <w:szCs w:val="22"/>
        </w:rPr>
        <w:t>comprendidas en Las Operaciones s</w:t>
      </w:r>
      <w:r w:rsidRPr="00117BF8">
        <w:rPr>
          <w:rFonts w:ascii="Arial" w:eastAsia="Calibri" w:hAnsi="Arial" w:cs="Arial"/>
          <w:sz w:val="22"/>
          <w:szCs w:val="22"/>
        </w:rPr>
        <w:t>e realiza este análisis</w:t>
      </w:r>
      <w:r w:rsidR="00446921" w:rsidRPr="00117BF8">
        <w:rPr>
          <w:rFonts w:ascii="Arial" w:eastAsia="Calibri" w:hAnsi="Arial" w:cs="Arial"/>
          <w:sz w:val="22"/>
          <w:szCs w:val="22"/>
        </w:rPr>
        <w:t xml:space="preserve"> comparativo que se completa con las proyecciones Alternativas del Capítulo 7</w:t>
      </w:r>
      <w:r w:rsidRPr="00117BF8">
        <w:rPr>
          <w:rFonts w:ascii="Arial" w:eastAsia="Calibri" w:hAnsi="Arial" w:cs="Arial"/>
          <w:sz w:val="22"/>
          <w:szCs w:val="22"/>
        </w:rPr>
        <w:t>.</w:t>
      </w:r>
    </w:p>
    <w:p w14:paraId="406FF7EB" w14:textId="77777777" w:rsidR="00015C1E" w:rsidRPr="00117BF8" w:rsidRDefault="00015C1E" w:rsidP="00015C1E">
      <w:pPr>
        <w:pStyle w:val="hsa"/>
        <w:rPr>
          <w:rFonts w:ascii="Arial" w:eastAsia="Calibri" w:hAnsi="Arial" w:cs="Arial"/>
          <w:sz w:val="22"/>
          <w:szCs w:val="22"/>
        </w:rPr>
      </w:pPr>
      <w:r w:rsidRPr="00117BF8">
        <w:rPr>
          <w:rFonts w:ascii="Arial" w:eastAsia="Calibri" w:hAnsi="Arial" w:cs="Arial"/>
          <w:sz w:val="22"/>
          <w:szCs w:val="22"/>
        </w:rPr>
        <w:t>Sobre la base de lo descripto en el título previo</w:t>
      </w:r>
      <w:r w:rsidR="00446921" w:rsidRPr="00117BF8">
        <w:rPr>
          <w:rFonts w:ascii="Arial" w:eastAsia="Calibri" w:hAnsi="Arial" w:cs="Arial"/>
          <w:sz w:val="22"/>
          <w:szCs w:val="22"/>
        </w:rPr>
        <w:t>,</w:t>
      </w:r>
      <w:r w:rsidRPr="00117BF8">
        <w:rPr>
          <w:rFonts w:ascii="Arial" w:eastAsia="Calibri" w:hAnsi="Arial" w:cs="Arial"/>
          <w:sz w:val="22"/>
          <w:szCs w:val="22"/>
        </w:rPr>
        <w:t xml:space="preserve"> se pueden </w:t>
      </w:r>
      <w:r w:rsidR="00AC7EE5" w:rsidRPr="00117BF8">
        <w:rPr>
          <w:rFonts w:ascii="Arial" w:eastAsia="Calibri" w:hAnsi="Arial" w:cs="Arial"/>
          <w:sz w:val="22"/>
          <w:szCs w:val="22"/>
        </w:rPr>
        <w:t>calcular</w:t>
      </w:r>
      <w:r w:rsidRPr="00117BF8">
        <w:rPr>
          <w:rFonts w:ascii="Arial" w:eastAsia="Calibri" w:hAnsi="Arial" w:cs="Arial"/>
          <w:sz w:val="22"/>
          <w:szCs w:val="22"/>
        </w:rPr>
        <w:t xml:space="preserve"> los gastos de mantenimiento</w:t>
      </w:r>
      <w:r w:rsidR="00446921" w:rsidRPr="00117BF8">
        <w:rPr>
          <w:rFonts w:ascii="Arial" w:eastAsia="Calibri" w:hAnsi="Arial" w:cs="Arial"/>
          <w:sz w:val="22"/>
          <w:szCs w:val="22"/>
        </w:rPr>
        <w:t>,</w:t>
      </w:r>
      <w:r w:rsidRPr="00117BF8">
        <w:rPr>
          <w:rFonts w:ascii="Arial" w:eastAsia="Calibri" w:hAnsi="Arial" w:cs="Arial"/>
          <w:sz w:val="22"/>
          <w:szCs w:val="22"/>
        </w:rPr>
        <w:t xml:space="preserve"> a valores del presente año</w:t>
      </w:r>
      <w:r w:rsidR="00446921" w:rsidRPr="00117BF8">
        <w:rPr>
          <w:rFonts w:ascii="Arial" w:eastAsia="Calibri" w:hAnsi="Arial" w:cs="Arial"/>
          <w:sz w:val="22"/>
          <w:szCs w:val="22"/>
        </w:rPr>
        <w:t>,</w:t>
      </w:r>
      <w:r w:rsidRPr="00117BF8">
        <w:rPr>
          <w:rFonts w:ascii="Arial" w:eastAsia="Calibri" w:hAnsi="Arial" w:cs="Arial"/>
          <w:sz w:val="22"/>
          <w:szCs w:val="22"/>
        </w:rPr>
        <w:t xml:space="preserve"> en 30,7 y 47,8 millones de pesos para las operaciones AR-L1273 y AR-L1274 respectivamente.</w:t>
      </w:r>
      <w:r w:rsidR="00446921" w:rsidRPr="00117BF8">
        <w:rPr>
          <w:rFonts w:ascii="Arial" w:eastAsia="Calibri" w:hAnsi="Arial" w:cs="Arial"/>
          <w:sz w:val="22"/>
          <w:szCs w:val="22"/>
        </w:rPr>
        <w:t xml:space="preserve"> Para la operación AR-L1272 no se prevén gastos de mantenimiento.</w:t>
      </w:r>
    </w:p>
    <w:p w14:paraId="2286D4C1" w14:textId="3685AABF" w:rsidR="00015C1E" w:rsidRPr="00117BF8" w:rsidRDefault="00446921" w:rsidP="00015C1E">
      <w:pPr>
        <w:pStyle w:val="hsa"/>
        <w:rPr>
          <w:rFonts w:ascii="Arial" w:eastAsia="Calibri" w:hAnsi="Arial" w:cs="Arial"/>
          <w:sz w:val="22"/>
          <w:szCs w:val="22"/>
        </w:rPr>
      </w:pPr>
      <w:r w:rsidRPr="00117BF8">
        <w:rPr>
          <w:rFonts w:ascii="Arial" w:eastAsia="Calibri" w:hAnsi="Arial" w:cs="Arial"/>
          <w:sz w:val="22"/>
          <w:szCs w:val="22"/>
        </w:rPr>
        <w:t>L</w:t>
      </w:r>
      <w:r w:rsidR="00015C1E" w:rsidRPr="00117BF8">
        <w:rPr>
          <w:rFonts w:ascii="Arial" w:eastAsia="Calibri" w:hAnsi="Arial" w:cs="Arial"/>
          <w:sz w:val="22"/>
          <w:szCs w:val="22"/>
        </w:rPr>
        <w:t>a distribución por programa del presupuesto ejecutado del Ministerio de Infraestructura durante 2016 se muestra en la Tabla 3</w:t>
      </w:r>
      <w:r w:rsidR="00186356" w:rsidRPr="00117BF8">
        <w:rPr>
          <w:rFonts w:ascii="Arial" w:eastAsia="Calibri" w:hAnsi="Arial" w:cs="Arial"/>
          <w:sz w:val="22"/>
          <w:szCs w:val="22"/>
        </w:rPr>
        <w:t>4</w:t>
      </w:r>
      <w:r w:rsidR="00015C1E" w:rsidRPr="00117BF8">
        <w:rPr>
          <w:rFonts w:ascii="Arial" w:eastAsia="Calibri" w:hAnsi="Arial" w:cs="Arial"/>
          <w:sz w:val="22"/>
          <w:szCs w:val="22"/>
        </w:rPr>
        <w:t xml:space="preserve">, de estos </w:t>
      </w:r>
      <w:r w:rsidR="0040400E" w:rsidRPr="00117BF8">
        <w:rPr>
          <w:rFonts w:ascii="Arial" w:eastAsia="Calibri" w:hAnsi="Arial" w:cs="Arial"/>
          <w:sz w:val="22"/>
          <w:szCs w:val="22"/>
        </w:rPr>
        <w:t>el 10 es</w:t>
      </w:r>
      <w:r w:rsidR="00015C1E" w:rsidRPr="00117BF8">
        <w:rPr>
          <w:rFonts w:ascii="Arial" w:eastAsia="Calibri" w:hAnsi="Arial" w:cs="Arial"/>
          <w:sz w:val="22"/>
          <w:szCs w:val="22"/>
        </w:rPr>
        <w:t xml:space="preserve"> el que más se ajusta a las previsiones de la operación AR-L1273 (El detalle de los programas se incluye en el Anexo IV)</w:t>
      </w:r>
      <w:r w:rsidR="008D51E7" w:rsidRPr="00117BF8">
        <w:rPr>
          <w:rFonts w:ascii="Arial" w:eastAsia="Calibri" w:hAnsi="Arial" w:cs="Arial"/>
          <w:sz w:val="22"/>
          <w:szCs w:val="22"/>
        </w:rPr>
        <w:t>.</w:t>
      </w:r>
    </w:p>
    <w:tbl>
      <w:tblPr>
        <w:tblW w:w="7528"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860"/>
        <w:gridCol w:w="1668"/>
      </w:tblGrid>
      <w:tr w:rsidR="00015C1E" w:rsidRPr="004E6455" w14:paraId="7C13E8CE" w14:textId="77777777" w:rsidTr="00BB314B">
        <w:trPr>
          <w:trHeight w:val="465"/>
          <w:jc w:val="center"/>
        </w:trPr>
        <w:tc>
          <w:tcPr>
            <w:tcW w:w="7528" w:type="dxa"/>
            <w:gridSpan w:val="2"/>
            <w:tcBorders>
              <w:top w:val="single" w:sz="8" w:space="0" w:color="7BA0CD"/>
              <w:left w:val="single" w:sz="8" w:space="0" w:color="7BA0CD"/>
              <w:bottom w:val="single" w:sz="8" w:space="0" w:color="7BA0CD"/>
              <w:right w:val="single" w:sz="8" w:space="0" w:color="7BA0CD"/>
            </w:tcBorders>
            <w:shd w:val="clear" w:color="auto" w:fill="0070C0"/>
          </w:tcPr>
          <w:p w14:paraId="299CB68C" w14:textId="77777777" w:rsidR="00015C1E" w:rsidRPr="00117BF8" w:rsidRDefault="00015C1E" w:rsidP="00186356">
            <w:pPr>
              <w:pStyle w:val="TablaT"/>
              <w:rPr>
                <w:rFonts w:ascii="Arial" w:hAnsi="Arial" w:cs="Arial"/>
                <w:bCs/>
                <w:sz w:val="22"/>
                <w:szCs w:val="22"/>
                <w:lang w:val="es-ES_tradnl"/>
              </w:rPr>
            </w:pPr>
            <w:bookmarkStart w:id="88" w:name="_Toc493861144"/>
            <w:r w:rsidRPr="00117BF8">
              <w:rPr>
                <w:rFonts w:ascii="Arial" w:hAnsi="Arial" w:cs="Arial"/>
                <w:bCs/>
                <w:sz w:val="22"/>
                <w:szCs w:val="22"/>
                <w:lang w:val="es-ES_tradnl"/>
              </w:rPr>
              <w:t>Tabla 3</w:t>
            </w:r>
            <w:r w:rsidR="00186356" w:rsidRPr="00117BF8">
              <w:rPr>
                <w:rFonts w:ascii="Arial" w:hAnsi="Arial" w:cs="Arial"/>
                <w:bCs/>
                <w:sz w:val="22"/>
                <w:szCs w:val="22"/>
                <w:lang w:val="es-ES_tradnl"/>
              </w:rPr>
              <w:t>4</w:t>
            </w:r>
            <w:r w:rsidRPr="00117BF8">
              <w:rPr>
                <w:rFonts w:ascii="Arial" w:hAnsi="Arial" w:cs="Arial"/>
                <w:bCs/>
                <w:sz w:val="22"/>
                <w:szCs w:val="22"/>
                <w:lang w:val="es-ES_tradnl"/>
              </w:rPr>
              <w:t xml:space="preserve"> - Ministerio de Infraestructura y Ss. Públicos – Función 4- Suelo, Riego, desagües y Drenaje - 2016</w:t>
            </w:r>
            <w:bookmarkEnd w:id="88"/>
          </w:p>
        </w:tc>
      </w:tr>
      <w:tr w:rsidR="00015C1E" w:rsidRPr="004E6455" w14:paraId="12623613" w14:textId="77777777" w:rsidTr="00BB314B">
        <w:trPr>
          <w:trHeight w:val="465"/>
          <w:jc w:val="center"/>
        </w:trPr>
        <w:tc>
          <w:tcPr>
            <w:tcW w:w="5860" w:type="dxa"/>
            <w:tcBorders>
              <w:right w:val="nil"/>
            </w:tcBorders>
            <w:shd w:val="clear" w:color="auto" w:fill="0070C0"/>
            <w:hideMark/>
          </w:tcPr>
          <w:p w14:paraId="22D71FC6" w14:textId="77777777" w:rsidR="00015C1E" w:rsidRPr="00117BF8" w:rsidRDefault="00015C1E" w:rsidP="00BB314B">
            <w:pPr>
              <w:pStyle w:val="TablaE"/>
              <w:rPr>
                <w:rFonts w:ascii="Arial" w:hAnsi="Arial" w:cs="Arial"/>
                <w:bCs/>
                <w:sz w:val="22"/>
                <w:szCs w:val="22"/>
              </w:rPr>
            </w:pPr>
            <w:r w:rsidRPr="00117BF8">
              <w:rPr>
                <w:rFonts w:ascii="Arial" w:hAnsi="Arial" w:cs="Arial"/>
                <w:bCs/>
                <w:sz w:val="22"/>
                <w:szCs w:val="22"/>
              </w:rPr>
              <w:t>PRG "Programa"</w:t>
            </w:r>
          </w:p>
        </w:tc>
        <w:tc>
          <w:tcPr>
            <w:tcW w:w="1668" w:type="dxa"/>
            <w:tcBorders>
              <w:left w:val="nil"/>
            </w:tcBorders>
            <w:shd w:val="clear" w:color="auto" w:fill="0070C0"/>
            <w:hideMark/>
          </w:tcPr>
          <w:p w14:paraId="31EAA900" w14:textId="77777777" w:rsidR="00015C1E" w:rsidRPr="00117BF8" w:rsidRDefault="00015C1E" w:rsidP="00BB314B">
            <w:pPr>
              <w:pStyle w:val="TablaE"/>
              <w:rPr>
                <w:rFonts w:ascii="Arial" w:hAnsi="Arial" w:cs="Arial"/>
                <w:sz w:val="22"/>
                <w:szCs w:val="22"/>
              </w:rPr>
            </w:pPr>
            <w:r w:rsidRPr="00117BF8">
              <w:rPr>
                <w:rFonts w:ascii="Arial" w:hAnsi="Arial" w:cs="Arial"/>
                <w:sz w:val="22"/>
                <w:szCs w:val="22"/>
              </w:rPr>
              <w:t>Millones</w:t>
            </w:r>
          </w:p>
        </w:tc>
      </w:tr>
      <w:tr w:rsidR="00015C1E" w:rsidRPr="004E6455" w14:paraId="5084C613" w14:textId="77777777" w:rsidTr="00BB314B">
        <w:trPr>
          <w:trHeight w:val="300"/>
          <w:jc w:val="center"/>
        </w:trPr>
        <w:tc>
          <w:tcPr>
            <w:tcW w:w="5860" w:type="dxa"/>
            <w:tcBorders>
              <w:right w:val="nil"/>
            </w:tcBorders>
            <w:shd w:val="clear" w:color="auto" w:fill="auto"/>
            <w:noWrap/>
            <w:hideMark/>
          </w:tcPr>
          <w:p w14:paraId="5CC13EE8" w14:textId="77777777" w:rsidR="00015C1E" w:rsidRPr="00117BF8" w:rsidRDefault="00015C1E" w:rsidP="00BB314B">
            <w:pPr>
              <w:pStyle w:val="TablaC"/>
              <w:jc w:val="left"/>
              <w:rPr>
                <w:rFonts w:ascii="Arial" w:hAnsi="Arial" w:cs="Arial"/>
                <w:bCs/>
                <w:sz w:val="18"/>
                <w:szCs w:val="18"/>
              </w:rPr>
            </w:pPr>
            <w:r w:rsidRPr="00117BF8">
              <w:rPr>
                <w:rFonts w:ascii="Arial" w:hAnsi="Arial" w:cs="Arial"/>
                <w:bCs/>
                <w:sz w:val="18"/>
                <w:szCs w:val="18"/>
              </w:rPr>
              <w:t>10- Obra Hidráulica</w:t>
            </w:r>
          </w:p>
        </w:tc>
        <w:tc>
          <w:tcPr>
            <w:tcW w:w="1668" w:type="dxa"/>
            <w:tcBorders>
              <w:left w:val="nil"/>
            </w:tcBorders>
            <w:shd w:val="clear" w:color="auto" w:fill="auto"/>
            <w:noWrap/>
            <w:hideMark/>
          </w:tcPr>
          <w:p w14:paraId="7C973979" w14:textId="77777777" w:rsidR="00015C1E" w:rsidRPr="00117BF8" w:rsidRDefault="00015C1E" w:rsidP="00BB314B">
            <w:pPr>
              <w:pStyle w:val="TablaC"/>
              <w:rPr>
                <w:rFonts w:ascii="Arial" w:hAnsi="Arial" w:cs="Arial"/>
                <w:sz w:val="18"/>
                <w:szCs w:val="18"/>
              </w:rPr>
            </w:pPr>
            <w:r w:rsidRPr="00117BF8">
              <w:rPr>
                <w:rFonts w:ascii="Arial" w:hAnsi="Arial" w:cs="Arial"/>
                <w:sz w:val="18"/>
                <w:szCs w:val="18"/>
              </w:rPr>
              <w:t>1.099</w:t>
            </w:r>
          </w:p>
        </w:tc>
      </w:tr>
      <w:tr w:rsidR="00015C1E" w:rsidRPr="004E6455" w14:paraId="71F7730F" w14:textId="77777777" w:rsidTr="00BB314B">
        <w:trPr>
          <w:trHeight w:val="300"/>
          <w:jc w:val="center"/>
        </w:trPr>
        <w:tc>
          <w:tcPr>
            <w:tcW w:w="5860" w:type="dxa"/>
            <w:tcBorders>
              <w:right w:val="nil"/>
            </w:tcBorders>
            <w:shd w:val="clear" w:color="auto" w:fill="D3DFEE"/>
            <w:noWrap/>
            <w:hideMark/>
          </w:tcPr>
          <w:p w14:paraId="10AFAF21" w14:textId="77777777" w:rsidR="00015C1E" w:rsidRPr="00117BF8" w:rsidRDefault="00015C1E" w:rsidP="00BB314B">
            <w:pPr>
              <w:pStyle w:val="TablaC"/>
              <w:jc w:val="left"/>
              <w:rPr>
                <w:rFonts w:ascii="Arial" w:hAnsi="Arial" w:cs="Arial"/>
                <w:bCs/>
                <w:sz w:val="18"/>
                <w:szCs w:val="18"/>
              </w:rPr>
            </w:pPr>
            <w:r w:rsidRPr="00117BF8">
              <w:rPr>
                <w:rFonts w:ascii="Arial" w:hAnsi="Arial" w:cs="Arial"/>
                <w:bCs/>
                <w:sz w:val="18"/>
                <w:szCs w:val="18"/>
              </w:rPr>
              <w:t>12- Saneamiento Ambiental (UNIREC)</w:t>
            </w:r>
          </w:p>
        </w:tc>
        <w:tc>
          <w:tcPr>
            <w:tcW w:w="1668" w:type="dxa"/>
            <w:tcBorders>
              <w:left w:val="nil"/>
            </w:tcBorders>
            <w:shd w:val="clear" w:color="auto" w:fill="D3DFEE"/>
            <w:noWrap/>
            <w:hideMark/>
          </w:tcPr>
          <w:p w14:paraId="3EDE51DD" w14:textId="77777777" w:rsidR="00015C1E" w:rsidRPr="00117BF8" w:rsidRDefault="00015C1E" w:rsidP="00BB314B">
            <w:pPr>
              <w:pStyle w:val="TablaC"/>
              <w:rPr>
                <w:rFonts w:ascii="Arial" w:hAnsi="Arial" w:cs="Arial"/>
                <w:sz w:val="18"/>
                <w:szCs w:val="18"/>
              </w:rPr>
            </w:pPr>
            <w:r w:rsidRPr="00117BF8">
              <w:rPr>
                <w:rFonts w:ascii="Arial" w:hAnsi="Arial" w:cs="Arial"/>
                <w:sz w:val="18"/>
                <w:szCs w:val="18"/>
              </w:rPr>
              <w:t>45</w:t>
            </w:r>
          </w:p>
        </w:tc>
      </w:tr>
      <w:tr w:rsidR="00015C1E" w:rsidRPr="004E6455" w14:paraId="15D57AF1" w14:textId="77777777" w:rsidTr="00BB314B">
        <w:trPr>
          <w:trHeight w:val="300"/>
          <w:jc w:val="center"/>
        </w:trPr>
        <w:tc>
          <w:tcPr>
            <w:tcW w:w="5860" w:type="dxa"/>
            <w:tcBorders>
              <w:right w:val="nil"/>
            </w:tcBorders>
            <w:shd w:val="clear" w:color="auto" w:fill="auto"/>
            <w:noWrap/>
            <w:hideMark/>
          </w:tcPr>
          <w:p w14:paraId="3D05F63E" w14:textId="77777777" w:rsidR="00015C1E" w:rsidRPr="00117BF8" w:rsidRDefault="00015C1E" w:rsidP="00BB314B">
            <w:pPr>
              <w:pStyle w:val="TablaC"/>
              <w:jc w:val="left"/>
              <w:rPr>
                <w:rFonts w:ascii="Arial" w:hAnsi="Arial" w:cs="Arial"/>
                <w:bCs/>
                <w:sz w:val="18"/>
                <w:szCs w:val="18"/>
                <w:lang w:val="es-ES_tradnl"/>
              </w:rPr>
            </w:pPr>
            <w:r w:rsidRPr="00117BF8">
              <w:rPr>
                <w:rFonts w:ascii="Arial" w:hAnsi="Arial" w:cs="Arial"/>
                <w:bCs/>
                <w:sz w:val="18"/>
                <w:szCs w:val="18"/>
                <w:lang w:val="es-ES_tradnl"/>
              </w:rPr>
              <w:t>18- Programa de Gestión Ambiental -ACUMAR</w:t>
            </w:r>
          </w:p>
        </w:tc>
        <w:tc>
          <w:tcPr>
            <w:tcW w:w="1668" w:type="dxa"/>
            <w:tcBorders>
              <w:left w:val="nil"/>
            </w:tcBorders>
            <w:shd w:val="clear" w:color="auto" w:fill="auto"/>
            <w:noWrap/>
            <w:hideMark/>
          </w:tcPr>
          <w:p w14:paraId="28C482AA" w14:textId="77777777" w:rsidR="00015C1E" w:rsidRPr="00117BF8" w:rsidRDefault="00015C1E" w:rsidP="00BB314B">
            <w:pPr>
              <w:pStyle w:val="TablaC"/>
              <w:rPr>
                <w:rFonts w:ascii="Arial" w:hAnsi="Arial" w:cs="Arial"/>
                <w:sz w:val="18"/>
                <w:szCs w:val="18"/>
              </w:rPr>
            </w:pPr>
            <w:r w:rsidRPr="00117BF8">
              <w:rPr>
                <w:rFonts w:ascii="Arial" w:hAnsi="Arial" w:cs="Arial"/>
                <w:sz w:val="18"/>
                <w:szCs w:val="18"/>
              </w:rPr>
              <w:t>1</w:t>
            </w:r>
          </w:p>
        </w:tc>
      </w:tr>
      <w:tr w:rsidR="00015C1E" w:rsidRPr="004E6455" w14:paraId="45D98519" w14:textId="77777777" w:rsidTr="00BB314B">
        <w:trPr>
          <w:trHeight w:val="300"/>
          <w:jc w:val="center"/>
        </w:trPr>
        <w:tc>
          <w:tcPr>
            <w:tcW w:w="5860" w:type="dxa"/>
            <w:tcBorders>
              <w:right w:val="nil"/>
            </w:tcBorders>
            <w:shd w:val="clear" w:color="auto" w:fill="D3DFEE"/>
            <w:hideMark/>
          </w:tcPr>
          <w:p w14:paraId="39DA3875" w14:textId="77777777" w:rsidR="00015C1E" w:rsidRPr="00117BF8" w:rsidRDefault="00015C1E" w:rsidP="00BB314B">
            <w:pPr>
              <w:pStyle w:val="TablaC"/>
              <w:jc w:val="left"/>
              <w:rPr>
                <w:rFonts w:ascii="Arial" w:hAnsi="Arial" w:cs="Arial"/>
                <w:bCs/>
                <w:sz w:val="18"/>
                <w:szCs w:val="18"/>
              </w:rPr>
            </w:pPr>
            <w:r w:rsidRPr="00117BF8">
              <w:rPr>
                <w:rFonts w:ascii="Arial" w:hAnsi="Arial" w:cs="Arial"/>
                <w:bCs/>
                <w:sz w:val="18"/>
                <w:szCs w:val="18"/>
              </w:rPr>
              <w:t>33- Obras Fdo. Fiduciario Federal de Infraestructura Regional</w:t>
            </w:r>
          </w:p>
        </w:tc>
        <w:tc>
          <w:tcPr>
            <w:tcW w:w="1668" w:type="dxa"/>
            <w:tcBorders>
              <w:left w:val="nil"/>
            </w:tcBorders>
            <w:shd w:val="clear" w:color="auto" w:fill="D3DFEE"/>
            <w:noWrap/>
            <w:hideMark/>
          </w:tcPr>
          <w:p w14:paraId="03B4B03B" w14:textId="77777777" w:rsidR="00015C1E" w:rsidRPr="00117BF8" w:rsidRDefault="00015C1E" w:rsidP="00BB314B">
            <w:pPr>
              <w:pStyle w:val="TablaC"/>
              <w:rPr>
                <w:rFonts w:ascii="Arial" w:hAnsi="Arial" w:cs="Arial"/>
                <w:sz w:val="18"/>
                <w:szCs w:val="18"/>
              </w:rPr>
            </w:pPr>
            <w:r w:rsidRPr="00117BF8">
              <w:rPr>
                <w:rFonts w:ascii="Arial" w:hAnsi="Arial" w:cs="Arial"/>
                <w:sz w:val="18"/>
                <w:szCs w:val="18"/>
              </w:rPr>
              <w:t>14</w:t>
            </w:r>
          </w:p>
        </w:tc>
      </w:tr>
      <w:tr w:rsidR="00015C1E" w:rsidRPr="004E6455" w14:paraId="160845BB" w14:textId="77777777" w:rsidTr="00BB314B">
        <w:trPr>
          <w:trHeight w:val="300"/>
          <w:jc w:val="center"/>
        </w:trPr>
        <w:tc>
          <w:tcPr>
            <w:tcW w:w="5860" w:type="dxa"/>
            <w:tcBorders>
              <w:right w:val="nil"/>
            </w:tcBorders>
            <w:shd w:val="clear" w:color="auto" w:fill="auto"/>
            <w:hideMark/>
          </w:tcPr>
          <w:p w14:paraId="44D3FCBA" w14:textId="77777777" w:rsidR="00015C1E" w:rsidRPr="00117BF8" w:rsidRDefault="00015C1E" w:rsidP="00BB314B">
            <w:pPr>
              <w:pStyle w:val="TablaC"/>
              <w:jc w:val="left"/>
              <w:rPr>
                <w:rFonts w:ascii="Arial" w:hAnsi="Arial" w:cs="Arial"/>
                <w:bCs/>
                <w:sz w:val="18"/>
                <w:szCs w:val="18"/>
              </w:rPr>
            </w:pPr>
            <w:r w:rsidRPr="00117BF8">
              <w:rPr>
                <w:rFonts w:ascii="Arial" w:hAnsi="Arial" w:cs="Arial"/>
                <w:bCs/>
                <w:sz w:val="18"/>
                <w:szCs w:val="18"/>
              </w:rPr>
              <w:t>36- Programa de Servicios Agrícolas Provinciales II (PROSAP II)</w:t>
            </w:r>
          </w:p>
        </w:tc>
        <w:tc>
          <w:tcPr>
            <w:tcW w:w="1668" w:type="dxa"/>
            <w:tcBorders>
              <w:left w:val="nil"/>
            </w:tcBorders>
            <w:shd w:val="clear" w:color="auto" w:fill="auto"/>
            <w:noWrap/>
            <w:hideMark/>
          </w:tcPr>
          <w:p w14:paraId="139353F3" w14:textId="77777777" w:rsidR="00015C1E" w:rsidRPr="00117BF8" w:rsidRDefault="00015C1E" w:rsidP="00BB314B">
            <w:pPr>
              <w:pStyle w:val="TablaC"/>
              <w:rPr>
                <w:rFonts w:ascii="Arial" w:hAnsi="Arial" w:cs="Arial"/>
                <w:sz w:val="18"/>
                <w:szCs w:val="18"/>
              </w:rPr>
            </w:pPr>
            <w:r w:rsidRPr="00117BF8">
              <w:rPr>
                <w:rFonts w:ascii="Arial" w:hAnsi="Arial" w:cs="Arial"/>
                <w:sz w:val="18"/>
                <w:szCs w:val="18"/>
              </w:rPr>
              <w:t>3</w:t>
            </w:r>
          </w:p>
        </w:tc>
      </w:tr>
      <w:tr w:rsidR="00015C1E" w:rsidRPr="004E6455" w14:paraId="1C006E02" w14:textId="77777777" w:rsidTr="00BB314B">
        <w:trPr>
          <w:trHeight w:val="300"/>
          <w:jc w:val="center"/>
        </w:trPr>
        <w:tc>
          <w:tcPr>
            <w:tcW w:w="5860" w:type="dxa"/>
            <w:tcBorders>
              <w:right w:val="nil"/>
            </w:tcBorders>
            <w:shd w:val="clear" w:color="auto" w:fill="D3DFEE"/>
            <w:noWrap/>
            <w:hideMark/>
          </w:tcPr>
          <w:p w14:paraId="5667D01A" w14:textId="77777777" w:rsidR="00015C1E" w:rsidRPr="00117BF8" w:rsidRDefault="00015C1E" w:rsidP="00BB314B">
            <w:pPr>
              <w:pStyle w:val="TablaC"/>
              <w:jc w:val="left"/>
              <w:rPr>
                <w:rFonts w:ascii="Arial" w:hAnsi="Arial" w:cs="Arial"/>
                <w:bCs/>
                <w:sz w:val="18"/>
                <w:szCs w:val="18"/>
              </w:rPr>
            </w:pPr>
            <w:r w:rsidRPr="00117BF8">
              <w:rPr>
                <w:rFonts w:ascii="Arial" w:hAnsi="Arial" w:cs="Arial"/>
                <w:bCs/>
                <w:sz w:val="18"/>
                <w:szCs w:val="18"/>
              </w:rPr>
              <w:t>Total PRG "Programa"</w:t>
            </w:r>
          </w:p>
        </w:tc>
        <w:tc>
          <w:tcPr>
            <w:tcW w:w="1668" w:type="dxa"/>
            <w:tcBorders>
              <w:left w:val="nil"/>
            </w:tcBorders>
            <w:shd w:val="clear" w:color="auto" w:fill="D3DFEE"/>
            <w:noWrap/>
            <w:hideMark/>
          </w:tcPr>
          <w:p w14:paraId="67A765FC" w14:textId="77777777" w:rsidR="00015C1E" w:rsidRPr="00117BF8" w:rsidRDefault="00015C1E" w:rsidP="00BB314B">
            <w:pPr>
              <w:pStyle w:val="TablaC"/>
              <w:rPr>
                <w:rFonts w:ascii="Arial" w:hAnsi="Arial" w:cs="Arial"/>
                <w:sz w:val="18"/>
                <w:szCs w:val="18"/>
              </w:rPr>
            </w:pPr>
            <w:r w:rsidRPr="00117BF8">
              <w:rPr>
                <w:rFonts w:ascii="Arial" w:hAnsi="Arial" w:cs="Arial"/>
                <w:sz w:val="18"/>
                <w:szCs w:val="18"/>
              </w:rPr>
              <w:t>1.162</w:t>
            </w:r>
          </w:p>
        </w:tc>
      </w:tr>
    </w:tbl>
    <w:p w14:paraId="5789070F" w14:textId="77777777" w:rsidR="00015C1E" w:rsidRPr="00117BF8" w:rsidRDefault="00015C1E" w:rsidP="00117BF8">
      <w:pPr>
        <w:pStyle w:val="Hfuente"/>
        <w:ind w:firstLine="450"/>
        <w:rPr>
          <w:rFonts w:ascii="Arial" w:eastAsia="Calibri" w:hAnsi="Arial" w:cs="Arial"/>
          <w:sz w:val="18"/>
          <w:szCs w:val="18"/>
        </w:rPr>
      </w:pPr>
      <w:r w:rsidRPr="00117BF8">
        <w:rPr>
          <w:rFonts w:ascii="Arial" w:eastAsia="Calibri" w:hAnsi="Arial" w:cs="Arial"/>
          <w:sz w:val="18"/>
          <w:szCs w:val="18"/>
        </w:rPr>
        <w:t>Fuente: CGPBA</w:t>
      </w:r>
    </w:p>
    <w:p w14:paraId="3EE0BD77" w14:textId="77777777" w:rsidR="0040400E" w:rsidRPr="00117BF8" w:rsidRDefault="00AC7EE5" w:rsidP="00267899">
      <w:pPr>
        <w:pStyle w:val="hsa"/>
        <w:rPr>
          <w:rFonts w:ascii="Arial" w:eastAsia="Calibri" w:hAnsi="Arial" w:cs="Arial"/>
          <w:sz w:val="22"/>
          <w:szCs w:val="22"/>
        </w:rPr>
      </w:pPr>
      <w:r w:rsidRPr="00117BF8">
        <w:rPr>
          <w:rFonts w:ascii="Arial" w:eastAsia="Calibri" w:hAnsi="Arial" w:cs="Arial"/>
          <w:sz w:val="22"/>
          <w:szCs w:val="22"/>
        </w:rPr>
        <w:t xml:space="preserve">Los gastos de mantenimiento con relación al gasto ejecutado durante 2016 en el Programa 10 representan menos del 3%, no parece el mantenimiento un monto difícil </w:t>
      </w:r>
      <w:r w:rsidR="0040400E" w:rsidRPr="00117BF8">
        <w:rPr>
          <w:rFonts w:ascii="Arial" w:eastAsia="Calibri" w:hAnsi="Arial" w:cs="Arial"/>
          <w:sz w:val="22"/>
          <w:szCs w:val="22"/>
        </w:rPr>
        <w:t>con relación a estos antecedentes.</w:t>
      </w:r>
    </w:p>
    <w:p w14:paraId="4ED1511A" w14:textId="77777777" w:rsidR="00CA1086" w:rsidRPr="00117BF8" w:rsidRDefault="0040400E" w:rsidP="00267899">
      <w:pPr>
        <w:pStyle w:val="hsa"/>
        <w:rPr>
          <w:rFonts w:ascii="Arial" w:eastAsia="Calibri" w:hAnsi="Arial" w:cs="Arial"/>
          <w:sz w:val="22"/>
          <w:szCs w:val="22"/>
        </w:rPr>
      </w:pPr>
      <w:r w:rsidRPr="00117BF8">
        <w:rPr>
          <w:rFonts w:ascii="Arial" w:hAnsi="Arial" w:cs="Arial"/>
          <w:sz w:val="22"/>
          <w:szCs w:val="22"/>
        </w:rPr>
        <w:t>S</w:t>
      </w:r>
      <w:r w:rsidR="00A646B9" w:rsidRPr="00117BF8">
        <w:rPr>
          <w:rFonts w:ascii="Arial" w:hAnsi="Arial" w:cs="Arial"/>
          <w:sz w:val="22"/>
          <w:szCs w:val="22"/>
        </w:rPr>
        <w:t xml:space="preserve">e prevé que </w:t>
      </w:r>
      <w:r w:rsidR="00CA1086" w:rsidRPr="00117BF8">
        <w:rPr>
          <w:rFonts w:ascii="Arial" w:hAnsi="Arial" w:cs="Arial"/>
          <w:sz w:val="22"/>
          <w:szCs w:val="22"/>
        </w:rPr>
        <w:t xml:space="preserve">los tramos a ser construidos con la operación </w:t>
      </w:r>
      <w:r w:rsidR="00CA1086" w:rsidRPr="00117BF8">
        <w:rPr>
          <w:rFonts w:ascii="Arial" w:eastAsia="Calibri" w:hAnsi="Arial" w:cs="Arial"/>
          <w:sz w:val="22"/>
          <w:szCs w:val="22"/>
        </w:rPr>
        <w:t>AR-L1274</w:t>
      </w:r>
      <w:r w:rsidR="00CA1086" w:rsidRPr="00117BF8">
        <w:rPr>
          <w:rFonts w:ascii="Arial" w:hAnsi="Arial" w:cs="Arial"/>
          <w:sz w:val="22"/>
          <w:szCs w:val="22"/>
        </w:rPr>
        <w:t>, una vez concluidos, se</w:t>
      </w:r>
      <w:r w:rsidRPr="00117BF8">
        <w:rPr>
          <w:rFonts w:ascii="Arial" w:hAnsi="Arial" w:cs="Arial"/>
          <w:sz w:val="22"/>
          <w:szCs w:val="22"/>
        </w:rPr>
        <w:t xml:space="preserve">an </w:t>
      </w:r>
      <w:r w:rsidR="00CA1086" w:rsidRPr="00117BF8">
        <w:rPr>
          <w:rFonts w:ascii="Arial" w:hAnsi="Arial" w:cs="Arial"/>
          <w:sz w:val="22"/>
          <w:szCs w:val="22"/>
        </w:rPr>
        <w:t xml:space="preserve">entregados a AUBASA para su operación y mantenimiento, los gastos involucrados </w:t>
      </w:r>
      <w:r w:rsidRPr="00117BF8">
        <w:rPr>
          <w:rFonts w:ascii="Arial" w:hAnsi="Arial" w:cs="Arial"/>
          <w:sz w:val="22"/>
          <w:szCs w:val="22"/>
        </w:rPr>
        <w:t xml:space="preserve">en estas actividades </w:t>
      </w:r>
      <w:r w:rsidR="00CA1086" w:rsidRPr="00117BF8">
        <w:rPr>
          <w:rFonts w:ascii="Arial" w:hAnsi="Arial" w:cs="Arial"/>
          <w:sz w:val="22"/>
          <w:szCs w:val="22"/>
        </w:rPr>
        <w:t>serán financiadas con sus recursos previstos en el contrato de concesión.</w:t>
      </w:r>
    </w:p>
    <w:p w14:paraId="4F21283D" w14:textId="79067295" w:rsidR="00CA1086" w:rsidRPr="00117BF8" w:rsidRDefault="00AC7EE5" w:rsidP="00267899">
      <w:pPr>
        <w:pStyle w:val="hsa"/>
        <w:rPr>
          <w:rFonts w:ascii="Arial" w:eastAsia="Calibri" w:hAnsi="Arial" w:cs="Arial"/>
          <w:sz w:val="22"/>
          <w:szCs w:val="22"/>
        </w:rPr>
      </w:pPr>
      <w:r w:rsidRPr="00117BF8">
        <w:rPr>
          <w:rFonts w:ascii="Arial" w:eastAsia="Calibri" w:hAnsi="Arial" w:cs="Arial"/>
          <w:sz w:val="22"/>
          <w:szCs w:val="22"/>
        </w:rPr>
        <w:t xml:space="preserve">No se dispuso de la ejecución presupuestaria de 2016 para esta entidad. </w:t>
      </w:r>
      <w:r w:rsidR="00CA1086" w:rsidRPr="00117BF8">
        <w:rPr>
          <w:rFonts w:ascii="Arial" w:eastAsia="Calibri" w:hAnsi="Arial" w:cs="Arial"/>
          <w:sz w:val="22"/>
          <w:szCs w:val="22"/>
        </w:rPr>
        <w:t xml:space="preserve">Para </w:t>
      </w:r>
      <w:r w:rsidRPr="00117BF8">
        <w:rPr>
          <w:rFonts w:ascii="Arial" w:eastAsia="Calibri" w:hAnsi="Arial" w:cs="Arial"/>
          <w:sz w:val="22"/>
          <w:szCs w:val="22"/>
        </w:rPr>
        <w:t>su</w:t>
      </w:r>
      <w:r w:rsidR="00CA1086" w:rsidRPr="00117BF8">
        <w:rPr>
          <w:rFonts w:ascii="Arial" w:eastAsia="Calibri" w:hAnsi="Arial" w:cs="Arial"/>
          <w:sz w:val="22"/>
          <w:szCs w:val="22"/>
        </w:rPr>
        <w:t xml:space="preserve"> presupuesto 2017 se han previsto los recursos y gastos </w:t>
      </w:r>
      <w:r w:rsidR="00015C1E" w:rsidRPr="00117BF8">
        <w:rPr>
          <w:rFonts w:ascii="Arial" w:eastAsia="Calibri" w:hAnsi="Arial" w:cs="Arial"/>
          <w:sz w:val="22"/>
          <w:szCs w:val="22"/>
        </w:rPr>
        <w:t xml:space="preserve">que se indican en la tabla </w:t>
      </w:r>
      <w:r w:rsidR="00AD2CC2" w:rsidRPr="00117BF8">
        <w:rPr>
          <w:rFonts w:ascii="Arial" w:eastAsia="Calibri" w:hAnsi="Arial" w:cs="Arial"/>
          <w:sz w:val="22"/>
          <w:szCs w:val="22"/>
        </w:rPr>
        <w:t>35</w:t>
      </w:r>
      <w:r w:rsidR="00CA1086" w:rsidRPr="00117BF8">
        <w:rPr>
          <w:rFonts w:ascii="Arial" w:eastAsia="Calibri" w:hAnsi="Arial" w:cs="Arial"/>
          <w:sz w:val="22"/>
          <w:szCs w:val="22"/>
        </w:rPr>
        <w:t>.</w:t>
      </w:r>
      <w:r w:rsidR="00015C1E" w:rsidRPr="00117BF8">
        <w:rPr>
          <w:rFonts w:ascii="Arial" w:eastAsia="Calibri" w:hAnsi="Arial" w:cs="Arial"/>
          <w:sz w:val="22"/>
          <w:szCs w:val="22"/>
        </w:rPr>
        <w:t xml:space="preserve"> Excluidos los impuestos, el mantenimiento de la nueva infraestructura equivale al 4% del gasto presupuestado y al 20% del excedente financiero. Si bien los recursos serían suficientes para cubrir los costos de mantenimiento</w:t>
      </w:r>
      <w:r w:rsidRPr="00117BF8">
        <w:rPr>
          <w:rFonts w:ascii="Arial" w:eastAsia="Calibri" w:hAnsi="Arial" w:cs="Arial"/>
          <w:sz w:val="22"/>
          <w:szCs w:val="22"/>
        </w:rPr>
        <w:t xml:space="preserve"> y tienen una significación similar sobre el gasto a la operación AR-L1273</w:t>
      </w:r>
      <w:r w:rsidR="00015C1E" w:rsidRPr="00117BF8">
        <w:rPr>
          <w:rFonts w:ascii="Arial" w:eastAsia="Calibri" w:hAnsi="Arial" w:cs="Arial"/>
          <w:sz w:val="22"/>
          <w:szCs w:val="22"/>
        </w:rPr>
        <w:t>, su impacto no es menor en el excedente financiero</w:t>
      </w:r>
      <w:r w:rsidRPr="00117BF8">
        <w:rPr>
          <w:rFonts w:ascii="Arial" w:eastAsia="Calibri" w:hAnsi="Arial" w:cs="Arial"/>
          <w:sz w:val="22"/>
          <w:szCs w:val="22"/>
        </w:rPr>
        <w:t xml:space="preserve"> de AUBASA</w:t>
      </w:r>
      <w:r w:rsidR="00015C1E" w:rsidRPr="00117BF8">
        <w:rPr>
          <w:rFonts w:ascii="Arial" w:eastAsia="Calibri" w:hAnsi="Arial" w:cs="Arial"/>
          <w:sz w:val="22"/>
          <w:szCs w:val="22"/>
        </w:rPr>
        <w:t xml:space="preserve">. Estos valores son suponiendo que </w:t>
      </w:r>
      <w:r w:rsidRPr="00117BF8">
        <w:rPr>
          <w:rFonts w:ascii="Arial" w:eastAsia="Calibri" w:hAnsi="Arial" w:cs="Arial"/>
          <w:sz w:val="22"/>
          <w:szCs w:val="22"/>
        </w:rPr>
        <w:t>esta entidad</w:t>
      </w:r>
      <w:r w:rsidR="00015C1E" w:rsidRPr="00117BF8">
        <w:rPr>
          <w:rFonts w:ascii="Arial" w:eastAsia="Calibri" w:hAnsi="Arial" w:cs="Arial"/>
          <w:sz w:val="22"/>
          <w:szCs w:val="22"/>
        </w:rPr>
        <w:t xml:space="preserve"> no recibe contrapartida por la operación y mantenimiento de la nueva infraestructura.</w:t>
      </w:r>
    </w:p>
    <w:tbl>
      <w:tblPr>
        <w:tblW w:w="564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940"/>
        <w:gridCol w:w="1700"/>
      </w:tblGrid>
      <w:tr w:rsidR="00AD2CC2" w:rsidRPr="004E6455" w14:paraId="292EE119" w14:textId="77777777" w:rsidTr="00097F5C">
        <w:trPr>
          <w:trHeight w:val="300"/>
          <w:jc w:val="center"/>
        </w:trPr>
        <w:tc>
          <w:tcPr>
            <w:tcW w:w="5640" w:type="dxa"/>
            <w:gridSpan w:val="2"/>
            <w:tcBorders>
              <w:top w:val="single" w:sz="8" w:space="0" w:color="7BA0CD"/>
              <w:left w:val="single" w:sz="8" w:space="0" w:color="7BA0CD"/>
              <w:bottom w:val="single" w:sz="8" w:space="0" w:color="7BA0CD"/>
              <w:right w:val="single" w:sz="8" w:space="0" w:color="7BA0CD"/>
            </w:tcBorders>
            <w:shd w:val="clear" w:color="auto" w:fill="0070C0"/>
            <w:noWrap/>
          </w:tcPr>
          <w:p w14:paraId="4611852D" w14:textId="77777777" w:rsidR="00AD2CC2" w:rsidRPr="00117BF8" w:rsidRDefault="00AD2CC2" w:rsidP="0040400E">
            <w:pPr>
              <w:pStyle w:val="TablaT"/>
              <w:rPr>
                <w:rFonts w:ascii="Arial" w:hAnsi="Arial" w:cs="Arial"/>
                <w:sz w:val="22"/>
                <w:szCs w:val="22"/>
              </w:rPr>
            </w:pPr>
            <w:bookmarkStart w:id="89" w:name="_Toc493861145"/>
            <w:r w:rsidRPr="00117BF8">
              <w:rPr>
                <w:rFonts w:ascii="Arial" w:hAnsi="Arial" w:cs="Arial"/>
                <w:sz w:val="22"/>
                <w:szCs w:val="22"/>
              </w:rPr>
              <w:t>Tabla 35</w:t>
            </w:r>
            <w:r w:rsidR="00883677" w:rsidRPr="00117BF8">
              <w:rPr>
                <w:rFonts w:ascii="Arial" w:hAnsi="Arial" w:cs="Arial"/>
                <w:sz w:val="22"/>
                <w:szCs w:val="22"/>
              </w:rPr>
              <w:t xml:space="preserve"> </w:t>
            </w:r>
            <w:r w:rsidRPr="00117BF8">
              <w:rPr>
                <w:rFonts w:ascii="Arial" w:hAnsi="Arial" w:cs="Arial"/>
                <w:sz w:val="22"/>
                <w:szCs w:val="22"/>
              </w:rPr>
              <w:t>- AUBASA Presupuesto 2017</w:t>
            </w:r>
            <w:bookmarkEnd w:id="89"/>
          </w:p>
        </w:tc>
      </w:tr>
      <w:tr w:rsidR="00CA1086" w:rsidRPr="004E6455" w14:paraId="58A373A3" w14:textId="77777777" w:rsidTr="00097F5C">
        <w:trPr>
          <w:trHeight w:val="300"/>
          <w:jc w:val="center"/>
        </w:trPr>
        <w:tc>
          <w:tcPr>
            <w:tcW w:w="3940" w:type="dxa"/>
            <w:tcBorders>
              <w:right w:val="nil"/>
            </w:tcBorders>
            <w:shd w:val="clear" w:color="auto" w:fill="0070C0"/>
            <w:noWrap/>
            <w:hideMark/>
          </w:tcPr>
          <w:p w14:paraId="067E3615" w14:textId="77777777" w:rsidR="00CA1086" w:rsidRPr="00117BF8" w:rsidRDefault="00CA1086" w:rsidP="00AD2CC2">
            <w:pPr>
              <w:pStyle w:val="TablaE"/>
              <w:rPr>
                <w:rFonts w:ascii="Arial" w:hAnsi="Arial" w:cs="Arial"/>
                <w:b w:val="0"/>
                <w:bCs/>
                <w:sz w:val="22"/>
                <w:szCs w:val="22"/>
              </w:rPr>
            </w:pPr>
          </w:p>
        </w:tc>
        <w:tc>
          <w:tcPr>
            <w:tcW w:w="1700" w:type="dxa"/>
            <w:tcBorders>
              <w:left w:val="nil"/>
            </w:tcBorders>
            <w:shd w:val="clear" w:color="auto" w:fill="0070C0"/>
            <w:noWrap/>
            <w:hideMark/>
          </w:tcPr>
          <w:p w14:paraId="32ED675F" w14:textId="77777777" w:rsidR="00CA1086" w:rsidRPr="00117BF8" w:rsidRDefault="00AD2CC2" w:rsidP="00AD2CC2">
            <w:pPr>
              <w:pStyle w:val="TablaE"/>
              <w:rPr>
                <w:rFonts w:ascii="Arial" w:hAnsi="Arial" w:cs="Arial"/>
                <w:sz w:val="22"/>
                <w:szCs w:val="22"/>
              </w:rPr>
            </w:pPr>
            <w:r w:rsidRPr="00117BF8">
              <w:rPr>
                <w:rFonts w:ascii="Arial" w:hAnsi="Arial" w:cs="Arial"/>
                <w:sz w:val="22"/>
                <w:szCs w:val="22"/>
              </w:rPr>
              <w:t>Millones</w:t>
            </w:r>
          </w:p>
        </w:tc>
      </w:tr>
      <w:tr w:rsidR="00CA1086" w:rsidRPr="004E6455" w14:paraId="480DBD40" w14:textId="77777777" w:rsidTr="00097F5C">
        <w:trPr>
          <w:trHeight w:val="300"/>
          <w:jc w:val="center"/>
        </w:trPr>
        <w:tc>
          <w:tcPr>
            <w:tcW w:w="3940" w:type="dxa"/>
            <w:tcBorders>
              <w:right w:val="nil"/>
            </w:tcBorders>
            <w:shd w:val="clear" w:color="auto" w:fill="auto"/>
            <w:noWrap/>
            <w:hideMark/>
          </w:tcPr>
          <w:p w14:paraId="11982309"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Ventas Brutas</w:t>
            </w:r>
          </w:p>
        </w:tc>
        <w:tc>
          <w:tcPr>
            <w:tcW w:w="1700" w:type="dxa"/>
            <w:tcBorders>
              <w:left w:val="nil"/>
            </w:tcBorders>
            <w:shd w:val="clear" w:color="auto" w:fill="auto"/>
            <w:noWrap/>
            <w:hideMark/>
          </w:tcPr>
          <w:p w14:paraId="1484DC8D"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1840,1</w:t>
            </w:r>
          </w:p>
        </w:tc>
      </w:tr>
      <w:tr w:rsidR="00CA1086" w:rsidRPr="004E6455" w14:paraId="1CD06DC5" w14:textId="77777777" w:rsidTr="00097F5C">
        <w:trPr>
          <w:trHeight w:hRule="exact" w:val="113"/>
          <w:jc w:val="center"/>
        </w:trPr>
        <w:tc>
          <w:tcPr>
            <w:tcW w:w="3940" w:type="dxa"/>
            <w:tcBorders>
              <w:right w:val="nil"/>
            </w:tcBorders>
            <w:shd w:val="clear" w:color="auto" w:fill="D3DFEE"/>
            <w:noWrap/>
            <w:hideMark/>
          </w:tcPr>
          <w:p w14:paraId="52222AA6" w14:textId="77777777" w:rsidR="00CA1086" w:rsidRPr="00117BF8" w:rsidRDefault="00CA1086" w:rsidP="00097F5C">
            <w:pPr>
              <w:pStyle w:val="TablaC"/>
              <w:jc w:val="left"/>
              <w:rPr>
                <w:rFonts w:ascii="Arial" w:hAnsi="Arial" w:cs="Arial"/>
                <w:bCs/>
                <w:sz w:val="18"/>
                <w:szCs w:val="18"/>
              </w:rPr>
            </w:pPr>
          </w:p>
        </w:tc>
        <w:tc>
          <w:tcPr>
            <w:tcW w:w="1700" w:type="dxa"/>
            <w:tcBorders>
              <w:left w:val="nil"/>
            </w:tcBorders>
            <w:shd w:val="clear" w:color="auto" w:fill="D3DFEE"/>
            <w:noWrap/>
            <w:hideMark/>
          </w:tcPr>
          <w:p w14:paraId="03CAF973" w14:textId="77777777" w:rsidR="00CA1086" w:rsidRPr="00117BF8" w:rsidRDefault="00CA1086" w:rsidP="00AD2CC2">
            <w:pPr>
              <w:pStyle w:val="TablaC"/>
              <w:rPr>
                <w:rFonts w:ascii="Arial" w:hAnsi="Arial" w:cs="Arial"/>
                <w:sz w:val="18"/>
                <w:szCs w:val="18"/>
              </w:rPr>
            </w:pPr>
          </w:p>
        </w:tc>
      </w:tr>
      <w:tr w:rsidR="00CA1086" w:rsidRPr="004E6455" w14:paraId="0500C2A1" w14:textId="77777777" w:rsidTr="00097F5C">
        <w:trPr>
          <w:trHeight w:val="300"/>
          <w:jc w:val="center"/>
        </w:trPr>
        <w:tc>
          <w:tcPr>
            <w:tcW w:w="3940" w:type="dxa"/>
            <w:tcBorders>
              <w:right w:val="nil"/>
            </w:tcBorders>
            <w:shd w:val="clear" w:color="auto" w:fill="auto"/>
            <w:noWrap/>
            <w:hideMark/>
          </w:tcPr>
          <w:p w14:paraId="030FF2DD"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Remuneraciones</w:t>
            </w:r>
          </w:p>
        </w:tc>
        <w:tc>
          <w:tcPr>
            <w:tcW w:w="1700" w:type="dxa"/>
            <w:tcBorders>
              <w:left w:val="nil"/>
            </w:tcBorders>
            <w:shd w:val="clear" w:color="auto" w:fill="auto"/>
            <w:noWrap/>
            <w:hideMark/>
          </w:tcPr>
          <w:p w14:paraId="15E4C907"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811,4</w:t>
            </w:r>
          </w:p>
        </w:tc>
      </w:tr>
      <w:tr w:rsidR="00CA1086" w:rsidRPr="004E6455" w14:paraId="7D22F2A4" w14:textId="77777777" w:rsidTr="00097F5C">
        <w:trPr>
          <w:trHeight w:val="300"/>
          <w:jc w:val="center"/>
        </w:trPr>
        <w:tc>
          <w:tcPr>
            <w:tcW w:w="3940" w:type="dxa"/>
            <w:tcBorders>
              <w:right w:val="nil"/>
            </w:tcBorders>
            <w:shd w:val="clear" w:color="auto" w:fill="D3DFEE"/>
            <w:noWrap/>
            <w:hideMark/>
          </w:tcPr>
          <w:p w14:paraId="09373DA2"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Bienes y Servicios</w:t>
            </w:r>
          </w:p>
        </w:tc>
        <w:tc>
          <w:tcPr>
            <w:tcW w:w="1700" w:type="dxa"/>
            <w:tcBorders>
              <w:left w:val="nil"/>
            </w:tcBorders>
            <w:shd w:val="clear" w:color="auto" w:fill="D3DFEE"/>
            <w:noWrap/>
            <w:hideMark/>
          </w:tcPr>
          <w:p w14:paraId="27442A99"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353</w:t>
            </w:r>
            <w:r w:rsidR="00015C1E" w:rsidRPr="00117BF8">
              <w:rPr>
                <w:rFonts w:ascii="Arial" w:hAnsi="Arial" w:cs="Arial"/>
                <w:sz w:val="18"/>
                <w:szCs w:val="18"/>
              </w:rPr>
              <w:t>,0</w:t>
            </w:r>
          </w:p>
        </w:tc>
      </w:tr>
      <w:tr w:rsidR="00CA1086" w:rsidRPr="004E6455" w14:paraId="10A34CD0" w14:textId="77777777" w:rsidTr="00097F5C">
        <w:trPr>
          <w:trHeight w:val="300"/>
          <w:jc w:val="center"/>
        </w:trPr>
        <w:tc>
          <w:tcPr>
            <w:tcW w:w="3940" w:type="dxa"/>
            <w:tcBorders>
              <w:right w:val="nil"/>
            </w:tcBorders>
            <w:shd w:val="clear" w:color="auto" w:fill="auto"/>
            <w:noWrap/>
            <w:hideMark/>
          </w:tcPr>
          <w:p w14:paraId="40C36D39"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Impuestos</w:t>
            </w:r>
          </w:p>
        </w:tc>
        <w:tc>
          <w:tcPr>
            <w:tcW w:w="1700" w:type="dxa"/>
            <w:tcBorders>
              <w:left w:val="nil"/>
            </w:tcBorders>
            <w:shd w:val="clear" w:color="auto" w:fill="auto"/>
            <w:noWrap/>
            <w:hideMark/>
          </w:tcPr>
          <w:p w14:paraId="2441F010"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259,4</w:t>
            </w:r>
          </w:p>
        </w:tc>
      </w:tr>
      <w:tr w:rsidR="00CA1086" w:rsidRPr="004E6455" w14:paraId="35A03394" w14:textId="77777777" w:rsidTr="00097F5C">
        <w:trPr>
          <w:trHeight w:val="300"/>
          <w:jc w:val="center"/>
        </w:trPr>
        <w:tc>
          <w:tcPr>
            <w:tcW w:w="3940" w:type="dxa"/>
            <w:tcBorders>
              <w:right w:val="nil"/>
            </w:tcBorders>
            <w:shd w:val="clear" w:color="auto" w:fill="D3DFEE"/>
            <w:noWrap/>
            <w:hideMark/>
          </w:tcPr>
          <w:p w14:paraId="63C68779"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Gastos Corrientes</w:t>
            </w:r>
          </w:p>
        </w:tc>
        <w:tc>
          <w:tcPr>
            <w:tcW w:w="1700" w:type="dxa"/>
            <w:tcBorders>
              <w:left w:val="nil"/>
            </w:tcBorders>
            <w:shd w:val="clear" w:color="auto" w:fill="D3DFEE"/>
            <w:noWrap/>
            <w:hideMark/>
          </w:tcPr>
          <w:p w14:paraId="52482AD6"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1423,8</w:t>
            </w:r>
          </w:p>
        </w:tc>
      </w:tr>
      <w:tr w:rsidR="00CA1086" w:rsidRPr="004E6455" w14:paraId="1B9297BC" w14:textId="77777777" w:rsidTr="00097F5C">
        <w:trPr>
          <w:trHeight w:hRule="exact" w:val="113"/>
          <w:jc w:val="center"/>
        </w:trPr>
        <w:tc>
          <w:tcPr>
            <w:tcW w:w="3940" w:type="dxa"/>
            <w:tcBorders>
              <w:right w:val="nil"/>
            </w:tcBorders>
            <w:shd w:val="clear" w:color="auto" w:fill="auto"/>
            <w:noWrap/>
            <w:hideMark/>
          </w:tcPr>
          <w:p w14:paraId="5DE77474" w14:textId="77777777" w:rsidR="00CA1086" w:rsidRPr="00117BF8" w:rsidRDefault="00CA1086" w:rsidP="00097F5C">
            <w:pPr>
              <w:pStyle w:val="TablaC"/>
              <w:jc w:val="left"/>
              <w:rPr>
                <w:rFonts w:ascii="Arial" w:hAnsi="Arial" w:cs="Arial"/>
                <w:bCs/>
                <w:sz w:val="18"/>
                <w:szCs w:val="18"/>
              </w:rPr>
            </w:pPr>
          </w:p>
        </w:tc>
        <w:tc>
          <w:tcPr>
            <w:tcW w:w="1700" w:type="dxa"/>
            <w:tcBorders>
              <w:left w:val="nil"/>
            </w:tcBorders>
            <w:shd w:val="clear" w:color="auto" w:fill="auto"/>
            <w:noWrap/>
            <w:hideMark/>
          </w:tcPr>
          <w:p w14:paraId="136B6F1E" w14:textId="77777777" w:rsidR="00CA1086" w:rsidRPr="00117BF8" w:rsidRDefault="00CA1086" w:rsidP="00097F5C">
            <w:pPr>
              <w:pStyle w:val="TablaC"/>
              <w:jc w:val="left"/>
              <w:rPr>
                <w:rFonts w:ascii="Arial" w:hAnsi="Arial" w:cs="Arial"/>
                <w:sz w:val="18"/>
                <w:szCs w:val="18"/>
              </w:rPr>
            </w:pPr>
          </w:p>
        </w:tc>
      </w:tr>
      <w:tr w:rsidR="00CA1086" w:rsidRPr="004E6455" w14:paraId="6E659827" w14:textId="77777777" w:rsidTr="00097F5C">
        <w:trPr>
          <w:trHeight w:val="300"/>
          <w:jc w:val="center"/>
        </w:trPr>
        <w:tc>
          <w:tcPr>
            <w:tcW w:w="3940" w:type="dxa"/>
            <w:tcBorders>
              <w:right w:val="nil"/>
            </w:tcBorders>
            <w:shd w:val="clear" w:color="auto" w:fill="D3DFEE"/>
            <w:noWrap/>
            <w:hideMark/>
          </w:tcPr>
          <w:p w14:paraId="61D3C5DC"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Resultado Económico</w:t>
            </w:r>
          </w:p>
        </w:tc>
        <w:tc>
          <w:tcPr>
            <w:tcW w:w="1700" w:type="dxa"/>
            <w:tcBorders>
              <w:left w:val="nil"/>
            </w:tcBorders>
            <w:shd w:val="clear" w:color="auto" w:fill="D3DFEE"/>
            <w:noWrap/>
            <w:hideMark/>
          </w:tcPr>
          <w:p w14:paraId="145A7C77"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416,3</w:t>
            </w:r>
          </w:p>
        </w:tc>
      </w:tr>
      <w:tr w:rsidR="00CA1086" w:rsidRPr="004E6455" w14:paraId="7F3BF476" w14:textId="77777777" w:rsidTr="00097F5C">
        <w:trPr>
          <w:trHeight w:hRule="exact" w:val="113"/>
          <w:jc w:val="center"/>
        </w:trPr>
        <w:tc>
          <w:tcPr>
            <w:tcW w:w="3940" w:type="dxa"/>
            <w:tcBorders>
              <w:right w:val="nil"/>
            </w:tcBorders>
            <w:shd w:val="clear" w:color="auto" w:fill="auto"/>
            <w:noWrap/>
            <w:hideMark/>
          </w:tcPr>
          <w:p w14:paraId="4A8AEF7A" w14:textId="77777777" w:rsidR="00CA1086" w:rsidRPr="00117BF8" w:rsidRDefault="00CA1086" w:rsidP="00097F5C">
            <w:pPr>
              <w:pStyle w:val="TablaC"/>
              <w:jc w:val="left"/>
              <w:rPr>
                <w:rFonts w:ascii="Arial" w:hAnsi="Arial" w:cs="Arial"/>
                <w:bCs/>
                <w:sz w:val="18"/>
                <w:szCs w:val="18"/>
              </w:rPr>
            </w:pPr>
          </w:p>
        </w:tc>
        <w:tc>
          <w:tcPr>
            <w:tcW w:w="1700" w:type="dxa"/>
            <w:tcBorders>
              <w:left w:val="nil"/>
            </w:tcBorders>
            <w:shd w:val="clear" w:color="auto" w:fill="auto"/>
            <w:noWrap/>
            <w:hideMark/>
          </w:tcPr>
          <w:p w14:paraId="4F11F6F5" w14:textId="77777777" w:rsidR="00CA1086" w:rsidRPr="00117BF8" w:rsidRDefault="00CA1086" w:rsidP="00AD2CC2">
            <w:pPr>
              <w:pStyle w:val="TablaC"/>
              <w:rPr>
                <w:rFonts w:ascii="Arial" w:hAnsi="Arial" w:cs="Arial"/>
                <w:sz w:val="18"/>
                <w:szCs w:val="18"/>
              </w:rPr>
            </w:pPr>
          </w:p>
        </w:tc>
      </w:tr>
      <w:tr w:rsidR="00CA1086" w:rsidRPr="004E6455" w14:paraId="185804E6" w14:textId="77777777" w:rsidTr="00097F5C">
        <w:trPr>
          <w:trHeight w:val="300"/>
          <w:jc w:val="center"/>
        </w:trPr>
        <w:tc>
          <w:tcPr>
            <w:tcW w:w="3940" w:type="dxa"/>
            <w:tcBorders>
              <w:right w:val="nil"/>
            </w:tcBorders>
            <w:shd w:val="clear" w:color="auto" w:fill="D3DFEE"/>
            <w:noWrap/>
            <w:hideMark/>
          </w:tcPr>
          <w:p w14:paraId="3A1E3C71" w14:textId="77777777" w:rsidR="00CA1086" w:rsidRPr="00117BF8" w:rsidRDefault="00CA1086" w:rsidP="00097F5C">
            <w:pPr>
              <w:pStyle w:val="TablaC"/>
              <w:jc w:val="left"/>
              <w:rPr>
                <w:rFonts w:ascii="Arial" w:hAnsi="Arial" w:cs="Arial"/>
                <w:bCs/>
                <w:sz w:val="18"/>
                <w:szCs w:val="18"/>
                <w:lang w:val="es-ES_tradnl"/>
              </w:rPr>
            </w:pPr>
            <w:r w:rsidRPr="00117BF8">
              <w:rPr>
                <w:rFonts w:ascii="Arial" w:hAnsi="Arial" w:cs="Arial"/>
                <w:bCs/>
                <w:sz w:val="18"/>
                <w:szCs w:val="18"/>
                <w:lang w:val="es-ES_tradnl"/>
              </w:rPr>
              <w:t>Formación Bruta de Capital Fijo</w:t>
            </w:r>
          </w:p>
        </w:tc>
        <w:tc>
          <w:tcPr>
            <w:tcW w:w="1700" w:type="dxa"/>
            <w:tcBorders>
              <w:left w:val="nil"/>
            </w:tcBorders>
            <w:shd w:val="clear" w:color="auto" w:fill="D3DFEE"/>
            <w:noWrap/>
            <w:hideMark/>
          </w:tcPr>
          <w:p w14:paraId="35019258"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180,1</w:t>
            </w:r>
          </w:p>
        </w:tc>
      </w:tr>
      <w:tr w:rsidR="00CA1086" w:rsidRPr="004E6455" w14:paraId="16A9FE4C" w14:textId="77777777" w:rsidTr="00097F5C">
        <w:trPr>
          <w:trHeight w:val="300"/>
          <w:jc w:val="center"/>
        </w:trPr>
        <w:tc>
          <w:tcPr>
            <w:tcW w:w="3940" w:type="dxa"/>
            <w:tcBorders>
              <w:right w:val="nil"/>
            </w:tcBorders>
            <w:shd w:val="clear" w:color="auto" w:fill="auto"/>
            <w:noWrap/>
            <w:hideMark/>
          </w:tcPr>
          <w:p w14:paraId="03C0B79C"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Gastos de Capital</w:t>
            </w:r>
          </w:p>
        </w:tc>
        <w:tc>
          <w:tcPr>
            <w:tcW w:w="1700" w:type="dxa"/>
            <w:tcBorders>
              <w:left w:val="nil"/>
            </w:tcBorders>
            <w:shd w:val="clear" w:color="auto" w:fill="auto"/>
            <w:noWrap/>
            <w:hideMark/>
          </w:tcPr>
          <w:p w14:paraId="13509D2A"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180,1</w:t>
            </w:r>
          </w:p>
        </w:tc>
      </w:tr>
      <w:tr w:rsidR="00CA1086" w:rsidRPr="004E6455" w14:paraId="2DEEC8BA" w14:textId="77777777" w:rsidTr="00097F5C">
        <w:trPr>
          <w:trHeight w:hRule="exact" w:val="113"/>
          <w:jc w:val="center"/>
        </w:trPr>
        <w:tc>
          <w:tcPr>
            <w:tcW w:w="3940" w:type="dxa"/>
            <w:tcBorders>
              <w:right w:val="nil"/>
            </w:tcBorders>
            <w:shd w:val="clear" w:color="auto" w:fill="D3DFEE"/>
            <w:noWrap/>
            <w:hideMark/>
          </w:tcPr>
          <w:p w14:paraId="128D5944" w14:textId="77777777" w:rsidR="00CA1086" w:rsidRPr="00117BF8" w:rsidRDefault="00CA1086" w:rsidP="00097F5C">
            <w:pPr>
              <w:pStyle w:val="TablaC"/>
              <w:jc w:val="left"/>
              <w:rPr>
                <w:rFonts w:ascii="Arial" w:hAnsi="Arial" w:cs="Arial"/>
                <w:bCs/>
                <w:sz w:val="18"/>
                <w:szCs w:val="18"/>
              </w:rPr>
            </w:pPr>
          </w:p>
        </w:tc>
        <w:tc>
          <w:tcPr>
            <w:tcW w:w="1700" w:type="dxa"/>
            <w:tcBorders>
              <w:left w:val="nil"/>
            </w:tcBorders>
            <w:shd w:val="clear" w:color="auto" w:fill="D3DFEE"/>
            <w:noWrap/>
            <w:hideMark/>
          </w:tcPr>
          <w:p w14:paraId="53A64D42" w14:textId="77777777" w:rsidR="00CA1086" w:rsidRPr="00117BF8" w:rsidRDefault="00CA1086" w:rsidP="00AD2CC2">
            <w:pPr>
              <w:pStyle w:val="TablaC"/>
              <w:rPr>
                <w:rFonts w:ascii="Arial" w:hAnsi="Arial" w:cs="Arial"/>
                <w:sz w:val="18"/>
                <w:szCs w:val="18"/>
              </w:rPr>
            </w:pPr>
          </w:p>
        </w:tc>
      </w:tr>
      <w:tr w:rsidR="00CA1086" w:rsidRPr="004E6455" w14:paraId="492BF625" w14:textId="77777777" w:rsidTr="00097F5C">
        <w:trPr>
          <w:trHeight w:val="300"/>
          <w:jc w:val="center"/>
        </w:trPr>
        <w:tc>
          <w:tcPr>
            <w:tcW w:w="3940" w:type="dxa"/>
            <w:tcBorders>
              <w:right w:val="nil"/>
            </w:tcBorders>
            <w:shd w:val="clear" w:color="auto" w:fill="auto"/>
            <w:noWrap/>
            <w:hideMark/>
          </w:tcPr>
          <w:p w14:paraId="3C9742B0"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Resultado Financiero</w:t>
            </w:r>
          </w:p>
        </w:tc>
        <w:tc>
          <w:tcPr>
            <w:tcW w:w="1700" w:type="dxa"/>
            <w:tcBorders>
              <w:left w:val="nil"/>
            </w:tcBorders>
            <w:shd w:val="clear" w:color="auto" w:fill="auto"/>
            <w:noWrap/>
            <w:hideMark/>
          </w:tcPr>
          <w:p w14:paraId="11E63FD8"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236,2</w:t>
            </w:r>
          </w:p>
        </w:tc>
      </w:tr>
      <w:tr w:rsidR="00CA1086" w:rsidRPr="004E6455" w14:paraId="0BA11793" w14:textId="77777777" w:rsidTr="00097F5C">
        <w:trPr>
          <w:trHeight w:hRule="exact" w:val="113"/>
          <w:jc w:val="center"/>
        </w:trPr>
        <w:tc>
          <w:tcPr>
            <w:tcW w:w="3940" w:type="dxa"/>
            <w:tcBorders>
              <w:right w:val="nil"/>
            </w:tcBorders>
            <w:shd w:val="clear" w:color="auto" w:fill="D3DFEE"/>
            <w:noWrap/>
            <w:hideMark/>
          </w:tcPr>
          <w:p w14:paraId="368EB785" w14:textId="77777777" w:rsidR="00CA1086" w:rsidRPr="00117BF8" w:rsidRDefault="00CA1086" w:rsidP="00097F5C">
            <w:pPr>
              <w:pStyle w:val="TablaC"/>
              <w:jc w:val="left"/>
              <w:rPr>
                <w:rFonts w:ascii="Arial" w:hAnsi="Arial" w:cs="Arial"/>
                <w:bCs/>
                <w:sz w:val="18"/>
                <w:szCs w:val="18"/>
              </w:rPr>
            </w:pPr>
          </w:p>
        </w:tc>
        <w:tc>
          <w:tcPr>
            <w:tcW w:w="1700" w:type="dxa"/>
            <w:tcBorders>
              <w:left w:val="nil"/>
            </w:tcBorders>
            <w:shd w:val="clear" w:color="auto" w:fill="D3DFEE"/>
            <w:noWrap/>
            <w:hideMark/>
          </w:tcPr>
          <w:p w14:paraId="1C232722" w14:textId="77777777" w:rsidR="00CA1086" w:rsidRPr="00117BF8" w:rsidRDefault="00CA1086" w:rsidP="00AD2CC2">
            <w:pPr>
              <w:pStyle w:val="TablaC"/>
              <w:rPr>
                <w:rFonts w:ascii="Arial" w:hAnsi="Arial" w:cs="Arial"/>
                <w:sz w:val="18"/>
                <w:szCs w:val="18"/>
              </w:rPr>
            </w:pPr>
          </w:p>
        </w:tc>
      </w:tr>
      <w:tr w:rsidR="00CA1086" w:rsidRPr="004E6455" w14:paraId="53289659" w14:textId="77777777" w:rsidTr="00097F5C">
        <w:trPr>
          <w:trHeight w:val="300"/>
          <w:jc w:val="center"/>
        </w:trPr>
        <w:tc>
          <w:tcPr>
            <w:tcW w:w="3940" w:type="dxa"/>
            <w:tcBorders>
              <w:right w:val="nil"/>
            </w:tcBorders>
            <w:shd w:val="clear" w:color="auto" w:fill="auto"/>
            <w:noWrap/>
            <w:hideMark/>
          </w:tcPr>
          <w:p w14:paraId="3E121C2C" w14:textId="77777777" w:rsidR="00CA1086" w:rsidRPr="00117BF8" w:rsidRDefault="00CA1086" w:rsidP="00097F5C">
            <w:pPr>
              <w:pStyle w:val="TablaC"/>
              <w:jc w:val="left"/>
              <w:rPr>
                <w:rFonts w:ascii="Arial" w:hAnsi="Arial" w:cs="Arial"/>
                <w:bCs/>
                <w:sz w:val="18"/>
                <w:szCs w:val="18"/>
                <w:lang w:val="es-ES_tradnl"/>
              </w:rPr>
            </w:pPr>
            <w:r w:rsidRPr="00117BF8">
              <w:rPr>
                <w:rFonts w:ascii="Arial" w:hAnsi="Arial" w:cs="Arial"/>
                <w:bCs/>
                <w:sz w:val="18"/>
                <w:szCs w:val="18"/>
                <w:lang w:val="es-ES_tradnl"/>
              </w:rPr>
              <w:t>Incremento de Otros Activos Financieros</w:t>
            </w:r>
          </w:p>
        </w:tc>
        <w:tc>
          <w:tcPr>
            <w:tcW w:w="1700" w:type="dxa"/>
            <w:tcBorders>
              <w:left w:val="nil"/>
            </w:tcBorders>
            <w:shd w:val="clear" w:color="auto" w:fill="auto"/>
            <w:noWrap/>
            <w:hideMark/>
          </w:tcPr>
          <w:p w14:paraId="57CF9F8C"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236,2</w:t>
            </w:r>
          </w:p>
        </w:tc>
      </w:tr>
      <w:tr w:rsidR="00CA1086" w:rsidRPr="004E6455" w14:paraId="5DA76672" w14:textId="77777777" w:rsidTr="00097F5C">
        <w:trPr>
          <w:trHeight w:hRule="exact" w:val="113"/>
          <w:jc w:val="center"/>
        </w:trPr>
        <w:tc>
          <w:tcPr>
            <w:tcW w:w="3940" w:type="dxa"/>
            <w:tcBorders>
              <w:right w:val="nil"/>
            </w:tcBorders>
            <w:shd w:val="clear" w:color="auto" w:fill="D3DFEE"/>
            <w:noWrap/>
            <w:hideMark/>
          </w:tcPr>
          <w:p w14:paraId="571CC207" w14:textId="77777777" w:rsidR="00CA1086" w:rsidRPr="00117BF8" w:rsidRDefault="00CA1086" w:rsidP="00097F5C">
            <w:pPr>
              <w:pStyle w:val="TablaC"/>
              <w:jc w:val="left"/>
              <w:rPr>
                <w:rFonts w:ascii="Arial" w:hAnsi="Arial" w:cs="Arial"/>
                <w:bCs/>
                <w:sz w:val="18"/>
                <w:szCs w:val="18"/>
              </w:rPr>
            </w:pPr>
          </w:p>
        </w:tc>
        <w:tc>
          <w:tcPr>
            <w:tcW w:w="1700" w:type="dxa"/>
            <w:tcBorders>
              <w:left w:val="nil"/>
            </w:tcBorders>
            <w:shd w:val="clear" w:color="auto" w:fill="D3DFEE"/>
            <w:noWrap/>
            <w:hideMark/>
          </w:tcPr>
          <w:p w14:paraId="054C5D64" w14:textId="77777777" w:rsidR="00CA1086" w:rsidRPr="00117BF8" w:rsidRDefault="00CA1086" w:rsidP="00AD2CC2">
            <w:pPr>
              <w:pStyle w:val="TablaC"/>
              <w:rPr>
                <w:rFonts w:ascii="Arial" w:hAnsi="Arial" w:cs="Arial"/>
                <w:sz w:val="18"/>
                <w:szCs w:val="18"/>
              </w:rPr>
            </w:pPr>
          </w:p>
        </w:tc>
      </w:tr>
      <w:tr w:rsidR="00CA1086" w:rsidRPr="004E6455" w14:paraId="1294C5F3" w14:textId="77777777" w:rsidTr="00097F5C">
        <w:trPr>
          <w:trHeight w:val="300"/>
          <w:jc w:val="center"/>
        </w:trPr>
        <w:tc>
          <w:tcPr>
            <w:tcW w:w="3940" w:type="dxa"/>
            <w:tcBorders>
              <w:right w:val="nil"/>
            </w:tcBorders>
            <w:shd w:val="clear" w:color="auto" w:fill="auto"/>
            <w:noWrap/>
            <w:hideMark/>
          </w:tcPr>
          <w:p w14:paraId="7A120830" w14:textId="77777777" w:rsidR="00CA1086" w:rsidRPr="00117BF8" w:rsidRDefault="00CA1086" w:rsidP="00097F5C">
            <w:pPr>
              <w:pStyle w:val="TablaC"/>
              <w:jc w:val="left"/>
              <w:rPr>
                <w:rFonts w:ascii="Arial" w:hAnsi="Arial" w:cs="Arial"/>
                <w:bCs/>
                <w:sz w:val="18"/>
                <w:szCs w:val="18"/>
              </w:rPr>
            </w:pPr>
            <w:r w:rsidRPr="00117BF8">
              <w:rPr>
                <w:rFonts w:ascii="Arial" w:hAnsi="Arial" w:cs="Arial"/>
                <w:bCs/>
                <w:sz w:val="18"/>
                <w:szCs w:val="18"/>
              </w:rPr>
              <w:t>Financiamiento Neto</w:t>
            </w:r>
          </w:p>
        </w:tc>
        <w:tc>
          <w:tcPr>
            <w:tcW w:w="1700" w:type="dxa"/>
            <w:tcBorders>
              <w:left w:val="nil"/>
            </w:tcBorders>
            <w:shd w:val="clear" w:color="auto" w:fill="auto"/>
            <w:noWrap/>
            <w:hideMark/>
          </w:tcPr>
          <w:p w14:paraId="20D12568" w14:textId="77777777" w:rsidR="00CA1086" w:rsidRPr="00117BF8" w:rsidRDefault="00CA1086" w:rsidP="00AD2CC2">
            <w:pPr>
              <w:pStyle w:val="TablaC"/>
              <w:rPr>
                <w:rFonts w:ascii="Arial" w:hAnsi="Arial" w:cs="Arial"/>
                <w:sz w:val="18"/>
                <w:szCs w:val="18"/>
              </w:rPr>
            </w:pPr>
            <w:r w:rsidRPr="00117BF8">
              <w:rPr>
                <w:rFonts w:ascii="Arial" w:hAnsi="Arial" w:cs="Arial"/>
                <w:sz w:val="18"/>
                <w:szCs w:val="18"/>
              </w:rPr>
              <w:t>0</w:t>
            </w:r>
          </w:p>
        </w:tc>
      </w:tr>
    </w:tbl>
    <w:p w14:paraId="707AB379" w14:textId="77777777" w:rsidR="00CA1086" w:rsidRPr="00117BF8" w:rsidRDefault="0040400E" w:rsidP="00117BF8">
      <w:pPr>
        <w:pStyle w:val="Hfuente"/>
        <w:ind w:left="708" w:firstLine="708"/>
        <w:rPr>
          <w:rFonts w:ascii="Arial" w:eastAsia="Calibri" w:hAnsi="Arial" w:cs="Arial"/>
          <w:sz w:val="18"/>
          <w:szCs w:val="18"/>
        </w:rPr>
      </w:pPr>
      <w:r w:rsidRPr="00117BF8">
        <w:rPr>
          <w:rFonts w:ascii="Arial" w:eastAsia="Calibri" w:hAnsi="Arial" w:cs="Arial"/>
          <w:sz w:val="18"/>
          <w:szCs w:val="18"/>
        </w:rPr>
        <w:t>Fuente: Presupuesto 2017</w:t>
      </w:r>
    </w:p>
    <w:p w14:paraId="2E440BA4" w14:textId="77777777" w:rsidR="0080301A" w:rsidRPr="00117BF8" w:rsidRDefault="0080301A" w:rsidP="00117BF8">
      <w:pPr>
        <w:pStyle w:val="Heading2"/>
        <w:spacing w:before="0" w:after="180"/>
        <w:rPr>
          <w:rFonts w:ascii="Arial" w:hAnsi="Arial" w:cs="Arial"/>
          <w:sz w:val="22"/>
          <w:szCs w:val="22"/>
        </w:rPr>
      </w:pPr>
      <w:bookmarkStart w:id="90" w:name="_Toc494040328"/>
      <w:bookmarkStart w:id="91" w:name="_Toc488332321"/>
      <w:r w:rsidRPr="00117BF8">
        <w:rPr>
          <w:rFonts w:ascii="Arial" w:hAnsi="Arial" w:cs="Arial"/>
          <w:sz w:val="22"/>
          <w:szCs w:val="22"/>
        </w:rPr>
        <w:t>Impacto de los Gastos de Capital</w:t>
      </w:r>
      <w:bookmarkEnd w:id="90"/>
    </w:p>
    <w:p w14:paraId="037F4E9A" w14:textId="77777777" w:rsidR="0080301A" w:rsidRPr="00117BF8" w:rsidRDefault="0080301A">
      <w:pPr>
        <w:pStyle w:val="hsa"/>
        <w:rPr>
          <w:rFonts w:ascii="Arial" w:hAnsi="Arial" w:cs="Arial"/>
          <w:sz w:val="22"/>
          <w:szCs w:val="22"/>
        </w:rPr>
      </w:pPr>
      <w:r w:rsidRPr="00117BF8">
        <w:rPr>
          <w:rFonts w:ascii="Arial" w:hAnsi="Arial" w:cs="Arial"/>
          <w:sz w:val="22"/>
          <w:szCs w:val="22"/>
        </w:rPr>
        <w:t>En el capítulo “</w:t>
      </w:r>
      <w:r w:rsidRPr="00117BF8">
        <w:rPr>
          <w:rFonts w:ascii="Arial" w:hAnsi="Arial" w:cs="Arial"/>
          <w:sz w:val="22"/>
          <w:szCs w:val="22"/>
        </w:rPr>
        <w:fldChar w:fldCharType="begin"/>
      </w:r>
      <w:r w:rsidRPr="00117BF8">
        <w:rPr>
          <w:rFonts w:ascii="Arial" w:hAnsi="Arial" w:cs="Arial"/>
          <w:sz w:val="22"/>
          <w:szCs w:val="22"/>
        </w:rPr>
        <w:instrText xml:space="preserve"> REF _Ref493527519 \h  \* MERGEFORMAT </w:instrText>
      </w:r>
      <w:r w:rsidRPr="00117BF8">
        <w:rPr>
          <w:rFonts w:ascii="Arial" w:hAnsi="Arial" w:cs="Arial"/>
          <w:sz w:val="22"/>
          <w:szCs w:val="22"/>
        </w:rPr>
      </w:r>
      <w:r w:rsidRPr="00117BF8">
        <w:rPr>
          <w:rFonts w:ascii="Arial" w:hAnsi="Arial" w:cs="Arial"/>
          <w:sz w:val="22"/>
          <w:szCs w:val="22"/>
        </w:rPr>
        <w:fldChar w:fldCharType="separate"/>
      </w:r>
      <w:r w:rsidRPr="00117BF8">
        <w:rPr>
          <w:rFonts w:ascii="Arial" w:hAnsi="Arial" w:cs="Arial"/>
          <w:sz w:val="22"/>
          <w:szCs w:val="22"/>
        </w:rPr>
        <w:t>Proyecciones Fiscales de la Provincia de Buenos Aires</w:t>
      </w:r>
      <w:r w:rsidRPr="00117BF8">
        <w:rPr>
          <w:rFonts w:ascii="Arial" w:hAnsi="Arial" w:cs="Arial"/>
          <w:sz w:val="22"/>
          <w:szCs w:val="22"/>
        </w:rPr>
        <w:fldChar w:fldCharType="end"/>
      </w:r>
      <w:r w:rsidRPr="00117BF8">
        <w:rPr>
          <w:rFonts w:ascii="Arial" w:hAnsi="Arial" w:cs="Arial"/>
          <w:sz w:val="22"/>
          <w:szCs w:val="22"/>
        </w:rPr>
        <w:t xml:space="preserve">” se </w:t>
      </w:r>
      <w:r w:rsidR="008558CC" w:rsidRPr="00117BF8">
        <w:rPr>
          <w:rFonts w:ascii="Arial" w:hAnsi="Arial" w:cs="Arial"/>
          <w:sz w:val="22"/>
          <w:szCs w:val="22"/>
        </w:rPr>
        <w:t>analizan</w:t>
      </w:r>
      <w:r w:rsidRPr="00117BF8">
        <w:rPr>
          <w:rFonts w:ascii="Arial" w:hAnsi="Arial" w:cs="Arial"/>
          <w:sz w:val="22"/>
          <w:szCs w:val="22"/>
        </w:rPr>
        <w:t xml:space="preserve"> las elaboradas por La Provincia y las propias denominadas “Alternativas”. En lo referente a los gastos de Capital la única diferencia es que las proyecciones Alternativas incorporan los </w:t>
      </w:r>
      <w:r w:rsidR="00B346CF" w:rsidRPr="00117BF8">
        <w:rPr>
          <w:rFonts w:ascii="Arial" w:hAnsi="Arial" w:cs="Arial"/>
          <w:sz w:val="22"/>
          <w:szCs w:val="22"/>
        </w:rPr>
        <w:t xml:space="preserve">gastos </w:t>
      </w:r>
      <w:r w:rsidR="00DB1B32" w:rsidRPr="00117BF8">
        <w:rPr>
          <w:rFonts w:ascii="Arial" w:hAnsi="Arial" w:cs="Arial"/>
          <w:sz w:val="22"/>
          <w:szCs w:val="22"/>
        </w:rPr>
        <w:t>originados en l</w:t>
      </w:r>
      <w:r w:rsidRPr="00117BF8">
        <w:rPr>
          <w:rFonts w:ascii="Arial" w:hAnsi="Arial" w:cs="Arial"/>
          <w:sz w:val="22"/>
          <w:szCs w:val="22"/>
        </w:rPr>
        <w:t xml:space="preserve">as Operaciones. En la tabla </w:t>
      </w:r>
      <w:r w:rsidR="008558CC" w:rsidRPr="00117BF8">
        <w:rPr>
          <w:rFonts w:ascii="Arial" w:hAnsi="Arial" w:cs="Arial"/>
          <w:sz w:val="22"/>
          <w:szCs w:val="22"/>
        </w:rPr>
        <w:t>36</w:t>
      </w:r>
      <w:r w:rsidRPr="00117BF8">
        <w:rPr>
          <w:rFonts w:ascii="Arial" w:hAnsi="Arial" w:cs="Arial"/>
          <w:sz w:val="22"/>
          <w:szCs w:val="22"/>
        </w:rPr>
        <w:t xml:space="preserve"> se indica la significación de las inversiones sobre los montos presupuestados</w:t>
      </w:r>
      <w:r w:rsidR="00DB1B32" w:rsidRPr="00117BF8">
        <w:rPr>
          <w:rFonts w:ascii="Arial" w:hAnsi="Arial" w:cs="Arial"/>
          <w:sz w:val="22"/>
          <w:szCs w:val="22"/>
        </w:rPr>
        <w:t xml:space="preserve"> por la Provincia</w:t>
      </w:r>
      <w:r w:rsidRPr="00117BF8">
        <w:rPr>
          <w:rFonts w:ascii="Arial" w:hAnsi="Arial" w:cs="Arial"/>
          <w:sz w:val="22"/>
          <w:szCs w:val="22"/>
        </w:rPr>
        <w:t>, dife</w:t>
      </w:r>
      <w:r w:rsidR="00B346CF" w:rsidRPr="00117BF8">
        <w:rPr>
          <w:rFonts w:ascii="Arial" w:hAnsi="Arial" w:cs="Arial"/>
          <w:sz w:val="22"/>
          <w:szCs w:val="22"/>
        </w:rPr>
        <w:t>re</w:t>
      </w:r>
      <w:r w:rsidRPr="00117BF8">
        <w:rPr>
          <w:rFonts w:ascii="Arial" w:hAnsi="Arial" w:cs="Arial"/>
          <w:sz w:val="22"/>
          <w:szCs w:val="22"/>
        </w:rPr>
        <w:t>ncia</w:t>
      </w:r>
      <w:r w:rsidR="00B346CF" w:rsidRPr="00117BF8">
        <w:rPr>
          <w:rFonts w:ascii="Arial" w:hAnsi="Arial" w:cs="Arial"/>
          <w:sz w:val="22"/>
          <w:szCs w:val="22"/>
        </w:rPr>
        <w:t>n</w:t>
      </w:r>
      <w:r w:rsidRPr="00117BF8">
        <w:rPr>
          <w:rFonts w:ascii="Arial" w:hAnsi="Arial" w:cs="Arial"/>
          <w:sz w:val="22"/>
          <w:szCs w:val="22"/>
        </w:rPr>
        <w:t xml:space="preserve">do por operación </w:t>
      </w:r>
      <w:r w:rsidR="00DB1B32" w:rsidRPr="00117BF8">
        <w:rPr>
          <w:rFonts w:ascii="Arial" w:hAnsi="Arial" w:cs="Arial"/>
          <w:sz w:val="22"/>
          <w:szCs w:val="22"/>
        </w:rPr>
        <w:t>y</w:t>
      </w:r>
      <w:r w:rsidRPr="00117BF8">
        <w:rPr>
          <w:rFonts w:ascii="Arial" w:hAnsi="Arial" w:cs="Arial"/>
          <w:sz w:val="22"/>
          <w:szCs w:val="22"/>
        </w:rPr>
        <w:t xml:space="preserve"> el origen de los aportes</w:t>
      </w:r>
      <w:r w:rsidR="00020BC2" w:rsidRPr="00117BF8">
        <w:rPr>
          <w:rFonts w:ascii="Arial" w:hAnsi="Arial" w:cs="Arial"/>
          <w:sz w:val="22"/>
          <w:szCs w:val="22"/>
        </w:rPr>
        <w:t>.</w:t>
      </w:r>
    </w:p>
    <w:tbl>
      <w:tblPr>
        <w:tblW w:w="8505"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257"/>
        <w:gridCol w:w="1042"/>
        <w:gridCol w:w="1042"/>
        <w:gridCol w:w="1041"/>
        <w:gridCol w:w="1041"/>
        <w:gridCol w:w="1041"/>
        <w:gridCol w:w="1041"/>
      </w:tblGrid>
      <w:tr w:rsidR="00020BC2" w:rsidRPr="004E6455" w14:paraId="33EA40FD" w14:textId="77777777" w:rsidTr="009F2D78">
        <w:trPr>
          <w:trHeight w:val="300"/>
        </w:trPr>
        <w:tc>
          <w:tcPr>
            <w:tcW w:w="8505" w:type="dxa"/>
            <w:gridSpan w:val="7"/>
            <w:tcBorders>
              <w:top w:val="single" w:sz="8" w:space="0" w:color="7BA0CD"/>
              <w:left w:val="single" w:sz="8" w:space="0" w:color="7BA0CD"/>
              <w:bottom w:val="single" w:sz="8" w:space="0" w:color="7BA0CD"/>
              <w:right w:val="single" w:sz="8" w:space="0" w:color="7BA0CD"/>
            </w:tcBorders>
            <w:shd w:val="clear" w:color="auto" w:fill="0070C0"/>
            <w:noWrap/>
          </w:tcPr>
          <w:p w14:paraId="45F70A04" w14:textId="15D5CE96" w:rsidR="00020BC2" w:rsidRPr="00117BF8" w:rsidRDefault="00020BC2" w:rsidP="00020BC2">
            <w:pPr>
              <w:pStyle w:val="TablaT"/>
              <w:rPr>
                <w:rFonts w:ascii="Arial" w:hAnsi="Arial" w:cs="Arial"/>
                <w:bCs/>
                <w:sz w:val="22"/>
                <w:szCs w:val="22"/>
                <w:lang w:val="es-ES_tradnl"/>
              </w:rPr>
            </w:pPr>
            <w:bookmarkStart w:id="92" w:name="_Toc493861146"/>
            <w:r w:rsidRPr="00117BF8">
              <w:rPr>
                <w:rFonts w:ascii="Arial" w:hAnsi="Arial" w:cs="Arial"/>
                <w:bCs/>
                <w:sz w:val="22"/>
                <w:szCs w:val="22"/>
                <w:lang w:val="es-ES_tradnl"/>
              </w:rPr>
              <w:t xml:space="preserve">Tabla </w:t>
            </w:r>
            <w:r w:rsidR="008558CC" w:rsidRPr="00117BF8">
              <w:rPr>
                <w:rFonts w:ascii="Arial" w:hAnsi="Arial" w:cs="Arial"/>
                <w:bCs/>
                <w:sz w:val="22"/>
                <w:szCs w:val="22"/>
                <w:lang w:val="es-ES_tradnl"/>
              </w:rPr>
              <w:t xml:space="preserve">36 </w:t>
            </w:r>
            <w:r w:rsidRPr="00117BF8">
              <w:rPr>
                <w:rFonts w:ascii="Arial" w:hAnsi="Arial" w:cs="Arial"/>
                <w:bCs/>
                <w:sz w:val="22"/>
                <w:szCs w:val="22"/>
                <w:lang w:val="es-ES_tradnl"/>
              </w:rPr>
              <w:t>– Gasto de Capital: Impacto de las Operaciones BID</w:t>
            </w:r>
            <w:bookmarkEnd w:id="92"/>
          </w:p>
          <w:p w14:paraId="31480B67" w14:textId="77777777" w:rsidR="00020BC2" w:rsidRPr="00117BF8" w:rsidRDefault="00020BC2" w:rsidP="00020BC2">
            <w:pPr>
              <w:pStyle w:val="TablaC"/>
              <w:rPr>
                <w:rFonts w:ascii="Arial" w:hAnsi="Arial" w:cs="Arial"/>
                <w:color w:val="FFFFFF"/>
                <w:szCs w:val="22"/>
                <w:lang w:val="es-ES_tradnl"/>
              </w:rPr>
            </w:pPr>
            <w:r w:rsidRPr="00117BF8">
              <w:rPr>
                <w:rFonts w:ascii="Arial" w:hAnsi="Arial" w:cs="Arial"/>
                <w:color w:val="FFFFFF"/>
                <w:szCs w:val="22"/>
                <w:lang w:val="es-ES_tradnl"/>
              </w:rPr>
              <w:t>Porcentajes sobre las Proyecciones de la Provincia</w:t>
            </w:r>
          </w:p>
        </w:tc>
      </w:tr>
      <w:tr w:rsidR="009F2D78" w:rsidRPr="004E6455" w14:paraId="29B9AAEA" w14:textId="77777777" w:rsidTr="009F2D78">
        <w:trPr>
          <w:trHeight w:val="300"/>
        </w:trPr>
        <w:tc>
          <w:tcPr>
            <w:tcW w:w="2257" w:type="dxa"/>
            <w:tcBorders>
              <w:right w:val="nil"/>
            </w:tcBorders>
            <w:shd w:val="clear" w:color="auto" w:fill="0070C0"/>
            <w:noWrap/>
            <w:hideMark/>
          </w:tcPr>
          <w:p w14:paraId="3CCC0A32" w14:textId="77777777" w:rsidR="0080301A" w:rsidRPr="00117BF8" w:rsidRDefault="0080301A" w:rsidP="00020BC2">
            <w:pPr>
              <w:pStyle w:val="TablaE"/>
              <w:rPr>
                <w:rFonts w:ascii="Arial" w:eastAsia="Calibri" w:hAnsi="Arial" w:cs="Arial"/>
                <w:b w:val="0"/>
                <w:bCs/>
                <w:sz w:val="22"/>
                <w:szCs w:val="22"/>
              </w:rPr>
            </w:pPr>
          </w:p>
        </w:tc>
        <w:tc>
          <w:tcPr>
            <w:tcW w:w="1042" w:type="dxa"/>
            <w:tcBorders>
              <w:left w:val="nil"/>
              <w:right w:val="nil"/>
            </w:tcBorders>
            <w:shd w:val="clear" w:color="auto" w:fill="0070C0"/>
            <w:noWrap/>
            <w:hideMark/>
          </w:tcPr>
          <w:p w14:paraId="7AAFE34C" w14:textId="77777777" w:rsidR="0080301A" w:rsidRPr="00117BF8" w:rsidRDefault="0080301A" w:rsidP="00020BC2">
            <w:pPr>
              <w:pStyle w:val="TablaE"/>
              <w:rPr>
                <w:rFonts w:ascii="Arial" w:eastAsia="Calibri" w:hAnsi="Arial" w:cs="Arial"/>
                <w:sz w:val="22"/>
                <w:szCs w:val="22"/>
              </w:rPr>
            </w:pPr>
            <w:r w:rsidRPr="00117BF8">
              <w:rPr>
                <w:rFonts w:ascii="Arial" w:hAnsi="Arial" w:cs="Arial"/>
                <w:sz w:val="22"/>
                <w:szCs w:val="22"/>
              </w:rPr>
              <w:t>2017</w:t>
            </w:r>
          </w:p>
        </w:tc>
        <w:tc>
          <w:tcPr>
            <w:tcW w:w="1042" w:type="dxa"/>
            <w:tcBorders>
              <w:left w:val="nil"/>
              <w:right w:val="nil"/>
            </w:tcBorders>
            <w:shd w:val="clear" w:color="auto" w:fill="0070C0"/>
            <w:noWrap/>
            <w:hideMark/>
          </w:tcPr>
          <w:p w14:paraId="48AFD138" w14:textId="77777777" w:rsidR="0080301A" w:rsidRPr="00117BF8" w:rsidRDefault="0080301A" w:rsidP="00020BC2">
            <w:pPr>
              <w:pStyle w:val="TablaE"/>
              <w:rPr>
                <w:rFonts w:ascii="Arial" w:eastAsia="Calibri" w:hAnsi="Arial" w:cs="Arial"/>
                <w:sz w:val="22"/>
                <w:szCs w:val="22"/>
              </w:rPr>
            </w:pPr>
            <w:r w:rsidRPr="00117BF8">
              <w:rPr>
                <w:rFonts w:ascii="Arial" w:hAnsi="Arial" w:cs="Arial"/>
                <w:sz w:val="22"/>
                <w:szCs w:val="22"/>
              </w:rPr>
              <w:t>2018</w:t>
            </w:r>
          </w:p>
        </w:tc>
        <w:tc>
          <w:tcPr>
            <w:tcW w:w="1041" w:type="dxa"/>
            <w:tcBorders>
              <w:left w:val="nil"/>
              <w:right w:val="nil"/>
            </w:tcBorders>
            <w:shd w:val="clear" w:color="auto" w:fill="0070C0"/>
            <w:noWrap/>
            <w:hideMark/>
          </w:tcPr>
          <w:p w14:paraId="1BFA3FDE" w14:textId="77777777" w:rsidR="0080301A" w:rsidRPr="00117BF8" w:rsidRDefault="0080301A" w:rsidP="00020BC2">
            <w:pPr>
              <w:pStyle w:val="TablaE"/>
              <w:rPr>
                <w:rFonts w:ascii="Arial" w:eastAsia="Calibri" w:hAnsi="Arial" w:cs="Arial"/>
                <w:sz w:val="22"/>
                <w:szCs w:val="22"/>
              </w:rPr>
            </w:pPr>
            <w:r w:rsidRPr="00117BF8">
              <w:rPr>
                <w:rFonts w:ascii="Arial" w:hAnsi="Arial" w:cs="Arial"/>
                <w:sz w:val="22"/>
                <w:szCs w:val="22"/>
              </w:rPr>
              <w:t>2019</w:t>
            </w:r>
          </w:p>
        </w:tc>
        <w:tc>
          <w:tcPr>
            <w:tcW w:w="1041" w:type="dxa"/>
            <w:tcBorders>
              <w:left w:val="nil"/>
              <w:right w:val="nil"/>
            </w:tcBorders>
            <w:shd w:val="clear" w:color="auto" w:fill="0070C0"/>
            <w:noWrap/>
            <w:hideMark/>
          </w:tcPr>
          <w:p w14:paraId="6A70D80D" w14:textId="77777777" w:rsidR="0080301A" w:rsidRPr="00117BF8" w:rsidRDefault="0080301A" w:rsidP="00020BC2">
            <w:pPr>
              <w:pStyle w:val="TablaE"/>
              <w:rPr>
                <w:rFonts w:ascii="Arial" w:eastAsia="Calibri" w:hAnsi="Arial" w:cs="Arial"/>
                <w:sz w:val="22"/>
                <w:szCs w:val="22"/>
              </w:rPr>
            </w:pPr>
            <w:r w:rsidRPr="00117BF8">
              <w:rPr>
                <w:rFonts w:ascii="Arial" w:hAnsi="Arial" w:cs="Arial"/>
                <w:sz w:val="22"/>
                <w:szCs w:val="22"/>
              </w:rPr>
              <w:t>2020</w:t>
            </w:r>
          </w:p>
        </w:tc>
        <w:tc>
          <w:tcPr>
            <w:tcW w:w="1041" w:type="dxa"/>
            <w:tcBorders>
              <w:left w:val="nil"/>
              <w:right w:val="nil"/>
            </w:tcBorders>
            <w:shd w:val="clear" w:color="auto" w:fill="0070C0"/>
            <w:noWrap/>
            <w:hideMark/>
          </w:tcPr>
          <w:p w14:paraId="061D519A" w14:textId="77777777" w:rsidR="0080301A" w:rsidRPr="00117BF8" w:rsidRDefault="0080301A" w:rsidP="00020BC2">
            <w:pPr>
              <w:pStyle w:val="TablaE"/>
              <w:rPr>
                <w:rFonts w:ascii="Arial" w:eastAsia="Calibri" w:hAnsi="Arial" w:cs="Arial"/>
                <w:sz w:val="22"/>
                <w:szCs w:val="22"/>
              </w:rPr>
            </w:pPr>
            <w:r w:rsidRPr="00117BF8">
              <w:rPr>
                <w:rFonts w:ascii="Arial" w:hAnsi="Arial" w:cs="Arial"/>
                <w:sz w:val="22"/>
                <w:szCs w:val="22"/>
              </w:rPr>
              <w:t>2021</w:t>
            </w:r>
          </w:p>
        </w:tc>
        <w:tc>
          <w:tcPr>
            <w:tcW w:w="1041" w:type="dxa"/>
            <w:tcBorders>
              <w:left w:val="nil"/>
            </w:tcBorders>
            <w:shd w:val="clear" w:color="auto" w:fill="0070C0"/>
            <w:noWrap/>
            <w:hideMark/>
          </w:tcPr>
          <w:p w14:paraId="2DD0437C" w14:textId="77777777" w:rsidR="0080301A" w:rsidRPr="00117BF8" w:rsidRDefault="0080301A" w:rsidP="00020BC2">
            <w:pPr>
              <w:pStyle w:val="TablaE"/>
              <w:rPr>
                <w:rFonts w:ascii="Arial" w:eastAsia="Calibri" w:hAnsi="Arial" w:cs="Arial"/>
                <w:sz w:val="22"/>
                <w:szCs w:val="22"/>
              </w:rPr>
            </w:pPr>
            <w:r w:rsidRPr="00117BF8">
              <w:rPr>
                <w:rFonts w:ascii="Arial" w:hAnsi="Arial" w:cs="Arial"/>
                <w:sz w:val="22"/>
                <w:szCs w:val="22"/>
              </w:rPr>
              <w:t>2022</w:t>
            </w:r>
          </w:p>
        </w:tc>
      </w:tr>
      <w:tr w:rsidR="009F2D78" w:rsidRPr="00AF0E82" w14:paraId="711F98F7" w14:textId="77777777" w:rsidTr="009F2D78">
        <w:trPr>
          <w:trHeight w:val="300"/>
        </w:trPr>
        <w:tc>
          <w:tcPr>
            <w:tcW w:w="2257" w:type="dxa"/>
            <w:tcBorders>
              <w:right w:val="nil"/>
            </w:tcBorders>
            <w:shd w:val="clear" w:color="auto" w:fill="auto"/>
            <w:noWrap/>
            <w:hideMark/>
          </w:tcPr>
          <w:p w14:paraId="52DE95B1" w14:textId="77777777" w:rsidR="0080301A" w:rsidRPr="00117BF8" w:rsidRDefault="0080301A" w:rsidP="009F2D78">
            <w:pPr>
              <w:pStyle w:val="TablaC"/>
              <w:jc w:val="left"/>
              <w:rPr>
                <w:rFonts w:ascii="Arial" w:eastAsia="Calibri" w:hAnsi="Arial" w:cs="Arial"/>
                <w:b/>
                <w:bCs/>
                <w:sz w:val="18"/>
                <w:szCs w:val="18"/>
              </w:rPr>
            </w:pPr>
            <w:r w:rsidRPr="00117BF8">
              <w:rPr>
                <w:rFonts w:ascii="Arial" w:hAnsi="Arial" w:cs="Arial"/>
                <w:b/>
                <w:bCs/>
                <w:sz w:val="18"/>
                <w:szCs w:val="18"/>
              </w:rPr>
              <w:t>Aporte BID AR-L 1272</w:t>
            </w:r>
          </w:p>
        </w:tc>
        <w:tc>
          <w:tcPr>
            <w:tcW w:w="1042" w:type="dxa"/>
            <w:tcBorders>
              <w:left w:val="nil"/>
              <w:right w:val="nil"/>
            </w:tcBorders>
            <w:shd w:val="clear" w:color="auto" w:fill="auto"/>
            <w:noWrap/>
            <w:hideMark/>
          </w:tcPr>
          <w:p w14:paraId="40219A77"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2" w:type="dxa"/>
            <w:tcBorders>
              <w:left w:val="nil"/>
              <w:right w:val="nil"/>
            </w:tcBorders>
            <w:shd w:val="clear" w:color="auto" w:fill="auto"/>
            <w:noWrap/>
            <w:hideMark/>
          </w:tcPr>
          <w:p w14:paraId="642FA809"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0,1%</w:t>
            </w:r>
          </w:p>
        </w:tc>
        <w:tc>
          <w:tcPr>
            <w:tcW w:w="1041" w:type="dxa"/>
            <w:tcBorders>
              <w:left w:val="nil"/>
              <w:right w:val="nil"/>
            </w:tcBorders>
            <w:shd w:val="clear" w:color="auto" w:fill="auto"/>
            <w:noWrap/>
            <w:hideMark/>
          </w:tcPr>
          <w:p w14:paraId="134E5530"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0,2%</w:t>
            </w:r>
          </w:p>
        </w:tc>
        <w:tc>
          <w:tcPr>
            <w:tcW w:w="1041" w:type="dxa"/>
            <w:tcBorders>
              <w:left w:val="nil"/>
              <w:right w:val="nil"/>
            </w:tcBorders>
            <w:shd w:val="clear" w:color="auto" w:fill="auto"/>
            <w:noWrap/>
            <w:hideMark/>
          </w:tcPr>
          <w:p w14:paraId="3F26C5D7"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0,1%</w:t>
            </w:r>
          </w:p>
        </w:tc>
        <w:tc>
          <w:tcPr>
            <w:tcW w:w="1041" w:type="dxa"/>
            <w:tcBorders>
              <w:left w:val="nil"/>
              <w:right w:val="nil"/>
            </w:tcBorders>
            <w:shd w:val="clear" w:color="auto" w:fill="auto"/>
            <w:noWrap/>
            <w:hideMark/>
          </w:tcPr>
          <w:p w14:paraId="4D8093CF"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0,2%</w:t>
            </w:r>
          </w:p>
        </w:tc>
        <w:tc>
          <w:tcPr>
            <w:tcW w:w="1041" w:type="dxa"/>
            <w:tcBorders>
              <w:left w:val="nil"/>
            </w:tcBorders>
            <w:shd w:val="clear" w:color="auto" w:fill="auto"/>
            <w:noWrap/>
            <w:hideMark/>
          </w:tcPr>
          <w:p w14:paraId="58B349B5"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0,2%</w:t>
            </w:r>
          </w:p>
        </w:tc>
      </w:tr>
      <w:tr w:rsidR="009F2D78" w:rsidRPr="00AF0E82" w14:paraId="70387D8D" w14:textId="77777777" w:rsidTr="009F2D78">
        <w:trPr>
          <w:trHeight w:val="300"/>
        </w:trPr>
        <w:tc>
          <w:tcPr>
            <w:tcW w:w="2257" w:type="dxa"/>
            <w:tcBorders>
              <w:right w:val="nil"/>
            </w:tcBorders>
            <w:shd w:val="clear" w:color="auto" w:fill="D3DFEE"/>
            <w:noWrap/>
            <w:hideMark/>
          </w:tcPr>
          <w:p w14:paraId="643C315E" w14:textId="77777777" w:rsidR="0080301A" w:rsidRPr="00117BF8" w:rsidRDefault="0080301A" w:rsidP="009F2D78">
            <w:pPr>
              <w:pStyle w:val="TablaC"/>
              <w:jc w:val="left"/>
              <w:rPr>
                <w:rFonts w:ascii="Arial" w:eastAsia="Calibri" w:hAnsi="Arial" w:cs="Arial"/>
                <w:b/>
                <w:bCs/>
                <w:sz w:val="18"/>
                <w:szCs w:val="18"/>
              </w:rPr>
            </w:pPr>
            <w:r w:rsidRPr="00117BF8">
              <w:rPr>
                <w:rFonts w:ascii="Arial" w:hAnsi="Arial" w:cs="Arial"/>
                <w:b/>
                <w:bCs/>
                <w:sz w:val="18"/>
                <w:szCs w:val="18"/>
              </w:rPr>
              <w:t>Aporte BID AR-L 1273</w:t>
            </w:r>
          </w:p>
        </w:tc>
        <w:tc>
          <w:tcPr>
            <w:tcW w:w="1042" w:type="dxa"/>
            <w:tcBorders>
              <w:left w:val="nil"/>
              <w:right w:val="nil"/>
            </w:tcBorders>
            <w:shd w:val="clear" w:color="auto" w:fill="D3DFEE"/>
            <w:noWrap/>
            <w:hideMark/>
          </w:tcPr>
          <w:p w14:paraId="743EC3E1"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2" w:type="dxa"/>
            <w:tcBorders>
              <w:left w:val="nil"/>
              <w:right w:val="nil"/>
            </w:tcBorders>
            <w:shd w:val="clear" w:color="auto" w:fill="D3DFEE"/>
            <w:noWrap/>
            <w:hideMark/>
          </w:tcPr>
          <w:p w14:paraId="26ED7BB0"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0,4%</w:t>
            </w:r>
          </w:p>
        </w:tc>
        <w:tc>
          <w:tcPr>
            <w:tcW w:w="1041" w:type="dxa"/>
            <w:tcBorders>
              <w:left w:val="nil"/>
              <w:right w:val="nil"/>
            </w:tcBorders>
            <w:shd w:val="clear" w:color="auto" w:fill="D3DFEE"/>
            <w:noWrap/>
            <w:hideMark/>
          </w:tcPr>
          <w:p w14:paraId="7FAEC69B"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1,7%</w:t>
            </w:r>
          </w:p>
        </w:tc>
        <w:tc>
          <w:tcPr>
            <w:tcW w:w="1041" w:type="dxa"/>
            <w:tcBorders>
              <w:left w:val="nil"/>
              <w:right w:val="nil"/>
            </w:tcBorders>
            <w:shd w:val="clear" w:color="auto" w:fill="D3DFEE"/>
            <w:noWrap/>
            <w:hideMark/>
          </w:tcPr>
          <w:p w14:paraId="6F0626EF"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2,1%</w:t>
            </w:r>
          </w:p>
        </w:tc>
        <w:tc>
          <w:tcPr>
            <w:tcW w:w="1041" w:type="dxa"/>
            <w:tcBorders>
              <w:left w:val="nil"/>
              <w:right w:val="nil"/>
            </w:tcBorders>
            <w:shd w:val="clear" w:color="auto" w:fill="D3DFEE"/>
            <w:noWrap/>
            <w:hideMark/>
          </w:tcPr>
          <w:p w14:paraId="5A109E20"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1,0%</w:t>
            </w:r>
          </w:p>
        </w:tc>
        <w:tc>
          <w:tcPr>
            <w:tcW w:w="1041" w:type="dxa"/>
            <w:tcBorders>
              <w:left w:val="nil"/>
            </w:tcBorders>
            <w:shd w:val="clear" w:color="auto" w:fill="D3DFEE"/>
            <w:noWrap/>
            <w:hideMark/>
          </w:tcPr>
          <w:p w14:paraId="4A8F22D7"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0,6%</w:t>
            </w:r>
          </w:p>
        </w:tc>
      </w:tr>
      <w:tr w:rsidR="009F2D78" w:rsidRPr="00AF0E82" w14:paraId="4D6A9A35" w14:textId="77777777" w:rsidTr="009F2D78">
        <w:trPr>
          <w:trHeight w:val="300"/>
        </w:trPr>
        <w:tc>
          <w:tcPr>
            <w:tcW w:w="2257" w:type="dxa"/>
            <w:tcBorders>
              <w:right w:val="nil"/>
            </w:tcBorders>
            <w:shd w:val="clear" w:color="auto" w:fill="auto"/>
            <w:noWrap/>
            <w:hideMark/>
          </w:tcPr>
          <w:p w14:paraId="42357632" w14:textId="77777777" w:rsidR="0080301A" w:rsidRPr="00117BF8" w:rsidRDefault="0080301A" w:rsidP="009F2D78">
            <w:pPr>
              <w:pStyle w:val="TablaC"/>
              <w:jc w:val="left"/>
              <w:rPr>
                <w:rFonts w:ascii="Arial" w:eastAsia="Calibri" w:hAnsi="Arial" w:cs="Arial"/>
                <w:b/>
                <w:bCs/>
                <w:sz w:val="18"/>
                <w:szCs w:val="18"/>
              </w:rPr>
            </w:pPr>
            <w:r w:rsidRPr="00117BF8">
              <w:rPr>
                <w:rFonts w:ascii="Arial" w:hAnsi="Arial" w:cs="Arial"/>
                <w:b/>
                <w:bCs/>
                <w:sz w:val="18"/>
                <w:szCs w:val="18"/>
              </w:rPr>
              <w:t>Aporte BID AR-L 1274</w:t>
            </w:r>
          </w:p>
        </w:tc>
        <w:tc>
          <w:tcPr>
            <w:tcW w:w="1042" w:type="dxa"/>
            <w:tcBorders>
              <w:left w:val="nil"/>
              <w:right w:val="nil"/>
            </w:tcBorders>
            <w:shd w:val="clear" w:color="auto" w:fill="auto"/>
            <w:noWrap/>
            <w:hideMark/>
          </w:tcPr>
          <w:p w14:paraId="18042C44"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2" w:type="dxa"/>
            <w:tcBorders>
              <w:left w:val="nil"/>
              <w:right w:val="nil"/>
            </w:tcBorders>
            <w:shd w:val="clear" w:color="auto" w:fill="auto"/>
            <w:noWrap/>
            <w:hideMark/>
          </w:tcPr>
          <w:p w14:paraId="7322E6D8"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1,0%</w:t>
            </w:r>
          </w:p>
        </w:tc>
        <w:tc>
          <w:tcPr>
            <w:tcW w:w="1041" w:type="dxa"/>
            <w:tcBorders>
              <w:left w:val="nil"/>
              <w:right w:val="nil"/>
            </w:tcBorders>
            <w:shd w:val="clear" w:color="auto" w:fill="auto"/>
            <w:noWrap/>
            <w:hideMark/>
          </w:tcPr>
          <w:p w14:paraId="1CFEEAE0"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2,9%</w:t>
            </w:r>
          </w:p>
        </w:tc>
        <w:tc>
          <w:tcPr>
            <w:tcW w:w="1041" w:type="dxa"/>
            <w:tcBorders>
              <w:left w:val="nil"/>
              <w:right w:val="nil"/>
            </w:tcBorders>
            <w:shd w:val="clear" w:color="auto" w:fill="auto"/>
            <w:noWrap/>
            <w:hideMark/>
          </w:tcPr>
          <w:p w14:paraId="7A855755"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2,3%</w:t>
            </w:r>
          </w:p>
        </w:tc>
        <w:tc>
          <w:tcPr>
            <w:tcW w:w="1041" w:type="dxa"/>
            <w:tcBorders>
              <w:left w:val="nil"/>
              <w:right w:val="nil"/>
            </w:tcBorders>
            <w:shd w:val="clear" w:color="auto" w:fill="auto"/>
            <w:noWrap/>
            <w:hideMark/>
          </w:tcPr>
          <w:p w14:paraId="68744E6A"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1,6%</w:t>
            </w:r>
          </w:p>
        </w:tc>
        <w:tc>
          <w:tcPr>
            <w:tcW w:w="1041" w:type="dxa"/>
            <w:tcBorders>
              <w:left w:val="nil"/>
            </w:tcBorders>
            <w:shd w:val="clear" w:color="auto" w:fill="auto"/>
            <w:noWrap/>
            <w:hideMark/>
          </w:tcPr>
          <w:p w14:paraId="50F12022"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r>
      <w:tr w:rsidR="009F2D78" w:rsidRPr="00AF0E82" w14:paraId="5D74C4C2" w14:textId="77777777" w:rsidTr="009F2D78">
        <w:trPr>
          <w:trHeight w:val="300"/>
        </w:trPr>
        <w:tc>
          <w:tcPr>
            <w:tcW w:w="2257" w:type="dxa"/>
            <w:tcBorders>
              <w:right w:val="nil"/>
            </w:tcBorders>
            <w:shd w:val="clear" w:color="auto" w:fill="D3DFEE"/>
            <w:noWrap/>
            <w:hideMark/>
          </w:tcPr>
          <w:p w14:paraId="0DAAC5A3" w14:textId="77777777" w:rsidR="0080301A" w:rsidRPr="00117BF8" w:rsidRDefault="0080301A" w:rsidP="009F2D78">
            <w:pPr>
              <w:pStyle w:val="TablaC"/>
              <w:jc w:val="left"/>
              <w:rPr>
                <w:rFonts w:ascii="Arial" w:eastAsia="Calibri" w:hAnsi="Arial" w:cs="Arial"/>
                <w:b/>
                <w:bCs/>
                <w:sz w:val="18"/>
                <w:szCs w:val="18"/>
              </w:rPr>
            </w:pPr>
            <w:r w:rsidRPr="00117BF8">
              <w:rPr>
                <w:rFonts w:ascii="Arial" w:hAnsi="Arial" w:cs="Arial"/>
                <w:b/>
                <w:bCs/>
                <w:sz w:val="18"/>
                <w:szCs w:val="18"/>
              </w:rPr>
              <w:t>Contraparte AR-L1272</w:t>
            </w:r>
          </w:p>
        </w:tc>
        <w:tc>
          <w:tcPr>
            <w:tcW w:w="1042" w:type="dxa"/>
            <w:tcBorders>
              <w:left w:val="nil"/>
              <w:right w:val="nil"/>
            </w:tcBorders>
            <w:shd w:val="clear" w:color="auto" w:fill="D3DFEE"/>
            <w:noWrap/>
            <w:hideMark/>
          </w:tcPr>
          <w:p w14:paraId="6B6CC4A5"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2" w:type="dxa"/>
            <w:tcBorders>
              <w:left w:val="nil"/>
              <w:right w:val="nil"/>
            </w:tcBorders>
            <w:shd w:val="clear" w:color="auto" w:fill="D3DFEE"/>
            <w:noWrap/>
            <w:hideMark/>
          </w:tcPr>
          <w:p w14:paraId="46C0E441"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1" w:type="dxa"/>
            <w:tcBorders>
              <w:left w:val="nil"/>
              <w:right w:val="nil"/>
            </w:tcBorders>
            <w:shd w:val="clear" w:color="auto" w:fill="D3DFEE"/>
            <w:noWrap/>
            <w:hideMark/>
          </w:tcPr>
          <w:p w14:paraId="71016442"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1" w:type="dxa"/>
            <w:tcBorders>
              <w:left w:val="nil"/>
              <w:right w:val="nil"/>
            </w:tcBorders>
            <w:shd w:val="clear" w:color="auto" w:fill="D3DFEE"/>
            <w:noWrap/>
            <w:hideMark/>
          </w:tcPr>
          <w:p w14:paraId="5D701F3A"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1" w:type="dxa"/>
            <w:tcBorders>
              <w:left w:val="nil"/>
              <w:right w:val="nil"/>
            </w:tcBorders>
            <w:shd w:val="clear" w:color="auto" w:fill="D3DFEE"/>
            <w:noWrap/>
            <w:hideMark/>
          </w:tcPr>
          <w:p w14:paraId="316AD999"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1" w:type="dxa"/>
            <w:tcBorders>
              <w:left w:val="nil"/>
            </w:tcBorders>
            <w:shd w:val="clear" w:color="auto" w:fill="D3DFEE"/>
            <w:noWrap/>
            <w:hideMark/>
          </w:tcPr>
          <w:p w14:paraId="6B2AA124"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r>
      <w:tr w:rsidR="009F2D78" w:rsidRPr="00AF0E82" w14:paraId="70DE3E2C" w14:textId="77777777" w:rsidTr="009F2D78">
        <w:trPr>
          <w:trHeight w:val="300"/>
        </w:trPr>
        <w:tc>
          <w:tcPr>
            <w:tcW w:w="2257" w:type="dxa"/>
            <w:tcBorders>
              <w:right w:val="nil"/>
            </w:tcBorders>
            <w:shd w:val="clear" w:color="auto" w:fill="auto"/>
            <w:noWrap/>
            <w:hideMark/>
          </w:tcPr>
          <w:p w14:paraId="63AD28DB" w14:textId="77777777" w:rsidR="0080301A" w:rsidRPr="00117BF8" w:rsidRDefault="0080301A" w:rsidP="009F2D78">
            <w:pPr>
              <w:pStyle w:val="TablaC"/>
              <w:jc w:val="left"/>
              <w:rPr>
                <w:rFonts w:ascii="Arial" w:eastAsia="Calibri" w:hAnsi="Arial" w:cs="Arial"/>
                <w:b/>
                <w:bCs/>
                <w:sz w:val="18"/>
                <w:szCs w:val="18"/>
              </w:rPr>
            </w:pPr>
            <w:r w:rsidRPr="00117BF8">
              <w:rPr>
                <w:rFonts w:ascii="Arial" w:hAnsi="Arial" w:cs="Arial"/>
                <w:b/>
                <w:bCs/>
                <w:sz w:val="18"/>
                <w:szCs w:val="18"/>
              </w:rPr>
              <w:t>Contraparte AR-L1273</w:t>
            </w:r>
          </w:p>
        </w:tc>
        <w:tc>
          <w:tcPr>
            <w:tcW w:w="1042" w:type="dxa"/>
            <w:tcBorders>
              <w:left w:val="nil"/>
              <w:right w:val="nil"/>
            </w:tcBorders>
            <w:shd w:val="clear" w:color="auto" w:fill="auto"/>
            <w:noWrap/>
            <w:hideMark/>
          </w:tcPr>
          <w:p w14:paraId="0505465C"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2" w:type="dxa"/>
            <w:tcBorders>
              <w:left w:val="nil"/>
              <w:right w:val="nil"/>
            </w:tcBorders>
            <w:shd w:val="clear" w:color="auto" w:fill="auto"/>
            <w:noWrap/>
            <w:hideMark/>
          </w:tcPr>
          <w:p w14:paraId="3668E102"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0,1%</w:t>
            </w:r>
          </w:p>
        </w:tc>
        <w:tc>
          <w:tcPr>
            <w:tcW w:w="1041" w:type="dxa"/>
            <w:tcBorders>
              <w:left w:val="nil"/>
              <w:right w:val="nil"/>
            </w:tcBorders>
            <w:shd w:val="clear" w:color="auto" w:fill="auto"/>
            <w:noWrap/>
            <w:hideMark/>
          </w:tcPr>
          <w:p w14:paraId="708CDC4B"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0,3%</w:t>
            </w:r>
          </w:p>
        </w:tc>
        <w:tc>
          <w:tcPr>
            <w:tcW w:w="1041" w:type="dxa"/>
            <w:tcBorders>
              <w:left w:val="nil"/>
              <w:right w:val="nil"/>
            </w:tcBorders>
            <w:shd w:val="clear" w:color="auto" w:fill="auto"/>
            <w:noWrap/>
            <w:hideMark/>
          </w:tcPr>
          <w:p w14:paraId="66EC2FE4"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0,4%</w:t>
            </w:r>
          </w:p>
        </w:tc>
        <w:tc>
          <w:tcPr>
            <w:tcW w:w="1041" w:type="dxa"/>
            <w:tcBorders>
              <w:left w:val="nil"/>
              <w:right w:val="nil"/>
            </w:tcBorders>
            <w:shd w:val="clear" w:color="auto" w:fill="auto"/>
            <w:noWrap/>
            <w:hideMark/>
          </w:tcPr>
          <w:p w14:paraId="0DF62768"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0,2%</w:t>
            </w:r>
          </w:p>
        </w:tc>
        <w:tc>
          <w:tcPr>
            <w:tcW w:w="1041" w:type="dxa"/>
            <w:tcBorders>
              <w:left w:val="nil"/>
            </w:tcBorders>
            <w:shd w:val="clear" w:color="auto" w:fill="auto"/>
            <w:noWrap/>
            <w:hideMark/>
          </w:tcPr>
          <w:p w14:paraId="375271A3"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0,1%</w:t>
            </w:r>
          </w:p>
        </w:tc>
      </w:tr>
      <w:tr w:rsidR="009F2D78" w:rsidRPr="00AF0E82" w14:paraId="17DAD493" w14:textId="77777777" w:rsidTr="009F2D78">
        <w:trPr>
          <w:trHeight w:val="300"/>
        </w:trPr>
        <w:tc>
          <w:tcPr>
            <w:tcW w:w="2257" w:type="dxa"/>
            <w:tcBorders>
              <w:right w:val="nil"/>
            </w:tcBorders>
            <w:shd w:val="clear" w:color="auto" w:fill="D3DFEE"/>
            <w:noWrap/>
            <w:hideMark/>
          </w:tcPr>
          <w:p w14:paraId="19041486" w14:textId="77777777" w:rsidR="0080301A" w:rsidRPr="00117BF8" w:rsidRDefault="0080301A" w:rsidP="009F2D78">
            <w:pPr>
              <w:pStyle w:val="TablaC"/>
              <w:jc w:val="left"/>
              <w:rPr>
                <w:rFonts w:ascii="Arial" w:eastAsia="Calibri" w:hAnsi="Arial" w:cs="Arial"/>
                <w:b/>
                <w:bCs/>
                <w:sz w:val="18"/>
                <w:szCs w:val="18"/>
              </w:rPr>
            </w:pPr>
            <w:r w:rsidRPr="00117BF8">
              <w:rPr>
                <w:rFonts w:ascii="Arial" w:hAnsi="Arial" w:cs="Arial"/>
                <w:b/>
                <w:bCs/>
                <w:sz w:val="18"/>
                <w:szCs w:val="18"/>
              </w:rPr>
              <w:t>Contraparte AR-L1274</w:t>
            </w:r>
          </w:p>
        </w:tc>
        <w:tc>
          <w:tcPr>
            <w:tcW w:w="1042" w:type="dxa"/>
            <w:tcBorders>
              <w:left w:val="nil"/>
              <w:right w:val="nil"/>
            </w:tcBorders>
            <w:shd w:val="clear" w:color="auto" w:fill="D3DFEE"/>
            <w:noWrap/>
            <w:hideMark/>
          </w:tcPr>
          <w:p w14:paraId="4C9419F1"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2" w:type="dxa"/>
            <w:tcBorders>
              <w:left w:val="nil"/>
              <w:right w:val="nil"/>
            </w:tcBorders>
            <w:shd w:val="clear" w:color="auto" w:fill="D3DFEE"/>
            <w:noWrap/>
            <w:hideMark/>
          </w:tcPr>
          <w:p w14:paraId="68B41468"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0,4%</w:t>
            </w:r>
          </w:p>
        </w:tc>
        <w:tc>
          <w:tcPr>
            <w:tcW w:w="1041" w:type="dxa"/>
            <w:tcBorders>
              <w:left w:val="nil"/>
              <w:right w:val="nil"/>
            </w:tcBorders>
            <w:shd w:val="clear" w:color="auto" w:fill="D3DFEE"/>
            <w:noWrap/>
            <w:hideMark/>
          </w:tcPr>
          <w:p w14:paraId="5F7FBC29"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1,1%</w:t>
            </w:r>
          </w:p>
        </w:tc>
        <w:tc>
          <w:tcPr>
            <w:tcW w:w="1041" w:type="dxa"/>
            <w:tcBorders>
              <w:left w:val="nil"/>
              <w:right w:val="nil"/>
            </w:tcBorders>
            <w:shd w:val="clear" w:color="auto" w:fill="D3DFEE"/>
            <w:noWrap/>
            <w:hideMark/>
          </w:tcPr>
          <w:p w14:paraId="42625DB1"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1,0%</w:t>
            </w:r>
          </w:p>
        </w:tc>
        <w:tc>
          <w:tcPr>
            <w:tcW w:w="1041" w:type="dxa"/>
            <w:tcBorders>
              <w:left w:val="nil"/>
              <w:right w:val="nil"/>
            </w:tcBorders>
            <w:shd w:val="clear" w:color="auto" w:fill="D3DFEE"/>
            <w:noWrap/>
            <w:hideMark/>
          </w:tcPr>
          <w:p w14:paraId="52B11F40"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0,7%</w:t>
            </w:r>
          </w:p>
        </w:tc>
        <w:tc>
          <w:tcPr>
            <w:tcW w:w="1041" w:type="dxa"/>
            <w:tcBorders>
              <w:left w:val="nil"/>
            </w:tcBorders>
            <w:shd w:val="clear" w:color="auto" w:fill="D3DFEE"/>
            <w:noWrap/>
            <w:hideMark/>
          </w:tcPr>
          <w:p w14:paraId="7008ACD2"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r>
      <w:tr w:rsidR="009F2D78" w:rsidRPr="00AF0E82" w14:paraId="2F501EB7" w14:textId="77777777" w:rsidTr="009F2D78">
        <w:trPr>
          <w:trHeight w:val="300"/>
        </w:trPr>
        <w:tc>
          <w:tcPr>
            <w:tcW w:w="2257" w:type="dxa"/>
            <w:tcBorders>
              <w:right w:val="nil"/>
            </w:tcBorders>
            <w:shd w:val="clear" w:color="auto" w:fill="auto"/>
            <w:noWrap/>
            <w:hideMark/>
          </w:tcPr>
          <w:p w14:paraId="4119CE9D" w14:textId="77777777" w:rsidR="0080301A" w:rsidRPr="00117BF8" w:rsidRDefault="0080301A" w:rsidP="009F2D78">
            <w:pPr>
              <w:pStyle w:val="TablaC"/>
              <w:jc w:val="left"/>
              <w:rPr>
                <w:rFonts w:ascii="Arial" w:eastAsia="Calibri" w:hAnsi="Arial" w:cs="Arial"/>
                <w:b/>
                <w:bCs/>
                <w:sz w:val="18"/>
                <w:szCs w:val="18"/>
              </w:rPr>
            </w:pPr>
            <w:r w:rsidRPr="00117BF8">
              <w:rPr>
                <w:rFonts w:ascii="Arial" w:hAnsi="Arial" w:cs="Arial"/>
                <w:b/>
                <w:bCs/>
                <w:sz w:val="18"/>
                <w:szCs w:val="18"/>
              </w:rPr>
              <w:t>Total</w:t>
            </w:r>
          </w:p>
        </w:tc>
        <w:tc>
          <w:tcPr>
            <w:tcW w:w="1042" w:type="dxa"/>
            <w:tcBorders>
              <w:left w:val="nil"/>
              <w:right w:val="nil"/>
            </w:tcBorders>
            <w:shd w:val="clear" w:color="auto" w:fill="auto"/>
            <w:noWrap/>
            <w:hideMark/>
          </w:tcPr>
          <w:p w14:paraId="16183441"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0,0%</w:t>
            </w:r>
          </w:p>
        </w:tc>
        <w:tc>
          <w:tcPr>
            <w:tcW w:w="1042" w:type="dxa"/>
            <w:tcBorders>
              <w:left w:val="nil"/>
              <w:right w:val="nil"/>
            </w:tcBorders>
            <w:shd w:val="clear" w:color="auto" w:fill="auto"/>
            <w:noWrap/>
            <w:hideMark/>
          </w:tcPr>
          <w:p w14:paraId="39996593"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1,9%</w:t>
            </w:r>
          </w:p>
        </w:tc>
        <w:tc>
          <w:tcPr>
            <w:tcW w:w="1041" w:type="dxa"/>
            <w:tcBorders>
              <w:left w:val="nil"/>
              <w:right w:val="nil"/>
            </w:tcBorders>
            <w:shd w:val="clear" w:color="auto" w:fill="auto"/>
            <w:noWrap/>
            <w:hideMark/>
          </w:tcPr>
          <w:p w14:paraId="4CDA8893"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6,1%</w:t>
            </w:r>
          </w:p>
        </w:tc>
        <w:tc>
          <w:tcPr>
            <w:tcW w:w="1041" w:type="dxa"/>
            <w:tcBorders>
              <w:left w:val="nil"/>
              <w:right w:val="nil"/>
            </w:tcBorders>
            <w:shd w:val="clear" w:color="auto" w:fill="auto"/>
            <w:noWrap/>
            <w:hideMark/>
          </w:tcPr>
          <w:p w14:paraId="76B656E0"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5,8%</w:t>
            </w:r>
          </w:p>
        </w:tc>
        <w:tc>
          <w:tcPr>
            <w:tcW w:w="1041" w:type="dxa"/>
            <w:tcBorders>
              <w:left w:val="nil"/>
              <w:right w:val="nil"/>
            </w:tcBorders>
            <w:shd w:val="clear" w:color="auto" w:fill="auto"/>
            <w:noWrap/>
            <w:hideMark/>
          </w:tcPr>
          <w:p w14:paraId="4C2FC9A8"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3,6%</w:t>
            </w:r>
          </w:p>
        </w:tc>
        <w:tc>
          <w:tcPr>
            <w:tcW w:w="1041" w:type="dxa"/>
            <w:tcBorders>
              <w:left w:val="nil"/>
            </w:tcBorders>
            <w:shd w:val="clear" w:color="auto" w:fill="auto"/>
            <w:noWrap/>
            <w:hideMark/>
          </w:tcPr>
          <w:p w14:paraId="60581CA7" w14:textId="77777777" w:rsidR="0080301A" w:rsidRPr="00117BF8" w:rsidRDefault="0080301A" w:rsidP="0080301A">
            <w:pPr>
              <w:pStyle w:val="TablaC"/>
              <w:rPr>
                <w:rFonts w:ascii="Arial" w:eastAsia="Calibri" w:hAnsi="Arial" w:cs="Arial"/>
                <w:sz w:val="18"/>
                <w:szCs w:val="18"/>
              </w:rPr>
            </w:pPr>
            <w:r w:rsidRPr="00117BF8">
              <w:rPr>
                <w:rFonts w:ascii="Arial" w:hAnsi="Arial" w:cs="Arial"/>
                <w:sz w:val="18"/>
                <w:szCs w:val="18"/>
              </w:rPr>
              <w:t>1,0%</w:t>
            </w:r>
          </w:p>
        </w:tc>
      </w:tr>
    </w:tbl>
    <w:p w14:paraId="2FB72979" w14:textId="77777777" w:rsidR="0080301A" w:rsidRPr="00117BF8" w:rsidRDefault="00020BC2" w:rsidP="00117BF8">
      <w:pPr>
        <w:pStyle w:val="Hfuente"/>
        <w:rPr>
          <w:rFonts w:ascii="Arial" w:hAnsi="Arial" w:cs="Arial"/>
          <w:sz w:val="18"/>
          <w:szCs w:val="18"/>
        </w:rPr>
      </w:pPr>
      <w:r w:rsidRPr="00117BF8">
        <w:rPr>
          <w:rFonts w:ascii="Arial" w:hAnsi="Arial" w:cs="Arial"/>
          <w:sz w:val="18"/>
          <w:szCs w:val="18"/>
        </w:rPr>
        <w:t>Fuente Elaboración Propia con datos del BID y la Provincia</w:t>
      </w:r>
    </w:p>
    <w:p w14:paraId="20BEDC61" w14:textId="77777777" w:rsidR="00020BC2" w:rsidRPr="00117BF8" w:rsidRDefault="00020BC2">
      <w:pPr>
        <w:pStyle w:val="hsa"/>
        <w:rPr>
          <w:rFonts w:ascii="Arial" w:hAnsi="Arial" w:cs="Arial"/>
          <w:sz w:val="22"/>
          <w:szCs w:val="22"/>
        </w:rPr>
      </w:pPr>
      <w:r w:rsidRPr="00117BF8">
        <w:rPr>
          <w:rFonts w:ascii="Arial" w:hAnsi="Arial" w:cs="Arial"/>
          <w:sz w:val="22"/>
          <w:szCs w:val="22"/>
        </w:rPr>
        <w:t>De la tabla surge que los gastos de capital originados en Las Operaciones alcanzan, en el pico (2019), el 6,1% del presupuesto proyectado por La Provincia para el rubro.</w:t>
      </w:r>
    </w:p>
    <w:p w14:paraId="55192B69" w14:textId="77777777" w:rsidR="00020BC2" w:rsidRPr="00117BF8" w:rsidRDefault="00020BC2">
      <w:pPr>
        <w:pStyle w:val="hsa"/>
        <w:rPr>
          <w:rFonts w:ascii="Arial" w:hAnsi="Arial" w:cs="Arial"/>
          <w:sz w:val="22"/>
          <w:szCs w:val="22"/>
        </w:rPr>
      </w:pPr>
      <w:r w:rsidRPr="00117BF8">
        <w:rPr>
          <w:rFonts w:ascii="Arial" w:hAnsi="Arial" w:cs="Arial"/>
          <w:sz w:val="22"/>
          <w:szCs w:val="22"/>
        </w:rPr>
        <w:t>Si el análisis se limita a la significación del aporte de la contraparte, el porcentaje pico sobre los gastos de capital es 1,4% (En los años 2019 y 2020). No es previsible que La Provincia tenga dificultades para realizar el aporte de contraparte como consecuencia de su magnitud.</w:t>
      </w:r>
    </w:p>
    <w:p w14:paraId="41A3417F" w14:textId="77777777" w:rsidR="0021263A" w:rsidRPr="00117BF8" w:rsidRDefault="0021263A" w:rsidP="00117BF8">
      <w:pPr>
        <w:pStyle w:val="Heading1"/>
        <w:spacing w:before="0" w:after="180"/>
        <w:rPr>
          <w:rFonts w:ascii="Arial" w:hAnsi="Arial" w:cs="Arial"/>
          <w:sz w:val="22"/>
          <w:szCs w:val="22"/>
        </w:rPr>
      </w:pPr>
      <w:bookmarkStart w:id="93" w:name="_Toc494040329"/>
      <w:r w:rsidRPr="00117BF8">
        <w:rPr>
          <w:rFonts w:ascii="Arial" w:hAnsi="Arial" w:cs="Arial"/>
          <w:sz w:val="22"/>
          <w:szCs w:val="22"/>
        </w:rPr>
        <w:t>Presupuesto 2017</w:t>
      </w:r>
      <w:bookmarkEnd w:id="91"/>
      <w:bookmarkEnd w:id="93"/>
    </w:p>
    <w:p w14:paraId="2F14839F" w14:textId="5C68C96A" w:rsidR="00347923" w:rsidRPr="00117BF8" w:rsidRDefault="00D94480" w:rsidP="0021263A">
      <w:pPr>
        <w:pStyle w:val="hsa"/>
        <w:rPr>
          <w:rFonts w:ascii="Arial" w:hAnsi="Arial" w:cs="Arial"/>
          <w:sz w:val="22"/>
          <w:szCs w:val="22"/>
        </w:rPr>
      </w:pPr>
      <w:r w:rsidRPr="00117BF8">
        <w:rPr>
          <w:rFonts w:ascii="Arial" w:hAnsi="Arial" w:cs="Arial"/>
          <w:sz w:val="22"/>
          <w:szCs w:val="22"/>
        </w:rPr>
        <w:t>La Provincia</w:t>
      </w:r>
      <w:r w:rsidR="00347923" w:rsidRPr="00117BF8">
        <w:rPr>
          <w:rFonts w:ascii="Arial" w:hAnsi="Arial" w:cs="Arial"/>
          <w:sz w:val="22"/>
          <w:szCs w:val="22"/>
        </w:rPr>
        <w:t>,</w:t>
      </w:r>
      <w:r w:rsidRPr="00117BF8">
        <w:rPr>
          <w:rFonts w:ascii="Arial" w:hAnsi="Arial" w:cs="Arial"/>
          <w:sz w:val="22"/>
          <w:szCs w:val="22"/>
        </w:rPr>
        <w:t xml:space="preserve"> </w:t>
      </w:r>
      <w:r w:rsidR="00347923" w:rsidRPr="00117BF8">
        <w:rPr>
          <w:rFonts w:ascii="Arial" w:hAnsi="Arial" w:cs="Arial"/>
          <w:sz w:val="22"/>
          <w:szCs w:val="22"/>
        </w:rPr>
        <w:t>para</w:t>
      </w:r>
      <w:r w:rsidRPr="00117BF8">
        <w:rPr>
          <w:rFonts w:ascii="Arial" w:hAnsi="Arial" w:cs="Arial"/>
          <w:sz w:val="22"/>
          <w:szCs w:val="22"/>
        </w:rPr>
        <w:t xml:space="preserve"> la elaboración del presupuesto ha considerado iguales supuestos macroeconómicos que la Nación</w:t>
      </w:r>
      <w:r w:rsidR="00347923" w:rsidRPr="00117BF8">
        <w:rPr>
          <w:rFonts w:ascii="Arial" w:hAnsi="Arial" w:cs="Arial"/>
          <w:sz w:val="22"/>
          <w:szCs w:val="22"/>
        </w:rPr>
        <w:t xml:space="preserve">. En la tabla </w:t>
      </w:r>
      <w:r w:rsidR="00883677" w:rsidRPr="00117BF8">
        <w:rPr>
          <w:rFonts w:ascii="Arial" w:hAnsi="Arial" w:cs="Arial"/>
          <w:sz w:val="22"/>
          <w:szCs w:val="22"/>
        </w:rPr>
        <w:t xml:space="preserve">37 </w:t>
      </w:r>
      <w:r w:rsidR="00347923" w:rsidRPr="00117BF8">
        <w:rPr>
          <w:rFonts w:ascii="Arial" w:hAnsi="Arial" w:cs="Arial"/>
          <w:sz w:val="22"/>
          <w:szCs w:val="22"/>
        </w:rPr>
        <w:t xml:space="preserve">se los compara con los valores reales para el año 2016 y las estimaciones del </w:t>
      </w:r>
      <w:r w:rsidR="003024E7" w:rsidRPr="00117BF8">
        <w:rPr>
          <w:rFonts w:ascii="Arial" w:hAnsi="Arial" w:cs="Arial"/>
          <w:sz w:val="22"/>
          <w:szCs w:val="22"/>
        </w:rPr>
        <w:t>Banco Mundial (BM)</w:t>
      </w:r>
      <w:r w:rsidR="00347923" w:rsidRPr="00117BF8">
        <w:rPr>
          <w:rFonts w:ascii="Arial" w:hAnsi="Arial" w:cs="Arial"/>
          <w:sz w:val="22"/>
          <w:szCs w:val="22"/>
        </w:rPr>
        <w:t xml:space="preserve"> y REM para el presente año.</w:t>
      </w:r>
    </w:p>
    <w:tbl>
      <w:tblPr>
        <w:tblW w:w="8580"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878"/>
        <w:gridCol w:w="1452"/>
        <w:gridCol w:w="1391"/>
        <w:gridCol w:w="1452"/>
        <w:gridCol w:w="1407"/>
      </w:tblGrid>
      <w:tr w:rsidR="003D42A6" w:rsidRPr="004E6455" w14:paraId="423E7662" w14:textId="77777777" w:rsidTr="00B05717">
        <w:tc>
          <w:tcPr>
            <w:tcW w:w="8580" w:type="dxa"/>
            <w:gridSpan w:val="5"/>
            <w:tcBorders>
              <w:top w:val="single" w:sz="8" w:space="0" w:color="7BA0CD"/>
              <w:left w:val="single" w:sz="8" w:space="0" w:color="7BA0CD"/>
              <w:bottom w:val="single" w:sz="8" w:space="0" w:color="7BA0CD"/>
              <w:right w:val="single" w:sz="8" w:space="0" w:color="7BA0CD"/>
            </w:tcBorders>
            <w:shd w:val="clear" w:color="auto" w:fill="0070C0"/>
          </w:tcPr>
          <w:p w14:paraId="410A4679" w14:textId="4E7FE5B4" w:rsidR="003D42A6" w:rsidRPr="00117BF8" w:rsidRDefault="00347923" w:rsidP="00883677">
            <w:pPr>
              <w:pStyle w:val="TablaT"/>
              <w:rPr>
                <w:rFonts w:ascii="Arial" w:hAnsi="Arial" w:cs="Arial"/>
                <w:bCs/>
                <w:sz w:val="22"/>
                <w:szCs w:val="22"/>
                <w:lang w:val="es-ES_tradnl"/>
              </w:rPr>
            </w:pPr>
            <w:bookmarkStart w:id="94" w:name="_Toc493861147"/>
            <w:r w:rsidRPr="00117BF8">
              <w:rPr>
                <w:rFonts w:ascii="Arial" w:hAnsi="Arial" w:cs="Arial"/>
                <w:bCs/>
                <w:sz w:val="22"/>
                <w:szCs w:val="22"/>
                <w:lang w:val="es-ES_tradnl"/>
              </w:rPr>
              <w:t xml:space="preserve">Tabla </w:t>
            </w:r>
            <w:r w:rsidR="00883677" w:rsidRPr="00117BF8">
              <w:rPr>
                <w:rFonts w:ascii="Arial" w:hAnsi="Arial" w:cs="Arial"/>
                <w:bCs/>
                <w:sz w:val="22"/>
                <w:szCs w:val="22"/>
                <w:lang w:val="es-ES_tradnl"/>
              </w:rPr>
              <w:t xml:space="preserve">37 </w:t>
            </w:r>
            <w:r w:rsidRPr="00117BF8">
              <w:rPr>
                <w:rFonts w:ascii="Arial" w:hAnsi="Arial" w:cs="Arial"/>
                <w:bCs/>
                <w:sz w:val="22"/>
                <w:szCs w:val="22"/>
                <w:lang w:val="es-ES_tradnl"/>
              </w:rPr>
              <w:t>– Supuestos vs Real Presupuesto 2017</w:t>
            </w:r>
            <w:bookmarkEnd w:id="94"/>
          </w:p>
        </w:tc>
      </w:tr>
      <w:tr w:rsidR="00B05717" w:rsidRPr="004E6455" w14:paraId="6AE9F81B" w14:textId="77777777" w:rsidTr="00B05717">
        <w:tc>
          <w:tcPr>
            <w:tcW w:w="2922" w:type="dxa"/>
            <w:tcBorders>
              <w:right w:val="nil"/>
            </w:tcBorders>
            <w:shd w:val="clear" w:color="auto" w:fill="0070C0"/>
          </w:tcPr>
          <w:p w14:paraId="7150730D" w14:textId="77777777" w:rsidR="00347923" w:rsidRPr="00117BF8" w:rsidRDefault="00347923" w:rsidP="00B05717">
            <w:pPr>
              <w:pStyle w:val="TablaE"/>
              <w:rPr>
                <w:rFonts w:ascii="Arial" w:hAnsi="Arial" w:cs="Arial"/>
                <w:b w:val="0"/>
                <w:bCs/>
                <w:sz w:val="22"/>
                <w:szCs w:val="22"/>
              </w:rPr>
            </w:pPr>
          </w:p>
        </w:tc>
        <w:tc>
          <w:tcPr>
            <w:tcW w:w="2827" w:type="dxa"/>
            <w:gridSpan w:val="2"/>
            <w:tcBorders>
              <w:left w:val="nil"/>
              <w:right w:val="nil"/>
            </w:tcBorders>
            <w:shd w:val="clear" w:color="auto" w:fill="0070C0"/>
          </w:tcPr>
          <w:p w14:paraId="365AB7AE" w14:textId="77777777" w:rsidR="00347923" w:rsidRPr="00117BF8" w:rsidRDefault="00347923" w:rsidP="00B05717">
            <w:pPr>
              <w:pStyle w:val="TablaE"/>
              <w:rPr>
                <w:rFonts w:ascii="Arial" w:hAnsi="Arial" w:cs="Arial"/>
                <w:sz w:val="22"/>
                <w:szCs w:val="22"/>
              </w:rPr>
            </w:pPr>
            <w:r w:rsidRPr="00117BF8">
              <w:rPr>
                <w:rFonts w:ascii="Arial" w:hAnsi="Arial" w:cs="Arial"/>
                <w:sz w:val="22"/>
                <w:szCs w:val="22"/>
              </w:rPr>
              <w:t>2016</w:t>
            </w:r>
          </w:p>
        </w:tc>
        <w:tc>
          <w:tcPr>
            <w:tcW w:w="2831" w:type="dxa"/>
            <w:gridSpan w:val="2"/>
            <w:tcBorders>
              <w:left w:val="nil"/>
            </w:tcBorders>
            <w:shd w:val="clear" w:color="auto" w:fill="0070C0"/>
          </w:tcPr>
          <w:p w14:paraId="51454EB9" w14:textId="77777777" w:rsidR="00347923" w:rsidRPr="00117BF8" w:rsidRDefault="00347923" w:rsidP="00B05717">
            <w:pPr>
              <w:pStyle w:val="TablaE"/>
              <w:rPr>
                <w:rFonts w:ascii="Arial" w:hAnsi="Arial" w:cs="Arial"/>
                <w:sz w:val="22"/>
                <w:szCs w:val="22"/>
              </w:rPr>
            </w:pPr>
            <w:r w:rsidRPr="00117BF8">
              <w:rPr>
                <w:rFonts w:ascii="Arial" w:hAnsi="Arial" w:cs="Arial"/>
                <w:sz w:val="22"/>
                <w:szCs w:val="22"/>
              </w:rPr>
              <w:t>2017</w:t>
            </w:r>
          </w:p>
        </w:tc>
      </w:tr>
      <w:tr w:rsidR="00B05717" w:rsidRPr="004E6455" w14:paraId="772C40D4" w14:textId="77777777" w:rsidTr="00B05717">
        <w:tc>
          <w:tcPr>
            <w:tcW w:w="2922" w:type="dxa"/>
            <w:tcBorders>
              <w:right w:val="nil"/>
            </w:tcBorders>
            <w:shd w:val="clear" w:color="auto" w:fill="0070C0"/>
          </w:tcPr>
          <w:p w14:paraId="2CE0090A" w14:textId="77777777" w:rsidR="003D42A6" w:rsidRPr="00117BF8" w:rsidRDefault="003D42A6" w:rsidP="00B05717">
            <w:pPr>
              <w:pStyle w:val="TablaC"/>
              <w:jc w:val="center"/>
              <w:rPr>
                <w:rFonts w:ascii="Arial" w:hAnsi="Arial" w:cs="Arial"/>
                <w:b/>
                <w:bCs/>
                <w:color w:val="FFFFFF"/>
                <w:szCs w:val="22"/>
              </w:rPr>
            </w:pPr>
          </w:p>
        </w:tc>
        <w:tc>
          <w:tcPr>
            <w:tcW w:w="1417" w:type="dxa"/>
            <w:tcBorders>
              <w:left w:val="nil"/>
              <w:right w:val="nil"/>
            </w:tcBorders>
            <w:shd w:val="clear" w:color="auto" w:fill="0070C0"/>
          </w:tcPr>
          <w:p w14:paraId="29C78765" w14:textId="77777777" w:rsidR="003D42A6" w:rsidRPr="00117BF8" w:rsidRDefault="003D42A6" w:rsidP="00B05717">
            <w:pPr>
              <w:pStyle w:val="TablaC"/>
              <w:jc w:val="center"/>
              <w:rPr>
                <w:rFonts w:ascii="Arial" w:hAnsi="Arial" w:cs="Arial"/>
                <w:color w:val="FFFFFF"/>
                <w:szCs w:val="22"/>
              </w:rPr>
            </w:pPr>
            <w:r w:rsidRPr="00117BF8">
              <w:rPr>
                <w:rFonts w:ascii="Arial" w:hAnsi="Arial" w:cs="Arial"/>
                <w:color w:val="FFFFFF"/>
                <w:szCs w:val="22"/>
              </w:rPr>
              <w:t>Presupuesto</w:t>
            </w:r>
          </w:p>
        </w:tc>
        <w:tc>
          <w:tcPr>
            <w:tcW w:w="1410" w:type="dxa"/>
            <w:tcBorders>
              <w:left w:val="nil"/>
              <w:right w:val="nil"/>
            </w:tcBorders>
            <w:shd w:val="clear" w:color="auto" w:fill="0070C0"/>
          </w:tcPr>
          <w:p w14:paraId="66A20176" w14:textId="77777777" w:rsidR="003D42A6" w:rsidRPr="00117BF8" w:rsidRDefault="003D42A6" w:rsidP="00B05717">
            <w:pPr>
              <w:pStyle w:val="TablaC"/>
              <w:jc w:val="center"/>
              <w:rPr>
                <w:rFonts w:ascii="Arial" w:hAnsi="Arial" w:cs="Arial"/>
                <w:color w:val="FFFFFF"/>
                <w:szCs w:val="22"/>
              </w:rPr>
            </w:pPr>
            <w:r w:rsidRPr="00117BF8">
              <w:rPr>
                <w:rFonts w:ascii="Arial" w:hAnsi="Arial" w:cs="Arial"/>
                <w:color w:val="FFFFFF"/>
                <w:szCs w:val="22"/>
              </w:rPr>
              <w:t>Real</w:t>
            </w:r>
          </w:p>
        </w:tc>
        <w:tc>
          <w:tcPr>
            <w:tcW w:w="1417" w:type="dxa"/>
            <w:tcBorders>
              <w:left w:val="nil"/>
              <w:right w:val="nil"/>
            </w:tcBorders>
            <w:shd w:val="clear" w:color="auto" w:fill="0070C0"/>
          </w:tcPr>
          <w:p w14:paraId="701EE88D" w14:textId="77777777" w:rsidR="003D42A6" w:rsidRPr="00117BF8" w:rsidRDefault="003D42A6" w:rsidP="00B05717">
            <w:pPr>
              <w:pStyle w:val="TablaC"/>
              <w:jc w:val="center"/>
              <w:rPr>
                <w:rFonts w:ascii="Arial" w:hAnsi="Arial" w:cs="Arial"/>
                <w:color w:val="FFFFFF"/>
                <w:szCs w:val="22"/>
              </w:rPr>
            </w:pPr>
            <w:r w:rsidRPr="00117BF8">
              <w:rPr>
                <w:rFonts w:ascii="Arial" w:hAnsi="Arial" w:cs="Arial"/>
                <w:color w:val="FFFFFF"/>
                <w:szCs w:val="22"/>
              </w:rPr>
              <w:t>Presupuesto</w:t>
            </w:r>
          </w:p>
        </w:tc>
        <w:tc>
          <w:tcPr>
            <w:tcW w:w="1414" w:type="dxa"/>
            <w:tcBorders>
              <w:left w:val="nil"/>
            </w:tcBorders>
            <w:shd w:val="clear" w:color="auto" w:fill="0070C0"/>
          </w:tcPr>
          <w:p w14:paraId="6CCC5D82" w14:textId="77777777" w:rsidR="003D42A6" w:rsidRPr="00117BF8" w:rsidRDefault="003D42A6" w:rsidP="00B05717">
            <w:pPr>
              <w:pStyle w:val="TablaC"/>
              <w:jc w:val="center"/>
              <w:rPr>
                <w:rFonts w:ascii="Arial" w:hAnsi="Arial" w:cs="Arial"/>
                <w:color w:val="FFFFFF"/>
                <w:szCs w:val="22"/>
              </w:rPr>
            </w:pPr>
            <w:r w:rsidRPr="00117BF8">
              <w:rPr>
                <w:rFonts w:ascii="Arial" w:hAnsi="Arial" w:cs="Arial"/>
                <w:color w:val="FFFFFF"/>
                <w:szCs w:val="22"/>
              </w:rPr>
              <w:t>Estimado</w:t>
            </w:r>
          </w:p>
        </w:tc>
      </w:tr>
      <w:tr w:rsidR="00B05717" w:rsidRPr="00AF0E82" w14:paraId="3A547A0E" w14:textId="77777777" w:rsidTr="00B05717">
        <w:tc>
          <w:tcPr>
            <w:tcW w:w="2922" w:type="dxa"/>
            <w:tcBorders>
              <w:right w:val="nil"/>
            </w:tcBorders>
            <w:shd w:val="clear" w:color="auto" w:fill="D3DFEE"/>
          </w:tcPr>
          <w:p w14:paraId="77C007EA" w14:textId="77777777" w:rsidR="003D42A6" w:rsidRPr="00117BF8" w:rsidRDefault="003D42A6" w:rsidP="00B05717">
            <w:pPr>
              <w:pStyle w:val="TablaC"/>
              <w:jc w:val="left"/>
              <w:rPr>
                <w:rFonts w:ascii="Arial" w:hAnsi="Arial" w:cs="Arial"/>
                <w:b/>
                <w:bCs/>
                <w:sz w:val="18"/>
                <w:szCs w:val="18"/>
              </w:rPr>
            </w:pPr>
            <w:r w:rsidRPr="00117BF8">
              <w:rPr>
                <w:rFonts w:ascii="Arial" w:hAnsi="Arial" w:cs="Arial"/>
                <w:b/>
                <w:bCs/>
                <w:sz w:val="18"/>
                <w:szCs w:val="18"/>
              </w:rPr>
              <w:t xml:space="preserve">PIB a precios </w:t>
            </w:r>
            <w:r w:rsidR="003249B2" w:rsidRPr="00117BF8">
              <w:rPr>
                <w:rFonts w:ascii="Arial" w:hAnsi="Arial" w:cs="Arial"/>
                <w:b/>
                <w:bCs/>
                <w:sz w:val="18"/>
                <w:szCs w:val="18"/>
              </w:rPr>
              <w:t>constantes (1)</w:t>
            </w:r>
          </w:p>
        </w:tc>
        <w:tc>
          <w:tcPr>
            <w:tcW w:w="1417" w:type="dxa"/>
            <w:tcBorders>
              <w:left w:val="nil"/>
              <w:right w:val="nil"/>
            </w:tcBorders>
            <w:shd w:val="clear" w:color="auto" w:fill="D3DFEE"/>
          </w:tcPr>
          <w:p w14:paraId="1CFC8270" w14:textId="77777777" w:rsidR="003D42A6" w:rsidRPr="00117BF8" w:rsidRDefault="003D42A6" w:rsidP="00B05717">
            <w:pPr>
              <w:pStyle w:val="TablaC"/>
              <w:rPr>
                <w:rFonts w:ascii="Arial" w:hAnsi="Arial" w:cs="Arial"/>
                <w:sz w:val="18"/>
                <w:szCs w:val="18"/>
              </w:rPr>
            </w:pPr>
            <w:r w:rsidRPr="00117BF8">
              <w:rPr>
                <w:rFonts w:ascii="Arial" w:hAnsi="Arial" w:cs="Arial"/>
                <w:sz w:val="18"/>
                <w:szCs w:val="18"/>
              </w:rPr>
              <w:t>-1,5%</w:t>
            </w:r>
          </w:p>
        </w:tc>
        <w:tc>
          <w:tcPr>
            <w:tcW w:w="1410" w:type="dxa"/>
            <w:tcBorders>
              <w:left w:val="nil"/>
              <w:right w:val="nil"/>
            </w:tcBorders>
            <w:shd w:val="clear" w:color="auto" w:fill="D3DFEE"/>
          </w:tcPr>
          <w:p w14:paraId="1E24C1DB" w14:textId="77777777" w:rsidR="003D42A6" w:rsidRPr="00117BF8" w:rsidRDefault="003D42A6" w:rsidP="00B05717">
            <w:pPr>
              <w:pStyle w:val="TablaC"/>
              <w:rPr>
                <w:rFonts w:ascii="Arial" w:hAnsi="Arial" w:cs="Arial"/>
                <w:sz w:val="18"/>
                <w:szCs w:val="18"/>
              </w:rPr>
            </w:pPr>
            <w:r w:rsidRPr="00117BF8">
              <w:rPr>
                <w:rFonts w:ascii="Arial" w:hAnsi="Arial" w:cs="Arial"/>
                <w:sz w:val="18"/>
                <w:szCs w:val="18"/>
              </w:rPr>
              <w:t>-2,2%</w:t>
            </w:r>
          </w:p>
        </w:tc>
        <w:tc>
          <w:tcPr>
            <w:tcW w:w="1417" w:type="dxa"/>
            <w:tcBorders>
              <w:left w:val="nil"/>
              <w:right w:val="nil"/>
            </w:tcBorders>
            <w:shd w:val="clear" w:color="auto" w:fill="D3DFEE"/>
          </w:tcPr>
          <w:p w14:paraId="032DA6C2" w14:textId="77777777" w:rsidR="003D42A6" w:rsidRPr="00117BF8" w:rsidRDefault="003D42A6" w:rsidP="00B05717">
            <w:pPr>
              <w:pStyle w:val="TablaC"/>
              <w:rPr>
                <w:rFonts w:ascii="Arial" w:hAnsi="Arial" w:cs="Arial"/>
                <w:sz w:val="18"/>
                <w:szCs w:val="18"/>
              </w:rPr>
            </w:pPr>
            <w:r w:rsidRPr="00117BF8">
              <w:rPr>
                <w:rFonts w:ascii="Arial" w:hAnsi="Arial" w:cs="Arial"/>
                <w:sz w:val="18"/>
                <w:szCs w:val="18"/>
              </w:rPr>
              <w:t>3,5%</w:t>
            </w:r>
          </w:p>
        </w:tc>
        <w:tc>
          <w:tcPr>
            <w:tcW w:w="1414" w:type="dxa"/>
            <w:tcBorders>
              <w:left w:val="nil"/>
            </w:tcBorders>
            <w:shd w:val="clear" w:color="auto" w:fill="D3DFEE"/>
          </w:tcPr>
          <w:p w14:paraId="09631CCC" w14:textId="77777777" w:rsidR="003D42A6" w:rsidRPr="00117BF8" w:rsidRDefault="003D42A6" w:rsidP="00B05717">
            <w:pPr>
              <w:pStyle w:val="TablaC"/>
              <w:rPr>
                <w:rFonts w:ascii="Arial" w:hAnsi="Arial" w:cs="Arial"/>
                <w:sz w:val="18"/>
                <w:szCs w:val="18"/>
              </w:rPr>
            </w:pPr>
            <w:r w:rsidRPr="00117BF8">
              <w:rPr>
                <w:rFonts w:ascii="Arial" w:hAnsi="Arial" w:cs="Arial"/>
                <w:sz w:val="18"/>
                <w:szCs w:val="18"/>
              </w:rPr>
              <w:t>2,7%</w:t>
            </w:r>
          </w:p>
        </w:tc>
      </w:tr>
      <w:tr w:rsidR="00B05717" w:rsidRPr="00AF0E82" w14:paraId="608BF47F" w14:textId="77777777" w:rsidTr="00B05717">
        <w:tc>
          <w:tcPr>
            <w:tcW w:w="2922" w:type="dxa"/>
            <w:tcBorders>
              <w:right w:val="nil"/>
            </w:tcBorders>
            <w:shd w:val="clear" w:color="auto" w:fill="auto"/>
          </w:tcPr>
          <w:p w14:paraId="55DB418B" w14:textId="77777777" w:rsidR="003D42A6" w:rsidRPr="00117BF8" w:rsidRDefault="003D42A6" w:rsidP="00B05717">
            <w:pPr>
              <w:pStyle w:val="TablaC"/>
              <w:jc w:val="left"/>
              <w:rPr>
                <w:rFonts w:ascii="Arial" w:hAnsi="Arial" w:cs="Arial"/>
                <w:b/>
                <w:bCs/>
                <w:sz w:val="18"/>
                <w:szCs w:val="18"/>
              </w:rPr>
            </w:pPr>
            <w:r w:rsidRPr="00117BF8">
              <w:rPr>
                <w:rFonts w:ascii="Arial" w:hAnsi="Arial" w:cs="Arial"/>
                <w:b/>
                <w:bCs/>
                <w:sz w:val="18"/>
                <w:szCs w:val="18"/>
              </w:rPr>
              <w:t>Precios Implícitos PIB</w:t>
            </w:r>
            <w:r w:rsidR="003249B2" w:rsidRPr="00117BF8">
              <w:rPr>
                <w:rFonts w:ascii="Arial" w:hAnsi="Arial" w:cs="Arial"/>
                <w:b/>
                <w:bCs/>
                <w:sz w:val="18"/>
                <w:szCs w:val="18"/>
              </w:rPr>
              <w:t xml:space="preserve"> (2)</w:t>
            </w:r>
          </w:p>
        </w:tc>
        <w:tc>
          <w:tcPr>
            <w:tcW w:w="1417" w:type="dxa"/>
            <w:tcBorders>
              <w:left w:val="nil"/>
              <w:right w:val="nil"/>
            </w:tcBorders>
            <w:shd w:val="clear" w:color="auto" w:fill="auto"/>
          </w:tcPr>
          <w:p w14:paraId="576E5393" w14:textId="77777777" w:rsidR="003D42A6" w:rsidRPr="00117BF8" w:rsidRDefault="003D42A6" w:rsidP="00B05717">
            <w:pPr>
              <w:pStyle w:val="TablaC"/>
              <w:rPr>
                <w:rFonts w:ascii="Arial" w:hAnsi="Arial" w:cs="Arial"/>
                <w:sz w:val="18"/>
                <w:szCs w:val="18"/>
              </w:rPr>
            </w:pPr>
            <w:r w:rsidRPr="00117BF8">
              <w:rPr>
                <w:rFonts w:ascii="Arial" w:hAnsi="Arial" w:cs="Arial"/>
                <w:sz w:val="18"/>
                <w:szCs w:val="18"/>
              </w:rPr>
              <w:t>37,2%</w:t>
            </w:r>
          </w:p>
        </w:tc>
        <w:tc>
          <w:tcPr>
            <w:tcW w:w="1410" w:type="dxa"/>
            <w:tcBorders>
              <w:left w:val="nil"/>
              <w:right w:val="nil"/>
            </w:tcBorders>
            <w:shd w:val="clear" w:color="auto" w:fill="auto"/>
          </w:tcPr>
          <w:p w14:paraId="3E8925B0" w14:textId="77777777" w:rsidR="003D42A6" w:rsidRPr="00117BF8" w:rsidRDefault="003D42A6" w:rsidP="00B05717">
            <w:pPr>
              <w:pStyle w:val="TablaC"/>
              <w:rPr>
                <w:rFonts w:ascii="Arial" w:hAnsi="Arial" w:cs="Arial"/>
                <w:sz w:val="18"/>
                <w:szCs w:val="18"/>
              </w:rPr>
            </w:pPr>
            <w:r w:rsidRPr="00117BF8">
              <w:rPr>
                <w:rFonts w:ascii="Arial" w:hAnsi="Arial" w:cs="Arial"/>
                <w:sz w:val="18"/>
                <w:szCs w:val="18"/>
              </w:rPr>
              <w:t>38,7</w:t>
            </w:r>
          </w:p>
        </w:tc>
        <w:tc>
          <w:tcPr>
            <w:tcW w:w="1417" w:type="dxa"/>
            <w:tcBorders>
              <w:left w:val="nil"/>
              <w:right w:val="nil"/>
            </w:tcBorders>
            <w:shd w:val="clear" w:color="auto" w:fill="auto"/>
          </w:tcPr>
          <w:p w14:paraId="2E77B15F" w14:textId="77777777" w:rsidR="003D42A6" w:rsidRPr="00117BF8" w:rsidRDefault="003D42A6" w:rsidP="00B05717">
            <w:pPr>
              <w:pStyle w:val="TablaC"/>
              <w:rPr>
                <w:rFonts w:ascii="Arial" w:hAnsi="Arial" w:cs="Arial"/>
                <w:sz w:val="18"/>
                <w:szCs w:val="18"/>
              </w:rPr>
            </w:pPr>
            <w:r w:rsidRPr="00117BF8">
              <w:rPr>
                <w:rFonts w:ascii="Arial" w:hAnsi="Arial" w:cs="Arial"/>
                <w:sz w:val="18"/>
                <w:szCs w:val="18"/>
              </w:rPr>
              <w:t>19,4%</w:t>
            </w:r>
          </w:p>
        </w:tc>
        <w:tc>
          <w:tcPr>
            <w:tcW w:w="1414" w:type="dxa"/>
            <w:tcBorders>
              <w:left w:val="nil"/>
            </w:tcBorders>
            <w:shd w:val="clear" w:color="auto" w:fill="auto"/>
          </w:tcPr>
          <w:p w14:paraId="40DC5A96" w14:textId="77777777" w:rsidR="003D42A6" w:rsidRPr="00117BF8" w:rsidRDefault="003D42A6" w:rsidP="00B05717">
            <w:pPr>
              <w:pStyle w:val="TablaC"/>
              <w:rPr>
                <w:rFonts w:ascii="Arial" w:hAnsi="Arial" w:cs="Arial"/>
                <w:sz w:val="18"/>
                <w:szCs w:val="18"/>
              </w:rPr>
            </w:pPr>
            <w:r w:rsidRPr="00117BF8">
              <w:rPr>
                <w:rFonts w:ascii="Arial" w:hAnsi="Arial" w:cs="Arial"/>
                <w:sz w:val="18"/>
                <w:szCs w:val="18"/>
              </w:rPr>
              <w:t>30,4%</w:t>
            </w:r>
          </w:p>
        </w:tc>
      </w:tr>
      <w:tr w:rsidR="00B05717" w:rsidRPr="00AF0E82" w14:paraId="7ACF61FC" w14:textId="77777777" w:rsidTr="00B05717">
        <w:tc>
          <w:tcPr>
            <w:tcW w:w="2922" w:type="dxa"/>
            <w:tcBorders>
              <w:right w:val="nil"/>
            </w:tcBorders>
            <w:shd w:val="clear" w:color="auto" w:fill="D3DFEE"/>
          </w:tcPr>
          <w:p w14:paraId="742F9B54" w14:textId="77777777" w:rsidR="003D42A6" w:rsidRPr="00117BF8" w:rsidRDefault="003D42A6" w:rsidP="00B05717">
            <w:pPr>
              <w:pStyle w:val="TablaC"/>
              <w:jc w:val="left"/>
              <w:rPr>
                <w:rFonts w:ascii="Arial" w:hAnsi="Arial" w:cs="Arial"/>
                <w:b/>
                <w:bCs/>
                <w:sz w:val="18"/>
                <w:szCs w:val="18"/>
              </w:rPr>
            </w:pPr>
            <w:r w:rsidRPr="00117BF8">
              <w:rPr>
                <w:rFonts w:ascii="Arial" w:hAnsi="Arial" w:cs="Arial"/>
                <w:b/>
                <w:bCs/>
                <w:sz w:val="18"/>
                <w:szCs w:val="18"/>
              </w:rPr>
              <w:t>Variación Nominal 2015 = 100</w:t>
            </w:r>
          </w:p>
        </w:tc>
        <w:tc>
          <w:tcPr>
            <w:tcW w:w="1417" w:type="dxa"/>
            <w:tcBorders>
              <w:left w:val="nil"/>
              <w:right w:val="nil"/>
            </w:tcBorders>
            <w:shd w:val="clear" w:color="auto" w:fill="D3DFEE"/>
          </w:tcPr>
          <w:p w14:paraId="6166D4A2" w14:textId="77777777" w:rsidR="003D42A6" w:rsidRPr="00117BF8" w:rsidRDefault="003D42A6" w:rsidP="00B05717">
            <w:pPr>
              <w:pStyle w:val="TablaC"/>
              <w:rPr>
                <w:rFonts w:ascii="Arial" w:hAnsi="Arial" w:cs="Arial"/>
                <w:color w:val="000000"/>
                <w:sz w:val="18"/>
                <w:szCs w:val="18"/>
                <w:lang w:val="es-AR" w:eastAsia="es-AR"/>
              </w:rPr>
            </w:pPr>
            <w:r w:rsidRPr="00117BF8">
              <w:rPr>
                <w:rFonts w:ascii="Arial" w:hAnsi="Arial" w:cs="Arial"/>
                <w:color w:val="000000"/>
                <w:sz w:val="18"/>
                <w:szCs w:val="18"/>
                <w:lang w:eastAsia="es-AR"/>
              </w:rPr>
              <w:t>135,1</w:t>
            </w:r>
          </w:p>
        </w:tc>
        <w:tc>
          <w:tcPr>
            <w:tcW w:w="1410" w:type="dxa"/>
            <w:tcBorders>
              <w:left w:val="nil"/>
              <w:right w:val="nil"/>
            </w:tcBorders>
            <w:shd w:val="clear" w:color="auto" w:fill="D3DFEE"/>
          </w:tcPr>
          <w:p w14:paraId="40F83314" w14:textId="77777777" w:rsidR="003D42A6" w:rsidRPr="00117BF8" w:rsidRDefault="003D42A6" w:rsidP="00B05717">
            <w:pPr>
              <w:pStyle w:val="TablaC"/>
              <w:rPr>
                <w:rFonts w:ascii="Arial" w:hAnsi="Arial" w:cs="Arial"/>
                <w:color w:val="000000"/>
                <w:sz w:val="18"/>
                <w:szCs w:val="18"/>
                <w:lang w:val="es-AR" w:eastAsia="es-AR"/>
              </w:rPr>
            </w:pPr>
            <w:r w:rsidRPr="00117BF8">
              <w:rPr>
                <w:rFonts w:ascii="Arial" w:hAnsi="Arial" w:cs="Arial"/>
                <w:color w:val="000000"/>
                <w:sz w:val="18"/>
                <w:szCs w:val="18"/>
                <w:lang w:eastAsia="es-AR"/>
              </w:rPr>
              <w:t>135,1</w:t>
            </w:r>
          </w:p>
        </w:tc>
        <w:tc>
          <w:tcPr>
            <w:tcW w:w="1417" w:type="dxa"/>
            <w:tcBorders>
              <w:left w:val="nil"/>
              <w:right w:val="nil"/>
            </w:tcBorders>
            <w:shd w:val="clear" w:color="auto" w:fill="D3DFEE"/>
          </w:tcPr>
          <w:p w14:paraId="0CCC5325" w14:textId="77777777" w:rsidR="003D42A6" w:rsidRPr="00117BF8" w:rsidRDefault="003D42A6" w:rsidP="00B05717">
            <w:pPr>
              <w:pStyle w:val="TablaC"/>
              <w:rPr>
                <w:rFonts w:ascii="Arial" w:hAnsi="Arial" w:cs="Arial"/>
                <w:color w:val="000000"/>
                <w:sz w:val="18"/>
                <w:szCs w:val="18"/>
                <w:lang w:val="es-AR" w:eastAsia="es-AR"/>
              </w:rPr>
            </w:pPr>
            <w:r w:rsidRPr="00117BF8">
              <w:rPr>
                <w:rFonts w:ascii="Arial" w:hAnsi="Arial" w:cs="Arial"/>
                <w:color w:val="000000"/>
                <w:sz w:val="18"/>
                <w:szCs w:val="18"/>
                <w:lang w:eastAsia="es-AR"/>
              </w:rPr>
              <w:t>167,0</w:t>
            </w:r>
          </w:p>
        </w:tc>
        <w:tc>
          <w:tcPr>
            <w:tcW w:w="1414" w:type="dxa"/>
            <w:tcBorders>
              <w:left w:val="nil"/>
            </w:tcBorders>
            <w:shd w:val="clear" w:color="auto" w:fill="D3DFEE"/>
          </w:tcPr>
          <w:p w14:paraId="159E73DB" w14:textId="77777777" w:rsidR="003D42A6" w:rsidRPr="00117BF8" w:rsidRDefault="003D42A6" w:rsidP="00B05717">
            <w:pPr>
              <w:pStyle w:val="TablaC"/>
              <w:rPr>
                <w:rFonts w:ascii="Arial" w:hAnsi="Arial" w:cs="Arial"/>
                <w:color w:val="000000"/>
                <w:sz w:val="18"/>
                <w:szCs w:val="18"/>
                <w:lang w:val="es-AR" w:eastAsia="es-AR"/>
              </w:rPr>
            </w:pPr>
            <w:r w:rsidRPr="00117BF8">
              <w:rPr>
                <w:rFonts w:ascii="Arial" w:hAnsi="Arial" w:cs="Arial"/>
                <w:color w:val="000000"/>
                <w:sz w:val="18"/>
                <w:szCs w:val="18"/>
                <w:lang w:eastAsia="es-AR"/>
              </w:rPr>
              <w:t>181,0</w:t>
            </w:r>
          </w:p>
        </w:tc>
      </w:tr>
    </w:tbl>
    <w:p w14:paraId="00EF010E" w14:textId="77777777" w:rsidR="00D94480" w:rsidRPr="00117BF8" w:rsidRDefault="00347923" w:rsidP="00347923">
      <w:pPr>
        <w:pStyle w:val="Hfuente"/>
        <w:rPr>
          <w:rFonts w:ascii="Arial" w:hAnsi="Arial" w:cs="Arial"/>
          <w:sz w:val="18"/>
          <w:szCs w:val="18"/>
        </w:rPr>
      </w:pPr>
      <w:r w:rsidRPr="00117BF8">
        <w:rPr>
          <w:rFonts w:ascii="Arial" w:hAnsi="Arial" w:cs="Arial"/>
          <w:sz w:val="18"/>
          <w:szCs w:val="18"/>
        </w:rPr>
        <w:t xml:space="preserve">Fuente: Elaboración propia sobre datos de Comunicado de Prensa Ley de Presupuesto Nacional 2017, INDEC, </w:t>
      </w:r>
      <w:r w:rsidR="003024E7" w:rsidRPr="00117BF8">
        <w:rPr>
          <w:rFonts w:ascii="Arial" w:hAnsi="Arial" w:cs="Arial"/>
          <w:sz w:val="18"/>
          <w:szCs w:val="18"/>
        </w:rPr>
        <w:t>BM</w:t>
      </w:r>
      <w:r w:rsidRPr="00117BF8">
        <w:rPr>
          <w:rFonts w:ascii="Arial" w:hAnsi="Arial" w:cs="Arial"/>
          <w:sz w:val="18"/>
          <w:szCs w:val="18"/>
        </w:rPr>
        <w:t xml:space="preserve"> y REM</w:t>
      </w:r>
      <w:r w:rsidR="003249B2" w:rsidRPr="00117BF8">
        <w:rPr>
          <w:rFonts w:ascii="Arial" w:hAnsi="Arial" w:cs="Arial"/>
          <w:sz w:val="18"/>
          <w:szCs w:val="18"/>
        </w:rPr>
        <w:t xml:space="preserve">. (1) Tanto el </w:t>
      </w:r>
      <w:r w:rsidR="003024E7" w:rsidRPr="00117BF8">
        <w:rPr>
          <w:rFonts w:ascii="Arial" w:hAnsi="Arial" w:cs="Arial"/>
          <w:sz w:val="18"/>
          <w:szCs w:val="18"/>
        </w:rPr>
        <w:t>BM</w:t>
      </w:r>
      <w:r w:rsidR="003249B2" w:rsidRPr="00117BF8">
        <w:rPr>
          <w:rFonts w:ascii="Arial" w:hAnsi="Arial" w:cs="Arial"/>
          <w:sz w:val="18"/>
          <w:szCs w:val="18"/>
        </w:rPr>
        <w:t xml:space="preserve"> como el REM estiman un crecimiento del 2,7%. (2) Los precios implícitos 2017 se calculan como el promedio de </w:t>
      </w:r>
      <w:r w:rsidR="0040400E" w:rsidRPr="00117BF8">
        <w:rPr>
          <w:rFonts w:ascii="Arial" w:hAnsi="Arial" w:cs="Arial"/>
          <w:sz w:val="18"/>
          <w:szCs w:val="18"/>
        </w:rPr>
        <w:t xml:space="preserve">la variación de </w:t>
      </w:r>
      <w:r w:rsidR="003249B2" w:rsidRPr="00117BF8">
        <w:rPr>
          <w:rFonts w:ascii="Arial" w:hAnsi="Arial" w:cs="Arial"/>
          <w:sz w:val="18"/>
          <w:szCs w:val="18"/>
        </w:rPr>
        <w:t>los precios implícitos 2016 y el IPC proyectado para 2017 por el REM (22%).</w:t>
      </w:r>
    </w:p>
    <w:p w14:paraId="6C0816FA" w14:textId="77777777" w:rsidR="003249B2" w:rsidRPr="00117BF8" w:rsidRDefault="003249B2" w:rsidP="0021263A">
      <w:pPr>
        <w:pStyle w:val="hsa"/>
        <w:rPr>
          <w:rFonts w:ascii="Arial" w:hAnsi="Arial" w:cs="Arial"/>
          <w:sz w:val="22"/>
          <w:szCs w:val="22"/>
        </w:rPr>
      </w:pPr>
      <w:r w:rsidRPr="00117BF8">
        <w:rPr>
          <w:rFonts w:ascii="Arial" w:hAnsi="Arial" w:cs="Arial"/>
          <w:sz w:val="22"/>
          <w:szCs w:val="22"/>
        </w:rPr>
        <w:t>Considerando los supuestos precedentes el Producto a valores corrientes durante el 2017 sería 8,4% superior que el considerado en el presupuesto (A precios 2015 181 vs 167).</w:t>
      </w:r>
    </w:p>
    <w:p w14:paraId="0D666B10" w14:textId="7BF5C264" w:rsidR="004A4725" w:rsidRPr="00117BF8" w:rsidRDefault="004D19B3" w:rsidP="0021263A">
      <w:pPr>
        <w:pStyle w:val="hsa"/>
        <w:rPr>
          <w:rFonts w:ascii="Arial" w:hAnsi="Arial" w:cs="Arial"/>
          <w:sz w:val="22"/>
          <w:szCs w:val="22"/>
        </w:rPr>
      </w:pPr>
      <w:r w:rsidRPr="00117BF8">
        <w:rPr>
          <w:rFonts w:ascii="Arial" w:hAnsi="Arial" w:cs="Arial"/>
          <w:sz w:val="22"/>
          <w:szCs w:val="22"/>
        </w:rPr>
        <w:t>Al 31/3 se ha ejecutado el 22% de los ingresos corrientes y el 21% de los gastos corrientes, con un resultado económico levemente positivo</w:t>
      </w:r>
      <w:r w:rsidR="00777FB0" w:rsidRPr="00117BF8">
        <w:rPr>
          <w:rFonts w:ascii="Arial" w:hAnsi="Arial" w:cs="Arial"/>
          <w:sz w:val="22"/>
          <w:szCs w:val="22"/>
        </w:rPr>
        <w:t>, al igual que el resultado financiero</w:t>
      </w:r>
      <w:r w:rsidRPr="00117BF8">
        <w:rPr>
          <w:rFonts w:ascii="Arial" w:hAnsi="Arial" w:cs="Arial"/>
          <w:sz w:val="22"/>
          <w:szCs w:val="22"/>
        </w:rPr>
        <w:t>.</w:t>
      </w:r>
      <w:r w:rsidR="00777FB0" w:rsidRPr="00117BF8">
        <w:rPr>
          <w:rFonts w:ascii="Arial" w:hAnsi="Arial" w:cs="Arial"/>
          <w:sz w:val="22"/>
          <w:szCs w:val="22"/>
        </w:rPr>
        <w:t xml:space="preserve"> El endeudamiento ha superado el 50% de lo presupuestado y siendo las amortizaciones de deuda el 39%, ha quedado un excedente colocado en inversiones financieras. El resultado primario es de 4.850 millones de pesos.</w:t>
      </w:r>
      <w:r w:rsidR="00BC53E2" w:rsidRPr="00117BF8">
        <w:rPr>
          <w:rFonts w:ascii="Arial" w:hAnsi="Arial" w:cs="Arial"/>
          <w:sz w:val="22"/>
          <w:szCs w:val="22"/>
        </w:rPr>
        <w:t xml:space="preserve"> De mantenerse a valores positivos, significaría para el año 2017 un</w:t>
      </w:r>
      <w:r w:rsidR="00AF0E82">
        <w:rPr>
          <w:rFonts w:ascii="Arial" w:hAnsi="Arial" w:cs="Arial"/>
          <w:sz w:val="22"/>
          <w:szCs w:val="22"/>
        </w:rPr>
        <w:t xml:space="preserve"> </w:t>
      </w:r>
      <w:r w:rsidR="00BC53E2" w:rsidRPr="00117BF8">
        <w:rPr>
          <w:rFonts w:ascii="Arial" w:hAnsi="Arial" w:cs="Arial"/>
          <w:sz w:val="22"/>
          <w:szCs w:val="22"/>
        </w:rPr>
        <w:t>importante reversión de los resultados, en el próximo capítulo se vuelve sobre esto.</w:t>
      </w:r>
    </w:p>
    <w:tbl>
      <w:tblPr>
        <w:tblW w:w="8748" w:type="dxa"/>
        <w:tblInd w:w="55" w:type="dxa"/>
        <w:tblBorders>
          <w:top w:val="single" w:sz="4" w:space="0" w:color="92CDDC"/>
          <w:left w:val="single" w:sz="4" w:space="0" w:color="92CDDC"/>
          <w:bottom w:val="single" w:sz="4" w:space="0" w:color="92CDDC"/>
          <w:right w:val="single" w:sz="4" w:space="0" w:color="92CDDC"/>
        </w:tblBorders>
        <w:tblCellMar>
          <w:left w:w="70" w:type="dxa"/>
          <w:right w:w="70" w:type="dxa"/>
        </w:tblCellMar>
        <w:tblLook w:val="04A0" w:firstRow="1" w:lastRow="0" w:firstColumn="1" w:lastColumn="0" w:noHBand="0" w:noVBand="1"/>
      </w:tblPr>
      <w:tblGrid>
        <w:gridCol w:w="3984"/>
        <w:gridCol w:w="1588"/>
        <w:gridCol w:w="1588"/>
        <w:gridCol w:w="1588"/>
      </w:tblGrid>
      <w:tr w:rsidR="00D71205" w:rsidRPr="004E6455" w14:paraId="00423CEA" w14:textId="77777777" w:rsidTr="00B05717">
        <w:trPr>
          <w:trHeight w:val="315"/>
          <w:tblHeader/>
        </w:trPr>
        <w:tc>
          <w:tcPr>
            <w:tcW w:w="8748" w:type="dxa"/>
            <w:gridSpan w:val="4"/>
            <w:tcBorders>
              <w:top w:val="single" w:sz="4" w:space="0" w:color="92CDDC"/>
              <w:bottom w:val="single" w:sz="4" w:space="0" w:color="92CDDC"/>
            </w:tcBorders>
            <w:shd w:val="clear" w:color="auto" w:fill="0070C0"/>
            <w:noWrap/>
            <w:hideMark/>
          </w:tcPr>
          <w:p w14:paraId="2D25F598" w14:textId="1E2F72F0" w:rsidR="00D71205" w:rsidRPr="00117BF8" w:rsidRDefault="00D71205" w:rsidP="00D71205">
            <w:pPr>
              <w:pStyle w:val="TablaT"/>
              <w:rPr>
                <w:rFonts w:ascii="Arial" w:hAnsi="Arial" w:cs="Arial"/>
                <w:sz w:val="22"/>
                <w:szCs w:val="22"/>
                <w:lang w:val="es-ES_tradnl"/>
              </w:rPr>
            </w:pPr>
            <w:bookmarkStart w:id="95" w:name="_Toc493861148"/>
            <w:r w:rsidRPr="00117BF8">
              <w:rPr>
                <w:rFonts w:ascii="Arial" w:hAnsi="Arial" w:cs="Arial"/>
                <w:sz w:val="22"/>
                <w:szCs w:val="22"/>
                <w:lang w:val="es-ES_tradnl"/>
              </w:rPr>
              <w:t xml:space="preserve">Tabla </w:t>
            </w:r>
            <w:r w:rsidR="00883677" w:rsidRPr="00117BF8">
              <w:rPr>
                <w:rFonts w:ascii="Arial" w:hAnsi="Arial" w:cs="Arial"/>
                <w:sz w:val="22"/>
                <w:szCs w:val="22"/>
                <w:lang w:val="es-ES_tradnl"/>
              </w:rPr>
              <w:t>38</w:t>
            </w:r>
            <w:r w:rsidRPr="00117BF8">
              <w:rPr>
                <w:rFonts w:ascii="Arial" w:hAnsi="Arial" w:cs="Arial"/>
                <w:sz w:val="22"/>
                <w:szCs w:val="22"/>
                <w:lang w:val="es-ES_tradnl"/>
              </w:rPr>
              <w:t>- Ejecución Presupuestaria al 31/3/17</w:t>
            </w:r>
            <w:bookmarkEnd w:id="95"/>
          </w:p>
          <w:p w14:paraId="244B8536" w14:textId="77777777" w:rsidR="00D71205" w:rsidRPr="00117BF8" w:rsidRDefault="00D71205" w:rsidP="00D71205">
            <w:pPr>
              <w:spacing w:after="0"/>
              <w:jc w:val="right"/>
              <w:rPr>
                <w:rFonts w:ascii="Arial" w:hAnsi="Arial" w:cs="Arial"/>
                <w:color w:val="FFFFFF"/>
                <w:sz w:val="22"/>
                <w:szCs w:val="22"/>
                <w:lang w:val="es-AR" w:eastAsia="es-AR"/>
              </w:rPr>
            </w:pPr>
            <w:r w:rsidRPr="004E6455">
              <w:rPr>
                <w:rFonts w:ascii="Arial" w:hAnsi="Arial" w:cs="Arial"/>
                <w:color w:val="FFFFFF"/>
                <w:sz w:val="16"/>
                <w:szCs w:val="16"/>
                <w:lang w:val="es-AR" w:eastAsia="es-AR"/>
              </w:rPr>
              <w:t>Cifras en $ millones</w:t>
            </w:r>
          </w:p>
        </w:tc>
      </w:tr>
      <w:tr w:rsidR="004D19B3" w:rsidRPr="004E6455" w14:paraId="5D8359CE" w14:textId="77777777" w:rsidTr="00B05717">
        <w:trPr>
          <w:trHeight w:val="300"/>
          <w:tblHeader/>
        </w:trPr>
        <w:tc>
          <w:tcPr>
            <w:tcW w:w="3984" w:type="dxa"/>
            <w:tcBorders>
              <w:top w:val="single" w:sz="4" w:space="0" w:color="92CDDC"/>
              <w:bottom w:val="nil"/>
            </w:tcBorders>
            <w:shd w:val="clear" w:color="auto" w:fill="0070C0"/>
            <w:noWrap/>
            <w:hideMark/>
          </w:tcPr>
          <w:p w14:paraId="08279DC0" w14:textId="77777777" w:rsidR="004A4725" w:rsidRPr="00117BF8" w:rsidRDefault="00D71205" w:rsidP="00D71205">
            <w:pPr>
              <w:pStyle w:val="TablaE"/>
              <w:rPr>
                <w:rFonts w:ascii="Arial" w:hAnsi="Arial" w:cs="Arial"/>
                <w:sz w:val="22"/>
                <w:szCs w:val="22"/>
              </w:rPr>
            </w:pPr>
            <w:r w:rsidRPr="00117BF8">
              <w:rPr>
                <w:rFonts w:ascii="Arial" w:hAnsi="Arial" w:cs="Arial"/>
                <w:sz w:val="22"/>
                <w:szCs w:val="22"/>
              </w:rPr>
              <w:t>Concepto</w:t>
            </w:r>
          </w:p>
        </w:tc>
        <w:tc>
          <w:tcPr>
            <w:tcW w:w="1588" w:type="dxa"/>
            <w:tcBorders>
              <w:top w:val="single" w:sz="4" w:space="0" w:color="92CDDC"/>
              <w:bottom w:val="nil"/>
            </w:tcBorders>
            <w:shd w:val="clear" w:color="auto" w:fill="0070C0"/>
            <w:hideMark/>
          </w:tcPr>
          <w:p w14:paraId="72DB7FD4" w14:textId="77777777" w:rsidR="004A4725" w:rsidRPr="00117BF8" w:rsidRDefault="004C1D60" w:rsidP="00D71205">
            <w:pPr>
              <w:pStyle w:val="TablaE"/>
              <w:rPr>
                <w:rFonts w:ascii="Arial" w:hAnsi="Arial" w:cs="Arial"/>
                <w:sz w:val="22"/>
                <w:szCs w:val="22"/>
              </w:rPr>
            </w:pPr>
            <w:r w:rsidRPr="00117BF8">
              <w:rPr>
                <w:rFonts w:ascii="Arial" w:hAnsi="Arial" w:cs="Arial"/>
                <w:sz w:val="22"/>
                <w:szCs w:val="22"/>
              </w:rPr>
              <w:t>Cré</w:t>
            </w:r>
            <w:r w:rsidR="00D71205" w:rsidRPr="00117BF8">
              <w:rPr>
                <w:rFonts w:ascii="Arial" w:hAnsi="Arial" w:cs="Arial"/>
                <w:sz w:val="22"/>
                <w:szCs w:val="22"/>
              </w:rPr>
              <w:t>dito Anual</w:t>
            </w:r>
          </w:p>
        </w:tc>
        <w:tc>
          <w:tcPr>
            <w:tcW w:w="1588" w:type="dxa"/>
            <w:tcBorders>
              <w:top w:val="single" w:sz="4" w:space="0" w:color="92CDDC"/>
              <w:bottom w:val="nil"/>
            </w:tcBorders>
            <w:shd w:val="clear" w:color="auto" w:fill="0070C0"/>
            <w:hideMark/>
          </w:tcPr>
          <w:p w14:paraId="69C3CF41" w14:textId="77777777" w:rsidR="004A4725" w:rsidRPr="00117BF8" w:rsidRDefault="00D71205" w:rsidP="00D71205">
            <w:pPr>
              <w:pStyle w:val="TablaE"/>
              <w:rPr>
                <w:rFonts w:ascii="Arial" w:hAnsi="Arial" w:cs="Arial"/>
                <w:sz w:val="22"/>
                <w:szCs w:val="22"/>
              </w:rPr>
            </w:pPr>
            <w:r w:rsidRPr="00117BF8">
              <w:rPr>
                <w:rFonts w:ascii="Arial" w:hAnsi="Arial" w:cs="Arial"/>
                <w:sz w:val="22"/>
                <w:szCs w:val="22"/>
              </w:rPr>
              <w:t>Acumulado</w:t>
            </w:r>
          </w:p>
        </w:tc>
        <w:tc>
          <w:tcPr>
            <w:tcW w:w="1588" w:type="dxa"/>
            <w:tcBorders>
              <w:top w:val="single" w:sz="4" w:space="0" w:color="92CDDC"/>
              <w:bottom w:val="nil"/>
            </w:tcBorders>
            <w:shd w:val="clear" w:color="auto" w:fill="0070C0"/>
            <w:noWrap/>
            <w:hideMark/>
          </w:tcPr>
          <w:p w14:paraId="17F2ED39" w14:textId="77777777" w:rsidR="004A4725" w:rsidRPr="00117BF8" w:rsidRDefault="00D71205" w:rsidP="00D71205">
            <w:pPr>
              <w:pStyle w:val="TablaE"/>
              <w:rPr>
                <w:rFonts w:ascii="Arial" w:hAnsi="Arial" w:cs="Arial"/>
                <w:sz w:val="22"/>
                <w:szCs w:val="22"/>
              </w:rPr>
            </w:pPr>
            <w:r w:rsidRPr="00117BF8">
              <w:rPr>
                <w:rFonts w:ascii="Arial" w:hAnsi="Arial" w:cs="Arial"/>
                <w:sz w:val="22"/>
                <w:szCs w:val="22"/>
              </w:rPr>
              <w:t>% Acumulado</w:t>
            </w:r>
          </w:p>
        </w:tc>
      </w:tr>
      <w:tr w:rsidR="00B05717" w:rsidRPr="004E6455" w14:paraId="7AE7553D" w14:textId="77777777" w:rsidTr="00B05717">
        <w:trPr>
          <w:trHeight w:val="300"/>
        </w:trPr>
        <w:tc>
          <w:tcPr>
            <w:tcW w:w="3984" w:type="dxa"/>
            <w:tcBorders>
              <w:top w:val="nil"/>
            </w:tcBorders>
            <w:shd w:val="clear" w:color="auto" w:fill="auto"/>
            <w:noWrap/>
            <w:hideMark/>
          </w:tcPr>
          <w:p w14:paraId="13191339"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Ingresos Tributarios</w:t>
            </w:r>
          </w:p>
        </w:tc>
        <w:tc>
          <w:tcPr>
            <w:tcW w:w="1588" w:type="dxa"/>
            <w:tcBorders>
              <w:top w:val="nil"/>
            </w:tcBorders>
            <w:shd w:val="clear" w:color="auto" w:fill="auto"/>
            <w:noWrap/>
            <w:hideMark/>
          </w:tcPr>
          <w:p w14:paraId="44032DF3"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338.682</w:t>
            </w:r>
          </w:p>
        </w:tc>
        <w:tc>
          <w:tcPr>
            <w:tcW w:w="1588" w:type="dxa"/>
            <w:tcBorders>
              <w:top w:val="nil"/>
            </w:tcBorders>
            <w:shd w:val="clear" w:color="auto" w:fill="auto"/>
            <w:noWrap/>
            <w:hideMark/>
          </w:tcPr>
          <w:p w14:paraId="49069E9D"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83.696,78</w:t>
            </w:r>
          </w:p>
        </w:tc>
        <w:tc>
          <w:tcPr>
            <w:tcW w:w="1588" w:type="dxa"/>
            <w:tcBorders>
              <w:top w:val="nil"/>
            </w:tcBorders>
            <w:shd w:val="clear" w:color="auto" w:fill="auto"/>
            <w:noWrap/>
            <w:hideMark/>
          </w:tcPr>
          <w:p w14:paraId="1DFFD6FC"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25%</w:t>
            </w:r>
          </w:p>
        </w:tc>
      </w:tr>
      <w:tr w:rsidR="00B05717" w:rsidRPr="004E6455" w14:paraId="1C369513" w14:textId="77777777" w:rsidTr="00B05717">
        <w:trPr>
          <w:trHeight w:val="300"/>
        </w:trPr>
        <w:tc>
          <w:tcPr>
            <w:tcW w:w="3984" w:type="dxa"/>
            <w:shd w:val="clear" w:color="auto" w:fill="auto"/>
            <w:noWrap/>
            <w:hideMark/>
          </w:tcPr>
          <w:p w14:paraId="17BE013F"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De Origen Provincial</w:t>
            </w:r>
          </w:p>
        </w:tc>
        <w:tc>
          <w:tcPr>
            <w:tcW w:w="1588" w:type="dxa"/>
            <w:shd w:val="clear" w:color="auto" w:fill="auto"/>
            <w:noWrap/>
            <w:hideMark/>
          </w:tcPr>
          <w:p w14:paraId="6F427991"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200.432,96</w:t>
            </w:r>
          </w:p>
        </w:tc>
        <w:tc>
          <w:tcPr>
            <w:tcW w:w="1588" w:type="dxa"/>
            <w:shd w:val="clear" w:color="auto" w:fill="auto"/>
            <w:noWrap/>
            <w:hideMark/>
          </w:tcPr>
          <w:p w14:paraId="643EABE8"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51.885,82</w:t>
            </w:r>
          </w:p>
        </w:tc>
        <w:tc>
          <w:tcPr>
            <w:tcW w:w="1588" w:type="dxa"/>
            <w:shd w:val="clear" w:color="auto" w:fill="auto"/>
            <w:noWrap/>
            <w:hideMark/>
          </w:tcPr>
          <w:p w14:paraId="5355C36A"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26%</w:t>
            </w:r>
          </w:p>
        </w:tc>
      </w:tr>
      <w:tr w:rsidR="00B05717" w:rsidRPr="004E6455" w14:paraId="50C5BD65" w14:textId="77777777" w:rsidTr="00B05717">
        <w:trPr>
          <w:trHeight w:val="300"/>
        </w:trPr>
        <w:tc>
          <w:tcPr>
            <w:tcW w:w="3984" w:type="dxa"/>
            <w:shd w:val="clear" w:color="auto" w:fill="auto"/>
            <w:noWrap/>
            <w:hideMark/>
          </w:tcPr>
          <w:p w14:paraId="7501AC07"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De Origen Nacional</w:t>
            </w:r>
          </w:p>
        </w:tc>
        <w:tc>
          <w:tcPr>
            <w:tcW w:w="1588" w:type="dxa"/>
            <w:shd w:val="clear" w:color="auto" w:fill="auto"/>
            <w:noWrap/>
            <w:hideMark/>
          </w:tcPr>
          <w:p w14:paraId="5C31763D"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138.249,35</w:t>
            </w:r>
          </w:p>
        </w:tc>
        <w:tc>
          <w:tcPr>
            <w:tcW w:w="1588" w:type="dxa"/>
            <w:shd w:val="clear" w:color="auto" w:fill="auto"/>
            <w:noWrap/>
            <w:hideMark/>
          </w:tcPr>
          <w:p w14:paraId="7091D900"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31.810,96</w:t>
            </w:r>
          </w:p>
        </w:tc>
        <w:tc>
          <w:tcPr>
            <w:tcW w:w="1588" w:type="dxa"/>
            <w:shd w:val="clear" w:color="auto" w:fill="auto"/>
            <w:noWrap/>
            <w:hideMark/>
          </w:tcPr>
          <w:p w14:paraId="263EC2D9"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23%</w:t>
            </w:r>
          </w:p>
        </w:tc>
      </w:tr>
      <w:tr w:rsidR="00B05717" w:rsidRPr="004E6455" w14:paraId="6F24BA5E" w14:textId="77777777" w:rsidTr="00B05717">
        <w:trPr>
          <w:trHeight w:val="300"/>
        </w:trPr>
        <w:tc>
          <w:tcPr>
            <w:tcW w:w="3984" w:type="dxa"/>
            <w:shd w:val="clear" w:color="auto" w:fill="auto"/>
            <w:noWrap/>
            <w:hideMark/>
          </w:tcPr>
          <w:p w14:paraId="4CFFBF3B"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Ingresos no Tributarios</w:t>
            </w:r>
          </w:p>
        </w:tc>
        <w:tc>
          <w:tcPr>
            <w:tcW w:w="1588" w:type="dxa"/>
            <w:shd w:val="clear" w:color="auto" w:fill="auto"/>
            <w:noWrap/>
            <w:hideMark/>
          </w:tcPr>
          <w:p w14:paraId="0A5817B9"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4.020,99</w:t>
            </w:r>
          </w:p>
        </w:tc>
        <w:tc>
          <w:tcPr>
            <w:tcW w:w="1588" w:type="dxa"/>
            <w:shd w:val="clear" w:color="auto" w:fill="auto"/>
            <w:noWrap/>
            <w:hideMark/>
          </w:tcPr>
          <w:p w14:paraId="7092CD26"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1.090,68</w:t>
            </w:r>
          </w:p>
        </w:tc>
        <w:tc>
          <w:tcPr>
            <w:tcW w:w="1588" w:type="dxa"/>
            <w:shd w:val="clear" w:color="auto" w:fill="auto"/>
            <w:noWrap/>
            <w:hideMark/>
          </w:tcPr>
          <w:p w14:paraId="4AD52CCE"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27%</w:t>
            </w:r>
          </w:p>
        </w:tc>
      </w:tr>
      <w:tr w:rsidR="00B05717" w:rsidRPr="004E6455" w14:paraId="64D72C59" w14:textId="77777777" w:rsidTr="00B05717">
        <w:trPr>
          <w:trHeight w:val="300"/>
        </w:trPr>
        <w:tc>
          <w:tcPr>
            <w:tcW w:w="3984" w:type="dxa"/>
            <w:shd w:val="clear" w:color="auto" w:fill="auto"/>
            <w:noWrap/>
            <w:hideMark/>
          </w:tcPr>
          <w:p w14:paraId="6F0E98B0"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De Origen Provincial</w:t>
            </w:r>
          </w:p>
        </w:tc>
        <w:tc>
          <w:tcPr>
            <w:tcW w:w="1588" w:type="dxa"/>
            <w:shd w:val="clear" w:color="auto" w:fill="auto"/>
            <w:noWrap/>
            <w:hideMark/>
          </w:tcPr>
          <w:p w14:paraId="1E04918C"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4.020,99</w:t>
            </w:r>
          </w:p>
        </w:tc>
        <w:tc>
          <w:tcPr>
            <w:tcW w:w="1588" w:type="dxa"/>
            <w:shd w:val="clear" w:color="auto" w:fill="auto"/>
            <w:noWrap/>
            <w:hideMark/>
          </w:tcPr>
          <w:p w14:paraId="30507A35"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1.090,68</w:t>
            </w:r>
          </w:p>
        </w:tc>
        <w:tc>
          <w:tcPr>
            <w:tcW w:w="1588" w:type="dxa"/>
            <w:shd w:val="clear" w:color="auto" w:fill="auto"/>
            <w:noWrap/>
            <w:hideMark/>
          </w:tcPr>
          <w:p w14:paraId="1A6D0EA2"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27%</w:t>
            </w:r>
          </w:p>
        </w:tc>
      </w:tr>
      <w:tr w:rsidR="00B05717" w:rsidRPr="004E6455" w14:paraId="5AF181C7" w14:textId="77777777" w:rsidTr="00B05717">
        <w:trPr>
          <w:trHeight w:val="300"/>
        </w:trPr>
        <w:tc>
          <w:tcPr>
            <w:tcW w:w="3984" w:type="dxa"/>
            <w:shd w:val="clear" w:color="auto" w:fill="auto"/>
            <w:noWrap/>
            <w:hideMark/>
          </w:tcPr>
          <w:p w14:paraId="2DCD47D2"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Aportes y Contribuciones</w:t>
            </w:r>
          </w:p>
        </w:tc>
        <w:tc>
          <w:tcPr>
            <w:tcW w:w="1588" w:type="dxa"/>
            <w:shd w:val="clear" w:color="auto" w:fill="auto"/>
            <w:noWrap/>
            <w:hideMark/>
          </w:tcPr>
          <w:p w14:paraId="374915F0"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79.181,57</w:t>
            </w:r>
          </w:p>
        </w:tc>
        <w:tc>
          <w:tcPr>
            <w:tcW w:w="1588" w:type="dxa"/>
            <w:shd w:val="clear" w:color="auto" w:fill="auto"/>
            <w:noWrap/>
            <w:hideMark/>
          </w:tcPr>
          <w:p w14:paraId="09DB5914"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14.796,81</w:t>
            </w:r>
          </w:p>
        </w:tc>
        <w:tc>
          <w:tcPr>
            <w:tcW w:w="1588" w:type="dxa"/>
            <w:shd w:val="clear" w:color="auto" w:fill="auto"/>
            <w:noWrap/>
            <w:hideMark/>
          </w:tcPr>
          <w:p w14:paraId="3EF51348"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19%</w:t>
            </w:r>
          </w:p>
        </w:tc>
      </w:tr>
      <w:tr w:rsidR="00B05717" w:rsidRPr="004E6455" w14:paraId="3CC9955E" w14:textId="77777777" w:rsidTr="00B05717">
        <w:trPr>
          <w:trHeight w:val="300"/>
        </w:trPr>
        <w:tc>
          <w:tcPr>
            <w:tcW w:w="3984" w:type="dxa"/>
            <w:shd w:val="clear" w:color="auto" w:fill="auto"/>
            <w:noWrap/>
            <w:hideMark/>
          </w:tcPr>
          <w:p w14:paraId="7E0C9A36" w14:textId="77777777" w:rsidR="004A4725" w:rsidRPr="00117BF8" w:rsidRDefault="004A4725" w:rsidP="00D71205">
            <w:pPr>
              <w:pStyle w:val="TablaC"/>
              <w:jc w:val="left"/>
              <w:rPr>
                <w:rFonts w:ascii="Arial" w:hAnsi="Arial" w:cs="Arial"/>
                <w:sz w:val="18"/>
                <w:szCs w:val="18"/>
                <w:lang w:val="es-ES_tradnl"/>
              </w:rPr>
            </w:pPr>
            <w:r w:rsidRPr="00117BF8">
              <w:rPr>
                <w:rFonts w:ascii="Arial" w:hAnsi="Arial" w:cs="Arial"/>
                <w:sz w:val="18"/>
                <w:szCs w:val="18"/>
                <w:lang w:val="es-ES_tradnl"/>
              </w:rPr>
              <w:t>    Vta de Bienes y Scios de la Adm Pública</w:t>
            </w:r>
          </w:p>
        </w:tc>
        <w:tc>
          <w:tcPr>
            <w:tcW w:w="1588" w:type="dxa"/>
            <w:shd w:val="clear" w:color="auto" w:fill="auto"/>
            <w:noWrap/>
            <w:hideMark/>
          </w:tcPr>
          <w:p w14:paraId="4485118A"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706,89</w:t>
            </w:r>
          </w:p>
        </w:tc>
        <w:tc>
          <w:tcPr>
            <w:tcW w:w="1588" w:type="dxa"/>
            <w:shd w:val="clear" w:color="auto" w:fill="auto"/>
            <w:noWrap/>
            <w:hideMark/>
          </w:tcPr>
          <w:p w14:paraId="3FFEA1CA"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158,73</w:t>
            </w:r>
          </w:p>
        </w:tc>
        <w:tc>
          <w:tcPr>
            <w:tcW w:w="1588" w:type="dxa"/>
            <w:shd w:val="clear" w:color="auto" w:fill="auto"/>
            <w:noWrap/>
            <w:hideMark/>
          </w:tcPr>
          <w:p w14:paraId="2691A73D"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22%</w:t>
            </w:r>
          </w:p>
        </w:tc>
      </w:tr>
      <w:tr w:rsidR="00B05717" w:rsidRPr="004E6455" w14:paraId="0180F099" w14:textId="77777777" w:rsidTr="00B05717">
        <w:trPr>
          <w:trHeight w:val="300"/>
        </w:trPr>
        <w:tc>
          <w:tcPr>
            <w:tcW w:w="3984" w:type="dxa"/>
            <w:shd w:val="clear" w:color="auto" w:fill="auto"/>
            <w:noWrap/>
            <w:hideMark/>
          </w:tcPr>
          <w:p w14:paraId="1C74188F"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Ingresos de Operación</w:t>
            </w:r>
          </w:p>
        </w:tc>
        <w:tc>
          <w:tcPr>
            <w:tcW w:w="1588" w:type="dxa"/>
            <w:shd w:val="clear" w:color="auto" w:fill="auto"/>
            <w:noWrap/>
            <w:hideMark/>
          </w:tcPr>
          <w:p w14:paraId="2CDEDE86"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531,48</w:t>
            </w:r>
          </w:p>
        </w:tc>
        <w:tc>
          <w:tcPr>
            <w:tcW w:w="1588" w:type="dxa"/>
            <w:shd w:val="clear" w:color="auto" w:fill="auto"/>
            <w:noWrap/>
            <w:hideMark/>
          </w:tcPr>
          <w:p w14:paraId="7D0B7379"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136,86</w:t>
            </w:r>
          </w:p>
        </w:tc>
        <w:tc>
          <w:tcPr>
            <w:tcW w:w="1588" w:type="dxa"/>
            <w:shd w:val="clear" w:color="auto" w:fill="auto"/>
            <w:noWrap/>
            <w:hideMark/>
          </w:tcPr>
          <w:p w14:paraId="3B59DD06"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26%</w:t>
            </w:r>
          </w:p>
        </w:tc>
      </w:tr>
      <w:tr w:rsidR="00B05717" w:rsidRPr="004E6455" w14:paraId="20B31068" w14:textId="77777777" w:rsidTr="00B05717">
        <w:trPr>
          <w:trHeight w:val="300"/>
        </w:trPr>
        <w:tc>
          <w:tcPr>
            <w:tcW w:w="3984" w:type="dxa"/>
            <w:shd w:val="clear" w:color="auto" w:fill="auto"/>
            <w:noWrap/>
            <w:hideMark/>
          </w:tcPr>
          <w:p w14:paraId="4A9AC0A6"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Rentas de la Propiedad</w:t>
            </w:r>
          </w:p>
        </w:tc>
        <w:tc>
          <w:tcPr>
            <w:tcW w:w="1588" w:type="dxa"/>
            <w:shd w:val="clear" w:color="auto" w:fill="auto"/>
            <w:noWrap/>
            <w:hideMark/>
          </w:tcPr>
          <w:p w14:paraId="2DDD7A72"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4.964,25</w:t>
            </w:r>
          </w:p>
        </w:tc>
        <w:tc>
          <w:tcPr>
            <w:tcW w:w="1588" w:type="dxa"/>
            <w:shd w:val="clear" w:color="auto" w:fill="auto"/>
            <w:noWrap/>
            <w:hideMark/>
          </w:tcPr>
          <w:p w14:paraId="24AF3A10"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1.100,40</w:t>
            </w:r>
          </w:p>
        </w:tc>
        <w:tc>
          <w:tcPr>
            <w:tcW w:w="1588" w:type="dxa"/>
            <w:shd w:val="clear" w:color="auto" w:fill="auto"/>
            <w:noWrap/>
            <w:hideMark/>
          </w:tcPr>
          <w:p w14:paraId="715338B3"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22%</w:t>
            </w:r>
          </w:p>
        </w:tc>
      </w:tr>
      <w:tr w:rsidR="00B05717" w:rsidRPr="004E6455" w14:paraId="5BB6755C" w14:textId="77777777" w:rsidTr="00B05717">
        <w:trPr>
          <w:trHeight w:val="315"/>
        </w:trPr>
        <w:tc>
          <w:tcPr>
            <w:tcW w:w="3984" w:type="dxa"/>
            <w:tcBorders>
              <w:bottom w:val="single" w:sz="4" w:space="0" w:color="92CDDC"/>
            </w:tcBorders>
            <w:shd w:val="clear" w:color="auto" w:fill="auto"/>
            <w:noWrap/>
            <w:hideMark/>
          </w:tcPr>
          <w:p w14:paraId="1089367B"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Transferencias Corrientes</w:t>
            </w:r>
          </w:p>
        </w:tc>
        <w:tc>
          <w:tcPr>
            <w:tcW w:w="1588" w:type="dxa"/>
            <w:tcBorders>
              <w:bottom w:val="single" w:sz="4" w:space="0" w:color="92CDDC"/>
            </w:tcBorders>
            <w:shd w:val="clear" w:color="auto" w:fill="auto"/>
            <w:noWrap/>
            <w:hideMark/>
          </w:tcPr>
          <w:p w14:paraId="7AFBD835"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51.376,27</w:t>
            </w:r>
          </w:p>
        </w:tc>
        <w:tc>
          <w:tcPr>
            <w:tcW w:w="1588" w:type="dxa"/>
            <w:tcBorders>
              <w:bottom w:val="single" w:sz="4" w:space="0" w:color="92CDDC"/>
            </w:tcBorders>
            <w:shd w:val="clear" w:color="auto" w:fill="auto"/>
            <w:noWrap/>
            <w:hideMark/>
          </w:tcPr>
          <w:p w14:paraId="2AA26D0E"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2.455,10</w:t>
            </w:r>
          </w:p>
        </w:tc>
        <w:tc>
          <w:tcPr>
            <w:tcW w:w="1588" w:type="dxa"/>
            <w:tcBorders>
              <w:bottom w:val="single" w:sz="4" w:space="0" w:color="92CDDC"/>
            </w:tcBorders>
            <w:shd w:val="clear" w:color="auto" w:fill="auto"/>
            <w:noWrap/>
            <w:hideMark/>
          </w:tcPr>
          <w:p w14:paraId="343E790B"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5%</w:t>
            </w:r>
          </w:p>
        </w:tc>
      </w:tr>
      <w:tr w:rsidR="00B05717" w:rsidRPr="004E6455" w14:paraId="00C593C5" w14:textId="77777777" w:rsidTr="00B05717">
        <w:trPr>
          <w:trHeight w:val="315"/>
        </w:trPr>
        <w:tc>
          <w:tcPr>
            <w:tcW w:w="3984" w:type="dxa"/>
            <w:tcBorders>
              <w:top w:val="single" w:sz="4" w:space="0" w:color="92CDDC"/>
              <w:bottom w:val="single" w:sz="4" w:space="0" w:color="92CDDC"/>
            </w:tcBorders>
            <w:shd w:val="clear" w:color="auto" w:fill="auto"/>
            <w:noWrap/>
            <w:hideMark/>
          </w:tcPr>
          <w:p w14:paraId="01C12683" w14:textId="77777777" w:rsidR="004A4725" w:rsidRPr="00117BF8" w:rsidRDefault="004A4725" w:rsidP="00BC53E2">
            <w:pPr>
              <w:pStyle w:val="TablaC"/>
              <w:keepNext w:val="0"/>
              <w:jc w:val="left"/>
              <w:rPr>
                <w:rFonts w:ascii="Arial" w:hAnsi="Arial" w:cs="Arial"/>
                <w:b/>
                <w:bCs/>
                <w:sz w:val="18"/>
                <w:szCs w:val="18"/>
              </w:rPr>
            </w:pPr>
            <w:r w:rsidRPr="00117BF8">
              <w:rPr>
                <w:rFonts w:ascii="Arial" w:hAnsi="Arial" w:cs="Arial"/>
                <w:b/>
                <w:bCs/>
                <w:sz w:val="18"/>
                <w:szCs w:val="18"/>
              </w:rPr>
              <w:t xml:space="preserve"> I </w:t>
            </w:r>
            <w:r w:rsidR="00D71205" w:rsidRPr="00117BF8">
              <w:rPr>
                <w:rFonts w:ascii="Arial" w:hAnsi="Arial" w:cs="Arial"/>
                <w:b/>
                <w:bCs/>
                <w:sz w:val="18"/>
                <w:szCs w:val="18"/>
              </w:rPr>
              <w:t>Total Ingresos Corrientes</w:t>
            </w:r>
          </w:p>
        </w:tc>
        <w:tc>
          <w:tcPr>
            <w:tcW w:w="1588" w:type="dxa"/>
            <w:tcBorders>
              <w:top w:val="single" w:sz="4" w:space="0" w:color="92CDDC"/>
              <w:bottom w:val="single" w:sz="4" w:space="0" w:color="92CDDC"/>
            </w:tcBorders>
            <w:shd w:val="clear" w:color="auto" w:fill="auto"/>
            <w:noWrap/>
            <w:hideMark/>
          </w:tcPr>
          <w:p w14:paraId="69EF2C21"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479.463,75</w:t>
            </w:r>
          </w:p>
        </w:tc>
        <w:tc>
          <w:tcPr>
            <w:tcW w:w="1588" w:type="dxa"/>
            <w:tcBorders>
              <w:top w:val="single" w:sz="4" w:space="0" w:color="92CDDC"/>
              <w:bottom w:val="single" w:sz="4" w:space="0" w:color="92CDDC"/>
            </w:tcBorders>
            <w:shd w:val="clear" w:color="auto" w:fill="auto"/>
            <w:noWrap/>
            <w:hideMark/>
          </w:tcPr>
          <w:p w14:paraId="177CE534"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103.435,36</w:t>
            </w:r>
          </w:p>
        </w:tc>
        <w:tc>
          <w:tcPr>
            <w:tcW w:w="1588" w:type="dxa"/>
            <w:tcBorders>
              <w:top w:val="single" w:sz="4" w:space="0" w:color="92CDDC"/>
              <w:bottom w:val="single" w:sz="4" w:space="0" w:color="92CDDC"/>
            </w:tcBorders>
            <w:shd w:val="clear" w:color="auto" w:fill="auto"/>
            <w:noWrap/>
            <w:hideMark/>
          </w:tcPr>
          <w:p w14:paraId="2D71C5FF" w14:textId="77777777" w:rsidR="004A4725" w:rsidRPr="00117BF8" w:rsidRDefault="004A4725" w:rsidP="00BC53E2">
            <w:pPr>
              <w:pStyle w:val="TablaC"/>
              <w:keepNext w:val="0"/>
              <w:rPr>
                <w:rFonts w:ascii="Arial" w:hAnsi="Arial" w:cs="Arial"/>
                <w:color w:val="000000"/>
                <w:sz w:val="18"/>
                <w:szCs w:val="18"/>
              </w:rPr>
            </w:pPr>
            <w:r w:rsidRPr="00117BF8">
              <w:rPr>
                <w:rFonts w:ascii="Arial" w:hAnsi="Arial" w:cs="Arial"/>
                <w:color w:val="000000"/>
                <w:sz w:val="18"/>
                <w:szCs w:val="18"/>
              </w:rPr>
              <w:t>22%</w:t>
            </w:r>
          </w:p>
        </w:tc>
      </w:tr>
      <w:tr w:rsidR="00B05717" w:rsidRPr="004E6455" w14:paraId="18CF8058" w14:textId="77777777" w:rsidTr="00B05717">
        <w:trPr>
          <w:trHeight w:val="300"/>
        </w:trPr>
        <w:tc>
          <w:tcPr>
            <w:tcW w:w="3984" w:type="dxa"/>
            <w:tcBorders>
              <w:top w:val="single" w:sz="4" w:space="0" w:color="92CDDC"/>
            </w:tcBorders>
            <w:shd w:val="clear" w:color="auto" w:fill="auto"/>
            <w:noWrap/>
            <w:hideMark/>
          </w:tcPr>
          <w:p w14:paraId="36C28EA9"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Gastos de Consumo</w:t>
            </w:r>
          </w:p>
        </w:tc>
        <w:tc>
          <w:tcPr>
            <w:tcW w:w="1588" w:type="dxa"/>
            <w:tcBorders>
              <w:top w:val="single" w:sz="4" w:space="0" w:color="92CDDC"/>
            </w:tcBorders>
            <w:shd w:val="clear" w:color="auto" w:fill="auto"/>
            <w:noWrap/>
            <w:hideMark/>
          </w:tcPr>
          <w:p w14:paraId="60E7B5AC"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270.284,61</w:t>
            </w:r>
          </w:p>
        </w:tc>
        <w:tc>
          <w:tcPr>
            <w:tcW w:w="1588" w:type="dxa"/>
            <w:tcBorders>
              <w:top w:val="single" w:sz="4" w:space="0" w:color="92CDDC"/>
            </w:tcBorders>
            <w:shd w:val="clear" w:color="auto" w:fill="auto"/>
            <w:noWrap/>
            <w:hideMark/>
          </w:tcPr>
          <w:p w14:paraId="34316957"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55.798,18</w:t>
            </w:r>
          </w:p>
        </w:tc>
        <w:tc>
          <w:tcPr>
            <w:tcW w:w="1588" w:type="dxa"/>
            <w:tcBorders>
              <w:top w:val="single" w:sz="4" w:space="0" w:color="92CDDC"/>
            </w:tcBorders>
            <w:shd w:val="clear" w:color="auto" w:fill="auto"/>
            <w:noWrap/>
            <w:hideMark/>
          </w:tcPr>
          <w:p w14:paraId="66A310FC"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21%</w:t>
            </w:r>
          </w:p>
        </w:tc>
      </w:tr>
      <w:tr w:rsidR="00B05717" w:rsidRPr="004E6455" w14:paraId="0FA2C0B7" w14:textId="77777777" w:rsidTr="00B05717">
        <w:trPr>
          <w:trHeight w:val="300"/>
        </w:trPr>
        <w:tc>
          <w:tcPr>
            <w:tcW w:w="3984" w:type="dxa"/>
            <w:shd w:val="clear" w:color="auto" w:fill="auto"/>
            <w:noWrap/>
            <w:hideMark/>
          </w:tcPr>
          <w:p w14:paraId="6B7B7FEA"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Rentas de la Propiedad</w:t>
            </w:r>
          </w:p>
        </w:tc>
        <w:tc>
          <w:tcPr>
            <w:tcW w:w="1588" w:type="dxa"/>
            <w:shd w:val="clear" w:color="auto" w:fill="auto"/>
            <w:noWrap/>
            <w:hideMark/>
          </w:tcPr>
          <w:p w14:paraId="7BE72CF0"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22.775,73</w:t>
            </w:r>
          </w:p>
        </w:tc>
        <w:tc>
          <w:tcPr>
            <w:tcW w:w="1588" w:type="dxa"/>
            <w:shd w:val="clear" w:color="auto" w:fill="auto"/>
            <w:noWrap/>
            <w:hideMark/>
          </w:tcPr>
          <w:p w14:paraId="6EB3F9FB"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4.487,16</w:t>
            </w:r>
          </w:p>
        </w:tc>
        <w:tc>
          <w:tcPr>
            <w:tcW w:w="1588" w:type="dxa"/>
            <w:shd w:val="clear" w:color="auto" w:fill="auto"/>
            <w:noWrap/>
            <w:hideMark/>
          </w:tcPr>
          <w:p w14:paraId="098A09B3"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20%</w:t>
            </w:r>
          </w:p>
        </w:tc>
      </w:tr>
      <w:tr w:rsidR="00B05717" w:rsidRPr="004E6455" w14:paraId="2BF3DECC" w14:textId="77777777" w:rsidTr="00B05717">
        <w:trPr>
          <w:trHeight w:val="300"/>
        </w:trPr>
        <w:tc>
          <w:tcPr>
            <w:tcW w:w="3984" w:type="dxa"/>
            <w:shd w:val="clear" w:color="auto" w:fill="auto"/>
            <w:noWrap/>
            <w:hideMark/>
          </w:tcPr>
          <w:p w14:paraId="71C7F828" w14:textId="77777777" w:rsidR="004A4725" w:rsidRPr="00117BF8" w:rsidRDefault="004A4725" w:rsidP="00D71205">
            <w:pPr>
              <w:pStyle w:val="TablaC"/>
              <w:jc w:val="left"/>
              <w:rPr>
                <w:rFonts w:ascii="Arial" w:hAnsi="Arial" w:cs="Arial"/>
                <w:sz w:val="18"/>
                <w:szCs w:val="18"/>
                <w:lang w:val="es-ES_tradnl"/>
              </w:rPr>
            </w:pPr>
            <w:r w:rsidRPr="00117BF8">
              <w:rPr>
                <w:rFonts w:ascii="Arial" w:hAnsi="Arial" w:cs="Arial"/>
                <w:sz w:val="18"/>
                <w:szCs w:val="18"/>
                <w:lang w:val="es-ES_tradnl"/>
              </w:rPr>
              <w:t>    Prestaciones de la Seguridad Social</w:t>
            </w:r>
          </w:p>
        </w:tc>
        <w:tc>
          <w:tcPr>
            <w:tcW w:w="1588" w:type="dxa"/>
            <w:shd w:val="clear" w:color="auto" w:fill="auto"/>
            <w:noWrap/>
            <w:hideMark/>
          </w:tcPr>
          <w:p w14:paraId="1F8801E8"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82.209,02</w:t>
            </w:r>
          </w:p>
        </w:tc>
        <w:tc>
          <w:tcPr>
            <w:tcW w:w="1588" w:type="dxa"/>
            <w:shd w:val="clear" w:color="auto" w:fill="auto"/>
            <w:noWrap/>
            <w:hideMark/>
          </w:tcPr>
          <w:p w14:paraId="3FBDDFFF"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19.189,24</w:t>
            </w:r>
          </w:p>
        </w:tc>
        <w:tc>
          <w:tcPr>
            <w:tcW w:w="1588" w:type="dxa"/>
            <w:shd w:val="clear" w:color="auto" w:fill="auto"/>
            <w:noWrap/>
            <w:hideMark/>
          </w:tcPr>
          <w:p w14:paraId="724714BF"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23%</w:t>
            </w:r>
          </w:p>
        </w:tc>
      </w:tr>
      <w:tr w:rsidR="00B05717" w:rsidRPr="004E6455" w14:paraId="1DFAA929" w14:textId="77777777" w:rsidTr="00B05717">
        <w:trPr>
          <w:trHeight w:val="300"/>
        </w:trPr>
        <w:tc>
          <w:tcPr>
            <w:tcW w:w="3984" w:type="dxa"/>
            <w:shd w:val="clear" w:color="auto" w:fill="auto"/>
            <w:noWrap/>
            <w:hideMark/>
          </w:tcPr>
          <w:p w14:paraId="45B6F1E1"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Otras Pérdidas</w:t>
            </w:r>
          </w:p>
        </w:tc>
        <w:tc>
          <w:tcPr>
            <w:tcW w:w="1588" w:type="dxa"/>
            <w:shd w:val="clear" w:color="auto" w:fill="auto"/>
            <w:noWrap/>
            <w:hideMark/>
          </w:tcPr>
          <w:p w14:paraId="166A204E"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4,32</w:t>
            </w:r>
          </w:p>
        </w:tc>
        <w:tc>
          <w:tcPr>
            <w:tcW w:w="1588" w:type="dxa"/>
            <w:shd w:val="clear" w:color="auto" w:fill="auto"/>
            <w:noWrap/>
            <w:hideMark/>
          </w:tcPr>
          <w:p w14:paraId="00660278"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0,02</w:t>
            </w:r>
          </w:p>
        </w:tc>
        <w:tc>
          <w:tcPr>
            <w:tcW w:w="1588" w:type="dxa"/>
            <w:shd w:val="clear" w:color="auto" w:fill="auto"/>
            <w:noWrap/>
            <w:hideMark/>
          </w:tcPr>
          <w:p w14:paraId="6479568F"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0%</w:t>
            </w:r>
          </w:p>
        </w:tc>
      </w:tr>
      <w:tr w:rsidR="00B05717" w:rsidRPr="004E6455" w14:paraId="47030BB3" w14:textId="77777777" w:rsidTr="00B05717">
        <w:trPr>
          <w:trHeight w:val="315"/>
        </w:trPr>
        <w:tc>
          <w:tcPr>
            <w:tcW w:w="3984" w:type="dxa"/>
            <w:tcBorders>
              <w:bottom w:val="single" w:sz="4" w:space="0" w:color="92CDDC"/>
            </w:tcBorders>
            <w:shd w:val="clear" w:color="auto" w:fill="auto"/>
            <w:noWrap/>
            <w:hideMark/>
          </w:tcPr>
          <w:p w14:paraId="34383966"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Transferencias Corrientes</w:t>
            </w:r>
          </w:p>
        </w:tc>
        <w:tc>
          <w:tcPr>
            <w:tcW w:w="1588" w:type="dxa"/>
            <w:tcBorders>
              <w:bottom w:val="single" w:sz="4" w:space="0" w:color="92CDDC"/>
            </w:tcBorders>
            <w:shd w:val="clear" w:color="auto" w:fill="auto"/>
            <w:noWrap/>
            <w:hideMark/>
          </w:tcPr>
          <w:p w14:paraId="6BFEDE09"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110.571,55</w:t>
            </w:r>
          </w:p>
        </w:tc>
        <w:tc>
          <w:tcPr>
            <w:tcW w:w="1588" w:type="dxa"/>
            <w:tcBorders>
              <w:bottom w:val="single" w:sz="4" w:space="0" w:color="92CDDC"/>
            </w:tcBorders>
            <w:shd w:val="clear" w:color="auto" w:fill="auto"/>
            <w:noWrap/>
            <w:hideMark/>
          </w:tcPr>
          <w:p w14:paraId="2B98F343"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23.389,17</w:t>
            </w:r>
          </w:p>
        </w:tc>
        <w:tc>
          <w:tcPr>
            <w:tcW w:w="1588" w:type="dxa"/>
            <w:tcBorders>
              <w:bottom w:val="single" w:sz="4" w:space="0" w:color="92CDDC"/>
            </w:tcBorders>
            <w:shd w:val="clear" w:color="auto" w:fill="auto"/>
            <w:noWrap/>
            <w:hideMark/>
          </w:tcPr>
          <w:p w14:paraId="25B90BB6"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21%</w:t>
            </w:r>
          </w:p>
        </w:tc>
      </w:tr>
      <w:tr w:rsidR="00B05717" w:rsidRPr="004E6455" w14:paraId="76D85EDD" w14:textId="77777777" w:rsidTr="00B05717">
        <w:trPr>
          <w:trHeight w:val="315"/>
        </w:trPr>
        <w:tc>
          <w:tcPr>
            <w:tcW w:w="3984" w:type="dxa"/>
            <w:tcBorders>
              <w:top w:val="single" w:sz="4" w:space="0" w:color="92CDDC"/>
              <w:bottom w:val="single" w:sz="4" w:space="0" w:color="92CDDC"/>
            </w:tcBorders>
            <w:shd w:val="clear" w:color="auto" w:fill="auto"/>
            <w:noWrap/>
            <w:hideMark/>
          </w:tcPr>
          <w:p w14:paraId="5AE4AFE9" w14:textId="77777777" w:rsidR="004A4725" w:rsidRPr="00117BF8" w:rsidRDefault="004A4725" w:rsidP="00D71205">
            <w:pPr>
              <w:pStyle w:val="TablaC"/>
              <w:jc w:val="left"/>
              <w:rPr>
                <w:rFonts w:ascii="Arial" w:hAnsi="Arial" w:cs="Arial"/>
                <w:b/>
                <w:bCs/>
                <w:sz w:val="18"/>
                <w:szCs w:val="18"/>
              </w:rPr>
            </w:pPr>
            <w:r w:rsidRPr="00117BF8">
              <w:rPr>
                <w:rFonts w:ascii="Arial" w:hAnsi="Arial" w:cs="Arial"/>
                <w:b/>
                <w:bCs/>
                <w:sz w:val="18"/>
                <w:szCs w:val="18"/>
              </w:rPr>
              <w:t xml:space="preserve"> II </w:t>
            </w:r>
            <w:r w:rsidR="00D71205" w:rsidRPr="00117BF8">
              <w:rPr>
                <w:rFonts w:ascii="Arial" w:hAnsi="Arial" w:cs="Arial"/>
                <w:b/>
                <w:bCs/>
                <w:sz w:val="18"/>
                <w:szCs w:val="18"/>
              </w:rPr>
              <w:t>Total Gastos Corrientes</w:t>
            </w:r>
          </w:p>
        </w:tc>
        <w:tc>
          <w:tcPr>
            <w:tcW w:w="1588" w:type="dxa"/>
            <w:tcBorders>
              <w:top w:val="single" w:sz="4" w:space="0" w:color="92CDDC"/>
              <w:bottom w:val="single" w:sz="4" w:space="0" w:color="92CDDC"/>
            </w:tcBorders>
            <w:shd w:val="clear" w:color="auto" w:fill="auto"/>
            <w:noWrap/>
            <w:hideMark/>
          </w:tcPr>
          <w:p w14:paraId="123D6E57"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485.845,22</w:t>
            </w:r>
          </w:p>
        </w:tc>
        <w:tc>
          <w:tcPr>
            <w:tcW w:w="1588" w:type="dxa"/>
            <w:tcBorders>
              <w:top w:val="single" w:sz="4" w:space="0" w:color="92CDDC"/>
              <w:bottom w:val="single" w:sz="4" w:space="0" w:color="92CDDC"/>
            </w:tcBorders>
            <w:shd w:val="clear" w:color="auto" w:fill="auto"/>
            <w:noWrap/>
            <w:hideMark/>
          </w:tcPr>
          <w:p w14:paraId="59BEBA46"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102.863,77</w:t>
            </w:r>
          </w:p>
        </w:tc>
        <w:tc>
          <w:tcPr>
            <w:tcW w:w="1588" w:type="dxa"/>
            <w:tcBorders>
              <w:top w:val="single" w:sz="4" w:space="0" w:color="92CDDC"/>
              <w:bottom w:val="single" w:sz="4" w:space="0" w:color="92CDDC"/>
            </w:tcBorders>
            <w:shd w:val="clear" w:color="auto" w:fill="auto"/>
            <w:noWrap/>
            <w:hideMark/>
          </w:tcPr>
          <w:p w14:paraId="04FCF1E4"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21%</w:t>
            </w:r>
          </w:p>
        </w:tc>
      </w:tr>
      <w:tr w:rsidR="00B05717" w:rsidRPr="004E6455" w14:paraId="1D393D40" w14:textId="77777777" w:rsidTr="00B05717">
        <w:trPr>
          <w:trHeight w:val="315"/>
        </w:trPr>
        <w:tc>
          <w:tcPr>
            <w:tcW w:w="3984" w:type="dxa"/>
            <w:tcBorders>
              <w:top w:val="single" w:sz="4" w:space="0" w:color="92CDDC"/>
              <w:bottom w:val="single" w:sz="4" w:space="0" w:color="92CDDC"/>
            </w:tcBorders>
            <w:shd w:val="clear" w:color="auto" w:fill="auto"/>
            <w:noWrap/>
            <w:hideMark/>
          </w:tcPr>
          <w:p w14:paraId="65BC3679" w14:textId="77777777" w:rsidR="004A4725" w:rsidRPr="00117BF8" w:rsidRDefault="004A4725" w:rsidP="00BC53E2">
            <w:pPr>
              <w:pStyle w:val="TablaC"/>
              <w:keepNext w:val="0"/>
              <w:jc w:val="left"/>
              <w:rPr>
                <w:rFonts w:ascii="Arial" w:hAnsi="Arial" w:cs="Arial"/>
                <w:b/>
                <w:bCs/>
                <w:sz w:val="18"/>
                <w:szCs w:val="18"/>
              </w:rPr>
            </w:pPr>
            <w:r w:rsidRPr="00117BF8">
              <w:rPr>
                <w:rFonts w:ascii="Arial" w:hAnsi="Arial" w:cs="Arial"/>
                <w:b/>
                <w:bCs/>
                <w:sz w:val="18"/>
                <w:szCs w:val="18"/>
              </w:rPr>
              <w:t xml:space="preserve"> III </w:t>
            </w:r>
            <w:r w:rsidR="00D71205" w:rsidRPr="00117BF8">
              <w:rPr>
                <w:rFonts w:ascii="Arial" w:hAnsi="Arial" w:cs="Arial"/>
                <w:b/>
                <w:bCs/>
                <w:sz w:val="18"/>
                <w:szCs w:val="18"/>
              </w:rPr>
              <w:t xml:space="preserve">Resultado Económico </w:t>
            </w:r>
            <w:r w:rsidRPr="00117BF8">
              <w:rPr>
                <w:rFonts w:ascii="Arial" w:hAnsi="Arial" w:cs="Arial"/>
                <w:b/>
                <w:bCs/>
                <w:sz w:val="18"/>
                <w:szCs w:val="18"/>
              </w:rPr>
              <w:t>Ahorro/Desahorro (I - II)</w:t>
            </w:r>
          </w:p>
        </w:tc>
        <w:tc>
          <w:tcPr>
            <w:tcW w:w="1588" w:type="dxa"/>
            <w:tcBorders>
              <w:top w:val="single" w:sz="4" w:space="0" w:color="92CDDC"/>
              <w:bottom w:val="single" w:sz="4" w:space="0" w:color="92CDDC"/>
            </w:tcBorders>
            <w:shd w:val="clear" w:color="auto" w:fill="auto"/>
            <w:noWrap/>
            <w:hideMark/>
          </w:tcPr>
          <w:p w14:paraId="0082B945"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-6.381,47</w:t>
            </w:r>
          </w:p>
        </w:tc>
        <w:tc>
          <w:tcPr>
            <w:tcW w:w="1588" w:type="dxa"/>
            <w:tcBorders>
              <w:top w:val="single" w:sz="4" w:space="0" w:color="92CDDC"/>
              <w:bottom w:val="single" w:sz="4" w:space="0" w:color="92CDDC"/>
            </w:tcBorders>
            <w:shd w:val="clear" w:color="auto" w:fill="auto"/>
            <w:noWrap/>
            <w:hideMark/>
          </w:tcPr>
          <w:p w14:paraId="320A4277"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571,59</w:t>
            </w:r>
          </w:p>
        </w:tc>
        <w:tc>
          <w:tcPr>
            <w:tcW w:w="1588" w:type="dxa"/>
            <w:tcBorders>
              <w:top w:val="single" w:sz="4" w:space="0" w:color="92CDDC"/>
              <w:bottom w:val="single" w:sz="4" w:space="0" w:color="92CDDC"/>
            </w:tcBorders>
            <w:shd w:val="clear" w:color="auto" w:fill="auto"/>
            <w:noWrap/>
            <w:hideMark/>
          </w:tcPr>
          <w:p w14:paraId="4EA4A420" w14:textId="77777777" w:rsidR="004A4725" w:rsidRPr="00117BF8" w:rsidRDefault="004A4725" w:rsidP="00BC53E2">
            <w:pPr>
              <w:pStyle w:val="TablaC"/>
              <w:keepNext w:val="0"/>
              <w:rPr>
                <w:rFonts w:ascii="Arial" w:hAnsi="Arial" w:cs="Arial"/>
                <w:color w:val="000000"/>
                <w:sz w:val="18"/>
                <w:szCs w:val="18"/>
              </w:rPr>
            </w:pPr>
            <w:r w:rsidRPr="00117BF8">
              <w:rPr>
                <w:rFonts w:ascii="Arial" w:hAnsi="Arial" w:cs="Arial"/>
                <w:color w:val="000000"/>
                <w:sz w:val="18"/>
                <w:szCs w:val="18"/>
              </w:rPr>
              <w:t>-9%</w:t>
            </w:r>
          </w:p>
        </w:tc>
      </w:tr>
      <w:tr w:rsidR="00B05717" w:rsidRPr="004E6455" w14:paraId="7C475343" w14:textId="77777777" w:rsidTr="00B05717">
        <w:trPr>
          <w:trHeight w:val="300"/>
        </w:trPr>
        <w:tc>
          <w:tcPr>
            <w:tcW w:w="3984" w:type="dxa"/>
            <w:tcBorders>
              <w:top w:val="single" w:sz="4" w:space="0" w:color="92CDDC"/>
            </w:tcBorders>
            <w:shd w:val="clear" w:color="auto" w:fill="auto"/>
            <w:noWrap/>
            <w:hideMark/>
          </w:tcPr>
          <w:p w14:paraId="37EF8556"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Transferencias de Capital</w:t>
            </w:r>
          </w:p>
        </w:tc>
        <w:tc>
          <w:tcPr>
            <w:tcW w:w="1588" w:type="dxa"/>
            <w:tcBorders>
              <w:top w:val="single" w:sz="4" w:space="0" w:color="92CDDC"/>
            </w:tcBorders>
            <w:shd w:val="clear" w:color="auto" w:fill="auto"/>
            <w:noWrap/>
            <w:hideMark/>
          </w:tcPr>
          <w:p w14:paraId="7ADAF9D9"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8.781,90</w:t>
            </w:r>
          </w:p>
        </w:tc>
        <w:tc>
          <w:tcPr>
            <w:tcW w:w="1588" w:type="dxa"/>
            <w:tcBorders>
              <w:top w:val="single" w:sz="4" w:space="0" w:color="92CDDC"/>
            </w:tcBorders>
            <w:shd w:val="clear" w:color="auto" w:fill="auto"/>
            <w:noWrap/>
            <w:hideMark/>
          </w:tcPr>
          <w:p w14:paraId="3DAFF038"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4.171,96</w:t>
            </w:r>
          </w:p>
        </w:tc>
        <w:tc>
          <w:tcPr>
            <w:tcW w:w="1588" w:type="dxa"/>
            <w:tcBorders>
              <w:top w:val="single" w:sz="4" w:space="0" w:color="92CDDC"/>
            </w:tcBorders>
            <w:shd w:val="clear" w:color="auto" w:fill="auto"/>
            <w:noWrap/>
            <w:hideMark/>
          </w:tcPr>
          <w:p w14:paraId="219F6DE3"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48%</w:t>
            </w:r>
          </w:p>
        </w:tc>
      </w:tr>
      <w:tr w:rsidR="00B05717" w:rsidRPr="004E6455" w14:paraId="474F4A6C" w14:textId="77777777" w:rsidTr="00B05717">
        <w:trPr>
          <w:trHeight w:val="315"/>
        </w:trPr>
        <w:tc>
          <w:tcPr>
            <w:tcW w:w="3984" w:type="dxa"/>
            <w:tcBorders>
              <w:bottom w:val="single" w:sz="4" w:space="0" w:color="92CDDC"/>
            </w:tcBorders>
            <w:shd w:val="clear" w:color="auto" w:fill="auto"/>
            <w:noWrap/>
            <w:hideMark/>
          </w:tcPr>
          <w:p w14:paraId="57521B36" w14:textId="77777777" w:rsidR="004A4725" w:rsidRPr="00117BF8" w:rsidRDefault="004A4725" w:rsidP="00D71205">
            <w:pPr>
              <w:pStyle w:val="TablaC"/>
              <w:jc w:val="left"/>
              <w:rPr>
                <w:rFonts w:ascii="Arial" w:hAnsi="Arial" w:cs="Arial"/>
                <w:sz w:val="18"/>
                <w:szCs w:val="18"/>
                <w:lang w:val="es-ES_tradnl"/>
              </w:rPr>
            </w:pPr>
            <w:r w:rsidRPr="00117BF8">
              <w:rPr>
                <w:rFonts w:ascii="Arial" w:hAnsi="Arial" w:cs="Arial"/>
                <w:sz w:val="18"/>
                <w:szCs w:val="18"/>
                <w:lang w:val="es-ES_tradnl"/>
              </w:rPr>
              <w:t>    Disminución de la Inv. Financiera</w:t>
            </w:r>
          </w:p>
        </w:tc>
        <w:tc>
          <w:tcPr>
            <w:tcW w:w="1588" w:type="dxa"/>
            <w:tcBorders>
              <w:bottom w:val="single" w:sz="4" w:space="0" w:color="92CDDC"/>
            </w:tcBorders>
            <w:shd w:val="clear" w:color="auto" w:fill="auto"/>
            <w:noWrap/>
            <w:hideMark/>
          </w:tcPr>
          <w:p w14:paraId="03EAD9C9"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376,91</w:t>
            </w:r>
          </w:p>
        </w:tc>
        <w:tc>
          <w:tcPr>
            <w:tcW w:w="1588" w:type="dxa"/>
            <w:tcBorders>
              <w:bottom w:val="single" w:sz="4" w:space="0" w:color="92CDDC"/>
            </w:tcBorders>
            <w:shd w:val="clear" w:color="auto" w:fill="auto"/>
            <w:noWrap/>
            <w:hideMark/>
          </w:tcPr>
          <w:p w14:paraId="63B1AE76"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46,75</w:t>
            </w:r>
          </w:p>
        </w:tc>
        <w:tc>
          <w:tcPr>
            <w:tcW w:w="1588" w:type="dxa"/>
            <w:tcBorders>
              <w:bottom w:val="single" w:sz="4" w:space="0" w:color="92CDDC"/>
            </w:tcBorders>
            <w:shd w:val="clear" w:color="auto" w:fill="auto"/>
            <w:noWrap/>
            <w:hideMark/>
          </w:tcPr>
          <w:p w14:paraId="327ED8C8"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12%</w:t>
            </w:r>
          </w:p>
        </w:tc>
      </w:tr>
      <w:tr w:rsidR="00B05717" w:rsidRPr="004E6455" w14:paraId="3567CD8B" w14:textId="77777777" w:rsidTr="00B05717">
        <w:trPr>
          <w:trHeight w:val="315"/>
        </w:trPr>
        <w:tc>
          <w:tcPr>
            <w:tcW w:w="3984" w:type="dxa"/>
            <w:tcBorders>
              <w:top w:val="single" w:sz="4" w:space="0" w:color="92CDDC"/>
              <w:bottom w:val="single" w:sz="4" w:space="0" w:color="92CDDC"/>
            </w:tcBorders>
            <w:shd w:val="clear" w:color="auto" w:fill="auto"/>
            <w:noWrap/>
            <w:hideMark/>
          </w:tcPr>
          <w:p w14:paraId="47E6DBF0" w14:textId="77777777" w:rsidR="004A4725" w:rsidRPr="00117BF8" w:rsidRDefault="004A4725" w:rsidP="00BC53E2">
            <w:pPr>
              <w:pStyle w:val="TablaC"/>
              <w:keepNext w:val="0"/>
              <w:jc w:val="left"/>
              <w:rPr>
                <w:rFonts w:ascii="Arial" w:hAnsi="Arial" w:cs="Arial"/>
                <w:b/>
                <w:bCs/>
                <w:sz w:val="18"/>
                <w:szCs w:val="18"/>
              </w:rPr>
            </w:pPr>
            <w:r w:rsidRPr="00117BF8">
              <w:rPr>
                <w:rFonts w:ascii="Arial" w:hAnsi="Arial" w:cs="Arial"/>
                <w:b/>
                <w:bCs/>
                <w:sz w:val="18"/>
                <w:szCs w:val="18"/>
              </w:rPr>
              <w:t xml:space="preserve"> IV </w:t>
            </w:r>
            <w:r w:rsidR="00D71205" w:rsidRPr="00117BF8">
              <w:rPr>
                <w:rFonts w:ascii="Arial" w:hAnsi="Arial" w:cs="Arial"/>
                <w:b/>
                <w:bCs/>
                <w:sz w:val="18"/>
                <w:szCs w:val="18"/>
              </w:rPr>
              <w:t>Total Recursos de Capital</w:t>
            </w:r>
          </w:p>
        </w:tc>
        <w:tc>
          <w:tcPr>
            <w:tcW w:w="1588" w:type="dxa"/>
            <w:tcBorders>
              <w:top w:val="single" w:sz="4" w:space="0" w:color="92CDDC"/>
              <w:bottom w:val="single" w:sz="4" w:space="0" w:color="92CDDC"/>
            </w:tcBorders>
            <w:shd w:val="clear" w:color="auto" w:fill="auto"/>
            <w:noWrap/>
            <w:hideMark/>
          </w:tcPr>
          <w:p w14:paraId="7E9063B2"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9.158,81</w:t>
            </w:r>
          </w:p>
        </w:tc>
        <w:tc>
          <w:tcPr>
            <w:tcW w:w="1588" w:type="dxa"/>
            <w:tcBorders>
              <w:top w:val="single" w:sz="4" w:space="0" w:color="92CDDC"/>
              <w:bottom w:val="single" w:sz="4" w:space="0" w:color="92CDDC"/>
            </w:tcBorders>
            <w:shd w:val="clear" w:color="auto" w:fill="auto"/>
            <w:noWrap/>
            <w:hideMark/>
          </w:tcPr>
          <w:p w14:paraId="044D97E2"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4.218,71</w:t>
            </w:r>
          </w:p>
        </w:tc>
        <w:tc>
          <w:tcPr>
            <w:tcW w:w="1588" w:type="dxa"/>
            <w:tcBorders>
              <w:top w:val="single" w:sz="4" w:space="0" w:color="92CDDC"/>
              <w:bottom w:val="single" w:sz="4" w:space="0" w:color="92CDDC"/>
            </w:tcBorders>
            <w:shd w:val="clear" w:color="auto" w:fill="auto"/>
            <w:noWrap/>
            <w:hideMark/>
          </w:tcPr>
          <w:p w14:paraId="2FC86217" w14:textId="77777777" w:rsidR="004A4725" w:rsidRPr="00117BF8" w:rsidRDefault="004A4725" w:rsidP="00BC53E2">
            <w:pPr>
              <w:pStyle w:val="TablaC"/>
              <w:keepNext w:val="0"/>
              <w:rPr>
                <w:rFonts w:ascii="Arial" w:hAnsi="Arial" w:cs="Arial"/>
                <w:color w:val="000000"/>
                <w:sz w:val="18"/>
                <w:szCs w:val="18"/>
              </w:rPr>
            </w:pPr>
            <w:r w:rsidRPr="00117BF8">
              <w:rPr>
                <w:rFonts w:ascii="Arial" w:hAnsi="Arial" w:cs="Arial"/>
                <w:color w:val="000000"/>
                <w:sz w:val="18"/>
                <w:szCs w:val="18"/>
              </w:rPr>
              <w:t>46%</w:t>
            </w:r>
          </w:p>
        </w:tc>
      </w:tr>
      <w:tr w:rsidR="00B05717" w:rsidRPr="004E6455" w14:paraId="382BACF2" w14:textId="77777777" w:rsidTr="00B05717">
        <w:trPr>
          <w:trHeight w:val="300"/>
        </w:trPr>
        <w:tc>
          <w:tcPr>
            <w:tcW w:w="3984" w:type="dxa"/>
            <w:tcBorders>
              <w:top w:val="single" w:sz="4" w:space="0" w:color="92CDDC"/>
            </w:tcBorders>
            <w:shd w:val="clear" w:color="auto" w:fill="auto"/>
            <w:noWrap/>
            <w:hideMark/>
          </w:tcPr>
          <w:p w14:paraId="6A452862"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Inversión Real Directa</w:t>
            </w:r>
          </w:p>
        </w:tc>
        <w:tc>
          <w:tcPr>
            <w:tcW w:w="1588" w:type="dxa"/>
            <w:tcBorders>
              <w:top w:val="single" w:sz="4" w:space="0" w:color="92CDDC"/>
            </w:tcBorders>
            <w:shd w:val="clear" w:color="auto" w:fill="auto"/>
            <w:noWrap/>
            <w:hideMark/>
          </w:tcPr>
          <w:p w14:paraId="7A2B1E1A"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26.927,96</w:t>
            </w:r>
          </w:p>
        </w:tc>
        <w:tc>
          <w:tcPr>
            <w:tcW w:w="1588" w:type="dxa"/>
            <w:tcBorders>
              <w:top w:val="single" w:sz="4" w:space="0" w:color="92CDDC"/>
            </w:tcBorders>
            <w:shd w:val="clear" w:color="auto" w:fill="auto"/>
            <w:noWrap/>
            <w:hideMark/>
          </w:tcPr>
          <w:p w14:paraId="632EB7DD"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2.621,01</w:t>
            </w:r>
          </w:p>
        </w:tc>
        <w:tc>
          <w:tcPr>
            <w:tcW w:w="1588" w:type="dxa"/>
            <w:tcBorders>
              <w:top w:val="single" w:sz="4" w:space="0" w:color="92CDDC"/>
            </w:tcBorders>
            <w:shd w:val="clear" w:color="auto" w:fill="auto"/>
            <w:noWrap/>
            <w:hideMark/>
          </w:tcPr>
          <w:p w14:paraId="12509332"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10%</w:t>
            </w:r>
          </w:p>
        </w:tc>
      </w:tr>
      <w:tr w:rsidR="00B05717" w:rsidRPr="004E6455" w14:paraId="698C686C" w14:textId="77777777" w:rsidTr="00B05717">
        <w:trPr>
          <w:trHeight w:val="300"/>
        </w:trPr>
        <w:tc>
          <w:tcPr>
            <w:tcW w:w="3984" w:type="dxa"/>
            <w:shd w:val="clear" w:color="auto" w:fill="auto"/>
            <w:noWrap/>
            <w:hideMark/>
          </w:tcPr>
          <w:p w14:paraId="7E969A33"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Transferencias de Capital</w:t>
            </w:r>
          </w:p>
        </w:tc>
        <w:tc>
          <w:tcPr>
            <w:tcW w:w="1588" w:type="dxa"/>
            <w:shd w:val="clear" w:color="auto" w:fill="auto"/>
            <w:noWrap/>
            <w:hideMark/>
          </w:tcPr>
          <w:p w14:paraId="72A69202"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14.245,62</w:t>
            </w:r>
          </w:p>
        </w:tc>
        <w:tc>
          <w:tcPr>
            <w:tcW w:w="1588" w:type="dxa"/>
            <w:shd w:val="clear" w:color="auto" w:fill="auto"/>
            <w:noWrap/>
            <w:hideMark/>
          </w:tcPr>
          <w:p w14:paraId="7B3C3DC0"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908,84</w:t>
            </w:r>
          </w:p>
        </w:tc>
        <w:tc>
          <w:tcPr>
            <w:tcW w:w="1588" w:type="dxa"/>
            <w:shd w:val="clear" w:color="auto" w:fill="auto"/>
            <w:noWrap/>
            <w:hideMark/>
          </w:tcPr>
          <w:p w14:paraId="5119E5A9"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6%</w:t>
            </w:r>
          </w:p>
        </w:tc>
      </w:tr>
      <w:tr w:rsidR="00B05717" w:rsidRPr="004E6455" w14:paraId="689ECDD3" w14:textId="77777777" w:rsidTr="00B05717">
        <w:trPr>
          <w:trHeight w:val="315"/>
        </w:trPr>
        <w:tc>
          <w:tcPr>
            <w:tcW w:w="3984" w:type="dxa"/>
            <w:tcBorders>
              <w:bottom w:val="single" w:sz="4" w:space="0" w:color="92CDDC"/>
            </w:tcBorders>
            <w:shd w:val="clear" w:color="auto" w:fill="auto"/>
            <w:noWrap/>
            <w:hideMark/>
          </w:tcPr>
          <w:p w14:paraId="4A8EE3E1"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Inversión Financiera</w:t>
            </w:r>
          </w:p>
        </w:tc>
        <w:tc>
          <w:tcPr>
            <w:tcW w:w="1588" w:type="dxa"/>
            <w:tcBorders>
              <w:bottom w:val="single" w:sz="4" w:space="0" w:color="92CDDC"/>
            </w:tcBorders>
            <w:shd w:val="clear" w:color="auto" w:fill="auto"/>
            <w:noWrap/>
            <w:hideMark/>
          </w:tcPr>
          <w:p w14:paraId="66C9171D"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3.297,72</w:t>
            </w:r>
          </w:p>
        </w:tc>
        <w:tc>
          <w:tcPr>
            <w:tcW w:w="1588" w:type="dxa"/>
            <w:tcBorders>
              <w:bottom w:val="single" w:sz="4" w:space="0" w:color="92CDDC"/>
            </w:tcBorders>
            <w:shd w:val="clear" w:color="auto" w:fill="auto"/>
            <w:noWrap/>
            <w:hideMark/>
          </w:tcPr>
          <w:p w14:paraId="4B888E59"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896,74</w:t>
            </w:r>
          </w:p>
        </w:tc>
        <w:tc>
          <w:tcPr>
            <w:tcW w:w="1588" w:type="dxa"/>
            <w:tcBorders>
              <w:bottom w:val="single" w:sz="4" w:space="0" w:color="92CDDC"/>
            </w:tcBorders>
            <w:shd w:val="clear" w:color="auto" w:fill="auto"/>
            <w:noWrap/>
            <w:hideMark/>
          </w:tcPr>
          <w:p w14:paraId="50C9CBDD"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27%</w:t>
            </w:r>
          </w:p>
        </w:tc>
      </w:tr>
      <w:tr w:rsidR="00B05717" w:rsidRPr="004E6455" w14:paraId="0F930E28" w14:textId="77777777" w:rsidTr="00B05717">
        <w:trPr>
          <w:trHeight w:val="315"/>
        </w:trPr>
        <w:tc>
          <w:tcPr>
            <w:tcW w:w="3984" w:type="dxa"/>
            <w:tcBorders>
              <w:top w:val="single" w:sz="4" w:space="0" w:color="92CDDC"/>
              <w:bottom w:val="single" w:sz="4" w:space="0" w:color="92CDDC"/>
            </w:tcBorders>
            <w:shd w:val="clear" w:color="auto" w:fill="auto"/>
            <w:noWrap/>
            <w:hideMark/>
          </w:tcPr>
          <w:p w14:paraId="2F4B111D" w14:textId="77777777" w:rsidR="004A4725" w:rsidRPr="00117BF8" w:rsidRDefault="004A4725" w:rsidP="00BC53E2">
            <w:pPr>
              <w:pStyle w:val="TablaC"/>
              <w:keepNext w:val="0"/>
              <w:jc w:val="left"/>
              <w:rPr>
                <w:rFonts w:ascii="Arial" w:hAnsi="Arial" w:cs="Arial"/>
                <w:b/>
                <w:bCs/>
                <w:sz w:val="18"/>
                <w:szCs w:val="18"/>
              </w:rPr>
            </w:pPr>
            <w:r w:rsidRPr="00117BF8">
              <w:rPr>
                <w:rFonts w:ascii="Arial" w:hAnsi="Arial" w:cs="Arial"/>
                <w:b/>
                <w:bCs/>
                <w:sz w:val="18"/>
                <w:szCs w:val="18"/>
              </w:rPr>
              <w:t xml:space="preserve"> V </w:t>
            </w:r>
            <w:r w:rsidR="00D71205" w:rsidRPr="00117BF8">
              <w:rPr>
                <w:rFonts w:ascii="Arial" w:hAnsi="Arial" w:cs="Arial"/>
                <w:b/>
                <w:bCs/>
                <w:sz w:val="18"/>
                <w:szCs w:val="18"/>
              </w:rPr>
              <w:t>Total Gastos De Capital</w:t>
            </w:r>
          </w:p>
        </w:tc>
        <w:tc>
          <w:tcPr>
            <w:tcW w:w="1588" w:type="dxa"/>
            <w:tcBorders>
              <w:top w:val="single" w:sz="4" w:space="0" w:color="92CDDC"/>
              <w:bottom w:val="single" w:sz="4" w:space="0" w:color="92CDDC"/>
            </w:tcBorders>
            <w:shd w:val="clear" w:color="auto" w:fill="auto"/>
            <w:noWrap/>
            <w:hideMark/>
          </w:tcPr>
          <w:p w14:paraId="6DDC49DE"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44.471,30</w:t>
            </w:r>
          </w:p>
        </w:tc>
        <w:tc>
          <w:tcPr>
            <w:tcW w:w="1588" w:type="dxa"/>
            <w:tcBorders>
              <w:top w:val="single" w:sz="4" w:space="0" w:color="92CDDC"/>
              <w:bottom w:val="single" w:sz="4" w:space="0" w:color="92CDDC"/>
            </w:tcBorders>
            <w:shd w:val="clear" w:color="auto" w:fill="auto"/>
            <w:noWrap/>
            <w:hideMark/>
          </w:tcPr>
          <w:p w14:paraId="370ABCAA"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4.426,58</w:t>
            </w:r>
          </w:p>
        </w:tc>
        <w:tc>
          <w:tcPr>
            <w:tcW w:w="1588" w:type="dxa"/>
            <w:tcBorders>
              <w:top w:val="single" w:sz="4" w:space="0" w:color="92CDDC"/>
              <w:bottom w:val="single" w:sz="4" w:space="0" w:color="92CDDC"/>
            </w:tcBorders>
            <w:shd w:val="clear" w:color="auto" w:fill="auto"/>
            <w:noWrap/>
            <w:hideMark/>
          </w:tcPr>
          <w:p w14:paraId="31F498B4" w14:textId="77777777" w:rsidR="004A4725" w:rsidRPr="00117BF8" w:rsidRDefault="004A4725" w:rsidP="00BC53E2">
            <w:pPr>
              <w:pStyle w:val="TablaC"/>
              <w:keepNext w:val="0"/>
              <w:rPr>
                <w:rFonts w:ascii="Arial" w:hAnsi="Arial" w:cs="Arial"/>
                <w:color w:val="000000"/>
                <w:sz w:val="18"/>
                <w:szCs w:val="18"/>
              </w:rPr>
            </w:pPr>
            <w:r w:rsidRPr="00117BF8">
              <w:rPr>
                <w:rFonts w:ascii="Arial" w:hAnsi="Arial" w:cs="Arial"/>
                <w:color w:val="000000"/>
                <w:sz w:val="18"/>
                <w:szCs w:val="18"/>
              </w:rPr>
              <w:t>10%</w:t>
            </w:r>
          </w:p>
        </w:tc>
      </w:tr>
      <w:tr w:rsidR="00B05717" w:rsidRPr="004E6455" w14:paraId="696DBFD8" w14:textId="77777777" w:rsidTr="00B05717">
        <w:trPr>
          <w:trHeight w:val="315"/>
        </w:trPr>
        <w:tc>
          <w:tcPr>
            <w:tcW w:w="3984" w:type="dxa"/>
            <w:tcBorders>
              <w:top w:val="single" w:sz="4" w:space="0" w:color="92CDDC"/>
              <w:bottom w:val="single" w:sz="4" w:space="0" w:color="92CDDC"/>
            </w:tcBorders>
            <w:shd w:val="clear" w:color="auto" w:fill="auto"/>
            <w:noWrap/>
            <w:hideMark/>
          </w:tcPr>
          <w:p w14:paraId="1792C311" w14:textId="77777777" w:rsidR="004A4725" w:rsidRPr="00117BF8" w:rsidRDefault="004A4725" w:rsidP="00BC53E2">
            <w:pPr>
              <w:pStyle w:val="TablaC"/>
              <w:keepNext w:val="0"/>
              <w:jc w:val="left"/>
              <w:rPr>
                <w:rFonts w:ascii="Arial" w:hAnsi="Arial" w:cs="Arial"/>
                <w:b/>
                <w:bCs/>
                <w:sz w:val="18"/>
                <w:szCs w:val="18"/>
                <w:lang w:val="pt-BR"/>
              </w:rPr>
            </w:pPr>
            <w:r w:rsidRPr="00117BF8">
              <w:rPr>
                <w:rFonts w:ascii="Arial" w:hAnsi="Arial" w:cs="Arial"/>
                <w:b/>
                <w:bCs/>
                <w:sz w:val="18"/>
                <w:szCs w:val="18"/>
                <w:lang w:val="pt-BR"/>
              </w:rPr>
              <w:t xml:space="preserve"> VI </w:t>
            </w:r>
            <w:r w:rsidR="00D71205" w:rsidRPr="00117BF8">
              <w:rPr>
                <w:rFonts w:ascii="Arial" w:hAnsi="Arial" w:cs="Arial"/>
                <w:b/>
                <w:bCs/>
                <w:sz w:val="18"/>
                <w:szCs w:val="18"/>
                <w:lang w:val="pt-BR"/>
              </w:rPr>
              <w:t xml:space="preserve">Recursos Totales </w:t>
            </w:r>
            <w:r w:rsidRPr="00117BF8">
              <w:rPr>
                <w:rFonts w:ascii="Arial" w:hAnsi="Arial" w:cs="Arial"/>
                <w:b/>
                <w:bCs/>
                <w:sz w:val="18"/>
                <w:szCs w:val="18"/>
                <w:lang w:val="pt-BR"/>
              </w:rPr>
              <w:t>(I + IV)</w:t>
            </w:r>
          </w:p>
        </w:tc>
        <w:tc>
          <w:tcPr>
            <w:tcW w:w="1588" w:type="dxa"/>
            <w:tcBorders>
              <w:top w:val="single" w:sz="4" w:space="0" w:color="92CDDC"/>
              <w:bottom w:val="single" w:sz="4" w:space="0" w:color="92CDDC"/>
            </w:tcBorders>
            <w:shd w:val="clear" w:color="auto" w:fill="auto"/>
            <w:noWrap/>
            <w:hideMark/>
          </w:tcPr>
          <w:p w14:paraId="74520EEE"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488.622,56</w:t>
            </w:r>
          </w:p>
        </w:tc>
        <w:tc>
          <w:tcPr>
            <w:tcW w:w="1588" w:type="dxa"/>
            <w:tcBorders>
              <w:top w:val="single" w:sz="4" w:space="0" w:color="92CDDC"/>
              <w:bottom w:val="single" w:sz="4" w:space="0" w:color="92CDDC"/>
            </w:tcBorders>
            <w:shd w:val="clear" w:color="auto" w:fill="auto"/>
            <w:noWrap/>
            <w:hideMark/>
          </w:tcPr>
          <w:p w14:paraId="0B13C3AA"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107.654,07</w:t>
            </w:r>
          </w:p>
        </w:tc>
        <w:tc>
          <w:tcPr>
            <w:tcW w:w="1588" w:type="dxa"/>
            <w:tcBorders>
              <w:top w:val="single" w:sz="4" w:space="0" w:color="92CDDC"/>
              <w:bottom w:val="single" w:sz="4" w:space="0" w:color="92CDDC"/>
            </w:tcBorders>
            <w:shd w:val="clear" w:color="auto" w:fill="auto"/>
            <w:noWrap/>
            <w:hideMark/>
          </w:tcPr>
          <w:p w14:paraId="10460656" w14:textId="77777777" w:rsidR="004A4725" w:rsidRPr="00117BF8" w:rsidRDefault="004A4725" w:rsidP="00BC53E2">
            <w:pPr>
              <w:pStyle w:val="TablaC"/>
              <w:keepNext w:val="0"/>
              <w:rPr>
                <w:rFonts w:ascii="Arial" w:hAnsi="Arial" w:cs="Arial"/>
                <w:color w:val="000000"/>
                <w:sz w:val="18"/>
                <w:szCs w:val="18"/>
              </w:rPr>
            </w:pPr>
            <w:r w:rsidRPr="00117BF8">
              <w:rPr>
                <w:rFonts w:ascii="Arial" w:hAnsi="Arial" w:cs="Arial"/>
                <w:color w:val="000000"/>
                <w:sz w:val="18"/>
                <w:szCs w:val="18"/>
              </w:rPr>
              <w:t>22%</w:t>
            </w:r>
          </w:p>
        </w:tc>
      </w:tr>
      <w:tr w:rsidR="00B05717" w:rsidRPr="004E6455" w14:paraId="1F8B366F" w14:textId="77777777" w:rsidTr="00B05717">
        <w:trPr>
          <w:trHeight w:val="315"/>
        </w:trPr>
        <w:tc>
          <w:tcPr>
            <w:tcW w:w="3984" w:type="dxa"/>
            <w:tcBorders>
              <w:top w:val="single" w:sz="4" w:space="0" w:color="92CDDC"/>
              <w:bottom w:val="single" w:sz="4" w:space="0" w:color="92CDDC"/>
            </w:tcBorders>
            <w:shd w:val="clear" w:color="auto" w:fill="auto"/>
            <w:noWrap/>
            <w:hideMark/>
          </w:tcPr>
          <w:p w14:paraId="3265C0EC" w14:textId="77777777" w:rsidR="004A4725" w:rsidRPr="00117BF8" w:rsidRDefault="004A4725" w:rsidP="00BC53E2">
            <w:pPr>
              <w:pStyle w:val="TablaC"/>
              <w:keepNext w:val="0"/>
              <w:jc w:val="left"/>
              <w:rPr>
                <w:rFonts w:ascii="Arial" w:hAnsi="Arial" w:cs="Arial"/>
                <w:b/>
                <w:bCs/>
                <w:sz w:val="18"/>
                <w:szCs w:val="18"/>
                <w:lang w:val="es-ES_tradnl"/>
              </w:rPr>
            </w:pPr>
            <w:r w:rsidRPr="00117BF8">
              <w:rPr>
                <w:rFonts w:ascii="Arial" w:hAnsi="Arial" w:cs="Arial"/>
                <w:b/>
                <w:bCs/>
                <w:sz w:val="18"/>
                <w:szCs w:val="18"/>
                <w:lang w:val="es-ES_tradnl"/>
              </w:rPr>
              <w:t xml:space="preserve"> VII </w:t>
            </w:r>
            <w:r w:rsidR="00D71205" w:rsidRPr="00117BF8">
              <w:rPr>
                <w:rFonts w:ascii="Arial" w:hAnsi="Arial" w:cs="Arial"/>
                <w:b/>
                <w:bCs/>
                <w:sz w:val="18"/>
                <w:szCs w:val="18"/>
                <w:lang w:val="es-ES_tradnl"/>
              </w:rPr>
              <w:t xml:space="preserve">Gastos Totales </w:t>
            </w:r>
            <w:r w:rsidRPr="00117BF8">
              <w:rPr>
                <w:rFonts w:ascii="Arial" w:hAnsi="Arial" w:cs="Arial"/>
                <w:b/>
                <w:bCs/>
                <w:sz w:val="18"/>
                <w:szCs w:val="18"/>
                <w:lang w:val="es-ES_tradnl"/>
              </w:rPr>
              <w:t>(II + V)</w:t>
            </w:r>
          </w:p>
        </w:tc>
        <w:tc>
          <w:tcPr>
            <w:tcW w:w="1588" w:type="dxa"/>
            <w:tcBorders>
              <w:top w:val="single" w:sz="4" w:space="0" w:color="92CDDC"/>
              <w:bottom w:val="single" w:sz="4" w:space="0" w:color="92CDDC"/>
            </w:tcBorders>
            <w:shd w:val="clear" w:color="auto" w:fill="auto"/>
            <w:noWrap/>
            <w:hideMark/>
          </w:tcPr>
          <w:p w14:paraId="04A6F674"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530.316,52</w:t>
            </w:r>
          </w:p>
        </w:tc>
        <w:tc>
          <w:tcPr>
            <w:tcW w:w="1588" w:type="dxa"/>
            <w:tcBorders>
              <w:top w:val="single" w:sz="4" w:space="0" w:color="92CDDC"/>
              <w:bottom w:val="single" w:sz="4" w:space="0" w:color="92CDDC"/>
            </w:tcBorders>
            <w:shd w:val="clear" w:color="auto" w:fill="auto"/>
            <w:noWrap/>
            <w:hideMark/>
          </w:tcPr>
          <w:p w14:paraId="14497604"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107.290,35</w:t>
            </w:r>
          </w:p>
        </w:tc>
        <w:tc>
          <w:tcPr>
            <w:tcW w:w="1588" w:type="dxa"/>
            <w:tcBorders>
              <w:top w:val="single" w:sz="4" w:space="0" w:color="92CDDC"/>
              <w:bottom w:val="single" w:sz="4" w:space="0" w:color="92CDDC"/>
            </w:tcBorders>
            <w:shd w:val="clear" w:color="auto" w:fill="auto"/>
            <w:noWrap/>
            <w:hideMark/>
          </w:tcPr>
          <w:p w14:paraId="614141EE" w14:textId="77777777" w:rsidR="004A4725" w:rsidRPr="00117BF8" w:rsidRDefault="004A4725" w:rsidP="00BC53E2">
            <w:pPr>
              <w:pStyle w:val="TablaC"/>
              <w:keepNext w:val="0"/>
              <w:rPr>
                <w:rFonts w:ascii="Arial" w:hAnsi="Arial" w:cs="Arial"/>
                <w:color w:val="000000"/>
                <w:sz w:val="18"/>
                <w:szCs w:val="18"/>
              </w:rPr>
            </w:pPr>
            <w:r w:rsidRPr="00117BF8">
              <w:rPr>
                <w:rFonts w:ascii="Arial" w:hAnsi="Arial" w:cs="Arial"/>
                <w:color w:val="000000"/>
                <w:sz w:val="18"/>
                <w:szCs w:val="18"/>
              </w:rPr>
              <w:t>20%</w:t>
            </w:r>
          </w:p>
        </w:tc>
      </w:tr>
      <w:tr w:rsidR="00B05717" w:rsidRPr="004E6455" w14:paraId="2D9A08E8" w14:textId="77777777" w:rsidTr="00B05717">
        <w:trPr>
          <w:trHeight w:val="315"/>
        </w:trPr>
        <w:tc>
          <w:tcPr>
            <w:tcW w:w="3984" w:type="dxa"/>
            <w:tcBorders>
              <w:top w:val="single" w:sz="4" w:space="0" w:color="92CDDC"/>
              <w:bottom w:val="single" w:sz="4" w:space="0" w:color="92CDDC"/>
            </w:tcBorders>
            <w:shd w:val="clear" w:color="auto" w:fill="auto"/>
            <w:noWrap/>
            <w:hideMark/>
          </w:tcPr>
          <w:p w14:paraId="3AB3F42D" w14:textId="77777777" w:rsidR="004A4725" w:rsidRPr="00117BF8" w:rsidRDefault="004A4725" w:rsidP="00BC53E2">
            <w:pPr>
              <w:pStyle w:val="TablaC"/>
              <w:keepNext w:val="0"/>
              <w:jc w:val="left"/>
              <w:rPr>
                <w:rFonts w:ascii="Arial" w:hAnsi="Arial" w:cs="Arial"/>
                <w:b/>
                <w:bCs/>
                <w:sz w:val="18"/>
                <w:szCs w:val="18"/>
                <w:lang w:val="es-ES_tradnl"/>
              </w:rPr>
            </w:pPr>
            <w:r w:rsidRPr="00117BF8">
              <w:rPr>
                <w:rFonts w:ascii="Arial" w:hAnsi="Arial" w:cs="Arial"/>
                <w:b/>
                <w:bCs/>
                <w:sz w:val="18"/>
                <w:szCs w:val="18"/>
                <w:lang w:val="es-ES_tradnl"/>
              </w:rPr>
              <w:t xml:space="preserve">XI </w:t>
            </w:r>
            <w:r w:rsidR="00D71205" w:rsidRPr="00117BF8">
              <w:rPr>
                <w:rFonts w:ascii="Arial" w:hAnsi="Arial" w:cs="Arial"/>
                <w:b/>
                <w:bCs/>
                <w:sz w:val="18"/>
                <w:szCs w:val="18"/>
                <w:lang w:val="es-ES_tradnl"/>
              </w:rPr>
              <w:t xml:space="preserve">Resultado Financiero </w:t>
            </w:r>
            <w:r w:rsidRPr="00117BF8">
              <w:rPr>
                <w:rFonts w:ascii="Arial" w:hAnsi="Arial" w:cs="Arial"/>
                <w:b/>
                <w:bCs/>
                <w:sz w:val="18"/>
                <w:szCs w:val="18"/>
                <w:lang w:val="es-ES_tradnl"/>
              </w:rPr>
              <w:t>(VI - VII)</w:t>
            </w:r>
          </w:p>
        </w:tc>
        <w:tc>
          <w:tcPr>
            <w:tcW w:w="1588" w:type="dxa"/>
            <w:tcBorders>
              <w:top w:val="single" w:sz="4" w:space="0" w:color="92CDDC"/>
              <w:bottom w:val="single" w:sz="4" w:space="0" w:color="92CDDC"/>
            </w:tcBorders>
            <w:shd w:val="clear" w:color="auto" w:fill="auto"/>
            <w:noWrap/>
            <w:hideMark/>
          </w:tcPr>
          <w:p w14:paraId="24AB3080"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-41.693,96</w:t>
            </w:r>
          </w:p>
        </w:tc>
        <w:tc>
          <w:tcPr>
            <w:tcW w:w="1588" w:type="dxa"/>
            <w:tcBorders>
              <w:top w:val="single" w:sz="4" w:space="0" w:color="92CDDC"/>
              <w:bottom w:val="single" w:sz="4" w:space="0" w:color="92CDDC"/>
            </w:tcBorders>
            <w:shd w:val="clear" w:color="auto" w:fill="auto"/>
            <w:noWrap/>
            <w:hideMark/>
          </w:tcPr>
          <w:p w14:paraId="56706348" w14:textId="77777777" w:rsidR="004A4725" w:rsidRPr="00117BF8" w:rsidRDefault="004A4725" w:rsidP="00BC53E2">
            <w:pPr>
              <w:pStyle w:val="TablaC"/>
              <w:keepNext w:val="0"/>
              <w:rPr>
                <w:rFonts w:ascii="Arial" w:hAnsi="Arial" w:cs="Arial"/>
                <w:b/>
                <w:bCs/>
                <w:sz w:val="18"/>
                <w:szCs w:val="18"/>
              </w:rPr>
            </w:pPr>
            <w:r w:rsidRPr="00117BF8">
              <w:rPr>
                <w:rFonts w:ascii="Arial" w:hAnsi="Arial" w:cs="Arial"/>
                <w:b/>
                <w:bCs/>
                <w:sz w:val="18"/>
                <w:szCs w:val="18"/>
              </w:rPr>
              <w:t>363,72</w:t>
            </w:r>
          </w:p>
        </w:tc>
        <w:tc>
          <w:tcPr>
            <w:tcW w:w="1588" w:type="dxa"/>
            <w:tcBorders>
              <w:top w:val="single" w:sz="4" w:space="0" w:color="92CDDC"/>
              <w:bottom w:val="single" w:sz="4" w:space="0" w:color="92CDDC"/>
            </w:tcBorders>
            <w:shd w:val="clear" w:color="auto" w:fill="auto"/>
            <w:noWrap/>
            <w:hideMark/>
          </w:tcPr>
          <w:p w14:paraId="309DB79F" w14:textId="77777777" w:rsidR="004A4725" w:rsidRPr="00117BF8" w:rsidRDefault="004A4725" w:rsidP="00BC53E2">
            <w:pPr>
              <w:pStyle w:val="TablaC"/>
              <w:keepNext w:val="0"/>
              <w:rPr>
                <w:rFonts w:ascii="Arial" w:hAnsi="Arial" w:cs="Arial"/>
                <w:color w:val="000000"/>
                <w:sz w:val="18"/>
                <w:szCs w:val="18"/>
              </w:rPr>
            </w:pPr>
            <w:r w:rsidRPr="00117BF8">
              <w:rPr>
                <w:rFonts w:ascii="Arial" w:hAnsi="Arial" w:cs="Arial"/>
                <w:color w:val="000000"/>
                <w:sz w:val="18"/>
                <w:szCs w:val="18"/>
              </w:rPr>
              <w:t>-1%</w:t>
            </w:r>
          </w:p>
        </w:tc>
      </w:tr>
      <w:tr w:rsidR="00B05717" w:rsidRPr="004E6455" w14:paraId="5C981626" w14:textId="77777777" w:rsidTr="00B05717">
        <w:trPr>
          <w:trHeight w:val="300"/>
        </w:trPr>
        <w:tc>
          <w:tcPr>
            <w:tcW w:w="3984" w:type="dxa"/>
            <w:tcBorders>
              <w:top w:val="single" w:sz="4" w:space="0" w:color="92CDDC"/>
            </w:tcBorders>
            <w:shd w:val="clear" w:color="auto" w:fill="auto"/>
            <w:noWrap/>
            <w:hideMark/>
          </w:tcPr>
          <w:p w14:paraId="09548453" w14:textId="77777777" w:rsidR="004A4725" w:rsidRPr="00117BF8" w:rsidRDefault="004A4725" w:rsidP="00D71205">
            <w:pPr>
              <w:pStyle w:val="TablaC"/>
              <w:jc w:val="left"/>
              <w:rPr>
                <w:rFonts w:ascii="Arial" w:hAnsi="Arial" w:cs="Arial"/>
                <w:sz w:val="18"/>
                <w:szCs w:val="18"/>
                <w:lang w:val="es-ES_tradnl"/>
              </w:rPr>
            </w:pPr>
            <w:r w:rsidRPr="00117BF8">
              <w:rPr>
                <w:rFonts w:ascii="Arial" w:hAnsi="Arial" w:cs="Arial"/>
                <w:sz w:val="18"/>
                <w:szCs w:val="18"/>
                <w:lang w:val="es-ES_tradnl"/>
              </w:rPr>
              <w:t>    Disminución de la Inv. Financiera</w:t>
            </w:r>
          </w:p>
        </w:tc>
        <w:tc>
          <w:tcPr>
            <w:tcW w:w="1588" w:type="dxa"/>
            <w:tcBorders>
              <w:top w:val="single" w:sz="4" w:space="0" w:color="92CDDC"/>
            </w:tcBorders>
            <w:shd w:val="clear" w:color="auto" w:fill="auto"/>
            <w:noWrap/>
            <w:hideMark/>
          </w:tcPr>
          <w:p w14:paraId="0A65280A"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91,05</w:t>
            </w:r>
          </w:p>
        </w:tc>
        <w:tc>
          <w:tcPr>
            <w:tcW w:w="1588" w:type="dxa"/>
            <w:tcBorders>
              <w:top w:val="single" w:sz="4" w:space="0" w:color="92CDDC"/>
            </w:tcBorders>
            <w:shd w:val="clear" w:color="auto" w:fill="auto"/>
            <w:noWrap/>
            <w:hideMark/>
          </w:tcPr>
          <w:p w14:paraId="65BDD0D6"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6.885,40</w:t>
            </w:r>
          </w:p>
        </w:tc>
        <w:tc>
          <w:tcPr>
            <w:tcW w:w="1588" w:type="dxa"/>
            <w:tcBorders>
              <w:top w:val="single" w:sz="4" w:space="0" w:color="92CDDC"/>
            </w:tcBorders>
            <w:shd w:val="clear" w:color="auto" w:fill="auto"/>
            <w:noWrap/>
            <w:hideMark/>
          </w:tcPr>
          <w:p w14:paraId="3E018D57"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7562%</w:t>
            </w:r>
          </w:p>
        </w:tc>
      </w:tr>
      <w:tr w:rsidR="00B05717" w:rsidRPr="004E6455" w14:paraId="51000E67" w14:textId="77777777" w:rsidTr="00B05717">
        <w:trPr>
          <w:trHeight w:val="315"/>
        </w:trPr>
        <w:tc>
          <w:tcPr>
            <w:tcW w:w="3984" w:type="dxa"/>
            <w:tcBorders>
              <w:bottom w:val="single" w:sz="4" w:space="0" w:color="92CDDC"/>
            </w:tcBorders>
            <w:shd w:val="clear" w:color="auto" w:fill="auto"/>
            <w:noWrap/>
            <w:hideMark/>
          </w:tcPr>
          <w:p w14:paraId="51969DF3"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Endeudamiento Público e Increm. de O. Pasivos</w:t>
            </w:r>
          </w:p>
        </w:tc>
        <w:tc>
          <w:tcPr>
            <w:tcW w:w="1588" w:type="dxa"/>
            <w:tcBorders>
              <w:bottom w:val="single" w:sz="4" w:space="0" w:color="92CDDC"/>
            </w:tcBorders>
            <w:shd w:val="clear" w:color="auto" w:fill="auto"/>
            <w:noWrap/>
            <w:hideMark/>
          </w:tcPr>
          <w:p w14:paraId="1A364D92"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64.327,28</w:t>
            </w:r>
          </w:p>
        </w:tc>
        <w:tc>
          <w:tcPr>
            <w:tcW w:w="1588" w:type="dxa"/>
            <w:tcBorders>
              <w:bottom w:val="single" w:sz="4" w:space="0" w:color="92CDDC"/>
            </w:tcBorders>
            <w:shd w:val="clear" w:color="auto" w:fill="auto"/>
            <w:noWrap/>
            <w:hideMark/>
          </w:tcPr>
          <w:p w14:paraId="304A88CC"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34.135,90</w:t>
            </w:r>
          </w:p>
        </w:tc>
        <w:tc>
          <w:tcPr>
            <w:tcW w:w="1588" w:type="dxa"/>
            <w:tcBorders>
              <w:bottom w:val="single" w:sz="4" w:space="0" w:color="92CDDC"/>
            </w:tcBorders>
            <w:shd w:val="clear" w:color="auto" w:fill="auto"/>
            <w:noWrap/>
            <w:hideMark/>
          </w:tcPr>
          <w:p w14:paraId="366EBAC6"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53%</w:t>
            </w:r>
          </w:p>
        </w:tc>
      </w:tr>
      <w:tr w:rsidR="00B05717" w:rsidRPr="004E6455" w14:paraId="3EDDF714" w14:textId="77777777" w:rsidTr="00B05717">
        <w:trPr>
          <w:trHeight w:val="315"/>
        </w:trPr>
        <w:tc>
          <w:tcPr>
            <w:tcW w:w="3984" w:type="dxa"/>
            <w:tcBorders>
              <w:top w:val="single" w:sz="4" w:space="0" w:color="92CDDC"/>
              <w:bottom w:val="single" w:sz="4" w:space="0" w:color="92CDDC"/>
            </w:tcBorders>
            <w:shd w:val="clear" w:color="auto" w:fill="auto"/>
            <w:noWrap/>
            <w:hideMark/>
          </w:tcPr>
          <w:p w14:paraId="0A356268" w14:textId="77777777" w:rsidR="004A4725" w:rsidRPr="00117BF8" w:rsidRDefault="004A4725" w:rsidP="00D71205">
            <w:pPr>
              <w:pStyle w:val="TablaC"/>
              <w:jc w:val="left"/>
              <w:rPr>
                <w:rFonts w:ascii="Arial" w:hAnsi="Arial" w:cs="Arial"/>
                <w:b/>
                <w:bCs/>
                <w:sz w:val="18"/>
                <w:szCs w:val="18"/>
              </w:rPr>
            </w:pPr>
            <w:r w:rsidRPr="00117BF8">
              <w:rPr>
                <w:rFonts w:ascii="Arial" w:hAnsi="Arial" w:cs="Arial"/>
                <w:b/>
                <w:bCs/>
                <w:sz w:val="18"/>
                <w:szCs w:val="18"/>
              </w:rPr>
              <w:t xml:space="preserve"> XII </w:t>
            </w:r>
            <w:r w:rsidR="00D71205" w:rsidRPr="00117BF8">
              <w:rPr>
                <w:rFonts w:ascii="Arial" w:hAnsi="Arial" w:cs="Arial"/>
                <w:b/>
                <w:bCs/>
                <w:sz w:val="18"/>
                <w:szCs w:val="18"/>
              </w:rPr>
              <w:t>Total Fuentes Financieras</w:t>
            </w:r>
          </w:p>
        </w:tc>
        <w:tc>
          <w:tcPr>
            <w:tcW w:w="1588" w:type="dxa"/>
            <w:tcBorders>
              <w:top w:val="single" w:sz="4" w:space="0" w:color="92CDDC"/>
              <w:bottom w:val="single" w:sz="4" w:space="0" w:color="92CDDC"/>
            </w:tcBorders>
            <w:shd w:val="clear" w:color="auto" w:fill="auto"/>
            <w:noWrap/>
            <w:hideMark/>
          </w:tcPr>
          <w:p w14:paraId="3D0CF338"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64.418,33</w:t>
            </w:r>
          </w:p>
        </w:tc>
        <w:tc>
          <w:tcPr>
            <w:tcW w:w="1588" w:type="dxa"/>
            <w:tcBorders>
              <w:top w:val="single" w:sz="4" w:space="0" w:color="92CDDC"/>
              <w:bottom w:val="single" w:sz="4" w:space="0" w:color="92CDDC"/>
            </w:tcBorders>
            <w:shd w:val="clear" w:color="auto" w:fill="auto"/>
            <w:noWrap/>
            <w:hideMark/>
          </w:tcPr>
          <w:p w14:paraId="34DB711A"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41.021,29</w:t>
            </w:r>
          </w:p>
        </w:tc>
        <w:tc>
          <w:tcPr>
            <w:tcW w:w="1588" w:type="dxa"/>
            <w:tcBorders>
              <w:top w:val="single" w:sz="4" w:space="0" w:color="92CDDC"/>
              <w:bottom w:val="single" w:sz="4" w:space="0" w:color="92CDDC"/>
            </w:tcBorders>
            <w:shd w:val="clear" w:color="auto" w:fill="auto"/>
            <w:noWrap/>
            <w:hideMark/>
          </w:tcPr>
          <w:p w14:paraId="618ED067"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64%</w:t>
            </w:r>
          </w:p>
        </w:tc>
      </w:tr>
      <w:tr w:rsidR="00B05717" w:rsidRPr="004E6455" w14:paraId="782293DE" w14:textId="77777777" w:rsidTr="00B05717">
        <w:trPr>
          <w:trHeight w:val="300"/>
        </w:trPr>
        <w:tc>
          <w:tcPr>
            <w:tcW w:w="3984" w:type="dxa"/>
            <w:tcBorders>
              <w:top w:val="single" w:sz="4" w:space="0" w:color="92CDDC"/>
            </w:tcBorders>
            <w:shd w:val="clear" w:color="auto" w:fill="auto"/>
            <w:noWrap/>
            <w:hideMark/>
          </w:tcPr>
          <w:p w14:paraId="645C972D" w14:textId="77777777" w:rsidR="004A4725" w:rsidRPr="00117BF8" w:rsidRDefault="004A4725" w:rsidP="00D71205">
            <w:pPr>
              <w:pStyle w:val="TablaC"/>
              <w:jc w:val="left"/>
              <w:rPr>
                <w:rFonts w:ascii="Arial" w:hAnsi="Arial" w:cs="Arial"/>
                <w:sz w:val="18"/>
                <w:szCs w:val="18"/>
              </w:rPr>
            </w:pPr>
            <w:r w:rsidRPr="00117BF8">
              <w:rPr>
                <w:rFonts w:ascii="Arial" w:hAnsi="Arial" w:cs="Arial"/>
                <w:sz w:val="18"/>
                <w:szCs w:val="18"/>
              </w:rPr>
              <w:t>    Inversión Financiera</w:t>
            </w:r>
          </w:p>
        </w:tc>
        <w:tc>
          <w:tcPr>
            <w:tcW w:w="1588" w:type="dxa"/>
            <w:tcBorders>
              <w:top w:val="single" w:sz="4" w:space="0" w:color="92CDDC"/>
            </w:tcBorders>
            <w:shd w:val="clear" w:color="auto" w:fill="auto"/>
            <w:noWrap/>
            <w:hideMark/>
          </w:tcPr>
          <w:p w14:paraId="4F207C2D"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4.882,26</w:t>
            </w:r>
          </w:p>
        </w:tc>
        <w:tc>
          <w:tcPr>
            <w:tcW w:w="1588" w:type="dxa"/>
            <w:tcBorders>
              <w:top w:val="single" w:sz="4" w:space="0" w:color="92CDDC"/>
            </w:tcBorders>
            <w:shd w:val="clear" w:color="auto" w:fill="auto"/>
            <w:noWrap/>
            <w:hideMark/>
          </w:tcPr>
          <w:p w14:paraId="2C48BA97"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31.828,46</w:t>
            </w:r>
          </w:p>
        </w:tc>
        <w:tc>
          <w:tcPr>
            <w:tcW w:w="1588" w:type="dxa"/>
            <w:tcBorders>
              <w:top w:val="single" w:sz="4" w:space="0" w:color="92CDDC"/>
            </w:tcBorders>
            <w:shd w:val="clear" w:color="auto" w:fill="auto"/>
            <w:noWrap/>
            <w:hideMark/>
          </w:tcPr>
          <w:p w14:paraId="7D2B1070"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652%</w:t>
            </w:r>
          </w:p>
        </w:tc>
      </w:tr>
      <w:tr w:rsidR="00B05717" w:rsidRPr="004E6455" w14:paraId="5D2BBD8D" w14:textId="77777777" w:rsidTr="00B05717">
        <w:trPr>
          <w:trHeight w:val="315"/>
        </w:trPr>
        <w:tc>
          <w:tcPr>
            <w:tcW w:w="3984" w:type="dxa"/>
            <w:tcBorders>
              <w:bottom w:val="single" w:sz="4" w:space="0" w:color="92CDDC"/>
            </w:tcBorders>
            <w:shd w:val="clear" w:color="auto" w:fill="auto"/>
            <w:noWrap/>
            <w:hideMark/>
          </w:tcPr>
          <w:p w14:paraId="618F9D2A" w14:textId="77777777" w:rsidR="004A4725" w:rsidRPr="00117BF8" w:rsidRDefault="004A4725" w:rsidP="00D71205">
            <w:pPr>
              <w:pStyle w:val="TablaC"/>
              <w:jc w:val="left"/>
              <w:rPr>
                <w:rFonts w:ascii="Arial" w:hAnsi="Arial" w:cs="Arial"/>
                <w:sz w:val="18"/>
                <w:szCs w:val="18"/>
                <w:lang w:val="es-ES_tradnl"/>
              </w:rPr>
            </w:pPr>
            <w:r w:rsidRPr="00117BF8">
              <w:rPr>
                <w:rFonts w:ascii="Arial" w:hAnsi="Arial" w:cs="Arial"/>
                <w:sz w:val="18"/>
                <w:szCs w:val="18"/>
                <w:lang w:val="es-ES_tradnl"/>
              </w:rPr>
              <w:t>    Amort. de la Deuda y Dism. de O. Pasivos</w:t>
            </w:r>
          </w:p>
        </w:tc>
        <w:tc>
          <w:tcPr>
            <w:tcW w:w="1588" w:type="dxa"/>
            <w:tcBorders>
              <w:bottom w:val="single" w:sz="4" w:space="0" w:color="92CDDC"/>
            </w:tcBorders>
            <w:shd w:val="clear" w:color="auto" w:fill="auto"/>
            <w:noWrap/>
            <w:hideMark/>
          </w:tcPr>
          <w:p w14:paraId="5D8D354A"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24.307,25</w:t>
            </w:r>
          </w:p>
        </w:tc>
        <w:tc>
          <w:tcPr>
            <w:tcW w:w="1588" w:type="dxa"/>
            <w:tcBorders>
              <w:bottom w:val="single" w:sz="4" w:space="0" w:color="92CDDC"/>
            </w:tcBorders>
            <w:shd w:val="clear" w:color="auto" w:fill="auto"/>
            <w:noWrap/>
            <w:hideMark/>
          </w:tcPr>
          <w:p w14:paraId="0D423A58" w14:textId="77777777" w:rsidR="004A4725" w:rsidRPr="00117BF8" w:rsidRDefault="004A4725" w:rsidP="00D71205">
            <w:pPr>
              <w:pStyle w:val="TablaC"/>
              <w:rPr>
                <w:rFonts w:ascii="Arial" w:hAnsi="Arial" w:cs="Arial"/>
                <w:sz w:val="18"/>
                <w:szCs w:val="18"/>
              </w:rPr>
            </w:pPr>
            <w:r w:rsidRPr="00117BF8">
              <w:rPr>
                <w:rFonts w:ascii="Arial" w:hAnsi="Arial" w:cs="Arial"/>
                <w:sz w:val="18"/>
                <w:szCs w:val="18"/>
              </w:rPr>
              <w:t>9.556,55</w:t>
            </w:r>
          </w:p>
        </w:tc>
        <w:tc>
          <w:tcPr>
            <w:tcW w:w="1588" w:type="dxa"/>
            <w:tcBorders>
              <w:bottom w:val="single" w:sz="4" w:space="0" w:color="92CDDC"/>
            </w:tcBorders>
            <w:shd w:val="clear" w:color="auto" w:fill="auto"/>
            <w:noWrap/>
            <w:hideMark/>
          </w:tcPr>
          <w:p w14:paraId="40C4E902"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39%</w:t>
            </w:r>
          </w:p>
        </w:tc>
      </w:tr>
      <w:tr w:rsidR="00B05717" w:rsidRPr="004E6455" w14:paraId="6FD0BA63" w14:textId="77777777" w:rsidTr="00B05717">
        <w:trPr>
          <w:trHeight w:val="315"/>
        </w:trPr>
        <w:tc>
          <w:tcPr>
            <w:tcW w:w="3984" w:type="dxa"/>
            <w:tcBorders>
              <w:top w:val="single" w:sz="4" w:space="0" w:color="92CDDC"/>
              <w:bottom w:val="single" w:sz="4" w:space="0" w:color="92CDDC"/>
            </w:tcBorders>
            <w:shd w:val="clear" w:color="auto" w:fill="auto"/>
            <w:noWrap/>
            <w:hideMark/>
          </w:tcPr>
          <w:p w14:paraId="7213C387" w14:textId="77777777" w:rsidR="004A4725" w:rsidRPr="00117BF8" w:rsidRDefault="004A4725" w:rsidP="00D71205">
            <w:pPr>
              <w:pStyle w:val="TablaC"/>
              <w:jc w:val="left"/>
              <w:rPr>
                <w:rFonts w:ascii="Arial" w:hAnsi="Arial" w:cs="Arial"/>
                <w:b/>
                <w:bCs/>
                <w:sz w:val="18"/>
                <w:szCs w:val="18"/>
              </w:rPr>
            </w:pPr>
            <w:r w:rsidRPr="00117BF8">
              <w:rPr>
                <w:rFonts w:ascii="Arial" w:hAnsi="Arial" w:cs="Arial"/>
                <w:b/>
                <w:bCs/>
                <w:sz w:val="18"/>
                <w:szCs w:val="18"/>
              </w:rPr>
              <w:t xml:space="preserve"> XIII </w:t>
            </w:r>
            <w:r w:rsidR="00D71205" w:rsidRPr="00117BF8">
              <w:rPr>
                <w:rFonts w:ascii="Arial" w:hAnsi="Arial" w:cs="Arial"/>
                <w:b/>
                <w:bCs/>
                <w:sz w:val="18"/>
                <w:szCs w:val="18"/>
              </w:rPr>
              <w:t>Total Aplicaciones Financieras</w:t>
            </w:r>
          </w:p>
        </w:tc>
        <w:tc>
          <w:tcPr>
            <w:tcW w:w="1588" w:type="dxa"/>
            <w:tcBorders>
              <w:top w:val="single" w:sz="4" w:space="0" w:color="92CDDC"/>
              <w:bottom w:val="single" w:sz="4" w:space="0" w:color="92CDDC"/>
            </w:tcBorders>
            <w:shd w:val="clear" w:color="auto" w:fill="auto"/>
            <w:noWrap/>
            <w:hideMark/>
          </w:tcPr>
          <w:p w14:paraId="7B41152A"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29.189,51</w:t>
            </w:r>
          </w:p>
        </w:tc>
        <w:tc>
          <w:tcPr>
            <w:tcW w:w="1588" w:type="dxa"/>
            <w:tcBorders>
              <w:top w:val="single" w:sz="4" w:space="0" w:color="92CDDC"/>
              <w:bottom w:val="single" w:sz="4" w:space="0" w:color="92CDDC"/>
            </w:tcBorders>
            <w:shd w:val="clear" w:color="auto" w:fill="auto"/>
            <w:noWrap/>
            <w:hideMark/>
          </w:tcPr>
          <w:p w14:paraId="0AD5E7AB"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41.385,01</w:t>
            </w:r>
          </w:p>
        </w:tc>
        <w:tc>
          <w:tcPr>
            <w:tcW w:w="1588" w:type="dxa"/>
            <w:tcBorders>
              <w:top w:val="single" w:sz="4" w:space="0" w:color="92CDDC"/>
              <w:bottom w:val="single" w:sz="4" w:space="0" w:color="92CDDC"/>
            </w:tcBorders>
            <w:shd w:val="clear" w:color="auto" w:fill="auto"/>
            <w:noWrap/>
            <w:hideMark/>
          </w:tcPr>
          <w:p w14:paraId="4B2544E4"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142%</w:t>
            </w:r>
          </w:p>
        </w:tc>
      </w:tr>
      <w:tr w:rsidR="00B05717" w:rsidRPr="004E6455" w14:paraId="1CEAD25E" w14:textId="77777777" w:rsidTr="00B05717">
        <w:trPr>
          <w:trHeight w:val="315"/>
        </w:trPr>
        <w:tc>
          <w:tcPr>
            <w:tcW w:w="3984" w:type="dxa"/>
            <w:tcBorders>
              <w:top w:val="single" w:sz="4" w:space="0" w:color="92CDDC"/>
              <w:bottom w:val="single" w:sz="4" w:space="0" w:color="92CDDC"/>
            </w:tcBorders>
            <w:shd w:val="clear" w:color="auto" w:fill="auto"/>
            <w:noWrap/>
            <w:hideMark/>
          </w:tcPr>
          <w:p w14:paraId="358B66D2" w14:textId="77777777" w:rsidR="004A4725" w:rsidRPr="00117BF8" w:rsidRDefault="004A4725" w:rsidP="00D71205">
            <w:pPr>
              <w:pStyle w:val="TablaC"/>
              <w:jc w:val="left"/>
              <w:rPr>
                <w:rFonts w:ascii="Arial" w:hAnsi="Arial" w:cs="Arial"/>
                <w:b/>
                <w:bCs/>
                <w:sz w:val="18"/>
                <w:szCs w:val="18"/>
              </w:rPr>
            </w:pPr>
            <w:r w:rsidRPr="00117BF8">
              <w:rPr>
                <w:rFonts w:ascii="Arial" w:hAnsi="Arial" w:cs="Arial"/>
                <w:b/>
                <w:bCs/>
                <w:sz w:val="18"/>
                <w:szCs w:val="18"/>
              </w:rPr>
              <w:t>Resultado Primario</w:t>
            </w:r>
          </w:p>
        </w:tc>
        <w:tc>
          <w:tcPr>
            <w:tcW w:w="1588" w:type="dxa"/>
            <w:tcBorders>
              <w:top w:val="single" w:sz="4" w:space="0" w:color="92CDDC"/>
              <w:bottom w:val="single" w:sz="4" w:space="0" w:color="92CDDC"/>
            </w:tcBorders>
            <w:shd w:val="clear" w:color="auto" w:fill="auto"/>
            <w:noWrap/>
            <w:hideMark/>
          </w:tcPr>
          <w:p w14:paraId="3FF44DB2"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0,00</w:t>
            </w:r>
          </w:p>
        </w:tc>
        <w:tc>
          <w:tcPr>
            <w:tcW w:w="1588" w:type="dxa"/>
            <w:tcBorders>
              <w:top w:val="single" w:sz="4" w:space="0" w:color="92CDDC"/>
              <w:bottom w:val="single" w:sz="4" w:space="0" w:color="92CDDC"/>
            </w:tcBorders>
            <w:shd w:val="clear" w:color="auto" w:fill="auto"/>
            <w:noWrap/>
            <w:hideMark/>
          </w:tcPr>
          <w:p w14:paraId="1A55837A" w14:textId="77777777" w:rsidR="004A4725" w:rsidRPr="00117BF8" w:rsidRDefault="004D19B3" w:rsidP="00D71205">
            <w:pPr>
              <w:pStyle w:val="TablaC"/>
              <w:rPr>
                <w:rFonts w:ascii="Arial" w:hAnsi="Arial" w:cs="Arial"/>
                <w:b/>
                <w:bCs/>
                <w:sz w:val="18"/>
                <w:szCs w:val="18"/>
              </w:rPr>
            </w:pPr>
            <w:r w:rsidRPr="00117BF8">
              <w:rPr>
                <w:rFonts w:ascii="Arial" w:hAnsi="Arial" w:cs="Arial"/>
                <w:b/>
                <w:bCs/>
                <w:sz w:val="18"/>
                <w:szCs w:val="18"/>
              </w:rPr>
              <w:t>4.850,87</w:t>
            </w:r>
          </w:p>
        </w:tc>
        <w:tc>
          <w:tcPr>
            <w:tcW w:w="1588" w:type="dxa"/>
            <w:tcBorders>
              <w:top w:val="single" w:sz="4" w:space="0" w:color="92CDDC"/>
              <w:bottom w:val="single" w:sz="4" w:space="0" w:color="92CDDC"/>
            </w:tcBorders>
            <w:shd w:val="clear" w:color="auto" w:fill="auto"/>
            <w:noWrap/>
            <w:hideMark/>
          </w:tcPr>
          <w:p w14:paraId="5DA1A2AE" w14:textId="77777777" w:rsidR="004A4725" w:rsidRPr="00117BF8" w:rsidRDefault="004A4725" w:rsidP="00D71205">
            <w:pPr>
              <w:pStyle w:val="TablaC"/>
              <w:rPr>
                <w:rFonts w:ascii="Arial" w:hAnsi="Arial" w:cs="Arial"/>
                <w:color w:val="000000"/>
                <w:sz w:val="18"/>
                <w:szCs w:val="18"/>
              </w:rPr>
            </w:pPr>
          </w:p>
        </w:tc>
      </w:tr>
      <w:tr w:rsidR="00B05717" w:rsidRPr="004E6455" w14:paraId="590B3F10" w14:textId="77777777" w:rsidTr="00B05717">
        <w:trPr>
          <w:trHeight w:val="315"/>
        </w:trPr>
        <w:tc>
          <w:tcPr>
            <w:tcW w:w="3984" w:type="dxa"/>
            <w:tcBorders>
              <w:top w:val="single" w:sz="4" w:space="0" w:color="92CDDC"/>
              <w:bottom w:val="single" w:sz="4" w:space="0" w:color="92CDDC"/>
            </w:tcBorders>
            <w:shd w:val="clear" w:color="auto" w:fill="auto"/>
            <w:noWrap/>
            <w:hideMark/>
          </w:tcPr>
          <w:p w14:paraId="77951BDD" w14:textId="77777777" w:rsidR="004A4725" w:rsidRPr="00117BF8" w:rsidRDefault="004C1D60" w:rsidP="00D71205">
            <w:pPr>
              <w:pStyle w:val="TablaC"/>
              <w:jc w:val="left"/>
              <w:rPr>
                <w:rFonts w:ascii="Arial" w:hAnsi="Arial" w:cs="Arial"/>
                <w:b/>
                <w:bCs/>
                <w:sz w:val="18"/>
                <w:szCs w:val="18"/>
              </w:rPr>
            </w:pPr>
            <w:r w:rsidRPr="00117BF8">
              <w:rPr>
                <w:rFonts w:ascii="Arial" w:hAnsi="Arial" w:cs="Arial"/>
                <w:b/>
                <w:bCs/>
                <w:sz w:val="18"/>
                <w:szCs w:val="18"/>
              </w:rPr>
              <w:t>Comprobació</w:t>
            </w:r>
            <w:r w:rsidR="00D71205" w:rsidRPr="00117BF8">
              <w:rPr>
                <w:rFonts w:ascii="Arial" w:hAnsi="Arial" w:cs="Arial"/>
                <w:b/>
                <w:bCs/>
                <w:sz w:val="18"/>
                <w:szCs w:val="18"/>
              </w:rPr>
              <w:t>n</w:t>
            </w:r>
          </w:p>
        </w:tc>
        <w:tc>
          <w:tcPr>
            <w:tcW w:w="1588" w:type="dxa"/>
            <w:tcBorders>
              <w:top w:val="single" w:sz="4" w:space="0" w:color="92CDDC"/>
              <w:bottom w:val="single" w:sz="4" w:space="0" w:color="92CDDC"/>
            </w:tcBorders>
            <w:shd w:val="clear" w:color="auto" w:fill="auto"/>
            <w:noWrap/>
            <w:hideMark/>
          </w:tcPr>
          <w:p w14:paraId="2E5AE493"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-6.465,14</w:t>
            </w:r>
          </w:p>
        </w:tc>
        <w:tc>
          <w:tcPr>
            <w:tcW w:w="1588" w:type="dxa"/>
            <w:tcBorders>
              <w:top w:val="single" w:sz="4" w:space="0" w:color="92CDDC"/>
              <w:bottom w:val="single" w:sz="4" w:space="0" w:color="92CDDC"/>
            </w:tcBorders>
            <w:shd w:val="clear" w:color="auto" w:fill="auto"/>
            <w:noWrap/>
            <w:hideMark/>
          </w:tcPr>
          <w:p w14:paraId="6FFF9578" w14:textId="77777777" w:rsidR="004A4725" w:rsidRPr="00117BF8" w:rsidRDefault="004A4725" w:rsidP="00D71205">
            <w:pPr>
              <w:pStyle w:val="TablaC"/>
              <w:rPr>
                <w:rFonts w:ascii="Arial" w:hAnsi="Arial" w:cs="Arial"/>
                <w:b/>
                <w:bCs/>
                <w:sz w:val="18"/>
                <w:szCs w:val="18"/>
              </w:rPr>
            </w:pPr>
            <w:r w:rsidRPr="00117BF8">
              <w:rPr>
                <w:rFonts w:ascii="Arial" w:hAnsi="Arial" w:cs="Arial"/>
                <w:b/>
                <w:bCs/>
                <w:sz w:val="18"/>
                <w:szCs w:val="18"/>
              </w:rPr>
              <w:t>0,00</w:t>
            </w:r>
          </w:p>
        </w:tc>
        <w:tc>
          <w:tcPr>
            <w:tcW w:w="1588" w:type="dxa"/>
            <w:tcBorders>
              <w:top w:val="single" w:sz="4" w:space="0" w:color="92CDDC"/>
              <w:bottom w:val="single" w:sz="4" w:space="0" w:color="92CDDC"/>
            </w:tcBorders>
            <w:shd w:val="clear" w:color="auto" w:fill="auto"/>
            <w:noWrap/>
            <w:hideMark/>
          </w:tcPr>
          <w:p w14:paraId="3B161408" w14:textId="77777777" w:rsidR="004A4725" w:rsidRPr="00117BF8" w:rsidRDefault="004A4725" w:rsidP="00D71205">
            <w:pPr>
              <w:pStyle w:val="TablaC"/>
              <w:rPr>
                <w:rFonts w:ascii="Arial" w:hAnsi="Arial" w:cs="Arial"/>
                <w:color w:val="000000"/>
                <w:sz w:val="18"/>
                <w:szCs w:val="18"/>
              </w:rPr>
            </w:pPr>
            <w:r w:rsidRPr="00117BF8">
              <w:rPr>
                <w:rFonts w:ascii="Arial" w:hAnsi="Arial" w:cs="Arial"/>
                <w:color w:val="000000"/>
                <w:sz w:val="18"/>
                <w:szCs w:val="18"/>
              </w:rPr>
              <w:t>0%</w:t>
            </w:r>
          </w:p>
        </w:tc>
      </w:tr>
    </w:tbl>
    <w:p w14:paraId="6AEB57A4" w14:textId="606DA407" w:rsidR="004A4725" w:rsidRPr="00117BF8" w:rsidRDefault="00503FB4" w:rsidP="00117BF8">
      <w:pPr>
        <w:pStyle w:val="Hfuente"/>
      </w:pPr>
      <w:r w:rsidRPr="00117BF8">
        <w:rPr>
          <w:rFonts w:ascii="Arial" w:eastAsia="Calibri" w:hAnsi="Arial" w:cs="Arial"/>
          <w:sz w:val="18"/>
          <w:szCs w:val="18"/>
        </w:rPr>
        <w:t>Fuente: CGPBA</w:t>
      </w:r>
    </w:p>
    <w:p w14:paraId="618E177A" w14:textId="77777777" w:rsidR="0021263A" w:rsidRPr="00117BF8" w:rsidRDefault="00376F68" w:rsidP="00117BF8">
      <w:pPr>
        <w:pStyle w:val="Heading1"/>
        <w:spacing w:before="0" w:after="180"/>
        <w:rPr>
          <w:rFonts w:ascii="Arial" w:hAnsi="Arial" w:cs="Arial"/>
          <w:sz w:val="22"/>
          <w:szCs w:val="22"/>
        </w:rPr>
      </w:pPr>
      <w:bookmarkStart w:id="96" w:name="_Ref493527519"/>
      <w:bookmarkStart w:id="97" w:name="_Toc494040330"/>
      <w:r w:rsidRPr="00117BF8">
        <w:rPr>
          <w:rFonts w:ascii="Arial" w:hAnsi="Arial" w:cs="Arial"/>
          <w:sz w:val="22"/>
          <w:szCs w:val="22"/>
        </w:rPr>
        <w:t>Proyecciones Fiscales de la Provincia de Buenos Aires</w:t>
      </w:r>
      <w:bookmarkEnd w:id="96"/>
      <w:bookmarkEnd w:id="97"/>
    </w:p>
    <w:p w14:paraId="2327888D" w14:textId="77777777" w:rsidR="00376F68" w:rsidRPr="00117BF8" w:rsidRDefault="00376F68" w:rsidP="00376F68">
      <w:pPr>
        <w:pStyle w:val="hsa"/>
        <w:rPr>
          <w:rFonts w:ascii="Arial" w:hAnsi="Arial" w:cs="Arial"/>
          <w:sz w:val="22"/>
          <w:szCs w:val="22"/>
        </w:rPr>
      </w:pPr>
      <w:r w:rsidRPr="00117BF8">
        <w:rPr>
          <w:rFonts w:ascii="Arial" w:hAnsi="Arial" w:cs="Arial"/>
          <w:sz w:val="22"/>
          <w:szCs w:val="22"/>
        </w:rPr>
        <w:t>En este capítulo se analizan los antecedentes y condicionantes principales para la elaboración de las proyecciones fiscales, se detallan y analizan las proyecciones presentadas por la Provincia. Finalmente</w:t>
      </w:r>
      <w:r w:rsidR="00BC53E2" w:rsidRPr="00117BF8">
        <w:rPr>
          <w:rFonts w:ascii="Arial" w:hAnsi="Arial" w:cs="Arial"/>
          <w:sz w:val="22"/>
          <w:szCs w:val="22"/>
        </w:rPr>
        <w:t>,</w:t>
      </w:r>
      <w:r w:rsidRPr="00117BF8">
        <w:rPr>
          <w:rFonts w:ascii="Arial" w:hAnsi="Arial" w:cs="Arial"/>
          <w:sz w:val="22"/>
          <w:szCs w:val="22"/>
        </w:rPr>
        <w:t xml:space="preserve"> por medio de una evaluación crítica de los principales supuestos de las proyecciones de la Provincia</w:t>
      </w:r>
      <w:r w:rsidR="00BC53E2" w:rsidRPr="00117BF8">
        <w:rPr>
          <w:rFonts w:ascii="Arial" w:hAnsi="Arial" w:cs="Arial"/>
          <w:sz w:val="22"/>
          <w:szCs w:val="22"/>
        </w:rPr>
        <w:t>,</w:t>
      </w:r>
      <w:r w:rsidRPr="00117BF8">
        <w:rPr>
          <w:rFonts w:ascii="Arial" w:hAnsi="Arial" w:cs="Arial"/>
          <w:sz w:val="22"/>
          <w:szCs w:val="22"/>
        </w:rPr>
        <w:t xml:space="preserve"> se</w:t>
      </w:r>
      <w:r w:rsidR="00BC53E2" w:rsidRPr="00117BF8">
        <w:rPr>
          <w:rFonts w:ascii="Arial" w:hAnsi="Arial" w:cs="Arial"/>
          <w:sz w:val="22"/>
          <w:szCs w:val="22"/>
        </w:rPr>
        <w:t xml:space="preserve"> asumen </w:t>
      </w:r>
      <w:r w:rsidRPr="00117BF8">
        <w:rPr>
          <w:rFonts w:ascii="Arial" w:hAnsi="Arial" w:cs="Arial"/>
          <w:sz w:val="22"/>
          <w:szCs w:val="22"/>
        </w:rPr>
        <w:t xml:space="preserve">supuestos alternativos y se elaboran proyecciones </w:t>
      </w:r>
      <w:r w:rsidR="00BC53E2" w:rsidRPr="00117BF8">
        <w:rPr>
          <w:rFonts w:ascii="Arial" w:hAnsi="Arial" w:cs="Arial"/>
          <w:sz w:val="22"/>
          <w:szCs w:val="22"/>
        </w:rPr>
        <w:t>que denomino “A</w:t>
      </w:r>
      <w:r w:rsidRPr="00117BF8">
        <w:rPr>
          <w:rFonts w:ascii="Arial" w:hAnsi="Arial" w:cs="Arial"/>
          <w:sz w:val="22"/>
          <w:szCs w:val="22"/>
        </w:rPr>
        <w:t>lternativas</w:t>
      </w:r>
      <w:r w:rsidR="00BC53E2" w:rsidRPr="00117BF8">
        <w:rPr>
          <w:rFonts w:ascii="Arial" w:hAnsi="Arial" w:cs="Arial"/>
          <w:sz w:val="22"/>
          <w:szCs w:val="22"/>
        </w:rPr>
        <w:t>”</w:t>
      </w:r>
      <w:r w:rsidRPr="00117BF8">
        <w:rPr>
          <w:rFonts w:ascii="Arial" w:hAnsi="Arial" w:cs="Arial"/>
          <w:sz w:val="22"/>
          <w:szCs w:val="22"/>
        </w:rPr>
        <w:t xml:space="preserve"> que, además</w:t>
      </w:r>
      <w:r w:rsidR="00BC53E2" w:rsidRPr="00117BF8">
        <w:rPr>
          <w:rFonts w:ascii="Arial" w:hAnsi="Arial" w:cs="Arial"/>
          <w:sz w:val="22"/>
          <w:szCs w:val="22"/>
        </w:rPr>
        <w:t>,</w:t>
      </w:r>
      <w:r w:rsidRPr="00117BF8">
        <w:rPr>
          <w:rFonts w:ascii="Arial" w:hAnsi="Arial" w:cs="Arial"/>
          <w:sz w:val="22"/>
          <w:szCs w:val="22"/>
        </w:rPr>
        <w:t xml:space="preserve"> incorporan el impacto de las operaciones BID.</w:t>
      </w:r>
    </w:p>
    <w:p w14:paraId="3EAE4BE9" w14:textId="77777777" w:rsidR="00F06B5B" w:rsidRPr="00117BF8" w:rsidRDefault="00376F68" w:rsidP="00664AA2">
      <w:pPr>
        <w:pStyle w:val="hsa"/>
        <w:rPr>
          <w:rFonts w:ascii="Arial" w:hAnsi="Arial" w:cs="Arial"/>
          <w:sz w:val="22"/>
          <w:szCs w:val="22"/>
        </w:rPr>
      </w:pPr>
      <w:r w:rsidRPr="00117BF8">
        <w:rPr>
          <w:rFonts w:ascii="Arial" w:hAnsi="Arial" w:cs="Arial"/>
          <w:sz w:val="22"/>
          <w:szCs w:val="22"/>
        </w:rPr>
        <w:t>Finalmente se realiza un análisis comparativo entre ambas proyecciones y se agrega un escenario que considera la sensibilidad de las proyecciones a una mejora en los ingresos tributarios de origen nacional.</w:t>
      </w:r>
      <w:r w:rsidR="00C26D20" w:rsidRPr="00117BF8">
        <w:rPr>
          <w:rFonts w:ascii="Arial" w:hAnsi="Arial" w:cs="Arial"/>
          <w:sz w:val="22"/>
          <w:szCs w:val="22"/>
        </w:rPr>
        <w:t xml:space="preserve"> En todos los casos </w:t>
      </w:r>
      <w:r w:rsidR="00F06B5B" w:rsidRPr="00117BF8">
        <w:rPr>
          <w:rFonts w:ascii="Arial" w:hAnsi="Arial" w:cs="Arial"/>
          <w:sz w:val="22"/>
          <w:szCs w:val="22"/>
        </w:rPr>
        <w:t xml:space="preserve">las proyecciones </w:t>
      </w:r>
      <w:r w:rsidR="00C26D20" w:rsidRPr="00117BF8">
        <w:rPr>
          <w:rFonts w:ascii="Arial" w:hAnsi="Arial" w:cs="Arial"/>
          <w:sz w:val="22"/>
          <w:szCs w:val="22"/>
        </w:rPr>
        <w:t xml:space="preserve">se realizan </w:t>
      </w:r>
      <w:r w:rsidR="00BC53E2" w:rsidRPr="00117BF8">
        <w:rPr>
          <w:rFonts w:ascii="Arial" w:hAnsi="Arial" w:cs="Arial"/>
          <w:sz w:val="22"/>
          <w:szCs w:val="22"/>
        </w:rPr>
        <w:t>hasta el año 2028</w:t>
      </w:r>
      <w:r w:rsidR="00C26D20" w:rsidRPr="00117BF8">
        <w:rPr>
          <w:rFonts w:ascii="Arial" w:hAnsi="Arial" w:cs="Arial"/>
          <w:sz w:val="22"/>
          <w:szCs w:val="22"/>
        </w:rPr>
        <w:t>.</w:t>
      </w:r>
    </w:p>
    <w:p w14:paraId="3FA2F672" w14:textId="77777777" w:rsidR="0021263A" w:rsidRPr="00117BF8" w:rsidRDefault="0021263A" w:rsidP="0021263A">
      <w:pPr>
        <w:pStyle w:val="Heading2"/>
        <w:rPr>
          <w:rFonts w:ascii="Arial" w:hAnsi="Arial" w:cs="Arial"/>
          <w:sz w:val="22"/>
          <w:szCs w:val="22"/>
        </w:rPr>
      </w:pPr>
      <w:bookmarkStart w:id="98" w:name="_Toc494040331"/>
      <w:r w:rsidRPr="00117BF8">
        <w:rPr>
          <w:rFonts w:ascii="Arial" w:hAnsi="Arial" w:cs="Arial"/>
          <w:sz w:val="22"/>
          <w:szCs w:val="22"/>
        </w:rPr>
        <w:t>Indicadores Relevantes – Antecedentes</w:t>
      </w:r>
      <w:bookmarkEnd w:id="98"/>
    </w:p>
    <w:p w14:paraId="69D55438" w14:textId="77777777" w:rsidR="00C26D20" w:rsidRPr="00117BF8" w:rsidRDefault="00C26D20" w:rsidP="00C26D20">
      <w:pPr>
        <w:pStyle w:val="hsa"/>
        <w:rPr>
          <w:rFonts w:ascii="Arial" w:hAnsi="Arial" w:cs="Arial"/>
          <w:sz w:val="22"/>
          <w:szCs w:val="22"/>
        </w:rPr>
      </w:pPr>
      <w:r w:rsidRPr="00117BF8">
        <w:rPr>
          <w:rFonts w:ascii="Arial" w:hAnsi="Arial" w:cs="Arial"/>
          <w:sz w:val="22"/>
          <w:szCs w:val="22"/>
        </w:rPr>
        <w:t>La formulación de las proyecciones fiscales de la Provincia debe tener presente varios condicionantes, por su importancia corresponde señalar:</w:t>
      </w:r>
    </w:p>
    <w:p w14:paraId="380CDC42" w14:textId="77777777" w:rsidR="00C26D20" w:rsidRPr="00117BF8" w:rsidRDefault="00C26D20" w:rsidP="00C26D20">
      <w:pPr>
        <w:pStyle w:val="hpun1"/>
        <w:rPr>
          <w:rFonts w:ascii="Arial" w:hAnsi="Arial" w:cs="Arial"/>
          <w:sz w:val="22"/>
          <w:szCs w:val="22"/>
        </w:rPr>
      </w:pPr>
      <w:r w:rsidRPr="00117BF8">
        <w:rPr>
          <w:rFonts w:ascii="Arial" w:hAnsi="Arial" w:cs="Arial"/>
          <w:sz w:val="22"/>
          <w:szCs w:val="22"/>
        </w:rPr>
        <w:t>Rigidez del gasto.</w:t>
      </w:r>
    </w:p>
    <w:p w14:paraId="606AA9BD" w14:textId="77777777" w:rsidR="00C26D20" w:rsidRPr="00117BF8" w:rsidRDefault="00C26D20" w:rsidP="00C26D20">
      <w:pPr>
        <w:pStyle w:val="hpun1"/>
        <w:rPr>
          <w:rFonts w:ascii="Arial" w:hAnsi="Arial" w:cs="Arial"/>
          <w:sz w:val="22"/>
          <w:szCs w:val="22"/>
        </w:rPr>
      </w:pPr>
      <w:r w:rsidRPr="00117BF8">
        <w:rPr>
          <w:rFonts w:ascii="Arial" w:hAnsi="Arial" w:cs="Arial"/>
          <w:sz w:val="22"/>
          <w:szCs w:val="22"/>
        </w:rPr>
        <w:t>Recursos Tributarios de origen nacional descendentes.</w:t>
      </w:r>
    </w:p>
    <w:p w14:paraId="76FEA8B9" w14:textId="77777777" w:rsidR="00C26D20" w:rsidRPr="00117BF8" w:rsidRDefault="00C26D20" w:rsidP="00C26D20">
      <w:pPr>
        <w:pStyle w:val="hpun1"/>
        <w:rPr>
          <w:rFonts w:ascii="Arial" w:hAnsi="Arial" w:cs="Arial"/>
          <w:sz w:val="22"/>
          <w:szCs w:val="22"/>
        </w:rPr>
      </w:pPr>
      <w:r w:rsidRPr="00117BF8">
        <w:rPr>
          <w:rFonts w:ascii="Arial" w:hAnsi="Arial" w:cs="Arial"/>
          <w:sz w:val="22"/>
          <w:szCs w:val="22"/>
        </w:rPr>
        <w:t>Presión fiscal provincial alta en términos relativos.</w:t>
      </w:r>
    </w:p>
    <w:p w14:paraId="229BC515" w14:textId="77777777" w:rsidR="00C26D20" w:rsidRPr="00117BF8" w:rsidRDefault="00C26D20" w:rsidP="00C26D20">
      <w:pPr>
        <w:pStyle w:val="hpun1"/>
        <w:rPr>
          <w:rFonts w:ascii="Arial" w:hAnsi="Arial" w:cs="Arial"/>
          <w:sz w:val="22"/>
          <w:szCs w:val="22"/>
        </w:rPr>
      </w:pPr>
      <w:r w:rsidRPr="00117BF8">
        <w:rPr>
          <w:rFonts w:ascii="Arial" w:hAnsi="Arial" w:cs="Arial"/>
          <w:sz w:val="22"/>
          <w:szCs w:val="22"/>
        </w:rPr>
        <w:t>Recursos totales con bajo nivel relativo.</w:t>
      </w:r>
    </w:p>
    <w:p w14:paraId="4CE4847B" w14:textId="77777777" w:rsidR="00C26D20" w:rsidRPr="00117BF8" w:rsidRDefault="00C26D20" w:rsidP="00C26D20">
      <w:pPr>
        <w:pStyle w:val="hpun1"/>
        <w:rPr>
          <w:rFonts w:ascii="Arial" w:hAnsi="Arial" w:cs="Arial"/>
          <w:sz w:val="22"/>
          <w:szCs w:val="22"/>
        </w:rPr>
      </w:pPr>
      <w:r w:rsidRPr="00117BF8">
        <w:rPr>
          <w:rFonts w:ascii="Arial" w:hAnsi="Arial" w:cs="Arial"/>
          <w:sz w:val="22"/>
          <w:szCs w:val="22"/>
        </w:rPr>
        <w:t>Niveles de recursos bajos con relación a otras provincias con similares indicadores de NBI.</w:t>
      </w:r>
    </w:p>
    <w:p w14:paraId="75BB31F4" w14:textId="77777777" w:rsidR="00C26D20" w:rsidRPr="00117BF8" w:rsidRDefault="00C26D20" w:rsidP="00C26D20">
      <w:pPr>
        <w:pStyle w:val="hsa"/>
        <w:rPr>
          <w:rFonts w:ascii="Arial" w:hAnsi="Arial" w:cs="Arial"/>
          <w:sz w:val="22"/>
          <w:szCs w:val="22"/>
        </w:rPr>
      </w:pPr>
      <w:r w:rsidRPr="00117BF8">
        <w:rPr>
          <w:rFonts w:ascii="Arial" w:hAnsi="Arial" w:cs="Arial"/>
          <w:sz w:val="22"/>
          <w:szCs w:val="22"/>
        </w:rPr>
        <w:t xml:space="preserve">Estos aspectos han sido desarrollados, en gran medida, en </w:t>
      </w:r>
      <w:r w:rsidR="00280473" w:rsidRPr="00117BF8">
        <w:rPr>
          <w:rFonts w:ascii="Arial" w:hAnsi="Arial" w:cs="Arial"/>
          <w:sz w:val="22"/>
          <w:szCs w:val="22"/>
        </w:rPr>
        <w:t>los títulos previos</w:t>
      </w:r>
      <w:r w:rsidRPr="00117BF8">
        <w:rPr>
          <w:rFonts w:ascii="Arial" w:hAnsi="Arial" w:cs="Arial"/>
          <w:sz w:val="22"/>
          <w:szCs w:val="22"/>
        </w:rPr>
        <w:t>. En los próximos apartados se volverá sobre los mismos y se realizarán comparaciones con otras provincias.</w:t>
      </w:r>
    </w:p>
    <w:p w14:paraId="29786497" w14:textId="77777777" w:rsidR="00BC368D" w:rsidRPr="00117BF8" w:rsidRDefault="00BC368D" w:rsidP="00C26D20">
      <w:pPr>
        <w:pStyle w:val="hsa"/>
        <w:rPr>
          <w:rFonts w:ascii="Arial" w:hAnsi="Arial" w:cs="Arial"/>
          <w:sz w:val="22"/>
          <w:szCs w:val="22"/>
        </w:rPr>
      </w:pPr>
      <w:r w:rsidRPr="00117BF8">
        <w:rPr>
          <w:rFonts w:ascii="Arial" w:hAnsi="Arial" w:cs="Arial"/>
          <w:sz w:val="22"/>
          <w:szCs w:val="22"/>
        </w:rPr>
        <w:t>Como contrapartida debe tenerse presente la importancia relativa de la Provincia, su actividad económica diversificada que la brinda una base impositiva estable e importante y la baja significación del gasto per cápita.</w:t>
      </w:r>
    </w:p>
    <w:p w14:paraId="0AB7AD94" w14:textId="77777777" w:rsidR="0052251F" w:rsidRPr="00AF0E82" w:rsidRDefault="0052251F">
      <w:pPr>
        <w:pStyle w:val="Heading3"/>
      </w:pPr>
      <w:bookmarkStart w:id="99" w:name="_Toc494040332"/>
      <w:r w:rsidRPr="00AF0E82">
        <w:t>Rigidez del Gasto</w:t>
      </w:r>
      <w:bookmarkEnd w:id="99"/>
    </w:p>
    <w:p w14:paraId="438ACD7F" w14:textId="77777777" w:rsidR="0052251F" w:rsidRPr="00117BF8" w:rsidRDefault="0052251F" w:rsidP="0052251F">
      <w:pPr>
        <w:pStyle w:val="hsa"/>
        <w:rPr>
          <w:rFonts w:ascii="Arial" w:hAnsi="Arial" w:cs="Arial"/>
          <w:sz w:val="22"/>
          <w:szCs w:val="22"/>
        </w:rPr>
      </w:pPr>
      <w:r w:rsidRPr="00117BF8">
        <w:rPr>
          <w:rFonts w:ascii="Arial" w:hAnsi="Arial" w:cs="Arial"/>
          <w:sz w:val="22"/>
          <w:szCs w:val="22"/>
        </w:rPr>
        <w:t>En el título rela</w:t>
      </w:r>
      <w:r w:rsidR="005E3C62" w:rsidRPr="00117BF8">
        <w:rPr>
          <w:rFonts w:ascii="Arial" w:hAnsi="Arial" w:cs="Arial"/>
          <w:sz w:val="22"/>
          <w:szCs w:val="22"/>
        </w:rPr>
        <w:t>cionado</w:t>
      </w:r>
      <w:r w:rsidRPr="00117BF8">
        <w:rPr>
          <w:rFonts w:ascii="Arial" w:hAnsi="Arial" w:cs="Arial"/>
          <w:sz w:val="22"/>
          <w:szCs w:val="22"/>
        </w:rPr>
        <w:t xml:space="preserve"> con el desglose del gasto se realiza un detalla</w:t>
      </w:r>
      <w:r w:rsidR="005E3C62" w:rsidRPr="00117BF8">
        <w:rPr>
          <w:rFonts w:ascii="Arial" w:hAnsi="Arial" w:cs="Arial"/>
          <w:sz w:val="22"/>
          <w:szCs w:val="22"/>
        </w:rPr>
        <w:t>do análisis del gasto histórico. C</w:t>
      </w:r>
      <w:r w:rsidRPr="00117BF8">
        <w:rPr>
          <w:rFonts w:ascii="Arial" w:hAnsi="Arial" w:cs="Arial"/>
          <w:sz w:val="22"/>
          <w:szCs w:val="22"/>
        </w:rPr>
        <w:t>lasificado</w:t>
      </w:r>
      <w:r w:rsidR="005E3C62" w:rsidRPr="00117BF8">
        <w:rPr>
          <w:rFonts w:ascii="Arial" w:hAnsi="Arial" w:cs="Arial"/>
          <w:sz w:val="22"/>
          <w:szCs w:val="22"/>
        </w:rPr>
        <w:t>s</w:t>
      </w:r>
      <w:r w:rsidRPr="00117BF8">
        <w:rPr>
          <w:rFonts w:ascii="Arial" w:hAnsi="Arial" w:cs="Arial"/>
          <w:sz w:val="22"/>
          <w:szCs w:val="22"/>
        </w:rPr>
        <w:t xml:space="preserve"> por objeto</w:t>
      </w:r>
      <w:r w:rsidR="005E3C62" w:rsidRPr="00117BF8">
        <w:rPr>
          <w:rFonts w:ascii="Arial" w:hAnsi="Arial" w:cs="Arial"/>
          <w:sz w:val="22"/>
          <w:szCs w:val="22"/>
        </w:rPr>
        <w:t>,</w:t>
      </w:r>
      <w:r w:rsidRPr="00117BF8">
        <w:rPr>
          <w:rFonts w:ascii="Arial" w:hAnsi="Arial" w:cs="Arial"/>
          <w:sz w:val="22"/>
          <w:szCs w:val="22"/>
        </w:rPr>
        <w:t xml:space="preserve"> tres rubros con un alto nivel de rigidez representan el 91% de</w:t>
      </w:r>
      <w:r w:rsidR="005E3C62" w:rsidRPr="00117BF8">
        <w:rPr>
          <w:rFonts w:ascii="Arial" w:hAnsi="Arial" w:cs="Arial"/>
          <w:sz w:val="22"/>
          <w:szCs w:val="22"/>
        </w:rPr>
        <w:t>l gasto</w:t>
      </w:r>
      <w:r w:rsidRPr="00117BF8">
        <w:rPr>
          <w:rFonts w:ascii="Arial" w:hAnsi="Arial" w:cs="Arial"/>
          <w:sz w:val="22"/>
          <w:szCs w:val="22"/>
        </w:rPr>
        <w:t>.</w:t>
      </w:r>
    </w:p>
    <w:p w14:paraId="3EFA6CF5" w14:textId="77777777" w:rsidR="0052251F" w:rsidRPr="00117BF8" w:rsidRDefault="0052251F" w:rsidP="00117BF8">
      <w:pPr>
        <w:pStyle w:val="hsa3"/>
        <w:spacing w:after="120"/>
        <w:jc w:val="center"/>
        <w:rPr>
          <w:rFonts w:ascii="Arial" w:hAnsi="Arial" w:cs="Arial"/>
          <w:sz w:val="20"/>
        </w:rPr>
      </w:pPr>
      <w:bookmarkStart w:id="100" w:name="_Toc493781701"/>
      <w:r w:rsidRPr="00117BF8">
        <w:rPr>
          <w:rFonts w:ascii="Arial" w:hAnsi="Arial" w:cs="Arial"/>
          <w:sz w:val="20"/>
        </w:rPr>
        <w:t xml:space="preserve">Gráfico </w:t>
      </w:r>
      <w:r w:rsidR="00351A48" w:rsidRPr="00117BF8">
        <w:rPr>
          <w:rFonts w:ascii="Arial" w:hAnsi="Arial" w:cs="Arial"/>
          <w:sz w:val="20"/>
        </w:rPr>
        <w:t>10</w:t>
      </w:r>
      <w:r w:rsidRPr="00117BF8">
        <w:rPr>
          <w:rFonts w:ascii="Arial" w:hAnsi="Arial" w:cs="Arial"/>
          <w:sz w:val="20"/>
        </w:rPr>
        <w:t xml:space="preserve"> – Rigidez del Gasto</w:t>
      </w:r>
      <w:bookmarkEnd w:id="100"/>
    </w:p>
    <w:p w14:paraId="2832DB75" w14:textId="77777777" w:rsidR="0052251F" w:rsidRPr="00117BF8" w:rsidRDefault="00117BF8" w:rsidP="0052251F">
      <w:pPr>
        <w:pStyle w:val="hsa"/>
        <w:rPr>
          <w:rFonts w:ascii="Arial" w:hAnsi="Arial" w:cs="Arial"/>
        </w:rPr>
      </w:pPr>
      <w:r w:rsidRPr="00117BF8">
        <w:rPr>
          <w:rFonts w:ascii="Arial" w:hAnsi="Arial" w:cs="Arial"/>
        </w:rPr>
        <w:pict w14:anchorId="2BBC64D9">
          <v:shape id="_x0000_i1040" type="#_x0000_t75" style="width:425.1pt;height:167.8pt">
            <v:imagedata r:id="rId18" o:title=""/>
          </v:shape>
        </w:pict>
      </w:r>
    </w:p>
    <w:p w14:paraId="35BC8012" w14:textId="77777777" w:rsidR="0052251F" w:rsidRPr="00117BF8" w:rsidRDefault="00280473" w:rsidP="0052251F">
      <w:pPr>
        <w:pStyle w:val="hsa"/>
        <w:rPr>
          <w:rFonts w:ascii="Arial" w:hAnsi="Arial" w:cs="Arial"/>
          <w:sz w:val="22"/>
          <w:szCs w:val="22"/>
        </w:rPr>
      </w:pPr>
      <w:r w:rsidRPr="00117BF8">
        <w:rPr>
          <w:rFonts w:ascii="Arial" w:hAnsi="Arial" w:cs="Arial"/>
          <w:sz w:val="22"/>
          <w:szCs w:val="22"/>
        </w:rPr>
        <w:t xml:space="preserve">Los gastos identificados como transferencias están determinados, en gran medida, por las transferencias automáticas a los municipios originadas en la Coparticipación Municipal y en transferencias a la educación privada dependientes principalmente </w:t>
      </w:r>
      <w:r w:rsidR="00BC368D" w:rsidRPr="00117BF8">
        <w:rPr>
          <w:rFonts w:ascii="Arial" w:hAnsi="Arial" w:cs="Arial"/>
          <w:sz w:val="22"/>
          <w:szCs w:val="22"/>
        </w:rPr>
        <w:t>d</w:t>
      </w:r>
      <w:r w:rsidRPr="00117BF8">
        <w:rPr>
          <w:rFonts w:ascii="Arial" w:hAnsi="Arial" w:cs="Arial"/>
          <w:sz w:val="22"/>
          <w:szCs w:val="22"/>
        </w:rPr>
        <w:t>el salario docente.</w:t>
      </w:r>
    </w:p>
    <w:p w14:paraId="1B8A0F9A" w14:textId="77777777" w:rsidR="00CE1715" w:rsidRPr="00AF0E82" w:rsidRDefault="0052251F">
      <w:pPr>
        <w:pStyle w:val="Heading3"/>
      </w:pPr>
      <w:bookmarkStart w:id="101" w:name="_Toc494040333"/>
      <w:r w:rsidRPr="00AF0E82">
        <w:t>Recursos Tributarios de Origen Nacional Descendentes.</w:t>
      </w:r>
      <w:bookmarkEnd w:id="101"/>
    </w:p>
    <w:p w14:paraId="1A85515A" w14:textId="63DAFB73" w:rsidR="00CE1715" w:rsidRPr="00117BF8" w:rsidRDefault="00CE1715" w:rsidP="00CE1715">
      <w:pPr>
        <w:pStyle w:val="hsa"/>
        <w:rPr>
          <w:rFonts w:ascii="Arial" w:hAnsi="Arial" w:cs="Arial"/>
          <w:sz w:val="22"/>
          <w:szCs w:val="22"/>
        </w:rPr>
      </w:pPr>
      <w:r w:rsidRPr="00117BF8">
        <w:rPr>
          <w:rFonts w:ascii="Arial" w:hAnsi="Arial" w:cs="Arial"/>
          <w:sz w:val="22"/>
          <w:szCs w:val="22"/>
        </w:rPr>
        <w:t>Los ingresos tributarios de origen nacional representaron en 2016 el 27% de los recursos fiscales (Ver título “</w:t>
      </w:r>
      <w:r w:rsidRPr="00117BF8">
        <w:rPr>
          <w:rFonts w:ascii="Arial" w:hAnsi="Arial" w:cs="Arial"/>
          <w:sz w:val="22"/>
          <w:szCs w:val="22"/>
        </w:rPr>
        <w:fldChar w:fldCharType="begin"/>
      </w:r>
      <w:r w:rsidRPr="00117BF8">
        <w:rPr>
          <w:rFonts w:ascii="Arial" w:hAnsi="Arial" w:cs="Arial"/>
          <w:sz w:val="22"/>
          <w:szCs w:val="22"/>
        </w:rPr>
        <w:instrText xml:space="preserve"> REF _Ref492143178 \h </w:instrText>
      </w:r>
      <w:r w:rsidR="004E6455" w:rsidRPr="00117BF8">
        <w:rPr>
          <w:rFonts w:ascii="Arial" w:hAnsi="Arial" w:cs="Arial"/>
          <w:sz w:val="22"/>
          <w:szCs w:val="22"/>
        </w:rPr>
        <w:instrText xml:space="preserve"> \* MERGEFORMAT </w:instrText>
      </w:r>
      <w:r w:rsidRPr="00117BF8">
        <w:rPr>
          <w:rFonts w:ascii="Arial" w:hAnsi="Arial" w:cs="Arial"/>
          <w:sz w:val="22"/>
          <w:szCs w:val="22"/>
        </w:rPr>
      </w:r>
      <w:r w:rsidRPr="00117BF8">
        <w:rPr>
          <w:rFonts w:ascii="Arial" w:hAnsi="Arial" w:cs="Arial"/>
          <w:sz w:val="22"/>
          <w:szCs w:val="22"/>
        </w:rPr>
        <w:fldChar w:fldCharType="separate"/>
      </w:r>
      <w:r w:rsidR="00E00EE3" w:rsidRPr="00117BF8">
        <w:rPr>
          <w:rFonts w:ascii="Arial" w:eastAsia="Calibri" w:hAnsi="Arial" w:cs="Arial"/>
          <w:sz w:val="22"/>
          <w:szCs w:val="22"/>
        </w:rPr>
        <w:t>Desglose y descripción de ingresos, tanto presupuestados como realizados.</w:t>
      </w:r>
      <w:r w:rsidRPr="00117BF8">
        <w:rPr>
          <w:rFonts w:ascii="Arial" w:hAnsi="Arial" w:cs="Arial"/>
          <w:sz w:val="22"/>
          <w:szCs w:val="22"/>
        </w:rPr>
        <w:fldChar w:fldCharType="end"/>
      </w:r>
      <w:r w:rsidRPr="00117BF8">
        <w:rPr>
          <w:rFonts w:ascii="Arial" w:hAnsi="Arial" w:cs="Arial"/>
          <w:sz w:val="22"/>
          <w:szCs w:val="22"/>
        </w:rPr>
        <w:t>”). Estos ingresos año a año disminuyen su significación como consecuencia del mecanismo de distribución se explica en el título “</w:t>
      </w:r>
      <w:r w:rsidRPr="00117BF8">
        <w:rPr>
          <w:rFonts w:ascii="Arial" w:hAnsi="Arial" w:cs="Arial"/>
          <w:sz w:val="22"/>
          <w:szCs w:val="22"/>
        </w:rPr>
        <w:fldChar w:fldCharType="begin"/>
      </w:r>
      <w:r w:rsidRPr="00117BF8">
        <w:rPr>
          <w:rFonts w:ascii="Arial" w:hAnsi="Arial" w:cs="Arial"/>
          <w:sz w:val="22"/>
          <w:szCs w:val="22"/>
        </w:rPr>
        <w:instrText xml:space="preserve"> REF _Ref492143228 \h </w:instrText>
      </w:r>
      <w:r w:rsidR="004E6455" w:rsidRPr="00117BF8">
        <w:rPr>
          <w:rFonts w:ascii="Arial" w:hAnsi="Arial" w:cs="Arial"/>
          <w:sz w:val="22"/>
          <w:szCs w:val="22"/>
        </w:rPr>
        <w:instrText xml:space="preserve"> \* MERGEFORMAT </w:instrText>
      </w:r>
      <w:r w:rsidRPr="00117BF8">
        <w:rPr>
          <w:rFonts w:ascii="Arial" w:hAnsi="Arial" w:cs="Arial"/>
          <w:sz w:val="22"/>
          <w:szCs w:val="22"/>
        </w:rPr>
      </w:r>
      <w:r w:rsidRPr="00117BF8">
        <w:rPr>
          <w:rFonts w:ascii="Arial" w:hAnsi="Arial" w:cs="Arial"/>
          <w:sz w:val="22"/>
          <w:szCs w:val="22"/>
        </w:rPr>
        <w:fldChar w:fldCharType="separate"/>
      </w:r>
      <w:r w:rsidR="00C91BFB" w:rsidRPr="00117BF8">
        <w:rPr>
          <w:rFonts w:ascii="Arial" w:hAnsi="Arial" w:cs="Arial"/>
          <w:sz w:val="22"/>
          <w:szCs w:val="22"/>
        </w:rPr>
        <w:t>Contexto</w:t>
      </w:r>
      <w:r w:rsidRPr="00117BF8">
        <w:rPr>
          <w:rFonts w:ascii="Arial" w:hAnsi="Arial" w:cs="Arial"/>
          <w:sz w:val="22"/>
          <w:szCs w:val="22"/>
        </w:rPr>
        <w:fldChar w:fldCharType="end"/>
      </w:r>
      <w:r w:rsidRPr="00117BF8">
        <w:rPr>
          <w:rFonts w:ascii="Arial" w:hAnsi="Arial" w:cs="Arial"/>
          <w:sz w:val="22"/>
          <w:szCs w:val="22"/>
        </w:rPr>
        <w:t xml:space="preserve">”. En el Gráfico 2 se ilustra la participación decreciente de la Provincia con relación </w:t>
      </w:r>
      <w:r w:rsidR="00C91BFB" w:rsidRPr="00117BF8">
        <w:rPr>
          <w:rFonts w:ascii="Arial" w:hAnsi="Arial" w:cs="Arial"/>
          <w:sz w:val="22"/>
          <w:szCs w:val="22"/>
        </w:rPr>
        <w:t xml:space="preserve">a los recursos </w:t>
      </w:r>
      <w:r w:rsidRPr="00117BF8">
        <w:rPr>
          <w:rFonts w:ascii="Arial" w:hAnsi="Arial" w:cs="Arial"/>
          <w:sz w:val="22"/>
          <w:szCs w:val="22"/>
        </w:rPr>
        <w:t>recibido</w:t>
      </w:r>
      <w:r w:rsidR="00C91BFB" w:rsidRPr="00117BF8">
        <w:rPr>
          <w:rFonts w:ascii="Arial" w:hAnsi="Arial" w:cs="Arial"/>
          <w:sz w:val="22"/>
          <w:szCs w:val="22"/>
        </w:rPr>
        <w:t>s</w:t>
      </w:r>
      <w:r w:rsidRPr="00117BF8">
        <w:rPr>
          <w:rFonts w:ascii="Arial" w:hAnsi="Arial" w:cs="Arial"/>
          <w:sz w:val="22"/>
          <w:szCs w:val="22"/>
        </w:rPr>
        <w:t xml:space="preserve"> por el resto de las provincias y la CABA.</w:t>
      </w:r>
    </w:p>
    <w:p w14:paraId="078EAB56" w14:textId="77777777" w:rsidR="00CE1715" w:rsidRPr="00117BF8" w:rsidRDefault="00C91BFB" w:rsidP="00CE1715">
      <w:pPr>
        <w:pStyle w:val="hsa"/>
        <w:rPr>
          <w:rFonts w:ascii="Arial" w:hAnsi="Arial" w:cs="Arial"/>
          <w:sz w:val="22"/>
          <w:szCs w:val="22"/>
        </w:rPr>
      </w:pPr>
      <w:r w:rsidRPr="00117BF8">
        <w:rPr>
          <w:rFonts w:ascii="Arial" w:hAnsi="Arial" w:cs="Arial"/>
          <w:sz w:val="22"/>
          <w:szCs w:val="22"/>
        </w:rPr>
        <w:t>E</w:t>
      </w:r>
      <w:r w:rsidR="0052251F" w:rsidRPr="00117BF8">
        <w:rPr>
          <w:rFonts w:ascii="Arial" w:hAnsi="Arial" w:cs="Arial"/>
          <w:sz w:val="22"/>
          <w:szCs w:val="22"/>
        </w:rPr>
        <w:t>n términos de la totalidad de los recursos tributarios nacionales (No sólo los distribuidos entre las jurisdicciones) l</w:t>
      </w:r>
      <w:r w:rsidR="00CE1715" w:rsidRPr="00117BF8">
        <w:rPr>
          <w:rFonts w:ascii="Arial" w:hAnsi="Arial" w:cs="Arial"/>
          <w:sz w:val="22"/>
          <w:szCs w:val="22"/>
        </w:rPr>
        <w:t xml:space="preserve">a constante pérdida de la participación de la Provincia en los recursos tributarios nacionales se </w:t>
      </w:r>
      <w:r w:rsidRPr="00117BF8">
        <w:rPr>
          <w:rFonts w:ascii="Arial" w:hAnsi="Arial" w:cs="Arial"/>
          <w:sz w:val="22"/>
          <w:szCs w:val="22"/>
        </w:rPr>
        <w:t>ilustra en el gráfico que sigue.</w:t>
      </w:r>
    </w:p>
    <w:p w14:paraId="074FBA38" w14:textId="77777777" w:rsidR="0052251F" w:rsidRPr="00117BF8" w:rsidRDefault="005F6AD9" w:rsidP="00117BF8">
      <w:pPr>
        <w:pStyle w:val="hsa3"/>
        <w:spacing w:after="120"/>
        <w:jc w:val="center"/>
        <w:rPr>
          <w:rFonts w:ascii="Arial" w:hAnsi="Arial" w:cs="Arial"/>
          <w:sz w:val="20"/>
        </w:rPr>
      </w:pPr>
      <w:bookmarkStart w:id="102" w:name="_Toc493781702"/>
      <w:r w:rsidRPr="00117BF8">
        <w:rPr>
          <w:rFonts w:ascii="Arial" w:hAnsi="Arial" w:cs="Arial"/>
          <w:sz w:val="20"/>
        </w:rPr>
        <w:t>Grá</w:t>
      </w:r>
      <w:r w:rsidR="0052251F" w:rsidRPr="00117BF8">
        <w:rPr>
          <w:rFonts w:ascii="Arial" w:hAnsi="Arial" w:cs="Arial"/>
          <w:sz w:val="20"/>
        </w:rPr>
        <w:t xml:space="preserve">fico </w:t>
      </w:r>
      <w:r w:rsidR="00351A48" w:rsidRPr="00117BF8">
        <w:rPr>
          <w:rFonts w:ascii="Arial" w:hAnsi="Arial" w:cs="Arial"/>
          <w:sz w:val="20"/>
        </w:rPr>
        <w:t>11</w:t>
      </w:r>
      <w:r w:rsidRPr="00117BF8">
        <w:rPr>
          <w:rFonts w:ascii="Arial" w:hAnsi="Arial" w:cs="Arial"/>
          <w:sz w:val="20"/>
        </w:rPr>
        <w:t xml:space="preserve"> -</w:t>
      </w:r>
      <w:r w:rsidR="0052251F" w:rsidRPr="00117BF8">
        <w:rPr>
          <w:rFonts w:ascii="Arial" w:hAnsi="Arial" w:cs="Arial"/>
          <w:sz w:val="20"/>
        </w:rPr>
        <w:t xml:space="preserve"> Participación de la PBA en el total de Recursos Tributarios Nacionales.</w:t>
      </w:r>
      <w:bookmarkEnd w:id="102"/>
    </w:p>
    <w:p w14:paraId="18A79DC2" w14:textId="77777777" w:rsidR="00C91BFB" w:rsidRPr="00117BF8" w:rsidRDefault="00117BF8" w:rsidP="00C91BFB">
      <w:pPr>
        <w:pStyle w:val="Hfuente"/>
        <w:rPr>
          <w:rFonts w:ascii="Arial" w:hAnsi="Arial" w:cs="Arial"/>
        </w:rPr>
      </w:pPr>
      <w:r w:rsidRPr="00117BF8">
        <w:rPr>
          <w:rFonts w:ascii="Arial" w:hAnsi="Arial" w:cs="Arial"/>
        </w:rPr>
        <w:pict w14:anchorId="2BBC64DA">
          <v:shape id="_x0000_i1041" type="#_x0000_t75" style="width:424.5pt;height:276.75pt">
            <v:imagedata r:id="rId41" o:title=""/>
          </v:shape>
        </w:pict>
      </w:r>
      <w:r w:rsidR="00C91BFB" w:rsidRPr="00117BF8">
        <w:rPr>
          <w:rFonts w:ascii="Arial" w:hAnsi="Arial" w:cs="Arial"/>
        </w:rPr>
        <w:t xml:space="preserve"> </w:t>
      </w:r>
      <w:r w:rsidR="00C91BFB" w:rsidRPr="00117BF8">
        <w:rPr>
          <w:rFonts w:ascii="Arial" w:hAnsi="Arial" w:cs="Arial"/>
          <w:sz w:val="18"/>
          <w:szCs w:val="18"/>
        </w:rPr>
        <w:t xml:space="preserve">Fuente: Elaboración propia en base a datos de </w:t>
      </w:r>
      <w:r w:rsidR="00C91BFB" w:rsidRPr="00117BF8">
        <w:rPr>
          <w:rFonts w:ascii="Arial" w:hAnsi="Arial" w:cs="Arial"/>
          <w:sz w:val="18"/>
          <w:szCs w:val="18"/>
          <w:shd w:val="clear" w:color="auto" w:fill="FFFFFF"/>
        </w:rPr>
        <w:t>Dir. Nacional de Coordinación Fiscal con las Provincias</w:t>
      </w:r>
    </w:p>
    <w:p w14:paraId="5EA1FECF" w14:textId="77777777" w:rsidR="00CE1715" w:rsidRPr="00117BF8" w:rsidRDefault="00CE1715" w:rsidP="00CE1715">
      <w:pPr>
        <w:pStyle w:val="hsa"/>
        <w:rPr>
          <w:rFonts w:ascii="Arial" w:hAnsi="Arial" w:cs="Arial"/>
          <w:sz w:val="22"/>
          <w:szCs w:val="22"/>
        </w:rPr>
      </w:pPr>
      <w:r w:rsidRPr="00117BF8">
        <w:rPr>
          <w:rFonts w:ascii="Arial" w:hAnsi="Arial" w:cs="Arial"/>
          <w:sz w:val="22"/>
          <w:szCs w:val="22"/>
        </w:rPr>
        <w:t>De continuar la tendencia registrada entre 2003 y 2014</w:t>
      </w:r>
      <w:r w:rsidR="00C91BFB" w:rsidRPr="00117BF8">
        <w:rPr>
          <w:rFonts w:ascii="Arial" w:hAnsi="Arial" w:cs="Arial"/>
          <w:sz w:val="22"/>
          <w:szCs w:val="22"/>
        </w:rPr>
        <w:t>,</w:t>
      </w:r>
      <w:r w:rsidRPr="00117BF8">
        <w:rPr>
          <w:rFonts w:ascii="Arial" w:hAnsi="Arial" w:cs="Arial"/>
          <w:sz w:val="22"/>
          <w:szCs w:val="22"/>
        </w:rPr>
        <w:t xml:space="preserve"> la provincia pasaría de una participación de 8,70% en 2017 a</w:t>
      </w:r>
      <w:r w:rsidR="00C91BFB" w:rsidRPr="00117BF8">
        <w:rPr>
          <w:rFonts w:ascii="Arial" w:hAnsi="Arial" w:cs="Arial"/>
          <w:sz w:val="22"/>
          <w:szCs w:val="22"/>
        </w:rPr>
        <w:t>l</w:t>
      </w:r>
      <w:r w:rsidRPr="00117BF8">
        <w:rPr>
          <w:rFonts w:ascii="Arial" w:hAnsi="Arial" w:cs="Arial"/>
          <w:sz w:val="22"/>
          <w:szCs w:val="22"/>
        </w:rPr>
        <w:t xml:space="preserve"> 8,33</w:t>
      </w:r>
      <w:r w:rsidR="00C91BFB" w:rsidRPr="00117BF8">
        <w:rPr>
          <w:rFonts w:ascii="Arial" w:hAnsi="Arial" w:cs="Arial"/>
          <w:sz w:val="22"/>
          <w:szCs w:val="22"/>
        </w:rPr>
        <w:t>%</w:t>
      </w:r>
      <w:r w:rsidRPr="00117BF8">
        <w:rPr>
          <w:rFonts w:ascii="Arial" w:hAnsi="Arial" w:cs="Arial"/>
          <w:sz w:val="22"/>
          <w:szCs w:val="22"/>
        </w:rPr>
        <w:t xml:space="preserve"> en 2028.</w:t>
      </w:r>
      <w:r w:rsidR="0052251F" w:rsidRPr="00117BF8">
        <w:rPr>
          <w:rFonts w:ascii="Arial" w:hAnsi="Arial" w:cs="Arial"/>
          <w:sz w:val="22"/>
          <w:szCs w:val="22"/>
        </w:rPr>
        <w:t xml:space="preserve"> Esta función se </w:t>
      </w:r>
      <w:r w:rsidR="00914009" w:rsidRPr="00117BF8">
        <w:rPr>
          <w:rFonts w:ascii="Arial" w:hAnsi="Arial" w:cs="Arial"/>
          <w:sz w:val="22"/>
          <w:szCs w:val="22"/>
        </w:rPr>
        <w:t xml:space="preserve">utiliza para el cálculo de los recursos tributarios nacionales en la proyección </w:t>
      </w:r>
      <w:r w:rsidR="0052251F" w:rsidRPr="00117BF8">
        <w:rPr>
          <w:rFonts w:ascii="Arial" w:hAnsi="Arial" w:cs="Arial"/>
          <w:sz w:val="22"/>
          <w:szCs w:val="22"/>
        </w:rPr>
        <w:t>alternativa a la realizada por la Provincia.</w:t>
      </w:r>
    </w:p>
    <w:p w14:paraId="07B9305B" w14:textId="77777777" w:rsidR="00962A45" w:rsidRPr="00AF0E82" w:rsidRDefault="00962A45">
      <w:pPr>
        <w:pStyle w:val="Heading3"/>
      </w:pPr>
      <w:bookmarkStart w:id="103" w:name="_Toc494040334"/>
      <w:r w:rsidRPr="00AF0E82">
        <w:t>Presión fiscal provincial alta en términos relativos.</w:t>
      </w:r>
      <w:bookmarkEnd w:id="103"/>
    </w:p>
    <w:p w14:paraId="6680CEC6" w14:textId="719088A1" w:rsidR="00962A45" w:rsidRPr="00117BF8" w:rsidRDefault="00962A45" w:rsidP="00962A45">
      <w:pPr>
        <w:pStyle w:val="hsa"/>
        <w:rPr>
          <w:rFonts w:ascii="Arial" w:hAnsi="Arial" w:cs="Arial"/>
          <w:sz w:val="22"/>
          <w:szCs w:val="22"/>
        </w:rPr>
      </w:pPr>
      <w:r w:rsidRPr="00117BF8">
        <w:rPr>
          <w:rFonts w:ascii="Arial" w:hAnsi="Arial" w:cs="Arial"/>
          <w:sz w:val="22"/>
          <w:szCs w:val="22"/>
        </w:rPr>
        <w:t>En el título “</w:t>
      </w:r>
      <w:r w:rsidRPr="00117BF8">
        <w:rPr>
          <w:rFonts w:ascii="Arial" w:hAnsi="Arial" w:cs="Arial"/>
          <w:sz w:val="22"/>
          <w:szCs w:val="22"/>
        </w:rPr>
        <w:fldChar w:fldCharType="begin"/>
      </w:r>
      <w:r w:rsidRPr="00117BF8">
        <w:rPr>
          <w:rFonts w:ascii="Arial" w:hAnsi="Arial" w:cs="Arial"/>
          <w:sz w:val="22"/>
          <w:szCs w:val="22"/>
        </w:rPr>
        <w:instrText xml:space="preserve"> REF _Ref492142684 \h </w:instrText>
      </w:r>
      <w:r w:rsidR="004E6455" w:rsidRPr="00117BF8">
        <w:rPr>
          <w:rFonts w:ascii="Arial" w:hAnsi="Arial" w:cs="Arial"/>
          <w:sz w:val="22"/>
          <w:szCs w:val="22"/>
        </w:rPr>
        <w:instrText xml:space="preserve"> \* MERGEFORMAT </w:instrText>
      </w:r>
      <w:r w:rsidRPr="00117BF8">
        <w:rPr>
          <w:rFonts w:ascii="Arial" w:hAnsi="Arial" w:cs="Arial"/>
          <w:sz w:val="22"/>
          <w:szCs w:val="22"/>
        </w:rPr>
      </w:r>
      <w:r w:rsidRPr="00117BF8">
        <w:rPr>
          <w:rFonts w:ascii="Arial" w:hAnsi="Arial" w:cs="Arial"/>
          <w:sz w:val="22"/>
          <w:szCs w:val="22"/>
        </w:rPr>
        <w:fldChar w:fldCharType="separate"/>
      </w:r>
      <w:r w:rsidR="00FE6AAF" w:rsidRPr="00117BF8">
        <w:rPr>
          <w:rFonts w:ascii="Arial" w:eastAsia="Calibri" w:hAnsi="Arial" w:cs="Arial"/>
          <w:sz w:val="22"/>
          <w:szCs w:val="22"/>
        </w:rPr>
        <w:t>Desglose y descripción de ingresos, tanto presupuestados como realizados.</w:t>
      </w:r>
      <w:r w:rsidRPr="00117BF8">
        <w:rPr>
          <w:rFonts w:ascii="Arial" w:hAnsi="Arial" w:cs="Arial"/>
          <w:sz w:val="22"/>
          <w:szCs w:val="22"/>
        </w:rPr>
        <w:fldChar w:fldCharType="end"/>
      </w:r>
      <w:r w:rsidR="00C91BFB" w:rsidRPr="00117BF8">
        <w:rPr>
          <w:rFonts w:ascii="Arial" w:hAnsi="Arial" w:cs="Arial"/>
          <w:sz w:val="22"/>
          <w:szCs w:val="22"/>
        </w:rPr>
        <w:t>”</w:t>
      </w:r>
      <w:r w:rsidRPr="00117BF8">
        <w:rPr>
          <w:rFonts w:ascii="Arial" w:hAnsi="Arial" w:cs="Arial"/>
          <w:sz w:val="22"/>
          <w:szCs w:val="22"/>
        </w:rPr>
        <w:t xml:space="preserve"> se </w:t>
      </w:r>
      <w:r w:rsidR="00C91BFB" w:rsidRPr="00117BF8">
        <w:rPr>
          <w:rFonts w:ascii="Arial" w:hAnsi="Arial" w:cs="Arial"/>
          <w:sz w:val="22"/>
          <w:szCs w:val="22"/>
        </w:rPr>
        <w:t>señala</w:t>
      </w:r>
      <w:r w:rsidRPr="00117BF8">
        <w:rPr>
          <w:rFonts w:ascii="Arial" w:hAnsi="Arial" w:cs="Arial"/>
          <w:sz w:val="22"/>
          <w:szCs w:val="22"/>
        </w:rPr>
        <w:t xml:space="preserve"> que el 40% de los recursos</w:t>
      </w:r>
      <w:r w:rsidR="00C91BFB" w:rsidRPr="00117BF8">
        <w:rPr>
          <w:rFonts w:ascii="Arial" w:hAnsi="Arial" w:cs="Arial"/>
          <w:sz w:val="22"/>
          <w:szCs w:val="22"/>
        </w:rPr>
        <w:t>,</w:t>
      </w:r>
      <w:r w:rsidRPr="00117BF8">
        <w:rPr>
          <w:rFonts w:ascii="Arial" w:hAnsi="Arial" w:cs="Arial"/>
          <w:sz w:val="22"/>
          <w:szCs w:val="22"/>
        </w:rPr>
        <w:t xml:space="preserve"> </w:t>
      </w:r>
      <w:r w:rsidR="00C91BFB" w:rsidRPr="00117BF8">
        <w:rPr>
          <w:rFonts w:ascii="Arial" w:hAnsi="Arial" w:cs="Arial"/>
          <w:sz w:val="22"/>
          <w:szCs w:val="22"/>
        </w:rPr>
        <w:t>durante</w:t>
      </w:r>
      <w:r w:rsidRPr="00117BF8">
        <w:rPr>
          <w:rFonts w:ascii="Arial" w:hAnsi="Arial" w:cs="Arial"/>
          <w:sz w:val="22"/>
          <w:szCs w:val="22"/>
        </w:rPr>
        <w:t xml:space="preserve"> 2016</w:t>
      </w:r>
      <w:r w:rsidR="00C91BFB" w:rsidRPr="00117BF8">
        <w:rPr>
          <w:rFonts w:ascii="Arial" w:hAnsi="Arial" w:cs="Arial"/>
          <w:sz w:val="22"/>
          <w:szCs w:val="22"/>
        </w:rPr>
        <w:t>,</w:t>
      </w:r>
      <w:r w:rsidRPr="00117BF8">
        <w:rPr>
          <w:rFonts w:ascii="Arial" w:hAnsi="Arial" w:cs="Arial"/>
          <w:sz w:val="22"/>
          <w:szCs w:val="22"/>
        </w:rPr>
        <w:t xml:space="preserve"> </w:t>
      </w:r>
      <w:r w:rsidR="00C91BFB" w:rsidRPr="00117BF8">
        <w:rPr>
          <w:rFonts w:ascii="Arial" w:hAnsi="Arial" w:cs="Arial"/>
          <w:sz w:val="22"/>
          <w:szCs w:val="22"/>
        </w:rPr>
        <w:t>corresponden a</w:t>
      </w:r>
      <w:r w:rsidRPr="00117BF8">
        <w:rPr>
          <w:rFonts w:ascii="Arial" w:hAnsi="Arial" w:cs="Arial"/>
          <w:sz w:val="22"/>
          <w:szCs w:val="22"/>
        </w:rPr>
        <w:t xml:space="preserve"> los ingresos tributarios de Origen Provincial. La reducción permanente de la participación provincial en la distribución de los recursos </w:t>
      </w:r>
      <w:r w:rsidR="00AF0E82" w:rsidRPr="00AF0E82">
        <w:rPr>
          <w:rFonts w:ascii="Arial" w:hAnsi="Arial" w:cs="Arial"/>
          <w:sz w:val="22"/>
          <w:szCs w:val="22"/>
        </w:rPr>
        <w:t>nacionales</w:t>
      </w:r>
      <w:r w:rsidRPr="00117BF8">
        <w:rPr>
          <w:rFonts w:ascii="Arial" w:hAnsi="Arial" w:cs="Arial"/>
          <w:sz w:val="22"/>
          <w:szCs w:val="22"/>
        </w:rPr>
        <w:t xml:space="preserve"> tuvo como contrapartida el incremento relativo de los impuestos provinciales.</w:t>
      </w:r>
    </w:p>
    <w:p w14:paraId="76897936" w14:textId="77777777" w:rsidR="00962A45" w:rsidRPr="00117BF8" w:rsidRDefault="002D4839" w:rsidP="00962A45">
      <w:pPr>
        <w:pStyle w:val="hsa"/>
        <w:rPr>
          <w:rFonts w:ascii="Arial" w:hAnsi="Arial" w:cs="Arial"/>
          <w:sz w:val="22"/>
          <w:szCs w:val="22"/>
        </w:rPr>
      </w:pPr>
      <w:r w:rsidRPr="00117BF8">
        <w:rPr>
          <w:rFonts w:ascii="Arial" w:hAnsi="Arial" w:cs="Arial"/>
          <w:sz w:val="22"/>
          <w:szCs w:val="22"/>
        </w:rPr>
        <w:t>A precios constantes, e</w:t>
      </w:r>
      <w:r w:rsidR="00962A45" w:rsidRPr="00117BF8">
        <w:rPr>
          <w:rFonts w:ascii="Arial" w:hAnsi="Arial" w:cs="Arial"/>
          <w:sz w:val="22"/>
          <w:szCs w:val="22"/>
        </w:rPr>
        <w:t>ntre los años año 1999 y 2016</w:t>
      </w:r>
      <w:r w:rsidRPr="00117BF8">
        <w:rPr>
          <w:rFonts w:ascii="Arial" w:hAnsi="Arial" w:cs="Arial"/>
          <w:sz w:val="22"/>
          <w:szCs w:val="22"/>
        </w:rPr>
        <w:t>,</w:t>
      </w:r>
      <w:r w:rsidR="00962A45" w:rsidRPr="00117BF8">
        <w:rPr>
          <w:rFonts w:ascii="Arial" w:hAnsi="Arial" w:cs="Arial"/>
          <w:sz w:val="22"/>
          <w:szCs w:val="22"/>
        </w:rPr>
        <w:t xml:space="preserve"> el PBG a precios del productor creció 83%,</w:t>
      </w:r>
      <w:r w:rsidR="00962A45" w:rsidRPr="00117BF8">
        <w:rPr>
          <w:rStyle w:val="FootnoteReference"/>
          <w:rFonts w:ascii="Arial" w:hAnsi="Arial" w:cs="Arial"/>
          <w:sz w:val="22"/>
          <w:szCs w:val="22"/>
        </w:rPr>
        <w:footnoteReference w:id="22"/>
      </w:r>
      <w:r w:rsidR="00962A45" w:rsidRPr="00117BF8">
        <w:rPr>
          <w:rFonts w:ascii="Arial" w:hAnsi="Arial" w:cs="Arial"/>
          <w:sz w:val="22"/>
          <w:szCs w:val="22"/>
        </w:rPr>
        <w:t xml:space="preserve"> mientras los impuestos provinciales lo hicieron en 231%. La estructura impositiva se modificó sustancialmente, Ingresos Brutos creció 375% y el resto de los impuestos 83%.</w:t>
      </w:r>
    </w:p>
    <w:p w14:paraId="6B819AA7" w14:textId="77777777" w:rsidR="00962A45" w:rsidRPr="00117BF8" w:rsidRDefault="00351A48" w:rsidP="00117BF8">
      <w:pPr>
        <w:pStyle w:val="hsa3"/>
        <w:spacing w:after="120"/>
        <w:jc w:val="center"/>
        <w:rPr>
          <w:rFonts w:ascii="Arial" w:hAnsi="Arial" w:cs="Arial"/>
          <w:sz w:val="20"/>
        </w:rPr>
      </w:pPr>
      <w:bookmarkStart w:id="104" w:name="_Toc493781703"/>
      <w:r w:rsidRPr="00117BF8">
        <w:rPr>
          <w:rFonts w:ascii="Arial" w:hAnsi="Arial" w:cs="Arial"/>
          <w:sz w:val="20"/>
        </w:rPr>
        <w:t>Gráfico 12</w:t>
      </w:r>
      <w:r w:rsidR="00962A45" w:rsidRPr="00117BF8">
        <w:rPr>
          <w:rFonts w:ascii="Arial" w:hAnsi="Arial" w:cs="Arial"/>
          <w:sz w:val="20"/>
        </w:rPr>
        <w:t xml:space="preserve"> – Evolución del PBG a Precios de Productor e Impuestos Provinciales – Precios Constantes</w:t>
      </w:r>
      <w:bookmarkEnd w:id="104"/>
    </w:p>
    <w:p w14:paraId="6616EE01" w14:textId="77777777" w:rsidR="002D4839" w:rsidRPr="00117BF8" w:rsidRDefault="00117BF8" w:rsidP="002D4839">
      <w:pPr>
        <w:pStyle w:val="Hfuente"/>
        <w:rPr>
          <w:rFonts w:ascii="Arial" w:hAnsi="Arial" w:cs="Arial"/>
          <w:sz w:val="18"/>
          <w:szCs w:val="18"/>
        </w:rPr>
      </w:pPr>
      <w:r w:rsidRPr="00117BF8">
        <w:rPr>
          <w:rFonts w:ascii="Arial" w:hAnsi="Arial" w:cs="Arial"/>
        </w:rPr>
        <w:pict w14:anchorId="2BBC64DB">
          <v:shape id="_x0000_i1042" type="#_x0000_t75" style="width:424.5pt;height:276.75pt">
            <v:imagedata r:id="rId42" o:title=""/>
          </v:shape>
        </w:pict>
      </w:r>
      <w:r w:rsidR="002D4839" w:rsidRPr="00117BF8">
        <w:rPr>
          <w:rFonts w:ascii="Arial" w:hAnsi="Arial" w:cs="Arial"/>
        </w:rPr>
        <w:t xml:space="preserve"> </w:t>
      </w:r>
      <w:r w:rsidR="002D4839" w:rsidRPr="00117BF8">
        <w:rPr>
          <w:rFonts w:ascii="Arial" w:hAnsi="Arial" w:cs="Arial"/>
          <w:sz w:val="18"/>
          <w:szCs w:val="18"/>
        </w:rPr>
        <w:t>Elaboración propia en base a datos de: DPPT</w:t>
      </w:r>
      <w:r w:rsidR="002D4839" w:rsidRPr="00117BF8">
        <w:rPr>
          <w:rStyle w:val="FootnoteReference"/>
          <w:rFonts w:ascii="Arial" w:hAnsi="Arial" w:cs="Arial"/>
          <w:sz w:val="18"/>
          <w:szCs w:val="18"/>
        </w:rPr>
        <w:footnoteReference w:id="23"/>
      </w:r>
      <w:r w:rsidR="002D4839" w:rsidRPr="00117BF8">
        <w:rPr>
          <w:rFonts w:ascii="Arial" w:hAnsi="Arial" w:cs="Arial"/>
          <w:sz w:val="18"/>
          <w:szCs w:val="18"/>
        </w:rPr>
        <w:t>, Dirección Provincial de Estadística e INDEC</w:t>
      </w:r>
    </w:p>
    <w:p w14:paraId="114BE8C3" w14:textId="77777777" w:rsidR="00962A45" w:rsidRPr="00117BF8" w:rsidRDefault="00962A45" w:rsidP="00962A45">
      <w:pPr>
        <w:pStyle w:val="hsa"/>
        <w:rPr>
          <w:rFonts w:ascii="Arial" w:hAnsi="Arial" w:cs="Arial"/>
          <w:sz w:val="22"/>
          <w:szCs w:val="22"/>
        </w:rPr>
      </w:pPr>
      <w:r w:rsidRPr="00117BF8">
        <w:rPr>
          <w:rFonts w:ascii="Arial" w:hAnsi="Arial" w:cs="Arial"/>
          <w:sz w:val="22"/>
          <w:szCs w:val="22"/>
        </w:rPr>
        <w:t>El crecimiento de Ingresos Brutos no sólo se debió a una elasticidad ingreso mayor a uno (La Provincia en sus estimaciones considera 1,1), sino a un incremento en las alícuotas.</w:t>
      </w:r>
    </w:p>
    <w:p w14:paraId="282D3584" w14:textId="77777777" w:rsidR="00962A45" w:rsidRPr="00117BF8" w:rsidRDefault="00962A45" w:rsidP="00962A45">
      <w:pPr>
        <w:pStyle w:val="hsa"/>
        <w:rPr>
          <w:rFonts w:ascii="Arial" w:hAnsi="Arial" w:cs="Arial"/>
          <w:sz w:val="22"/>
          <w:szCs w:val="22"/>
        </w:rPr>
      </w:pPr>
      <w:r w:rsidRPr="00117BF8">
        <w:rPr>
          <w:rFonts w:ascii="Arial" w:hAnsi="Arial" w:cs="Arial"/>
          <w:sz w:val="22"/>
          <w:szCs w:val="22"/>
        </w:rPr>
        <w:t>Los impuestos provinciales representaban en 1999 el 4,4% del PBG a precios del productor, mientras que en 2015 alcanzaron 8,3%</w:t>
      </w:r>
      <w:r w:rsidR="00E00EE3" w:rsidRPr="00117BF8">
        <w:rPr>
          <w:rFonts w:ascii="Arial" w:hAnsi="Arial" w:cs="Arial"/>
          <w:sz w:val="22"/>
          <w:szCs w:val="22"/>
        </w:rPr>
        <w:t>,</w:t>
      </w:r>
      <w:r w:rsidRPr="00117BF8">
        <w:rPr>
          <w:rFonts w:ascii="Arial" w:hAnsi="Arial" w:cs="Arial"/>
          <w:sz w:val="22"/>
          <w:szCs w:val="22"/>
        </w:rPr>
        <w:t xml:space="preserve"> para 2016 se</w:t>
      </w:r>
      <w:r w:rsidR="00351A48" w:rsidRPr="00117BF8">
        <w:rPr>
          <w:rFonts w:ascii="Arial" w:hAnsi="Arial" w:cs="Arial"/>
          <w:sz w:val="22"/>
          <w:szCs w:val="22"/>
        </w:rPr>
        <w:t xml:space="preserve"> puede estimar en 8% (Gráfico 13</w:t>
      </w:r>
      <w:r w:rsidRPr="00117BF8">
        <w:rPr>
          <w:rFonts w:ascii="Arial" w:hAnsi="Arial" w:cs="Arial"/>
          <w:sz w:val="22"/>
          <w:szCs w:val="22"/>
        </w:rPr>
        <w:t>).</w:t>
      </w:r>
    </w:p>
    <w:p w14:paraId="696AD707" w14:textId="77777777" w:rsidR="00962A45" w:rsidRPr="00117BF8" w:rsidRDefault="00351A48" w:rsidP="00117BF8">
      <w:pPr>
        <w:pStyle w:val="hsa3"/>
        <w:spacing w:after="120"/>
        <w:jc w:val="center"/>
        <w:rPr>
          <w:rFonts w:ascii="Arial" w:hAnsi="Arial" w:cs="Arial"/>
          <w:sz w:val="20"/>
        </w:rPr>
      </w:pPr>
      <w:bookmarkStart w:id="105" w:name="_Toc493781704"/>
      <w:r w:rsidRPr="00117BF8">
        <w:rPr>
          <w:rFonts w:ascii="Arial" w:hAnsi="Arial" w:cs="Arial"/>
          <w:sz w:val="20"/>
        </w:rPr>
        <w:t>Gráfico 13</w:t>
      </w:r>
      <w:r w:rsidR="00962A45" w:rsidRPr="00117BF8">
        <w:rPr>
          <w:rFonts w:ascii="Arial" w:hAnsi="Arial" w:cs="Arial"/>
          <w:sz w:val="20"/>
        </w:rPr>
        <w:t xml:space="preserve"> – Evolución del PBG e Impuestos como porcentaje del PBG</w:t>
      </w:r>
      <w:bookmarkEnd w:id="105"/>
    </w:p>
    <w:p w14:paraId="42C80BB9" w14:textId="77777777" w:rsidR="002D4839" w:rsidRPr="00117BF8" w:rsidRDefault="00117BF8" w:rsidP="002D4839">
      <w:pPr>
        <w:pStyle w:val="Hfuente"/>
        <w:rPr>
          <w:rFonts w:ascii="Arial" w:hAnsi="Arial" w:cs="Arial"/>
          <w:sz w:val="18"/>
          <w:szCs w:val="18"/>
        </w:rPr>
      </w:pPr>
      <w:r w:rsidRPr="00117BF8">
        <w:rPr>
          <w:rFonts w:ascii="Arial" w:hAnsi="Arial" w:cs="Arial"/>
        </w:rPr>
        <w:pict w14:anchorId="2BBC64DC">
          <v:shape id="_x0000_i1043" type="#_x0000_t75" style="width:424.5pt;height:276.75pt">
            <v:imagedata r:id="rId43" o:title=""/>
          </v:shape>
        </w:pict>
      </w:r>
      <w:r w:rsidR="002D4839" w:rsidRPr="00117BF8">
        <w:rPr>
          <w:rFonts w:ascii="Arial" w:hAnsi="Arial" w:cs="Arial"/>
        </w:rPr>
        <w:t xml:space="preserve"> </w:t>
      </w:r>
      <w:r w:rsidR="002D4839" w:rsidRPr="00117BF8">
        <w:rPr>
          <w:rFonts w:ascii="Arial" w:hAnsi="Arial" w:cs="Arial"/>
          <w:sz w:val="18"/>
          <w:szCs w:val="18"/>
        </w:rPr>
        <w:t>Elaboración propia en base a datos de: DPPT, Dirección Provincial de Estadística e INDEC</w:t>
      </w:r>
    </w:p>
    <w:p w14:paraId="3E1FF6A1" w14:textId="77777777" w:rsidR="00962A45" w:rsidRPr="00117BF8" w:rsidRDefault="00E00EE3" w:rsidP="00962A45">
      <w:pPr>
        <w:pStyle w:val="hsa"/>
        <w:rPr>
          <w:rFonts w:ascii="Arial" w:hAnsi="Arial" w:cs="Arial"/>
          <w:sz w:val="22"/>
          <w:szCs w:val="22"/>
        </w:rPr>
      </w:pPr>
      <w:r w:rsidRPr="00117BF8">
        <w:rPr>
          <w:rFonts w:ascii="Arial" w:hAnsi="Arial" w:cs="Arial"/>
          <w:sz w:val="22"/>
          <w:szCs w:val="22"/>
        </w:rPr>
        <w:t>Medida en términos de impuestos provinciales, l</w:t>
      </w:r>
      <w:r w:rsidR="00962A45" w:rsidRPr="00117BF8">
        <w:rPr>
          <w:rFonts w:ascii="Arial" w:hAnsi="Arial" w:cs="Arial"/>
          <w:sz w:val="22"/>
          <w:szCs w:val="22"/>
        </w:rPr>
        <w:t>a Provincia es la que posee mayor presión fiscal entre las cinco jurisdicciones más importantes por su contribución al producto. En el año 2013</w:t>
      </w:r>
      <w:r w:rsidR="00962A45" w:rsidRPr="00117BF8">
        <w:rPr>
          <w:rStyle w:val="FootnoteReference"/>
          <w:rFonts w:ascii="Arial" w:hAnsi="Arial" w:cs="Arial"/>
          <w:sz w:val="22"/>
          <w:szCs w:val="22"/>
        </w:rPr>
        <w:footnoteReference w:id="24"/>
      </w:r>
      <w:r w:rsidR="00962A45" w:rsidRPr="00117BF8">
        <w:rPr>
          <w:rFonts w:ascii="Arial" w:hAnsi="Arial" w:cs="Arial"/>
          <w:sz w:val="22"/>
          <w:szCs w:val="22"/>
        </w:rPr>
        <w:t xml:space="preserve"> </w:t>
      </w:r>
      <w:r w:rsidR="002D4839" w:rsidRPr="00117BF8">
        <w:rPr>
          <w:rFonts w:ascii="Arial" w:hAnsi="Arial" w:cs="Arial"/>
          <w:sz w:val="22"/>
          <w:szCs w:val="22"/>
        </w:rPr>
        <w:t xml:space="preserve">su </w:t>
      </w:r>
      <w:r w:rsidR="00962A45" w:rsidRPr="00117BF8">
        <w:rPr>
          <w:rFonts w:ascii="Arial" w:hAnsi="Arial" w:cs="Arial"/>
          <w:sz w:val="22"/>
          <w:szCs w:val="22"/>
        </w:rPr>
        <w:t>presión fiscal era 7,8% y continuó creciendo alcanzando 8% el último año.</w:t>
      </w:r>
    </w:p>
    <w:tbl>
      <w:tblPr>
        <w:tblW w:w="6580"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740"/>
        <w:gridCol w:w="1720"/>
        <w:gridCol w:w="1586"/>
        <w:gridCol w:w="1560"/>
      </w:tblGrid>
      <w:tr w:rsidR="00962A45" w:rsidRPr="004E6455" w14:paraId="6638BFE8" w14:textId="77777777" w:rsidTr="001014F4">
        <w:trPr>
          <w:jc w:val="center"/>
        </w:trPr>
        <w:tc>
          <w:tcPr>
            <w:tcW w:w="6580" w:type="dxa"/>
            <w:gridSpan w:val="4"/>
            <w:tcBorders>
              <w:top w:val="single" w:sz="8" w:space="0" w:color="7BA0CD"/>
              <w:left w:val="single" w:sz="8" w:space="0" w:color="7BA0CD"/>
              <w:bottom w:val="single" w:sz="8" w:space="0" w:color="7BA0CD"/>
              <w:right w:val="single" w:sz="8" w:space="0" w:color="7BA0CD"/>
            </w:tcBorders>
            <w:shd w:val="clear" w:color="auto" w:fill="0070C0"/>
            <w:noWrap/>
          </w:tcPr>
          <w:p w14:paraId="5B946021" w14:textId="5EE0FDDA" w:rsidR="00962A45" w:rsidRPr="00117BF8" w:rsidRDefault="00962A45" w:rsidP="00883677">
            <w:pPr>
              <w:pStyle w:val="TablaT"/>
              <w:rPr>
                <w:rFonts w:ascii="Arial" w:hAnsi="Arial" w:cs="Arial"/>
                <w:bCs/>
                <w:sz w:val="22"/>
                <w:szCs w:val="22"/>
                <w:lang w:val="es-ES_tradnl"/>
              </w:rPr>
            </w:pPr>
            <w:bookmarkStart w:id="106" w:name="_Toc493861149"/>
            <w:r w:rsidRPr="00117BF8">
              <w:rPr>
                <w:rFonts w:ascii="Arial" w:hAnsi="Arial" w:cs="Arial"/>
                <w:bCs/>
                <w:sz w:val="22"/>
                <w:szCs w:val="22"/>
                <w:lang w:val="es-ES_tradnl"/>
              </w:rPr>
              <w:t xml:space="preserve">Tabla </w:t>
            </w:r>
            <w:r w:rsidR="00883677" w:rsidRPr="00117BF8">
              <w:rPr>
                <w:rFonts w:ascii="Arial" w:hAnsi="Arial" w:cs="Arial"/>
                <w:bCs/>
                <w:sz w:val="22"/>
                <w:szCs w:val="22"/>
                <w:lang w:val="es-ES_tradnl"/>
              </w:rPr>
              <w:t xml:space="preserve">39 </w:t>
            </w:r>
            <w:r w:rsidRPr="00117BF8">
              <w:rPr>
                <w:rFonts w:ascii="Arial" w:hAnsi="Arial" w:cs="Arial"/>
                <w:bCs/>
                <w:sz w:val="22"/>
                <w:szCs w:val="22"/>
                <w:lang w:val="es-ES_tradnl"/>
              </w:rPr>
              <w:t xml:space="preserve">- Presión Fiscal – Principales </w:t>
            </w:r>
            <w:r w:rsidR="00CB25D0" w:rsidRPr="00117BF8">
              <w:rPr>
                <w:rFonts w:ascii="Arial" w:hAnsi="Arial" w:cs="Arial"/>
                <w:bCs/>
                <w:sz w:val="22"/>
                <w:szCs w:val="22"/>
                <w:lang w:val="es-ES_tradnl"/>
              </w:rPr>
              <w:t>Jurisdicciones</w:t>
            </w:r>
            <w:r w:rsidRPr="00117BF8">
              <w:rPr>
                <w:rFonts w:ascii="Arial" w:hAnsi="Arial" w:cs="Arial"/>
                <w:bCs/>
                <w:sz w:val="22"/>
                <w:szCs w:val="22"/>
                <w:lang w:val="es-ES_tradnl"/>
              </w:rPr>
              <w:t xml:space="preserve"> (Año 2013)</w:t>
            </w:r>
            <w:bookmarkEnd w:id="106"/>
          </w:p>
        </w:tc>
      </w:tr>
      <w:tr w:rsidR="00962A45" w:rsidRPr="004E6455" w14:paraId="0728C333" w14:textId="77777777" w:rsidTr="001014F4">
        <w:trPr>
          <w:jc w:val="center"/>
        </w:trPr>
        <w:tc>
          <w:tcPr>
            <w:tcW w:w="1740" w:type="dxa"/>
            <w:tcBorders>
              <w:right w:val="nil"/>
            </w:tcBorders>
            <w:shd w:val="clear" w:color="auto" w:fill="0070C0"/>
            <w:noWrap/>
            <w:hideMark/>
          </w:tcPr>
          <w:p w14:paraId="2A271308" w14:textId="77777777" w:rsidR="00962A45" w:rsidRPr="00117BF8" w:rsidRDefault="00962A45" w:rsidP="00CB25D0">
            <w:pPr>
              <w:pStyle w:val="TablaE"/>
              <w:rPr>
                <w:rFonts w:ascii="Arial" w:hAnsi="Arial" w:cs="Arial"/>
                <w:sz w:val="22"/>
                <w:szCs w:val="22"/>
              </w:rPr>
            </w:pPr>
            <w:r w:rsidRPr="00117BF8">
              <w:rPr>
                <w:rFonts w:ascii="Arial" w:hAnsi="Arial" w:cs="Arial"/>
                <w:sz w:val="22"/>
                <w:szCs w:val="22"/>
              </w:rPr>
              <w:t>Jurisdicción</w:t>
            </w:r>
          </w:p>
        </w:tc>
        <w:tc>
          <w:tcPr>
            <w:tcW w:w="1720" w:type="dxa"/>
            <w:tcBorders>
              <w:left w:val="nil"/>
              <w:right w:val="nil"/>
            </w:tcBorders>
            <w:shd w:val="clear" w:color="auto" w:fill="0070C0"/>
            <w:noWrap/>
            <w:hideMark/>
          </w:tcPr>
          <w:p w14:paraId="3811D507" w14:textId="77777777" w:rsidR="00962A45" w:rsidRPr="00117BF8" w:rsidRDefault="00962A45" w:rsidP="00CB25D0">
            <w:pPr>
              <w:pStyle w:val="TablaE"/>
              <w:rPr>
                <w:rFonts w:ascii="Arial" w:hAnsi="Arial" w:cs="Arial"/>
                <w:sz w:val="22"/>
                <w:szCs w:val="22"/>
              </w:rPr>
            </w:pPr>
            <w:r w:rsidRPr="00117BF8">
              <w:rPr>
                <w:rFonts w:ascii="Arial" w:hAnsi="Arial" w:cs="Arial"/>
                <w:sz w:val="22"/>
                <w:szCs w:val="22"/>
              </w:rPr>
              <w:t>PBG a Precio Productor</w:t>
            </w:r>
          </w:p>
        </w:tc>
        <w:tc>
          <w:tcPr>
            <w:tcW w:w="1560" w:type="dxa"/>
            <w:tcBorders>
              <w:left w:val="nil"/>
              <w:right w:val="nil"/>
            </w:tcBorders>
            <w:shd w:val="clear" w:color="auto" w:fill="0070C0"/>
            <w:noWrap/>
            <w:hideMark/>
          </w:tcPr>
          <w:p w14:paraId="1F262D16" w14:textId="77777777" w:rsidR="00962A45" w:rsidRPr="00117BF8" w:rsidRDefault="00962A45" w:rsidP="00CB25D0">
            <w:pPr>
              <w:pStyle w:val="TablaE"/>
              <w:rPr>
                <w:rFonts w:ascii="Arial" w:hAnsi="Arial" w:cs="Arial"/>
                <w:sz w:val="22"/>
                <w:szCs w:val="22"/>
              </w:rPr>
            </w:pPr>
            <w:r w:rsidRPr="00117BF8">
              <w:rPr>
                <w:rFonts w:ascii="Arial" w:hAnsi="Arial" w:cs="Arial"/>
                <w:sz w:val="22"/>
                <w:szCs w:val="22"/>
              </w:rPr>
              <w:t>Recaudación Tributaria</w:t>
            </w:r>
          </w:p>
        </w:tc>
        <w:tc>
          <w:tcPr>
            <w:tcW w:w="1560" w:type="dxa"/>
            <w:tcBorders>
              <w:left w:val="nil"/>
            </w:tcBorders>
            <w:shd w:val="clear" w:color="auto" w:fill="0070C0"/>
            <w:noWrap/>
            <w:hideMark/>
          </w:tcPr>
          <w:p w14:paraId="169C59AB" w14:textId="77777777" w:rsidR="00962A45" w:rsidRPr="00117BF8" w:rsidRDefault="00962A45" w:rsidP="00CB25D0">
            <w:pPr>
              <w:pStyle w:val="TablaE"/>
              <w:rPr>
                <w:rFonts w:ascii="Arial" w:hAnsi="Arial" w:cs="Arial"/>
                <w:sz w:val="22"/>
                <w:szCs w:val="22"/>
              </w:rPr>
            </w:pPr>
            <w:r w:rsidRPr="00117BF8">
              <w:rPr>
                <w:rFonts w:ascii="Arial" w:hAnsi="Arial" w:cs="Arial"/>
                <w:sz w:val="22"/>
                <w:szCs w:val="22"/>
              </w:rPr>
              <w:t>Tributos Provinciales / PBG</w:t>
            </w:r>
          </w:p>
        </w:tc>
      </w:tr>
      <w:tr w:rsidR="00962A45" w:rsidRPr="004E6455" w14:paraId="309D2E96" w14:textId="77777777" w:rsidTr="001014F4">
        <w:trPr>
          <w:jc w:val="center"/>
        </w:trPr>
        <w:tc>
          <w:tcPr>
            <w:tcW w:w="1740" w:type="dxa"/>
            <w:tcBorders>
              <w:right w:val="nil"/>
            </w:tcBorders>
            <w:shd w:val="clear" w:color="auto" w:fill="auto"/>
            <w:noWrap/>
            <w:hideMark/>
          </w:tcPr>
          <w:p w14:paraId="41D53958" w14:textId="77777777" w:rsidR="00962A45" w:rsidRPr="00117BF8" w:rsidRDefault="00962A45" w:rsidP="001014F4">
            <w:pPr>
              <w:pStyle w:val="TablaC"/>
              <w:jc w:val="left"/>
              <w:rPr>
                <w:rFonts w:ascii="Arial" w:hAnsi="Arial" w:cs="Arial"/>
                <w:bCs/>
                <w:sz w:val="18"/>
                <w:szCs w:val="18"/>
              </w:rPr>
            </w:pPr>
            <w:r w:rsidRPr="00117BF8">
              <w:rPr>
                <w:rFonts w:ascii="Arial" w:hAnsi="Arial" w:cs="Arial"/>
                <w:bCs/>
                <w:sz w:val="18"/>
                <w:szCs w:val="18"/>
              </w:rPr>
              <w:t>Buenos Aires</w:t>
            </w:r>
          </w:p>
        </w:tc>
        <w:tc>
          <w:tcPr>
            <w:tcW w:w="1720" w:type="dxa"/>
            <w:tcBorders>
              <w:left w:val="nil"/>
              <w:right w:val="nil"/>
            </w:tcBorders>
            <w:shd w:val="clear" w:color="auto" w:fill="auto"/>
            <w:noWrap/>
            <w:hideMark/>
          </w:tcPr>
          <w:p w14:paraId="2C05B931"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867.849.131</w:t>
            </w:r>
          </w:p>
        </w:tc>
        <w:tc>
          <w:tcPr>
            <w:tcW w:w="1560" w:type="dxa"/>
            <w:tcBorders>
              <w:left w:val="nil"/>
              <w:right w:val="nil"/>
            </w:tcBorders>
            <w:shd w:val="clear" w:color="auto" w:fill="auto"/>
            <w:noWrap/>
            <w:hideMark/>
          </w:tcPr>
          <w:p w14:paraId="729E4691"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67.632.400</w:t>
            </w:r>
          </w:p>
        </w:tc>
        <w:tc>
          <w:tcPr>
            <w:tcW w:w="1560" w:type="dxa"/>
            <w:tcBorders>
              <w:left w:val="nil"/>
            </w:tcBorders>
            <w:shd w:val="clear" w:color="auto" w:fill="auto"/>
            <w:noWrap/>
            <w:hideMark/>
          </w:tcPr>
          <w:p w14:paraId="3D062A9A"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7,79%</w:t>
            </w:r>
          </w:p>
        </w:tc>
      </w:tr>
      <w:tr w:rsidR="00962A45" w:rsidRPr="004E6455" w14:paraId="4B329F95" w14:textId="77777777" w:rsidTr="001014F4">
        <w:trPr>
          <w:jc w:val="center"/>
        </w:trPr>
        <w:tc>
          <w:tcPr>
            <w:tcW w:w="1740" w:type="dxa"/>
            <w:tcBorders>
              <w:right w:val="nil"/>
            </w:tcBorders>
            <w:shd w:val="clear" w:color="auto" w:fill="D3DFEE"/>
            <w:noWrap/>
            <w:hideMark/>
          </w:tcPr>
          <w:p w14:paraId="191105C3" w14:textId="77777777" w:rsidR="00962A45" w:rsidRPr="00117BF8" w:rsidRDefault="00962A45" w:rsidP="001014F4">
            <w:pPr>
              <w:pStyle w:val="TablaC"/>
              <w:jc w:val="left"/>
              <w:rPr>
                <w:rFonts w:ascii="Arial" w:hAnsi="Arial" w:cs="Arial"/>
                <w:bCs/>
                <w:sz w:val="18"/>
                <w:szCs w:val="18"/>
              </w:rPr>
            </w:pPr>
            <w:r w:rsidRPr="00117BF8">
              <w:rPr>
                <w:rFonts w:ascii="Arial" w:hAnsi="Arial" w:cs="Arial"/>
                <w:bCs/>
                <w:sz w:val="18"/>
                <w:szCs w:val="18"/>
              </w:rPr>
              <w:t>CABA</w:t>
            </w:r>
          </w:p>
        </w:tc>
        <w:tc>
          <w:tcPr>
            <w:tcW w:w="1720" w:type="dxa"/>
            <w:tcBorders>
              <w:left w:val="nil"/>
              <w:right w:val="nil"/>
            </w:tcBorders>
            <w:shd w:val="clear" w:color="auto" w:fill="D3DFEE"/>
            <w:noWrap/>
            <w:hideMark/>
          </w:tcPr>
          <w:p w14:paraId="3D16D871"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646.980.251</w:t>
            </w:r>
          </w:p>
        </w:tc>
        <w:tc>
          <w:tcPr>
            <w:tcW w:w="1560" w:type="dxa"/>
            <w:tcBorders>
              <w:left w:val="nil"/>
              <w:right w:val="nil"/>
            </w:tcBorders>
            <w:shd w:val="clear" w:color="auto" w:fill="D3DFEE"/>
            <w:noWrap/>
            <w:hideMark/>
          </w:tcPr>
          <w:p w14:paraId="307A2F48"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40.468.423</w:t>
            </w:r>
          </w:p>
        </w:tc>
        <w:tc>
          <w:tcPr>
            <w:tcW w:w="1560" w:type="dxa"/>
            <w:tcBorders>
              <w:left w:val="nil"/>
            </w:tcBorders>
            <w:shd w:val="clear" w:color="auto" w:fill="D3DFEE"/>
            <w:noWrap/>
            <w:hideMark/>
          </w:tcPr>
          <w:p w14:paraId="5A74BAE4"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6,25%</w:t>
            </w:r>
          </w:p>
        </w:tc>
      </w:tr>
      <w:tr w:rsidR="00962A45" w:rsidRPr="004E6455" w14:paraId="1C9A1F2F" w14:textId="77777777" w:rsidTr="001014F4">
        <w:trPr>
          <w:jc w:val="center"/>
        </w:trPr>
        <w:tc>
          <w:tcPr>
            <w:tcW w:w="1740" w:type="dxa"/>
            <w:tcBorders>
              <w:right w:val="nil"/>
            </w:tcBorders>
            <w:shd w:val="clear" w:color="auto" w:fill="auto"/>
            <w:noWrap/>
            <w:hideMark/>
          </w:tcPr>
          <w:p w14:paraId="70210067" w14:textId="77777777" w:rsidR="00962A45" w:rsidRPr="00117BF8" w:rsidRDefault="00962A45" w:rsidP="001014F4">
            <w:pPr>
              <w:pStyle w:val="TablaC"/>
              <w:jc w:val="left"/>
              <w:rPr>
                <w:rFonts w:ascii="Arial" w:hAnsi="Arial" w:cs="Arial"/>
                <w:bCs/>
                <w:sz w:val="18"/>
                <w:szCs w:val="18"/>
              </w:rPr>
            </w:pPr>
            <w:r w:rsidRPr="00117BF8">
              <w:rPr>
                <w:rFonts w:ascii="Arial" w:hAnsi="Arial" w:cs="Arial"/>
                <w:bCs/>
                <w:sz w:val="18"/>
                <w:szCs w:val="18"/>
              </w:rPr>
              <w:t>Santa Fe</w:t>
            </w:r>
          </w:p>
        </w:tc>
        <w:tc>
          <w:tcPr>
            <w:tcW w:w="1720" w:type="dxa"/>
            <w:tcBorders>
              <w:left w:val="nil"/>
              <w:right w:val="nil"/>
            </w:tcBorders>
            <w:shd w:val="clear" w:color="auto" w:fill="auto"/>
            <w:noWrap/>
            <w:hideMark/>
          </w:tcPr>
          <w:p w14:paraId="3D195120"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250.268.547</w:t>
            </w:r>
          </w:p>
        </w:tc>
        <w:tc>
          <w:tcPr>
            <w:tcW w:w="1560" w:type="dxa"/>
            <w:tcBorders>
              <w:left w:val="nil"/>
              <w:right w:val="nil"/>
            </w:tcBorders>
            <w:shd w:val="clear" w:color="auto" w:fill="auto"/>
            <w:noWrap/>
            <w:hideMark/>
          </w:tcPr>
          <w:p w14:paraId="0F4A0D13"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11.545.974</w:t>
            </w:r>
          </w:p>
        </w:tc>
        <w:tc>
          <w:tcPr>
            <w:tcW w:w="1560" w:type="dxa"/>
            <w:tcBorders>
              <w:left w:val="nil"/>
            </w:tcBorders>
            <w:shd w:val="clear" w:color="auto" w:fill="auto"/>
            <w:noWrap/>
            <w:hideMark/>
          </w:tcPr>
          <w:p w14:paraId="26E43A37"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4,61%</w:t>
            </w:r>
          </w:p>
        </w:tc>
      </w:tr>
      <w:tr w:rsidR="00962A45" w:rsidRPr="004E6455" w14:paraId="24CDC7B5" w14:textId="77777777" w:rsidTr="001014F4">
        <w:trPr>
          <w:jc w:val="center"/>
        </w:trPr>
        <w:tc>
          <w:tcPr>
            <w:tcW w:w="1740" w:type="dxa"/>
            <w:tcBorders>
              <w:right w:val="nil"/>
            </w:tcBorders>
            <w:shd w:val="clear" w:color="auto" w:fill="D3DFEE"/>
            <w:noWrap/>
            <w:hideMark/>
          </w:tcPr>
          <w:p w14:paraId="5FAB0153" w14:textId="77777777" w:rsidR="00962A45" w:rsidRPr="00117BF8" w:rsidRDefault="00962A45" w:rsidP="001014F4">
            <w:pPr>
              <w:pStyle w:val="TablaC"/>
              <w:jc w:val="left"/>
              <w:rPr>
                <w:rFonts w:ascii="Arial" w:hAnsi="Arial" w:cs="Arial"/>
                <w:bCs/>
                <w:sz w:val="18"/>
                <w:szCs w:val="18"/>
              </w:rPr>
            </w:pPr>
            <w:r w:rsidRPr="00117BF8">
              <w:rPr>
                <w:rFonts w:ascii="Arial" w:hAnsi="Arial" w:cs="Arial"/>
                <w:bCs/>
                <w:sz w:val="18"/>
                <w:szCs w:val="18"/>
              </w:rPr>
              <w:t>Córdoba</w:t>
            </w:r>
          </w:p>
        </w:tc>
        <w:tc>
          <w:tcPr>
            <w:tcW w:w="1720" w:type="dxa"/>
            <w:tcBorders>
              <w:left w:val="nil"/>
              <w:right w:val="nil"/>
            </w:tcBorders>
            <w:shd w:val="clear" w:color="auto" w:fill="D3DFEE"/>
            <w:noWrap/>
            <w:hideMark/>
          </w:tcPr>
          <w:p w14:paraId="3E5EB048"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249.217.257</w:t>
            </w:r>
          </w:p>
        </w:tc>
        <w:tc>
          <w:tcPr>
            <w:tcW w:w="1560" w:type="dxa"/>
            <w:tcBorders>
              <w:left w:val="nil"/>
              <w:right w:val="nil"/>
            </w:tcBorders>
            <w:shd w:val="clear" w:color="auto" w:fill="D3DFEE"/>
            <w:noWrap/>
            <w:hideMark/>
          </w:tcPr>
          <w:p w14:paraId="519D9FE8"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12.646.747</w:t>
            </w:r>
          </w:p>
        </w:tc>
        <w:tc>
          <w:tcPr>
            <w:tcW w:w="1560" w:type="dxa"/>
            <w:tcBorders>
              <w:left w:val="nil"/>
            </w:tcBorders>
            <w:shd w:val="clear" w:color="auto" w:fill="D3DFEE"/>
            <w:noWrap/>
            <w:hideMark/>
          </w:tcPr>
          <w:p w14:paraId="270C7ABF"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5,07%</w:t>
            </w:r>
          </w:p>
        </w:tc>
      </w:tr>
      <w:tr w:rsidR="00962A45" w:rsidRPr="004E6455" w14:paraId="21C56919" w14:textId="77777777" w:rsidTr="001014F4">
        <w:trPr>
          <w:jc w:val="center"/>
        </w:trPr>
        <w:tc>
          <w:tcPr>
            <w:tcW w:w="1740" w:type="dxa"/>
            <w:tcBorders>
              <w:right w:val="nil"/>
            </w:tcBorders>
            <w:shd w:val="clear" w:color="auto" w:fill="auto"/>
            <w:noWrap/>
            <w:hideMark/>
          </w:tcPr>
          <w:p w14:paraId="057327D3" w14:textId="77777777" w:rsidR="00962A45" w:rsidRPr="00117BF8" w:rsidRDefault="00962A45" w:rsidP="001014F4">
            <w:pPr>
              <w:pStyle w:val="TablaC"/>
              <w:jc w:val="left"/>
              <w:rPr>
                <w:rFonts w:ascii="Arial" w:hAnsi="Arial" w:cs="Arial"/>
                <w:bCs/>
                <w:sz w:val="18"/>
                <w:szCs w:val="18"/>
              </w:rPr>
            </w:pPr>
            <w:r w:rsidRPr="00117BF8">
              <w:rPr>
                <w:rFonts w:ascii="Arial" w:hAnsi="Arial" w:cs="Arial"/>
                <w:bCs/>
                <w:sz w:val="18"/>
                <w:szCs w:val="18"/>
              </w:rPr>
              <w:t>Mendoza</w:t>
            </w:r>
          </w:p>
        </w:tc>
        <w:tc>
          <w:tcPr>
            <w:tcW w:w="1720" w:type="dxa"/>
            <w:tcBorders>
              <w:left w:val="nil"/>
              <w:right w:val="nil"/>
            </w:tcBorders>
            <w:shd w:val="clear" w:color="auto" w:fill="auto"/>
            <w:noWrap/>
            <w:hideMark/>
          </w:tcPr>
          <w:p w14:paraId="2DCB7E8E"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107.744.729</w:t>
            </w:r>
          </w:p>
        </w:tc>
        <w:tc>
          <w:tcPr>
            <w:tcW w:w="1560" w:type="dxa"/>
            <w:tcBorders>
              <w:left w:val="nil"/>
              <w:right w:val="nil"/>
            </w:tcBorders>
            <w:shd w:val="clear" w:color="auto" w:fill="auto"/>
            <w:noWrap/>
            <w:hideMark/>
          </w:tcPr>
          <w:p w14:paraId="72C2CA33"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6.957.940</w:t>
            </w:r>
          </w:p>
        </w:tc>
        <w:tc>
          <w:tcPr>
            <w:tcW w:w="1560" w:type="dxa"/>
            <w:tcBorders>
              <w:left w:val="nil"/>
            </w:tcBorders>
            <w:shd w:val="clear" w:color="auto" w:fill="auto"/>
            <w:noWrap/>
            <w:hideMark/>
          </w:tcPr>
          <w:p w14:paraId="35D404B5" w14:textId="77777777" w:rsidR="00962A45" w:rsidRPr="00117BF8" w:rsidRDefault="00962A45" w:rsidP="001014F4">
            <w:pPr>
              <w:pStyle w:val="TablaC"/>
              <w:rPr>
                <w:rFonts w:ascii="Arial" w:hAnsi="Arial" w:cs="Arial"/>
                <w:sz w:val="18"/>
                <w:szCs w:val="18"/>
              </w:rPr>
            </w:pPr>
            <w:r w:rsidRPr="00117BF8">
              <w:rPr>
                <w:rFonts w:ascii="Arial" w:hAnsi="Arial" w:cs="Arial"/>
                <w:sz w:val="18"/>
                <w:szCs w:val="18"/>
              </w:rPr>
              <w:t>6,46%</w:t>
            </w:r>
          </w:p>
        </w:tc>
      </w:tr>
    </w:tbl>
    <w:p w14:paraId="2D5DB9A7" w14:textId="77777777" w:rsidR="00962A45" w:rsidRPr="00117BF8" w:rsidRDefault="00962A45" w:rsidP="00962A45">
      <w:pPr>
        <w:pStyle w:val="Hfuente"/>
        <w:rPr>
          <w:rFonts w:ascii="Arial" w:hAnsi="Arial" w:cs="Arial"/>
          <w:sz w:val="18"/>
          <w:szCs w:val="18"/>
        </w:rPr>
      </w:pPr>
      <w:r w:rsidRPr="00117BF8">
        <w:rPr>
          <w:rFonts w:ascii="Arial" w:hAnsi="Arial" w:cs="Arial"/>
          <w:sz w:val="18"/>
          <w:szCs w:val="18"/>
        </w:rPr>
        <w:t>Fuente: Elaboración propia en base a Datos del Ministerio de Economía de la Nación y Estadísticas provinciales</w:t>
      </w:r>
    </w:p>
    <w:p w14:paraId="7FA7FFC6" w14:textId="77777777" w:rsidR="00284AE4" w:rsidRPr="00117BF8" w:rsidRDefault="00962A45" w:rsidP="00962A45">
      <w:pPr>
        <w:pStyle w:val="hsa"/>
        <w:rPr>
          <w:rFonts w:ascii="Arial" w:hAnsi="Arial" w:cs="Arial"/>
          <w:sz w:val="22"/>
          <w:szCs w:val="22"/>
        </w:rPr>
      </w:pPr>
      <w:r w:rsidRPr="00117BF8">
        <w:rPr>
          <w:rFonts w:ascii="Arial" w:hAnsi="Arial" w:cs="Arial"/>
          <w:sz w:val="22"/>
          <w:szCs w:val="22"/>
        </w:rPr>
        <w:t>Los niveles de presión fiscal relativa de la Provincia la ponen en desventaja respecto de las jurisdicciones más importantes (4 de ellas fronterizas)</w:t>
      </w:r>
      <w:r w:rsidR="00284AE4" w:rsidRPr="00117BF8">
        <w:rPr>
          <w:rFonts w:ascii="Arial" w:hAnsi="Arial" w:cs="Arial"/>
          <w:sz w:val="22"/>
          <w:szCs w:val="22"/>
        </w:rPr>
        <w:t>.</w:t>
      </w:r>
    </w:p>
    <w:p w14:paraId="6B0C5367" w14:textId="77777777" w:rsidR="00962A45" w:rsidRPr="00AF0E82" w:rsidRDefault="00962A45">
      <w:pPr>
        <w:pStyle w:val="Heading3"/>
      </w:pPr>
      <w:bookmarkStart w:id="107" w:name="_Toc494040335"/>
      <w:r w:rsidRPr="00AF0E82">
        <w:t>Recursos totales con bajo nivel relativo</w:t>
      </w:r>
      <w:r w:rsidR="00284AE4" w:rsidRPr="00AF0E82">
        <w:t xml:space="preserve"> respecto al resto de las Jurisdicciones</w:t>
      </w:r>
      <w:r w:rsidRPr="00AF0E82">
        <w:t>.</w:t>
      </w:r>
      <w:bookmarkEnd w:id="107"/>
    </w:p>
    <w:p w14:paraId="52E875A7" w14:textId="77777777" w:rsidR="00CE1715" w:rsidRPr="00117BF8" w:rsidRDefault="00CB25D0" w:rsidP="00CE1715">
      <w:pPr>
        <w:pStyle w:val="hsa"/>
        <w:rPr>
          <w:rFonts w:ascii="Arial" w:hAnsi="Arial" w:cs="Arial"/>
          <w:sz w:val="22"/>
          <w:szCs w:val="22"/>
        </w:rPr>
      </w:pPr>
      <w:r w:rsidRPr="00117BF8">
        <w:rPr>
          <w:rFonts w:ascii="Arial" w:hAnsi="Arial" w:cs="Arial"/>
          <w:sz w:val="22"/>
          <w:szCs w:val="22"/>
        </w:rPr>
        <w:t xml:space="preserve">A pesar de la creciente presión fiscal </w:t>
      </w:r>
      <w:r w:rsidR="00284AE4" w:rsidRPr="00117BF8">
        <w:rPr>
          <w:rFonts w:ascii="Arial" w:hAnsi="Arial" w:cs="Arial"/>
          <w:sz w:val="22"/>
          <w:szCs w:val="22"/>
        </w:rPr>
        <w:t>originada en</w:t>
      </w:r>
      <w:r w:rsidRPr="00117BF8">
        <w:rPr>
          <w:rFonts w:ascii="Arial" w:hAnsi="Arial" w:cs="Arial"/>
          <w:sz w:val="22"/>
          <w:szCs w:val="22"/>
        </w:rPr>
        <w:t xml:space="preserve"> los impuestos provinciales, la PBA </w:t>
      </w:r>
      <w:r w:rsidR="00CE1715" w:rsidRPr="00117BF8">
        <w:rPr>
          <w:rFonts w:ascii="Arial" w:hAnsi="Arial" w:cs="Arial"/>
          <w:sz w:val="22"/>
          <w:szCs w:val="22"/>
        </w:rPr>
        <w:t>es la jurisdicción con menos recursos fiscales per cápita</w:t>
      </w:r>
      <w:r w:rsidR="00284AE4" w:rsidRPr="00117BF8">
        <w:rPr>
          <w:rFonts w:ascii="Arial" w:hAnsi="Arial" w:cs="Arial"/>
          <w:sz w:val="22"/>
          <w:szCs w:val="22"/>
        </w:rPr>
        <w:t>. E</w:t>
      </w:r>
      <w:r w:rsidR="00CE1715" w:rsidRPr="00117BF8">
        <w:rPr>
          <w:rFonts w:ascii="Arial" w:hAnsi="Arial" w:cs="Arial"/>
          <w:sz w:val="22"/>
          <w:szCs w:val="22"/>
        </w:rPr>
        <w:t>n el gráfico</w:t>
      </w:r>
      <w:r w:rsidR="00284AE4" w:rsidRPr="00117BF8">
        <w:rPr>
          <w:rFonts w:ascii="Arial" w:hAnsi="Arial" w:cs="Arial"/>
          <w:sz w:val="22"/>
          <w:szCs w:val="22"/>
        </w:rPr>
        <w:t xml:space="preserve"> 14</w:t>
      </w:r>
      <w:r w:rsidR="00CE1715" w:rsidRPr="00117BF8">
        <w:rPr>
          <w:rStyle w:val="FootnoteReference"/>
          <w:rFonts w:ascii="Arial" w:hAnsi="Arial" w:cs="Arial"/>
          <w:sz w:val="22"/>
          <w:szCs w:val="22"/>
        </w:rPr>
        <w:footnoteReference w:id="25"/>
      </w:r>
      <w:r w:rsidR="00CE1715" w:rsidRPr="00117BF8">
        <w:rPr>
          <w:rFonts w:ascii="Arial" w:hAnsi="Arial" w:cs="Arial"/>
          <w:sz w:val="22"/>
          <w:szCs w:val="22"/>
        </w:rPr>
        <w:t xml:space="preserve"> se observa que la principal razón de esto es el nivel reducido, en términos </w:t>
      </w:r>
      <w:r w:rsidR="00284AE4" w:rsidRPr="00117BF8">
        <w:rPr>
          <w:rFonts w:ascii="Arial" w:hAnsi="Arial" w:cs="Arial"/>
          <w:sz w:val="22"/>
          <w:szCs w:val="22"/>
        </w:rPr>
        <w:t xml:space="preserve">per </w:t>
      </w:r>
      <w:r w:rsidR="00280473" w:rsidRPr="00117BF8">
        <w:rPr>
          <w:rFonts w:ascii="Arial" w:hAnsi="Arial" w:cs="Arial"/>
          <w:sz w:val="22"/>
          <w:szCs w:val="22"/>
        </w:rPr>
        <w:t>cápita</w:t>
      </w:r>
      <w:r w:rsidR="00CE1715" w:rsidRPr="00117BF8">
        <w:rPr>
          <w:rFonts w:ascii="Arial" w:hAnsi="Arial" w:cs="Arial"/>
          <w:sz w:val="22"/>
          <w:szCs w:val="22"/>
        </w:rPr>
        <w:t>, de las transferencias automáticas originadas en el Régimen de Coparticipación Federal de Impuestos que ha</w:t>
      </w:r>
      <w:r w:rsidR="00C31A26" w:rsidRPr="00117BF8">
        <w:rPr>
          <w:rFonts w:ascii="Arial" w:hAnsi="Arial" w:cs="Arial"/>
          <w:sz w:val="22"/>
          <w:szCs w:val="22"/>
        </w:rPr>
        <w:t>n</w:t>
      </w:r>
      <w:r w:rsidR="00CE1715" w:rsidRPr="00117BF8">
        <w:rPr>
          <w:rFonts w:ascii="Arial" w:hAnsi="Arial" w:cs="Arial"/>
          <w:sz w:val="22"/>
          <w:szCs w:val="22"/>
        </w:rPr>
        <w:t xml:space="preserve"> sido </w:t>
      </w:r>
      <w:r w:rsidR="00C31A26" w:rsidRPr="00117BF8">
        <w:rPr>
          <w:rFonts w:ascii="Arial" w:hAnsi="Arial" w:cs="Arial"/>
          <w:sz w:val="22"/>
          <w:szCs w:val="22"/>
        </w:rPr>
        <w:t>comentadas</w:t>
      </w:r>
      <w:r w:rsidR="00CE1715" w:rsidRPr="00117BF8">
        <w:rPr>
          <w:rFonts w:ascii="Arial" w:hAnsi="Arial" w:cs="Arial"/>
          <w:sz w:val="22"/>
          <w:szCs w:val="22"/>
        </w:rPr>
        <w:t xml:space="preserve"> en títulos previos.</w:t>
      </w:r>
    </w:p>
    <w:p w14:paraId="184412B2" w14:textId="77777777" w:rsidR="00CE1715" w:rsidRPr="00117BF8" w:rsidRDefault="005F6AD9" w:rsidP="00117BF8">
      <w:pPr>
        <w:pStyle w:val="hsa3"/>
        <w:spacing w:after="120"/>
        <w:jc w:val="center"/>
        <w:rPr>
          <w:rFonts w:ascii="Arial" w:hAnsi="Arial" w:cs="Arial"/>
          <w:sz w:val="20"/>
        </w:rPr>
      </w:pPr>
      <w:bookmarkStart w:id="108" w:name="_Toc493781705"/>
      <w:r w:rsidRPr="00117BF8">
        <w:rPr>
          <w:rFonts w:ascii="Arial" w:hAnsi="Arial" w:cs="Arial"/>
          <w:sz w:val="20"/>
        </w:rPr>
        <w:t>Grá</w:t>
      </w:r>
      <w:r w:rsidR="00CE1715" w:rsidRPr="00117BF8">
        <w:rPr>
          <w:rFonts w:ascii="Arial" w:hAnsi="Arial" w:cs="Arial"/>
          <w:sz w:val="20"/>
        </w:rPr>
        <w:t>f</w:t>
      </w:r>
      <w:r w:rsidR="00351A48" w:rsidRPr="00117BF8">
        <w:rPr>
          <w:rFonts w:ascii="Arial" w:hAnsi="Arial" w:cs="Arial"/>
          <w:sz w:val="20"/>
        </w:rPr>
        <w:t>ico 14</w:t>
      </w:r>
      <w:r w:rsidR="00CE1715" w:rsidRPr="00117BF8">
        <w:rPr>
          <w:rFonts w:ascii="Arial" w:hAnsi="Arial" w:cs="Arial"/>
          <w:sz w:val="20"/>
        </w:rPr>
        <w:t xml:space="preserve"> – Recursos Fiscales por Provincia</w:t>
      </w:r>
      <w:bookmarkEnd w:id="108"/>
    </w:p>
    <w:p w14:paraId="068DF562" w14:textId="77777777" w:rsidR="00CE1715" w:rsidRPr="00117BF8" w:rsidRDefault="00117BF8" w:rsidP="00CE1715">
      <w:pPr>
        <w:pStyle w:val="hsa"/>
        <w:rPr>
          <w:rFonts w:ascii="Arial" w:hAnsi="Arial" w:cs="Arial"/>
        </w:rPr>
      </w:pPr>
      <w:r w:rsidRPr="00117BF8">
        <w:rPr>
          <w:rFonts w:ascii="Arial" w:hAnsi="Arial" w:cs="Arial"/>
        </w:rPr>
        <w:pict w14:anchorId="2BBC64DD">
          <v:shape id="_x0000_i1044" type="#_x0000_t75" style="width:425.1pt;height:309.3pt">
            <v:imagedata r:id="rId44" o:title=""/>
          </v:shape>
        </w:pict>
      </w:r>
    </w:p>
    <w:p w14:paraId="2C232370" w14:textId="77777777" w:rsidR="00CB25D0" w:rsidRPr="00117BF8" w:rsidRDefault="00CB25D0" w:rsidP="00CE1715">
      <w:pPr>
        <w:pStyle w:val="hsa"/>
        <w:rPr>
          <w:rFonts w:ascii="Arial" w:hAnsi="Arial" w:cs="Arial"/>
          <w:sz w:val="22"/>
          <w:szCs w:val="22"/>
        </w:rPr>
      </w:pPr>
      <w:r w:rsidRPr="00117BF8">
        <w:rPr>
          <w:rFonts w:ascii="Arial" w:hAnsi="Arial" w:cs="Arial"/>
          <w:sz w:val="22"/>
          <w:szCs w:val="22"/>
        </w:rPr>
        <w:t>Si bien la escala de la Provincia puede justificar que pose</w:t>
      </w:r>
      <w:r w:rsidR="00284AE4" w:rsidRPr="00117BF8">
        <w:rPr>
          <w:rFonts w:ascii="Arial" w:hAnsi="Arial" w:cs="Arial"/>
          <w:sz w:val="22"/>
          <w:szCs w:val="22"/>
        </w:rPr>
        <w:t>a</w:t>
      </w:r>
      <w:r w:rsidRPr="00117BF8">
        <w:rPr>
          <w:rFonts w:ascii="Arial" w:hAnsi="Arial" w:cs="Arial"/>
          <w:sz w:val="22"/>
          <w:szCs w:val="22"/>
        </w:rPr>
        <w:t xml:space="preserve"> el menor nivel de recursos</w:t>
      </w:r>
      <w:r w:rsidR="00C31A26" w:rsidRPr="00117BF8">
        <w:rPr>
          <w:rFonts w:ascii="Arial" w:hAnsi="Arial" w:cs="Arial"/>
          <w:sz w:val="22"/>
          <w:szCs w:val="22"/>
        </w:rPr>
        <w:t xml:space="preserve"> per cápita</w:t>
      </w:r>
      <w:r w:rsidRPr="00117BF8">
        <w:rPr>
          <w:rFonts w:ascii="Arial" w:hAnsi="Arial" w:cs="Arial"/>
          <w:sz w:val="22"/>
          <w:szCs w:val="22"/>
        </w:rPr>
        <w:t xml:space="preserve">, otras jurisdicciones importantes </w:t>
      </w:r>
      <w:r w:rsidR="007F0127" w:rsidRPr="00117BF8">
        <w:rPr>
          <w:rFonts w:ascii="Arial" w:hAnsi="Arial" w:cs="Arial"/>
          <w:sz w:val="22"/>
          <w:szCs w:val="22"/>
        </w:rPr>
        <w:t>poseen recursos</w:t>
      </w:r>
      <w:r w:rsidR="00C31A26" w:rsidRPr="00117BF8">
        <w:rPr>
          <w:rFonts w:ascii="Arial" w:hAnsi="Arial" w:cs="Arial"/>
          <w:sz w:val="22"/>
          <w:szCs w:val="22"/>
        </w:rPr>
        <w:t xml:space="preserve"> </w:t>
      </w:r>
      <w:r w:rsidR="007F0127" w:rsidRPr="00117BF8">
        <w:rPr>
          <w:rFonts w:ascii="Arial" w:hAnsi="Arial" w:cs="Arial"/>
          <w:sz w:val="22"/>
          <w:szCs w:val="22"/>
        </w:rPr>
        <w:t>muy por encima de Buenos Aires (</w:t>
      </w:r>
      <w:r w:rsidRPr="00117BF8">
        <w:rPr>
          <w:rFonts w:ascii="Arial" w:hAnsi="Arial" w:cs="Arial"/>
          <w:sz w:val="22"/>
          <w:szCs w:val="22"/>
        </w:rPr>
        <w:t xml:space="preserve">Santa Fe 36%, </w:t>
      </w:r>
      <w:r w:rsidR="007F0127" w:rsidRPr="00117BF8">
        <w:rPr>
          <w:rFonts w:ascii="Arial" w:hAnsi="Arial" w:cs="Arial"/>
          <w:sz w:val="22"/>
          <w:szCs w:val="22"/>
        </w:rPr>
        <w:t>Córdoba 43%, CABA 102%).</w:t>
      </w:r>
    </w:p>
    <w:p w14:paraId="5B135C5F" w14:textId="77777777" w:rsidR="00962A45" w:rsidRPr="00AF0E82" w:rsidRDefault="00962A45">
      <w:pPr>
        <w:pStyle w:val="Heading3"/>
      </w:pPr>
      <w:bookmarkStart w:id="109" w:name="_Toc494040336"/>
      <w:r w:rsidRPr="00AF0E82">
        <w:t>Niveles recursos bajos respecto a otras provincias con similares indicadores de NBI.</w:t>
      </w:r>
      <w:bookmarkEnd w:id="109"/>
    </w:p>
    <w:p w14:paraId="10CB9CCE" w14:textId="77777777" w:rsidR="007F0127" w:rsidRPr="00117BF8" w:rsidRDefault="007F0127" w:rsidP="007F0127">
      <w:pPr>
        <w:pStyle w:val="hsa"/>
        <w:rPr>
          <w:rFonts w:ascii="Arial" w:hAnsi="Arial" w:cs="Arial"/>
          <w:sz w:val="22"/>
          <w:szCs w:val="22"/>
        </w:rPr>
      </w:pPr>
      <w:r w:rsidRPr="00117BF8">
        <w:rPr>
          <w:rFonts w:ascii="Arial" w:hAnsi="Arial" w:cs="Arial"/>
          <w:sz w:val="22"/>
          <w:szCs w:val="22"/>
        </w:rPr>
        <w:t>Si bien la Provincia posee NBI inferiores a la media (Aunque internamente existen importantes disparidades), sus recursos</w:t>
      </w:r>
      <w:r w:rsidR="00284AE4" w:rsidRPr="00117BF8">
        <w:rPr>
          <w:rFonts w:ascii="Arial" w:hAnsi="Arial" w:cs="Arial"/>
          <w:sz w:val="22"/>
          <w:szCs w:val="22"/>
        </w:rPr>
        <w:t xml:space="preserve"> per </w:t>
      </w:r>
      <w:r w:rsidR="00C31A26" w:rsidRPr="00117BF8">
        <w:rPr>
          <w:rFonts w:ascii="Arial" w:hAnsi="Arial" w:cs="Arial"/>
          <w:sz w:val="22"/>
          <w:szCs w:val="22"/>
        </w:rPr>
        <w:t>cápita</w:t>
      </w:r>
      <w:r w:rsidRPr="00117BF8">
        <w:rPr>
          <w:rFonts w:ascii="Arial" w:hAnsi="Arial" w:cs="Arial"/>
          <w:sz w:val="22"/>
          <w:szCs w:val="22"/>
        </w:rPr>
        <w:t xml:space="preserve"> son los menores.</w:t>
      </w:r>
      <w:r w:rsidR="00E00EE3" w:rsidRPr="00117BF8">
        <w:rPr>
          <w:rFonts w:ascii="Arial" w:hAnsi="Arial" w:cs="Arial"/>
          <w:sz w:val="22"/>
          <w:szCs w:val="22"/>
        </w:rPr>
        <w:t xml:space="preserve"> </w:t>
      </w:r>
      <w:r w:rsidRPr="00117BF8">
        <w:rPr>
          <w:rFonts w:ascii="Arial" w:hAnsi="Arial" w:cs="Arial"/>
          <w:sz w:val="22"/>
          <w:szCs w:val="22"/>
        </w:rPr>
        <w:t>Un</w:t>
      </w:r>
      <w:r w:rsidR="00E00EE3" w:rsidRPr="00117BF8">
        <w:rPr>
          <w:rFonts w:ascii="Arial" w:hAnsi="Arial" w:cs="Arial"/>
          <w:sz w:val="22"/>
          <w:szCs w:val="22"/>
        </w:rPr>
        <w:t>o</w:t>
      </w:r>
      <w:r w:rsidRPr="00117BF8">
        <w:rPr>
          <w:rFonts w:ascii="Arial" w:hAnsi="Arial" w:cs="Arial"/>
          <w:sz w:val="22"/>
          <w:szCs w:val="22"/>
        </w:rPr>
        <w:t xml:space="preserve"> de l</w:t>
      </w:r>
      <w:r w:rsidR="00E00EE3" w:rsidRPr="00117BF8">
        <w:rPr>
          <w:rFonts w:ascii="Arial" w:hAnsi="Arial" w:cs="Arial"/>
          <w:sz w:val="22"/>
          <w:szCs w:val="22"/>
        </w:rPr>
        <w:t>os</w:t>
      </w:r>
      <w:r w:rsidRPr="00117BF8">
        <w:rPr>
          <w:rFonts w:ascii="Arial" w:hAnsi="Arial" w:cs="Arial"/>
          <w:sz w:val="22"/>
          <w:szCs w:val="22"/>
        </w:rPr>
        <w:t xml:space="preserve"> principales </w:t>
      </w:r>
      <w:r w:rsidR="00284AE4" w:rsidRPr="00117BF8">
        <w:rPr>
          <w:rFonts w:ascii="Arial" w:hAnsi="Arial" w:cs="Arial"/>
          <w:sz w:val="22"/>
          <w:szCs w:val="22"/>
        </w:rPr>
        <w:t>objet</w:t>
      </w:r>
      <w:r w:rsidR="00E00EE3" w:rsidRPr="00117BF8">
        <w:rPr>
          <w:rFonts w:ascii="Arial" w:hAnsi="Arial" w:cs="Arial"/>
          <w:sz w:val="22"/>
          <w:szCs w:val="22"/>
        </w:rPr>
        <w:t>ivos</w:t>
      </w:r>
      <w:r w:rsidRPr="00117BF8">
        <w:rPr>
          <w:rFonts w:ascii="Arial" w:hAnsi="Arial" w:cs="Arial"/>
          <w:sz w:val="22"/>
          <w:szCs w:val="22"/>
        </w:rPr>
        <w:t xml:space="preserve"> del Régimen de Coparticipación Federal es redistribuir impuestos según las necesidades de las jurisdicciones, como se observa en la ilustración que sigue no existe correlación entre recursos y NBI.</w:t>
      </w:r>
    </w:p>
    <w:p w14:paraId="6E4B3AB6" w14:textId="77777777" w:rsidR="00CE1715" w:rsidRPr="00117BF8" w:rsidRDefault="00CE1715" w:rsidP="00117BF8">
      <w:pPr>
        <w:pStyle w:val="hsa3"/>
        <w:spacing w:after="120"/>
        <w:jc w:val="center"/>
        <w:rPr>
          <w:rFonts w:ascii="Arial" w:hAnsi="Arial" w:cs="Arial"/>
          <w:sz w:val="20"/>
        </w:rPr>
      </w:pPr>
      <w:bookmarkStart w:id="110" w:name="_Toc493781706"/>
      <w:r w:rsidRPr="00117BF8">
        <w:rPr>
          <w:rFonts w:ascii="Arial" w:hAnsi="Arial" w:cs="Arial"/>
          <w:sz w:val="20"/>
        </w:rPr>
        <w:t xml:space="preserve">Gráfico </w:t>
      </w:r>
      <w:r w:rsidR="00351A48" w:rsidRPr="00117BF8">
        <w:rPr>
          <w:rFonts w:ascii="Arial" w:hAnsi="Arial" w:cs="Arial"/>
          <w:sz w:val="20"/>
        </w:rPr>
        <w:t>15</w:t>
      </w:r>
      <w:r w:rsidRPr="00117BF8">
        <w:rPr>
          <w:rFonts w:ascii="Arial" w:hAnsi="Arial" w:cs="Arial"/>
          <w:sz w:val="20"/>
        </w:rPr>
        <w:t xml:space="preserve"> – Recursos por Provincia y NBI</w:t>
      </w:r>
      <w:bookmarkEnd w:id="110"/>
    </w:p>
    <w:p w14:paraId="57185AF1" w14:textId="77777777" w:rsidR="00CE1715" w:rsidRPr="00117BF8" w:rsidRDefault="00117BF8" w:rsidP="00CE1715">
      <w:pPr>
        <w:pStyle w:val="hsa"/>
        <w:rPr>
          <w:rFonts w:ascii="Arial" w:hAnsi="Arial" w:cs="Arial"/>
        </w:rPr>
      </w:pPr>
      <w:r w:rsidRPr="00117BF8">
        <w:rPr>
          <w:rFonts w:ascii="Arial" w:hAnsi="Arial" w:cs="Arial"/>
        </w:rPr>
        <w:pict w14:anchorId="2BBC64DE">
          <v:shape id="_x0000_i1045" type="#_x0000_t75" style="width:425.1pt;height:264.85pt">
            <v:imagedata r:id="rId45" o:title=""/>
          </v:shape>
        </w:pict>
      </w:r>
    </w:p>
    <w:p w14:paraId="589379F6" w14:textId="22F4CB22" w:rsidR="00284AE4" w:rsidRPr="00117BF8" w:rsidRDefault="00CE1715" w:rsidP="00CE1715">
      <w:pPr>
        <w:pStyle w:val="hsa"/>
        <w:rPr>
          <w:rFonts w:ascii="Arial" w:hAnsi="Arial" w:cs="Arial"/>
          <w:sz w:val="22"/>
          <w:szCs w:val="22"/>
        </w:rPr>
      </w:pPr>
      <w:r w:rsidRPr="00117BF8">
        <w:rPr>
          <w:rFonts w:ascii="Arial" w:hAnsi="Arial" w:cs="Arial"/>
          <w:sz w:val="22"/>
          <w:szCs w:val="22"/>
        </w:rPr>
        <w:t xml:space="preserve">El análisis precedente parece </w:t>
      </w:r>
      <w:r w:rsidR="0003477B" w:rsidRPr="00AF0E82">
        <w:rPr>
          <w:rFonts w:ascii="Arial" w:hAnsi="Arial" w:cs="Arial"/>
          <w:sz w:val="22"/>
          <w:szCs w:val="22"/>
        </w:rPr>
        <w:t>darles</w:t>
      </w:r>
      <w:r w:rsidRPr="00117BF8">
        <w:rPr>
          <w:rFonts w:ascii="Arial" w:hAnsi="Arial" w:cs="Arial"/>
          <w:sz w:val="22"/>
          <w:szCs w:val="22"/>
        </w:rPr>
        <w:t xml:space="preserve"> fundamento a los reclamos provinciales por una modificación en la distribución (Ver “</w:t>
      </w:r>
      <w:r w:rsidRPr="00117BF8">
        <w:rPr>
          <w:rFonts w:ascii="Arial" w:hAnsi="Arial" w:cs="Arial"/>
          <w:sz w:val="22"/>
          <w:szCs w:val="22"/>
        </w:rPr>
        <w:fldChar w:fldCharType="begin"/>
      </w:r>
      <w:r w:rsidRPr="00117BF8">
        <w:rPr>
          <w:rFonts w:ascii="Arial" w:hAnsi="Arial" w:cs="Arial"/>
          <w:sz w:val="22"/>
          <w:szCs w:val="22"/>
        </w:rPr>
        <w:instrText xml:space="preserve"> REF _Ref492147207 \h </w:instrText>
      </w:r>
      <w:r w:rsidR="004E6455" w:rsidRPr="00117BF8">
        <w:rPr>
          <w:rFonts w:ascii="Arial" w:hAnsi="Arial" w:cs="Arial"/>
          <w:sz w:val="22"/>
          <w:szCs w:val="22"/>
        </w:rPr>
        <w:instrText xml:space="preserve"> \* MERGEFORMAT </w:instrText>
      </w:r>
      <w:r w:rsidRPr="00117BF8">
        <w:rPr>
          <w:rFonts w:ascii="Arial" w:hAnsi="Arial" w:cs="Arial"/>
          <w:sz w:val="22"/>
          <w:szCs w:val="22"/>
        </w:rPr>
      </w:r>
      <w:r w:rsidRPr="00117BF8">
        <w:rPr>
          <w:rFonts w:ascii="Arial" w:hAnsi="Arial" w:cs="Arial"/>
          <w:sz w:val="22"/>
          <w:szCs w:val="22"/>
        </w:rPr>
        <w:fldChar w:fldCharType="separate"/>
      </w:r>
      <w:r w:rsidR="00FE6AAF" w:rsidRPr="00117BF8">
        <w:rPr>
          <w:rFonts w:ascii="Arial" w:hAnsi="Arial" w:cs="Arial"/>
          <w:sz w:val="22"/>
          <w:szCs w:val="22"/>
        </w:rPr>
        <w:t>Contexto</w:t>
      </w:r>
      <w:r w:rsidRPr="00117BF8">
        <w:rPr>
          <w:rFonts w:ascii="Arial" w:hAnsi="Arial" w:cs="Arial"/>
          <w:sz w:val="22"/>
          <w:szCs w:val="22"/>
        </w:rPr>
        <w:fldChar w:fldCharType="end"/>
      </w:r>
      <w:r w:rsidRPr="00117BF8">
        <w:rPr>
          <w:rFonts w:ascii="Arial" w:hAnsi="Arial" w:cs="Arial"/>
          <w:sz w:val="22"/>
          <w:szCs w:val="22"/>
        </w:rPr>
        <w:t>”)</w:t>
      </w:r>
      <w:r w:rsidR="00C31A26" w:rsidRPr="00117BF8">
        <w:rPr>
          <w:rFonts w:ascii="Arial" w:hAnsi="Arial" w:cs="Arial"/>
          <w:sz w:val="22"/>
          <w:szCs w:val="22"/>
        </w:rPr>
        <w:t>. S</w:t>
      </w:r>
      <w:r w:rsidRPr="00117BF8">
        <w:rPr>
          <w:rFonts w:ascii="Arial" w:hAnsi="Arial" w:cs="Arial"/>
          <w:sz w:val="22"/>
          <w:szCs w:val="22"/>
        </w:rPr>
        <w:t>in embargo</w:t>
      </w:r>
      <w:r w:rsidR="00C31A26" w:rsidRPr="00117BF8">
        <w:rPr>
          <w:rFonts w:ascii="Arial" w:hAnsi="Arial" w:cs="Arial"/>
          <w:sz w:val="22"/>
          <w:szCs w:val="22"/>
        </w:rPr>
        <w:t>,</w:t>
      </w:r>
      <w:r w:rsidRPr="00117BF8">
        <w:rPr>
          <w:rFonts w:ascii="Arial" w:hAnsi="Arial" w:cs="Arial"/>
          <w:sz w:val="22"/>
          <w:szCs w:val="22"/>
        </w:rPr>
        <w:t xml:space="preserve"> las modificaciones en la Coparticipación Federal son complejas y, por lo tanto, es difícil predecir </w:t>
      </w:r>
      <w:r w:rsidR="00284AE4" w:rsidRPr="00117BF8">
        <w:rPr>
          <w:rFonts w:ascii="Arial" w:hAnsi="Arial" w:cs="Arial"/>
          <w:sz w:val="22"/>
          <w:szCs w:val="22"/>
        </w:rPr>
        <w:t>las posibilidades de éxito de estos recalamos.</w:t>
      </w:r>
    </w:p>
    <w:p w14:paraId="2CBAC563" w14:textId="77777777" w:rsidR="00023C0E" w:rsidRPr="00117BF8" w:rsidRDefault="00EE1F5A" w:rsidP="00117BF8">
      <w:pPr>
        <w:pStyle w:val="Heading2"/>
        <w:spacing w:before="0" w:after="180"/>
        <w:rPr>
          <w:rFonts w:ascii="Arial" w:hAnsi="Arial" w:cs="Arial"/>
          <w:sz w:val="22"/>
          <w:szCs w:val="22"/>
        </w:rPr>
      </w:pPr>
      <w:bookmarkStart w:id="111" w:name="_Toc494040337"/>
      <w:r w:rsidRPr="00117BF8">
        <w:rPr>
          <w:rFonts w:ascii="Arial" w:hAnsi="Arial" w:cs="Arial"/>
          <w:sz w:val="22"/>
          <w:szCs w:val="22"/>
        </w:rPr>
        <w:t>Proyecciones Presentadas por la Provincia</w:t>
      </w:r>
      <w:bookmarkEnd w:id="111"/>
    </w:p>
    <w:p w14:paraId="14332A7A" w14:textId="05E4A14F" w:rsidR="008A73D1" w:rsidRPr="00117BF8" w:rsidRDefault="008A73D1" w:rsidP="008A73D1">
      <w:pPr>
        <w:pStyle w:val="hsa"/>
        <w:rPr>
          <w:rFonts w:ascii="Arial" w:hAnsi="Arial" w:cs="Arial"/>
          <w:sz w:val="22"/>
          <w:szCs w:val="22"/>
        </w:rPr>
      </w:pPr>
      <w:r w:rsidRPr="00117BF8">
        <w:rPr>
          <w:rFonts w:ascii="Arial" w:hAnsi="Arial" w:cs="Arial"/>
          <w:sz w:val="22"/>
          <w:szCs w:val="22"/>
        </w:rPr>
        <w:t>La Provincia informó</w:t>
      </w:r>
      <w:r w:rsidR="00C829EF" w:rsidRPr="00117BF8">
        <w:rPr>
          <w:rFonts w:ascii="Arial" w:hAnsi="Arial" w:cs="Arial"/>
          <w:sz w:val="22"/>
          <w:szCs w:val="22"/>
        </w:rPr>
        <w:t xml:space="preserve"> sus proyecciones presupuestaria</w:t>
      </w:r>
      <w:r w:rsidRPr="00117BF8">
        <w:rPr>
          <w:rFonts w:ascii="Arial" w:hAnsi="Arial" w:cs="Arial"/>
          <w:sz w:val="22"/>
          <w:szCs w:val="22"/>
        </w:rPr>
        <w:t xml:space="preserve">s para el período 2017/28 (Tabla </w:t>
      </w:r>
      <w:r w:rsidR="00883677" w:rsidRPr="00117BF8">
        <w:rPr>
          <w:rFonts w:ascii="Arial" w:hAnsi="Arial" w:cs="Arial"/>
          <w:sz w:val="22"/>
          <w:szCs w:val="22"/>
        </w:rPr>
        <w:t>40</w:t>
      </w:r>
      <w:r w:rsidRPr="00117BF8">
        <w:rPr>
          <w:rFonts w:ascii="Arial" w:hAnsi="Arial" w:cs="Arial"/>
          <w:sz w:val="22"/>
          <w:szCs w:val="22"/>
        </w:rPr>
        <w:t>), los valores proyectados de deuda</w:t>
      </w:r>
      <w:r w:rsidR="000D106C" w:rsidRPr="00117BF8">
        <w:rPr>
          <w:rFonts w:ascii="Arial" w:hAnsi="Arial" w:cs="Arial"/>
          <w:sz w:val="22"/>
          <w:szCs w:val="22"/>
        </w:rPr>
        <w:t>,</w:t>
      </w:r>
      <w:r w:rsidRPr="00117BF8">
        <w:rPr>
          <w:rFonts w:ascii="Arial" w:hAnsi="Arial" w:cs="Arial"/>
          <w:sz w:val="22"/>
          <w:szCs w:val="22"/>
        </w:rPr>
        <w:t xml:space="preserve"> los </w:t>
      </w:r>
      <w:r w:rsidR="00E34A51" w:rsidRPr="00117BF8">
        <w:rPr>
          <w:rFonts w:ascii="Arial" w:hAnsi="Arial" w:cs="Arial"/>
          <w:sz w:val="22"/>
          <w:szCs w:val="22"/>
        </w:rPr>
        <w:t>indicadores</w:t>
      </w:r>
      <w:r w:rsidR="000D106C" w:rsidRPr="00117BF8">
        <w:rPr>
          <w:rFonts w:ascii="Arial" w:hAnsi="Arial" w:cs="Arial"/>
          <w:sz w:val="22"/>
          <w:szCs w:val="22"/>
        </w:rPr>
        <w:t xml:space="preserve"> y</w:t>
      </w:r>
      <w:r w:rsidR="00E34A51" w:rsidRPr="00117BF8">
        <w:rPr>
          <w:rFonts w:ascii="Arial" w:hAnsi="Arial" w:cs="Arial"/>
          <w:sz w:val="22"/>
          <w:szCs w:val="22"/>
        </w:rPr>
        <w:t xml:space="preserve"> </w:t>
      </w:r>
      <w:r w:rsidRPr="00117BF8">
        <w:rPr>
          <w:rFonts w:ascii="Arial" w:hAnsi="Arial" w:cs="Arial"/>
          <w:sz w:val="22"/>
          <w:szCs w:val="22"/>
        </w:rPr>
        <w:t xml:space="preserve">supuestos se incluyen en la tabla </w:t>
      </w:r>
      <w:r w:rsidR="00883677" w:rsidRPr="00117BF8">
        <w:rPr>
          <w:rFonts w:ascii="Arial" w:hAnsi="Arial" w:cs="Arial"/>
          <w:sz w:val="22"/>
          <w:szCs w:val="22"/>
        </w:rPr>
        <w:t>41</w:t>
      </w:r>
      <w:r w:rsidRPr="00117BF8">
        <w:rPr>
          <w:rFonts w:ascii="Arial" w:hAnsi="Arial" w:cs="Arial"/>
          <w:sz w:val="22"/>
          <w:szCs w:val="22"/>
        </w:rPr>
        <w:t xml:space="preserve">. En base a estos datos elaboré la tabla </w:t>
      </w:r>
      <w:r w:rsidR="00883677" w:rsidRPr="00117BF8">
        <w:rPr>
          <w:rFonts w:ascii="Arial" w:hAnsi="Arial" w:cs="Arial"/>
          <w:sz w:val="22"/>
          <w:szCs w:val="22"/>
        </w:rPr>
        <w:t xml:space="preserve">42 </w:t>
      </w:r>
      <w:r w:rsidRPr="00117BF8">
        <w:rPr>
          <w:rFonts w:ascii="Arial" w:hAnsi="Arial" w:cs="Arial"/>
          <w:sz w:val="22"/>
          <w:szCs w:val="22"/>
        </w:rPr>
        <w:t xml:space="preserve">que presenta las proyecciones presupuestarias a precios constantes. En el Anexo </w:t>
      </w:r>
      <w:r w:rsidR="00351A48" w:rsidRPr="00117BF8">
        <w:rPr>
          <w:rFonts w:ascii="Arial" w:hAnsi="Arial" w:cs="Arial"/>
          <w:sz w:val="22"/>
          <w:szCs w:val="22"/>
        </w:rPr>
        <w:t>V</w:t>
      </w:r>
      <w:r w:rsidRPr="00117BF8">
        <w:rPr>
          <w:rFonts w:ascii="Arial" w:hAnsi="Arial" w:cs="Arial"/>
          <w:sz w:val="22"/>
          <w:szCs w:val="22"/>
        </w:rPr>
        <w:t xml:space="preserve"> se presentan mayores detalles de los supuestos </w:t>
      </w:r>
      <w:r w:rsidR="00DE6A7C" w:rsidRPr="00117BF8">
        <w:rPr>
          <w:rFonts w:ascii="Arial" w:hAnsi="Arial" w:cs="Arial"/>
          <w:sz w:val="22"/>
          <w:szCs w:val="22"/>
        </w:rPr>
        <w:t>incluidos en estas proyecciones.</w:t>
      </w:r>
    </w:p>
    <w:p w14:paraId="09F1570D" w14:textId="77777777" w:rsidR="00BC0FCD" w:rsidRPr="00117BF8" w:rsidRDefault="00BC0FCD" w:rsidP="00BC0FCD">
      <w:pPr>
        <w:pStyle w:val="hsa"/>
        <w:rPr>
          <w:rFonts w:ascii="Arial" w:hAnsi="Arial" w:cs="Arial"/>
          <w:sz w:val="22"/>
          <w:szCs w:val="22"/>
        </w:rPr>
      </w:pPr>
    </w:p>
    <w:p w14:paraId="51FD4963" w14:textId="77777777" w:rsidR="00EE1F5A" w:rsidRPr="00117BF8" w:rsidRDefault="00EE1F5A" w:rsidP="00BC0FCD">
      <w:pPr>
        <w:pStyle w:val="hsa"/>
        <w:rPr>
          <w:rFonts w:ascii="Arial" w:hAnsi="Arial" w:cs="Arial"/>
        </w:rPr>
        <w:sectPr w:rsidR="00EE1F5A" w:rsidRPr="00117BF8" w:rsidSect="009F594F">
          <w:headerReference w:type="default" r:id="rId46"/>
          <w:footerReference w:type="default" r:id="rId47"/>
          <w:pgSz w:w="11907" w:h="16840"/>
          <w:pgMar w:top="1418" w:right="1701" w:bottom="1418" w:left="1701" w:header="851" w:footer="851" w:gutter="0"/>
          <w:cols w:space="720"/>
          <w:docGrid w:linePitch="326"/>
        </w:sectPr>
      </w:pPr>
    </w:p>
    <w:p w14:paraId="7CF531F4" w14:textId="77777777" w:rsidR="00BC0FCD" w:rsidRPr="00117BF8" w:rsidRDefault="00BC0FCD" w:rsidP="00BC0FCD">
      <w:pPr>
        <w:pStyle w:val="hsa"/>
        <w:rPr>
          <w:rFonts w:ascii="Arial" w:hAnsi="Arial" w:cs="Arial"/>
        </w:rPr>
      </w:pPr>
    </w:p>
    <w:p w14:paraId="658A596C" w14:textId="77777777" w:rsidR="00EE1F5A" w:rsidRPr="004E6455" w:rsidRDefault="00EE1F5A" w:rsidP="00EE1F5A">
      <w:pPr>
        <w:tabs>
          <w:tab w:val="left" w:pos="6206"/>
          <w:tab w:val="left" w:pos="8102"/>
          <w:tab w:val="left" w:pos="9438"/>
          <w:tab w:val="left" w:pos="10774"/>
          <w:tab w:val="left" w:pos="12110"/>
          <w:tab w:val="left" w:pos="13446"/>
          <w:tab w:val="left" w:pos="14782"/>
          <w:tab w:val="left" w:pos="16118"/>
          <w:tab w:val="left" w:pos="17454"/>
          <w:tab w:val="left" w:pos="18790"/>
          <w:tab w:val="left" w:pos="20126"/>
          <w:tab w:val="left" w:pos="21462"/>
          <w:tab w:val="left" w:pos="22798"/>
        </w:tabs>
        <w:spacing w:after="0"/>
        <w:ind w:left="70"/>
        <w:jc w:val="left"/>
        <w:rPr>
          <w:rFonts w:ascii="Arial" w:hAnsi="Arial" w:cs="Arial"/>
          <w:i/>
          <w:iCs/>
          <w:sz w:val="22"/>
          <w:szCs w:val="22"/>
          <w:lang w:val="es-AR" w:eastAsia="es-AR"/>
        </w:rPr>
      </w:pPr>
    </w:p>
    <w:tbl>
      <w:tblPr>
        <w:tblW w:w="15518" w:type="dxa"/>
        <w:tblInd w:w="-650" w:type="dxa"/>
        <w:tblCellMar>
          <w:left w:w="70" w:type="dxa"/>
          <w:right w:w="70" w:type="dxa"/>
        </w:tblCellMar>
        <w:tblLook w:val="04A0" w:firstRow="1" w:lastRow="0" w:firstColumn="1" w:lastColumn="0" w:noHBand="0" w:noVBand="1"/>
      </w:tblPr>
      <w:tblGrid>
        <w:gridCol w:w="2835"/>
        <w:gridCol w:w="941"/>
        <w:gridCol w:w="941"/>
        <w:gridCol w:w="941"/>
        <w:gridCol w:w="941"/>
        <w:gridCol w:w="941"/>
        <w:gridCol w:w="941"/>
        <w:gridCol w:w="941"/>
        <w:gridCol w:w="941"/>
        <w:gridCol w:w="941"/>
        <w:gridCol w:w="941"/>
        <w:gridCol w:w="1091"/>
        <w:gridCol w:w="1091"/>
        <w:gridCol w:w="1091"/>
      </w:tblGrid>
      <w:tr w:rsidR="006466C4" w:rsidRPr="004E6455" w14:paraId="21A354DC" w14:textId="77777777" w:rsidTr="00117BF8">
        <w:trPr>
          <w:trHeight w:val="364"/>
        </w:trPr>
        <w:tc>
          <w:tcPr>
            <w:tcW w:w="15518" w:type="dxa"/>
            <w:gridSpan w:val="14"/>
            <w:tcBorders>
              <w:top w:val="single" w:sz="8" w:space="0" w:color="auto"/>
              <w:left w:val="single" w:sz="8" w:space="0" w:color="auto"/>
              <w:bottom w:val="single" w:sz="8" w:space="0" w:color="000000"/>
              <w:right w:val="single" w:sz="8" w:space="0" w:color="auto"/>
            </w:tcBorders>
            <w:shd w:val="clear" w:color="auto" w:fill="0070C0"/>
            <w:noWrap/>
          </w:tcPr>
          <w:p w14:paraId="079560C6" w14:textId="7F23E5D5" w:rsidR="006466C4" w:rsidRPr="00117BF8" w:rsidRDefault="006466C4" w:rsidP="006466C4">
            <w:pPr>
              <w:pStyle w:val="TablaT"/>
              <w:rPr>
                <w:rFonts w:ascii="Arial" w:hAnsi="Arial" w:cs="Arial"/>
                <w:sz w:val="22"/>
                <w:szCs w:val="22"/>
                <w:lang w:val="es-ES_tradnl"/>
              </w:rPr>
            </w:pPr>
            <w:bookmarkStart w:id="112" w:name="_Toc493861150"/>
            <w:r w:rsidRPr="00117BF8">
              <w:rPr>
                <w:rFonts w:ascii="Arial" w:hAnsi="Arial" w:cs="Arial"/>
                <w:sz w:val="22"/>
                <w:szCs w:val="22"/>
                <w:lang w:val="es-ES_tradnl"/>
              </w:rPr>
              <w:t xml:space="preserve">Tabla </w:t>
            </w:r>
            <w:r w:rsidR="00883677" w:rsidRPr="00117BF8">
              <w:rPr>
                <w:rFonts w:ascii="Arial" w:hAnsi="Arial" w:cs="Arial"/>
                <w:sz w:val="22"/>
                <w:szCs w:val="22"/>
                <w:lang w:val="es-ES_tradnl"/>
              </w:rPr>
              <w:t xml:space="preserve">40 </w:t>
            </w:r>
            <w:r w:rsidRPr="00117BF8">
              <w:rPr>
                <w:rFonts w:ascii="Arial" w:hAnsi="Arial" w:cs="Arial"/>
                <w:sz w:val="22"/>
                <w:szCs w:val="22"/>
                <w:lang w:val="es-ES_tradnl"/>
              </w:rPr>
              <w:t>- Provincia de Buenos Aires - Administración Pública no Financiera - Proyección 2017-2028</w:t>
            </w:r>
            <w:r w:rsidR="0074039F" w:rsidRPr="00117BF8">
              <w:rPr>
                <w:rFonts w:ascii="Arial" w:hAnsi="Arial" w:cs="Arial"/>
                <w:sz w:val="22"/>
                <w:szCs w:val="22"/>
                <w:lang w:val="es-ES_tradnl"/>
              </w:rPr>
              <w:t xml:space="preserve"> (2016 valores Estimados)</w:t>
            </w:r>
            <w:bookmarkEnd w:id="112"/>
          </w:p>
          <w:p w14:paraId="08AE4BEC" w14:textId="77777777" w:rsidR="006466C4" w:rsidRPr="00117BF8" w:rsidRDefault="006466C4" w:rsidP="006466C4">
            <w:pPr>
              <w:pStyle w:val="TablaC"/>
              <w:rPr>
                <w:rFonts w:ascii="Arial" w:hAnsi="Arial" w:cs="Arial"/>
                <w:color w:val="FFFFFF"/>
                <w:szCs w:val="22"/>
              </w:rPr>
            </w:pPr>
            <w:r w:rsidRPr="00117BF8">
              <w:rPr>
                <w:rFonts w:ascii="Arial" w:hAnsi="Arial" w:cs="Arial"/>
                <w:color w:val="FFFFFF"/>
                <w:szCs w:val="22"/>
              </w:rPr>
              <w:t>En millones de pesos</w:t>
            </w:r>
          </w:p>
        </w:tc>
      </w:tr>
      <w:tr w:rsidR="00184D69" w:rsidRPr="004E6455" w14:paraId="7D2A8508" w14:textId="77777777" w:rsidTr="00117BF8">
        <w:trPr>
          <w:trHeight w:val="373"/>
        </w:trPr>
        <w:tc>
          <w:tcPr>
            <w:tcW w:w="2835"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1FB3146"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CONCEPTO</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C9E0A7E"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2016</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605693B"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2017</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8A2ADD0"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2018</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3F2D2F0"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2019</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5931AE1"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2020</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77AED78"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2021</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1F51C97"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2022</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3569A67"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2023</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C6E618B"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2024</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1A102B7"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2025</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8F1EB90"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2026</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3E6DF49"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2027</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B10C38A" w14:textId="77777777" w:rsidR="00EE1F5A" w:rsidRPr="00117BF8" w:rsidRDefault="00EE1F5A" w:rsidP="00EE1F5A">
            <w:pPr>
              <w:pStyle w:val="TablaE"/>
              <w:rPr>
                <w:rFonts w:ascii="Arial" w:hAnsi="Arial" w:cs="Arial"/>
                <w:sz w:val="22"/>
                <w:szCs w:val="22"/>
              </w:rPr>
            </w:pPr>
            <w:r w:rsidRPr="00117BF8">
              <w:rPr>
                <w:rFonts w:ascii="Arial" w:hAnsi="Arial" w:cs="Arial"/>
                <w:sz w:val="22"/>
                <w:szCs w:val="22"/>
              </w:rPr>
              <w:t>2028</w:t>
            </w:r>
          </w:p>
        </w:tc>
      </w:tr>
      <w:tr w:rsidR="00EE1F5A" w:rsidRPr="004E6455" w14:paraId="7BD40E20" w14:textId="77777777" w:rsidTr="00117BF8">
        <w:trPr>
          <w:trHeight w:val="255"/>
        </w:trPr>
        <w:tc>
          <w:tcPr>
            <w:tcW w:w="2835" w:type="dxa"/>
            <w:vMerge/>
            <w:tcBorders>
              <w:top w:val="single" w:sz="8" w:space="0" w:color="auto"/>
              <w:left w:val="single" w:sz="8" w:space="0" w:color="auto"/>
              <w:bottom w:val="single" w:sz="8" w:space="0" w:color="000000"/>
              <w:right w:val="single" w:sz="8" w:space="0" w:color="auto"/>
            </w:tcBorders>
            <w:shd w:val="clear" w:color="auto" w:fill="0070C0"/>
            <w:hideMark/>
          </w:tcPr>
          <w:p w14:paraId="633E8681"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70BAF3C7"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4F270F3B"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288020AE"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5672694F"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7E3EDB14"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4C67973C"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3D21B423"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5108664D"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4A496BAB" w14:textId="77777777" w:rsidR="00EE1F5A" w:rsidRPr="004E6455" w:rsidRDefault="00EE1F5A" w:rsidP="00EE1F5A">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7DB454D6" w14:textId="77777777" w:rsidR="00EE1F5A" w:rsidRPr="004E6455" w:rsidRDefault="00EE1F5A" w:rsidP="00EE1F5A">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0A278E28" w14:textId="77777777" w:rsidR="00EE1F5A" w:rsidRPr="004E6455" w:rsidRDefault="00EE1F5A" w:rsidP="00EE1F5A">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2A85441D" w14:textId="77777777" w:rsidR="00EE1F5A" w:rsidRPr="004E6455" w:rsidRDefault="00EE1F5A" w:rsidP="00EE1F5A">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5592CD1F" w14:textId="77777777" w:rsidR="00EE1F5A" w:rsidRPr="004E6455" w:rsidRDefault="00EE1F5A" w:rsidP="00EE1F5A">
            <w:pPr>
              <w:spacing w:after="0"/>
              <w:jc w:val="left"/>
              <w:rPr>
                <w:rFonts w:ascii="Arial" w:hAnsi="Arial" w:cs="Arial"/>
                <w:b/>
                <w:bCs/>
                <w:i/>
                <w:iCs/>
                <w:sz w:val="22"/>
                <w:szCs w:val="22"/>
                <w:lang w:val="es-AR" w:eastAsia="es-AR"/>
              </w:rPr>
            </w:pPr>
          </w:p>
        </w:tc>
      </w:tr>
      <w:tr w:rsidR="00EE26E5" w:rsidRPr="004E6455" w14:paraId="3A26BB3B" w14:textId="77777777" w:rsidTr="00117BF8">
        <w:tc>
          <w:tcPr>
            <w:tcW w:w="2835" w:type="dxa"/>
            <w:tcBorders>
              <w:top w:val="nil"/>
              <w:left w:val="single" w:sz="8" w:space="0" w:color="auto"/>
              <w:bottom w:val="single" w:sz="8" w:space="0" w:color="auto"/>
              <w:right w:val="nil"/>
            </w:tcBorders>
            <w:shd w:val="clear" w:color="000000" w:fill="FFFFFF"/>
            <w:noWrap/>
            <w:hideMark/>
          </w:tcPr>
          <w:p w14:paraId="112EE919" w14:textId="77777777" w:rsidR="00EE26E5" w:rsidRPr="00117BF8" w:rsidRDefault="00EE26E5" w:rsidP="00184D69">
            <w:pPr>
              <w:pStyle w:val="TablaC"/>
              <w:jc w:val="left"/>
              <w:rPr>
                <w:rFonts w:ascii="Arial" w:hAnsi="Arial" w:cs="Arial"/>
                <w:b/>
                <w:sz w:val="18"/>
                <w:szCs w:val="18"/>
              </w:rPr>
            </w:pPr>
            <w:r w:rsidRPr="00117BF8">
              <w:rPr>
                <w:rFonts w:ascii="Arial" w:hAnsi="Arial" w:cs="Arial"/>
                <w:b/>
                <w:sz w:val="18"/>
                <w:szCs w:val="18"/>
              </w:rPr>
              <w:t>I. INGRESOS CORRIENTES</w:t>
            </w:r>
          </w:p>
        </w:tc>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4FB12724"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376.510,3</w:t>
            </w:r>
          </w:p>
        </w:tc>
        <w:tc>
          <w:tcPr>
            <w:tcW w:w="941" w:type="dxa"/>
            <w:tcBorders>
              <w:top w:val="nil"/>
              <w:left w:val="nil"/>
              <w:bottom w:val="single" w:sz="8" w:space="0" w:color="auto"/>
              <w:right w:val="single" w:sz="8" w:space="0" w:color="auto"/>
            </w:tcBorders>
            <w:shd w:val="clear" w:color="000000" w:fill="FFFFFF"/>
            <w:noWrap/>
            <w:vAlign w:val="center"/>
            <w:hideMark/>
          </w:tcPr>
          <w:p w14:paraId="5A377FB8"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478.671,1</w:t>
            </w:r>
          </w:p>
        </w:tc>
        <w:tc>
          <w:tcPr>
            <w:tcW w:w="941" w:type="dxa"/>
            <w:tcBorders>
              <w:top w:val="nil"/>
              <w:left w:val="nil"/>
              <w:bottom w:val="single" w:sz="8" w:space="0" w:color="auto"/>
              <w:right w:val="single" w:sz="8" w:space="0" w:color="auto"/>
            </w:tcBorders>
            <w:shd w:val="clear" w:color="000000" w:fill="FFFFFF"/>
            <w:noWrap/>
            <w:vAlign w:val="center"/>
            <w:hideMark/>
          </w:tcPr>
          <w:p w14:paraId="1E2BA86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560.360,1</w:t>
            </w:r>
          </w:p>
        </w:tc>
        <w:tc>
          <w:tcPr>
            <w:tcW w:w="941" w:type="dxa"/>
            <w:tcBorders>
              <w:top w:val="nil"/>
              <w:left w:val="nil"/>
              <w:bottom w:val="single" w:sz="8" w:space="0" w:color="auto"/>
              <w:right w:val="single" w:sz="8" w:space="0" w:color="auto"/>
            </w:tcBorders>
            <w:shd w:val="clear" w:color="000000" w:fill="FFFFFF"/>
            <w:noWrap/>
            <w:vAlign w:val="center"/>
            <w:hideMark/>
          </w:tcPr>
          <w:p w14:paraId="0BE8939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637.542,4</w:t>
            </w:r>
          </w:p>
        </w:tc>
        <w:tc>
          <w:tcPr>
            <w:tcW w:w="941" w:type="dxa"/>
            <w:tcBorders>
              <w:top w:val="nil"/>
              <w:left w:val="nil"/>
              <w:bottom w:val="single" w:sz="8" w:space="0" w:color="auto"/>
              <w:right w:val="single" w:sz="8" w:space="0" w:color="auto"/>
            </w:tcBorders>
            <w:shd w:val="clear" w:color="000000" w:fill="FFFFFF"/>
            <w:noWrap/>
            <w:vAlign w:val="center"/>
            <w:hideMark/>
          </w:tcPr>
          <w:p w14:paraId="7472103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691.095,3</w:t>
            </w:r>
          </w:p>
        </w:tc>
        <w:tc>
          <w:tcPr>
            <w:tcW w:w="941" w:type="dxa"/>
            <w:tcBorders>
              <w:top w:val="nil"/>
              <w:left w:val="nil"/>
              <w:bottom w:val="single" w:sz="8" w:space="0" w:color="auto"/>
              <w:right w:val="single" w:sz="8" w:space="0" w:color="auto"/>
            </w:tcBorders>
            <w:shd w:val="clear" w:color="000000" w:fill="FFFFFF"/>
            <w:noWrap/>
            <w:vAlign w:val="center"/>
            <w:hideMark/>
          </w:tcPr>
          <w:p w14:paraId="56E424E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739.492,6</w:t>
            </w:r>
          </w:p>
        </w:tc>
        <w:tc>
          <w:tcPr>
            <w:tcW w:w="941" w:type="dxa"/>
            <w:tcBorders>
              <w:top w:val="nil"/>
              <w:left w:val="nil"/>
              <w:bottom w:val="single" w:sz="8" w:space="0" w:color="auto"/>
              <w:right w:val="single" w:sz="8" w:space="0" w:color="auto"/>
            </w:tcBorders>
            <w:shd w:val="clear" w:color="000000" w:fill="FFFFFF"/>
            <w:noWrap/>
            <w:vAlign w:val="center"/>
            <w:hideMark/>
          </w:tcPr>
          <w:p w14:paraId="0969A57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792.214,8</w:t>
            </w:r>
          </w:p>
        </w:tc>
        <w:tc>
          <w:tcPr>
            <w:tcW w:w="941" w:type="dxa"/>
            <w:tcBorders>
              <w:top w:val="nil"/>
              <w:left w:val="nil"/>
              <w:bottom w:val="single" w:sz="8" w:space="0" w:color="auto"/>
              <w:right w:val="single" w:sz="8" w:space="0" w:color="auto"/>
            </w:tcBorders>
            <w:shd w:val="clear" w:color="000000" w:fill="FFFFFF"/>
            <w:noWrap/>
            <w:vAlign w:val="center"/>
            <w:hideMark/>
          </w:tcPr>
          <w:p w14:paraId="34FE7CE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848.966,8</w:t>
            </w:r>
          </w:p>
        </w:tc>
        <w:tc>
          <w:tcPr>
            <w:tcW w:w="941" w:type="dxa"/>
            <w:tcBorders>
              <w:top w:val="nil"/>
              <w:left w:val="nil"/>
              <w:bottom w:val="single" w:sz="8" w:space="0" w:color="auto"/>
              <w:right w:val="single" w:sz="8" w:space="0" w:color="auto"/>
            </w:tcBorders>
            <w:shd w:val="clear" w:color="000000" w:fill="FFFFFF"/>
            <w:noWrap/>
            <w:vAlign w:val="center"/>
            <w:hideMark/>
          </w:tcPr>
          <w:p w14:paraId="2209C717"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910.064,1</w:t>
            </w:r>
          </w:p>
        </w:tc>
        <w:tc>
          <w:tcPr>
            <w:tcW w:w="941" w:type="dxa"/>
            <w:tcBorders>
              <w:top w:val="nil"/>
              <w:left w:val="nil"/>
              <w:bottom w:val="single" w:sz="8" w:space="0" w:color="auto"/>
              <w:right w:val="single" w:sz="8" w:space="0" w:color="auto"/>
            </w:tcBorders>
            <w:shd w:val="clear" w:color="000000" w:fill="FFFFFF"/>
            <w:noWrap/>
            <w:vAlign w:val="center"/>
            <w:hideMark/>
          </w:tcPr>
          <w:p w14:paraId="6C2780CA"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975.847,4</w:t>
            </w:r>
          </w:p>
        </w:tc>
        <w:tc>
          <w:tcPr>
            <w:tcW w:w="1091" w:type="dxa"/>
            <w:tcBorders>
              <w:top w:val="nil"/>
              <w:left w:val="nil"/>
              <w:bottom w:val="single" w:sz="8" w:space="0" w:color="auto"/>
              <w:right w:val="single" w:sz="8" w:space="0" w:color="auto"/>
            </w:tcBorders>
            <w:shd w:val="clear" w:color="000000" w:fill="FFFFFF"/>
            <w:noWrap/>
            <w:vAlign w:val="center"/>
            <w:hideMark/>
          </w:tcPr>
          <w:p w14:paraId="4284B18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1.046.684,2</w:t>
            </w:r>
          </w:p>
        </w:tc>
        <w:tc>
          <w:tcPr>
            <w:tcW w:w="1091" w:type="dxa"/>
            <w:tcBorders>
              <w:top w:val="nil"/>
              <w:left w:val="nil"/>
              <w:bottom w:val="single" w:sz="8" w:space="0" w:color="auto"/>
              <w:right w:val="single" w:sz="8" w:space="0" w:color="auto"/>
            </w:tcBorders>
            <w:shd w:val="clear" w:color="000000" w:fill="FFFFFF"/>
            <w:noWrap/>
            <w:vAlign w:val="center"/>
            <w:hideMark/>
          </w:tcPr>
          <w:p w14:paraId="779A7FE5"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1.122.971,4</w:t>
            </w:r>
          </w:p>
        </w:tc>
        <w:tc>
          <w:tcPr>
            <w:tcW w:w="1091" w:type="dxa"/>
            <w:tcBorders>
              <w:top w:val="nil"/>
              <w:left w:val="nil"/>
              <w:bottom w:val="single" w:sz="8" w:space="0" w:color="auto"/>
              <w:right w:val="single" w:sz="8" w:space="0" w:color="auto"/>
            </w:tcBorders>
            <w:shd w:val="clear" w:color="000000" w:fill="FFFFFF"/>
            <w:noWrap/>
            <w:vAlign w:val="center"/>
            <w:hideMark/>
          </w:tcPr>
          <w:p w14:paraId="7D2972D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1.205.137,1</w:t>
            </w:r>
          </w:p>
        </w:tc>
      </w:tr>
      <w:tr w:rsidR="00EE26E5" w:rsidRPr="004E6455" w14:paraId="208F1993" w14:textId="77777777" w:rsidTr="00117BF8">
        <w:tc>
          <w:tcPr>
            <w:tcW w:w="2835" w:type="dxa"/>
            <w:tcBorders>
              <w:top w:val="nil"/>
              <w:left w:val="single" w:sz="8" w:space="0" w:color="auto"/>
              <w:bottom w:val="nil"/>
              <w:right w:val="nil"/>
            </w:tcBorders>
            <w:shd w:val="clear" w:color="000000" w:fill="FFFFFF"/>
            <w:noWrap/>
            <w:hideMark/>
          </w:tcPr>
          <w:p w14:paraId="7AE99149" w14:textId="77777777" w:rsidR="00EE26E5" w:rsidRPr="00117BF8" w:rsidRDefault="00EE26E5" w:rsidP="00184D69">
            <w:pPr>
              <w:pStyle w:val="TablaC"/>
              <w:jc w:val="left"/>
              <w:rPr>
                <w:rFonts w:ascii="Arial" w:hAnsi="Arial" w:cs="Arial"/>
                <w:sz w:val="18"/>
                <w:szCs w:val="18"/>
              </w:rPr>
            </w:pPr>
            <w:r w:rsidRPr="00117BF8">
              <w:rPr>
                <w:rFonts w:ascii="Arial" w:hAnsi="Arial" w:cs="Arial"/>
                <w:sz w:val="18"/>
                <w:szCs w:val="18"/>
              </w:rPr>
              <w:t xml:space="preserve">  Tributarios</w:t>
            </w:r>
          </w:p>
        </w:tc>
        <w:tc>
          <w:tcPr>
            <w:tcW w:w="941" w:type="dxa"/>
            <w:tcBorders>
              <w:top w:val="nil"/>
              <w:left w:val="single" w:sz="8" w:space="0" w:color="auto"/>
              <w:bottom w:val="nil"/>
              <w:right w:val="single" w:sz="8" w:space="0" w:color="auto"/>
            </w:tcBorders>
            <w:shd w:val="clear" w:color="000000" w:fill="FFFFFF"/>
            <w:noWrap/>
            <w:vAlign w:val="center"/>
            <w:hideMark/>
          </w:tcPr>
          <w:p w14:paraId="6D7788F7"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257.566,4</w:t>
            </w:r>
          </w:p>
        </w:tc>
        <w:tc>
          <w:tcPr>
            <w:tcW w:w="941" w:type="dxa"/>
            <w:tcBorders>
              <w:top w:val="nil"/>
              <w:left w:val="nil"/>
              <w:bottom w:val="nil"/>
              <w:right w:val="single" w:sz="8" w:space="0" w:color="auto"/>
            </w:tcBorders>
            <w:shd w:val="clear" w:color="000000" w:fill="FFFFFF"/>
            <w:noWrap/>
            <w:vAlign w:val="center"/>
            <w:hideMark/>
          </w:tcPr>
          <w:p w14:paraId="1DCE57DB"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332.481,1</w:t>
            </w:r>
          </w:p>
        </w:tc>
        <w:tc>
          <w:tcPr>
            <w:tcW w:w="941" w:type="dxa"/>
            <w:tcBorders>
              <w:top w:val="nil"/>
              <w:left w:val="nil"/>
              <w:bottom w:val="nil"/>
              <w:right w:val="single" w:sz="8" w:space="0" w:color="auto"/>
            </w:tcBorders>
            <w:shd w:val="clear" w:color="000000" w:fill="FFFFFF"/>
            <w:noWrap/>
            <w:vAlign w:val="center"/>
            <w:hideMark/>
          </w:tcPr>
          <w:p w14:paraId="100D243C"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399.907,0</w:t>
            </w:r>
          </w:p>
        </w:tc>
        <w:tc>
          <w:tcPr>
            <w:tcW w:w="941" w:type="dxa"/>
            <w:tcBorders>
              <w:top w:val="nil"/>
              <w:left w:val="nil"/>
              <w:bottom w:val="nil"/>
              <w:right w:val="single" w:sz="8" w:space="0" w:color="auto"/>
            </w:tcBorders>
            <w:shd w:val="clear" w:color="000000" w:fill="FFFFFF"/>
            <w:noWrap/>
            <w:vAlign w:val="center"/>
            <w:hideMark/>
          </w:tcPr>
          <w:p w14:paraId="6333C3B3"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465.281,0</w:t>
            </w:r>
          </w:p>
        </w:tc>
        <w:tc>
          <w:tcPr>
            <w:tcW w:w="941" w:type="dxa"/>
            <w:tcBorders>
              <w:top w:val="nil"/>
              <w:left w:val="nil"/>
              <w:bottom w:val="nil"/>
              <w:right w:val="single" w:sz="8" w:space="0" w:color="auto"/>
            </w:tcBorders>
            <w:shd w:val="clear" w:color="000000" w:fill="FFFFFF"/>
            <w:noWrap/>
            <w:vAlign w:val="center"/>
            <w:hideMark/>
          </w:tcPr>
          <w:p w14:paraId="53E782D1"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509.581,9</w:t>
            </w:r>
          </w:p>
        </w:tc>
        <w:tc>
          <w:tcPr>
            <w:tcW w:w="941" w:type="dxa"/>
            <w:tcBorders>
              <w:top w:val="nil"/>
              <w:left w:val="nil"/>
              <w:bottom w:val="nil"/>
              <w:right w:val="single" w:sz="8" w:space="0" w:color="auto"/>
            </w:tcBorders>
            <w:shd w:val="clear" w:color="000000" w:fill="FFFFFF"/>
            <w:noWrap/>
            <w:vAlign w:val="center"/>
            <w:hideMark/>
          </w:tcPr>
          <w:p w14:paraId="73926F21"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549.855,3</w:t>
            </w:r>
          </w:p>
        </w:tc>
        <w:tc>
          <w:tcPr>
            <w:tcW w:w="941" w:type="dxa"/>
            <w:tcBorders>
              <w:top w:val="nil"/>
              <w:left w:val="nil"/>
              <w:bottom w:val="nil"/>
              <w:right w:val="single" w:sz="8" w:space="0" w:color="auto"/>
            </w:tcBorders>
            <w:shd w:val="clear" w:color="000000" w:fill="FFFFFF"/>
            <w:noWrap/>
            <w:vAlign w:val="center"/>
            <w:hideMark/>
          </w:tcPr>
          <w:p w14:paraId="53BE31B5"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593.375,1</w:t>
            </w:r>
          </w:p>
        </w:tc>
        <w:tc>
          <w:tcPr>
            <w:tcW w:w="941" w:type="dxa"/>
            <w:tcBorders>
              <w:top w:val="nil"/>
              <w:left w:val="nil"/>
              <w:bottom w:val="nil"/>
              <w:right w:val="single" w:sz="8" w:space="0" w:color="auto"/>
            </w:tcBorders>
            <w:shd w:val="clear" w:color="000000" w:fill="FFFFFF"/>
            <w:noWrap/>
            <w:vAlign w:val="center"/>
            <w:hideMark/>
          </w:tcPr>
          <w:p w14:paraId="4285DC2C"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640.404,7</w:t>
            </w:r>
          </w:p>
        </w:tc>
        <w:tc>
          <w:tcPr>
            <w:tcW w:w="941" w:type="dxa"/>
            <w:tcBorders>
              <w:top w:val="nil"/>
              <w:left w:val="nil"/>
              <w:bottom w:val="nil"/>
              <w:right w:val="single" w:sz="8" w:space="0" w:color="auto"/>
            </w:tcBorders>
            <w:shd w:val="clear" w:color="000000" w:fill="FFFFFF"/>
            <w:noWrap/>
            <w:vAlign w:val="center"/>
            <w:hideMark/>
          </w:tcPr>
          <w:p w14:paraId="245C61A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691.228,8</w:t>
            </w:r>
          </w:p>
        </w:tc>
        <w:tc>
          <w:tcPr>
            <w:tcW w:w="941" w:type="dxa"/>
            <w:tcBorders>
              <w:top w:val="nil"/>
              <w:left w:val="nil"/>
              <w:bottom w:val="nil"/>
              <w:right w:val="single" w:sz="8" w:space="0" w:color="auto"/>
            </w:tcBorders>
            <w:shd w:val="clear" w:color="000000" w:fill="FFFFFF"/>
            <w:noWrap/>
            <w:vAlign w:val="center"/>
            <w:hideMark/>
          </w:tcPr>
          <w:p w14:paraId="071AD2BB"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746.154,9</w:t>
            </w:r>
          </w:p>
        </w:tc>
        <w:tc>
          <w:tcPr>
            <w:tcW w:w="1091" w:type="dxa"/>
            <w:tcBorders>
              <w:top w:val="nil"/>
              <w:left w:val="nil"/>
              <w:bottom w:val="nil"/>
              <w:right w:val="single" w:sz="8" w:space="0" w:color="auto"/>
            </w:tcBorders>
            <w:shd w:val="clear" w:color="000000" w:fill="FFFFFF"/>
            <w:noWrap/>
            <w:vAlign w:val="center"/>
            <w:hideMark/>
          </w:tcPr>
          <w:p w14:paraId="2B1316F8"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805.515,7</w:t>
            </w:r>
          </w:p>
        </w:tc>
        <w:tc>
          <w:tcPr>
            <w:tcW w:w="1091" w:type="dxa"/>
            <w:tcBorders>
              <w:top w:val="nil"/>
              <w:left w:val="nil"/>
              <w:bottom w:val="nil"/>
              <w:right w:val="single" w:sz="8" w:space="0" w:color="auto"/>
            </w:tcBorders>
            <w:shd w:val="clear" w:color="000000" w:fill="FFFFFF"/>
            <w:noWrap/>
            <w:vAlign w:val="center"/>
            <w:hideMark/>
          </w:tcPr>
          <w:p w14:paraId="1664E311"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869.671,0</w:t>
            </w:r>
          </w:p>
        </w:tc>
        <w:tc>
          <w:tcPr>
            <w:tcW w:w="1091" w:type="dxa"/>
            <w:tcBorders>
              <w:top w:val="nil"/>
              <w:left w:val="nil"/>
              <w:bottom w:val="nil"/>
              <w:right w:val="single" w:sz="8" w:space="0" w:color="auto"/>
            </w:tcBorders>
            <w:shd w:val="clear" w:color="000000" w:fill="FFFFFF"/>
            <w:noWrap/>
            <w:vAlign w:val="center"/>
            <w:hideMark/>
          </w:tcPr>
          <w:p w14:paraId="3767B4C7"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939.009,6</w:t>
            </w:r>
          </w:p>
        </w:tc>
      </w:tr>
      <w:tr w:rsidR="00EE26E5" w:rsidRPr="004E6455" w14:paraId="2FA01AEB" w14:textId="77777777" w:rsidTr="00117BF8">
        <w:tc>
          <w:tcPr>
            <w:tcW w:w="2835" w:type="dxa"/>
            <w:tcBorders>
              <w:top w:val="nil"/>
              <w:left w:val="single" w:sz="8" w:space="0" w:color="auto"/>
              <w:bottom w:val="nil"/>
              <w:right w:val="nil"/>
            </w:tcBorders>
            <w:shd w:val="clear" w:color="000000" w:fill="FFFFFF"/>
            <w:noWrap/>
            <w:hideMark/>
          </w:tcPr>
          <w:p w14:paraId="2CD4E9BB" w14:textId="77777777" w:rsidR="00EE26E5" w:rsidRPr="00117BF8" w:rsidRDefault="00EE26E5" w:rsidP="006466C4">
            <w:pPr>
              <w:pStyle w:val="TablaC"/>
              <w:jc w:val="left"/>
              <w:rPr>
                <w:rFonts w:ascii="Arial" w:hAnsi="Arial" w:cs="Arial"/>
                <w:sz w:val="18"/>
                <w:szCs w:val="18"/>
                <w:lang w:val="es-ES_tradnl"/>
              </w:rPr>
            </w:pPr>
            <w:r w:rsidRPr="00117BF8">
              <w:rPr>
                <w:rFonts w:ascii="Arial" w:hAnsi="Arial" w:cs="Arial"/>
                <w:sz w:val="18"/>
                <w:szCs w:val="18"/>
                <w:lang w:val="es-ES_tradnl"/>
              </w:rPr>
              <w:t xml:space="preserve">  Contrib. a la Seguridad Social</w:t>
            </w:r>
          </w:p>
        </w:tc>
        <w:tc>
          <w:tcPr>
            <w:tcW w:w="941" w:type="dxa"/>
            <w:tcBorders>
              <w:top w:val="nil"/>
              <w:left w:val="single" w:sz="8" w:space="0" w:color="auto"/>
              <w:bottom w:val="nil"/>
              <w:right w:val="single" w:sz="8" w:space="0" w:color="auto"/>
            </w:tcBorders>
            <w:shd w:val="clear" w:color="000000" w:fill="FFFFFF"/>
            <w:noWrap/>
            <w:vAlign w:val="center"/>
            <w:hideMark/>
          </w:tcPr>
          <w:p w14:paraId="7F176FCA"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65.824,3</w:t>
            </w:r>
          </w:p>
        </w:tc>
        <w:tc>
          <w:tcPr>
            <w:tcW w:w="941" w:type="dxa"/>
            <w:tcBorders>
              <w:top w:val="nil"/>
              <w:left w:val="nil"/>
              <w:bottom w:val="nil"/>
              <w:right w:val="single" w:sz="8" w:space="0" w:color="auto"/>
            </w:tcBorders>
            <w:shd w:val="clear" w:color="000000" w:fill="FFFFFF"/>
            <w:noWrap/>
            <w:vAlign w:val="center"/>
            <w:hideMark/>
          </w:tcPr>
          <w:p w14:paraId="412895D0"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79.181,6</w:t>
            </w:r>
          </w:p>
        </w:tc>
        <w:tc>
          <w:tcPr>
            <w:tcW w:w="941" w:type="dxa"/>
            <w:tcBorders>
              <w:top w:val="nil"/>
              <w:left w:val="nil"/>
              <w:bottom w:val="nil"/>
              <w:right w:val="single" w:sz="8" w:space="0" w:color="auto"/>
            </w:tcBorders>
            <w:shd w:val="clear" w:color="000000" w:fill="FFFFFF"/>
            <w:noWrap/>
            <w:vAlign w:val="center"/>
            <w:hideMark/>
          </w:tcPr>
          <w:p w14:paraId="4D082919"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88.683,4</w:t>
            </w:r>
          </w:p>
        </w:tc>
        <w:tc>
          <w:tcPr>
            <w:tcW w:w="941" w:type="dxa"/>
            <w:tcBorders>
              <w:top w:val="nil"/>
              <w:left w:val="nil"/>
              <w:bottom w:val="nil"/>
              <w:right w:val="single" w:sz="8" w:space="0" w:color="auto"/>
            </w:tcBorders>
            <w:shd w:val="clear" w:color="000000" w:fill="FFFFFF"/>
            <w:noWrap/>
            <w:vAlign w:val="center"/>
            <w:hideMark/>
          </w:tcPr>
          <w:p w14:paraId="4D1D8A6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96.664,9</w:t>
            </w:r>
          </w:p>
        </w:tc>
        <w:tc>
          <w:tcPr>
            <w:tcW w:w="941" w:type="dxa"/>
            <w:tcBorders>
              <w:top w:val="nil"/>
              <w:left w:val="nil"/>
              <w:bottom w:val="nil"/>
              <w:right w:val="single" w:sz="8" w:space="0" w:color="auto"/>
            </w:tcBorders>
            <w:shd w:val="clear" w:color="000000" w:fill="FFFFFF"/>
            <w:noWrap/>
            <w:vAlign w:val="center"/>
            <w:hideMark/>
          </w:tcPr>
          <w:p w14:paraId="0154A2D0"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102.561,4</w:t>
            </w:r>
          </w:p>
        </w:tc>
        <w:tc>
          <w:tcPr>
            <w:tcW w:w="941" w:type="dxa"/>
            <w:tcBorders>
              <w:top w:val="nil"/>
              <w:left w:val="nil"/>
              <w:bottom w:val="nil"/>
              <w:right w:val="single" w:sz="8" w:space="0" w:color="auto"/>
            </w:tcBorders>
            <w:shd w:val="clear" w:color="000000" w:fill="FFFFFF"/>
            <w:noWrap/>
            <w:vAlign w:val="center"/>
            <w:hideMark/>
          </w:tcPr>
          <w:p w14:paraId="26F6BAEA"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108.427,1</w:t>
            </w:r>
          </w:p>
        </w:tc>
        <w:tc>
          <w:tcPr>
            <w:tcW w:w="941" w:type="dxa"/>
            <w:tcBorders>
              <w:top w:val="nil"/>
              <w:left w:val="nil"/>
              <w:bottom w:val="nil"/>
              <w:right w:val="single" w:sz="8" w:space="0" w:color="auto"/>
            </w:tcBorders>
            <w:shd w:val="clear" w:color="000000" w:fill="FFFFFF"/>
            <w:noWrap/>
            <w:vAlign w:val="center"/>
            <w:hideMark/>
          </w:tcPr>
          <w:p w14:paraId="626D6312"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115.289,2</w:t>
            </w:r>
          </w:p>
        </w:tc>
        <w:tc>
          <w:tcPr>
            <w:tcW w:w="941" w:type="dxa"/>
            <w:tcBorders>
              <w:top w:val="nil"/>
              <w:left w:val="nil"/>
              <w:bottom w:val="nil"/>
              <w:right w:val="single" w:sz="8" w:space="0" w:color="auto"/>
            </w:tcBorders>
            <w:shd w:val="clear" w:color="000000" w:fill="FFFFFF"/>
            <w:noWrap/>
            <w:vAlign w:val="center"/>
            <w:hideMark/>
          </w:tcPr>
          <w:p w14:paraId="197E9A7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122.585,5</w:t>
            </w:r>
          </w:p>
        </w:tc>
        <w:tc>
          <w:tcPr>
            <w:tcW w:w="941" w:type="dxa"/>
            <w:tcBorders>
              <w:top w:val="nil"/>
              <w:left w:val="nil"/>
              <w:bottom w:val="nil"/>
              <w:right w:val="single" w:sz="8" w:space="0" w:color="auto"/>
            </w:tcBorders>
            <w:shd w:val="clear" w:color="000000" w:fill="FFFFFF"/>
            <w:noWrap/>
            <w:vAlign w:val="center"/>
            <w:hideMark/>
          </w:tcPr>
          <w:p w14:paraId="28F9B9FA"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130.343,6</w:t>
            </w:r>
          </w:p>
        </w:tc>
        <w:tc>
          <w:tcPr>
            <w:tcW w:w="941" w:type="dxa"/>
            <w:tcBorders>
              <w:top w:val="nil"/>
              <w:left w:val="nil"/>
              <w:bottom w:val="nil"/>
              <w:right w:val="single" w:sz="8" w:space="0" w:color="auto"/>
            </w:tcBorders>
            <w:shd w:val="clear" w:color="000000" w:fill="FFFFFF"/>
            <w:noWrap/>
            <w:vAlign w:val="center"/>
            <w:hideMark/>
          </w:tcPr>
          <w:p w14:paraId="0F607C5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138.592,8</w:t>
            </w:r>
          </w:p>
        </w:tc>
        <w:tc>
          <w:tcPr>
            <w:tcW w:w="1091" w:type="dxa"/>
            <w:tcBorders>
              <w:top w:val="nil"/>
              <w:left w:val="nil"/>
              <w:bottom w:val="nil"/>
              <w:right w:val="single" w:sz="8" w:space="0" w:color="auto"/>
            </w:tcBorders>
            <w:shd w:val="clear" w:color="000000" w:fill="FFFFFF"/>
            <w:noWrap/>
            <w:vAlign w:val="center"/>
            <w:hideMark/>
          </w:tcPr>
          <w:p w14:paraId="0390061B"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147.364,0</w:t>
            </w:r>
          </w:p>
        </w:tc>
        <w:tc>
          <w:tcPr>
            <w:tcW w:w="1091" w:type="dxa"/>
            <w:tcBorders>
              <w:top w:val="nil"/>
              <w:left w:val="nil"/>
              <w:bottom w:val="nil"/>
              <w:right w:val="single" w:sz="8" w:space="0" w:color="auto"/>
            </w:tcBorders>
            <w:shd w:val="clear" w:color="000000" w:fill="FFFFFF"/>
            <w:noWrap/>
            <w:vAlign w:val="center"/>
            <w:hideMark/>
          </w:tcPr>
          <w:p w14:paraId="4746F91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156.690,3</w:t>
            </w:r>
          </w:p>
        </w:tc>
        <w:tc>
          <w:tcPr>
            <w:tcW w:w="1091" w:type="dxa"/>
            <w:tcBorders>
              <w:top w:val="nil"/>
              <w:left w:val="nil"/>
              <w:bottom w:val="nil"/>
              <w:right w:val="single" w:sz="8" w:space="0" w:color="auto"/>
            </w:tcBorders>
            <w:shd w:val="clear" w:color="000000" w:fill="FFFFFF"/>
            <w:noWrap/>
            <w:vAlign w:val="center"/>
            <w:hideMark/>
          </w:tcPr>
          <w:p w14:paraId="08D006C3"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166.606,8</w:t>
            </w:r>
          </w:p>
        </w:tc>
      </w:tr>
      <w:tr w:rsidR="00EE26E5" w:rsidRPr="004E6455" w14:paraId="76B014C8" w14:textId="77777777" w:rsidTr="00117BF8">
        <w:tc>
          <w:tcPr>
            <w:tcW w:w="2835" w:type="dxa"/>
            <w:tcBorders>
              <w:top w:val="nil"/>
              <w:left w:val="single" w:sz="8" w:space="0" w:color="auto"/>
              <w:bottom w:val="nil"/>
              <w:right w:val="nil"/>
            </w:tcBorders>
            <w:shd w:val="clear" w:color="000000" w:fill="FFFFFF"/>
            <w:noWrap/>
            <w:hideMark/>
          </w:tcPr>
          <w:p w14:paraId="2C356611" w14:textId="77777777" w:rsidR="00EE26E5" w:rsidRPr="00117BF8" w:rsidRDefault="00EE26E5" w:rsidP="00184D69">
            <w:pPr>
              <w:pStyle w:val="TablaC"/>
              <w:jc w:val="left"/>
              <w:rPr>
                <w:rFonts w:ascii="Arial" w:hAnsi="Arial" w:cs="Arial"/>
                <w:sz w:val="18"/>
                <w:szCs w:val="18"/>
              </w:rPr>
            </w:pPr>
            <w:r w:rsidRPr="00117BF8">
              <w:rPr>
                <w:rFonts w:ascii="Arial" w:hAnsi="Arial" w:cs="Arial"/>
                <w:sz w:val="18"/>
                <w:szCs w:val="18"/>
              </w:rPr>
              <w:t xml:space="preserve">  No Tributarios</w:t>
            </w:r>
          </w:p>
        </w:tc>
        <w:tc>
          <w:tcPr>
            <w:tcW w:w="941" w:type="dxa"/>
            <w:tcBorders>
              <w:top w:val="nil"/>
              <w:left w:val="single" w:sz="8" w:space="0" w:color="auto"/>
              <w:bottom w:val="nil"/>
              <w:right w:val="single" w:sz="8" w:space="0" w:color="auto"/>
            </w:tcBorders>
            <w:shd w:val="clear" w:color="000000" w:fill="FFFFFF"/>
            <w:noWrap/>
            <w:vAlign w:val="center"/>
            <w:hideMark/>
          </w:tcPr>
          <w:p w14:paraId="17995299"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53.119,5</w:t>
            </w:r>
          </w:p>
        </w:tc>
        <w:tc>
          <w:tcPr>
            <w:tcW w:w="941" w:type="dxa"/>
            <w:tcBorders>
              <w:top w:val="nil"/>
              <w:left w:val="nil"/>
              <w:bottom w:val="nil"/>
              <w:right w:val="single" w:sz="8" w:space="0" w:color="auto"/>
            </w:tcBorders>
            <w:shd w:val="clear" w:color="000000" w:fill="FFFFFF"/>
            <w:noWrap/>
            <w:vAlign w:val="center"/>
            <w:hideMark/>
          </w:tcPr>
          <w:p w14:paraId="700288CD"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67.008,4</w:t>
            </w:r>
          </w:p>
        </w:tc>
        <w:tc>
          <w:tcPr>
            <w:tcW w:w="941" w:type="dxa"/>
            <w:tcBorders>
              <w:top w:val="nil"/>
              <w:left w:val="nil"/>
              <w:bottom w:val="nil"/>
              <w:right w:val="single" w:sz="8" w:space="0" w:color="auto"/>
            </w:tcBorders>
            <w:shd w:val="clear" w:color="000000" w:fill="FFFFFF"/>
            <w:noWrap/>
            <w:vAlign w:val="center"/>
            <w:hideMark/>
          </w:tcPr>
          <w:p w14:paraId="2C471CC8"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71.769,7</w:t>
            </w:r>
          </w:p>
        </w:tc>
        <w:tc>
          <w:tcPr>
            <w:tcW w:w="941" w:type="dxa"/>
            <w:tcBorders>
              <w:top w:val="nil"/>
              <w:left w:val="nil"/>
              <w:bottom w:val="nil"/>
              <w:right w:val="single" w:sz="8" w:space="0" w:color="auto"/>
            </w:tcBorders>
            <w:shd w:val="clear" w:color="000000" w:fill="FFFFFF"/>
            <w:noWrap/>
            <w:vAlign w:val="center"/>
            <w:hideMark/>
          </w:tcPr>
          <w:p w14:paraId="3F27E552"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75.596,5</w:t>
            </w:r>
          </w:p>
        </w:tc>
        <w:tc>
          <w:tcPr>
            <w:tcW w:w="941" w:type="dxa"/>
            <w:tcBorders>
              <w:top w:val="nil"/>
              <w:left w:val="nil"/>
              <w:bottom w:val="nil"/>
              <w:right w:val="single" w:sz="8" w:space="0" w:color="auto"/>
            </w:tcBorders>
            <w:shd w:val="clear" w:color="000000" w:fill="FFFFFF"/>
            <w:noWrap/>
            <w:vAlign w:val="center"/>
            <w:hideMark/>
          </w:tcPr>
          <w:p w14:paraId="78954B42"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78.952,0</w:t>
            </w:r>
          </w:p>
        </w:tc>
        <w:tc>
          <w:tcPr>
            <w:tcW w:w="941" w:type="dxa"/>
            <w:tcBorders>
              <w:top w:val="nil"/>
              <w:left w:val="nil"/>
              <w:bottom w:val="nil"/>
              <w:right w:val="single" w:sz="8" w:space="0" w:color="auto"/>
            </w:tcBorders>
            <w:shd w:val="clear" w:color="000000" w:fill="FFFFFF"/>
            <w:noWrap/>
            <w:vAlign w:val="center"/>
            <w:hideMark/>
          </w:tcPr>
          <w:p w14:paraId="12752654"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81.210,2</w:t>
            </w:r>
          </w:p>
        </w:tc>
        <w:tc>
          <w:tcPr>
            <w:tcW w:w="941" w:type="dxa"/>
            <w:tcBorders>
              <w:top w:val="nil"/>
              <w:left w:val="nil"/>
              <w:bottom w:val="nil"/>
              <w:right w:val="single" w:sz="8" w:space="0" w:color="auto"/>
            </w:tcBorders>
            <w:shd w:val="clear" w:color="000000" w:fill="FFFFFF"/>
            <w:noWrap/>
            <w:vAlign w:val="center"/>
            <w:hideMark/>
          </w:tcPr>
          <w:p w14:paraId="334C2807"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83.550,6</w:t>
            </w:r>
          </w:p>
        </w:tc>
        <w:tc>
          <w:tcPr>
            <w:tcW w:w="941" w:type="dxa"/>
            <w:tcBorders>
              <w:top w:val="nil"/>
              <w:left w:val="nil"/>
              <w:bottom w:val="nil"/>
              <w:right w:val="single" w:sz="8" w:space="0" w:color="auto"/>
            </w:tcBorders>
            <w:shd w:val="clear" w:color="000000" w:fill="FFFFFF"/>
            <w:noWrap/>
            <w:vAlign w:val="center"/>
            <w:hideMark/>
          </w:tcPr>
          <w:p w14:paraId="0BA8614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85.976,6</w:t>
            </w:r>
          </w:p>
        </w:tc>
        <w:tc>
          <w:tcPr>
            <w:tcW w:w="941" w:type="dxa"/>
            <w:tcBorders>
              <w:top w:val="nil"/>
              <w:left w:val="nil"/>
              <w:bottom w:val="nil"/>
              <w:right w:val="single" w:sz="8" w:space="0" w:color="auto"/>
            </w:tcBorders>
            <w:shd w:val="clear" w:color="000000" w:fill="FFFFFF"/>
            <w:noWrap/>
            <w:vAlign w:val="center"/>
            <w:hideMark/>
          </w:tcPr>
          <w:p w14:paraId="55A86DE8"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88.491,7</w:t>
            </w:r>
          </w:p>
        </w:tc>
        <w:tc>
          <w:tcPr>
            <w:tcW w:w="941" w:type="dxa"/>
            <w:tcBorders>
              <w:top w:val="nil"/>
              <w:left w:val="nil"/>
              <w:bottom w:val="nil"/>
              <w:right w:val="single" w:sz="8" w:space="0" w:color="auto"/>
            </w:tcBorders>
            <w:shd w:val="clear" w:color="000000" w:fill="FFFFFF"/>
            <w:noWrap/>
            <w:vAlign w:val="center"/>
            <w:hideMark/>
          </w:tcPr>
          <w:p w14:paraId="398D2EF4"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91.099,8</w:t>
            </w:r>
          </w:p>
        </w:tc>
        <w:tc>
          <w:tcPr>
            <w:tcW w:w="1091" w:type="dxa"/>
            <w:tcBorders>
              <w:top w:val="nil"/>
              <w:left w:val="nil"/>
              <w:bottom w:val="nil"/>
              <w:right w:val="single" w:sz="8" w:space="0" w:color="auto"/>
            </w:tcBorders>
            <w:shd w:val="clear" w:color="000000" w:fill="FFFFFF"/>
            <w:noWrap/>
            <w:vAlign w:val="center"/>
            <w:hideMark/>
          </w:tcPr>
          <w:p w14:paraId="784F2007"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93.804,5</w:t>
            </w:r>
          </w:p>
        </w:tc>
        <w:tc>
          <w:tcPr>
            <w:tcW w:w="1091" w:type="dxa"/>
            <w:tcBorders>
              <w:top w:val="nil"/>
              <w:left w:val="nil"/>
              <w:bottom w:val="nil"/>
              <w:right w:val="single" w:sz="8" w:space="0" w:color="auto"/>
            </w:tcBorders>
            <w:shd w:val="clear" w:color="000000" w:fill="FFFFFF"/>
            <w:noWrap/>
            <w:vAlign w:val="center"/>
            <w:hideMark/>
          </w:tcPr>
          <w:p w14:paraId="0E8CA122"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96.610,1</w:t>
            </w:r>
          </w:p>
        </w:tc>
        <w:tc>
          <w:tcPr>
            <w:tcW w:w="1091" w:type="dxa"/>
            <w:tcBorders>
              <w:top w:val="nil"/>
              <w:left w:val="nil"/>
              <w:bottom w:val="nil"/>
              <w:right w:val="single" w:sz="8" w:space="0" w:color="auto"/>
            </w:tcBorders>
            <w:shd w:val="clear" w:color="000000" w:fill="FFFFFF"/>
            <w:noWrap/>
            <w:vAlign w:val="center"/>
            <w:hideMark/>
          </w:tcPr>
          <w:p w14:paraId="440E611B"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99.520,8</w:t>
            </w:r>
          </w:p>
        </w:tc>
      </w:tr>
      <w:tr w:rsidR="00EE26E5" w:rsidRPr="004E6455" w14:paraId="16456B1D" w14:textId="77777777" w:rsidTr="00117BF8">
        <w:tc>
          <w:tcPr>
            <w:tcW w:w="2835" w:type="dxa"/>
            <w:tcBorders>
              <w:top w:val="single" w:sz="8" w:space="0" w:color="auto"/>
              <w:left w:val="single" w:sz="8" w:space="0" w:color="auto"/>
              <w:bottom w:val="single" w:sz="8" w:space="0" w:color="auto"/>
              <w:right w:val="nil"/>
            </w:tcBorders>
            <w:shd w:val="clear" w:color="000000" w:fill="FFFFFF"/>
            <w:noWrap/>
            <w:hideMark/>
          </w:tcPr>
          <w:p w14:paraId="5C1A43E7" w14:textId="77777777" w:rsidR="00EE26E5" w:rsidRPr="00117BF8" w:rsidRDefault="00EE26E5" w:rsidP="00184D69">
            <w:pPr>
              <w:pStyle w:val="TablaC"/>
              <w:jc w:val="left"/>
              <w:rPr>
                <w:rFonts w:ascii="Arial" w:hAnsi="Arial" w:cs="Arial"/>
                <w:b/>
                <w:sz w:val="18"/>
                <w:szCs w:val="18"/>
              </w:rPr>
            </w:pPr>
            <w:r w:rsidRPr="00117BF8">
              <w:rPr>
                <w:rFonts w:ascii="Arial" w:hAnsi="Arial" w:cs="Arial"/>
                <w:b/>
                <w:sz w:val="18"/>
                <w:szCs w:val="18"/>
              </w:rPr>
              <w:t>II. GASTOS CORRIENTES</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6ABC98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387.441,6</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75E8334"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478.643,7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FDC28D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545.941,4</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7C17E73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602.673,7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C0D454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653.946,6</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64268B3A"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692.786,8</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5B82E4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736.160,6</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75D32297"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783.966,8</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FE2F6CA"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836.318,9</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012267A6"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890.528,8</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1FEEEAA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948.679,2</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2BABD31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1.010.634,3</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79CF06D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1.077.299,9</w:t>
            </w:r>
          </w:p>
        </w:tc>
      </w:tr>
      <w:tr w:rsidR="00EE26E5" w:rsidRPr="004E6455" w14:paraId="687C118D" w14:textId="77777777" w:rsidTr="00117BF8">
        <w:tc>
          <w:tcPr>
            <w:tcW w:w="2835" w:type="dxa"/>
            <w:tcBorders>
              <w:top w:val="nil"/>
              <w:left w:val="single" w:sz="8" w:space="0" w:color="auto"/>
              <w:bottom w:val="nil"/>
              <w:right w:val="nil"/>
            </w:tcBorders>
            <w:shd w:val="clear" w:color="000000" w:fill="FFFFFF"/>
            <w:noWrap/>
            <w:hideMark/>
          </w:tcPr>
          <w:p w14:paraId="002AF80D" w14:textId="77777777" w:rsidR="00EE26E5" w:rsidRPr="00117BF8" w:rsidRDefault="00EE26E5" w:rsidP="00184D69">
            <w:pPr>
              <w:pStyle w:val="TablaC"/>
              <w:jc w:val="left"/>
              <w:rPr>
                <w:rFonts w:ascii="Arial" w:hAnsi="Arial" w:cs="Arial"/>
                <w:sz w:val="18"/>
                <w:szCs w:val="18"/>
              </w:rPr>
            </w:pPr>
            <w:r w:rsidRPr="00117BF8">
              <w:rPr>
                <w:rFonts w:ascii="Arial" w:hAnsi="Arial" w:cs="Arial"/>
                <w:sz w:val="18"/>
                <w:szCs w:val="18"/>
              </w:rPr>
              <w:t xml:space="preserve">  Personal</w:t>
            </w:r>
          </w:p>
        </w:tc>
        <w:tc>
          <w:tcPr>
            <w:tcW w:w="941" w:type="dxa"/>
            <w:tcBorders>
              <w:top w:val="nil"/>
              <w:left w:val="single" w:sz="8" w:space="0" w:color="auto"/>
              <w:bottom w:val="nil"/>
              <w:right w:val="single" w:sz="8" w:space="0" w:color="auto"/>
            </w:tcBorders>
            <w:shd w:val="clear" w:color="000000" w:fill="FFFFFF"/>
            <w:noWrap/>
            <w:vAlign w:val="center"/>
            <w:hideMark/>
          </w:tcPr>
          <w:p w14:paraId="0B7ACD43"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195.638,1</w:t>
            </w:r>
          </w:p>
        </w:tc>
        <w:tc>
          <w:tcPr>
            <w:tcW w:w="941" w:type="dxa"/>
            <w:tcBorders>
              <w:top w:val="nil"/>
              <w:left w:val="nil"/>
              <w:bottom w:val="nil"/>
              <w:right w:val="single" w:sz="8" w:space="0" w:color="auto"/>
            </w:tcBorders>
            <w:shd w:val="clear" w:color="000000" w:fill="FFFFFF"/>
            <w:noWrap/>
            <w:vAlign w:val="center"/>
            <w:hideMark/>
          </w:tcPr>
          <w:p w14:paraId="0121423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243.752,8</w:t>
            </w:r>
          </w:p>
        </w:tc>
        <w:tc>
          <w:tcPr>
            <w:tcW w:w="941" w:type="dxa"/>
            <w:tcBorders>
              <w:top w:val="nil"/>
              <w:left w:val="nil"/>
              <w:bottom w:val="nil"/>
              <w:right w:val="single" w:sz="8" w:space="0" w:color="auto"/>
            </w:tcBorders>
            <w:shd w:val="clear" w:color="000000" w:fill="FFFFFF"/>
            <w:noWrap/>
            <w:vAlign w:val="center"/>
            <w:hideMark/>
          </w:tcPr>
          <w:p w14:paraId="73F5BC50"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273.003,2</w:t>
            </w:r>
          </w:p>
        </w:tc>
        <w:tc>
          <w:tcPr>
            <w:tcW w:w="941" w:type="dxa"/>
            <w:tcBorders>
              <w:top w:val="nil"/>
              <w:left w:val="nil"/>
              <w:bottom w:val="nil"/>
              <w:right w:val="single" w:sz="8" w:space="0" w:color="auto"/>
            </w:tcBorders>
            <w:shd w:val="clear" w:color="000000" w:fill="FFFFFF"/>
            <w:noWrap/>
            <w:vAlign w:val="center"/>
            <w:hideMark/>
          </w:tcPr>
          <w:p w14:paraId="35464E8A"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297.573,5</w:t>
            </w:r>
          </w:p>
        </w:tc>
        <w:tc>
          <w:tcPr>
            <w:tcW w:w="941" w:type="dxa"/>
            <w:tcBorders>
              <w:top w:val="nil"/>
              <w:left w:val="nil"/>
              <w:bottom w:val="nil"/>
              <w:right w:val="single" w:sz="8" w:space="0" w:color="auto"/>
            </w:tcBorders>
            <w:shd w:val="clear" w:color="000000" w:fill="FFFFFF"/>
            <w:noWrap/>
            <w:vAlign w:val="center"/>
            <w:hideMark/>
          </w:tcPr>
          <w:p w14:paraId="653FDDD2"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321.676,9</w:t>
            </w:r>
          </w:p>
        </w:tc>
        <w:tc>
          <w:tcPr>
            <w:tcW w:w="941" w:type="dxa"/>
            <w:tcBorders>
              <w:top w:val="nil"/>
              <w:left w:val="nil"/>
              <w:bottom w:val="nil"/>
              <w:right w:val="single" w:sz="8" w:space="0" w:color="auto"/>
            </w:tcBorders>
            <w:shd w:val="clear" w:color="000000" w:fill="FFFFFF"/>
            <w:noWrap/>
            <w:vAlign w:val="center"/>
            <w:hideMark/>
          </w:tcPr>
          <w:p w14:paraId="5E2DAB63"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340.074,1</w:t>
            </w:r>
          </w:p>
        </w:tc>
        <w:tc>
          <w:tcPr>
            <w:tcW w:w="941" w:type="dxa"/>
            <w:tcBorders>
              <w:top w:val="nil"/>
              <w:left w:val="nil"/>
              <w:bottom w:val="nil"/>
              <w:right w:val="single" w:sz="8" w:space="0" w:color="auto"/>
            </w:tcBorders>
            <w:shd w:val="clear" w:color="000000" w:fill="FFFFFF"/>
            <w:noWrap/>
            <w:vAlign w:val="center"/>
            <w:hideMark/>
          </w:tcPr>
          <w:p w14:paraId="1914D699"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361.596,6</w:t>
            </w:r>
          </w:p>
        </w:tc>
        <w:tc>
          <w:tcPr>
            <w:tcW w:w="941" w:type="dxa"/>
            <w:tcBorders>
              <w:top w:val="nil"/>
              <w:left w:val="nil"/>
              <w:bottom w:val="nil"/>
              <w:right w:val="single" w:sz="8" w:space="0" w:color="auto"/>
            </w:tcBorders>
            <w:shd w:val="clear" w:color="000000" w:fill="FFFFFF"/>
            <w:noWrap/>
            <w:vAlign w:val="center"/>
            <w:hideMark/>
          </w:tcPr>
          <w:p w14:paraId="4F79790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384.481,1</w:t>
            </w:r>
          </w:p>
        </w:tc>
        <w:tc>
          <w:tcPr>
            <w:tcW w:w="941" w:type="dxa"/>
            <w:tcBorders>
              <w:top w:val="nil"/>
              <w:left w:val="nil"/>
              <w:bottom w:val="nil"/>
              <w:right w:val="single" w:sz="8" w:space="0" w:color="auto"/>
            </w:tcBorders>
            <w:shd w:val="clear" w:color="000000" w:fill="FFFFFF"/>
            <w:noWrap/>
            <w:vAlign w:val="center"/>
            <w:hideMark/>
          </w:tcPr>
          <w:p w14:paraId="02260740"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408.814,0</w:t>
            </w:r>
          </w:p>
        </w:tc>
        <w:tc>
          <w:tcPr>
            <w:tcW w:w="941" w:type="dxa"/>
            <w:tcBorders>
              <w:top w:val="nil"/>
              <w:left w:val="nil"/>
              <w:bottom w:val="nil"/>
              <w:right w:val="single" w:sz="8" w:space="0" w:color="auto"/>
            </w:tcBorders>
            <w:shd w:val="clear" w:color="000000" w:fill="FFFFFF"/>
            <w:noWrap/>
            <w:vAlign w:val="center"/>
            <w:hideMark/>
          </w:tcPr>
          <w:p w14:paraId="07F0CAB7"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434.686,8</w:t>
            </w:r>
          </w:p>
        </w:tc>
        <w:tc>
          <w:tcPr>
            <w:tcW w:w="1091" w:type="dxa"/>
            <w:tcBorders>
              <w:top w:val="nil"/>
              <w:left w:val="nil"/>
              <w:bottom w:val="nil"/>
              <w:right w:val="single" w:sz="8" w:space="0" w:color="auto"/>
            </w:tcBorders>
            <w:shd w:val="clear" w:color="000000" w:fill="FFFFFF"/>
            <w:noWrap/>
            <w:vAlign w:val="center"/>
            <w:hideMark/>
          </w:tcPr>
          <w:p w14:paraId="3B9D8542"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462.197,0</w:t>
            </w:r>
          </w:p>
        </w:tc>
        <w:tc>
          <w:tcPr>
            <w:tcW w:w="1091" w:type="dxa"/>
            <w:tcBorders>
              <w:top w:val="nil"/>
              <w:left w:val="nil"/>
              <w:bottom w:val="nil"/>
              <w:right w:val="single" w:sz="8" w:space="0" w:color="auto"/>
            </w:tcBorders>
            <w:shd w:val="clear" w:color="000000" w:fill="FFFFFF"/>
            <w:noWrap/>
            <w:vAlign w:val="center"/>
            <w:hideMark/>
          </w:tcPr>
          <w:p w14:paraId="250DF6FB"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491.448,3</w:t>
            </w:r>
          </w:p>
        </w:tc>
        <w:tc>
          <w:tcPr>
            <w:tcW w:w="1091" w:type="dxa"/>
            <w:tcBorders>
              <w:top w:val="nil"/>
              <w:left w:val="nil"/>
              <w:bottom w:val="nil"/>
              <w:right w:val="single" w:sz="8" w:space="0" w:color="auto"/>
            </w:tcBorders>
            <w:shd w:val="clear" w:color="000000" w:fill="FFFFFF"/>
            <w:noWrap/>
            <w:vAlign w:val="center"/>
            <w:hideMark/>
          </w:tcPr>
          <w:p w14:paraId="23C8C6B7"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522.550,9</w:t>
            </w:r>
          </w:p>
        </w:tc>
      </w:tr>
      <w:tr w:rsidR="00EE26E5" w:rsidRPr="004E6455" w14:paraId="48F5D25D" w14:textId="77777777" w:rsidTr="00117BF8">
        <w:tc>
          <w:tcPr>
            <w:tcW w:w="2835" w:type="dxa"/>
            <w:tcBorders>
              <w:top w:val="nil"/>
              <w:left w:val="single" w:sz="8" w:space="0" w:color="auto"/>
              <w:bottom w:val="nil"/>
              <w:right w:val="nil"/>
            </w:tcBorders>
            <w:shd w:val="clear" w:color="000000" w:fill="FFFFFF"/>
            <w:noWrap/>
            <w:hideMark/>
          </w:tcPr>
          <w:p w14:paraId="7ABA3B77" w14:textId="77777777" w:rsidR="00EE26E5" w:rsidRPr="00117BF8" w:rsidRDefault="00EE26E5" w:rsidP="00184D69">
            <w:pPr>
              <w:pStyle w:val="TablaC"/>
              <w:jc w:val="left"/>
              <w:rPr>
                <w:rFonts w:ascii="Arial" w:hAnsi="Arial" w:cs="Arial"/>
                <w:sz w:val="18"/>
                <w:szCs w:val="18"/>
              </w:rPr>
            </w:pPr>
            <w:r w:rsidRPr="00117BF8">
              <w:rPr>
                <w:rFonts w:ascii="Arial" w:hAnsi="Arial" w:cs="Arial"/>
                <w:sz w:val="18"/>
                <w:szCs w:val="18"/>
              </w:rPr>
              <w:t xml:space="preserve">  Bienes y Servicios</w:t>
            </w:r>
          </w:p>
        </w:tc>
        <w:tc>
          <w:tcPr>
            <w:tcW w:w="941" w:type="dxa"/>
            <w:tcBorders>
              <w:top w:val="nil"/>
              <w:left w:val="single" w:sz="8" w:space="0" w:color="auto"/>
              <w:bottom w:val="nil"/>
              <w:right w:val="single" w:sz="8" w:space="0" w:color="auto"/>
            </w:tcBorders>
            <w:shd w:val="clear" w:color="000000" w:fill="FFFFFF"/>
            <w:noWrap/>
            <w:vAlign w:val="center"/>
            <w:hideMark/>
          </w:tcPr>
          <w:p w14:paraId="55883DFD"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20.840,4</w:t>
            </w:r>
          </w:p>
        </w:tc>
        <w:tc>
          <w:tcPr>
            <w:tcW w:w="941" w:type="dxa"/>
            <w:tcBorders>
              <w:top w:val="nil"/>
              <w:left w:val="nil"/>
              <w:bottom w:val="nil"/>
              <w:right w:val="single" w:sz="8" w:space="0" w:color="auto"/>
            </w:tcBorders>
            <w:shd w:val="clear" w:color="000000" w:fill="FFFFFF"/>
            <w:noWrap/>
            <w:vAlign w:val="center"/>
            <w:hideMark/>
          </w:tcPr>
          <w:p w14:paraId="66BEF331"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25.679,2</w:t>
            </w:r>
          </w:p>
        </w:tc>
        <w:tc>
          <w:tcPr>
            <w:tcW w:w="941" w:type="dxa"/>
            <w:tcBorders>
              <w:top w:val="nil"/>
              <w:left w:val="nil"/>
              <w:bottom w:val="nil"/>
              <w:right w:val="single" w:sz="8" w:space="0" w:color="auto"/>
            </w:tcBorders>
            <w:shd w:val="clear" w:color="000000" w:fill="FFFFFF"/>
            <w:noWrap/>
            <w:vAlign w:val="center"/>
            <w:hideMark/>
          </w:tcPr>
          <w:p w14:paraId="4684884D"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30.378,5</w:t>
            </w:r>
          </w:p>
        </w:tc>
        <w:tc>
          <w:tcPr>
            <w:tcW w:w="941" w:type="dxa"/>
            <w:tcBorders>
              <w:top w:val="nil"/>
              <w:left w:val="nil"/>
              <w:bottom w:val="nil"/>
              <w:right w:val="single" w:sz="8" w:space="0" w:color="auto"/>
            </w:tcBorders>
            <w:shd w:val="clear" w:color="000000" w:fill="FFFFFF"/>
            <w:noWrap/>
            <w:vAlign w:val="center"/>
            <w:hideMark/>
          </w:tcPr>
          <w:p w14:paraId="656DC238"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34.115,1</w:t>
            </w:r>
          </w:p>
        </w:tc>
        <w:tc>
          <w:tcPr>
            <w:tcW w:w="941" w:type="dxa"/>
            <w:tcBorders>
              <w:top w:val="nil"/>
              <w:left w:val="nil"/>
              <w:bottom w:val="nil"/>
              <w:right w:val="single" w:sz="8" w:space="0" w:color="auto"/>
            </w:tcBorders>
            <w:shd w:val="clear" w:color="000000" w:fill="FFFFFF"/>
            <w:noWrap/>
            <w:vAlign w:val="center"/>
            <w:hideMark/>
          </w:tcPr>
          <w:p w14:paraId="3EC0CCCA"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37.463,0</w:t>
            </w:r>
          </w:p>
        </w:tc>
        <w:tc>
          <w:tcPr>
            <w:tcW w:w="941" w:type="dxa"/>
            <w:tcBorders>
              <w:top w:val="nil"/>
              <w:left w:val="nil"/>
              <w:bottom w:val="nil"/>
              <w:right w:val="single" w:sz="8" w:space="0" w:color="auto"/>
            </w:tcBorders>
            <w:shd w:val="clear" w:color="000000" w:fill="FFFFFF"/>
            <w:noWrap/>
            <w:vAlign w:val="center"/>
            <w:hideMark/>
          </w:tcPr>
          <w:p w14:paraId="057D312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40.519,0</w:t>
            </w:r>
          </w:p>
        </w:tc>
        <w:tc>
          <w:tcPr>
            <w:tcW w:w="941" w:type="dxa"/>
            <w:tcBorders>
              <w:top w:val="nil"/>
              <w:left w:val="nil"/>
              <w:bottom w:val="nil"/>
              <w:right w:val="single" w:sz="8" w:space="0" w:color="auto"/>
            </w:tcBorders>
            <w:shd w:val="clear" w:color="000000" w:fill="FFFFFF"/>
            <w:noWrap/>
            <w:vAlign w:val="center"/>
            <w:hideMark/>
          </w:tcPr>
          <w:p w14:paraId="2ED49CB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43.824,4</w:t>
            </w:r>
          </w:p>
        </w:tc>
        <w:tc>
          <w:tcPr>
            <w:tcW w:w="941" w:type="dxa"/>
            <w:tcBorders>
              <w:top w:val="nil"/>
              <w:left w:val="nil"/>
              <w:bottom w:val="nil"/>
              <w:right w:val="single" w:sz="8" w:space="0" w:color="auto"/>
            </w:tcBorders>
            <w:shd w:val="clear" w:color="000000" w:fill="FFFFFF"/>
            <w:noWrap/>
            <w:vAlign w:val="center"/>
            <w:hideMark/>
          </w:tcPr>
          <w:p w14:paraId="2D8CB448"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47.399,3</w:t>
            </w:r>
          </w:p>
        </w:tc>
        <w:tc>
          <w:tcPr>
            <w:tcW w:w="941" w:type="dxa"/>
            <w:tcBorders>
              <w:top w:val="nil"/>
              <w:left w:val="nil"/>
              <w:bottom w:val="nil"/>
              <w:right w:val="single" w:sz="8" w:space="0" w:color="auto"/>
            </w:tcBorders>
            <w:shd w:val="clear" w:color="000000" w:fill="FFFFFF"/>
            <w:noWrap/>
            <w:vAlign w:val="center"/>
            <w:hideMark/>
          </w:tcPr>
          <w:p w14:paraId="09ECF08C"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51.265,9</w:t>
            </w:r>
          </w:p>
        </w:tc>
        <w:tc>
          <w:tcPr>
            <w:tcW w:w="941" w:type="dxa"/>
            <w:tcBorders>
              <w:top w:val="nil"/>
              <w:left w:val="nil"/>
              <w:bottom w:val="nil"/>
              <w:right w:val="single" w:sz="8" w:space="0" w:color="auto"/>
            </w:tcBorders>
            <w:shd w:val="clear" w:color="000000" w:fill="FFFFFF"/>
            <w:noWrap/>
            <w:vAlign w:val="center"/>
            <w:hideMark/>
          </w:tcPr>
          <w:p w14:paraId="61D4DBC9"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55.448,0</w:t>
            </w:r>
          </w:p>
        </w:tc>
        <w:tc>
          <w:tcPr>
            <w:tcW w:w="1091" w:type="dxa"/>
            <w:tcBorders>
              <w:top w:val="nil"/>
              <w:left w:val="nil"/>
              <w:bottom w:val="nil"/>
              <w:right w:val="single" w:sz="8" w:space="0" w:color="auto"/>
            </w:tcBorders>
            <w:shd w:val="clear" w:color="000000" w:fill="FFFFFF"/>
            <w:noWrap/>
            <w:vAlign w:val="center"/>
            <w:hideMark/>
          </w:tcPr>
          <w:p w14:paraId="3E009F50"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59.971,1</w:t>
            </w:r>
          </w:p>
        </w:tc>
        <w:tc>
          <w:tcPr>
            <w:tcW w:w="1091" w:type="dxa"/>
            <w:tcBorders>
              <w:top w:val="nil"/>
              <w:left w:val="nil"/>
              <w:bottom w:val="nil"/>
              <w:right w:val="single" w:sz="8" w:space="0" w:color="auto"/>
            </w:tcBorders>
            <w:shd w:val="clear" w:color="000000" w:fill="FFFFFF"/>
            <w:noWrap/>
            <w:vAlign w:val="center"/>
            <w:hideMark/>
          </w:tcPr>
          <w:p w14:paraId="38EC8C1E"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64.863,3</w:t>
            </w:r>
          </w:p>
        </w:tc>
        <w:tc>
          <w:tcPr>
            <w:tcW w:w="1091" w:type="dxa"/>
            <w:tcBorders>
              <w:top w:val="nil"/>
              <w:left w:val="nil"/>
              <w:bottom w:val="nil"/>
              <w:right w:val="single" w:sz="8" w:space="0" w:color="auto"/>
            </w:tcBorders>
            <w:shd w:val="clear" w:color="000000" w:fill="FFFFFF"/>
            <w:noWrap/>
            <w:vAlign w:val="center"/>
            <w:hideMark/>
          </w:tcPr>
          <w:p w14:paraId="65C81C62"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70.154,5</w:t>
            </w:r>
          </w:p>
        </w:tc>
      </w:tr>
      <w:tr w:rsidR="00EE26E5" w:rsidRPr="004E6455" w14:paraId="2A62762D" w14:textId="77777777" w:rsidTr="00117BF8">
        <w:tc>
          <w:tcPr>
            <w:tcW w:w="2835" w:type="dxa"/>
            <w:tcBorders>
              <w:top w:val="nil"/>
              <w:left w:val="single" w:sz="8" w:space="0" w:color="auto"/>
              <w:bottom w:val="nil"/>
              <w:right w:val="nil"/>
            </w:tcBorders>
            <w:shd w:val="clear" w:color="000000" w:fill="FFFFFF"/>
            <w:noWrap/>
            <w:hideMark/>
          </w:tcPr>
          <w:p w14:paraId="19940FCE" w14:textId="77777777" w:rsidR="00EE26E5" w:rsidRPr="00117BF8" w:rsidRDefault="00EE26E5" w:rsidP="00184D69">
            <w:pPr>
              <w:pStyle w:val="TablaC"/>
              <w:jc w:val="left"/>
              <w:rPr>
                <w:rFonts w:ascii="Arial" w:hAnsi="Arial" w:cs="Arial"/>
                <w:sz w:val="18"/>
                <w:szCs w:val="18"/>
              </w:rPr>
            </w:pPr>
            <w:r w:rsidRPr="00117BF8">
              <w:rPr>
                <w:rFonts w:ascii="Arial" w:hAnsi="Arial" w:cs="Arial"/>
                <w:sz w:val="18"/>
                <w:szCs w:val="18"/>
              </w:rPr>
              <w:t xml:space="preserve">  Intereses</w:t>
            </w:r>
          </w:p>
        </w:tc>
        <w:tc>
          <w:tcPr>
            <w:tcW w:w="941" w:type="dxa"/>
            <w:tcBorders>
              <w:top w:val="nil"/>
              <w:left w:val="single" w:sz="8" w:space="0" w:color="auto"/>
              <w:bottom w:val="nil"/>
              <w:right w:val="single" w:sz="8" w:space="0" w:color="auto"/>
            </w:tcBorders>
            <w:shd w:val="clear" w:color="000000" w:fill="FFFFFF"/>
            <w:noWrap/>
            <w:vAlign w:val="center"/>
            <w:hideMark/>
          </w:tcPr>
          <w:p w14:paraId="602F1964"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14.446,0</w:t>
            </w:r>
          </w:p>
        </w:tc>
        <w:tc>
          <w:tcPr>
            <w:tcW w:w="941" w:type="dxa"/>
            <w:tcBorders>
              <w:top w:val="nil"/>
              <w:left w:val="nil"/>
              <w:bottom w:val="nil"/>
              <w:right w:val="single" w:sz="8" w:space="0" w:color="auto"/>
            </w:tcBorders>
            <w:shd w:val="clear" w:color="000000" w:fill="FFFFFF"/>
            <w:noWrap/>
            <w:vAlign w:val="center"/>
            <w:hideMark/>
          </w:tcPr>
          <w:p w14:paraId="09EDFD14"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22.977,0</w:t>
            </w:r>
          </w:p>
        </w:tc>
        <w:tc>
          <w:tcPr>
            <w:tcW w:w="941" w:type="dxa"/>
            <w:tcBorders>
              <w:top w:val="nil"/>
              <w:left w:val="nil"/>
              <w:bottom w:val="nil"/>
              <w:right w:val="single" w:sz="8" w:space="0" w:color="auto"/>
            </w:tcBorders>
            <w:shd w:val="clear" w:color="000000" w:fill="FFFFFF"/>
            <w:noWrap/>
            <w:vAlign w:val="center"/>
            <w:hideMark/>
          </w:tcPr>
          <w:p w14:paraId="0A12A363"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26.967,7</w:t>
            </w:r>
          </w:p>
        </w:tc>
        <w:tc>
          <w:tcPr>
            <w:tcW w:w="941" w:type="dxa"/>
            <w:tcBorders>
              <w:top w:val="nil"/>
              <w:left w:val="nil"/>
              <w:bottom w:val="nil"/>
              <w:right w:val="single" w:sz="8" w:space="0" w:color="auto"/>
            </w:tcBorders>
            <w:shd w:val="clear" w:color="000000" w:fill="FFFFFF"/>
            <w:noWrap/>
            <w:vAlign w:val="center"/>
            <w:hideMark/>
          </w:tcPr>
          <w:p w14:paraId="0812CC82"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31.778,5</w:t>
            </w:r>
          </w:p>
        </w:tc>
        <w:tc>
          <w:tcPr>
            <w:tcW w:w="941" w:type="dxa"/>
            <w:tcBorders>
              <w:top w:val="nil"/>
              <w:left w:val="nil"/>
              <w:bottom w:val="nil"/>
              <w:right w:val="single" w:sz="8" w:space="0" w:color="auto"/>
            </w:tcBorders>
            <w:shd w:val="clear" w:color="000000" w:fill="FFFFFF"/>
            <w:noWrap/>
            <w:vAlign w:val="center"/>
            <w:hideMark/>
          </w:tcPr>
          <w:p w14:paraId="543C4BE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33.188,6</w:t>
            </w:r>
          </w:p>
        </w:tc>
        <w:tc>
          <w:tcPr>
            <w:tcW w:w="941" w:type="dxa"/>
            <w:tcBorders>
              <w:top w:val="nil"/>
              <w:left w:val="nil"/>
              <w:bottom w:val="nil"/>
              <w:right w:val="single" w:sz="8" w:space="0" w:color="auto"/>
            </w:tcBorders>
            <w:shd w:val="clear" w:color="000000" w:fill="FFFFFF"/>
            <w:noWrap/>
            <w:vAlign w:val="center"/>
            <w:hideMark/>
          </w:tcPr>
          <w:p w14:paraId="2838AAF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33.738,1</w:t>
            </w:r>
          </w:p>
        </w:tc>
        <w:tc>
          <w:tcPr>
            <w:tcW w:w="941" w:type="dxa"/>
            <w:tcBorders>
              <w:top w:val="nil"/>
              <w:left w:val="nil"/>
              <w:bottom w:val="nil"/>
              <w:right w:val="single" w:sz="8" w:space="0" w:color="auto"/>
            </w:tcBorders>
            <w:shd w:val="clear" w:color="000000" w:fill="FFFFFF"/>
            <w:noWrap/>
            <w:vAlign w:val="center"/>
            <w:hideMark/>
          </w:tcPr>
          <w:p w14:paraId="2104B674"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33.214,7</w:t>
            </w:r>
          </w:p>
        </w:tc>
        <w:tc>
          <w:tcPr>
            <w:tcW w:w="941" w:type="dxa"/>
            <w:tcBorders>
              <w:top w:val="nil"/>
              <w:left w:val="nil"/>
              <w:bottom w:val="nil"/>
              <w:right w:val="single" w:sz="8" w:space="0" w:color="auto"/>
            </w:tcBorders>
            <w:shd w:val="clear" w:color="000000" w:fill="FFFFFF"/>
            <w:noWrap/>
            <w:vAlign w:val="center"/>
            <w:hideMark/>
          </w:tcPr>
          <w:p w14:paraId="4CD8545C"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34.154,8</w:t>
            </w:r>
          </w:p>
        </w:tc>
        <w:tc>
          <w:tcPr>
            <w:tcW w:w="941" w:type="dxa"/>
            <w:tcBorders>
              <w:top w:val="nil"/>
              <w:left w:val="nil"/>
              <w:bottom w:val="nil"/>
              <w:right w:val="single" w:sz="8" w:space="0" w:color="auto"/>
            </w:tcBorders>
            <w:shd w:val="clear" w:color="000000" w:fill="FFFFFF"/>
            <w:noWrap/>
            <w:vAlign w:val="center"/>
            <w:hideMark/>
          </w:tcPr>
          <w:p w14:paraId="22292D8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36.468,4</w:t>
            </w:r>
          </w:p>
        </w:tc>
        <w:tc>
          <w:tcPr>
            <w:tcW w:w="941" w:type="dxa"/>
            <w:tcBorders>
              <w:top w:val="nil"/>
              <w:left w:val="nil"/>
              <w:bottom w:val="nil"/>
              <w:right w:val="single" w:sz="8" w:space="0" w:color="auto"/>
            </w:tcBorders>
            <w:shd w:val="clear" w:color="000000" w:fill="FFFFFF"/>
            <w:noWrap/>
            <w:vAlign w:val="center"/>
            <w:hideMark/>
          </w:tcPr>
          <w:p w14:paraId="20C57C27"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37.249,6</w:t>
            </w:r>
          </w:p>
        </w:tc>
        <w:tc>
          <w:tcPr>
            <w:tcW w:w="1091" w:type="dxa"/>
            <w:tcBorders>
              <w:top w:val="nil"/>
              <w:left w:val="nil"/>
              <w:bottom w:val="nil"/>
              <w:right w:val="single" w:sz="8" w:space="0" w:color="auto"/>
            </w:tcBorders>
            <w:shd w:val="clear" w:color="000000" w:fill="FFFFFF"/>
            <w:noWrap/>
            <w:vAlign w:val="center"/>
            <w:hideMark/>
          </w:tcPr>
          <w:p w14:paraId="5338964B"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38.348,1</w:t>
            </w:r>
          </w:p>
        </w:tc>
        <w:tc>
          <w:tcPr>
            <w:tcW w:w="1091" w:type="dxa"/>
            <w:tcBorders>
              <w:top w:val="nil"/>
              <w:left w:val="nil"/>
              <w:bottom w:val="nil"/>
              <w:right w:val="single" w:sz="8" w:space="0" w:color="auto"/>
            </w:tcBorders>
            <w:shd w:val="clear" w:color="000000" w:fill="FFFFFF"/>
            <w:noWrap/>
            <w:vAlign w:val="center"/>
            <w:hideMark/>
          </w:tcPr>
          <w:p w14:paraId="3CEAA8F1"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39.379,1</w:t>
            </w:r>
          </w:p>
        </w:tc>
        <w:tc>
          <w:tcPr>
            <w:tcW w:w="1091" w:type="dxa"/>
            <w:tcBorders>
              <w:top w:val="nil"/>
              <w:left w:val="nil"/>
              <w:bottom w:val="nil"/>
              <w:right w:val="single" w:sz="8" w:space="0" w:color="auto"/>
            </w:tcBorders>
            <w:shd w:val="clear" w:color="000000" w:fill="FFFFFF"/>
            <w:noWrap/>
            <w:vAlign w:val="center"/>
            <w:hideMark/>
          </w:tcPr>
          <w:p w14:paraId="115FFC65"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40.981,4</w:t>
            </w:r>
          </w:p>
        </w:tc>
      </w:tr>
      <w:tr w:rsidR="00EE26E5" w:rsidRPr="004E6455" w14:paraId="128E5819" w14:textId="77777777" w:rsidTr="00117BF8">
        <w:tc>
          <w:tcPr>
            <w:tcW w:w="2835" w:type="dxa"/>
            <w:tcBorders>
              <w:top w:val="nil"/>
              <w:left w:val="single" w:sz="8" w:space="0" w:color="auto"/>
              <w:bottom w:val="nil"/>
              <w:right w:val="nil"/>
            </w:tcBorders>
            <w:shd w:val="clear" w:color="000000" w:fill="FFFFFF"/>
            <w:noWrap/>
            <w:hideMark/>
          </w:tcPr>
          <w:p w14:paraId="1E5C5AC4" w14:textId="77777777" w:rsidR="00EE26E5" w:rsidRPr="00117BF8" w:rsidRDefault="00EE26E5" w:rsidP="00184D69">
            <w:pPr>
              <w:pStyle w:val="TablaC"/>
              <w:jc w:val="left"/>
              <w:rPr>
                <w:rFonts w:ascii="Arial" w:hAnsi="Arial" w:cs="Arial"/>
                <w:sz w:val="18"/>
                <w:szCs w:val="18"/>
                <w:lang w:val="es-ES_tradnl"/>
              </w:rPr>
            </w:pPr>
            <w:r w:rsidRPr="00117BF8">
              <w:rPr>
                <w:rFonts w:ascii="Arial" w:hAnsi="Arial" w:cs="Arial"/>
                <w:sz w:val="18"/>
                <w:szCs w:val="18"/>
                <w:lang w:val="es-ES_tradnl"/>
              </w:rPr>
              <w:t xml:space="preserve">  Prestaciones de la Seguridad Social</w:t>
            </w:r>
          </w:p>
        </w:tc>
        <w:tc>
          <w:tcPr>
            <w:tcW w:w="941" w:type="dxa"/>
            <w:tcBorders>
              <w:top w:val="nil"/>
              <w:left w:val="single" w:sz="8" w:space="0" w:color="auto"/>
              <w:bottom w:val="nil"/>
              <w:right w:val="single" w:sz="8" w:space="0" w:color="auto"/>
            </w:tcBorders>
            <w:shd w:val="clear" w:color="000000" w:fill="FFFFFF"/>
            <w:noWrap/>
            <w:vAlign w:val="center"/>
            <w:hideMark/>
          </w:tcPr>
          <w:p w14:paraId="5812D071"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68.486,1</w:t>
            </w:r>
          </w:p>
        </w:tc>
        <w:tc>
          <w:tcPr>
            <w:tcW w:w="941" w:type="dxa"/>
            <w:tcBorders>
              <w:top w:val="nil"/>
              <w:left w:val="nil"/>
              <w:bottom w:val="nil"/>
              <w:right w:val="single" w:sz="8" w:space="0" w:color="auto"/>
            </w:tcBorders>
            <w:shd w:val="clear" w:color="000000" w:fill="FFFFFF"/>
            <w:noWrap/>
            <w:vAlign w:val="center"/>
            <w:hideMark/>
          </w:tcPr>
          <w:p w14:paraId="64D36494"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82.206,6</w:t>
            </w:r>
          </w:p>
        </w:tc>
        <w:tc>
          <w:tcPr>
            <w:tcW w:w="941" w:type="dxa"/>
            <w:tcBorders>
              <w:top w:val="nil"/>
              <w:left w:val="nil"/>
              <w:bottom w:val="nil"/>
              <w:right w:val="single" w:sz="8" w:space="0" w:color="auto"/>
            </w:tcBorders>
            <w:shd w:val="clear" w:color="000000" w:fill="FFFFFF"/>
            <w:noWrap/>
            <w:vAlign w:val="center"/>
            <w:hideMark/>
          </w:tcPr>
          <w:p w14:paraId="1CC66054"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92.071,4</w:t>
            </w:r>
          </w:p>
        </w:tc>
        <w:tc>
          <w:tcPr>
            <w:tcW w:w="941" w:type="dxa"/>
            <w:tcBorders>
              <w:top w:val="nil"/>
              <w:left w:val="nil"/>
              <w:bottom w:val="nil"/>
              <w:right w:val="single" w:sz="8" w:space="0" w:color="auto"/>
            </w:tcBorders>
            <w:shd w:val="clear" w:color="000000" w:fill="FFFFFF"/>
            <w:noWrap/>
            <w:vAlign w:val="center"/>
            <w:hideMark/>
          </w:tcPr>
          <w:p w14:paraId="016A32D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100.357,8</w:t>
            </w:r>
          </w:p>
        </w:tc>
        <w:tc>
          <w:tcPr>
            <w:tcW w:w="941" w:type="dxa"/>
            <w:tcBorders>
              <w:top w:val="nil"/>
              <w:left w:val="nil"/>
              <w:bottom w:val="nil"/>
              <w:right w:val="single" w:sz="8" w:space="0" w:color="auto"/>
            </w:tcBorders>
            <w:shd w:val="clear" w:color="000000" w:fill="FFFFFF"/>
            <w:noWrap/>
            <w:vAlign w:val="center"/>
            <w:hideMark/>
          </w:tcPr>
          <w:p w14:paraId="622CF7A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108.486,8</w:t>
            </w:r>
          </w:p>
        </w:tc>
        <w:tc>
          <w:tcPr>
            <w:tcW w:w="941" w:type="dxa"/>
            <w:tcBorders>
              <w:top w:val="nil"/>
              <w:left w:val="nil"/>
              <w:bottom w:val="nil"/>
              <w:right w:val="single" w:sz="8" w:space="0" w:color="auto"/>
            </w:tcBorders>
            <w:shd w:val="clear" w:color="000000" w:fill="FFFFFF"/>
            <w:noWrap/>
            <w:vAlign w:val="center"/>
            <w:hideMark/>
          </w:tcPr>
          <w:p w14:paraId="7226DA6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114.691,4</w:t>
            </w:r>
          </w:p>
        </w:tc>
        <w:tc>
          <w:tcPr>
            <w:tcW w:w="941" w:type="dxa"/>
            <w:tcBorders>
              <w:top w:val="nil"/>
              <w:left w:val="nil"/>
              <w:bottom w:val="nil"/>
              <w:right w:val="single" w:sz="8" w:space="0" w:color="auto"/>
            </w:tcBorders>
            <w:shd w:val="clear" w:color="000000" w:fill="FFFFFF"/>
            <w:noWrap/>
            <w:vAlign w:val="center"/>
            <w:hideMark/>
          </w:tcPr>
          <w:p w14:paraId="579580F3"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121.949,9</w:t>
            </w:r>
          </w:p>
        </w:tc>
        <w:tc>
          <w:tcPr>
            <w:tcW w:w="941" w:type="dxa"/>
            <w:tcBorders>
              <w:top w:val="nil"/>
              <w:left w:val="nil"/>
              <w:bottom w:val="nil"/>
              <w:right w:val="single" w:sz="8" w:space="0" w:color="auto"/>
            </w:tcBorders>
            <w:shd w:val="clear" w:color="000000" w:fill="FFFFFF"/>
            <w:noWrap/>
            <w:vAlign w:val="center"/>
            <w:hideMark/>
          </w:tcPr>
          <w:p w14:paraId="1D80DAE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129.667,8</w:t>
            </w:r>
          </w:p>
        </w:tc>
        <w:tc>
          <w:tcPr>
            <w:tcW w:w="941" w:type="dxa"/>
            <w:tcBorders>
              <w:top w:val="nil"/>
              <w:left w:val="nil"/>
              <w:bottom w:val="nil"/>
              <w:right w:val="single" w:sz="8" w:space="0" w:color="auto"/>
            </w:tcBorders>
            <w:shd w:val="clear" w:color="000000" w:fill="FFFFFF"/>
            <w:noWrap/>
            <w:vAlign w:val="center"/>
            <w:hideMark/>
          </w:tcPr>
          <w:p w14:paraId="735A5D41"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137.874,1</w:t>
            </w:r>
          </w:p>
        </w:tc>
        <w:tc>
          <w:tcPr>
            <w:tcW w:w="941" w:type="dxa"/>
            <w:tcBorders>
              <w:top w:val="nil"/>
              <w:left w:val="nil"/>
              <w:bottom w:val="nil"/>
              <w:right w:val="single" w:sz="8" w:space="0" w:color="auto"/>
            </w:tcBorders>
            <w:shd w:val="clear" w:color="000000" w:fill="FFFFFF"/>
            <w:noWrap/>
            <w:vAlign w:val="center"/>
            <w:hideMark/>
          </w:tcPr>
          <w:p w14:paraId="6CB86D30"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146.599,9</w:t>
            </w:r>
          </w:p>
        </w:tc>
        <w:tc>
          <w:tcPr>
            <w:tcW w:w="1091" w:type="dxa"/>
            <w:tcBorders>
              <w:top w:val="nil"/>
              <w:left w:val="nil"/>
              <w:bottom w:val="nil"/>
              <w:right w:val="single" w:sz="8" w:space="0" w:color="auto"/>
            </w:tcBorders>
            <w:shd w:val="clear" w:color="000000" w:fill="FFFFFF"/>
            <w:noWrap/>
            <w:vAlign w:val="center"/>
            <w:hideMark/>
          </w:tcPr>
          <w:p w14:paraId="7A41BDE6"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155.877,8</w:t>
            </w:r>
          </w:p>
        </w:tc>
        <w:tc>
          <w:tcPr>
            <w:tcW w:w="1091" w:type="dxa"/>
            <w:tcBorders>
              <w:top w:val="nil"/>
              <w:left w:val="nil"/>
              <w:bottom w:val="nil"/>
              <w:right w:val="single" w:sz="8" w:space="0" w:color="auto"/>
            </w:tcBorders>
            <w:shd w:val="clear" w:color="000000" w:fill="FFFFFF"/>
            <w:noWrap/>
            <w:vAlign w:val="center"/>
            <w:hideMark/>
          </w:tcPr>
          <w:p w14:paraId="471F1D4F"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165.742,9</w:t>
            </w:r>
          </w:p>
        </w:tc>
        <w:tc>
          <w:tcPr>
            <w:tcW w:w="1091" w:type="dxa"/>
            <w:tcBorders>
              <w:top w:val="nil"/>
              <w:left w:val="nil"/>
              <w:bottom w:val="nil"/>
              <w:right w:val="single" w:sz="8" w:space="0" w:color="auto"/>
            </w:tcBorders>
            <w:shd w:val="clear" w:color="000000" w:fill="FFFFFF"/>
            <w:noWrap/>
            <w:vAlign w:val="center"/>
            <w:hideMark/>
          </w:tcPr>
          <w:p w14:paraId="0FB44A2D" w14:textId="77777777" w:rsidR="00EE26E5" w:rsidRPr="00117BF8" w:rsidRDefault="00EE26E5" w:rsidP="001014F4">
            <w:pPr>
              <w:pStyle w:val="TablaC"/>
              <w:rPr>
                <w:rFonts w:ascii="Arial" w:hAnsi="Arial" w:cs="Arial"/>
                <w:sz w:val="18"/>
                <w:szCs w:val="18"/>
              </w:rPr>
            </w:pPr>
            <w:r w:rsidRPr="00117BF8">
              <w:rPr>
                <w:rFonts w:ascii="Arial" w:hAnsi="Arial" w:cs="Arial"/>
                <w:sz w:val="18"/>
                <w:szCs w:val="18"/>
              </w:rPr>
              <w:t>176.232,4</w:t>
            </w:r>
          </w:p>
        </w:tc>
      </w:tr>
      <w:tr w:rsidR="00EE26E5" w:rsidRPr="004E6455" w14:paraId="3A52B3CB" w14:textId="77777777" w:rsidTr="00117BF8">
        <w:tc>
          <w:tcPr>
            <w:tcW w:w="2835" w:type="dxa"/>
            <w:tcBorders>
              <w:top w:val="nil"/>
              <w:left w:val="single" w:sz="8" w:space="0" w:color="auto"/>
              <w:bottom w:val="nil"/>
              <w:right w:val="nil"/>
            </w:tcBorders>
            <w:shd w:val="clear" w:color="000000" w:fill="FFFFFF"/>
            <w:noWrap/>
            <w:hideMark/>
          </w:tcPr>
          <w:p w14:paraId="79D66FF3" w14:textId="77777777" w:rsidR="00EE26E5" w:rsidRPr="00117BF8" w:rsidRDefault="00EE26E5" w:rsidP="006466C4">
            <w:pPr>
              <w:pStyle w:val="TablaC"/>
              <w:jc w:val="left"/>
              <w:rPr>
                <w:rFonts w:ascii="Arial" w:hAnsi="Arial" w:cs="Arial"/>
                <w:sz w:val="18"/>
                <w:szCs w:val="18"/>
                <w:lang w:val="es-ES_tradnl"/>
              </w:rPr>
            </w:pPr>
            <w:r w:rsidRPr="00117BF8">
              <w:rPr>
                <w:rFonts w:ascii="Arial" w:hAnsi="Arial" w:cs="Arial"/>
                <w:sz w:val="18"/>
                <w:szCs w:val="18"/>
                <w:lang w:val="es-ES_tradnl"/>
              </w:rPr>
              <w:t xml:space="preserve">  Transf. Corrientes y Otros Gastos</w:t>
            </w:r>
          </w:p>
        </w:tc>
        <w:tc>
          <w:tcPr>
            <w:tcW w:w="941" w:type="dxa"/>
            <w:tcBorders>
              <w:top w:val="nil"/>
              <w:left w:val="single" w:sz="8" w:space="0" w:color="auto"/>
              <w:bottom w:val="nil"/>
              <w:right w:val="single" w:sz="8" w:space="0" w:color="auto"/>
            </w:tcBorders>
            <w:shd w:val="clear" w:color="000000" w:fill="FFFFFF"/>
            <w:noWrap/>
            <w:vAlign w:val="center"/>
            <w:hideMark/>
          </w:tcPr>
          <w:p w14:paraId="3291B85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88.031,1</w:t>
            </w:r>
          </w:p>
        </w:tc>
        <w:tc>
          <w:tcPr>
            <w:tcW w:w="941" w:type="dxa"/>
            <w:tcBorders>
              <w:top w:val="nil"/>
              <w:left w:val="nil"/>
              <w:bottom w:val="nil"/>
              <w:right w:val="single" w:sz="8" w:space="0" w:color="auto"/>
            </w:tcBorders>
            <w:shd w:val="clear" w:color="000000" w:fill="FFFFFF"/>
            <w:noWrap/>
            <w:vAlign w:val="center"/>
            <w:hideMark/>
          </w:tcPr>
          <w:p w14:paraId="1B58926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104.027,9</w:t>
            </w:r>
          </w:p>
        </w:tc>
        <w:tc>
          <w:tcPr>
            <w:tcW w:w="941" w:type="dxa"/>
            <w:tcBorders>
              <w:top w:val="nil"/>
              <w:left w:val="nil"/>
              <w:bottom w:val="nil"/>
              <w:right w:val="single" w:sz="8" w:space="0" w:color="auto"/>
            </w:tcBorders>
            <w:shd w:val="clear" w:color="000000" w:fill="FFFFFF"/>
            <w:noWrap/>
            <w:vAlign w:val="center"/>
            <w:hideMark/>
          </w:tcPr>
          <w:p w14:paraId="2FF656BC"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123.520,6</w:t>
            </w:r>
          </w:p>
        </w:tc>
        <w:tc>
          <w:tcPr>
            <w:tcW w:w="941" w:type="dxa"/>
            <w:tcBorders>
              <w:top w:val="nil"/>
              <w:left w:val="nil"/>
              <w:bottom w:val="nil"/>
              <w:right w:val="single" w:sz="8" w:space="0" w:color="auto"/>
            </w:tcBorders>
            <w:shd w:val="clear" w:color="000000" w:fill="FFFFFF"/>
            <w:noWrap/>
            <w:vAlign w:val="center"/>
            <w:hideMark/>
          </w:tcPr>
          <w:p w14:paraId="186A3CCC"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138.848,7</w:t>
            </w:r>
          </w:p>
        </w:tc>
        <w:tc>
          <w:tcPr>
            <w:tcW w:w="941" w:type="dxa"/>
            <w:tcBorders>
              <w:top w:val="nil"/>
              <w:left w:val="nil"/>
              <w:bottom w:val="nil"/>
              <w:right w:val="single" w:sz="8" w:space="0" w:color="auto"/>
            </w:tcBorders>
            <w:shd w:val="clear" w:color="000000" w:fill="FFFFFF"/>
            <w:noWrap/>
            <w:vAlign w:val="center"/>
            <w:hideMark/>
          </w:tcPr>
          <w:p w14:paraId="3EAB111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153.131,3</w:t>
            </w:r>
          </w:p>
        </w:tc>
        <w:tc>
          <w:tcPr>
            <w:tcW w:w="941" w:type="dxa"/>
            <w:tcBorders>
              <w:top w:val="nil"/>
              <w:left w:val="nil"/>
              <w:bottom w:val="nil"/>
              <w:right w:val="single" w:sz="8" w:space="0" w:color="auto"/>
            </w:tcBorders>
            <w:shd w:val="clear" w:color="000000" w:fill="FFFFFF"/>
            <w:noWrap/>
            <w:vAlign w:val="center"/>
            <w:hideMark/>
          </w:tcPr>
          <w:p w14:paraId="43BA5A1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163.764,2</w:t>
            </w:r>
          </w:p>
        </w:tc>
        <w:tc>
          <w:tcPr>
            <w:tcW w:w="941" w:type="dxa"/>
            <w:tcBorders>
              <w:top w:val="nil"/>
              <w:left w:val="nil"/>
              <w:bottom w:val="nil"/>
              <w:right w:val="single" w:sz="8" w:space="0" w:color="auto"/>
            </w:tcBorders>
            <w:shd w:val="clear" w:color="000000" w:fill="FFFFFF"/>
            <w:noWrap/>
            <w:vAlign w:val="center"/>
            <w:hideMark/>
          </w:tcPr>
          <w:p w14:paraId="5F1E346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175.575,1</w:t>
            </w:r>
          </w:p>
        </w:tc>
        <w:tc>
          <w:tcPr>
            <w:tcW w:w="941" w:type="dxa"/>
            <w:tcBorders>
              <w:top w:val="nil"/>
              <w:left w:val="nil"/>
              <w:bottom w:val="nil"/>
              <w:right w:val="single" w:sz="8" w:space="0" w:color="auto"/>
            </w:tcBorders>
            <w:shd w:val="clear" w:color="000000" w:fill="FFFFFF"/>
            <w:noWrap/>
            <w:vAlign w:val="center"/>
            <w:hideMark/>
          </w:tcPr>
          <w:p w14:paraId="24CD921D"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188.263,8</w:t>
            </w:r>
          </w:p>
        </w:tc>
        <w:tc>
          <w:tcPr>
            <w:tcW w:w="941" w:type="dxa"/>
            <w:tcBorders>
              <w:top w:val="nil"/>
              <w:left w:val="nil"/>
              <w:bottom w:val="nil"/>
              <w:right w:val="single" w:sz="8" w:space="0" w:color="auto"/>
            </w:tcBorders>
            <w:shd w:val="clear" w:color="000000" w:fill="FFFFFF"/>
            <w:noWrap/>
            <w:vAlign w:val="center"/>
            <w:hideMark/>
          </w:tcPr>
          <w:p w14:paraId="7D6B2093"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201.896,4</w:t>
            </w:r>
          </w:p>
        </w:tc>
        <w:tc>
          <w:tcPr>
            <w:tcW w:w="941" w:type="dxa"/>
            <w:tcBorders>
              <w:top w:val="nil"/>
              <w:left w:val="nil"/>
              <w:bottom w:val="nil"/>
              <w:right w:val="single" w:sz="8" w:space="0" w:color="auto"/>
            </w:tcBorders>
            <w:shd w:val="clear" w:color="000000" w:fill="FFFFFF"/>
            <w:noWrap/>
            <w:vAlign w:val="center"/>
            <w:hideMark/>
          </w:tcPr>
          <w:p w14:paraId="11CD9088"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216.544,6</w:t>
            </w:r>
          </w:p>
        </w:tc>
        <w:tc>
          <w:tcPr>
            <w:tcW w:w="1091" w:type="dxa"/>
            <w:tcBorders>
              <w:top w:val="nil"/>
              <w:left w:val="nil"/>
              <w:bottom w:val="nil"/>
              <w:right w:val="single" w:sz="8" w:space="0" w:color="auto"/>
            </w:tcBorders>
            <w:shd w:val="clear" w:color="000000" w:fill="FFFFFF"/>
            <w:noWrap/>
            <w:vAlign w:val="center"/>
            <w:hideMark/>
          </w:tcPr>
          <w:p w14:paraId="162E5EE4"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232.285,1</w:t>
            </w:r>
          </w:p>
        </w:tc>
        <w:tc>
          <w:tcPr>
            <w:tcW w:w="1091" w:type="dxa"/>
            <w:tcBorders>
              <w:top w:val="nil"/>
              <w:left w:val="nil"/>
              <w:bottom w:val="nil"/>
              <w:right w:val="single" w:sz="8" w:space="0" w:color="auto"/>
            </w:tcBorders>
            <w:shd w:val="clear" w:color="000000" w:fill="FFFFFF"/>
            <w:noWrap/>
            <w:vAlign w:val="center"/>
            <w:hideMark/>
          </w:tcPr>
          <w:p w14:paraId="0BFB0E1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249.200,8</w:t>
            </w:r>
          </w:p>
        </w:tc>
        <w:tc>
          <w:tcPr>
            <w:tcW w:w="1091" w:type="dxa"/>
            <w:tcBorders>
              <w:top w:val="nil"/>
              <w:left w:val="nil"/>
              <w:bottom w:val="nil"/>
              <w:right w:val="single" w:sz="8" w:space="0" w:color="auto"/>
            </w:tcBorders>
            <w:shd w:val="clear" w:color="000000" w:fill="FFFFFF"/>
            <w:noWrap/>
            <w:vAlign w:val="center"/>
            <w:hideMark/>
          </w:tcPr>
          <w:p w14:paraId="3959851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267.380,8</w:t>
            </w:r>
          </w:p>
        </w:tc>
      </w:tr>
      <w:tr w:rsidR="00EE26E5" w:rsidRPr="004E6455" w14:paraId="2178E0B4" w14:textId="77777777" w:rsidTr="00117BF8">
        <w:tc>
          <w:tcPr>
            <w:tcW w:w="2835" w:type="dxa"/>
            <w:tcBorders>
              <w:top w:val="single" w:sz="8" w:space="0" w:color="auto"/>
              <w:left w:val="single" w:sz="8" w:space="0" w:color="auto"/>
              <w:bottom w:val="single" w:sz="8" w:space="0" w:color="auto"/>
              <w:right w:val="nil"/>
            </w:tcBorders>
            <w:shd w:val="clear" w:color="000000" w:fill="FFFFFF"/>
            <w:noWrap/>
            <w:hideMark/>
          </w:tcPr>
          <w:p w14:paraId="11C84BB0" w14:textId="77777777" w:rsidR="00EE26E5" w:rsidRPr="00117BF8" w:rsidRDefault="00EE26E5" w:rsidP="00184D69">
            <w:pPr>
              <w:pStyle w:val="TablaC"/>
              <w:jc w:val="left"/>
              <w:rPr>
                <w:rFonts w:ascii="Arial" w:hAnsi="Arial" w:cs="Arial"/>
                <w:b/>
                <w:sz w:val="18"/>
                <w:szCs w:val="18"/>
              </w:rPr>
            </w:pPr>
            <w:r w:rsidRPr="00117BF8">
              <w:rPr>
                <w:rFonts w:ascii="Arial" w:hAnsi="Arial" w:cs="Arial"/>
                <w:b/>
                <w:sz w:val="18"/>
                <w:szCs w:val="18"/>
              </w:rPr>
              <w:t>III. RESULTADO ECONOMICO</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C0C69B7"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-10.931,3</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134075F6"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27,4</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2AFA281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14.418,7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59E116B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34.868,7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2B31E0F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37.148,7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391610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46.705,8</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6B44A4A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56.054,1</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436CB93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64.999,9</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D09344A"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73.745,3</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2527CA2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85.318,6</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0283411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98.005,1</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0065D48C"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112.337,0</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5D97BEA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127.837,2</w:t>
            </w:r>
          </w:p>
        </w:tc>
      </w:tr>
      <w:tr w:rsidR="00EE26E5" w:rsidRPr="004E6455" w14:paraId="64C54B8E" w14:textId="77777777" w:rsidTr="00117BF8">
        <w:tc>
          <w:tcPr>
            <w:tcW w:w="2835" w:type="dxa"/>
            <w:tcBorders>
              <w:top w:val="nil"/>
              <w:left w:val="single" w:sz="8" w:space="0" w:color="auto"/>
              <w:bottom w:val="single" w:sz="8" w:space="0" w:color="auto"/>
              <w:right w:val="nil"/>
            </w:tcBorders>
            <w:shd w:val="clear" w:color="000000" w:fill="FFFFFF"/>
            <w:noWrap/>
            <w:hideMark/>
          </w:tcPr>
          <w:p w14:paraId="35512824" w14:textId="77777777" w:rsidR="00EE26E5" w:rsidRPr="00117BF8" w:rsidRDefault="00EE26E5" w:rsidP="00184D69">
            <w:pPr>
              <w:pStyle w:val="TablaC"/>
              <w:jc w:val="left"/>
              <w:rPr>
                <w:rFonts w:ascii="Arial" w:hAnsi="Arial" w:cs="Arial"/>
                <w:b/>
                <w:sz w:val="18"/>
                <w:szCs w:val="18"/>
              </w:rPr>
            </w:pPr>
            <w:r w:rsidRPr="00117BF8">
              <w:rPr>
                <w:rFonts w:ascii="Arial" w:hAnsi="Arial" w:cs="Arial"/>
                <w:b/>
                <w:sz w:val="18"/>
                <w:szCs w:val="18"/>
              </w:rPr>
              <w:t>IV. INGRESOS DE CAPITAL</w:t>
            </w:r>
          </w:p>
        </w:tc>
        <w:tc>
          <w:tcPr>
            <w:tcW w:w="941" w:type="dxa"/>
            <w:tcBorders>
              <w:top w:val="nil"/>
              <w:left w:val="single" w:sz="8" w:space="0" w:color="auto"/>
              <w:bottom w:val="nil"/>
              <w:right w:val="single" w:sz="8" w:space="0" w:color="auto"/>
            </w:tcBorders>
            <w:shd w:val="clear" w:color="000000" w:fill="FFFFFF"/>
            <w:noWrap/>
            <w:vAlign w:val="center"/>
            <w:hideMark/>
          </w:tcPr>
          <w:p w14:paraId="057DC34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7.257,8</w:t>
            </w:r>
          </w:p>
        </w:tc>
        <w:tc>
          <w:tcPr>
            <w:tcW w:w="941" w:type="dxa"/>
            <w:tcBorders>
              <w:top w:val="nil"/>
              <w:left w:val="nil"/>
              <w:bottom w:val="nil"/>
              <w:right w:val="single" w:sz="8" w:space="0" w:color="auto"/>
            </w:tcBorders>
            <w:shd w:val="clear" w:color="000000" w:fill="FFFFFF"/>
            <w:noWrap/>
            <w:vAlign w:val="center"/>
            <w:hideMark/>
          </w:tcPr>
          <w:p w14:paraId="44B81D6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9.158,8</w:t>
            </w:r>
          </w:p>
        </w:tc>
        <w:tc>
          <w:tcPr>
            <w:tcW w:w="941" w:type="dxa"/>
            <w:tcBorders>
              <w:top w:val="nil"/>
              <w:left w:val="nil"/>
              <w:bottom w:val="nil"/>
              <w:right w:val="single" w:sz="8" w:space="0" w:color="auto"/>
            </w:tcBorders>
            <w:shd w:val="clear" w:color="000000" w:fill="FFFFFF"/>
            <w:noWrap/>
            <w:vAlign w:val="center"/>
            <w:hideMark/>
          </w:tcPr>
          <w:p w14:paraId="664BF5B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10.838,7</w:t>
            </w:r>
          </w:p>
        </w:tc>
        <w:tc>
          <w:tcPr>
            <w:tcW w:w="941" w:type="dxa"/>
            <w:tcBorders>
              <w:top w:val="nil"/>
              <w:left w:val="nil"/>
              <w:bottom w:val="nil"/>
              <w:right w:val="single" w:sz="8" w:space="0" w:color="auto"/>
            </w:tcBorders>
            <w:shd w:val="clear" w:color="000000" w:fill="FFFFFF"/>
            <w:noWrap/>
            <w:vAlign w:val="center"/>
            <w:hideMark/>
          </w:tcPr>
          <w:p w14:paraId="0B1F5C4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13.668,0</w:t>
            </w:r>
          </w:p>
        </w:tc>
        <w:tc>
          <w:tcPr>
            <w:tcW w:w="941" w:type="dxa"/>
            <w:tcBorders>
              <w:top w:val="nil"/>
              <w:left w:val="nil"/>
              <w:bottom w:val="nil"/>
              <w:right w:val="single" w:sz="8" w:space="0" w:color="auto"/>
            </w:tcBorders>
            <w:shd w:val="clear" w:color="000000" w:fill="FFFFFF"/>
            <w:noWrap/>
            <w:vAlign w:val="center"/>
            <w:hideMark/>
          </w:tcPr>
          <w:p w14:paraId="4D23087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14.501,7</w:t>
            </w:r>
          </w:p>
        </w:tc>
        <w:tc>
          <w:tcPr>
            <w:tcW w:w="941" w:type="dxa"/>
            <w:tcBorders>
              <w:top w:val="nil"/>
              <w:left w:val="nil"/>
              <w:bottom w:val="nil"/>
              <w:right w:val="single" w:sz="8" w:space="0" w:color="auto"/>
            </w:tcBorders>
            <w:shd w:val="clear" w:color="000000" w:fill="FFFFFF"/>
            <w:noWrap/>
            <w:vAlign w:val="center"/>
            <w:hideMark/>
          </w:tcPr>
          <w:p w14:paraId="5408E226"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15.154,3</w:t>
            </w:r>
          </w:p>
        </w:tc>
        <w:tc>
          <w:tcPr>
            <w:tcW w:w="941" w:type="dxa"/>
            <w:tcBorders>
              <w:top w:val="nil"/>
              <w:left w:val="nil"/>
              <w:bottom w:val="nil"/>
              <w:right w:val="single" w:sz="8" w:space="0" w:color="auto"/>
            </w:tcBorders>
            <w:shd w:val="clear" w:color="000000" w:fill="FFFFFF"/>
            <w:noWrap/>
            <w:vAlign w:val="center"/>
            <w:hideMark/>
          </w:tcPr>
          <w:p w14:paraId="73D89DA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15.836,2</w:t>
            </w:r>
          </w:p>
        </w:tc>
        <w:tc>
          <w:tcPr>
            <w:tcW w:w="941" w:type="dxa"/>
            <w:tcBorders>
              <w:top w:val="nil"/>
              <w:left w:val="nil"/>
              <w:bottom w:val="nil"/>
              <w:right w:val="single" w:sz="8" w:space="0" w:color="auto"/>
            </w:tcBorders>
            <w:shd w:val="clear" w:color="000000" w:fill="FFFFFF"/>
            <w:noWrap/>
            <w:vAlign w:val="center"/>
            <w:hideMark/>
          </w:tcPr>
          <w:p w14:paraId="5823EA73"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16.548,9</w:t>
            </w:r>
          </w:p>
        </w:tc>
        <w:tc>
          <w:tcPr>
            <w:tcW w:w="941" w:type="dxa"/>
            <w:tcBorders>
              <w:top w:val="nil"/>
              <w:left w:val="nil"/>
              <w:bottom w:val="nil"/>
              <w:right w:val="single" w:sz="8" w:space="0" w:color="auto"/>
            </w:tcBorders>
            <w:shd w:val="clear" w:color="000000" w:fill="FFFFFF"/>
            <w:noWrap/>
            <w:vAlign w:val="center"/>
            <w:hideMark/>
          </w:tcPr>
          <w:p w14:paraId="74E62A3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17.293,6</w:t>
            </w:r>
          </w:p>
        </w:tc>
        <w:tc>
          <w:tcPr>
            <w:tcW w:w="941" w:type="dxa"/>
            <w:tcBorders>
              <w:top w:val="nil"/>
              <w:left w:val="nil"/>
              <w:bottom w:val="nil"/>
              <w:right w:val="single" w:sz="8" w:space="0" w:color="auto"/>
            </w:tcBorders>
            <w:shd w:val="clear" w:color="000000" w:fill="FFFFFF"/>
            <w:noWrap/>
            <w:vAlign w:val="center"/>
            <w:hideMark/>
          </w:tcPr>
          <w:p w14:paraId="3CEDB9F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18.071,8</w:t>
            </w:r>
          </w:p>
        </w:tc>
        <w:tc>
          <w:tcPr>
            <w:tcW w:w="1091" w:type="dxa"/>
            <w:tcBorders>
              <w:top w:val="nil"/>
              <w:left w:val="nil"/>
              <w:bottom w:val="nil"/>
              <w:right w:val="single" w:sz="8" w:space="0" w:color="auto"/>
            </w:tcBorders>
            <w:shd w:val="clear" w:color="000000" w:fill="FFFFFF"/>
            <w:noWrap/>
            <w:vAlign w:val="center"/>
            <w:hideMark/>
          </w:tcPr>
          <w:p w14:paraId="070552F7"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18.885,0</w:t>
            </w:r>
          </w:p>
        </w:tc>
        <w:tc>
          <w:tcPr>
            <w:tcW w:w="1091" w:type="dxa"/>
            <w:tcBorders>
              <w:top w:val="nil"/>
              <w:left w:val="nil"/>
              <w:bottom w:val="nil"/>
              <w:right w:val="single" w:sz="8" w:space="0" w:color="auto"/>
            </w:tcBorders>
            <w:shd w:val="clear" w:color="000000" w:fill="FFFFFF"/>
            <w:noWrap/>
            <w:vAlign w:val="center"/>
            <w:hideMark/>
          </w:tcPr>
          <w:p w14:paraId="724C93B6"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19.734,8</w:t>
            </w:r>
          </w:p>
        </w:tc>
        <w:tc>
          <w:tcPr>
            <w:tcW w:w="1091" w:type="dxa"/>
            <w:tcBorders>
              <w:top w:val="nil"/>
              <w:left w:val="nil"/>
              <w:bottom w:val="nil"/>
              <w:right w:val="single" w:sz="8" w:space="0" w:color="auto"/>
            </w:tcBorders>
            <w:shd w:val="clear" w:color="000000" w:fill="FFFFFF"/>
            <w:noWrap/>
            <w:vAlign w:val="center"/>
            <w:hideMark/>
          </w:tcPr>
          <w:p w14:paraId="7ECB9FF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20.622,9</w:t>
            </w:r>
          </w:p>
        </w:tc>
      </w:tr>
      <w:tr w:rsidR="00EE26E5" w:rsidRPr="004E6455" w14:paraId="6D5E09F2" w14:textId="77777777" w:rsidTr="00117BF8">
        <w:tc>
          <w:tcPr>
            <w:tcW w:w="2835" w:type="dxa"/>
            <w:tcBorders>
              <w:top w:val="nil"/>
              <w:left w:val="single" w:sz="8" w:space="0" w:color="auto"/>
              <w:bottom w:val="single" w:sz="8" w:space="0" w:color="auto"/>
              <w:right w:val="nil"/>
            </w:tcBorders>
            <w:shd w:val="clear" w:color="000000" w:fill="FFFFFF"/>
            <w:noWrap/>
            <w:hideMark/>
          </w:tcPr>
          <w:p w14:paraId="7FF06BA9" w14:textId="77777777" w:rsidR="00EE26E5" w:rsidRPr="00117BF8" w:rsidRDefault="00EE26E5" w:rsidP="00184D69">
            <w:pPr>
              <w:pStyle w:val="TablaC"/>
              <w:jc w:val="left"/>
              <w:rPr>
                <w:rFonts w:ascii="Arial" w:hAnsi="Arial" w:cs="Arial"/>
                <w:b/>
                <w:sz w:val="18"/>
                <w:szCs w:val="18"/>
              </w:rPr>
            </w:pPr>
            <w:r w:rsidRPr="00117BF8">
              <w:rPr>
                <w:rFonts w:ascii="Arial" w:hAnsi="Arial" w:cs="Arial"/>
                <w:b/>
                <w:sz w:val="18"/>
                <w:szCs w:val="18"/>
              </w:rPr>
              <w:t xml:space="preserve"> V. GASTOS DE CAPITAL</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55F33D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25.936,9</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7055C70D"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44.287,9</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25C24425"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51.735,7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28BD143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59.403,1</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78BC399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66.373,0</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67FB6DD6"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72.286,2</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3B1AC4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78.816,7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422B954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86.036,1</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1D09E0E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94.024,9</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1F0645F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102.873,8</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4EB760E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112.685,4</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6C0DA35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123.575,2</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6240DCA8"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135.673,7</w:t>
            </w:r>
          </w:p>
        </w:tc>
      </w:tr>
      <w:tr w:rsidR="00EE26E5" w:rsidRPr="004E6455" w14:paraId="09FABBB0" w14:textId="77777777" w:rsidTr="00117BF8">
        <w:tc>
          <w:tcPr>
            <w:tcW w:w="2835" w:type="dxa"/>
            <w:tcBorders>
              <w:top w:val="nil"/>
              <w:left w:val="single" w:sz="8" w:space="0" w:color="auto"/>
              <w:bottom w:val="single" w:sz="8" w:space="0" w:color="auto"/>
              <w:right w:val="nil"/>
            </w:tcBorders>
            <w:shd w:val="clear" w:color="000000" w:fill="FFFFFF"/>
            <w:noWrap/>
            <w:hideMark/>
          </w:tcPr>
          <w:p w14:paraId="4BB07EDA" w14:textId="77777777" w:rsidR="00EE26E5" w:rsidRPr="00117BF8" w:rsidRDefault="00EE26E5" w:rsidP="00184D69">
            <w:pPr>
              <w:pStyle w:val="TablaC"/>
              <w:jc w:val="left"/>
              <w:rPr>
                <w:rFonts w:ascii="Arial" w:hAnsi="Arial" w:cs="Arial"/>
                <w:b/>
                <w:sz w:val="18"/>
                <w:szCs w:val="18"/>
              </w:rPr>
            </w:pPr>
            <w:r w:rsidRPr="00117BF8">
              <w:rPr>
                <w:rFonts w:ascii="Arial" w:hAnsi="Arial" w:cs="Arial"/>
                <w:b/>
                <w:sz w:val="18"/>
                <w:szCs w:val="18"/>
              </w:rPr>
              <w:t xml:space="preserve"> VI. INGRESOS TOTALES (I+IV)</w:t>
            </w:r>
          </w:p>
        </w:tc>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4CFF477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383.768,1</w:t>
            </w:r>
          </w:p>
        </w:tc>
        <w:tc>
          <w:tcPr>
            <w:tcW w:w="941" w:type="dxa"/>
            <w:tcBorders>
              <w:top w:val="nil"/>
              <w:left w:val="nil"/>
              <w:bottom w:val="single" w:sz="8" w:space="0" w:color="auto"/>
              <w:right w:val="single" w:sz="8" w:space="0" w:color="auto"/>
            </w:tcBorders>
            <w:shd w:val="clear" w:color="000000" w:fill="FFFFFF"/>
            <w:noWrap/>
            <w:vAlign w:val="center"/>
            <w:hideMark/>
          </w:tcPr>
          <w:p w14:paraId="78647025"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487.829,9</w:t>
            </w:r>
          </w:p>
        </w:tc>
        <w:tc>
          <w:tcPr>
            <w:tcW w:w="941" w:type="dxa"/>
            <w:tcBorders>
              <w:top w:val="nil"/>
              <w:left w:val="nil"/>
              <w:bottom w:val="single" w:sz="8" w:space="0" w:color="auto"/>
              <w:right w:val="single" w:sz="8" w:space="0" w:color="auto"/>
            </w:tcBorders>
            <w:shd w:val="clear" w:color="000000" w:fill="FFFFFF"/>
            <w:noWrap/>
            <w:vAlign w:val="center"/>
            <w:hideMark/>
          </w:tcPr>
          <w:p w14:paraId="402F413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571.198,8</w:t>
            </w:r>
          </w:p>
        </w:tc>
        <w:tc>
          <w:tcPr>
            <w:tcW w:w="941" w:type="dxa"/>
            <w:tcBorders>
              <w:top w:val="nil"/>
              <w:left w:val="nil"/>
              <w:bottom w:val="single" w:sz="8" w:space="0" w:color="auto"/>
              <w:right w:val="single" w:sz="8" w:space="0" w:color="auto"/>
            </w:tcBorders>
            <w:shd w:val="clear" w:color="000000" w:fill="FFFFFF"/>
            <w:noWrap/>
            <w:vAlign w:val="center"/>
            <w:hideMark/>
          </w:tcPr>
          <w:p w14:paraId="6FE4B11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651.210,4</w:t>
            </w:r>
          </w:p>
        </w:tc>
        <w:tc>
          <w:tcPr>
            <w:tcW w:w="941" w:type="dxa"/>
            <w:tcBorders>
              <w:top w:val="nil"/>
              <w:left w:val="nil"/>
              <w:bottom w:val="single" w:sz="8" w:space="0" w:color="auto"/>
              <w:right w:val="single" w:sz="8" w:space="0" w:color="auto"/>
            </w:tcBorders>
            <w:shd w:val="clear" w:color="000000" w:fill="FFFFFF"/>
            <w:noWrap/>
            <w:vAlign w:val="center"/>
            <w:hideMark/>
          </w:tcPr>
          <w:p w14:paraId="336BAE35"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705.597,0</w:t>
            </w:r>
          </w:p>
        </w:tc>
        <w:tc>
          <w:tcPr>
            <w:tcW w:w="941" w:type="dxa"/>
            <w:tcBorders>
              <w:top w:val="nil"/>
              <w:left w:val="nil"/>
              <w:bottom w:val="single" w:sz="8" w:space="0" w:color="auto"/>
              <w:right w:val="single" w:sz="8" w:space="0" w:color="auto"/>
            </w:tcBorders>
            <w:shd w:val="clear" w:color="000000" w:fill="FFFFFF"/>
            <w:noWrap/>
            <w:vAlign w:val="center"/>
            <w:hideMark/>
          </w:tcPr>
          <w:p w14:paraId="4506E6B8"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754.646,9</w:t>
            </w:r>
          </w:p>
        </w:tc>
        <w:tc>
          <w:tcPr>
            <w:tcW w:w="941" w:type="dxa"/>
            <w:tcBorders>
              <w:top w:val="nil"/>
              <w:left w:val="nil"/>
              <w:bottom w:val="single" w:sz="8" w:space="0" w:color="auto"/>
              <w:right w:val="single" w:sz="8" w:space="0" w:color="auto"/>
            </w:tcBorders>
            <w:shd w:val="clear" w:color="000000" w:fill="FFFFFF"/>
            <w:noWrap/>
            <w:vAlign w:val="center"/>
            <w:hideMark/>
          </w:tcPr>
          <w:p w14:paraId="34CDF4EA"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808.051,0</w:t>
            </w:r>
          </w:p>
        </w:tc>
        <w:tc>
          <w:tcPr>
            <w:tcW w:w="941" w:type="dxa"/>
            <w:tcBorders>
              <w:top w:val="nil"/>
              <w:left w:val="nil"/>
              <w:bottom w:val="single" w:sz="8" w:space="0" w:color="auto"/>
              <w:right w:val="single" w:sz="8" w:space="0" w:color="auto"/>
            </w:tcBorders>
            <w:shd w:val="clear" w:color="000000" w:fill="FFFFFF"/>
            <w:noWrap/>
            <w:vAlign w:val="center"/>
            <w:hideMark/>
          </w:tcPr>
          <w:p w14:paraId="5C398734"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865.515,6</w:t>
            </w:r>
          </w:p>
        </w:tc>
        <w:tc>
          <w:tcPr>
            <w:tcW w:w="941" w:type="dxa"/>
            <w:tcBorders>
              <w:top w:val="nil"/>
              <w:left w:val="nil"/>
              <w:bottom w:val="single" w:sz="8" w:space="0" w:color="auto"/>
              <w:right w:val="single" w:sz="8" w:space="0" w:color="auto"/>
            </w:tcBorders>
            <w:shd w:val="clear" w:color="000000" w:fill="FFFFFF"/>
            <w:noWrap/>
            <w:vAlign w:val="center"/>
            <w:hideMark/>
          </w:tcPr>
          <w:p w14:paraId="2604B9B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927.357,7</w:t>
            </w:r>
          </w:p>
        </w:tc>
        <w:tc>
          <w:tcPr>
            <w:tcW w:w="941" w:type="dxa"/>
            <w:tcBorders>
              <w:top w:val="nil"/>
              <w:left w:val="nil"/>
              <w:bottom w:val="single" w:sz="8" w:space="0" w:color="auto"/>
              <w:right w:val="single" w:sz="8" w:space="0" w:color="auto"/>
            </w:tcBorders>
            <w:shd w:val="clear" w:color="000000" w:fill="FFFFFF"/>
            <w:noWrap/>
            <w:vAlign w:val="center"/>
            <w:hideMark/>
          </w:tcPr>
          <w:p w14:paraId="1E54B968"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993.919,2</w:t>
            </w:r>
          </w:p>
        </w:tc>
        <w:tc>
          <w:tcPr>
            <w:tcW w:w="1091" w:type="dxa"/>
            <w:tcBorders>
              <w:top w:val="nil"/>
              <w:left w:val="nil"/>
              <w:bottom w:val="single" w:sz="8" w:space="0" w:color="auto"/>
              <w:right w:val="single" w:sz="8" w:space="0" w:color="auto"/>
            </w:tcBorders>
            <w:shd w:val="clear" w:color="000000" w:fill="FFFFFF"/>
            <w:noWrap/>
            <w:vAlign w:val="center"/>
            <w:hideMark/>
          </w:tcPr>
          <w:p w14:paraId="33599928"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1.065.569,3</w:t>
            </w:r>
          </w:p>
        </w:tc>
        <w:tc>
          <w:tcPr>
            <w:tcW w:w="1091" w:type="dxa"/>
            <w:tcBorders>
              <w:top w:val="nil"/>
              <w:left w:val="nil"/>
              <w:bottom w:val="single" w:sz="8" w:space="0" w:color="auto"/>
              <w:right w:val="single" w:sz="8" w:space="0" w:color="auto"/>
            </w:tcBorders>
            <w:shd w:val="clear" w:color="000000" w:fill="FFFFFF"/>
            <w:noWrap/>
            <w:vAlign w:val="center"/>
            <w:hideMark/>
          </w:tcPr>
          <w:p w14:paraId="0F556D3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1.142.706,2</w:t>
            </w:r>
          </w:p>
        </w:tc>
        <w:tc>
          <w:tcPr>
            <w:tcW w:w="1091" w:type="dxa"/>
            <w:tcBorders>
              <w:top w:val="nil"/>
              <w:left w:val="nil"/>
              <w:bottom w:val="single" w:sz="8" w:space="0" w:color="auto"/>
              <w:right w:val="single" w:sz="8" w:space="0" w:color="auto"/>
            </w:tcBorders>
            <w:shd w:val="clear" w:color="000000" w:fill="FFFFFF"/>
            <w:noWrap/>
            <w:vAlign w:val="center"/>
            <w:hideMark/>
          </w:tcPr>
          <w:p w14:paraId="5B4BE77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1.225.760,0</w:t>
            </w:r>
          </w:p>
        </w:tc>
      </w:tr>
      <w:tr w:rsidR="00EE26E5" w:rsidRPr="004E6455" w14:paraId="22E838E5" w14:textId="77777777" w:rsidTr="00117BF8">
        <w:tc>
          <w:tcPr>
            <w:tcW w:w="2835" w:type="dxa"/>
            <w:tcBorders>
              <w:top w:val="nil"/>
              <w:left w:val="single" w:sz="8" w:space="0" w:color="auto"/>
              <w:bottom w:val="single" w:sz="8" w:space="0" w:color="auto"/>
              <w:right w:val="nil"/>
            </w:tcBorders>
            <w:shd w:val="clear" w:color="000000" w:fill="FFFFFF"/>
            <w:noWrap/>
            <w:hideMark/>
          </w:tcPr>
          <w:p w14:paraId="72FEF60C" w14:textId="77777777" w:rsidR="00EE26E5" w:rsidRPr="00117BF8" w:rsidRDefault="00EE26E5" w:rsidP="00184D69">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VII. GASTOS TOTALES (II+V)</w:t>
            </w:r>
          </w:p>
        </w:tc>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3A322385"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413.378,5</w:t>
            </w:r>
          </w:p>
        </w:tc>
        <w:tc>
          <w:tcPr>
            <w:tcW w:w="941" w:type="dxa"/>
            <w:tcBorders>
              <w:top w:val="nil"/>
              <w:left w:val="nil"/>
              <w:bottom w:val="single" w:sz="8" w:space="0" w:color="auto"/>
              <w:right w:val="single" w:sz="8" w:space="0" w:color="auto"/>
            </w:tcBorders>
            <w:shd w:val="clear" w:color="000000" w:fill="FFFFFF"/>
            <w:noWrap/>
            <w:vAlign w:val="center"/>
            <w:hideMark/>
          </w:tcPr>
          <w:p w14:paraId="30897438"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522.931,6</w:t>
            </w:r>
          </w:p>
        </w:tc>
        <w:tc>
          <w:tcPr>
            <w:tcW w:w="941" w:type="dxa"/>
            <w:tcBorders>
              <w:top w:val="nil"/>
              <w:left w:val="nil"/>
              <w:bottom w:val="single" w:sz="8" w:space="0" w:color="auto"/>
              <w:right w:val="single" w:sz="8" w:space="0" w:color="auto"/>
            </w:tcBorders>
            <w:shd w:val="clear" w:color="000000" w:fill="FFFFFF"/>
            <w:noWrap/>
            <w:vAlign w:val="center"/>
            <w:hideMark/>
          </w:tcPr>
          <w:p w14:paraId="243C4616"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597.677,1</w:t>
            </w:r>
          </w:p>
        </w:tc>
        <w:tc>
          <w:tcPr>
            <w:tcW w:w="941" w:type="dxa"/>
            <w:tcBorders>
              <w:top w:val="nil"/>
              <w:left w:val="nil"/>
              <w:bottom w:val="single" w:sz="8" w:space="0" w:color="auto"/>
              <w:right w:val="single" w:sz="8" w:space="0" w:color="auto"/>
            </w:tcBorders>
            <w:shd w:val="clear" w:color="000000" w:fill="FFFFFF"/>
            <w:noWrap/>
            <w:vAlign w:val="center"/>
            <w:hideMark/>
          </w:tcPr>
          <w:p w14:paraId="3759873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662.076,8</w:t>
            </w:r>
          </w:p>
        </w:tc>
        <w:tc>
          <w:tcPr>
            <w:tcW w:w="941" w:type="dxa"/>
            <w:tcBorders>
              <w:top w:val="nil"/>
              <w:left w:val="nil"/>
              <w:bottom w:val="single" w:sz="8" w:space="0" w:color="auto"/>
              <w:right w:val="single" w:sz="8" w:space="0" w:color="auto"/>
            </w:tcBorders>
            <w:shd w:val="clear" w:color="000000" w:fill="FFFFFF"/>
            <w:noWrap/>
            <w:vAlign w:val="center"/>
            <w:hideMark/>
          </w:tcPr>
          <w:p w14:paraId="00A639C8"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720.319,6</w:t>
            </w:r>
          </w:p>
        </w:tc>
        <w:tc>
          <w:tcPr>
            <w:tcW w:w="941" w:type="dxa"/>
            <w:tcBorders>
              <w:top w:val="nil"/>
              <w:left w:val="nil"/>
              <w:bottom w:val="single" w:sz="8" w:space="0" w:color="auto"/>
              <w:right w:val="single" w:sz="8" w:space="0" w:color="auto"/>
            </w:tcBorders>
            <w:shd w:val="clear" w:color="000000" w:fill="FFFFFF"/>
            <w:noWrap/>
            <w:vAlign w:val="center"/>
            <w:hideMark/>
          </w:tcPr>
          <w:p w14:paraId="0403627C"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765.073,0</w:t>
            </w:r>
          </w:p>
        </w:tc>
        <w:tc>
          <w:tcPr>
            <w:tcW w:w="941" w:type="dxa"/>
            <w:tcBorders>
              <w:top w:val="nil"/>
              <w:left w:val="nil"/>
              <w:bottom w:val="single" w:sz="8" w:space="0" w:color="auto"/>
              <w:right w:val="single" w:sz="8" w:space="0" w:color="auto"/>
            </w:tcBorders>
            <w:shd w:val="clear" w:color="000000" w:fill="FFFFFF"/>
            <w:noWrap/>
            <w:vAlign w:val="center"/>
            <w:hideMark/>
          </w:tcPr>
          <w:p w14:paraId="10E5E4B3"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814.977,3</w:t>
            </w:r>
          </w:p>
        </w:tc>
        <w:tc>
          <w:tcPr>
            <w:tcW w:w="941" w:type="dxa"/>
            <w:tcBorders>
              <w:top w:val="nil"/>
              <w:left w:val="nil"/>
              <w:bottom w:val="single" w:sz="8" w:space="0" w:color="auto"/>
              <w:right w:val="single" w:sz="8" w:space="0" w:color="auto"/>
            </w:tcBorders>
            <w:shd w:val="clear" w:color="000000" w:fill="FFFFFF"/>
            <w:noWrap/>
            <w:vAlign w:val="center"/>
            <w:hideMark/>
          </w:tcPr>
          <w:p w14:paraId="5E83681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870.002,9</w:t>
            </w:r>
          </w:p>
        </w:tc>
        <w:tc>
          <w:tcPr>
            <w:tcW w:w="941" w:type="dxa"/>
            <w:tcBorders>
              <w:top w:val="nil"/>
              <w:left w:val="nil"/>
              <w:bottom w:val="single" w:sz="8" w:space="0" w:color="auto"/>
              <w:right w:val="single" w:sz="8" w:space="0" w:color="auto"/>
            </w:tcBorders>
            <w:shd w:val="clear" w:color="000000" w:fill="FFFFFF"/>
            <w:noWrap/>
            <w:vAlign w:val="center"/>
            <w:hideMark/>
          </w:tcPr>
          <w:p w14:paraId="723D6313"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930.343,7</w:t>
            </w:r>
          </w:p>
        </w:tc>
        <w:tc>
          <w:tcPr>
            <w:tcW w:w="941" w:type="dxa"/>
            <w:tcBorders>
              <w:top w:val="nil"/>
              <w:left w:val="nil"/>
              <w:bottom w:val="single" w:sz="8" w:space="0" w:color="auto"/>
              <w:right w:val="single" w:sz="8" w:space="0" w:color="auto"/>
            </w:tcBorders>
            <w:shd w:val="clear" w:color="000000" w:fill="FFFFFF"/>
            <w:noWrap/>
            <w:vAlign w:val="center"/>
            <w:hideMark/>
          </w:tcPr>
          <w:p w14:paraId="380EB3B5"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993.402,6</w:t>
            </w:r>
          </w:p>
        </w:tc>
        <w:tc>
          <w:tcPr>
            <w:tcW w:w="1091" w:type="dxa"/>
            <w:tcBorders>
              <w:top w:val="nil"/>
              <w:left w:val="nil"/>
              <w:bottom w:val="single" w:sz="8" w:space="0" w:color="auto"/>
              <w:right w:val="single" w:sz="8" w:space="0" w:color="auto"/>
            </w:tcBorders>
            <w:shd w:val="clear" w:color="000000" w:fill="FFFFFF"/>
            <w:noWrap/>
            <w:vAlign w:val="center"/>
            <w:hideMark/>
          </w:tcPr>
          <w:p w14:paraId="2710FE7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1.061.364,6</w:t>
            </w:r>
          </w:p>
        </w:tc>
        <w:tc>
          <w:tcPr>
            <w:tcW w:w="1091" w:type="dxa"/>
            <w:tcBorders>
              <w:top w:val="nil"/>
              <w:left w:val="nil"/>
              <w:bottom w:val="single" w:sz="8" w:space="0" w:color="auto"/>
              <w:right w:val="single" w:sz="8" w:space="0" w:color="auto"/>
            </w:tcBorders>
            <w:shd w:val="clear" w:color="000000" w:fill="FFFFFF"/>
            <w:noWrap/>
            <w:vAlign w:val="center"/>
            <w:hideMark/>
          </w:tcPr>
          <w:p w14:paraId="52001C83"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1.134.209,6</w:t>
            </w:r>
          </w:p>
        </w:tc>
        <w:tc>
          <w:tcPr>
            <w:tcW w:w="1091" w:type="dxa"/>
            <w:tcBorders>
              <w:top w:val="nil"/>
              <w:left w:val="nil"/>
              <w:bottom w:val="single" w:sz="8" w:space="0" w:color="auto"/>
              <w:right w:val="single" w:sz="8" w:space="0" w:color="auto"/>
            </w:tcBorders>
            <w:shd w:val="clear" w:color="000000" w:fill="FFFFFF"/>
            <w:noWrap/>
            <w:vAlign w:val="center"/>
            <w:hideMark/>
          </w:tcPr>
          <w:p w14:paraId="6952A747"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1.212.973,7</w:t>
            </w:r>
          </w:p>
        </w:tc>
      </w:tr>
      <w:tr w:rsidR="00EE26E5" w:rsidRPr="004E6455" w14:paraId="385A334E" w14:textId="77777777" w:rsidTr="00117BF8">
        <w:tc>
          <w:tcPr>
            <w:tcW w:w="2835" w:type="dxa"/>
            <w:tcBorders>
              <w:top w:val="nil"/>
              <w:left w:val="single" w:sz="8" w:space="0" w:color="auto"/>
              <w:bottom w:val="single" w:sz="8" w:space="0" w:color="auto"/>
              <w:right w:val="nil"/>
            </w:tcBorders>
            <w:shd w:val="clear" w:color="000000" w:fill="FFFFFF"/>
            <w:noWrap/>
            <w:hideMark/>
          </w:tcPr>
          <w:p w14:paraId="41DB6476" w14:textId="77777777" w:rsidR="00EE26E5" w:rsidRPr="00117BF8" w:rsidRDefault="00EE26E5" w:rsidP="00184D69">
            <w:pPr>
              <w:pStyle w:val="TablaC"/>
              <w:jc w:val="left"/>
              <w:rPr>
                <w:rFonts w:ascii="Arial" w:hAnsi="Arial" w:cs="Arial"/>
                <w:b/>
                <w:sz w:val="18"/>
                <w:szCs w:val="18"/>
              </w:rPr>
            </w:pPr>
            <w:r w:rsidRPr="00117BF8">
              <w:rPr>
                <w:rFonts w:ascii="Arial" w:hAnsi="Arial" w:cs="Arial"/>
                <w:b/>
                <w:sz w:val="18"/>
                <w:szCs w:val="18"/>
              </w:rPr>
              <w:t xml:space="preserve"> IX. RESULTADO PRIMARIO (VI-VIII)</w:t>
            </w:r>
          </w:p>
        </w:tc>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18A9D05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-15.164,4</w:t>
            </w:r>
          </w:p>
        </w:tc>
        <w:tc>
          <w:tcPr>
            <w:tcW w:w="941" w:type="dxa"/>
            <w:tcBorders>
              <w:top w:val="nil"/>
              <w:left w:val="nil"/>
              <w:bottom w:val="single" w:sz="8" w:space="0" w:color="auto"/>
              <w:right w:val="single" w:sz="8" w:space="0" w:color="auto"/>
            </w:tcBorders>
            <w:shd w:val="clear" w:color="000000" w:fill="FFFFFF"/>
            <w:noWrap/>
            <w:vAlign w:val="center"/>
            <w:hideMark/>
          </w:tcPr>
          <w:p w14:paraId="45AA92C4"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-12.124,7</w:t>
            </w:r>
          </w:p>
        </w:tc>
        <w:tc>
          <w:tcPr>
            <w:tcW w:w="941" w:type="dxa"/>
            <w:tcBorders>
              <w:top w:val="nil"/>
              <w:left w:val="nil"/>
              <w:bottom w:val="single" w:sz="8" w:space="0" w:color="auto"/>
              <w:right w:val="single" w:sz="8" w:space="0" w:color="auto"/>
            </w:tcBorders>
            <w:shd w:val="clear" w:color="000000" w:fill="FFFFFF"/>
            <w:noWrap/>
            <w:vAlign w:val="center"/>
            <w:hideMark/>
          </w:tcPr>
          <w:p w14:paraId="3BCD3807"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489,4</w:t>
            </w:r>
          </w:p>
        </w:tc>
        <w:tc>
          <w:tcPr>
            <w:tcW w:w="941" w:type="dxa"/>
            <w:tcBorders>
              <w:top w:val="nil"/>
              <w:left w:val="nil"/>
              <w:bottom w:val="single" w:sz="8" w:space="0" w:color="auto"/>
              <w:right w:val="single" w:sz="8" w:space="0" w:color="auto"/>
            </w:tcBorders>
            <w:shd w:val="clear" w:color="000000" w:fill="FFFFFF"/>
            <w:noWrap/>
            <w:vAlign w:val="center"/>
            <w:hideMark/>
          </w:tcPr>
          <w:p w14:paraId="4AEB41A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20.912,1</w:t>
            </w:r>
          </w:p>
        </w:tc>
        <w:tc>
          <w:tcPr>
            <w:tcW w:w="941" w:type="dxa"/>
            <w:tcBorders>
              <w:top w:val="nil"/>
              <w:left w:val="nil"/>
              <w:bottom w:val="single" w:sz="8" w:space="0" w:color="auto"/>
              <w:right w:val="single" w:sz="8" w:space="0" w:color="auto"/>
            </w:tcBorders>
            <w:shd w:val="clear" w:color="000000" w:fill="FFFFFF"/>
            <w:noWrap/>
            <w:vAlign w:val="center"/>
            <w:hideMark/>
          </w:tcPr>
          <w:p w14:paraId="3E438195"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18.466,0</w:t>
            </w:r>
          </w:p>
        </w:tc>
        <w:tc>
          <w:tcPr>
            <w:tcW w:w="941" w:type="dxa"/>
            <w:tcBorders>
              <w:top w:val="nil"/>
              <w:left w:val="nil"/>
              <w:bottom w:val="single" w:sz="8" w:space="0" w:color="auto"/>
              <w:right w:val="single" w:sz="8" w:space="0" w:color="auto"/>
            </w:tcBorders>
            <w:shd w:val="clear" w:color="000000" w:fill="FFFFFF"/>
            <w:noWrap/>
            <w:vAlign w:val="center"/>
            <w:hideMark/>
          </w:tcPr>
          <w:p w14:paraId="3ECF150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23.311,9</w:t>
            </w:r>
          </w:p>
        </w:tc>
        <w:tc>
          <w:tcPr>
            <w:tcW w:w="941" w:type="dxa"/>
            <w:tcBorders>
              <w:top w:val="nil"/>
              <w:left w:val="nil"/>
              <w:bottom w:val="single" w:sz="8" w:space="0" w:color="auto"/>
              <w:right w:val="single" w:sz="8" w:space="0" w:color="auto"/>
            </w:tcBorders>
            <w:shd w:val="clear" w:color="000000" w:fill="FFFFFF"/>
            <w:noWrap/>
            <w:vAlign w:val="center"/>
            <w:hideMark/>
          </w:tcPr>
          <w:p w14:paraId="2965CC7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26.288,3</w:t>
            </w:r>
          </w:p>
        </w:tc>
        <w:tc>
          <w:tcPr>
            <w:tcW w:w="941" w:type="dxa"/>
            <w:tcBorders>
              <w:top w:val="nil"/>
              <w:left w:val="nil"/>
              <w:bottom w:val="single" w:sz="8" w:space="0" w:color="auto"/>
              <w:right w:val="single" w:sz="8" w:space="0" w:color="auto"/>
            </w:tcBorders>
            <w:shd w:val="clear" w:color="000000" w:fill="FFFFFF"/>
            <w:noWrap/>
            <w:vAlign w:val="center"/>
            <w:hideMark/>
          </w:tcPr>
          <w:p w14:paraId="4160AEF1"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29.667,6</w:t>
            </w:r>
          </w:p>
        </w:tc>
        <w:tc>
          <w:tcPr>
            <w:tcW w:w="941" w:type="dxa"/>
            <w:tcBorders>
              <w:top w:val="nil"/>
              <w:left w:val="nil"/>
              <w:bottom w:val="single" w:sz="8" w:space="0" w:color="auto"/>
              <w:right w:val="single" w:sz="8" w:space="0" w:color="auto"/>
            </w:tcBorders>
            <w:shd w:val="clear" w:color="000000" w:fill="FFFFFF"/>
            <w:noWrap/>
            <w:vAlign w:val="center"/>
            <w:hideMark/>
          </w:tcPr>
          <w:p w14:paraId="35242D9E"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33.482,3</w:t>
            </w:r>
          </w:p>
        </w:tc>
        <w:tc>
          <w:tcPr>
            <w:tcW w:w="941" w:type="dxa"/>
            <w:tcBorders>
              <w:top w:val="nil"/>
              <w:left w:val="nil"/>
              <w:bottom w:val="single" w:sz="8" w:space="0" w:color="auto"/>
              <w:right w:val="single" w:sz="8" w:space="0" w:color="auto"/>
            </w:tcBorders>
            <w:shd w:val="clear" w:color="000000" w:fill="FFFFFF"/>
            <w:noWrap/>
            <w:vAlign w:val="center"/>
            <w:hideMark/>
          </w:tcPr>
          <w:p w14:paraId="47F6C69D"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37.766,2</w:t>
            </w:r>
          </w:p>
        </w:tc>
        <w:tc>
          <w:tcPr>
            <w:tcW w:w="1091" w:type="dxa"/>
            <w:tcBorders>
              <w:top w:val="nil"/>
              <w:left w:val="nil"/>
              <w:bottom w:val="single" w:sz="8" w:space="0" w:color="auto"/>
              <w:right w:val="single" w:sz="8" w:space="0" w:color="auto"/>
            </w:tcBorders>
            <w:shd w:val="clear" w:color="000000" w:fill="FFFFFF"/>
            <w:noWrap/>
            <w:vAlign w:val="center"/>
            <w:hideMark/>
          </w:tcPr>
          <w:p w14:paraId="612E420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42.552,8</w:t>
            </w:r>
          </w:p>
        </w:tc>
        <w:tc>
          <w:tcPr>
            <w:tcW w:w="1091" w:type="dxa"/>
            <w:tcBorders>
              <w:top w:val="nil"/>
              <w:left w:val="nil"/>
              <w:bottom w:val="single" w:sz="8" w:space="0" w:color="auto"/>
              <w:right w:val="single" w:sz="8" w:space="0" w:color="auto"/>
            </w:tcBorders>
            <w:shd w:val="clear" w:color="000000" w:fill="FFFFFF"/>
            <w:noWrap/>
            <w:vAlign w:val="center"/>
            <w:hideMark/>
          </w:tcPr>
          <w:p w14:paraId="46A92F2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47.875,7</w:t>
            </w:r>
          </w:p>
        </w:tc>
        <w:tc>
          <w:tcPr>
            <w:tcW w:w="1091" w:type="dxa"/>
            <w:tcBorders>
              <w:top w:val="nil"/>
              <w:left w:val="nil"/>
              <w:bottom w:val="single" w:sz="8" w:space="0" w:color="auto"/>
              <w:right w:val="single" w:sz="8" w:space="0" w:color="auto"/>
            </w:tcBorders>
            <w:shd w:val="clear" w:color="000000" w:fill="FFFFFF"/>
            <w:noWrap/>
            <w:vAlign w:val="center"/>
            <w:hideMark/>
          </w:tcPr>
          <w:p w14:paraId="63831F7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53.767,8</w:t>
            </w:r>
          </w:p>
        </w:tc>
      </w:tr>
      <w:tr w:rsidR="00EE26E5" w:rsidRPr="004E6455" w14:paraId="3AFB60F5" w14:textId="77777777" w:rsidTr="00117BF8">
        <w:tc>
          <w:tcPr>
            <w:tcW w:w="2835" w:type="dxa"/>
            <w:tcBorders>
              <w:top w:val="nil"/>
              <w:left w:val="single" w:sz="8" w:space="0" w:color="auto"/>
              <w:bottom w:val="single" w:sz="8" w:space="0" w:color="auto"/>
              <w:right w:val="nil"/>
            </w:tcBorders>
            <w:shd w:val="clear" w:color="auto" w:fill="auto"/>
            <w:noWrap/>
            <w:hideMark/>
          </w:tcPr>
          <w:p w14:paraId="776EF779" w14:textId="77777777" w:rsidR="00EE26E5" w:rsidRPr="00117BF8" w:rsidRDefault="00EE26E5" w:rsidP="00184D69">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X. RESULTADO FINANCIERO (VI-VII)</w:t>
            </w:r>
          </w:p>
        </w:tc>
        <w:tc>
          <w:tcPr>
            <w:tcW w:w="941" w:type="dxa"/>
            <w:tcBorders>
              <w:top w:val="nil"/>
              <w:left w:val="single" w:sz="8" w:space="0" w:color="auto"/>
              <w:bottom w:val="single" w:sz="8" w:space="0" w:color="auto"/>
              <w:right w:val="single" w:sz="8" w:space="0" w:color="auto"/>
            </w:tcBorders>
            <w:shd w:val="clear" w:color="auto" w:fill="auto"/>
            <w:noWrap/>
            <w:vAlign w:val="center"/>
            <w:hideMark/>
          </w:tcPr>
          <w:p w14:paraId="7718C96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-29.610,4</w:t>
            </w:r>
          </w:p>
        </w:tc>
        <w:tc>
          <w:tcPr>
            <w:tcW w:w="941" w:type="dxa"/>
            <w:tcBorders>
              <w:top w:val="nil"/>
              <w:left w:val="nil"/>
              <w:bottom w:val="single" w:sz="8" w:space="0" w:color="auto"/>
              <w:right w:val="single" w:sz="8" w:space="0" w:color="auto"/>
            </w:tcBorders>
            <w:shd w:val="clear" w:color="auto" w:fill="auto"/>
            <w:noWrap/>
            <w:vAlign w:val="center"/>
            <w:hideMark/>
          </w:tcPr>
          <w:p w14:paraId="0CF261C9"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-35.101,7</w:t>
            </w:r>
          </w:p>
        </w:tc>
        <w:tc>
          <w:tcPr>
            <w:tcW w:w="941" w:type="dxa"/>
            <w:tcBorders>
              <w:top w:val="nil"/>
              <w:left w:val="nil"/>
              <w:bottom w:val="single" w:sz="8" w:space="0" w:color="auto"/>
              <w:right w:val="single" w:sz="8" w:space="0" w:color="auto"/>
            </w:tcBorders>
            <w:shd w:val="clear" w:color="auto" w:fill="auto"/>
            <w:noWrap/>
            <w:vAlign w:val="center"/>
            <w:hideMark/>
          </w:tcPr>
          <w:p w14:paraId="499E23E0"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-26.478,3</w:t>
            </w:r>
          </w:p>
        </w:tc>
        <w:tc>
          <w:tcPr>
            <w:tcW w:w="941" w:type="dxa"/>
            <w:tcBorders>
              <w:top w:val="nil"/>
              <w:left w:val="nil"/>
              <w:bottom w:val="single" w:sz="8" w:space="0" w:color="auto"/>
              <w:right w:val="single" w:sz="8" w:space="0" w:color="auto"/>
            </w:tcBorders>
            <w:shd w:val="clear" w:color="auto" w:fill="auto"/>
            <w:noWrap/>
            <w:vAlign w:val="center"/>
            <w:hideMark/>
          </w:tcPr>
          <w:p w14:paraId="52D329A2"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-10.866,4</w:t>
            </w:r>
          </w:p>
        </w:tc>
        <w:tc>
          <w:tcPr>
            <w:tcW w:w="941" w:type="dxa"/>
            <w:tcBorders>
              <w:top w:val="nil"/>
              <w:left w:val="nil"/>
              <w:bottom w:val="single" w:sz="8" w:space="0" w:color="auto"/>
              <w:right w:val="single" w:sz="8" w:space="0" w:color="auto"/>
            </w:tcBorders>
            <w:shd w:val="clear" w:color="auto" w:fill="auto"/>
            <w:noWrap/>
            <w:vAlign w:val="center"/>
            <w:hideMark/>
          </w:tcPr>
          <w:p w14:paraId="09F0FCDA"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-14.722,6</w:t>
            </w:r>
          </w:p>
        </w:tc>
        <w:tc>
          <w:tcPr>
            <w:tcW w:w="941" w:type="dxa"/>
            <w:tcBorders>
              <w:top w:val="nil"/>
              <w:left w:val="nil"/>
              <w:bottom w:val="single" w:sz="8" w:space="0" w:color="auto"/>
              <w:right w:val="single" w:sz="8" w:space="0" w:color="auto"/>
            </w:tcBorders>
            <w:shd w:val="clear" w:color="auto" w:fill="auto"/>
            <w:noWrap/>
            <w:vAlign w:val="center"/>
            <w:hideMark/>
          </w:tcPr>
          <w:p w14:paraId="7D20F83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-10.426,1</w:t>
            </w:r>
          </w:p>
        </w:tc>
        <w:tc>
          <w:tcPr>
            <w:tcW w:w="941" w:type="dxa"/>
            <w:tcBorders>
              <w:top w:val="nil"/>
              <w:left w:val="nil"/>
              <w:bottom w:val="single" w:sz="8" w:space="0" w:color="auto"/>
              <w:right w:val="single" w:sz="8" w:space="0" w:color="auto"/>
            </w:tcBorders>
            <w:shd w:val="clear" w:color="auto" w:fill="auto"/>
            <w:noWrap/>
            <w:vAlign w:val="center"/>
            <w:hideMark/>
          </w:tcPr>
          <w:p w14:paraId="74DFE2B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-6.926,3</w:t>
            </w:r>
          </w:p>
        </w:tc>
        <w:tc>
          <w:tcPr>
            <w:tcW w:w="941" w:type="dxa"/>
            <w:tcBorders>
              <w:top w:val="nil"/>
              <w:left w:val="nil"/>
              <w:bottom w:val="single" w:sz="8" w:space="0" w:color="auto"/>
              <w:right w:val="single" w:sz="8" w:space="0" w:color="auto"/>
            </w:tcBorders>
            <w:shd w:val="clear" w:color="auto" w:fill="auto"/>
            <w:noWrap/>
            <w:vAlign w:val="center"/>
            <w:hideMark/>
          </w:tcPr>
          <w:p w14:paraId="4C0AA835"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-4.487,3</w:t>
            </w:r>
          </w:p>
        </w:tc>
        <w:tc>
          <w:tcPr>
            <w:tcW w:w="941" w:type="dxa"/>
            <w:tcBorders>
              <w:top w:val="nil"/>
              <w:left w:val="nil"/>
              <w:bottom w:val="single" w:sz="8" w:space="0" w:color="auto"/>
              <w:right w:val="single" w:sz="8" w:space="0" w:color="auto"/>
            </w:tcBorders>
            <w:shd w:val="clear" w:color="auto" w:fill="auto"/>
            <w:noWrap/>
            <w:vAlign w:val="center"/>
            <w:hideMark/>
          </w:tcPr>
          <w:p w14:paraId="4FE3C59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-2.986,0</w:t>
            </w:r>
          </w:p>
        </w:tc>
        <w:tc>
          <w:tcPr>
            <w:tcW w:w="941" w:type="dxa"/>
            <w:tcBorders>
              <w:top w:val="nil"/>
              <w:left w:val="nil"/>
              <w:bottom w:val="single" w:sz="8" w:space="0" w:color="auto"/>
              <w:right w:val="single" w:sz="8" w:space="0" w:color="auto"/>
            </w:tcBorders>
            <w:shd w:val="clear" w:color="auto" w:fill="auto"/>
            <w:noWrap/>
            <w:vAlign w:val="center"/>
            <w:hideMark/>
          </w:tcPr>
          <w:p w14:paraId="7020A8AB"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516,6</w:t>
            </w:r>
          </w:p>
        </w:tc>
        <w:tc>
          <w:tcPr>
            <w:tcW w:w="1091" w:type="dxa"/>
            <w:tcBorders>
              <w:top w:val="nil"/>
              <w:left w:val="nil"/>
              <w:bottom w:val="single" w:sz="8" w:space="0" w:color="auto"/>
              <w:right w:val="single" w:sz="8" w:space="0" w:color="auto"/>
            </w:tcBorders>
            <w:shd w:val="clear" w:color="auto" w:fill="auto"/>
            <w:noWrap/>
            <w:vAlign w:val="center"/>
            <w:hideMark/>
          </w:tcPr>
          <w:p w14:paraId="2FF38E66"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4.204,7</w:t>
            </w:r>
          </w:p>
        </w:tc>
        <w:tc>
          <w:tcPr>
            <w:tcW w:w="1091" w:type="dxa"/>
            <w:tcBorders>
              <w:top w:val="nil"/>
              <w:left w:val="nil"/>
              <w:bottom w:val="single" w:sz="8" w:space="0" w:color="auto"/>
              <w:right w:val="single" w:sz="8" w:space="0" w:color="auto"/>
            </w:tcBorders>
            <w:shd w:val="clear" w:color="auto" w:fill="auto"/>
            <w:noWrap/>
            <w:vAlign w:val="center"/>
            <w:hideMark/>
          </w:tcPr>
          <w:p w14:paraId="2DAAB6A6"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8.496,7</w:t>
            </w:r>
          </w:p>
        </w:tc>
        <w:tc>
          <w:tcPr>
            <w:tcW w:w="1091" w:type="dxa"/>
            <w:tcBorders>
              <w:top w:val="nil"/>
              <w:left w:val="nil"/>
              <w:bottom w:val="single" w:sz="8" w:space="0" w:color="auto"/>
              <w:right w:val="single" w:sz="8" w:space="0" w:color="auto"/>
            </w:tcBorders>
            <w:shd w:val="clear" w:color="auto" w:fill="auto"/>
            <w:noWrap/>
            <w:vAlign w:val="center"/>
            <w:hideMark/>
          </w:tcPr>
          <w:p w14:paraId="092DBEBF" w14:textId="77777777" w:rsidR="00EE26E5" w:rsidRPr="00117BF8" w:rsidRDefault="00EE26E5" w:rsidP="001014F4">
            <w:pPr>
              <w:pStyle w:val="TablaC"/>
              <w:rPr>
                <w:rFonts w:ascii="Arial" w:hAnsi="Arial" w:cs="Arial"/>
                <w:b/>
                <w:sz w:val="18"/>
                <w:szCs w:val="18"/>
              </w:rPr>
            </w:pPr>
            <w:r w:rsidRPr="00117BF8">
              <w:rPr>
                <w:rFonts w:ascii="Arial" w:hAnsi="Arial" w:cs="Arial"/>
                <w:b/>
                <w:sz w:val="18"/>
                <w:szCs w:val="18"/>
              </w:rPr>
              <w:t>12.786,4</w:t>
            </w:r>
          </w:p>
        </w:tc>
      </w:tr>
    </w:tbl>
    <w:p w14:paraId="58C359FD" w14:textId="77777777" w:rsidR="00EE1F5A" w:rsidRPr="00117BF8" w:rsidRDefault="00EE1F5A" w:rsidP="00184D69">
      <w:pPr>
        <w:pStyle w:val="TablaC"/>
        <w:rPr>
          <w:rFonts w:ascii="Arial" w:hAnsi="Arial" w:cs="Arial"/>
        </w:rPr>
      </w:pPr>
    </w:p>
    <w:p w14:paraId="59602795" w14:textId="77777777" w:rsidR="00EE26E5" w:rsidRPr="00117BF8" w:rsidRDefault="00EE26E5" w:rsidP="00BC0FCD">
      <w:pPr>
        <w:pStyle w:val="hsa"/>
        <w:rPr>
          <w:rFonts w:ascii="Arial" w:hAnsi="Arial" w:cs="Arial"/>
        </w:rPr>
      </w:pPr>
    </w:p>
    <w:tbl>
      <w:tblPr>
        <w:tblW w:w="14286" w:type="dxa"/>
        <w:tblInd w:w="70" w:type="dxa"/>
        <w:tblCellMar>
          <w:left w:w="70" w:type="dxa"/>
          <w:right w:w="70" w:type="dxa"/>
        </w:tblCellMar>
        <w:tblLook w:val="04A0" w:firstRow="1" w:lastRow="0" w:firstColumn="1" w:lastColumn="0" w:noHBand="0" w:noVBand="1"/>
      </w:tblPr>
      <w:tblGrid>
        <w:gridCol w:w="3402"/>
        <w:gridCol w:w="941"/>
        <w:gridCol w:w="941"/>
        <w:gridCol w:w="941"/>
        <w:gridCol w:w="941"/>
        <w:gridCol w:w="941"/>
        <w:gridCol w:w="941"/>
        <w:gridCol w:w="941"/>
        <w:gridCol w:w="941"/>
        <w:gridCol w:w="941"/>
        <w:gridCol w:w="941"/>
        <w:gridCol w:w="941"/>
        <w:gridCol w:w="941"/>
      </w:tblGrid>
      <w:tr w:rsidR="006466C4" w:rsidRPr="004E6455" w14:paraId="7643A1F9" w14:textId="77777777" w:rsidTr="008A73D1">
        <w:tc>
          <w:tcPr>
            <w:tcW w:w="14286" w:type="dxa"/>
            <w:gridSpan w:val="13"/>
            <w:tcBorders>
              <w:top w:val="single" w:sz="8" w:space="0" w:color="auto"/>
              <w:left w:val="single" w:sz="8" w:space="0" w:color="auto"/>
              <w:bottom w:val="single" w:sz="8" w:space="0" w:color="auto"/>
              <w:right w:val="single" w:sz="8" w:space="0" w:color="auto"/>
            </w:tcBorders>
            <w:shd w:val="clear" w:color="auto" w:fill="0070C0"/>
            <w:noWrap/>
          </w:tcPr>
          <w:p w14:paraId="58DB75D0" w14:textId="4D0A2E85" w:rsidR="006466C4" w:rsidRPr="00117BF8" w:rsidRDefault="006466C4" w:rsidP="00883677">
            <w:pPr>
              <w:pStyle w:val="TablaT"/>
              <w:rPr>
                <w:rFonts w:ascii="Arial" w:hAnsi="Arial" w:cs="Arial"/>
                <w:sz w:val="22"/>
                <w:szCs w:val="22"/>
                <w:lang w:val="es-ES_tradnl"/>
              </w:rPr>
            </w:pPr>
            <w:bookmarkStart w:id="113" w:name="_Toc493861151"/>
            <w:r w:rsidRPr="00117BF8">
              <w:rPr>
                <w:rFonts w:ascii="Arial" w:hAnsi="Arial" w:cs="Arial"/>
                <w:sz w:val="22"/>
                <w:szCs w:val="22"/>
                <w:lang w:val="es-ES_tradnl"/>
              </w:rPr>
              <w:t xml:space="preserve">Tabla </w:t>
            </w:r>
            <w:r w:rsidR="00883677" w:rsidRPr="00117BF8">
              <w:rPr>
                <w:rFonts w:ascii="Arial" w:hAnsi="Arial" w:cs="Arial"/>
                <w:sz w:val="22"/>
                <w:szCs w:val="22"/>
                <w:lang w:val="es-ES_tradnl"/>
              </w:rPr>
              <w:t xml:space="preserve">41 </w:t>
            </w:r>
            <w:r w:rsidRPr="00117BF8">
              <w:rPr>
                <w:rFonts w:ascii="Arial" w:hAnsi="Arial" w:cs="Arial"/>
                <w:sz w:val="22"/>
                <w:szCs w:val="22"/>
                <w:lang w:val="es-ES_tradnl"/>
              </w:rPr>
              <w:t xml:space="preserve">– Indicadores </w:t>
            </w:r>
            <w:r w:rsidR="007D61D1" w:rsidRPr="00117BF8">
              <w:rPr>
                <w:rFonts w:ascii="Arial" w:hAnsi="Arial" w:cs="Arial"/>
                <w:sz w:val="22"/>
                <w:szCs w:val="22"/>
                <w:lang w:val="es-ES_tradnl"/>
              </w:rPr>
              <w:t xml:space="preserve">e Hipótesis </w:t>
            </w:r>
            <w:r w:rsidRPr="00117BF8">
              <w:rPr>
                <w:rFonts w:ascii="Arial" w:hAnsi="Arial" w:cs="Arial"/>
                <w:sz w:val="22"/>
                <w:szCs w:val="22"/>
                <w:lang w:val="es-ES_tradnl"/>
              </w:rPr>
              <w:t>Relevantes de las Proyecciones - Informados por La Provincial</w:t>
            </w:r>
            <w:bookmarkEnd w:id="113"/>
          </w:p>
        </w:tc>
      </w:tr>
      <w:tr w:rsidR="007D61D1" w:rsidRPr="004E6455" w14:paraId="3CEEBCEA" w14:textId="77777777" w:rsidTr="008A73D1">
        <w:tc>
          <w:tcPr>
            <w:tcW w:w="3402" w:type="dxa"/>
            <w:tcBorders>
              <w:top w:val="single" w:sz="8" w:space="0" w:color="auto"/>
              <w:left w:val="single" w:sz="8" w:space="0" w:color="auto"/>
              <w:right w:val="single" w:sz="8" w:space="0" w:color="auto"/>
            </w:tcBorders>
            <w:shd w:val="clear" w:color="auto" w:fill="0070C0"/>
            <w:noWrap/>
            <w:hideMark/>
          </w:tcPr>
          <w:p w14:paraId="1BA9BF80" w14:textId="77777777" w:rsidR="007D61D1" w:rsidRPr="00117BF8" w:rsidRDefault="007D61D1" w:rsidP="007D61D1">
            <w:pPr>
              <w:pStyle w:val="TablaE"/>
              <w:rPr>
                <w:rFonts w:ascii="Arial" w:hAnsi="Arial" w:cs="Arial"/>
                <w:sz w:val="22"/>
                <w:szCs w:val="22"/>
              </w:rPr>
            </w:pPr>
            <w:r w:rsidRPr="00117BF8">
              <w:rPr>
                <w:rFonts w:ascii="Arial" w:hAnsi="Arial" w:cs="Arial"/>
                <w:sz w:val="22"/>
                <w:szCs w:val="22"/>
              </w:rPr>
              <w:t>CONCEPTO</w:t>
            </w:r>
          </w:p>
        </w:tc>
        <w:tc>
          <w:tcPr>
            <w:tcW w:w="907" w:type="dxa"/>
            <w:tcBorders>
              <w:top w:val="single" w:sz="8" w:space="0" w:color="auto"/>
              <w:left w:val="single" w:sz="8" w:space="0" w:color="auto"/>
              <w:right w:val="single" w:sz="8" w:space="0" w:color="auto"/>
            </w:tcBorders>
            <w:shd w:val="clear" w:color="auto" w:fill="0070C0"/>
            <w:noWrap/>
            <w:hideMark/>
          </w:tcPr>
          <w:p w14:paraId="5A2456A8"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2017</w:t>
            </w:r>
          </w:p>
        </w:tc>
        <w:tc>
          <w:tcPr>
            <w:tcW w:w="907" w:type="dxa"/>
            <w:tcBorders>
              <w:top w:val="single" w:sz="8" w:space="0" w:color="auto"/>
              <w:left w:val="single" w:sz="8" w:space="0" w:color="auto"/>
              <w:right w:val="single" w:sz="8" w:space="0" w:color="auto"/>
            </w:tcBorders>
            <w:shd w:val="clear" w:color="auto" w:fill="0070C0"/>
            <w:noWrap/>
            <w:hideMark/>
          </w:tcPr>
          <w:p w14:paraId="3F1D5DF9"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2018</w:t>
            </w:r>
          </w:p>
        </w:tc>
        <w:tc>
          <w:tcPr>
            <w:tcW w:w="907" w:type="dxa"/>
            <w:tcBorders>
              <w:top w:val="single" w:sz="8" w:space="0" w:color="auto"/>
              <w:left w:val="single" w:sz="8" w:space="0" w:color="auto"/>
              <w:right w:val="single" w:sz="8" w:space="0" w:color="auto"/>
            </w:tcBorders>
            <w:shd w:val="clear" w:color="auto" w:fill="0070C0"/>
            <w:noWrap/>
            <w:hideMark/>
          </w:tcPr>
          <w:p w14:paraId="64AAE55C"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2019</w:t>
            </w:r>
          </w:p>
        </w:tc>
        <w:tc>
          <w:tcPr>
            <w:tcW w:w="907" w:type="dxa"/>
            <w:tcBorders>
              <w:top w:val="single" w:sz="8" w:space="0" w:color="auto"/>
              <w:left w:val="single" w:sz="8" w:space="0" w:color="auto"/>
              <w:right w:val="single" w:sz="8" w:space="0" w:color="auto"/>
            </w:tcBorders>
            <w:shd w:val="clear" w:color="auto" w:fill="0070C0"/>
            <w:noWrap/>
            <w:hideMark/>
          </w:tcPr>
          <w:p w14:paraId="0B2DD457"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2020</w:t>
            </w:r>
          </w:p>
        </w:tc>
        <w:tc>
          <w:tcPr>
            <w:tcW w:w="907" w:type="dxa"/>
            <w:tcBorders>
              <w:top w:val="single" w:sz="8" w:space="0" w:color="auto"/>
              <w:left w:val="single" w:sz="8" w:space="0" w:color="auto"/>
              <w:right w:val="single" w:sz="8" w:space="0" w:color="auto"/>
            </w:tcBorders>
            <w:shd w:val="clear" w:color="auto" w:fill="0070C0"/>
            <w:noWrap/>
            <w:hideMark/>
          </w:tcPr>
          <w:p w14:paraId="7837BFE1"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2021</w:t>
            </w:r>
          </w:p>
        </w:tc>
        <w:tc>
          <w:tcPr>
            <w:tcW w:w="907" w:type="dxa"/>
            <w:tcBorders>
              <w:top w:val="single" w:sz="8" w:space="0" w:color="auto"/>
              <w:left w:val="single" w:sz="8" w:space="0" w:color="auto"/>
              <w:right w:val="single" w:sz="8" w:space="0" w:color="auto"/>
            </w:tcBorders>
            <w:shd w:val="clear" w:color="auto" w:fill="0070C0"/>
            <w:noWrap/>
            <w:hideMark/>
          </w:tcPr>
          <w:p w14:paraId="0DC91660"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2022</w:t>
            </w:r>
          </w:p>
        </w:tc>
        <w:tc>
          <w:tcPr>
            <w:tcW w:w="907" w:type="dxa"/>
            <w:tcBorders>
              <w:top w:val="single" w:sz="8" w:space="0" w:color="auto"/>
              <w:left w:val="single" w:sz="8" w:space="0" w:color="auto"/>
              <w:right w:val="single" w:sz="8" w:space="0" w:color="auto"/>
            </w:tcBorders>
            <w:shd w:val="clear" w:color="auto" w:fill="0070C0"/>
            <w:noWrap/>
            <w:hideMark/>
          </w:tcPr>
          <w:p w14:paraId="766C0942"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2023</w:t>
            </w:r>
          </w:p>
        </w:tc>
        <w:tc>
          <w:tcPr>
            <w:tcW w:w="907" w:type="dxa"/>
            <w:tcBorders>
              <w:top w:val="single" w:sz="8" w:space="0" w:color="auto"/>
              <w:left w:val="single" w:sz="8" w:space="0" w:color="auto"/>
              <w:right w:val="single" w:sz="8" w:space="0" w:color="auto"/>
            </w:tcBorders>
            <w:shd w:val="clear" w:color="auto" w:fill="0070C0"/>
            <w:noWrap/>
            <w:hideMark/>
          </w:tcPr>
          <w:p w14:paraId="29AC2582"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2024</w:t>
            </w:r>
          </w:p>
        </w:tc>
        <w:tc>
          <w:tcPr>
            <w:tcW w:w="907" w:type="dxa"/>
            <w:tcBorders>
              <w:top w:val="single" w:sz="8" w:space="0" w:color="auto"/>
              <w:left w:val="single" w:sz="8" w:space="0" w:color="auto"/>
              <w:right w:val="single" w:sz="8" w:space="0" w:color="auto"/>
            </w:tcBorders>
            <w:shd w:val="clear" w:color="auto" w:fill="0070C0"/>
            <w:noWrap/>
            <w:hideMark/>
          </w:tcPr>
          <w:p w14:paraId="4C27C1DF"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2025</w:t>
            </w:r>
          </w:p>
        </w:tc>
        <w:tc>
          <w:tcPr>
            <w:tcW w:w="907" w:type="dxa"/>
            <w:tcBorders>
              <w:top w:val="single" w:sz="8" w:space="0" w:color="auto"/>
              <w:left w:val="single" w:sz="8" w:space="0" w:color="auto"/>
              <w:right w:val="single" w:sz="8" w:space="0" w:color="auto"/>
            </w:tcBorders>
            <w:shd w:val="clear" w:color="auto" w:fill="0070C0"/>
            <w:noWrap/>
            <w:hideMark/>
          </w:tcPr>
          <w:p w14:paraId="2C455317"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2026</w:t>
            </w:r>
          </w:p>
        </w:tc>
        <w:tc>
          <w:tcPr>
            <w:tcW w:w="907" w:type="dxa"/>
            <w:tcBorders>
              <w:top w:val="single" w:sz="8" w:space="0" w:color="auto"/>
              <w:left w:val="single" w:sz="8" w:space="0" w:color="auto"/>
              <w:right w:val="single" w:sz="8" w:space="0" w:color="auto"/>
            </w:tcBorders>
            <w:shd w:val="clear" w:color="auto" w:fill="0070C0"/>
            <w:noWrap/>
            <w:hideMark/>
          </w:tcPr>
          <w:p w14:paraId="7A917357"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2027</w:t>
            </w:r>
          </w:p>
        </w:tc>
        <w:tc>
          <w:tcPr>
            <w:tcW w:w="907" w:type="dxa"/>
            <w:tcBorders>
              <w:top w:val="single" w:sz="8" w:space="0" w:color="auto"/>
              <w:left w:val="single" w:sz="8" w:space="0" w:color="auto"/>
              <w:right w:val="single" w:sz="8" w:space="0" w:color="auto"/>
            </w:tcBorders>
            <w:shd w:val="clear" w:color="auto" w:fill="0070C0"/>
            <w:noWrap/>
            <w:hideMark/>
          </w:tcPr>
          <w:p w14:paraId="3902D694" w14:textId="77777777" w:rsidR="007D61D1" w:rsidRPr="00117BF8" w:rsidRDefault="007D61D1" w:rsidP="006466C4">
            <w:pPr>
              <w:pStyle w:val="TablaE"/>
              <w:rPr>
                <w:rFonts w:ascii="Arial" w:hAnsi="Arial" w:cs="Arial"/>
                <w:sz w:val="22"/>
                <w:szCs w:val="22"/>
              </w:rPr>
            </w:pPr>
            <w:r w:rsidRPr="00117BF8">
              <w:rPr>
                <w:rFonts w:ascii="Arial" w:hAnsi="Arial" w:cs="Arial"/>
                <w:sz w:val="22"/>
                <w:szCs w:val="22"/>
              </w:rPr>
              <w:t>2028</w:t>
            </w:r>
          </w:p>
        </w:tc>
      </w:tr>
      <w:tr w:rsidR="007D61D1" w:rsidRPr="00AF0E82" w14:paraId="0390854A" w14:textId="77777777" w:rsidTr="008A73D1">
        <w:tc>
          <w:tcPr>
            <w:tcW w:w="3402" w:type="dxa"/>
            <w:tcBorders>
              <w:left w:val="single" w:sz="8" w:space="0" w:color="auto"/>
              <w:right w:val="single" w:sz="8" w:space="0" w:color="auto"/>
            </w:tcBorders>
            <w:shd w:val="clear" w:color="000000" w:fill="FFFFFF"/>
            <w:noWrap/>
            <w:hideMark/>
          </w:tcPr>
          <w:p w14:paraId="2DD22BFC" w14:textId="77777777" w:rsidR="007D61D1" w:rsidRPr="00117BF8" w:rsidRDefault="007D61D1" w:rsidP="007D61D1">
            <w:pPr>
              <w:pStyle w:val="TablaC"/>
              <w:jc w:val="left"/>
              <w:rPr>
                <w:rFonts w:ascii="Arial" w:hAnsi="Arial" w:cs="Arial"/>
                <w:b/>
                <w:sz w:val="18"/>
                <w:szCs w:val="18"/>
                <w:lang w:val="es-ES_tradnl"/>
              </w:rPr>
            </w:pPr>
            <w:r w:rsidRPr="00117BF8">
              <w:rPr>
                <w:rFonts w:ascii="Arial" w:hAnsi="Arial" w:cs="Arial"/>
                <w:sz w:val="18"/>
                <w:szCs w:val="18"/>
                <w:lang w:val="es-ES_tradnl"/>
              </w:rPr>
              <w:t>Stock de deuda</w:t>
            </w:r>
            <w:r w:rsidR="0074039F" w:rsidRPr="00117BF8">
              <w:rPr>
                <w:rFonts w:ascii="Arial" w:hAnsi="Arial" w:cs="Arial"/>
                <w:sz w:val="18"/>
                <w:szCs w:val="18"/>
                <w:lang w:val="es-ES_tradnl"/>
              </w:rPr>
              <w:t>- millones de $</w:t>
            </w:r>
          </w:p>
        </w:tc>
        <w:tc>
          <w:tcPr>
            <w:tcW w:w="907" w:type="dxa"/>
            <w:tcBorders>
              <w:left w:val="nil"/>
              <w:right w:val="single" w:sz="8" w:space="0" w:color="auto"/>
            </w:tcBorders>
            <w:shd w:val="clear" w:color="000000" w:fill="FFFFFF"/>
            <w:noWrap/>
            <w:hideMark/>
          </w:tcPr>
          <w:p w14:paraId="72EE2741"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257.007,2</w:t>
            </w:r>
          </w:p>
        </w:tc>
        <w:tc>
          <w:tcPr>
            <w:tcW w:w="907" w:type="dxa"/>
            <w:tcBorders>
              <w:left w:val="nil"/>
              <w:right w:val="single" w:sz="8" w:space="0" w:color="auto"/>
            </w:tcBorders>
            <w:shd w:val="clear" w:color="000000" w:fill="FFFFFF"/>
            <w:noWrap/>
            <w:hideMark/>
          </w:tcPr>
          <w:p w14:paraId="3564D81C"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321.799,6</w:t>
            </w:r>
          </w:p>
        </w:tc>
        <w:tc>
          <w:tcPr>
            <w:tcW w:w="907" w:type="dxa"/>
            <w:tcBorders>
              <w:left w:val="nil"/>
              <w:right w:val="single" w:sz="8" w:space="0" w:color="auto"/>
            </w:tcBorders>
            <w:shd w:val="clear" w:color="000000" w:fill="FFFFFF"/>
            <w:noWrap/>
            <w:hideMark/>
          </w:tcPr>
          <w:p w14:paraId="78C3686F"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363.218,5</w:t>
            </w:r>
          </w:p>
        </w:tc>
        <w:tc>
          <w:tcPr>
            <w:tcW w:w="907" w:type="dxa"/>
            <w:tcBorders>
              <w:left w:val="nil"/>
              <w:right w:val="single" w:sz="8" w:space="0" w:color="auto"/>
            </w:tcBorders>
            <w:shd w:val="clear" w:color="000000" w:fill="FFFFFF"/>
            <w:noWrap/>
            <w:hideMark/>
          </w:tcPr>
          <w:p w14:paraId="7B8A685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389.094,3</w:t>
            </w:r>
          </w:p>
        </w:tc>
        <w:tc>
          <w:tcPr>
            <w:tcW w:w="907" w:type="dxa"/>
            <w:tcBorders>
              <w:left w:val="nil"/>
              <w:right w:val="single" w:sz="8" w:space="0" w:color="auto"/>
            </w:tcBorders>
            <w:shd w:val="clear" w:color="000000" w:fill="FFFFFF"/>
            <w:noWrap/>
            <w:hideMark/>
          </w:tcPr>
          <w:p w14:paraId="07D2329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411.226,7</w:t>
            </w:r>
          </w:p>
        </w:tc>
        <w:tc>
          <w:tcPr>
            <w:tcW w:w="907" w:type="dxa"/>
            <w:tcBorders>
              <w:left w:val="nil"/>
              <w:right w:val="single" w:sz="8" w:space="0" w:color="auto"/>
            </w:tcBorders>
            <w:shd w:val="clear" w:color="000000" w:fill="FFFFFF"/>
            <w:noWrap/>
            <w:hideMark/>
          </w:tcPr>
          <w:p w14:paraId="25EC9CDC"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430.403,8</w:t>
            </w:r>
          </w:p>
        </w:tc>
        <w:tc>
          <w:tcPr>
            <w:tcW w:w="907" w:type="dxa"/>
            <w:tcBorders>
              <w:left w:val="nil"/>
              <w:right w:val="single" w:sz="8" w:space="0" w:color="auto"/>
            </w:tcBorders>
            <w:shd w:val="clear" w:color="000000" w:fill="FFFFFF"/>
            <w:noWrap/>
            <w:hideMark/>
          </w:tcPr>
          <w:p w14:paraId="014A660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447.904,5</w:t>
            </w:r>
          </w:p>
        </w:tc>
        <w:tc>
          <w:tcPr>
            <w:tcW w:w="907" w:type="dxa"/>
            <w:tcBorders>
              <w:left w:val="nil"/>
              <w:right w:val="single" w:sz="8" w:space="0" w:color="auto"/>
            </w:tcBorders>
            <w:shd w:val="clear" w:color="000000" w:fill="FFFFFF"/>
            <w:noWrap/>
            <w:hideMark/>
          </w:tcPr>
          <w:p w14:paraId="1E383C8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464.378,5</w:t>
            </w:r>
          </w:p>
        </w:tc>
        <w:tc>
          <w:tcPr>
            <w:tcW w:w="907" w:type="dxa"/>
            <w:tcBorders>
              <w:left w:val="nil"/>
              <w:right w:val="single" w:sz="8" w:space="0" w:color="auto"/>
            </w:tcBorders>
            <w:shd w:val="clear" w:color="000000" w:fill="FFFFFF"/>
            <w:noWrap/>
            <w:hideMark/>
          </w:tcPr>
          <w:p w14:paraId="6E7622A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478.004,8</w:t>
            </w:r>
          </w:p>
        </w:tc>
        <w:tc>
          <w:tcPr>
            <w:tcW w:w="907" w:type="dxa"/>
            <w:tcBorders>
              <w:left w:val="nil"/>
              <w:right w:val="single" w:sz="8" w:space="0" w:color="auto"/>
            </w:tcBorders>
            <w:shd w:val="clear" w:color="000000" w:fill="FFFFFF"/>
            <w:noWrap/>
            <w:hideMark/>
          </w:tcPr>
          <w:p w14:paraId="451BC3A2"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488.425,0</w:t>
            </w:r>
          </w:p>
        </w:tc>
        <w:tc>
          <w:tcPr>
            <w:tcW w:w="907" w:type="dxa"/>
            <w:tcBorders>
              <w:left w:val="nil"/>
              <w:right w:val="single" w:sz="8" w:space="0" w:color="auto"/>
            </w:tcBorders>
            <w:shd w:val="clear" w:color="000000" w:fill="FFFFFF"/>
            <w:noWrap/>
            <w:hideMark/>
          </w:tcPr>
          <w:p w14:paraId="552CFC2F"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494.963,0</w:t>
            </w:r>
          </w:p>
        </w:tc>
        <w:tc>
          <w:tcPr>
            <w:tcW w:w="907" w:type="dxa"/>
            <w:tcBorders>
              <w:left w:val="nil"/>
              <w:right w:val="single" w:sz="8" w:space="0" w:color="auto"/>
            </w:tcBorders>
            <w:shd w:val="clear" w:color="000000" w:fill="FFFFFF"/>
            <w:noWrap/>
            <w:hideMark/>
          </w:tcPr>
          <w:p w14:paraId="39D38B37"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497.531,6</w:t>
            </w:r>
          </w:p>
        </w:tc>
      </w:tr>
      <w:tr w:rsidR="007D61D1" w:rsidRPr="00AF0E82" w14:paraId="2ED491B6" w14:textId="77777777" w:rsidTr="008A73D1">
        <w:tc>
          <w:tcPr>
            <w:tcW w:w="3402" w:type="dxa"/>
            <w:tcBorders>
              <w:top w:val="nil"/>
              <w:left w:val="single" w:sz="8" w:space="0" w:color="auto"/>
              <w:bottom w:val="nil"/>
              <w:right w:val="single" w:sz="8" w:space="0" w:color="auto"/>
            </w:tcBorders>
            <w:shd w:val="clear" w:color="000000" w:fill="FFFFFF"/>
            <w:noWrap/>
            <w:hideMark/>
          </w:tcPr>
          <w:p w14:paraId="5A562639" w14:textId="77777777" w:rsidR="007D61D1" w:rsidRPr="00117BF8" w:rsidRDefault="007D61D1" w:rsidP="007D61D1">
            <w:pPr>
              <w:pStyle w:val="TablaC"/>
              <w:jc w:val="left"/>
              <w:rPr>
                <w:rFonts w:ascii="Arial" w:hAnsi="Arial" w:cs="Arial"/>
                <w:sz w:val="18"/>
                <w:szCs w:val="18"/>
              </w:rPr>
            </w:pPr>
            <w:r w:rsidRPr="00117BF8">
              <w:rPr>
                <w:rFonts w:ascii="Arial" w:hAnsi="Arial" w:cs="Arial"/>
                <w:sz w:val="18"/>
                <w:szCs w:val="18"/>
              </w:rPr>
              <w:t>PBG</w:t>
            </w:r>
            <w:r w:rsidR="0074039F" w:rsidRPr="00117BF8">
              <w:rPr>
                <w:rFonts w:ascii="Arial" w:hAnsi="Arial" w:cs="Arial"/>
                <w:sz w:val="18"/>
                <w:szCs w:val="18"/>
              </w:rPr>
              <w:t xml:space="preserve"> - millones de $</w:t>
            </w:r>
          </w:p>
        </w:tc>
        <w:tc>
          <w:tcPr>
            <w:tcW w:w="907" w:type="dxa"/>
            <w:tcBorders>
              <w:top w:val="nil"/>
              <w:left w:val="nil"/>
              <w:bottom w:val="nil"/>
              <w:right w:val="single" w:sz="8" w:space="0" w:color="auto"/>
            </w:tcBorders>
            <w:shd w:val="clear" w:color="000000" w:fill="FFFFFF"/>
            <w:noWrap/>
            <w:hideMark/>
          </w:tcPr>
          <w:p w14:paraId="36053758"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3.488.428</w:t>
            </w:r>
          </w:p>
        </w:tc>
        <w:tc>
          <w:tcPr>
            <w:tcW w:w="907" w:type="dxa"/>
            <w:tcBorders>
              <w:top w:val="nil"/>
              <w:left w:val="nil"/>
              <w:bottom w:val="nil"/>
              <w:right w:val="single" w:sz="8" w:space="0" w:color="auto"/>
            </w:tcBorders>
            <w:shd w:val="clear" w:color="000000" w:fill="FFFFFF"/>
            <w:noWrap/>
            <w:hideMark/>
          </w:tcPr>
          <w:p w14:paraId="0128EE42"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4.126.810</w:t>
            </w:r>
          </w:p>
        </w:tc>
        <w:tc>
          <w:tcPr>
            <w:tcW w:w="907" w:type="dxa"/>
            <w:tcBorders>
              <w:top w:val="nil"/>
              <w:left w:val="nil"/>
              <w:bottom w:val="nil"/>
              <w:right w:val="single" w:sz="8" w:space="0" w:color="auto"/>
            </w:tcBorders>
            <w:shd w:val="clear" w:color="000000" w:fill="FFFFFF"/>
            <w:noWrap/>
            <w:hideMark/>
          </w:tcPr>
          <w:p w14:paraId="1A4911CD"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4.634.408</w:t>
            </w:r>
          </w:p>
        </w:tc>
        <w:tc>
          <w:tcPr>
            <w:tcW w:w="907" w:type="dxa"/>
            <w:tcBorders>
              <w:top w:val="nil"/>
              <w:left w:val="nil"/>
              <w:bottom w:val="nil"/>
              <w:right w:val="single" w:sz="8" w:space="0" w:color="auto"/>
            </w:tcBorders>
            <w:shd w:val="clear" w:color="000000" w:fill="FFFFFF"/>
            <w:noWrap/>
            <w:hideMark/>
          </w:tcPr>
          <w:p w14:paraId="003CA551"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5.088.580</w:t>
            </w:r>
          </w:p>
        </w:tc>
        <w:tc>
          <w:tcPr>
            <w:tcW w:w="907" w:type="dxa"/>
            <w:tcBorders>
              <w:top w:val="nil"/>
              <w:left w:val="nil"/>
              <w:bottom w:val="nil"/>
              <w:right w:val="single" w:sz="8" w:space="0" w:color="auto"/>
            </w:tcBorders>
            <w:shd w:val="clear" w:color="000000" w:fill="FFFFFF"/>
            <w:noWrap/>
            <w:hideMark/>
          </w:tcPr>
          <w:p w14:paraId="319ECA1D"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5.505.843</w:t>
            </w:r>
          </w:p>
        </w:tc>
        <w:tc>
          <w:tcPr>
            <w:tcW w:w="907" w:type="dxa"/>
            <w:tcBorders>
              <w:top w:val="nil"/>
              <w:left w:val="nil"/>
              <w:bottom w:val="nil"/>
              <w:right w:val="single" w:sz="8" w:space="0" w:color="auto"/>
            </w:tcBorders>
            <w:shd w:val="clear" w:color="000000" w:fill="FFFFFF"/>
            <w:noWrap/>
            <w:hideMark/>
          </w:tcPr>
          <w:p w14:paraId="33BC86C7"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5.957.322</w:t>
            </w:r>
          </w:p>
        </w:tc>
        <w:tc>
          <w:tcPr>
            <w:tcW w:w="907" w:type="dxa"/>
            <w:tcBorders>
              <w:top w:val="nil"/>
              <w:left w:val="nil"/>
              <w:bottom w:val="nil"/>
              <w:right w:val="single" w:sz="8" w:space="0" w:color="auto"/>
            </w:tcBorders>
            <w:shd w:val="clear" w:color="000000" w:fill="FFFFFF"/>
            <w:noWrap/>
            <w:hideMark/>
          </w:tcPr>
          <w:p w14:paraId="628B4E67"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6.445.823</w:t>
            </w:r>
          </w:p>
        </w:tc>
        <w:tc>
          <w:tcPr>
            <w:tcW w:w="907" w:type="dxa"/>
            <w:tcBorders>
              <w:top w:val="nil"/>
              <w:left w:val="nil"/>
              <w:bottom w:val="nil"/>
              <w:right w:val="single" w:sz="8" w:space="0" w:color="auto"/>
            </w:tcBorders>
            <w:shd w:val="clear" w:color="000000" w:fill="FFFFFF"/>
            <w:noWrap/>
            <w:hideMark/>
          </w:tcPr>
          <w:p w14:paraId="154BC044"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6.974.380</w:t>
            </w:r>
          </w:p>
        </w:tc>
        <w:tc>
          <w:tcPr>
            <w:tcW w:w="907" w:type="dxa"/>
            <w:tcBorders>
              <w:top w:val="nil"/>
              <w:left w:val="nil"/>
              <w:bottom w:val="nil"/>
              <w:right w:val="single" w:sz="8" w:space="0" w:color="auto"/>
            </w:tcBorders>
            <w:shd w:val="clear" w:color="000000" w:fill="FFFFFF"/>
            <w:noWrap/>
            <w:hideMark/>
          </w:tcPr>
          <w:p w14:paraId="161BAFA5"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7.546.279</w:t>
            </w:r>
          </w:p>
        </w:tc>
        <w:tc>
          <w:tcPr>
            <w:tcW w:w="907" w:type="dxa"/>
            <w:tcBorders>
              <w:top w:val="nil"/>
              <w:left w:val="nil"/>
              <w:bottom w:val="nil"/>
              <w:right w:val="single" w:sz="8" w:space="0" w:color="auto"/>
            </w:tcBorders>
            <w:shd w:val="clear" w:color="000000" w:fill="FFFFFF"/>
            <w:noWrap/>
            <w:hideMark/>
          </w:tcPr>
          <w:p w14:paraId="3F2E1699"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8.165.074</w:t>
            </w:r>
          </w:p>
        </w:tc>
        <w:tc>
          <w:tcPr>
            <w:tcW w:w="907" w:type="dxa"/>
            <w:tcBorders>
              <w:top w:val="nil"/>
              <w:left w:val="nil"/>
              <w:bottom w:val="nil"/>
              <w:right w:val="single" w:sz="8" w:space="0" w:color="auto"/>
            </w:tcBorders>
            <w:shd w:val="clear" w:color="000000" w:fill="FFFFFF"/>
            <w:noWrap/>
            <w:hideMark/>
          </w:tcPr>
          <w:p w14:paraId="6625B44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8.834.610</w:t>
            </w:r>
          </w:p>
        </w:tc>
        <w:tc>
          <w:tcPr>
            <w:tcW w:w="907" w:type="dxa"/>
            <w:tcBorders>
              <w:top w:val="nil"/>
              <w:left w:val="nil"/>
              <w:bottom w:val="nil"/>
              <w:right w:val="single" w:sz="8" w:space="0" w:color="auto"/>
            </w:tcBorders>
            <w:shd w:val="clear" w:color="000000" w:fill="FFFFFF"/>
            <w:noWrap/>
            <w:hideMark/>
          </w:tcPr>
          <w:p w14:paraId="4F814F85"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9.559.048</w:t>
            </w:r>
          </w:p>
        </w:tc>
      </w:tr>
      <w:tr w:rsidR="007D61D1" w:rsidRPr="00AF0E82" w14:paraId="240FE348" w14:textId="77777777" w:rsidTr="008A73D1">
        <w:tc>
          <w:tcPr>
            <w:tcW w:w="3402" w:type="dxa"/>
            <w:tcBorders>
              <w:left w:val="single" w:sz="8" w:space="0" w:color="auto"/>
              <w:right w:val="single" w:sz="8" w:space="0" w:color="auto"/>
            </w:tcBorders>
            <w:shd w:val="clear" w:color="000000" w:fill="FFFFFF"/>
            <w:noWrap/>
            <w:hideMark/>
          </w:tcPr>
          <w:p w14:paraId="2BE6B847" w14:textId="77777777" w:rsidR="007D61D1" w:rsidRPr="00117BF8" w:rsidRDefault="007D61D1" w:rsidP="007D61D1">
            <w:pPr>
              <w:pStyle w:val="TablaC"/>
              <w:jc w:val="left"/>
              <w:rPr>
                <w:rFonts w:ascii="Arial" w:hAnsi="Arial" w:cs="Arial"/>
                <w:b/>
                <w:sz w:val="18"/>
                <w:szCs w:val="18"/>
              </w:rPr>
            </w:pPr>
            <w:r w:rsidRPr="00117BF8">
              <w:rPr>
                <w:rFonts w:ascii="Arial" w:hAnsi="Arial" w:cs="Arial"/>
                <w:sz w:val="18"/>
                <w:szCs w:val="18"/>
              </w:rPr>
              <w:t>Ratio deuda / PBG</w:t>
            </w:r>
          </w:p>
        </w:tc>
        <w:tc>
          <w:tcPr>
            <w:tcW w:w="907" w:type="dxa"/>
            <w:tcBorders>
              <w:left w:val="nil"/>
              <w:right w:val="single" w:sz="8" w:space="0" w:color="auto"/>
            </w:tcBorders>
            <w:shd w:val="clear" w:color="000000" w:fill="FFFFFF"/>
            <w:noWrap/>
            <w:hideMark/>
          </w:tcPr>
          <w:p w14:paraId="4D38485F"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7,4%</w:t>
            </w:r>
          </w:p>
        </w:tc>
        <w:tc>
          <w:tcPr>
            <w:tcW w:w="907" w:type="dxa"/>
            <w:tcBorders>
              <w:left w:val="nil"/>
              <w:right w:val="single" w:sz="8" w:space="0" w:color="auto"/>
            </w:tcBorders>
            <w:shd w:val="clear" w:color="000000" w:fill="FFFFFF"/>
            <w:noWrap/>
            <w:hideMark/>
          </w:tcPr>
          <w:p w14:paraId="033D306B"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7,8%</w:t>
            </w:r>
          </w:p>
        </w:tc>
        <w:tc>
          <w:tcPr>
            <w:tcW w:w="907" w:type="dxa"/>
            <w:tcBorders>
              <w:left w:val="nil"/>
              <w:right w:val="single" w:sz="8" w:space="0" w:color="auto"/>
            </w:tcBorders>
            <w:shd w:val="clear" w:color="000000" w:fill="FFFFFF"/>
            <w:noWrap/>
            <w:hideMark/>
          </w:tcPr>
          <w:p w14:paraId="5D772C6C"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7,8%</w:t>
            </w:r>
          </w:p>
        </w:tc>
        <w:tc>
          <w:tcPr>
            <w:tcW w:w="907" w:type="dxa"/>
            <w:tcBorders>
              <w:left w:val="nil"/>
              <w:right w:val="single" w:sz="8" w:space="0" w:color="auto"/>
            </w:tcBorders>
            <w:shd w:val="clear" w:color="000000" w:fill="FFFFFF"/>
            <w:noWrap/>
            <w:hideMark/>
          </w:tcPr>
          <w:p w14:paraId="3FF003E1"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7,6%</w:t>
            </w:r>
          </w:p>
        </w:tc>
        <w:tc>
          <w:tcPr>
            <w:tcW w:w="907" w:type="dxa"/>
            <w:tcBorders>
              <w:left w:val="nil"/>
              <w:right w:val="single" w:sz="8" w:space="0" w:color="auto"/>
            </w:tcBorders>
            <w:shd w:val="clear" w:color="000000" w:fill="FFFFFF"/>
            <w:noWrap/>
            <w:hideMark/>
          </w:tcPr>
          <w:p w14:paraId="75D194A5"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7,5%</w:t>
            </w:r>
          </w:p>
        </w:tc>
        <w:tc>
          <w:tcPr>
            <w:tcW w:w="907" w:type="dxa"/>
            <w:tcBorders>
              <w:left w:val="nil"/>
              <w:right w:val="single" w:sz="8" w:space="0" w:color="auto"/>
            </w:tcBorders>
            <w:shd w:val="clear" w:color="000000" w:fill="FFFFFF"/>
            <w:noWrap/>
            <w:hideMark/>
          </w:tcPr>
          <w:p w14:paraId="044069D8"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7,2%</w:t>
            </w:r>
          </w:p>
        </w:tc>
        <w:tc>
          <w:tcPr>
            <w:tcW w:w="907" w:type="dxa"/>
            <w:tcBorders>
              <w:left w:val="nil"/>
              <w:right w:val="single" w:sz="8" w:space="0" w:color="auto"/>
            </w:tcBorders>
            <w:shd w:val="clear" w:color="000000" w:fill="FFFFFF"/>
            <w:noWrap/>
            <w:hideMark/>
          </w:tcPr>
          <w:p w14:paraId="36292629"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6,9%</w:t>
            </w:r>
          </w:p>
        </w:tc>
        <w:tc>
          <w:tcPr>
            <w:tcW w:w="907" w:type="dxa"/>
            <w:tcBorders>
              <w:left w:val="nil"/>
              <w:right w:val="single" w:sz="8" w:space="0" w:color="auto"/>
            </w:tcBorders>
            <w:shd w:val="clear" w:color="000000" w:fill="FFFFFF"/>
            <w:noWrap/>
            <w:hideMark/>
          </w:tcPr>
          <w:p w14:paraId="63A9D08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6,7%</w:t>
            </w:r>
          </w:p>
        </w:tc>
        <w:tc>
          <w:tcPr>
            <w:tcW w:w="907" w:type="dxa"/>
            <w:tcBorders>
              <w:left w:val="nil"/>
              <w:right w:val="single" w:sz="8" w:space="0" w:color="auto"/>
            </w:tcBorders>
            <w:shd w:val="clear" w:color="000000" w:fill="FFFFFF"/>
            <w:noWrap/>
            <w:hideMark/>
          </w:tcPr>
          <w:p w14:paraId="04B2B361"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6,3%</w:t>
            </w:r>
          </w:p>
        </w:tc>
        <w:tc>
          <w:tcPr>
            <w:tcW w:w="907" w:type="dxa"/>
            <w:tcBorders>
              <w:left w:val="nil"/>
              <w:right w:val="single" w:sz="8" w:space="0" w:color="auto"/>
            </w:tcBorders>
            <w:shd w:val="clear" w:color="000000" w:fill="FFFFFF"/>
            <w:noWrap/>
            <w:hideMark/>
          </w:tcPr>
          <w:p w14:paraId="569830E8"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6,0%</w:t>
            </w:r>
          </w:p>
        </w:tc>
        <w:tc>
          <w:tcPr>
            <w:tcW w:w="907" w:type="dxa"/>
            <w:tcBorders>
              <w:left w:val="nil"/>
              <w:right w:val="single" w:sz="8" w:space="0" w:color="auto"/>
            </w:tcBorders>
            <w:shd w:val="clear" w:color="000000" w:fill="FFFFFF"/>
            <w:noWrap/>
            <w:hideMark/>
          </w:tcPr>
          <w:p w14:paraId="2799159D"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5,6%</w:t>
            </w:r>
          </w:p>
        </w:tc>
        <w:tc>
          <w:tcPr>
            <w:tcW w:w="907" w:type="dxa"/>
            <w:tcBorders>
              <w:left w:val="nil"/>
              <w:right w:val="single" w:sz="8" w:space="0" w:color="auto"/>
            </w:tcBorders>
            <w:shd w:val="clear" w:color="000000" w:fill="FFFFFF"/>
            <w:noWrap/>
            <w:hideMark/>
          </w:tcPr>
          <w:p w14:paraId="36DF0000"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5,2%</w:t>
            </w:r>
          </w:p>
        </w:tc>
      </w:tr>
      <w:tr w:rsidR="007D61D1" w:rsidRPr="00AF0E82" w14:paraId="1C8F4C00" w14:textId="77777777" w:rsidTr="008A73D1">
        <w:tc>
          <w:tcPr>
            <w:tcW w:w="3402" w:type="dxa"/>
            <w:tcBorders>
              <w:top w:val="nil"/>
              <w:left w:val="single" w:sz="8" w:space="0" w:color="auto"/>
              <w:bottom w:val="nil"/>
              <w:right w:val="single" w:sz="8" w:space="0" w:color="auto"/>
            </w:tcBorders>
            <w:shd w:val="clear" w:color="000000" w:fill="FFFFFF"/>
            <w:noWrap/>
            <w:hideMark/>
          </w:tcPr>
          <w:p w14:paraId="108F0E7C" w14:textId="77777777" w:rsidR="007D61D1" w:rsidRPr="00117BF8" w:rsidRDefault="007D61D1" w:rsidP="007D61D1">
            <w:pPr>
              <w:pStyle w:val="TablaC"/>
              <w:jc w:val="left"/>
              <w:rPr>
                <w:rFonts w:ascii="Arial" w:hAnsi="Arial" w:cs="Arial"/>
                <w:sz w:val="18"/>
                <w:szCs w:val="18"/>
              </w:rPr>
            </w:pPr>
            <w:r w:rsidRPr="00117BF8">
              <w:rPr>
                <w:rFonts w:ascii="Arial" w:hAnsi="Arial" w:cs="Arial"/>
                <w:sz w:val="18"/>
                <w:szCs w:val="18"/>
              </w:rPr>
              <w:t>Ratio deuda / ingresos corrientes</w:t>
            </w:r>
          </w:p>
        </w:tc>
        <w:tc>
          <w:tcPr>
            <w:tcW w:w="907" w:type="dxa"/>
            <w:tcBorders>
              <w:top w:val="nil"/>
              <w:left w:val="nil"/>
              <w:bottom w:val="nil"/>
              <w:right w:val="single" w:sz="8" w:space="0" w:color="auto"/>
            </w:tcBorders>
            <w:shd w:val="clear" w:color="000000" w:fill="FFFFFF"/>
            <w:noWrap/>
            <w:hideMark/>
          </w:tcPr>
          <w:p w14:paraId="5B2B6FE8"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53,7%</w:t>
            </w:r>
          </w:p>
        </w:tc>
        <w:tc>
          <w:tcPr>
            <w:tcW w:w="907" w:type="dxa"/>
            <w:tcBorders>
              <w:top w:val="nil"/>
              <w:left w:val="nil"/>
              <w:bottom w:val="nil"/>
              <w:right w:val="single" w:sz="8" w:space="0" w:color="auto"/>
            </w:tcBorders>
            <w:shd w:val="clear" w:color="000000" w:fill="FFFFFF"/>
            <w:noWrap/>
            <w:hideMark/>
          </w:tcPr>
          <w:p w14:paraId="2C70EE59"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57,4%</w:t>
            </w:r>
          </w:p>
        </w:tc>
        <w:tc>
          <w:tcPr>
            <w:tcW w:w="907" w:type="dxa"/>
            <w:tcBorders>
              <w:top w:val="nil"/>
              <w:left w:val="nil"/>
              <w:bottom w:val="nil"/>
              <w:right w:val="single" w:sz="8" w:space="0" w:color="auto"/>
            </w:tcBorders>
            <w:shd w:val="clear" w:color="000000" w:fill="FFFFFF"/>
            <w:noWrap/>
            <w:hideMark/>
          </w:tcPr>
          <w:p w14:paraId="0374A8B9"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57,0%</w:t>
            </w:r>
          </w:p>
        </w:tc>
        <w:tc>
          <w:tcPr>
            <w:tcW w:w="907" w:type="dxa"/>
            <w:tcBorders>
              <w:top w:val="nil"/>
              <w:left w:val="nil"/>
              <w:bottom w:val="nil"/>
              <w:right w:val="single" w:sz="8" w:space="0" w:color="auto"/>
            </w:tcBorders>
            <w:shd w:val="clear" w:color="000000" w:fill="FFFFFF"/>
            <w:noWrap/>
            <w:hideMark/>
          </w:tcPr>
          <w:p w14:paraId="2D79734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56,3%</w:t>
            </w:r>
          </w:p>
        </w:tc>
        <w:tc>
          <w:tcPr>
            <w:tcW w:w="907" w:type="dxa"/>
            <w:tcBorders>
              <w:top w:val="nil"/>
              <w:left w:val="nil"/>
              <w:bottom w:val="nil"/>
              <w:right w:val="single" w:sz="8" w:space="0" w:color="auto"/>
            </w:tcBorders>
            <w:shd w:val="clear" w:color="000000" w:fill="FFFFFF"/>
            <w:noWrap/>
            <w:hideMark/>
          </w:tcPr>
          <w:p w14:paraId="274791B5"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55,6%</w:t>
            </w:r>
          </w:p>
        </w:tc>
        <w:tc>
          <w:tcPr>
            <w:tcW w:w="907" w:type="dxa"/>
            <w:tcBorders>
              <w:top w:val="nil"/>
              <w:left w:val="nil"/>
              <w:bottom w:val="nil"/>
              <w:right w:val="single" w:sz="8" w:space="0" w:color="auto"/>
            </w:tcBorders>
            <w:shd w:val="clear" w:color="000000" w:fill="FFFFFF"/>
            <w:noWrap/>
            <w:hideMark/>
          </w:tcPr>
          <w:p w14:paraId="7FAD815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54,3%</w:t>
            </w:r>
          </w:p>
        </w:tc>
        <w:tc>
          <w:tcPr>
            <w:tcW w:w="907" w:type="dxa"/>
            <w:tcBorders>
              <w:top w:val="nil"/>
              <w:left w:val="nil"/>
              <w:bottom w:val="nil"/>
              <w:right w:val="single" w:sz="8" w:space="0" w:color="auto"/>
            </w:tcBorders>
            <w:shd w:val="clear" w:color="000000" w:fill="FFFFFF"/>
            <w:noWrap/>
            <w:hideMark/>
          </w:tcPr>
          <w:p w14:paraId="3E48472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52,8%</w:t>
            </w:r>
          </w:p>
        </w:tc>
        <w:tc>
          <w:tcPr>
            <w:tcW w:w="907" w:type="dxa"/>
            <w:tcBorders>
              <w:top w:val="nil"/>
              <w:left w:val="nil"/>
              <w:bottom w:val="nil"/>
              <w:right w:val="single" w:sz="8" w:space="0" w:color="auto"/>
            </w:tcBorders>
            <w:shd w:val="clear" w:color="000000" w:fill="FFFFFF"/>
            <w:noWrap/>
            <w:hideMark/>
          </w:tcPr>
          <w:p w14:paraId="75DEFEA1"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51,0%</w:t>
            </w:r>
          </w:p>
        </w:tc>
        <w:tc>
          <w:tcPr>
            <w:tcW w:w="907" w:type="dxa"/>
            <w:tcBorders>
              <w:top w:val="nil"/>
              <w:left w:val="nil"/>
              <w:bottom w:val="nil"/>
              <w:right w:val="single" w:sz="8" w:space="0" w:color="auto"/>
            </w:tcBorders>
            <w:shd w:val="clear" w:color="000000" w:fill="FFFFFF"/>
            <w:noWrap/>
            <w:hideMark/>
          </w:tcPr>
          <w:p w14:paraId="06DB67AB"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49,0%</w:t>
            </w:r>
          </w:p>
        </w:tc>
        <w:tc>
          <w:tcPr>
            <w:tcW w:w="907" w:type="dxa"/>
            <w:tcBorders>
              <w:top w:val="nil"/>
              <w:left w:val="nil"/>
              <w:bottom w:val="nil"/>
              <w:right w:val="single" w:sz="8" w:space="0" w:color="auto"/>
            </w:tcBorders>
            <w:shd w:val="clear" w:color="000000" w:fill="FFFFFF"/>
            <w:noWrap/>
            <w:hideMark/>
          </w:tcPr>
          <w:p w14:paraId="2A24C44B"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46,7%</w:t>
            </w:r>
          </w:p>
        </w:tc>
        <w:tc>
          <w:tcPr>
            <w:tcW w:w="907" w:type="dxa"/>
            <w:tcBorders>
              <w:top w:val="nil"/>
              <w:left w:val="nil"/>
              <w:bottom w:val="nil"/>
              <w:right w:val="single" w:sz="8" w:space="0" w:color="auto"/>
            </w:tcBorders>
            <w:shd w:val="clear" w:color="000000" w:fill="FFFFFF"/>
            <w:noWrap/>
            <w:hideMark/>
          </w:tcPr>
          <w:p w14:paraId="5F8B3B6C"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44,1%</w:t>
            </w:r>
          </w:p>
        </w:tc>
        <w:tc>
          <w:tcPr>
            <w:tcW w:w="907" w:type="dxa"/>
            <w:tcBorders>
              <w:top w:val="nil"/>
              <w:left w:val="nil"/>
              <w:bottom w:val="nil"/>
              <w:right w:val="single" w:sz="8" w:space="0" w:color="auto"/>
            </w:tcBorders>
            <w:shd w:val="clear" w:color="000000" w:fill="FFFFFF"/>
            <w:noWrap/>
            <w:hideMark/>
          </w:tcPr>
          <w:p w14:paraId="7B7397B1"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41,3%</w:t>
            </w:r>
          </w:p>
        </w:tc>
      </w:tr>
      <w:tr w:rsidR="007D61D1" w:rsidRPr="00AF0E82" w14:paraId="098C396A" w14:textId="77777777" w:rsidTr="008A73D1">
        <w:tc>
          <w:tcPr>
            <w:tcW w:w="3402" w:type="dxa"/>
            <w:tcBorders>
              <w:top w:val="nil"/>
              <w:left w:val="single" w:sz="8" w:space="0" w:color="auto"/>
              <w:bottom w:val="nil"/>
              <w:right w:val="single" w:sz="8" w:space="0" w:color="auto"/>
            </w:tcBorders>
            <w:shd w:val="clear" w:color="000000" w:fill="FFFFFF"/>
            <w:noWrap/>
            <w:hideMark/>
          </w:tcPr>
          <w:p w14:paraId="406368A7" w14:textId="77777777" w:rsidR="007D61D1" w:rsidRPr="00117BF8" w:rsidRDefault="007D61D1" w:rsidP="00CC1F1A">
            <w:pPr>
              <w:pStyle w:val="TablaC"/>
              <w:jc w:val="left"/>
              <w:rPr>
                <w:rFonts w:ascii="Arial" w:hAnsi="Arial" w:cs="Arial"/>
                <w:sz w:val="18"/>
                <w:szCs w:val="18"/>
                <w:lang w:val="es-ES_tradnl"/>
              </w:rPr>
            </w:pPr>
            <w:r w:rsidRPr="00117BF8">
              <w:rPr>
                <w:rFonts w:ascii="Arial" w:hAnsi="Arial" w:cs="Arial"/>
                <w:sz w:val="18"/>
                <w:szCs w:val="18"/>
                <w:lang w:val="es-ES_tradnl"/>
              </w:rPr>
              <w:t>Ratio servicios de deuda / ingr</w:t>
            </w:r>
            <w:r w:rsidR="00CC1F1A" w:rsidRPr="00117BF8">
              <w:rPr>
                <w:rFonts w:ascii="Arial" w:hAnsi="Arial" w:cs="Arial"/>
                <w:sz w:val="18"/>
                <w:szCs w:val="18"/>
                <w:lang w:val="es-ES_tradnl"/>
              </w:rPr>
              <w:t>.</w:t>
            </w:r>
            <w:r w:rsidRPr="00117BF8">
              <w:rPr>
                <w:rFonts w:ascii="Arial" w:hAnsi="Arial" w:cs="Arial"/>
                <w:sz w:val="18"/>
                <w:szCs w:val="18"/>
                <w:lang w:val="es-ES_tradnl"/>
              </w:rPr>
              <w:t xml:space="preserve"> corrientes</w:t>
            </w:r>
          </w:p>
        </w:tc>
        <w:tc>
          <w:tcPr>
            <w:tcW w:w="907" w:type="dxa"/>
            <w:tcBorders>
              <w:top w:val="nil"/>
              <w:left w:val="nil"/>
              <w:bottom w:val="nil"/>
              <w:right w:val="single" w:sz="8" w:space="0" w:color="auto"/>
            </w:tcBorders>
            <w:shd w:val="clear" w:color="000000" w:fill="FFFFFF"/>
            <w:noWrap/>
            <w:hideMark/>
          </w:tcPr>
          <w:p w14:paraId="40B2A18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9,5%</w:t>
            </w:r>
          </w:p>
        </w:tc>
        <w:tc>
          <w:tcPr>
            <w:tcW w:w="907" w:type="dxa"/>
            <w:tcBorders>
              <w:top w:val="nil"/>
              <w:left w:val="nil"/>
              <w:bottom w:val="nil"/>
              <w:right w:val="single" w:sz="8" w:space="0" w:color="auto"/>
            </w:tcBorders>
            <w:shd w:val="clear" w:color="000000" w:fill="FFFFFF"/>
            <w:noWrap/>
            <w:hideMark/>
          </w:tcPr>
          <w:p w14:paraId="1FEC00E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9,1%</w:t>
            </w:r>
          </w:p>
        </w:tc>
        <w:tc>
          <w:tcPr>
            <w:tcW w:w="907" w:type="dxa"/>
            <w:tcBorders>
              <w:top w:val="nil"/>
              <w:left w:val="nil"/>
              <w:bottom w:val="nil"/>
              <w:right w:val="single" w:sz="8" w:space="0" w:color="auto"/>
            </w:tcBorders>
            <w:shd w:val="clear" w:color="000000" w:fill="FFFFFF"/>
            <w:noWrap/>
            <w:hideMark/>
          </w:tcPr>
          <w:p w14:paraId="3BEC5D1D"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12,1%</w:t>
            </w:r>
          </w:p>
        </w:tc>
        <w:tc>
          <w:tcPr>
            <w:tcW w:w="907" w:type="dxa"/>
            <w:tcBorders>
              <w:top w:val="nil"/>
              <w:left w:val="nil"/>
              <w:bottom w:val="nil"/>
              <w:right w:val="single" w:sz="8" w:space="0" w:color="auto"/>
            </w:tcBorders>
            <w:shd w:val="clear" w:color="000000" w:fill="FFFFFF"/>
            <w:noWrap/>
            <w:hideMark/>
          </w:tcPr>
          <w:p w14:paraId="75BCF347"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10,9%</w:t>
            </w:r>
          </w:p>
        </w:tc>
        <w:tc>
          <w:tcPr>
            <w:tcW w:w="907" w:type="dxa"/>
            <w:tcBorders>
              <w:top w:val="nil"/>
              <w:left w:val="nil"/>
              <w:bottom w:val="nil"/>
              <w:right w:val="single" w:sz="8" w:space="0" w:color="auto"/>
            </w:tcBorders>
            <w:shd w:val="clear" w:color="000000" w:fill="FFFFFF"/>
            <w:noWrap/>
            <w:hideMark/>
          </w:tcPr>
          <w:p w14:paraId="6CCDF18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11,8%</w:t>
            </w:r>
          </w:p>
        </w:tc>
        <w:tc>
          <w:tcPr>
            <w:tcW w:w="907" w:type="dxa"/>
            <w:tcBorders>
              <w:top w:val="nil"/>
              <w:left w:val="nil"/>
              <w:bottom w:val="nil"/>
              <w:right w:val="single" w:sz="8" w:space="0" w:color="auto"/>
            </w:tcBorders>
            <w:shd w:val="clear" w:color="000000" w:fill="FFFFFF"/>
            <w:noWrap/>
            <w:hideMark/>
          </w:tcPr>
          <w:p w14:paraId="33B71F35"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12,1%</w:t>
            </w:r>
          </w:p>
        </w:tc>
        <w:tc>
          <w:tcPr>
            <w:tcW w:w="907" w:type="dxa"/>
            <w:tcBorders>
              <w:top w:val="nil"/>
              <w:left w:val="nil"/>
              <w:bottom w:val="nil"/>
              <w:right w:val="single" w:sz="8" w:space="0" w:color="auto"/>
            </w:tcBorders>
            <w:shd w:val="clear" w:color="000000" w:fill="FFFFFF"/>
            <w:noWrap/>
            <w:hideMark/>
          </w:tcPr>
          <w:p w14:paraId="13350E65"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11,4%</w:t>
            </w:r>
          </w:p>
        </w:tc>
        <w:tc>
          <w:tcPr>
            <w:tcW w:w="907" w:type="dxa"/>
            <w:tcBorders>
              <w:top w:val="nil"/>
              <w:left w:val="nil"/>
              <w:bottom w:val="nil"/>
              <w:right w:val="single" w:sz="8" w:space="0" w:color="auto"/>
            </w:tcBorders>
            <w:shd w:val="clear" w:color="000000" w:fill="FFFFFF"/>
            <w:noWrap/>
            <w:hideMark/>
          </w:tcPr>
          <w:p w14:paraId="7575FFDF"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8,3%</w:t>
            </w:r>
          </w:p>
        </w:tc>
        <w:tc>
          <w:tcPr>
            <w:tcW w:w="907" w:type="dxa"/>
            <w:tcBorders>
              <w:top w:val="nil"/>
              <w:left w:val="nil"/>
              <w:bottom w:val="nil"/>
              <w:right w:val="single" w:sz="8" w:space="0" w:color="auto"/>
            </w:tcBorders>
            <w:shd w:val="clear" w:color="000000" w:fill="FFFFFF"/>
            <w:noWrap/>
            <w:hideMark/>
          </w:tcPr>
          <w:p w14:paraId="4AE5FD48"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9,9%</w:t>
            </w:r>
          </w:p>
        </w:tc>
        <w:tc>
          <w:tcPr>
            <w:tcW w:w="907" w:type="dxa"/>
            <w:tcBorders>
              <w:top w:val="nil"/>
              <w:left w:val="nil"/>
              <w:bottom w:val="nil"/>
              <w:right w:val="single" w:sz="8" w:space="0" w:color="auto"/>
            </w:tcBorders>
            <w:shd w:val="clear" w:color="000000" w:fill="FFFFFF"/>
            <w:noWrap/>
            <w:hideMark/>
          </w:tcPr>
          <w:p w14:paraId="743282F4"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9,8%</w:t>
            </w:r>
          </w:p>
        </w:tc>
        <w:tc>
          <w:tcPr>
            <w:tcW w:w="907" w:type="dxa"/>
            <w:tcBorders>
              <w:top w:val="nil"/>
              <w:left w:val="nil"/>
              <w:bottom w:val="nil"/>
              <w:right w:val="single" w:sz="8" w:space="0" w:color="auto"/>
            </w:tcBorders>
            <w:shd w:val="clear" w:color="000000" w:fill="FFFFFF"/>
            <w:noWrap/>
            <w:hideMark/>
          </w:tcPr>
          <w:p w14:paraId="50D6B5A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8,6%</w:t>
            </w:r>
          </w:p>
        </w:tc>
        <w:tc>
          <w:tcPr>
            <w:tcW w:w="907" w:type="dxa"/>
            <w:tcBorders>
              <w:top w:val="nil"/>
              <w:left w:val="nil"/>
              <w:bottom w:val="nil"/>
              <w:right w:val="single" w:sz="8" w:space="0" w:color="auto"/>
            </w:tcBorders>
            <w:shd w:val="clear" w:color="000000" w:fill="FFFFFF"/>
            <w:noWrap/>
            <w:hideMark/>
          </w:tcPr>
          <w:p w14:paraId="580316BD"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r>
      <w:tr w:rsidR="007D61D1" w:rsidRPr="00AF0E82" w14:paraId="1F94B49B" w14:textId="77777777" w:rsidTr="008A73D1">
        <w:tc>
          <w:tcPr>
            <w:tcW w:w="3402" w:type="dxa"/>
            <w:tcBorders>
              <w:left w:val="single" w:sz="8" w:space="0" w:color="auto"/>
              <w:right w:val="single" w:sz="8" w:space="0" w:color="auto"/>
            </w:tcBorders>
            <w:shd w:val="clear" w:color="000000" w:fill="FFFFFF"/>
            <w:noWrap/>
            <w:hideMark/>
          </w:tcPr>
          <w:p w14:paraId="6383486F" w14:textId="77777777" w:rsidR="007D61D1" w:rsidRPr="00117BF8" w:rsidRDefault="007D61D1" w:rsidP="007D61D1">
            <w:pPr>
              <w:pStyle w:val="TablaC"/>
              <w:jc w:val="left"/>
              <w:rPr>
                <w:rFonts w:ascii="Arial" w:hAnsi="Arial" w:cs="Arial"/>
                <w:b/>
                <w:sz w:val="18"/>
                <w:szCs w:val="18"/>
                <w:lang w:val="es-ES_tradnl"/>
              </w:rPr>
            </w:pPr>
            <w:r w:rsidRPr="00117BF8">
              <w:rPr>
                <w:rFonts w:ascii="Arial" w:hAnsi="Arial" w:cs="Arial"/>
                <w:sz w:val="18"/>
                <w:szCs w:val="18"/>
                <w:lang w:val="es-ES_tradnl"/>
              </w:rPr>
              <w:t>Proyección de tipo de cambio</w:t>
            </w:r>
          </w:p>
        </w:tc>
        <w:tc>
          <w:tcPr>
            <w:tcW w:w="907" w:type="dxa"/>
            <w:tcBorders>
              <w:left w:val="nil"/>
              <w:right w:val="single" w:sz="8" w:space="0" w:color="auto"/>
            </w:tcBorders>
            <w:shd w:val="clear" w:color="000000" w:fill="FFFFFF"/>
            <w:noWrap/>
            <w:hideMark/>
          </w:tcPr>
          <w:p w14:paraId="3E7EBB9E"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1EF06874"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07E3EBA2"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4DD34FE3"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3EAC8D7C"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7CBC959A"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69C420B1"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242707EF"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0868294E"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1F0541C5"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27B8F165" w14:textId="77777777" w:rsidR="007D61D1" w:rsidRPr="00117BF8" w:rsidRDefault="007D61D1" w:rsidP="007D61D1">
            <w:pPr>
              <w:pStyle w:val="TablaC"/>
              <w:rPr>
                <w:rFonts w:ascii="Arial" w:hAnsi="Arial" w:cs="Arial"/>
                <w:sz w:val="18"/>
                <w:szCs w:val="18"/>
                <w:lang w:val="es-ES_tradnl"/>
              </w:rPr>
            </w:pPr>
          </w:p>
        </w:tc>
        <w:tc>
          <w:tcPr>
            <w:tcW w:w="907" w:type="dxa"/>
            <w:tcBorders>
              <w:left w:val="nil"/>
              <w:right w:val="single" w:sz="8" w:space="0" w:color="auto"/>
            </w:tcBorders>
            <w:shd w:val="clear" w:color="000000" w:fill="FFFFFF"/>
            <w:noWrap/>
            <w:hideMark/>
          </w:tcPr>
          <w:p w14:paraId="7D116676" w14:textId="77777777" w:rsidR="007D61D1" w:rsidRPr="00117BF8" w:rsidRDefault="007D61D1" w:rsidP="007D61D1">
            <w:pPr>
              <w:pStyle w:val="TablaC"/>
              <w:rPr>
                <w:rFonts w:ascii="Arial" w:hAnsi="Arial" w:cs="Arial"/>
                <w:sz w:val="18"/>
                <w:szCs w:val="18"/>
                <w:lang w:val="es-ES_tradnl"/>
              </w:rPr>
            </w:pPr>
          </w:p>
        </w:tc>
      </w:tr>
      <w:tr w:rsidR="007D61D1" w:rsidRPr="00AF0E82" w14:paraId="5F534F61" w14:textId="77777777" w:rsidTr="008A73D1">
        <w:tc>
          <w:tcPr>
            <w:tcW w:w="3402" w:type="dxa"/>
            <w:tcBorders>
              <w:top w:val="nil"/>
              <w:left w:val="single" w:sz="8" w:space="0" w:color="auto"/>
              <w:right w:val="single" w:sz="8" w:space="0" w:color="auto"/>
            </w:tcBorders>
            <w:shd w:val="clear" w:color="000000" w:fill="FFFFFF"/>
            <w:noWrap/>
            <w:hideMark/>
          </w:tcPr>
          <w:p w14:paraId="26E15BFA" w14:textId="77777777" w:rsidR="007D61D1" w:rsidRPr="00117BF8" w:rsidRDefault="007D61D1" w:rsidP="007D61D1">
            <w:pPr>
              <w:pStyle w:val="TablaC"/>
              <w:rPr>
                <w:rFonts w:ascii="Arial" w:hAnsi="Arial" w:cs="Arial"/>
                <w:b/>
                <w:sz w:val="18"/>
                <w:szCs w:val="18"/>
              </w:rPr>
            </w:pPr>
            <w:r w:rsidRPr="00117BF8">
              <w:rPr>
                <w:rFonts w:ascii="Arial" w:hAnsi="Arial" w:cs="Arial"/>
                <w:sz w:val="18"/>
                <w:szCs w:val="18"/>
              </w:rPr>
              <w:t>TC ARS/USD</w:t>
            </w:r>
          </w:p>
        </w:tc>
        <w:tc>
          <w:tcPr>
            <w:tcW w:w="907" w:type="dxa"/>
            <w:tcBorders>
              <w:top w:val="nil"/>
              <w:left w:val="nil"/>
              <w:right w:val="single" w:sz="8" w:space="0" w:color="auto"/>
            </w:tcBorders>
            <w:shd w:val="clear" w:color="000000" w:fill="FFFFFF"/>
            <w:noWrap/>
            <w:hideMark/>
          </w:tcPr>
          <w:p w14:paraId="2E924C1B"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17,9</w:t>
            </w:r>
          </w:p>
        </w:tc>
        <w:tc>
          <w:tcPr>
            <w:tcW w:w="907" w:type="dxa"/>
            <w:tcBorders>
              <w:top w:val="nil"/>
              <w:left w:val="nil"/>
              <w:right w:val="single" w:sz="8" w:space="0" w:color="auto"/>
            </w:tcBorders>
            <w:shd w:val="clear" w:color="000000" w:fill="FFFFFF"/>
            <w:noWrap/>
            <w:hideMark/>
          </w:tcPr>
          <w:p w14:paraId="3D7E69D2"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21,2</w:t>
            </w:r>
          </w:p>
        </w:tc>
        <w:tc>
          <w:tcPr>
            <w:tcW w:w="907" w:type="dxa"/>
            <w:tcBorders>
              <w:top w:val="nil"/>
              <w:left w:val="nil"/>
              <w:right w:val="single" w:sz="8" w:space="0" w:color="auto"/>
            </w:tcBorders>
            <w:shd w:val="clear" w:color="000000" w:fill="FFFFFF"/>
            <w:noWrap/>
            <w:hideMark/>
          </w:tcPr>
          <w:p w14:paraId="35AE781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23,5</w:t>
            </w:r>
          </w:p>
        </w:tc>
        <w:tc>
          <w:tcPr>
            <w:tcW w:w="907" w:type="dxa"/>
            <w:tcBorders>
              <w:top w:val="nil"/>
              <w:left w:val="nil"/>
              <w:right w:val="single" w:sz="8" w:space="0" w:color="auto"/>
            </w:tcBorders>
            <w:shd w:val="clear" w:color="000000" w:fill="FFFFFF"/>
            <w:noWrap/>
            <w:hideMark/>
          </w:tcPr>
          <w:p w14:paraId="01425CFC"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24,0</w:t>
            </w:r>
          </w:p>
        </w:tc>
        <w:tc>
          <w:tcPr>
            <w:tcW w:w="907" w:type="dxa"/>
            <w:tcBorders>
              <w:top w:val="nil"/>
              <w:left w:val="nil"/>
              <w:right w:val="single" w:sz="8" w:space="0" w:color="auto"/>
            </w:tcBorders>
            <w:shd w:val="clear" w:color="000000" w:fill="FFFFFF"/>
            <w:noWrap/>
            <w:hideMark/>
          </w:tcPr>
          <w:p w14:paraId="69F5D35C"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24,5</w:t>
            </w:r>
          </w:p>
        </w:tc>
        <w:tc>
          <w:tcPr>
            <w:tcW w:w="907" w:type="dxa"/>
            <w:tcBorders>
              <w:top w:val="nil"/>
              <w:left w:val="nil"/>
              <w:right w:val="single" w:sz="8" w:space="0" w:color="auto"/>
            </w:tcBorders>
            <w:shd w:val="clear" w:color="000000" w:fill="FFFFFF"/>
            <w:noWrap/>
            <w:hideMark/>
          </w:tcPr>
          <w:p w14:paraId="16BA69E2"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25,0</w:t>
            </w:r>
          </w:p>
        </w:tc>
        <w:tc>
          <w:tcPr>
            <w:tcW w:w="907" w:type="dxa"/>
            <w:tcBorders>
              <w:top w:val="nil"/>
              <w:left w:val="nil"/>
              <w:right w:val="single" w:sz="8" w:space="0" w:color="auto"/>
            </w:tcBorders>
            <w:shd w:val="clear" w:color="000000" w:fill="FFFFFF"/>
            <w:noWrap/>
            <w:hideMark/>
          </w:tcPr>
          <w:p w14:paraId="087CD2E7"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25,5</w:t>
            </w:r>
          </w:p>
        </w:tc>
        <w:tc>
          <w:tcPr>
            <w:tcW w:w="907" w:type="dxa"/>
            <w:tcBorders>
              <w:top w:val="nil"/>
              <w:left w:val="nil"/>
              <w:right w:val="single" w:sz="8" w:space="0" w:color="auto"/>
            </w:tcBorders>
            <w:shd w:val="clear" w:color="000000" w:fill="FFFFFF"/>
            <w:noWrap/>
            <w:hideMark/>
          </w:tcPr>
          <w:p w14:paraId="37B3AC8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26,0</w:t>
            </w:r>
          </w:p>
        </w:tc>
        <w:tc>
          <w:tcPr>
            <w:tcW w:w="907" w:type="dxa"/>
            <w:tcBorders>
              <w:top w:val="nil"/>
              <w:left w:val="nil"/>
              <w:right w:val="single" w:sz="8" w:space="0" w:color="auto"/>
            </w:tcBorders>
            <w:shd w:val="clear" w:color="000000" w:fill="FFFFFF"/>
            <w:noWrap/>
            <w:hideMark/>
          </w:tcPr>
          <w:p w14:paraId="02EF85C0"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26,5</w:t>
            </w:r>
          </w:p>
        </w:tc>
        <w:tc>
          <w:tcPr>
            <w:tcW w:w="907" w:type="dxa"/>
            <w:tcBorders>
              <w:top w:val="nil"/>
              <w:left w:val="nil"/>
              <w:right w:val="single" w:sz="8" w:space="0" w:color="auto"/>
            </w:tcBorders>
            <w:shd w:val="clear" w:color="000000" w:fill="FFFFFF"/>
            <w:noWrap/>
            <w:hideMark/>
          </w:tcPr>
          <w:p w14:paraId="39EAD92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27,0</w:t>
            </w:r>
          </w:p>
        </w:tc>
        <w:tc>
          <w:tcPr>
            <w:tcW w:w="907" w:type="dxa"/>
            <w:tcBorders>
              <w:top w:val="nil"/>
              <w:left w:val="nil"/>
              <w:right w:val="single" w:sz="8" w:space="0" w:color="auto"/>
            </w:tcBorders>
            <w:shd w:val="clear" w:color="000000" w:fill="FFFFFF"/>
            <w:noWrap/>
            <w:hideMark/>
          </w:tcPr>
          <w:p w14:paraId="0198EB0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27,6</w:t>
            </w:r>
          </w:p>
        </w:tc>
        <w:tc>
          <w:tcPr>
            <w:tcW w:w="907" w:type="dxa"/>
            <w:tcBorders>
              <w:top w:val="nil"/>
              <w:left w:val="nil"/>
              <w:right w:val="single" w:sz="8" w:space="0" w:color="auto"/>
            </w:tcBorders>
            <w:shd w:val="clear" w:color="000000" w:fill="FFFFFF"/>
            <w:noWrap/>
            <w:hideMark/>
          </w:tcPr>
          <w:p w14:paraId="627C8DA8"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28,1</w:t>
            </w:r>
          </w:p>
        </w:tc>
      </w:tr>
      <w:tr w:rsidR="007D61D1" w:rsidRPr="00AF0E82" w14:paraId="5EAEEE1B" w14:textId="77777777" w:rsidTr="008A73D1">
        <w:tc>
          <w:tcPr>
            <w:tcW w:w="3402" w:type="dxa"/>
            <w:tcBorders>
              <w:left w:val="single" w:sz="8" w:space="0" w:color="auto"/>
              <w:right w:val="single" w:sz="8" w:space="0" w:color="auto"/>
            </w:tcBorders>
            <w:shd w:val="clear" w:color="000000" w:fill="FFFFFF"/>
            <w:noWrap/>
            <w:hideMark/>
          </w:tcPr>
          <w:p w14:paraId="1A193061" w14:textId="77777777" w:rsidR="007D61D1" w:rsidRPr="00117BF8" w:rsidRDefault="007D61D1" w:rsidP="007D61D1">
            <w:pPr>
              <w:pStyle w:val="TablaC"/>
              <w:rPr>
                <w:rFonts w:ascii="Arial" w:hAnsi="Arial" w:cs="Arial"/>
                <w:b/>
                <w:sz w:val="18"/>
                <w:szCs w:val="18"/>
              </w:rPr>
            </w:pPr>
            <w:r w:rsidRPr="00117BF8">
              <w:rPr>
                <w:rFonts w:ascii="Arial" w:hAnsi="Arial" w:cs="Arial"/>
                <w:sz w:val="18"/>
                <w:szCs w:val="18"/>
              </w:rPr>
              <w:t>TC ARS/EUR</w:t>
            </w:r>
          </w:p>
        </w:tc>
        <w:tc>
          <w:tcPr>
            <w:tcW w:w="907" w:type="dxa"/>
            <w:tcBorders>
              <w:left w:val="nil"/>
              <w:right w:val="single" w:sz="8" w:space="0" w:color="auto"/>
            </w:tcBorders>
            <w:shd w:val="clear" w:color="000000" w:fill="FFFFFF"/>
            <w:noWrap/>
            <w:hideMark/>
          </w:tcPr>
          <w:p w14:paraId="5361C18B"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20,0</w:t>
            </w:r>
          </w:p>
        </w:tc>
        <w:tc>
          <w:tcPr>
            <w:tcW w:w="907" w:type="dxa"/>
            <w:tcBorders>
              <w:left w:val="nil"/>
              <w:right w:val="single" w:sz="8" w:space="0" w:color="auto"/>
            </w:tcBorders>
            <w:shd w:val="clear" w:color="000000" w:fill="FFFFFF"/>
            <w:noWrap/>
            <w:hideMark/>
          </w:tcPr>
          <w:p w14:paraId="684AD633"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23,5</w:t>
            </w:r>
          </w:p>
        </w:tc>
        <w:tc>
          <w:tcPr>
            <w:tcW w:w="907" w:type="dxa"/>
            <w:tcBorders>
              <w:left w:val="nil"/>
              <w:right w:val="single" w:sz="8" w:space="0" w:color="auto"/>
            </w:tcBorders>
            <w:shd w:val="clear" w:color="000000" w:fill="FFFFFF"/>
            <w:noWrap/>
            <w:hideMark/>
          </w:tcPr>
          <w:p w14:paraId="1A08412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26,2</w:t>
            </w:r>
          </w:p>
        </w:tc>
        <w:tc>
          <w:tcPr>
            <w:tcW w:w="907" w:type="dxa"/>
            <w:tcBorders>
              <w:left w:val="nil"/>
              <w:right w:val="single" w:sz="8" w:space="0" w:color="auto"/>
            </w:tcBorders>
            <w:shd w:val="clear" w:color="000000" w:fill="FFFFFF"/>
            <w:noWrap/>
            <w:hideMark/>
          </w:tcPr>
          <w:p w14:paraId="49B8AB8B"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26,8</w:t>
            </w:r>
          </w:p>
        </w:tc>
        <w:tc>
          <w:tcPr>
            <w:tcW w:w="907" w:type="dxa"/>
            <w:tcBorders>
              <w:left w:val="nil"/>
              <w:right w:val="single" w:sz="8" w:space="0" w:color="auto"/>
            </w:tcBorders>
            <w:shd w:val="clear" w:color="000000" w:fill="FFFFFF"/>
            <w:noWrap/>
            <w:hideMark/>
          </w:tcPr>
          <w:p w14:paraId="4C99D1A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27,3</w:t>
            </w:r>
          </w:p>
        </w:tc>
        <w:tc>
          <w:tcPr>
            <w:tcW w:w="907" w:type="dxa"/>
            <w:tcBorders>
              <w:left w:val="nil"/>
              <w:right w:val="single" w:sz="8" w:space="0" w:color="auto"/>
            </w:tcBorders>
            <w:shd w:val="clear" w:color="000000" w:fill="FFFFFF"/>
            <w:noWrap/>
            <w:hideMark/>
          </w:tcPr>
          <w:p w14:paraId="440DE66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27,9</w:t>
            </w:r>
          </w:p>
        </w:tc>
        <w:tc>
          <w:tcPr>
            <w:tcW w:w="907" w:type="dxa"/>
            <w:tcBorders>
              <w:left w:val="nil"/>
              <w:right w:val="single" w:sz="8" w:space="0" w:color="auto"/>
            </w:tcBorders>
            <w:shd w:val="clear" w:color="000000" w:fill="FFFFFF"/>
            <w:noWrap/>
            <w:hideMark/>
          </w:tcPr>
          <w:p w14:paraId="644D410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28,4</w:t>
            </w:r>
          </w:p>
        </w:tc>
        <w:tc>
          <w:tcPr>
            <w:tcW w:w="907" w:type="dxa"/>
            <w:tcBorders>
              <w:left w:val="nil"/>
              <w:right w:val="single" w:sz="8" w:space="0" w:color="auto"/>
            </w:tcBorders>
            <w:shd w:val="clear" w:color="000000" w:fill="FFFFFF"/>
            <w:noWrap/>
            <w:hideMark/>
          </w:tcPr>
          <w:p w14:paraId="02C59A0B"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29,0</w:t>
            </w:r>
          </w:p>
        </w:tc>
        <w:tc>
          <w:tcPr>
            <w:tcW w:w="907" w:type="dxa"/>
            <w:tcBorders>
              <w:left w:val="nil"/>
              <w:right w:val="single" w:sz="8" w:space="0" w:color="auto"/>
            </w:tcBorders>
            <w:shd w:val="clear" w:color="000000" w:fill="FFFFFF"/>
            <w:noWrap/>
            <w:hideMark/>
          </w:tcPr>
          <w:p w14:paraId="71B3574F"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29,6</w:t>
            </w:r>
          </w:p>
        </w:tc>
        <w:tc>
          <w:tcPr>
            <w:tcW w:w="907" w:type="dxa"/>
            <w:tcBorders>
              <w:left w:val="nil"/>
              <w:right w:val="single" w:sz="8" w:space="0" w:color="auto"/>
            </w:tcBorders>
            <w:shd w:val="clear" w:color="000000" w:fill="FFFFFF"/>
            <w:noWrap/>
            <w:hideMark/>
          </w:tcPr>
          <w:p w14:paraId="08295E34"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30,1</w:t>
            </w:r>
          </w:p>
        </w:tc>
        <w:tc>
          <w:tcPr>
            <w:tcW w:w="907" w:type="dxa"/>
            <w:tcBorders>
              <w:left w:val="nil"/>
              <w:right w:val="single" w:sz="8" w:space="0" w:color="auto"/>
            </w:tcBorders>
            <w:shd w:val="clear" w:color="000000" w:fill="FFFFFF"/>
            <w:noWrap/>
            <w:hideMark/>
          </w:tcPr>
          <w:p w14:paraId="360F95A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30,7</w:t>
            </w:r>
          </w:p>
        </w:tc>
        <w:tc>
          <w:tcPr>
            <w:tcW w:w="907" w:type="dxa"/>
            <w:tcBorders>
              <w:left w:val="nil"/>
              <w:right w:val="single" w:sz="8" w:space="0" w:color="auto"/>
            </w:tcBorders>
            <w:shd w:val="clear" w:color="000000" w:fill="FFFFFF"/>
            <w:noWrap/>
            <w:hideMark/>
          </w:tcPr>
          <w:p w14:paraId="0EEE152C"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31,4</w:t>
            </w:r>
          </w:p>
        </w:tc>
      </w:tr>
      <w:tr w:rsidR="007D61D1" w:rsidRPr="00AF0E82" w14:paraId="6D9CD813" w14:textId="77777777" w:rsidTr="008A73D1">
        <w:tc>
          <w:tcPr>
            <w:tcW w:w="3402" w:type="dxa"/>
            <w:tcBorders>
              <w:top w:val="nil"/>
              <w:left w:val="single" w:sz="8" w:space="0" w:color="auto"/>
              <w:right w:val="single" w:sz="8" w:space="0" w:color="auto"/>
            </w:tcBorders>
            <w:shd w:val="clear" w:color="000000" w:fill="FFFFFF"/>
            <w:noWrap/>
            <w:hideMark/>
          </w:tcPr>
          <w:p w14:paraId="77F179B1" w14:textId="77777777" w:rsidR="007D61D1" w:rsidRPr="00117BF8" w:rsidRDefault="00CC1F1A" w:rsidP="007D61D1">
            <w:pPr>
              <w:pStyle w:val="TablaC"/>
              <w:jc w:val="left"/>
              <w:rPr>
                <w:rFonts w:ascii="Arial" w:hAnsi="Arial" w:cs="Arial"/>
                <w:b/>
                <w:sz w:val="18"/>
                <w:szCs w:val="18"/>
              </w:rPr>
            </w:pPr>
            <w:r w:rsidRPr="00117BF8">
              <w:rPr>
                <w:rFonts w:ascii="Arial" w:hAnsi="Arial" w:cs="Arial"/>
                <w:sz w:val="18"/>
                <w:szCs w:val="18"/>
              </w:rPr>
              <w:t>V</w:t>
            </w:r>
            <w:r w:rsidR="007D61D1" w:rsidRPr="00117BF8">
              <w:rPr>
                <w:rFonts w:ascii="Arial" w:hAnsi="Arial" w:cs="Arial"/>
                <w:sz w:val="18"/>
                <w:szCs w:val="18"/>
              </w:rPr>
              <w:t>ariación del PGB nominal</w:t>
            </w:r>
          </w:p>
        </w:tc>
        <w:tc>
          <w:tcPr>
            <w:tcW w:w="907" w:type="dxa"/>
            <w:tcBorders>
              <w:top w:val="nil"/>
              <w:left w:val="nil"/>
              <w:right w:val="single" w:sz="8" w:space="0" w:color="auto"/>
            </w:tcBorders>
            <w:shd w:val="clear" w:color="000000" w:fill="FFFFFF"/>
            <w:noWrap/>
            <w:hideMark/>
          </w:tcPr>
          <w:p w14:paraId="05D66D1F"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23,6%</w:t>
            </w:r>
          </w:p>
        </w:tc>
        <w:tc>
          <w:tcPr>
            <w:tcW w:w="907" w:type="dxa"/>
            <w:tcBorders>
              <w:top w:val="nil"/>
              <w:left w:val="nil"/>
              <w:right w:val="single" w:sz="8" w:space="0" w:color="auto"/>
            </w:tcBorders>
            <w:shd w:val="clear" w:color="000000" w:fill="FFFFFF"/>
            <w:noWrap/>
            <w:hideMark/>
          </w:tcPr>
          <w:p w14:paraId="0E24EE72"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18,3%</w:t>
            </w:r>
          </w:p>
        </w:tc>
        <w:tc>
          <w:tcPr>
            <w:tcW w:w="907" w:type="dxa"/>
            <w:tcBorders>
              <w:top w:val="nil"/>
              <w:left w:val="nil"/>
              <w:right w:val="single" w:sz="8" w:space="0" w:color="auto"/>
            </w:tcBorders>
            <w:shd w:val="clear" w:color="000000" w:fill="FFFFFF"/>
            <w:noWrap/>
            <w:hideMark/>
          </w:tcPr>
          <w:p w14:paraId="39DC3706"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12,3%</w:t>
            </w:r>
          </w:p>
        </w:tc>
        <w:tc>
          <w:tcPr>
            <w:tcW w:w="907" w:type="dxa"/>
            <w:tcBorders>
              <w:top w:val="nil"/>
              <w:left w:val="nil"/>
              <w:right w:val="single" w:sz="8" w:space="0" w:color="auto"/>
            </w:tcBorders>
            <w:shd w:val="clear" w:color="000000" w:fill="FFFFFF"/>
            <w:noWrap/>
            <w:hideMark/>
          </w:tcPr>
          <w:p w14:paraId="5037B014"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9,8%</w:t>
            </w:r>
          </w:p>
        </w:tc>
        <w:tc>
          <w:tcPr>
            <w:tcW w:w="907" w:type="dxa"/>
            <w:tcBorders>
              <w:top w:val="nil"/>
              <w:left w:val="nil"/>
              <w:right w:val="single" w:sz="8" w:space="0" w:color="auto"/>
            </w:tcBorders>
            <w:shd w:val="clear" w:color="000000" w:fill="FFFFFF"/>
            <w:noWrap/>
            <w:hideMark/>
          </w:tcPr>
          <w:p w14:paraId="036AD360"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c>
          <w:tcPr>
            <w:tcW w:w="907" w:type="dxa"/>
            <w:tcBorders>
              <w:top w:val="nil"/>
              <w:left w:val="nil"/>
              <w:right w:val="single" w:sz="8" w:space="0" w:color="auto"/>
            </w:tcBorders>
            <w:shd w:val="clear" w:color="000000" w:fill="FFFFFF"/>
            <w:noWrap/>
            <w:hideMark/>
          </w:tcPr>
          <w:p w14:paraId="343BB0C4"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c>
          <w:tcPr>
            <w:tcW w:w="907" w:type="dxa"/>
            <w:tcBorders>
              <w:top w:val="nil"/>
              <w:left w:val="nil"/>
              <w:right w:val="single" w:sz="8" w:space="0" w:color="auto"/>
            </w:tcBorders>
            <w:shd w:val="clear" w:color="000000" w:fill="FFFFFF"/>
            <w:noWrap/>
            <w:hideMark/>
          </w:tcPr>
          <w:p w14:paraId="70F90D17"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c>
          <w:tcPr>
            <w:tcW w:w="907" w:type="dxa"/>
            <w:tcBorders>
              <w:top w:val="nil"/>
              <w:left w:val="nil"/>
              <w:right w:val="single" w:sz="8" w:space="0" w:color="auto"/>
            </w:tcBorders>
            <w:shd w:val="clear" w:color="000000" w:fill="FFFFFF"/>
            <w:noWrap/>
            <w:hideMark/>
          </w:tcPr>
          <w:p w14:paraId="1D782CE9"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c>
          <w:tcPr>
            <w:tcW w:w="907" w:type="dxa"/>
            <w:tcBorders>
              <w:top w:val="nil"/>
              <w:left w:val="nil"/>
              <w:right w:val="single" w:sz="8" w:space="0" w:color="auto"/>
            </w:tcBorders>
            <w:shd w:val="clear" w:color="000000" w:fill="FFFFFF"/>
            <w:noWrap/>
            <w:hideMark/>
          </w:tcPr>
          <w:p w14:paraId="265F9C5F"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c>
          <w:tcPr>
            <w:tcW w:w="907" w:type="dxa"/>
            <w:tcBorders>
              <w:top w:val="nil"/>
              <w:left w:val="nil"/>
              <w:right w:val="single" w:sz="8" w:space="0" w:color="auto"/>
            </w:tcBorders>
            <w:shd w:val="clear" w:color="000000" w:fill="FFFFFF"/>
            <w:noWrap/>
            <w:hideMark/>
          </w:tcPr>
          <w:p w14:paraId="3CFEA50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c>
          <w:tcPr>
            <w:tcW w:w="907" w:type="dxa"/>
            <w:tcBorders>
              <w:top w:val="nil"/>
              <w:left w:val="nil"/>
              <w:right w:val="single" w:sz="8" w:space="0" w:color="auto"/>
            </w:tcBorders>
            <w:shd w:val="clear" w:color="000000" w:fill="FFFFFF"/>
            <w:noWrap/>
            <w:hideMark/>
          </w:tcPr>
          <w:p w14:paraId="100EDAF0"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c>
          <w:tcPr>
            <w:tcW w:w="907" w:type="dxa"/>
            <w:tcBorders>
              <w:top w:val="nil"/>
              <w:left w:val="nil"/>
              <w:right w:val="single" w:sz="8" w:space="0" w:color="auto"/>
            </w:tcBorders>
            <w:shd w:val="clear" w:color="000000" w:fill="FFFFFF"/>
            <w:noWrap/>
            <w:hideMark/>
          </w:tcPr>
          <w:p w14:paraId="24F1DC4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8,2%</w:t>
            </w:r>
          </w:p>
        </w:tc>
      </w:tr>
      <w:tr w:rsidR="007D61D1" w:rsidRPr="00AF0E82" w14:paraId="1F68F60A" w14:textId="77777777" w:rsidTr="008A73D1">
        <w:tc>
          <w:tcPr>
            <w:tcW w:w="3402" w:type="dxa"/>
            <w:tcBorders>
              <w:left w:val="single" w:sz="8" w:space="0" w:color="auto"/>
              <w:bottom w:val="single" w:sz="8" w:space="0" w:color="auto"/>
              <w:right w:val="single" w:sz="8" w:space="0" w:color="auto"/>
            </w:tcBorders>
            <w:shd w:val="clear" w:color="auto" w:fill="auto"/>
            <w:noWrap/>
            <w:hideMark/>
          </w:tcPr>
          <w:p w14:paraId="351A3EE6" w14:textId="77777777" w:rsidR="007D61D1" w:rsidRPr="00117BF8" w:rsidRDefault="007D61D1" w:rsidP="007D61D1">
            <w:pPr>
              <w:pStyle w:val="TablaC"/>
              <w:jc w:val="left"/>
              <w:rPr>
                <w:rFonts w:ascii="Arial" w:hAnsi="Arial" w:cs="Arial"/>
                <w:b/>
                <w:sz w:val="18"/>
                <w:szCs w:val="18"/>
              </w:rPr>
            </w:pPr>
            <w:r w:rsidRPr="00117BF8">
              <w:rPr>
                <w:rFonts w:ascii="Arial" w:hAnsi="Arial" w:cs="Arial"/>
                <w:sz w:val="18"/>
                <w:szCs w:val="18"/>
              </w:rPr>
              <w:t>Proyección de IPC</w:t>
            </w:r>
          </w:p>
        </w:tc>
        <w:tc>
          <w:tcPr>
            <w:tcW w:w="907" w:type="dxa"/>
            <w:tcBorders>
              <w:left w:val="nil"/>
              <w:bottom w:val="single" w:sz="8" w:space="0" w:color="auto"/>
              <w:right w:val="single" w:sz="8" w:space="0" w:color="auto"/>
            </w:tcBorders>
            <w:shd w:val="clear" w:color="auto" w:fill="auto"/>
            <w:noWrap/>
            <w:hideMark/>
          </w:tcPr>
          <w:p w14:paraId="4AEBC9E8"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19,4%</w:t>
            </w:r>
          </w:p>
        </w:tc>
        <w:tc>
          <w:tcPr>
            <w:tcW w:w="907" w:type="dxa"/>
            <w:tcBorders>
              <w:left w:val="nil"/>
              <w:bottom w:val="single" w:sz="8" w:space="0" w:color="auto"/>
              <w:right w:val="single" w:sz="8" w:space="0" w:color="auto"/>
            </w:tcBorders>
            <w:shd w:val="clear" w:color="auto" w:fill="auto"/>
            <w:noWrap/>
            <w:hideMark/>
          </w:tcPr>
          <w:p w14:paraId="52ADA6A4"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14,3%</w:t>
            </w:r>
          </w:p>
        </w:tc>
        <w:tc>
          <w:tcPr>
            <w:tcW w:w="907" w:type="dxa"/>
            <w:tcBorders>
              <w:left w:val="nil"/>
              <w:bottom w:val="single" w:sz="8" w:space="0" w:color="auto"/>
              <w:right w:val="single" w:sz="8" w:space="0" w:color="auto"/>
            </w:tcBorders>
            <w:shd w:val="clear" w:color="auto" w:fill="auto"/>
            <w:noWrap/>
            <w:hideMark/>
          </w:tcPr>
          <w:p w14:paraId="6ADEC7DA"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8,5%</w:t>
            </w:r>
          </w:p>
        </w:tc>
        <w:tc>
          <w:tcPr>
            <w:tcW w:w="907" w:type="dxa"/>
            <w:tcBorders>
              <w:left w:val="nil"/>
              <w:bottom w:val="single" w:sz="8" w:space="0" w:color="auto"/>
              <w:right w:val="single" w:sz="8" w:space="0" w:color="auto"/>
            </w:tcBorders>
            <w:shd w:val="clear" w:color="auto" w:fill="auto"/>
            <w:noWrap/>
            <w:hideMark/>
          </w:tcPr>
          <w:p w14:paraId="7FA5F412"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6,1%</w:t>
            </w:r>
          </w:p>
        </w:tc>
        <w:tc>
          <w:tcPr>
            <w:tcW w:w="907" w:type="dxa"/>
            <w:tcBorders>
              <w:left w:val="nil"/>
              <w:bottom w:val="single" w:sz="8" w:space="0" w:color="auto"/>
              <w:right w:val="single" w:sz="8" w:space="0" w:color="auto"/>
            </w:tcBorders>
            <w:shd w:val="clear" w:color="auto" w:fill="auto"/>
            <w:noWrap/>
            <w:hideMark/>
          </w:tcPr>
          <w:p w14:paraId="1C915CBD"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4,5%</w:t>
            </w:r>
          </w:p>
        </w:tc>
        <w:tc>
          <w:tcPr>
            <w:tcW w:w="907" w:type="dxa"/>
            <w:tcBorders>
              <w:left w:val="nil"/>
              <w:bottom w:val="single" w:sz="8" w:space="0" w:color="auto"/>
              <w:right w:val="single" w:sz="8" w:space="0" w:color="auto"/>
            </w:tcBorders>
            <w:shd w:val="clear" w:color="auto" w:fill="auto"/>
            <w:noWrap/>
            <w:hideMark/>
          </w:tcPr>
          <w:p w14:paraId="0F9F7E6D"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4,5%</w:t>
            </w:r>
          </w:p>
        </w:tc>
        <w:tc>
          <w:tcPr>
            <w:tcW w:w="907" w:type="dxa"/>
            <w:tcBorders>
              <w:left w:val="nil"/>
              <w:bottom w:val="single" w:sz="8" w:space="0" w:color="auto"/>
              <w:right w:val="single" w:sz="8" w:space="0" w:color="auto"/>
            </w:tcBorders>
            <w:shd w:val="clear" w:color="auto" w:fill="auto"/>
            <w:noWrap/>
            <w:hideMark/>
          </w:tcPr>
          <w:p w14:paraId="74C1E52D"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4,5%</w:t>
            </w:r>
          </w:p>
        </w:tc>
        <w:tc>
          <w:tcPr>
            <w:tcW w:w="907" w:type="dxa"/>
            <w:tcBorders>
              <w:left w:val="nil"/>
              <w:bottom w:val="single" w:sz="8" w:space="0" w:color="auto"/>
              <w:right w:val="single" w:sz="8" w:space="0" w:color="auto"/>
            </w:tcBorders>
            <w:shd w:val="clear" w:color="auto" w:fill="auto"/>
            <w:noWrap/>
            <w:hideMark/>
          </w:tcPr>
          <w:p w14:paraId="4D81D76C"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4,5%</w:t>
            </w:r>
          </w:p>
        </w:tc>
        <w:tc>
          <w:tcPr>
            <w:tcW w:w="907" w:type="dxa"/>
            <w:tcBorders>
              <w:left w:val="nil"/>
              <w:bottom w:val="single" w:sz="8" w:space="0" w:color="auto"/>
              <w:right w:val="single" w:sz="8" w:space="0" w:color="auto"/>
            </w:tcBorders>
            <w:shd w:val="clear" w:color="auto" w:fill="auto"/>
            <w:noWrap/>
            <w:hideMark/>
          </w:tcPr>
          <w:p w14:paraId="09322F9E"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4,5%</w:t>
            </w:r>
          </w:p>
        </w:tc>
        <w:tc>
          <w:tcPr>
            <w:tcW w:w="907" w:type="dxa"/>
            <w:tcBorders>
              <w:left w:val="nil"/>
              <w:bottom w:val="single" w:sz="8" w:space="0" w:color="auto"/>
              <w:right w:val="single" w:sz="8" w:space="0" w:color="auto"/>
            </w:tcBorders>
            <w:shd w:val="clear" w:color="auto" w:fill="auto"/>
            <w:noWrap/>
            <w:hideMark/>
          </w:tcPr>
          <w:p w14:paraId="65596AA8"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4,5%</w:t>
            </w:r>
          </w:p>
        </w:tc>
        <w:tc>
          <w:tcPr>
            <w:tcW w:w="907" w:type="dxa"/>
            <w:tcBorders>
              <w:left w:val="nil"/>
              <w:bottom w:val="single" w:sz="8" w:space="0" w:color="auto"/>
              <w:right w:val="single" w:sz="8" w:space="0" w:color="auto"/>
            </w:tcBorders>
            <w:shd w:val="clear" w:color="auto" w:fill="auto"/>
            <w:noWrap/>
            <w:hideMark/>
          </w:tcPr>
          <w:p w14:paraId="325D99F5"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4,5%</w:t>
            </w:r>
          </w:p>
        </w:tc>
        <w:tc>
          <w:tcPr>
            <w:tcW w:w="907" w:type="dxa"/>
            <w:tcBorders>
              <w:left w:val="nil"/>
              <w:bottom w:val="single" w:sz="8" w:space="0" w:color="auto"/>
              <w:right w:val="single" w:sz="8" w:space="0" w:color="auto"/>
            </w:tcBorders>
            <w:shd w:val="clear" w:color="auto" w:fill="auto"/>
            <w:noWrap/>
            <w:hideMark/>
          </w:tcPr>
          <w:p w14:paraId="4BE80732" w14:textId="77777777" w:rsidR="007D61D1" w:rsidRPr="00117BF8" w:rsidRDefault="007D61D1" w:rsidP="007D61D1">
            <w:pPr>
              <w:pStyle w:val="TablaC"/>
              <w:rPr>
                <w:rFonts w:ascii="Arial" w:hAnsi="Arial" w:cs="Arial"/>
                <w:sz w:val="18"/>
                <w:szCs w:val="18"/>
              </w:rPr>
            </w:pPr>
            <w:r w:rsidRPr="00117BF8">
              <w:rPr>
                <w:rFonts w:ascii="Arial" w:hAnsi="Arial" w:cs="Arial"/>
                <w:sz w:val="18"/>
                <w:szCs w:val="18"/>
              </w:rPr>
              <w:t>4,5%</w:t>
            </w:r>
          </w:p>
        </w:tc>
      </w:tr>
    </w:tbl>
    <w:p w14:paraId="18B38E30" w14:textId="77777777" w:rsidR="008A73D1" w:rsidRPr="00117BF8" w:rsidRDefault="008A73D1" w:rsidP="008A73D1">
      <w:pPr>
        <w:pStyle w:val="Hfuente"/>
        <w:rPr>
          <w:rFonts w:ascii="Arial" w:hAnsi="Arial" w:cs="Arial"/>
          <w:sz w:val="18"/>
          <w:szCs w:val="18"/>
        </w:rPr>
      </w:pPr>
      <w:r w:rsidRPr="00117BF8">
        <w:rPr>
          <w:rFonts w:ascii="Arial" w:hAnsi="Arial" w:cs="Arial"/>
          <w:sz w:val="18"/>
          <w:szCs w:val="18"/>
        </w:rPr>
        <w:t>Fuente: Provincia de Buenos Aires</w:t>
      </w:r>
    </w:p>
    <w:p w14:paraId="3B6295E3" w14:textId="77777777" w:rsidR="0074039F" w:rsidRPr="00117BF8" w:rsidRDefault="0074039F" w:rsidP="0074039F">
      <w:pPr>
        <w:pStyle w:val="hsa"/>
        <w:rPr>
          <w:rFonts w:ascii="Arial" w:hAnsi="Arial" w:cs="Arial"/>
        </w:rPr>
      </w:pPr>
    </w:p>
    <w:p w14:paraId="501D061F" w14:textId="77777777" w:rsidR="008A73D1" w:rsidRPr="00117BF8" w:rsidRDefault="008A73D1" w:rsidP="0074039F">
      <w:pPr>
        <w:pStyle w:val="hsa"/>
        <w:rPr>
          <w:rFonts w:ascii="Arial" w:hAnsi="Arial" w:cs="Arial"/>
        </w:rPr>
      </w:pPr>
    </w:p>
    <w:p w14:paraId="0480B93E" w14:textId="77777777" w:rsidR="008A73D1" w:rsidRPr="00117BF8" w:rsidRDefault="008A73D1" w:rsidP="0074039F">
      <w:pPr>
        <w:pStyle w:val="hsa"/>
        <w:rPr>
          <w:rFonts w:ascii="Arial" w:hAnsi="Arial" w:cs="Arial"/>
        </w:rPr>
      </w:pPr>
    </w:p>
    <w:p w14:paraId="594F3B2A" w14:textId="60A05FC1" w:rsidR="008A73D1" w:rsidRDefault="008A73D1" w:rsidP="0074039F">
      <w:pPr>
        <w:pStyle w:val="hsa"/>
        <w:rPr>
          <w:rFonts w:ascii="Arial" w:hAnsi="Arial" w:cs="Arial"/>
        </w:rPr>
      </w:pPr>
    </w:p>
    <w:p w14:paraId="038647FB" w14:textId="77777777" w:rsidR="00CF312E" w:rsidRPr="00117BF8" w:rsidRDefault="00CF312E" w:rsidP="0074039F">
      <w:pPr>
        <w:pStyle w:val="hsa"/>
        <w:rPr>
          <w:rFonts w:ascii="Arial" w:hAnsi="Arial" w:cs="Arial"/>
        </w:rPr>
      </w:pPr>
    </w:p>
    <w:p w14:paraId="4F9DAA93" w14:textId="77777777" w:rsidR="008A73D1" w:rsidRPr="00117BF8" w:rsidRDefault="008A73D1" w:rsidP="0074039F">
      <w:pPr>
        <w:pStyle w:val="hsa"/>
        <w:rPr>
          <w:rFonts w:ascii="Arial" w:hAnsi="Arial" w:cs="Arial"/>
        </w:rPr>
      </w:pPr>
    </w:p>
    <w:tbl>
      <w:tblPr>
        <w:tblW w:w="15068" w:type="dxa"/>
        <w:tblInd w:w="-290" w:type="dxa"/>
        <w:tblCellMar>
          <w:left w:w="70" w:type="dxa"/>
          <w:right w:w="70" w:type="dxa"/>
        </w:tblCellMar>
        <w:tblLook w:val="04A0" w:firstRow="1" w:lastRow="0" w:firstColumn="1" w:lastColumn="0" w:noHBand="0" w:noVBand="1"/>
      </w:tblPr>
      <w:tblGrid>
        <w:gridCol w:w="2835"/>
        <w:gridCol w:w="941"/>
        <w:gridCol w:w="941"/>
        <w:gridCol w:w="941"/>
        <w:gridCol w:w="941"/>
        <w:gridCol w:w="941"/>
        <w:gridCol w:w="941"/>
        <w:gridCol w:w="941"/>
        <w:gridCol w:w="941"/>
        <w:gridCol w:w="941"/>
        <w:gridCol w:w="941"/>
        <w:gridCol w:w="941"/>
        <w:gridCol w:w="941"/>
        <w:gridCol w:w="941"/>
      </w:tblGrid>
      <w:tr w:rsidR="0074039F" w:rsidRPr="004E6455" w14:paraId="19FDA4FF" w14:textId="77777777" w:rsidTr="00117BF8">
        <w:trPr>
          <w:trHeight w:val="364"/>
        </w:trPr>
        <w:tc>
          <w:tcPr>
            <w:tcW w:w="15068" w:type="dxa"/>
            <w:gridSpan w:val="14"/>
            <w:tcBorders>
              <w:top w:val="single" w:sz="8" w:space="0" w:color="auto"/>
              <w:left w:val="single" w:sz="8" w:space="0" w:color="auto"/>
              <w:bottom w:val="single" w:sz="8" w:space="0" w:color="000000"/>
              <w:right w:val="single" w:sz="8" w:space="0" w:color="auto"/>
            </w:tcBorders>
            <w:shd w:val="clear" w:color="auto" w:fill="0070C0"/>
            <w:noWrap/>
          </w:tcPr>
          <w:p w14:paraId="6EA5ADF4" w14:textId="4CED858A" w:rsidR="0074039F" w:rsidRPr="00117BF8" w:rsidRDefault="0074039F" w:rsidP="0074039F">
            <w:pPr>
              <w:pStyle w:val="TablaT"/>
              <w:rPr>
                <w:rFonts w:ascii="Arial" w:hAnsi="Arial" w:cs="Arial"/>
                <w:sz w:val="22"/>
                <w:szCs w:val="22"/>
                <w:lang w:val="es-ES_tradnl"/>
              </w:rPr>
            </w:pPr>
            <w:bookmarkStart w:id="114" w:name="_Toc493861152"/>
            <w:r w:rsidRPr="00117BF8">
              <w:rPr>
                <w:rFonts w:ascii="Arial" w:hAnsi="Arial" w:cs="Arial"/>
                <w:sz w:val="22"/>
                <w:szCs w:val="22"/>
                <w:lang w:val="es-ES_tradnl"/>
              </w:rPr>
              <w:t xml:space="preserve">Tabla </w:t>
            </w:r>
            <w:r w:rsidR="00883677" w:rsidRPr="00117BF8">
              <w:rPr>
                <w:rFonts w:ascii="Arial" w:hAnsi="Arial" w:cs="Arial"/>
                <w:sz w:val="22"/>
                <w:szCs w:val="22"/>
                <w:lang w:val="es-ES_tradnl"/>
              </w:rPr>
              <w:t xml:space="preserve">42 </w:t>
            </w:r>
            <w:r w:rsidRPr="00117BF8">
              <w:rPr>
                <w:rFonts w:ascii="Arial" w:hAnsi="Arial" w:cs="Arial"/>
                <w:sz w:val="22"/>
                <w:szCs w:val="22"/>
                <w:lang w:val="es-ES_tradnl"/>
              </w:rPr>
              <w:t>- Provincia de Buenos Aires - Administración Pública no Financiera - Proyección 2017-2028 (2016 valores Estimados) – Precios Constantes</w:t>
            </w:r>
            <w:bookmarkEnd w:id="114"/>
          </w:p>
          <w:p w14:paraId="650F60B3" w14:textId="77777777" w:rsidR="0074039F" w:rsidRPr="00117BF8" w:rsidRDefault="0074039F" w:rsidP="0074039F">
            <w:pPr>
              <w:pStyle w:val="TablaC"/>
              <w:rPr>
                <w:rFonts w:ascii="Arial" w:hAnsi="Arial" w:cs="Arial"/>
                <w:color w:val="FFFFFF"/>
                <w:szCs w:val="22"/>
                <w:lang w:val="es-ES_tradnl"/>
              </w:rPr>
            </w:pPr>
            <w:r w:rsidRPr="00117BF8">
              <w:rPr>
                <w:rFonts w:ascii="Arial" w:hAnsi="Arial" w:cs="Arial"/>
                <w:color w:val="FFFFFF"/>
                <w:szCs w:val="22"/>
                <w:lang w:val="es-ES_tradnl"/>
              </w:rPr>
              <w:t>En millones de pesos de 2016</w:t>
            </w:r>
          </w:p>
        </w:tc>
      </w:tr>
      <w:tr w:rsidR="0074039F" w:rsidRPr="004E6455" w14:paraId="59959AF9" w14:textId="77777777" w:rsidTr="00117BF8">
        <w:trPr>
          <w:trHeight w:val="373"/>
        </w:trPr>
        <w:tc>
          <w:tcPr>
            <w:tcW w:w="2835"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2AF88AE"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CONCEPTO</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31B3DFA"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2016</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7254D3B"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2017</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D1086C3"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2018</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E0E8E67"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2019</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F79DBAA"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2020</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0ECBEDC"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2021</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562B6F1"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2022</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7111E29"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2023</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6BEBFDE"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2024</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ED39198"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2025</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5856E47"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2026</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AE46F96"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2027</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899A682" w14:textId="77777777" w:rsidR="0074039F" w:rsidRPr="00117BF8" w:rsidRDefault="0074039F" w:rsidP="008A73D1">
            <w:pPr>
              <w:pStyle w:val="TablaE"/>
              <w:rPr>
                <w:rFonts w:ascii="Arial" w:hAnsi="Arial" w:cs="Arial"/>
                <w:sz w:val="22"/>
                <w:szCs w:val="22"/>
              </w:rPr>
            </w:pPr>
            <w:r w:rsidRPr="00117BF8">
              <w:rPr>
                <w:rFonts w:ascii="Arial" w:hAnsi="Arial" w:cs="Arial"/>
                <w:sz w:val="22"/>
                <w:szCs w:val="22"/>
              </w:rPr>
              <w:t>2028</w:t>
            </w:r>
          </w:p>
        </w:tc>
      </w:tr>
      <w:tr w:rsidR="0074039F" w:rsidRPr="004E6455" w14:paraId="726368ED" w14:textId="77777777" w:rsidTr="00117BF8">
        <w:trPr>
          <w:trHeight w:val="255"/>
        </w:trPr>
        <w:tc>
          <w:tcPr>
            <w:tcW w:w="2835" w:type="dxa"/>
            <w:vMerge/>
            <w:tcBorders>
              <w:top w:val="single" w:sz="8" w:space="0" w:color="auto"/>
              <w:left w:val="single" w:sz="8" w:space="0" w:color="auto"/>
              <w:bottom w:val="single" w:sz="8" w:space="0" w:color="000000"/>
              <w:right w:val="single" w:sz="8" w:space="0" w:color="auto"/>
            </w:tcBorders>
            <w:shd w:val="clear" w:color="auto" w:fill="0070C0"/>
            <w:hideMark/>
          </w:tcPr>
          <w:p w14:paraId="5B6722D0"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1EAF7608"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4C4FDD08"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2EDF6ABA"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4C0E2DD9"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5701B439"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776BD91A"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7F74B7F2"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3BC1C8B5"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143DA318"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1BA6934E"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606DEB07"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73DE679F" w14:textId="77777777" w:rsidR="0074039F" w:rsidRPr="004E6455" w:rsidRDefault="0074039F" w:rsidP="0060097F">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363A372C" w14:textId="77777777" w:rsidR="0074039F" w:rsidRPr="004E6455" w:rsidRDefault="0074039F" w:rsidP="0060097F">
            <w:pPr>
              <w:spacing w:after="0"/>
              <w:jc w:val="left"/>
              <w:rPr>
                <w:rFonts w:ascii="Arial" w:hAnsi="Arial" w:cs="Arial"/>
                <w:b/>
                <w:bCs/>
                <w:i/>
                <w:iCs/>
                <w:sz w:val="22"/>
                <w:szCs w:val="22"/>
                <w:lang w:val="es-AR" w:eastAsia="es-AR"/>
              </w:rPr>
            </w:pPr>
          </w:p>
        </w:tc>
      </w:tr>
      <w:tr w:rsidR="0074039F" w:rsidRPr="00CF312E" w14:paraId="10699E0A" w14:textId="77777777" w:rsidTr="00117BF8">
        <w:tc>
          <w:tcPr>
            <w:tcW w:w="2835" w:type="dxa"/>
            <w:tcBorders>
              <w:top w:val="nil"/>
              <w:left w:val="single" w:sz="8" w:space="0" w:color="auto"/>
              <w:bottom w:val="single" w:sz="8" w:space="0" w:color="auto"/>
              <w:right w:val="nil"/>
            </w:tcBorders>
            <w:shd w:val="clear" w:color="000000" w:fill="FFFFFF"/>
            <w:noWrap/>
            <w:hideMark/>
          </w:tcPr>
          <w:p w14:paraId="6ABD330C" w14:textId="77777777" w:rsidR="0074039F" w:rsidRPr="00117BF8" w:rsidRDefault="0074039F" w:rsidP="0060097F">
            <w:pPr>
              <w:pStyle w:val="TablaC"/>
              <w:jc w:val="left"/>
              <w:rPr>
                <w:rFonts w:ascii="Arial" w:hAnsi="Arial" w:cs="Arial"/>
                <w:b/>
                <w:sz w:val="18"/>
                <w:szCs w:val="18"/>
              </w:rPr>
            </w:pPr>
            <w:r w:rsidRPr="00117BF8">
              <w:rPr>
                <w:rFonts w:ascii="Arial" w:hAnsi="Arial" w:cs="Arial"/>
                <w:b/>
                <w:sz w:val="18"/>
                <w:szCs w:val="18"/>
              </w:rPr>
              <w:t>I. INGRESOS CORRIENTES</w:t>
            </w:r>
          </w:p>
        </w:tc>
        <w:tc>
          <w:tcPr>
            <w:tcW w:w="941" w:type="dxa"/>
            <w:tcBorders>
              <w:top w:val="nil"/>
              <w:left w:val="single" w:sz="8" w:space="0" w:color="auto"/>
              <w:bottom w:val="single" w:sz="8" w:space="0" w:color="auto"/>
              <w:right w:val="single" w:sz="8" w:space="0" w:color="auto"/>
            </w:tcBorders>
            <w:shd w:val="clear" w:color="000000" w:fill="FFFFFF"/>
            <w:noWrap/>
            <w:hideMark/>
          </w:tcPr>
          <w:p w14:paraId="775C4360"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376.510,3</w:t>
            </w:r>
          </w:p>
        </w:tc>
        <w:tc>
          <w:tcPr>
            <w:tcW w:w="941" w:type="dxa"/>
            <w:tcBorders>
              <w:top w:val="nil"/>
              <w:left w:val="nil"/>
              <w:bottom w:val="single" w:sz="8" w:space="0" w:color="auto"/>
              <w:right w:val="single" w:sz="8" w:space="0" w:color="auto"/>
            </w:tcBorders>
            <w:shd w:val="clear" w:color="000000" w:fill="FFFFFF"/>
            <w:noWrap/>
            <w:hideMark/>
          </w:tcPr>
          <w:p w14:paraId="2991A8E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400.897,1</w:t>
            </w:r>
          </w:p>
        </w:tc>
        <w:tc>
          <w:tcPr>
            <w:tcW w:w="941" w:type="dxa"/>
            <w:tcBorders>
              <w:top w:val="nil"/>
              <w:left w:val="nil"/>
              <w:bottom w:val="single" w:sz="8" w:space="0" w:color="auto"/>
              <w:right w:val="single" w:sz="8" w:space="0" w:color="auto"/>
            </w:tcBorders>
            <w:shd w:val="clear" w:color="000000" w:fill="FFFFFF"/>
            <w:noWrap/>
            <w:hideMark/>
          </w:tcPr>
          <w:p w14:paraId="540A20B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410.597,8</w:t>
            </w:r>
          </w:p>
        </w:tc>
        <w:tc>
          <w:tcPr>
            <w:tcW w:w="941" w:type="dxa"/>
            <w:tcBorders>
              <w:top w:val="nil"/>
              <w:left w:val="nil"/>
              <w:bottom w:val="single" w:sz="8" w:space="0" w:color="auto"/>
              <w:right w:val="single" w:sz="8" w:space="0" w:color="auto"/>
            </w:tcBorders>
            <w:shd w:val="clear" w:color="000000" w:fill="FFFFFF"/>
            <w:noWrap/>
            <w:hideMark/>
          </w:tcPr>
          <w:p w14:paraId="2395715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430.555,1</w:t>
            </w:r>
          </w:p>
        </w:tc>
        <w:tc>
          <w:tcPr>
            <w:tcW w:w="941" w:type="dxa"/>
            <w:tcBorders>
              <w:top w:val="nil"/>
              <w:left w:val="nil"/>
              <w:bottom w:val="single" w:sz="8" w:space="0" w:color="auto"/>
              <w:right w:val="single" w:sz="8" w:space="0" w:color="auto"/>
            </w:tcBorders>
            <w:shd w:val="clear" w:color="000000" w:fill="FFFFFF"/>
            <w:noWrap/>
            <w:hideMark/>
          </w:tcPr>
          <w:p w14:paraId="372A9357"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439.888,1</w:t>
            </w:r>
          </w:p>
        </w:tc>
        <w:tc>
          <w:tcPr>
            <w:tcW w:w="941" w:type="dxa"/>
            <w:tcBorders>
              <w:top w:val="nil"/>
              <w:left w:val="nil"/>
              <w:bottom w:val="single" w:sz="8" w:space="0" w:color="auto"/>
              <w:right w:val="single" w:sz="8" w:space="0" w:color="auto"/>
            </w:tcBorders>
            <w:shd w:val="clear" w:color="000000" w:fill="FFFFFF"/>
            <w:noWrap/>
            <w:hideMark/>
          </w:tcPr>
          <w:p w14:paraId="77633DEE"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450.424,3</w:t>
            </w:r>
          </w:p>
        </w:tc>
        <w:tc>
          <w:tcPr>
            <w:tcW w:w="941" w:type="dxa"/>
            <w:tcBorders>
              <w:top w:val="nil"/>
              <w:left w:val="nil"/>
              <w:bottom w:val="single" w:sz="8" w:space="0" w:color="auto"/>
              <w:right w:val="single" w:sz="8" w:space="0" w:color="auto"/>
            </w:tcBorders>
            <w:shd w:val="clear" w:color="000000" w:fill="FFFFFF"/>
            <w:noWrap/>
            <w:hideMark/>
          </w:tcPr>
          <w:p w14:paraId="354BBEA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461.758,3</w:t>
            </w:r>
          </w:p>
        </w:tc>
        <w:tc>
          <w:tcPr>
            <w:tcW w:w="941" w:type="dxa"/>
            <w:tcBorders>
              <w:top w:val="nil"/>
              <w:left w:val="nil"/>
              <w:bottom w:val="single" w:sz="8" w:space="0" w:color="auto"/>
              <w:right w:val="single" w:sz="8" w:space="0" w:color="auto"/>
            </w:tcBorders>
            <w:shd w:val="clear" w:color="000000" w:fill="FFFFFF"/>
            <w:noWrap/>
            <w:hideMark/>
          </w:tcPr>
          <w:p w14:paraId="35DF16B7"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473.528,5</w:t>
            </w:r>
          </w:p>
        </w:tc>
        <w:tc>
          <w:tcPr>
            <w:tcW w:w="941" w:type="dxa"/>
            <w:tcBorders>
              <w:top w:val="nil"/>
              <w:left w:val="nil"/>
              <w:bottom w:val="single" w:sz="8" w:space="0" w:color="auto"/>
              <w:right w:val="single" w:sz="8" w:space="0" w:color="auto"/>
            </w:tcBorders>
            <w:shd w:val="clear" w:color="000000" w:fill="FFFFFF"/>
            <w:noWrap/>
            <w:hideMark/>
          </w:tcPr>
          <w:p w14:paraId="4A774DD6"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485.748,1</w:t>
            </w:r>
          </w:p>
        </w:tc>
        <w:tc>
          <w:tcPr>
            <w:tcW w:w="941" w:type="dxa"/>
            <w:tcBorders>
              <w:top w:val="nil"/>
              <w:left w:val="nil"/>
              <w:bottom w:val="single" w:sz="8" w:space="0" w:color="auto"/>
              <w:right w:val="single" w:sz="8" w:space="0" w:color="auto"/>
            </w:tcBorders>
            <w:shd w:val="clear" w:color="000000" w:fill="FFFFFF"/>
            <w:noWrap/>
            <w:hideMark/>
          </w:tcPr>
          <w:p w14:paraId="5DF1DF0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498.430,7</w:t>
            </w:r>
          </w:p>
        </w:tc>
        <w:tc>
          <w:tcPr>
            <w:tcW w:w="941" w:type="dxa"/>
            <w:tcBorders>
              <w:top w:val="nil"/>
              <w:left w:val="nil"/>
              <w:bottom w:val="single" w:sz="8" w:space="0" w:color="auto"/>
              <w:right w:val="single" w:sz="8" w:space="0" w:color="auto"/>
            </w:tcBorders>
            <w:shd w:val="clear" w:color="000000" w:fill="FFFFFF"/>
            <w:noWrap/>
            <w:hideMark/>
          </w:tcPr>
          <w:p w14:paraId="2306435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511.590,3</w:t>
            </w:r>
          </w:p>
        </w:tc>
        <w:tc>
          <w:tcPr>
            <w:tcW w:w="941" w:type="dxa"/>
            <w:tcBorders>
              <w:top w:val="nil"/>
              <w:left w:val="nil"/>
              <w:bottom w:val="single" w:sz="8" w:space="0" w:color="auto"/>
              <w:right w:val="single" w:sz="8" w:space="0" w:color="auto"/>
            </w:tcBorders>
            <w:shd w:val="clear" w:color="000000" w:fill="FFFFFF"/>
            <w:noWrap/>
            <w:hideMark/>
          </w:tcPr>
          <w:p w14:paraId="42536AF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525.241,4</w:t>
            </w:r>
          </w:p>
        </w:tc>
        <w:tc>
          <w:tcPr>
            <w:tcW w:w="941" w:type="dxa"/>
            <w:tcBorders>
              <w:top w:val="nil"/>
              <w:left w:val="nil"/>
              <w:bottom w:val="single" w:sz="8" w:space="0" w:color="auto"/>
              <w:right w:val="single" w:sz="8" w:space="0" w:color="auto"/>
            </w:tcBorders>
            <w:shd w:val="clear" w:color="000000" w:fill="FFFFFF"/>
            <w:noWrap/>
            <w:hideMark/>
          </w:tcPr>
          <w:p w14:paraId="153AEB82"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539.399,4</w:t>
            </w:r>
          </w:p>
        </w:tc>
      </w:tr>
      <w:tr w:rsidR="0074039F" w:rsidRPr="00CF312E" w14:paraId="0F69F385" w14:textId="77777777" w:rsidTr="00117BF8">
        <w:tc>
          <w:tcPr>
            <w:tcW w:w="2835" w:type="dxa"/>
            <w:tcBorders>
              <w:top w:val="nil"/>
              <w:left w:val="single" w:sz="8" w:space="0" w:color="auto"/>
              <w:bottom w:val="nil"/>
              <w:right w:val="nil"/>
            </w:tcBorders>
            <w:shd w:val="clear" w:color="000000" w:fill="FFFFFF"/>
            <w:noWrap/>
            <w:hideMark/>
          </w:tcPr>
          <w:p w14:paraId="3EE0A7DF" w14:textId="77777777" w:rsidR="0074039F" w:rsidRPr="00117BF8" w:rsidRDefault="0074039F" w:rsidP="0060097F">
            <w:pPr>
              <w:pStyle w:val="TablaC"/>
              <w:jc w:val="left"/>
              <w:rPr>
                <w:rFonts w:ascii="Arial" w:hAnsi="Arial" w:cs="Arial"/>
                <w:sz w:val="18"/>
                <w:szCs w:val="18"/>
              </w:rPr>
            </w:pPr>
            <w:r w:rsidRPr="00117BF8">
              <w:rPr>
                <w:rFonts w:ascii="Arial" w:hAnsi="Arial" w:cs="Arial"/>
                <w:sz w:val="18"/>
                <w:szCs w:val="18"/>
              </w:rPr>
              <w:t xml:space="preserve">  Tributarios</w:t>
            </w:r>
          </w:p>
        </w:tc>
        <w:tc>
          <w:tcPr>
            <w:tcW w:w="941" w:type="dxa"/>
            <w:tcBorders>
              <w:top w:val="nil"/>
              <w:left w:val="single" w:sz="8" w:space="0" w:color="auto"/>
              <w:bottom w:val="nil"/>
              <w:right w:val="single" w:sz="8" w:space="0" w:color="auto"/>
            </w:tcBorders>
            <w:shd w:val="clear" w:color="000000" w:fill="FFFFFF"/>
            <w:noWrap/>
            <w:hideMark/>
          </w:tcPr>
          <w:p w14:paraId="4B94DF5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257.566,4</w:t>
            </w:r>
          </w:p>
        </w:tc>
        <w:tc>
          <w:tcPr>
            <w:tcW w:w="941" w:type="dxa"/>
            <w:tcBorders>
              <w:top w:val="nil"/>
              <w:left w:val="nil"/>
              <w:bottom w:val="nil"/>
              <w:right w:val="single" w:sz="8" w:space="0" w:color="auto"/>
            </w:tcBorders>
            <w:shd w:val="clear" w:color="000000" w:fill="FFFFFF"/>
            <w:noWrap/>
            <w:hideMark/>
          </w:tcPr>
          <w:p w14:paraId="2949EC52"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278.459,9</w:t>
            </w:r>
          </w:p>
        </w:tc>
        <w:tc>
          <w:tcPr>
            <w:tcW w:w="941" w:type="dxa"/>
            <w:tcBorders>
              <w:top w:val="nil"/>
              <w:left w:val="nil"/>
              <w:bottom w:val="nil"/>
              <w:right w:val="single" w:sz="8" w:space="0" w:color="auto"/>
            </w:tcBorders>
            <w:shd w:val="clear" w:color="000000" w:fill="FFFFFF"/>
            <w:noWrap/>
            <w:hideMark/>
          </w:tcPr>
          <w:p w14:paraId="13FBD11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293.027,6</w:t>
            </w:r>
          </w:p>
        </w:tc>
        <w:tc>
          <w:tcPr>
            <w:tcW w:w="941" w:type="dxa"/>
            <w:tcBorders>
              <w:top w:val="nil"/>
              <w:left w:val="nil"/>
              <w:bottom w:val="nil"/>
              <w:right w:val="single" w:sz="8" w:space="0" w:color="auto"/>
            </w:tcBorders>
            <w:shd w:val="clear" w:color="000000" w:fill="FFFFFF"/>
            <w:noWrap/>
            <w:hideMark/>
          </w:tcPr>
          <w:p w14:paraId="3E914E40"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314.220,9</w:t>
            </w:r>
          </w:p>
        </w:tc>
        <w:tc>
          <w:tcPr>
            <w:tcW w:w="941" w:type="dxa"/>
            <w:tcBorders>
              <w:top w:val="nil"/>
              <w:left w:val="nil"/>
              <w:bottom w:val="nil"/>
              <w:right w:val="single" w:sz="8" w:space="0" w:color="auto"/>
            </w:tcBorders>
            <w:shd w:val="clear" w:color="000000" w:fill="FFFFFF"/>
            <w:noWrap/>
            <w:hideMark/>
          </w:tcPr>
          <w:p w14:paraId="6773C07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324.353,3</w:t>
            </w:r>
          </w:p>
        </w:tc>
        <w:tc>
          <w:tcPr>
            <w:tcW w:w="941" w:type="dxa"/>
            <w:tcBorders>
              <w:top w:val="nil"/>
              <w:left w:val="nil"/>
              <w:bottom w:val="nil"/>
              <w:right w:val="single" w:sz="8" w:space="0" w:color="auto"/>
            </w:tcBorders>
            <w:shd w:val="clear" w:color="000000" w:fill="FFFFFF"/>
            <w:noWrap/>
            <w:hideMark/>
          </w:tcPr>
          <w:p w14:paraId="5EAC9A6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334.916,4</w:t>
            </w:r>
          </w:p>
        </w:tc>
        <w:tc>
          <w:tcPr>
            <w:tcW w:w="941" w:type="dxa"/>
            <w:tcBorders>
              <w:top w:val="nil"/>
              <w:left w:val="nil"/>
              <w:bottom w:val="nil"/>
              <w:right w:val="single" w:sz="8" w:space="0" w:color="auto"/>
            </w:tcBorders>
            <w:shd w:val="clear" w:color="000000" w:fill="FFFFFF"/>
            <w:noWrap/>
            <w:hideMark/>
          </w:tcPr>
          <w:p w14:paraId="1EAC728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345.860,6</w:t>
            </w:r>
          </w:p>
        </w:tc>
        <w:tc>
          <w:tcPr>
            <w:tcW w:w="941" w:type="dxa"/>
            <w:tcBorders>
              <w:top w:val="nil"/>
              <w:left w:val="nil"/>
              <w:bottom w:val="nil"/>
              <w:right w:val="single" w:sz="8" w:space="0" w:color="auto"/>
            </w:tcBorders>
            <w:shd w:val="clear" w:color="000000" w:fill="FFFFFF"/>
            <w:noWrap/>
            <w:hideMark/>
          </w:tcPr>
          <w:p w14:paraId="58B38534"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357.198,8</w:t>
            </w:r>
          </w:p>
        </w:tc>
        <w:tc>
          <w:tcPr>
            <w:tcW w:w="941" w:type="dxa"/>
            <w:tcBorders>
              <w:top w:val="nil"/>
              <w:left w:val="nil"/>
              <w:bottom w:val="nil"/>
              <w:right w:val="single" w:sz="8" w:space="0" w:color="auto"/>
            </w:tcBorders>
            <w:shd w:val="clear" w:color="000000" w:fill="FFFFFF"/>
            <w:noWrap/>
            <w:hideMark/>
          </w:tcPr>
          <w:p w14:paraId="7A0A1100"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368.944,4</w:t>
            </w:r>
          </w:p>
        </w:tc>
        <w:tc>
          <w:tcPr>
            <w:tcW w:w="941" w:type="dxa"/>
            <w:tcBorders>
              <w:top w:val="nil"/>
              <w:left w:val="nil"/>
              <w:bottom w:val="nil"/>
              <w:right w:val="single" w:sz="8" w:space="0" w:color="auto"/>
            </w:tcBorders>
            <w:shd w:val="clear" w:color="000000" w:fill="FFFFFF"/>
            <w:noWrap/>
            <w:hideMark/>
          </w:tcPr>
          <w:p w14:paraId="6F3B2987"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381.111,3</w:t>
            </w:r>
          </w:p>
        </w:tc>
        <w:tc>
          <w:tcPr>
            <w:tcW w:w="941" w:type="dxa"/>
            <w:tcBorders>
              <w:top w:val="nil"/>
              <w:left w:val="nil"/>
              <w:bottom w:val="nil"/>
              <w:right w:val="single" w:sz="8" w:space="0" w:color="auto"/>
            </w:tcBorders>
            <w:shd w:val="clear" w:color="000000" w:fill="FFFFFF"/>
            <w:noWrap/>
            <w:hideMark/>
          </w:tcPr>
          <w:p w14:paraId="4BB51C0D"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393.713,8</w:t>
            </w:r>
          </w:p>
        </w:tc>
        <w:tc>
          <w:tcPr>
            <w:tcW w:w="941" w:type="dxa"/>
            <w:tcBorders>
              <w:top w:val="nil"/>
              <w:left w:val="nil"/>
              <w:bottom w:val="nil"/>
              <w:right w:val="single" w:sz="8" w:space="0" w:color="auto"/>
            </w:tcBorders>
            <w:shd w:val="clear" w:color="000000" w:fill="FFFFFF"/>
            <w:noWrap/>
            <w:hideMark/>
          </w:tcPr>
          <w:p w14:paraId="7E01E9DF"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406.766,6</w:t>
            </w:r>
          </w:p>
        </w:tc>
        <w:tc>
          <w:tcPr>
            <w:tcW w:w="941" w:type="dxa"/>
            <w:tcBorders>
              <w:top w:val="nil"/>
              <w:left w:val="nil"/>
              <w:bottom w:val="nil"/>
              <w:right w:val="single" w:sz="8" w:space="0" w:color="auto"/>
            </w:tcBorders>
            <w:shd w:val="clear" w:color="000000" w:fill="FFFFFF"/>
            <w:noWrap/>
            <w:hideMark/>
          </w:tcPr>
          <w:p w14:paraId="2A761755"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420.285,1</w:t>
            </w:r>
          </w:p>
        </w:tc>
      </w:tr>
      <w:tr w:rsidR="0074039F" w:rsidRPr="00CF312E" w14:paraId="30A3179B" w14:textId="77777777" w:rsidTr="00117BF8">
        <w:tc>
          <w:tcPr>
            <w:tcW w:w="2835" w:type="dxa"/>
            <w:tcBorders>
              <w:top w:val="nil"/>
              <w:left w:val="single" w:sz="8" w:space="0" w:color="auto"/>
              <w:bottom w:val="nil"/>
              <w:right w:val="nil"/>
            </w:tcBorders>
            <w:shd w:val="clear" w:color="000000" w:fill="FFFFFF"/>
            <w:noWrap/>
            <w:hideMark/>
          </w:tcPr>
          <w:p w14:paraId="6EAFEE69" w14:textId="77777777" w:rsidR="0074039F" w:rsidRPr="00117BF8" w:rsidRDefault="0074039F" w:rsidP="0060097F">
            <w:pPr>
              <w:pStyle w:val="TablaC"/>
              <w:jc w:val="left"/>
              <w:rPr>
                <w:rFonts w:ascii="Arial" w:hAnsi="Arial" w:cs="Arial"/>
                <w:sz w:val="18"/>
                <w:szCs w:val="18"/>
                <w:lang w:val="es-ES_tradnl"/>
              </w:rPr>
            </w:pPr>
            <w:r w:rsidRPr="00117BF8">
              <w:rPr>
                <w:rFonts w:ascii="Arial" w:hAnsi="Arial" w:cs="Arial"/>
                <w:sz w:val="18"/>
                <w:szCs w:val="18"/>
                <w:lang w:val="es-ES_tradnl"/>
              </w:rPr>
              <w:t xml:space="preserve">  Contrib. a la Seguridad Social</w:t>
            </w:r>
          </w:p>
        </w:tc>
        <w:tc>
          <w:tcPr>
            <w:tcW w:w="941" w:type="dxa"/>
            <w:tcBorders>
              <w:top w:val="nil"/>
              <w:left w:val="single" w:sz="8" w:space="0" w:color="auto"/>
              <w:bottom w:val="nil"/>
              <w:right w:val="single" w:sz="8" w:space="0" w:color="auto"/>
            </w:tcBorders>
            <w:shd w:val="clear" w:color="000000" w:fill="FFFFFF"/>
            <w:noWrap/>
            <w:hideMark/>
          </w:tcPr>
          <w:p w14:paraId="6E5A1BB7"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65.824,3</w:t>
            </w:r>
          </w:p>
        </w:tc>
        <w:tc>
          <w:tcPr>
            <w:tcW w:w="941" w:type="dxa"/>
            <w:tcBorders>
              <w:top w:val="nil"/>
              <w:left w:val="nil"/>
              <w:bottom w:val="nil"/>
              <w:right w:val="single" w:sz="8" w:space="0" w:color="auto"/>
            </w:tcBorders>
            <w:shd w:val="clear" w:color="000000" w:fill="FFFFFF"/>
            <w:noWrap/>
            <w:hideMark/>
          </w:tcPr>
          <w:p w14:paraId="11E63923"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66.316,2</w:t>
            </w:r>
          </w:p>
        </w:tc>
        <w:tc>
          <w:tcPr>
            <w:tcW w:w="941" w:type="dxa"/>
            <w:tcBorders>
              <w:top w:val="nil"/>
              <w:left w:val="nil"/>
              <w:bottom w:val="nil"/>
              <w:right w:val="single" w:sz="8" w:space="0" w:color="auto"/>
            </w:tcBorders>
            <w:shd w:val="clear" w:color="000000" w:fill="FFFFFF"/>
            <w:noWrap/>
            <w:hideMark/>
          </w:tcPr>
          <w:p w14:paraId="482ABEB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64.981,8</w:t>
            </w:r>
          </w:p>
        </w:tc>
        <w:tc>
          <w:tcPr>
            <w:tcW w:w="941" w:type="dxa"/>
            <w:tcBorders>
              <w:top w:val="nil"/>
              <w:left w:val="nil"/>
              <w:bottom w:val="nil"/>
              <w:right w:val="single" w:sz="8" w:space="0" w:color="auto"/>
            </w:tcBorders>
            <w:shd w:val="clear" w:color="000000" w:fill="FFFFFF"/>
            <w:noWrap/>
            <w:hideMark/>
          </w:tcPr>
          <w:p w14:paraId="2AE36BD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65.281,2</w:t>
            </w:r>
          </w:p>
        </w:tc>
        <w:tc>
          <w:tcPr>
            <w:tcW w:w="941" w:type="dxa"/>
            <w:tcBorders>
              <w:top w:val="nil"/>
              <w:left w:val="nil"/>
              <w:bottom w:val="nil"/>
              <w:right w:val="single" w:sz="8" w:space="0" w:color="auto"/>
            </w:tcBorders>
            <w:shd w:val="clear" w:color="000000" w:fill="FFFFFF"/>
            <w:noWrap/>
            <w:hideMark/>
          </w:tcPr>
          <w:p w14:paraId="71ADE103"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65.281,2</w:t>
            </w:r>
          </w:p>
        </w:tc>
        <w:tc>
          <w:tcPr>
            <w:tcW w:w="941" w:type="dxa"/>
            <w:tcBorders>
              <w:top w:val="nil"/>
              <w:left w:val="nil"/>
              <w:bottom w:val="nil"/>
              <w:right w:val="single" w:sz="8" w:space="0" w:color="auto"/>
            </w:tcBorders>
            <w:shd w:val="clear" w:color="000000" w:fill="FFFFFF"/>
            <w:noWrap/>
            <w:hideMark/>
          </w:tcPr>
          <w:p w14:paraId="369E273A"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66.042,8</w:t>
            </w:r>
          </w:p>
        </w:tc>
        <w:tc>
          <w:tcPr>
            <w:tcW w:w="941" w:type="dxa"/>
            <w:tcBorders>
              <w:top w:val="nil"/>
              <w:left w:val="nil"/>
              <w:bottom w:val="nil"/>
              <w:right w:val="single" w:sz="8" w:space="0" w:color="auto"/>
            </w:tcBorders>
            <w:shd w:val="clear" w:color="000000" w:fill="FFFFFF"/>
            <w:noWrap/>
            <w:hideMark/>
          </w:tcPr>
          <w:p w14:paraId="6C53AEB7"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67.198,6</w:t>
            </w:r>
          </w:p>
        </w:tc>
        <w:tc>
          <w:tcPr>
            <w:tcW w:w="941" w:type="dxa"/>
            <w:tcBorders>
              <w:top w:val="nil"/>
              <w:left w:val="nil"/>
              <w:bottom w:val="nil"/>
              <w:right w:val="single" w:sz="8" w:space="0" w:color="auto"/>
            </w:tcBorders>
            <w:shd w:val="clear" w:color="000000" w:fill="FFFFFF"/>
            <w:noWrap/>
            <w:hideMark/>
          </w:tcPr>
          <w:p w14:paraId="616289BB"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68.374,6</w:t>
            </w:r>
          </w:p>
        </w:tc>
        <w:tc>
          <w:tcPr>
            <w:tcW w:w="941" w:type="dxa"/>
            <w:tcBorders>
              <w:top w:val="nil"/>
              <w:left w:val="nil"/>
              <w:bottom w:val="nil"/>
              <w:right w:val="single" w:sz="8" w:space="0" w:color="auto"/>
            </w:tcBorders>
            <w:shd w:val="clear" w:color="000000" w:fill="FFFFFF"/>
            <w:noWrap/>
            <w:hideMark/>
          </w:tcPr>
          <w:p w14:paraId="1C4AB077"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69.571,1</w:t>
            </w:r>
          </w:p>
        </w:tc>
        <w:tc>
          <w:tcPr>
            <w:tcW w:w="941" w:type="dxa"/>
            <w:tcBorders>
              <w:top w:val="nil"/>
              <w:left w:val="nil"/>
              <w:bottom w:val="nil"/>
              <w:right w:val="single" w:sz="8" w:space="0" w:color="auto"/>
            </w:tcBorders>
            <w:shd w:val="clear" w:color="000000" w:fill="FFFFFF"/>
            <w:noWrap/>
            <w:hideMark/>
          </w:tcPr>
          <w:p w14:paraId="78607D6C"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70.788,6</w:t>
            </w:r>
          </w:p>
        </w:tc>
        <w:tc>
          <w:tcPr>
            <w:tcW w:w="941" w:type="dxa"/>
            <w:tcBorders>
              <w:top w:val="nil"/>
              <w:left w:val="nil"/>
              <w:bottom w:val="nil"/>
              <w:right w:val="single" w:sz="8" w:space="0" w:color="auto"/>
            </w:tcBorders>
            <w:shd w:val="clear" w:color="000000" w:fill="FFFFFF"/>
            <w:noWrap/>
            <w:hideMark/>
          </w:tcPr>
          <w:p w14:paraId="28B8A14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72.027,4</w:t>
            </w:r>
          </w:p>
        </w:tc>
        <w:tc>
          <w:tcPr>
            <w:tcW w:w="941" w:type="dxa"/>
            <w:tcBorders>
              <w:top w:val="nil"/>
              <w:left w:val="nil"/>
              <w:bottom w:val="nil"/>
              <w:right w:val="single" w:sz="8" w:space="0" w:color="auto"/>
            </w:tcBorders>
            <w:shd w:val="clear" w:color="000000" w:fill="FFFFFF"/>
            <w:noWrap/>
            <w:hideMark/>
          </w:tcPr>
          <w:p w14:paraId="4E10032C"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73.287,9</w:t>
            </w:r>
          </w:p>
        </w:tc>
        <w:tc>
          <w:tcPr>
            <w:tcW w:w="941" w:type="dxa"/>
            <w:tcBorders>
              <w:top w:val="nil"/>
              <w:left w:val="nil"/>
              <w:bottom w:val="nil"/>
              <w:right w:val="single" w:sz="8" w:space="0" w:color="auto"/>
            </w:tcBorders>
            <w:shd w:val="clear" w:color="000000" w:fill="FFFFFF"/>
            <w:noWrap/>
            <w:hideMark/>
          </w:tcPr>
          <w:p w14:paraId="57569BC7"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74.570,4</w:t>
            </w:r>
          </w:p>
        </w:tc>
      </w:tr>
      <w:tr w:rsidR="0074039F" w:rsidRPr="00CF312E" w14:paraId="2F1E2A76" w14:textId="77777777" w:rsidTr="00117BF8">
        <w:tc>
          <w:tcPr>
            <w:tcW w:w="2835" w:type="dxa"/>
            <w:tcBorders>
              <w:top w:val="nil"/>
              <w:left w:val="single" w:sz="8" w:space="0" w:color="auto"/>
              <w:bottom w:val="nil"/>
              <w:right w:val="nil"/>
            </w:tcBorders>
            <w:shd w:val="clear" w:color="000000" w:fill="FFFFFF"/>
            <w:noWrap/>
            <w:hideMark/>
          </w:tcPr>
          <w:p w14:paraId="7BCD67E0" w14:textId="77777777" w:rsidR="0074039F" w:rsidRPr="00117BF8" w:rsidRDefault="0074039F" w:rsidP="0060097F">
            <w:pPr>
              <w:pStyle w:val="TablaC"/>
              <w:jc w:val="left"/>
              <w:rPr>
                <w:rFonts w:ascii="Arial" w:hAnsi="Arial" w:cs="Arial"/>
                <w:sz w:val="18"/>
                <w:szCs w:val="18"/>
              </w:rPr>
            </w:pPr>
            <w:r w:rsidRPr="00117BF8">
              <w:rPr>
                <w:rFonts w:ascii="Arial" w:hAnsi="Arial" w:cs="Arial"/>
                <w:sz w:val="18"/>
                <w:szCs w:val="18"/>
              </w:rPr>
              <w:t xml:space="preserve">  No Tributarios</w:t>
            </w:r>
          </w:p>
        </w:tc>
        <w:tc>
          <w:tcPr>
            <w:tcW w:w="941" w:type="dxa"/>
            <w:tcBorders>
              <w:top w:val="nil"/>
              <w:left w:val="single" w:sz="8" w:space="0" w:color="auto"/>
              <w:bottom w:val="nil"/>
              <w:right w:val="single" w:sz="8" w:space="0" w:color="auto"/>
            </w:tcBorders>
            <w:shd w:val="clear" w:color="000000" w:fill="FFFFFF"/>
            <w:noWrap/>
            <w:hideMark/>
          </w:tcPr>
          <w:p w14:paraId="12170306"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53.119,5</w:t>
            </w:r>
          </w:p>
        </w:tc>
        <w:tc>
          <w:tcPr>
            <w:tcW w:w="941" w:type="dxa"/>
            <w:tcBorders>
              <w:top w:val="nil"/>
              <w:left w:val="nil"/>
              <w:bottom w:val="nil"/>
              <w:right w:val="single" w:sz="8" w:space="0" w:color="auto"/>
            </w:tcBorders>
            <w:shd w:val="clear" w:color="000000" w:fill="FFFFFF"/>
            <w:noWrap/>
            <w:hideMark/>
          </w:tcPr>
          <w:p w14:paraId="17DBC065"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56.121,0</w:t>
            </w:r>
          </w:p>
        </w:tc>
        <w:tc>
          <w:tcPr>
            <w:tcW w:w="941" w:type="dxa"/>
            <w:tcBorders>
              <w:top w:val="nil"/>
              <w:left w:val="nil"/>
              <w:bottom w:val="nil"/>
              <w:right w:val="single" w:sz="8" w:space="0" w:color="auto"/>
            </w:tcBorders>
            <w:shd w:val="clear" w:color="000000" w:fill="FFFFFF"/>
            <w:noWrap/>
            <w:hideMark/>
          </w:tcPr>
          <w:p w14:paraId="6470938B"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52.588,5</w:t>
            </w:r>
          </w:p>
        </w:tc>
        <w:tc>
          <w:tcPr>
            <w:tcW w:w="941" w:type="dxa"/>
            <w:tcBorders>
              <w:top w:val="nil"/>
              <w:left w:val="nil"/>
              <w:bottom w:val="nil"/>
              <w:right w:val="single" w:sz="8" w:space="0" w:color="auto"/>
            </w:tcBorders>
            <w:shd w:val="clear" w:color="000000" w:fill="FFFFFF"/>
            <w:noWrap/>
            <w:hideMark/>
          </w:tcPr>
          <w:p w14:paraId="4DD925D2"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51.053,0</w:t>
            </w:r>
          </w:p>
        </w:tc>
        <w:tc>
          <w:tcPr>
            <w:tcW w:w="941" w:type="dxa"/>
            <w:tcBorders>
              <w:top w:val="nil"/>
              <w:left w:val="nil"/>
              <w:bottom w:val="nil"/>
              <w:right w:val="single" w:sz="8" w:space="0" w:color="auto"/>
            </w:tcBorders>
            <w:shd w:val="clear" w:color="000000" w:fill="FFFFFF"/>
            <w:noWrap/>
            <w:hideMark/>
          </w:tcPr>
          <w:p w14:paraId="1E8CB977"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50.253,6</w:t>
            </w:r>
          </w:p>
        </w:tc>
        <w:tc>
          <w:tcPr>
            <w:tcW w:w="941" w:type="dxa"/>
            <w:tcBorders>
              <w:top w:val="nil"/>
              <w:left w:val="nil"/>
              <w:bottom w:val="nil"/>
              <w:right w:val="single" w:sz="8" w:space="0" w:color="auto"/>
            </w:tcBorders>
            <w:shd w:val="clear" w:color="000000" w:fill="FFFFFF"/>
            <w:noWrap/>
            <w:hideMark/>
          </w:tcPr>
          <w:p w14:paraId="17B3CB5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49.465,1</w:t>
            </w:r>
          </w:p>
        </w:tc>
        <w:tc>
          <w:tcPr>
            <w:tcW w:w="941" w:type="dxa"/>
            <w:tcBorders>
              <w:top w:val="nil"/>
              <w:left w:val="nil"/>
              <w:bottom w:val="nil"/>
              <w:right w:val="single" w:sz="8" w:space="0" w:color="auto"/>
            </w:tcBorders>
            <w:shd w:val="clear" w:color="000000" w:fill="FFFFFF"/>
            <w:noWrap/>
            <w:hideMark/>
          </w:tcPr>
          <w:p w14:paraId="678CC2E3"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48.699,1</w:t>
            </w:r>
          </w:p>
        </w:tc>
        <w:tc>
          <w:tcPr>
            <w:tcW w:w="941" w:type="dxa"/>
            <w:tcBorders>
              <w:top w:val="nil"/>
              <w:left w:val="nil"/>
              <w:bottom w:val="nil"/>
              <w:right w:val="single" w:sz="8" w:space="0" w:color="auto"/>
            </w:tcBorders>
            <w:shd w:val="clear" w:color="000000" w:fill="FFFFFF"/>
            <w:noWrap/>
            <w:hideMark/>
          </w:tcPr>
          <w:p w14:paraId="1E1D6917"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47.955,2</w:t>
            </w:r>
          </w:p>
        </w:tc>
        <w:tc>
          <w:tcPr>
            <w:tcW w:w="941" w:type="dxa"/>
            <w:tcBorders>
              <w:top w:val="nil"/>
              <w:left w:val="nil"/>
              <w:bottom w:val="nil"/>
              <w:right w:val="single" w:sz="8" w:space="0" w:color="auto"/>
            </w:tcBorders>
            <w:shd w:val="clear" w:color="000000" w:fill="FFFFFF"/>
            <w:noWrap/>
            <w:hideMark/>
          </w:tcPr>
          <w:p w14:paraId="69555D0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47.232,6</w:t>
            </w:r>
          </w:p>
        </w:tc>
        <w:tc>
          <w:tcPr>
            <w:tcW w:w="941" w:type="dxa"/>
            <w:tcBorders>
              <w:top w:val="nil"/>
              <w:left w:val="nil"/>
              <w:bottom w:val="nil"/>
              <w:right w:val="single" w:sz="8" w:space="0" w:color="auto"/>
            </w:tcBorders>
            <w:shd w:val="clear" w:color="000000" w:fill="FFFFFF"/>
            <w:noWrap/>
            <w:hideMark/>
          </w:tcPr>
          <w:p w14:paraId="0ADF1FA1"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46.530,8</w:t>
            </w:r>
          </w:p>
        </w:tc>
        <w:tc>
          <w:tcPr>
            <w:tcW w:w="941" w:type="dxa"/>
            <w:tcBorders>
              <w:top w:val="nil"/>
              <w:left w:val="nil"/>
              <w:bottom w:val="nil"/>
              <w:right w:val="single" w:sz="8" w:space="0" w:color="auto"/>
            </w:tcBorders>
            <w:shd w:val="clear" w:color="000000" w:fill="FFFFFF"/>
            <w:noWrap/>
            <w:hideMark/>
          </w:tcPr>
          <w:p w14:paraId="2CCD128B"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45.849,1</w:t>
            </w:r>
          </w:p>
        </w:tc>
        <w:tc>
          <w:tcPr>
            <w:tcW w:w="941" w:type="dxa"/>
            <w:tcBorders>
              <w:top w:val="nil"/>
              <w:left w:val="nil"/>
              <w:bottom w:val="nil"/>
              <w:right w:val="single" w:sz="8" w:space="0" w:color="auto"/>
            </w:tcBorders>
            <w:shd w:val="clear" w:color="000000" w:fill="FFFFFF"/>
            <w:noWrap/>
            <w:hideMark/>
          </w:tcPr>
          <w:p w14:paraId="524D3B0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45.186,9</w:t>
            </w:r>
          </w:p>
        </w:tc>
        <w:tc>
          <w:tcPr>
            <w:tcW w:w="941" w:type="dxa"/>
            <w:tcBorders>
              <w:top w:val="nil"/>
              <w:left w:val="nil"/>
              <w:bottom w:val="nil"/>
              <w:right w:val="single" w:sz="8" w:space="0" w:color="auto"/>
            </w:tcBorders>
            <w:shd w:val="clear" w:color="000000" w:fill="FFFFFF"/>
            <w:noWrap/>
            <w:hideMark/>
          </w:tcPr>
          <w:p w14:paraId="77DE8841"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44.543,8</w:t>
            </w:r>
          </w:p>
        </w:tc>
      </w:tr>
      <w:tr w:rsidR="0074039F" w:rsidRPr="00CF312E" w14:paraId="51E5D2B3" w14:textId="77777777" w:rsidTr="00117BF8">
        <w:tc>
          <w:tcPr>
            <w:tcW w:w="2835" w:type="dxa"/>
            <w:tcBorders>
              <w:top w:val="single" w:sz="8" w:space="0" w:color="auto"/>
              <w:left w:val="single" w:sz="8" w:space="0" w:color="auto"/>
              <w:bottom w:val="single" w:sz="8" w:space="0" w:color="auto"/>
              <w:right w:val="nil"/>
            </w:tcBorders>
            <w:shd w:val="clear" w:color="000000" w:fill="FFFFFF"/>
            <w:noWrap/>
            <w:hideMark/>
          </w:tcPr>
          <w:p w14:paraId="334FCCA8" w14:textId="77777777" w:rsidR="0074039F" w:rsidRPr="00117BF8" w:rsidRDefault="0074039F" w:rsidP="0060097F">
            <w:pPr>
              <w:pStyle w:val="TablaC"/>
              <w:jc w:val="left"/>
              <w:rPr>
                <w:rFonts w:ascii="Arial" w:hAnsi="Arial" w:cs="Arial"/>
                <w:b/>
                <w:sz w:val="18"/>
                <w:szCs w:val="18"/>
              </w:rPr>
            </w:pPr>
            <w:r w:rsidRPr="00117BF8">
              <w:rPr>
                <w:rFonts w:ascii="Arial" w:hAnsi="Arial" w:cs="Arial"/>
                <w:b/>
                <w:sz w:val="18"/>
                <w:szCs w:val="18"/>
              </w:rPr>
              <w:t>II. GASTOS CORRIENTES</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hideMark/>
          </w:tcPr>
          <w:p w14:paraId="176B101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387.441,6</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01541726"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400.874,1</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1208BE6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400.032,7</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747D7F0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407.007,0</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0D8061A5"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416.242,7</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112EA420"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421.975,9</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455B2768"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429.086,0</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55039B12"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437.273,5</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0660D6A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446.386,5</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4C17D20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454.852,7</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48E259E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463.688,1</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2EA08FB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472.698,6</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60B66FA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482.181,6</w:t>
            </w:r>
          </w:p>
        </w:tc>
      </w:tr>
      <w:tr w:rsidR="0074039F" w:rsidRPr="00CF312E" w14:paraId="6D74D921" w14:textId="77777777" w:rsidTr="00117BF8">
        <w:tc>
          <w:tcPr>
            <w:tcW w:w="2835" w:type="dxa"/>
            <w:tcBorders>
              <w:top w:val="nil"/>
              <w:left w:val="single" w:sz="8" w:space="0" w:color="auto"/>
              <w:bottom w:val="nil"/>
              <w:right w:val="nil"/>
            </w:tcBorders>
            <w:shd w:val="clear" w:color="000000" w:fill="FFFFFF"/>
            <w:noWrap/>
            <w:hideMark/>
          </w:tcPr>
          <w:p w14:paraId="78D0FAFC" w14:textId="77777777" w:rsidR="0074039F" w:rsidRPr="00117BF8" w:rsidRDefault="0074039F" w:rsidP="0060097F">
            <w:pPr>
              <w:pStyle w:val="TablaC"/>
              <w:jc w:val="left"/>
              <w:rPr>
                <w:rFonts w:ascii="Arial" w:hAnsi="Arial" w:cs="Arial"/>
                <w:sz w:val="18"/>
                <w:szCs w:val="18"/>
              </w:rPr>
            </w:pPr>
            <w:r w:rsidRPr="00117BF8">
              <w:rPr>
                <w:rFonts w:ascii="Arial" w:hAnsi="Arial" w:cs="Arial"/>
                <w:sz w:val="18"/>
                <w:szCs w:val="18"/>
              </w:rPr>
              <w:t xml:space="preserve">  Personal</w:t>
            </w:r>
          </w:p>
        </w:tc>
        <w:tc>
          <w:tcPr>
            <w:tcW w:w="941" w:type="dxa"/>
            <w:tcBorders>
              <w:top w:val="nil"/>
              <w:left w:val="single" w:sz="8" w:space="0" w:color="auto"/>
              <w:bottom w:val="nil"/>
              <w:right w:val="single" w:sz="8" w:space="0" w:color="auto"/>
            </w:tcBorders>
            <w:shd w:val="clear" w:color="000000" w:fill="FFFFFF"/>
            <w:noWrap/>
            <w:hideMark/>
          </w:tcPr>
          <w:p w14:paraId="04398D36"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195.638,1</w:t>
            </w:r>
          </w:p>
        </w:tc>
        <w:tc>
          <w:tcPr>
            <w:tcW w:w="941" w:type="dxa"/>
            <w:tcBorders>
              <w:top w:val="nil"/>
              <w:left w:val="nil"/>
              <w:bottom w:val="nil"/>
              <w:right w:val="single" w:sz="8" w:space="0" w:color="auto"/>
            </w:tcBorders>
            <w:shd w:val="clear" w:color="000000" w:fill="FFFFFF"/>
            <w:noWrap/>
            <w:hideMark/>
          </w:tcPr>
          <w:p w14:paraId="2EEB073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204.148,1</w:t>
            </w:r>
          </w:p>
        </w:tc>
        <w:tc>
          <w:tcPr>
            <w:tcW w:w="941" w:type="dxa"/>
            <w:tcBorders>
              <w:top w:val="nil"/>
              <w:left w:val="nil"/>
              <w:bottom w:val="nil"/>
              <w:right w:val="single" w:sz="8" w:space="0" w:color="auto"/>
            </w:tcBorders>
            <w:shd w:val="clear" w:color="000000" w:fill="FFFFFF"/>
            <w:noWrap/>
            <w:hideMark/>
          </w:tcPr>
          <w:p w14:paraId="098198F6"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200.040,1</w:t>
            </w:r>
          </w:p>
        </w:tc>
        <w:tc>
          <w:tcPr>
            <w:tcW w:w="941" w:type="dxa"/>
            <w:tcBorders>
              <w:top w:val="nil"/>
              <w:left w:val="nil"/>
              <w:bottom w:val="nil"/>
              <w:right w:val="single" w:sz="8" w:space="0" w:color="auto"/>
            </w:tcBorders>
            <w:shd w:val="clear" w:color="000000" w:fill="FFFFFF"/>
            <w:noWrap/>
            <w:hideMark/>
          </w:tcPr>
          <w:p w14:paraId="4BD5DB20"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200.962,0</w:t>
            </w:r>
          </w:p>
        </w:tc>
        <w:tc>
          <w:tcPr>
            <w:tcW w:w="941" w:type="dxa"/>
            <w:tcBorders>
              <w:top w:val="nil"/>
              <w:left w:val="nil"/>
              <w:bottom w:val="nil"/>
              <w:right w:val="single" w:sz="8" w:space="0" w:color="auto"/>
            </w:tcBorders>
            <w:shd w:val="clear" w:color="000000" w:fill="FFFFFF"/>
            <w:noWrap/>
            <w:hideMark/>
          </w:tcPr>
          <w:p w14:paraId="66443895"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204.750,1</w:t>
            </w:r>
          </w:p>
        </w:tc>
        <w:tc>
          <w:tcPr>
            <w:tcW w:w="941" w:type="dxa"/>
            <w:tcBorders>
              <w:top w:val="nil"/>
              <w:left w:val="nil"/>
              <w:bottom w:val="nil"/>
              <w:right w:val="single" w:sz="8" w:space="0" w:color="auto"/>
            </w:tcBorders>
            <w:shd w:val="clear" w:color="000000" w:fill="FFFFFF"/>
            <w:noWrap/>
            <w:hideMark/>
          </w:tcPr>
          <w:p w14:paraId="623BA3CA"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207.138,9</w:t>
            </w:r>
          </w:p>
        </w:tc>
        <w:tc>
          <w:tcPr>
            <w:tcW w:w="941" w:type="dxa"/>
            <w:tcBorders>
              <w:top w:val="nil"/>
              <w:left w:val="nil"/>
              <w:bottom w:val="nil"/>
              <w:right w:val="single" w:sz="8" w:space="0" w:color="auto"/>
            </w:tcBorders>
            <w:shd w:val="clear" w:color="000000" w:fill="FFFFFF"/>
            <w:noWrap/>
            <w:hideMark/>
          </w:tcPr>
          <w:p w14:paraId="2507594C"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210.763,8</w:t>
            </w:r>
          </w:p>
        </w:tc>
        <w:tc>
          <w:tcPr>
            <w:tcW w:w="941" w:type="dxa"/>
            <w:tcBorders>
              <w:top w:val="nil"/>
              <w:left w:val="nil"/>
              <w:bottom w:val="nil"/>
              <w:right w:val="single" w:sz="8" w:space="0" w:color="auto"/>
            </w:tcBorders>
            <w:shd w:val="clear" w:color="000000" w:fill="FFFFFF"/>
            <w:noWrap/>
            <w:hideMark/>
          </w:tcPr>
          <w:p w14:paraId="25F97514"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214.452,2</w:t>
            </w:r>
          </w:p>
        </w:tc>
        <w:tc>
          <w:tcPr>
            <w:tcW w:w="941" w:type="dxa"/>
            <w:tcBorders>
              <w:top w:val="nil"/>
              <w:left w:val="nil"/>
              <w:bottom w:val="nil"/>
              <w:right w:val="single" w:sz="8" w:space="0" w:color="auto"/>
            </w:tcBorders>
            <w:shd w:val="clear" w:color="000000" w:fill="FFFFFF"/>
            <w:noWrap/>
            <w:hideMark/>
          </w:tcPr>
          <w:p w14:paraId="6E0D4A24"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218.205,1</w:t>
            </w:r>
          </w:p>
        </w:tc>
        <w:tc>
          <w:tcPr>
            <w:tcW w:w="941" w:type="dxa"/>
            <w:tcBorders>
              <w:top w:val="nil"/>
              <w:left w:val="nil"/>
              <w:bottom w:val="nil"/>
              <w:right w:val="single" w:sz="8" w:space="0" w:color="auto"/>
            </w:tcBorders>
            <w:shd w:val="clear" w:color="000000" w:fill="FFFFFF"/>
            <w:noWrap/>
            <w:hideMark/>
          </w:tcPr>
          <w:p w14:paraId="0EE24B0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222.023,7</w:t>
            </w:r>
          </w:p>
        </w:tc>
        <w:tc>
          <w:tcPr>
            <w:tcW w:w="941" w:type="dxa"/>
            <w:tcBorders>
              <w:top w:val="nil"/>
              <w:left w:val="nil"/>
              <w:bottom w:val="nil"/>
              <w:right w:val="single" w:sz="8" w:space="0" w:color="auto"/>
            </w:tcBorders>
            <w:shd w:val="clear" w:color="000000" w:fill="FFFFFF"/>
            <w:noWrap/>
            <w:hideMark/>
          </w:tcPr>
          <w:p w14:paraId="1A652070"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225.909,1</w:t>
            </w:r>
          </w:p>
        </w:tc>
        <w:tc>
          <w:tcPr>
            <w:tcW w:w="941" w:type="dxa"/>
            <w:tcBorders>
              <w:top w:val="nil"/>
              <w:left w:val="nil"/>
              <w:bottom w:val="nil"/>
              <w:right w:val="single" w:sz="8" w:space="0" w:color="auto"/>
            </w:tcBorders>
            <w:shd w:val="clear" w:color="000000" w:fill="FFFFFF"/>
            <w:noWrap/>
            <w:hideMark/>
          </w:tcPr>
          <w:p w14:paraId="349A3ACF"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229.862,5</w:t>
            </w:r>
          </w:p>
        </w:tc>
        <w:tc>
          <w:tcPr>
            <w:tcW w:w="941" w:type="dxa"/>
            <w:tcBorders>
              <w:top w:val="nil"/>
              <w:left w:val="nil"/>
              <w:bottom w:val="nil"/>
              <w:right w:val="single" w:sz="8" w:space="0" w:color="auto"/>
            </w:tcBorders>
            <w:shd w:val="clear" w:color="000000" w:fill="FFFFFF"/>
            <w:noWrap/>
            <w:hideMark/>
          </w:tcPr>
          <w:p w14:paraId="1BCEF40A"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233.885,1</w:t>
            </w:r>
          </w:p>
        </w:tc>
      </w:tr>
      <w:tr w:rsidR="0074039F" w:rsidRPr="00CF312E" w14:paraId="73E6B174" w14:textId="77777777" w:rsidTr="00117BF8">
        <w:tc>
          <w:tcPr>
            <w:tcW w:w="2835" w:type="dxa"/>
            <w:tcBorders>
              <w:top w:val="nil"/>
              <w:left w:val="single" w:sz="8" w:space="0" w:color="auto"/>
              <w:bottom w:val="nil"/>
              <w:right w:val="nil"/>
            </w:tcBorders>
            <w:shd w:val="clear" w:color="000000" w:fill="FFFFFF"/>
            <w:noWrap/>
            <w:hideMark/>
          </w:tcPr>
          <w:p w14:paraId="36BABB5A" w14:textId="77777777" w:rsidR="0074039F" w:rsidRPr="00117BF8" w:rsidRDefault="0074039F" w:rsidP="0060097F">
            <w:pPr>
              <w:pStyle w:val="TablaC"/>
              <w:jc w:val="left"/>
              <w:rPr>
                <w:rFonts w:ascii="Arial" w:hAnsi="Arial" w:cs="Arial"/>
                <w:sz w:val="18"/>
                <w:szCs w:val="18"/>
              </w:rPr>
            </w:pPr>
            <w:r w:rsidRPr="00117BF8">
              <w:rPr>
                <w:rFonts w:ascii="Arial" w:hAnsi="Arial" w:cs="Arial"/>
                <w:sz w:val="18"/>
                <w:szCs w:val="18"/>
              </w:rPr>
              <w:t xml:space="preserve">  Bienes y Servicios</w:t>
            </w:r>
          </w:p>
        </w:tc>
        <w:tc>
          <w:tcPr>
            <w:tcW w:w="941" w:type="dxa"/>
            <w:tcBorders>
              <w:top w:val="nil"/>
              <w:left w:val="single" w:sz="8" w:space="0" w:color="auto"/>
              <w:bottom w:val="nil"/>
              <w:right w:val="single" w:sz="8" w:space="0" w:color="auto"/>
            </w:tcBorders>
            <w:shd w:val="clear" w:color="000000" w:fill="FFFFFF"/>
            <w:noWrap/>
            <w:hideMark/>
          </w:tcPr>
          <w:p w14:paraId="34B248FB"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20.840,4</w:t>
            </w:r>
          </w:p>
        </w:tc>
        <w:tc>
          <w:tcPr>
            <w:tcW w:w="941" w:type="dxa"/>
            <w:tcBorders>
              <w:top w:val="nil"/>
              <w:left w:val="nil"/>
              <w:bottom w:val="nil"/>
              <w:right w:val="single" w:sz="8" w:space="0" w:color="auto"/>
            </w:tcBorders>
            <w:shd w:val="clear" w:color="000000" w:fill="FFFFFF"/>
            <w:noWrap/>
            <w:hideMark/>
          </w:tcPr>
          <w:p w14:paraId="36A6A47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21.506,9</w:t>
            </w:r>
          </w:p>
        </w:tc>
        <w:tc>
          <w:tcPr>
            <w:tcW w:w="941" w:type="dxa"/>
            <w:tcBorders>
              <w:top w:val="nil"/>
              <w:left w:val="nil"/>
              <w:bottom w:val="nil"/>
              <w:right w:val="single" w:sz="8" w:space="0" w:color="auto"/>
            </w:tcBorders>
            <w:shd w:val="clear" w:color="000000" w:fill="FFFFFF"/>
            <w:noWrap/>
            <w:hideMark/>
          </w:tcPr>
          <w:p w14:paraId="3201516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22.259,5</w:t>
            </w:r>
          </w:p>
        </w:tc>
        <w:tc>
          <w:tcPr>
            <w:tcW w:w="941" w:type="dxa"/>
            <w:tcBorders>
              <w:top w:val="nil"/>
              <w:left w:val="nil"/>
              <w:bottom w:val="nil"/>
              <w:right w:val="single" w:sz="8" w:space="0" w:color="auto"/>
            </w:tcBorders>
            <w:shd w:val="clear" w:color="000000" w:fill="FFFFFF"/>
            <w:noWrap/>
            <w:hideMark/>
          </w:tcPr>
          <w:p w14:paraId="779D089A"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23.039,1</w:t>
            </w:r>
          </w:p>
        </w:tc>
        <w:tc>
          <w:tcPr>
            <w:tcW w:w="941" w:type="dxa"/>
            <w:tcBorders>
              <w:top w:val="nil"/>
              <w:left w:val="nil"/>
              <w:bottom w:val="nil"/>
              <w:right w:val="single" w:sz="8" w:space="0" w:color="auto"/>
            </w:tcBorders>
            <w:shd w:val="clear" w:color="000000" w:fill="FFFFFF"/>
            <w:noWrap/>
            <w:hideMark/>
          </w:tcPr>
          <w:p w14:paraId="5E5FE585"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23.845,5</w:t>
            </w:r>
          </w:p>
        </w:tc>
        <w:tc>
          <w:tcPr>
            <w:tcW w:w="941" w:type="dxa"/>
            <w:tcBorders>
              <w:top w:val="nil"/>
              <w:left w:val="nil"/>
              <w:bottom w:val="nil"/>
              <w:right w:val="single" w:sz="8" w:space="0" w:color="auto"/>
            </w:tcBorders>
            <w:shd w:val="clear" w:color="000000" w:fill="FFFFFF"/>
            <w:noWrap/>
            <w:hideMark/>
          </w:tcPr>
          <w:p w14:paraId="1FF4F69C"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24.680,1</w:t>
            </w:r>
          </w:p>
        </w:tc>
        <w:tc>
          <w:tcPr>
            <w:tcW w:w="941" w:type="dxa"/>
            <w:tcBorders>
              <w:top w:val="nil"/>
              <w:left w:val="nil"/>
              <w:bottom w:val="nil"/>
              <w:right w:val="single" w:sz="8" w:space="0" w:color="auto"/>
            </w:tcBorders>
            <w:shd w:val="clear" w:color="000000" w:fill="FFFFFF"/>
            <w:noWrap/>
            <w:hideMark/>
          </w:tcPr>
          <w:p w14:paraId="13A5899A"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25.543,9</w:t>
            </w:r>
          </w:p>
        </w:tc>
        <w:tc>
          <w:tcPr>
            <w:tcW w:w="941" w:type="dxa"/>
            <w:tcBorders>
              <w:top w:val="nil"/>
              <w:left w:val="nil"/>
              <w:bottom w:val="nil"/>
              <w:right w:val="single" w:sz="8" w:space="0" w:color="auto"/>
            </w:tcBorders>
            <w:shd w:val="clear" w:color="000000" w:fill="FFFFFF"/>
            <w:noWrap/>
            <w:hideMark/>
          </w:tcPr>
          <w:p w14:paraId="509CA4FF"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26.437,9</w:t>
            </w:r>
          </w:p>
        </w:tc>
        <w:tc>
          <w:tcPr>
            <w:tcW w:w="941" w:type="dxa"/>
            <w:tcBorders>
              <w:top w:val="nil"/>
              <w:left w:val="nil"/>
              <w:bottom w:val="nil"/>
              <w:right w:val="single" w:sz="8" w:space="0" w:color="auto"/>
            </w:tcBorders>
            <w:shd w:val="clear" w:color="000000" w:fill="FFFFFF"/>
            <w:noWrap/>
            <w:hideMark/>
          </w:tcPr>
          <w:p w14:paraId="2472B27D"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27.363,3</w:t>
            </w:r>
          </w:p>
        </w:tc>
        <w:tc>
          <w:tcPr>
            <w:tcW w:w="941" w:type="dxa"/>
            <w:tcBorders>
              <w:top w:val="nil"/>
              <w:left w:val="nil"/>
              <w:bottom w:val="nil"/>
              <w:right w:val="single" w:sz="8" w:space="0" w:color="auto"/>
            </w:tcBorders>
            <w:shd w:val="clear" w:color="000000" w:fill="FFFFFF"/>
            <w:noWrap/>
            <w:hideMark/>
          </w:tcPr>
          <w:p w14:paraId="5F3635C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28.321,0</w:t>
            </w:r>
          </w:p>
        </w:tc>
        <w:tc>
          <w:tcPr>
            <w:tcW w:w="941" w:type="dxa"/>
            <w:tcBorders>
              <w:top w:val="nil"/>
              <w:left w:val="nil"/>
              <w:bottom w:val="nil"/>
              <w:right w:val="single" w:sz="8" w:space="0" w:color="auto"/>
            </w:tcBorders>
            <w:shd w:val="clear" w:color="000000" w:fill="FFFFFF"/>
            <w:noWrap/>
            <w:hideMark/>
          </w:tcPr>
          <w:p w14:paraId="3DBB1C3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29.312,2</w:t>
            </w:r>
          </w:p>
        </w:tc>
        <w:tc>
          <w:tcPr>
            <w:tcW w:w="941" w:type="dxa"/>
            <w:tcBorders>
              <w:top w:val="nil"/>
              <w:left w:val="nil"/>
              <w:bottom w:val="nil"/>
              <w:right w:val="single" w:sz="8" w:space="0" w:color="auto"/>
            </w:tcBorders>
            <w:shd w:val="clear" w:color="000000" w:fill="FFFFFF"/>
            <w:noWrap/>
            <w:hideMark/>
          </w:tcPr>
          <w:p w14:paraId="4E3657E6"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30.338,2</w:t>
            </w:r>
          </w:p>
        </w:tc>
        <w:tc>
          <w:tcPr>
            <w:tcW w:w="941" w:type="dxa"/>
            <w:tcBorders>
              <w:top w:val="nil"/>
              <w:left w:val="nil"/>
              <w:bottom w:val="nil"/>
              <w:right w:val="single" w:sz="8" w:space="0" w:color="auto"/>
            </w:tcBorders>
            <w:shd w:val="clear" w:color="000000" w:fill="FFFFFF"/>
            <w:noWrap/>
            <w:hideMark/>
          </w:tcPr>
          <w:p w14:paraId="15D6FE4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31.400,0</w:t>
            </w:r>
          </w:p>
        </w:tc>
      </w:tr>
      <w:tr w:rsidR="0074039F" w:rsidRPr="00CF312E" w14:paraId="4830479C" w14:textId="77777777" w:rsidTr="00117BF8">
        <w:tc>
          <w:tcPr>
            <w:tcW w:w="2835" w:type="dxa"/>
            <w:tcBorders>
              <w:top w:val="nil"/>
              <w:left w:val="single" w:sz="8" w:space="0" w:color="auto"/>
              <w:bottom w:val="nil"/>
              <w:right w:val="nil"/>
            </w:tcBorders>
            <w:shd w:val="clear" w:color="000000" w:fill="FFFFFF"/>
            <w:noWrap/>
            <w:hideMark/>
          </w:tcPr>
          <w:p w14:paraId="7432950A" w14:textId="77777777" w:rsidR="0074039F" w:rsidRPr="00117BF8" w:rsidRDefault="0074039F" w:rsidP="0060097F">
            <w:pPr>
              <w:pStyle w:val="TablaC"/>
              <w:jc w:val="left"/>
              <w:rPr>
                <w:rFonts w:ascii="Arial" w:hAnsi="Arial" w:cs="Arial"/>
                <w:sz w:val="18"/>
                <w:szCs w:val="18"/>
              </w:rPr>
            </w:pPr>
            <w:r w:rsidRPr="00117BF8">
              <w:rPr>
                <w:rFonts w:ascii="Arial" w:hAnsi="Arial" w:cs="Arial"/>
                <w:sz w:val="18"/>
                <w:szCs w:val="18"/>
              </w:rPr>
              <w:t xml:space="preserve">  Intereses</w:t>
            </w:r>
          </w:p>
        </w:tc>
        <w:tc>
          <w:tcPr>
            <w:tcW w:w="941" w:type="dxa"/>
            <w:tcBorders>
              <w:top w:val="nil"/>
              <w:left w:val="single" w:sz="8" w:space="0" w:color="auto"/>
              <w:bottom w:val="nil"/>
              <w:right w:val="single" w:sz="8" w:space="0" w:color="auto"/>
            </w:tcBorders>
            <w:shd w:val="clear" w:color="000000" w:fill="FFFFFF"/>
            <w:noWrap/>
            <w:hideMark/>
          </w:tcPr>
          <w:p w14:paraId="538CA20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14.446,0</w:t>
            </w:r>
          </w:p>
        </w:tc>
        <w:tc>
          <w:tcPr>
            <w:tcW w:w="941" w:type="dxa"/>
            <w:tcBorders>
              <w:top w:val="nil"/>
              <w:left w:val="nil"/>
              <w:bottom w:val="nil"/>
              <w:right w:val="single" w:sz="8" w:space="0" w:color="auto"/>
            </w:tcBorders>
            <w:shd w:val="clear" w:color="000000" w:fill="FFFFFF"/>
            <w:noWrap/>
            <w:hideMark/>
          </w:tcPr>
          <w:p w14:paraId="5531016B"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19.243,7</w:t>
            </w:r>
          </w:p>
        </w:tc>
        <w:tc>
          <w:tcPr>
            <w:tcW w:w="941" w:type="dxa"/>
            <w:tcBorders>
              <w:top w:val="nil"/>
              <w:left w:val="nil"/>
              <w:bottom w:val="nil"/>
              <w:right w:val="single" w:sz="8" w:space="0" w:color="auto"/>
            </w:tcBorders>
            <w:shd w:val="clear" w:color="000000" w:fill="FFFFFF"/>
            <w:noWrap/>
            <w:hideMark/>
          </w:tcPr>
          <w:p w14:paraId="54105105"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19.760,3</w:t>
            </w:r>
          </w:p>
        </w:tc>
        <w:tc>
          <w:tcPr>
            <w:tcW w:w="941" w:type="dxa"/>
            <w:tcBorders>
              <w:top w:val="nil"/>
              <w:left w:val="nil"/>
              <w:bottom w:val="nil"/>
              <w:right w:val="single" w:sz="8" w:space="0" w:color="auto"/>
            </w:tcBorders>
            <w:shd w:val="clear" w:color="000000" w:fill="FFFFFF"/>
            <w:noWrap/>
            <w:hideMark/>
          </w:tcPr>
          <w:p w14:paraId="1100FCEB"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21.461,2</w:t>
            </w:r>
          </w:p>
        </w:tc>
        <w:tc>
          <w:tcPr>
            <w:tcW w:w="941" w:type="dxa"/>
            <w:tcBorders>
              <w:top w:val="nil"/>
              <w:left w:val="nil"/>
              <w:bottom w:val="nil"/>
              <w:right w:val="single" w:sz="8" w:space="0" w:color="auto"/>
            </w:tcBorders>
            <w:shd w:val="clear" w:color="000000" w:fill="FFFFFF"/>
            <w:noWrap/>
            <w:hideMark/>
          </w:tcPr>
          <w:p w14:paraId="6DF37D83"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21.124,8</w:t>
            </w:r>
          </w:p>
        </w:tc>
        <w:tc>
          <w:tcPr>
            <w:tcW w:w="941" w:type="dxa"/>
            <w:tcBorders>
              <w:top w:val="nil"/>
              <w:left w:val="nil"/>
              <w:bottom w:val="nil"/>
              <w:right w:val="single" w:sz="8" w:space="0" w:color="auto"/>
            </w:tcBorders>
            <w:shd w:val="clear" w:color="000000" w:fill="FFFFFF"/>
            <w:noWrap/>
            <w:hideMark/>
          </w:tcPr>
          <w:p w14:paraId="312308FF"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20.549,8</w:t>
            </w:r>
          </w:p>
        </w:tc>
        <w:tc>
          <w:tcPr>
            <w:tcW w:w="941" w:type="dxa"/>
            <w:tcBorders>
              <w:top w:val="nil"/>
              <w:left w:val="nil"/>
              <w:bottom w:val="nil"/>
              <w:right w:val="single" w:sz="8" w:space="0" w:color="auto"/>
            </w:tcBorders>
            <w:shd w:val="clear" w:color="000000" w:fill="FFFFFF"/>
            <w:noWrap/>
            <w:hideMark/>
          </w:tcPr>
          <w:p w14:paraId="281CE29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19.359,8</w:t>
            </w:r>
          </w:p>
        </w:tc>
        <w:tc>
          <w:tcPr>
            <w:tcW w:w="941" w:type="dxa"/>
            <w:tcBorders>
              <w:top w:val="nil"/>
              <w:left w:val="nil"/>
              <w:bottom w:val="nil"/>
              <w:right w:val="single" w:sz="8" w:space="0" w:color="auto"/>
            </w:tcBorders>
            <w:shd w:val="clear" w:color="000000" w:fill="FFFFFF"/>
            <w:noWrap/>
            <w:hideMark/>
          </w:tcPr>
          <w:p w14:paraId="772DD7C1"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19.050,5</w:t>
            </w:r>
          </w:p>
        </w:tc>
        <w:tc>
          <w:tcPr>
            <w:tcW w:w="941" w:type="dxa"/>
            <w:tcBorders>
              <w:top w:val="nil"/>
              <w:left w:val="nil"/>
              <w:bottom w:val="nil"/>
              <w:right w:val="single" w:sz="8" w:space="0" w:color="auto"/>
            </w:tcBorders>
            <w:shd w:val="clear" w:color="000000" w:fill="FFFFFF"/>
            <w:noWrap/>
            <w:hideMark/>
          </w:tcPr>
          <w:p w14:paraId="34BAEE97"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19.465,1</w:t>
            </w:r>
          </w:p>
        </w:tc>
        <w:tc>
          <w:tcPr>
            <w:tcW w:w="941" w:type="dxa"/>
            <w:tcBorders>
              <w:top w:val="nil"/>
              <w:left w:val="nil"/>
              <w:bottom w:val="nil"/>
              <w:right w:val="single" w:sz="8" w:space="0" w:color="auto"/>
            </w:tcBorders>
            <w:shd w:val="clear" w:color="000000" w:fill="FFFFFF"/>
            <w:noWrap/>
            <w:hideMark/>
          </w:tcPr>
          <w:p w14:paraId="025FEADB"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19.025,9</w:t>
            </w:r>
          </w:p>
        </w:tc>
        <w:tc>
          <w:tcPr>
            <w:tcW w:w="941" w:type="dxa"/>
            <w:tcBorders>
              <w:top w:val="nil"/>
              <w:left w:val="nil"/>
              <w:bottom w:val="nil"/>
              <w:right w:val="single" w:sz="8" w:space="0" w:color="auto"/>
            </w:tcBorders>
            <w:shd w:val="clear" w:color="000000" w:fill="FFFFFF"/>
            <w:noWrap/>
            <w:hideMark/>
          </w:tcPr>
          <w:p w14:paraId="34C1786D"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18.743,5</w:t>
            </w:r>
          </w:p>
        </w:tc>
        <w:tc>
          <w:tcPr>
            <w:tcW w:w="941" w:type="dxa"/>
            <w:tcBorders>
              <w:top w:val="nil"/>
              <w:left w:val="nil"/>
              <w:bottom w:val="nil"/>
              <w:right w:val="single" w:sz="8" w:space="0" w:color="auto"/>
            </w:tcBorders>
            <w:shd w:val="clear" w:color="000000" w:fill="FFFFFF"/>
            <w:noWrap/>
            <w:hideMark/>
          </w:tcPr>
          <w:p w14:paraId="7D35AF2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18.418,6</w:t>
            </w:r>
          </w:p>
        </w:tc>
        <w:tc>
          <w:tcPr>
            <w:tcW w:w="941" w:type="dxa"/>
            <w:tcBorders>
              <w:top w:val="nil"/>
              <w:left w:val="nil"/>
              <w:bottom w:val="nil"/>
              <w:right w:val="single" w:sz="8" w:space="0" w:color="auto"/>
            </w:tcBorders>
            <w:shd w:val="clear" w:color="000000" w:fill="FFFFFF"/>
            <w:noWrap/>
            <w:hideMark/>
          </w:tcPr>
          <w:p w14:paraId="0F8DA644"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18.342,6</w:t>
            </w:r>
          </w:p>
        </w:tc>
      </w:tr>
      <w:tr w:rsidR="0074039F" w:rsidRPr="00CF312E" w14:paraId="3B970E86" w14:textId="77777777" w:rsidTr="00117BF8">
        <w:tc>
          <w:tcPr>
            <w:tcW w:w="2835" w:type="dxa"/>
            <w:tcBorders>
              <w:top w:val="nil"/>
              <w:left w:val="single" w:sz="8" w:space="0" w:color="auto"/>
              <w:bottom w:val="nil"/>
              <w:right w:val="nil"/>
            </w:tcBorders>
            <w:shd w:val="clear" w:color="000000" w:fill="FFFFFF"/>
            <w:noWrap/>
            <w:hideMark/>
          </w:tcPr>
          <w:p w14:paraId="7F37FB64" w14:textId="77777777" w:rsidR="0074039F" w:rsidRPr="00117BF8" w:rsidRDefault="0074039F" w:rsidP="0060097F">
            <w:pPr>
              <w:pStyle w:val="TablaC"/>
              <w:jc w:val="left"/>
              <w:rPr>
                <w:rFonts w:ascii="Arial" w:hAnsi="Arial" w:cs="Arial"/>
                <w:sz w:val="18"/>
                <w:szCs w:val="18"/>
                <w:lang w:val="es-ES_tradnl"/>
              </w:rPr>
            </w:pPr>
            <w:r w:rsidRPr="00117BF8">
              <w:rPr>
                <w:rFonts w:ascii="Arial" w:hAnsi="Arial" w:cs="Arial"/>
                <w:sz w:val="18"/>
                <w:szCs w:val="18"/>
                <w:lang w:val="es-ES_tradnl"/>
              </w:rPr>
              <w:t xml:space="preserve">  Prestaciones de la Seguridad Social</w:t>
            </w:r>
          </w:p>
        </w:tc>
        <w:tc>
          <w:tcPr>
            <w:tcW w:w="941" w:type="dxa"/>
            <w:tcBorders>
              <w:top w:val="nil"/>
              <w:left w:val="single" w:sz="8" w:space="0" w:color="auto"/>
              <w:bottom w:val="nil"/>
              <w:right w:val="single" w:sz="8" w:space="0" w:color="auto"/>
            </w:tcBorders>
            <w:shd w:val="clear" w:color="000000" w:fill="FFFFFF"/>
            <w:noWrap/>
            <w:hideMark/>
          </w:tcPr>
          <w:p w14:paraId="21B435B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68.486,1</w:t>
            </w:r>
          </w:p>
        </w:tc>
        <w:tc>
          <w:tcPr>
            <w:tcW w:w="941" w:type="dxa"/>
            <w:tcBorders>
              <w:top w:val="nil"/>
              <w:left w:val="nil"/>
              <w:bottom w:val="nil"/>
              <w:right w:val="single" w:sz="8" w:space="0" w:color="auto"/>
            </w:tcBorders>
            <w:shd w:val="clear" w:color="000000" w:fill="FFFFFF"/>
            <w:noWrap/>
            <w:hideMark/>
          </w:tcPr>
          <w:p w14:paraId="197DC091"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68.849,8</w:t>
            </w:r>
          </w:p>
        </w:tc>
        <w:tc>
          <w:tcPr>
            <w:tcW w:w="941" w:type="dxa"/>
            <w:tcBorders>
              <w:top w:val="nil"/>
              <w:left w:val="nil"/>
              <w:bottom w:val="nil"/>
              <w:right w:val="single" w:sz="8" w:space="0" w:color="auto"/>
            </w:tcBorders>
            <w:shd w:val="clear" w:color="000000" w:fill="FFFFFF"/>
            <w:noWrap/>
            <w:hideMark/>
          </w:tcPr>
          <w:p w14:paraId="085143A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67.464,3</w:t>
            </w:r>
          </w:p>
        </w:tc>
        <w:tc>
          <w:tcPr>
            <w:tcW w:w="941" w:type="dxa"/>
            <w:tcBorders>
              <w:top w:val="nil"/>
              <w:left w:val="nil"/>
              <w:bottom w:val="nil"/>
              <w:right w:val="single" w:sz="8" w:space="0" w:color="auto"/>
            </w:tcBorders>
            <w:shd w:val="clear" w:color="000000" w:fill="FFFFFF"/>
            <w:noWrap/>
            <w:hideMark/>
          </w:tcPr>
          <w:p w14:paraId="309D5AB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67.775,2</w:t>
            </w:r>
          </w:p>
        </w:tc>
        <w:tc>
          <w:tcPr>
            <w:tcW w:w="941" w:type="dxa"/>
            <w:tcBorders>
              <w:top w:val="nil"/>
              <w:left w:val="nil"/>
              <w:bottom w:val="nil"/>
              <w:right w:val="single" w:sz="8" w:space="0" w:color="auto"/>
            </w:tcBorders>
            <w:shd w:val="clear" w:color="000000" w:fill="FFFFFF"/>
            <w:noWrap/>
            <w:hideMark/>
          </w:tcPr>
          <w:p w14:paraId="1FAE4B1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69.052,8</w:t>
            </w:r>
          </w:p>
        </w:tc>
        <w:tc>
          <w:tcPr>
            <w:tcW w:w="941" w:type="dxa"/>
            <w:tcBorders>
              <w:top w:val="nil"/>
              <w:left w:val="nil"/>
              <w:bottom w:val="nil"/>
              <w:right w:val="single" w:sz="8" w:space="0" w:color="auto"/>
            </w:tcBorders>
            <w:shd w:val="clear" w:color="000000" w:fill="FFFFFF"/>
            <w:noWrap/>
            <w:hideMark/>
          </w:tcPr>
          <w:p w14:paraId="7C84848D"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69.858,4</w:t>
            </w:r>
          </w:p>
        </w:tc>
        <w:tc>
          <w:tcPr>
            <w:tcW w:w="941" w:type="dxa"/>
            <w:tcBorders>
              <w:top w:val="nil"/>
              <w:left w:val="nil"/>
              <w:bottom w:val="nil"/>
              <w:right w:val="single" w:sz="8" w:space="0" w:color="auto"/>
            </w:tcBorders>
            <w:shd w:val="clear" w:color="000000" w:fill="FFFFFF"/>
            <w:noWrap/>
            <w:hideMark/>
          </w:tcPr>
          <w:p w14:paraId="02DE2072"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71.080,9</w:t>
            </w:r>
          </w:p>
        </w:tc>
        <w:tc>
          <w:tcPr>
            <w:tcW w:w="941" w:type="dxa"/>
            <w:tcBorders>
              <w:top w:val="nil"/>
              <w:left w:val="nil"/>
              <w:bottom w:val="nil"/>
              <w:right w:val="single" w:sz="8" w:space="0" w:color="auto"/>
            </w:tcBorders>
            <w:shd w:val="clear" w:color="000000" w:fill="FFFFFF"/>
            <w:noWrap/>
            <w:hideMark/>
          </w:tcPr>
          <w:p w14:paraId="1E8F556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72.324,9</w:t>
            </w:r>
          </w:p>
        </w:tc>
        <w:tc>
          <w:tcPr>
            <w:tcW w:w="941" w:type="dxa"/>
            <w:tcBorders>
              <w:top w:val="nil"/>
              <w:left w:val="nil"/>
              <w:bottom w:val="nil"/>
              <w:right w:val="single" w:sz="8" w:space="0" w:color="auto"/>
            </w:tcBorders>
            <w:shd w:val="clear" w:color="000000" w:fill="FFFFFF"/>
            <w:noWrap/>
            <w:hideMark/>
          </w:tcPr>
          <w:p w14:paraId="7BCC6620"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73.590,5</w:t>
            </w:r>
          </w:p>
        </w:tc>
        <w:tc>
          <w:tcPr>
            <w:tcW w:w="941" w:type="dxa"/>
            <w:tcBorders>
              <w:top w:val="nil"/>
              <w:left w:val="nil"/>
              <w:bottom w:val="nil"/>
              <w:right w:val="single" w:sz="8" w:space="0" w:color="auto"/>
            </w:tcBorders>
            <w:shd w:val="clear" w:color="000000" w:fill="FFFFFF"/>
            <w:noWrap/>
            <w:hideMark/>
          </w:tcPr>
          <w:p w14:paraId="6B76C751"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74.878,4</w:t>
            </w:r>
          </w:p>
        </w:tc>
        <w:tc>
          <w:tcPr>
            <w:tcW w:w="941" w:type="dxa"/>
            <w:tcBorders>
              <w:top w:val="nil"/>
              <w:left w:val="nil"/>
              <w:bottom w:val="nil"/>
              <w:right w:val="single" w:sz="8" w:space="0" w:color="auto"/>
            </w:tcBorders>
            <w:shd w:val="clear" w:color="000000" w:fill="FFFFFF"/>
            <w:noWrap/>
            <w:hideMark/>
          </w:tcPr>
          <w:p w14:paraId="46C96BA2"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76.188,7</w:t>
            </w:r>
          </w:p>
        </w:tc>
        <w:tc>
          <w:tcPr>
            <w:tcW w:w="941" w:type="dxa"/>
            <w:tcBorders>
              <w:top w:val="nil"/>
              <w:left w:val="nil"/>
              <w:bottom w:val="nil"/>
              <w:right w:val="single" w:sz="8" w:space="0" w:color="auto"/>
            </w:tcBorders>
            <w:shd w:val="clear" w:color="000000" w:fill="FFFFFF"/>
            <w:noWrap/>
            <w:hideMark/>
          </w:tcPr>
          <w:p w14:paraId="3832ED6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77.522,1</w:t>
            </w:r>
          </w:p>
        </w:tc>
        <w:tc>
          <w:tcPr>
            <w:tcW w:w="941" w:type="dxa"/>
            <w:tcBorders>
              <w:top w:val="nil"/>
              <w:left w:val="nil"/>
              <w:bottom w:val="nil"/>
              <w:right w:val="single" w:sz="8" w:space="0" w:color="auto"/>
            </w:tcBorders>
            <w:shd w:val="clear" w:color="000000" w:fill="FFFFFF"/>
            <w:noWrap/>
            <w:hideMark/>
          </w:tcPr>
          <w:p w14:paraId="14CA9A8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78.878,7</w:t>
            </w:r>
          </w:p>
        </w:tc>
      </w:tr>
      <w:tr w:rsidR="0074039F" w:rsidRPr="00CF312E" w14:paraId="1A357F30" w14:textId="77777777" w:rsidTr="00117BF8">
        <w:tc>
          <w:tcPr>
            <w:tcW w:w="2835" w:type="dxa"/>
            <w:tcBorders>
              <w:top w:val="nil"/>
              <w:left w:val="single" w:sz="8" w:space="0" w:color="auto"/>
              <w:bottom w:val="nil"/>
              <w:right w:val="nil"/>
            </w:tcBorders>
            <w:shd w:val="clear" w:color="000000" w:fill="FFFFFF"/>
            <w:noWrap/>
            <w:hideMark/>
          </w:tcPr>
          <w:p w14:paraId="2D151095" w14:textId="77777777" w:rsidR="0074039F" w:rsidRPr="00117BF8" w:rsidRDefault="0074039F" w:rsidP="0060097F">
            <w:pPr>
              <w:pStyle w:val="TablaC"/>
              <w:jc w:val="left"/>
              <w:rPr>
                <w:rFonts w:ascii="Arial" w:hAnsi="Arial" w:cs="Arial"/>
                <w:sz w:val="18"/>
                <w:szCs w:val="18"/>
                <w:lang w:val="es-ES_tradnl"/>
              </w:rPr>
            </w:pPr>
            <w:r w:rsidRPr="00117BF8">
              <w:rPr>
                <w:rFonts w:ascii="Arial" w:hAnsi="Arial" w:cs="Arial"/>
                <w:sz w:val="18"/>
                <w:szCs w:val="18"/>
                <w:lang w:val="es-ES_tradnl"/>
              </w:rPr>
              <w:t xml:space="preserve">  Transf. Corrientes y Otros Gastos</w:t>
            </w:r>
          </w:p>
        </w:tc>
        <w:tc>
          <w:tcPr>
            <w:tcW w:w="941" w:type="dxa"/>
            <w:tcBorders>
              <w:top w:val="nil"/>
              <w:left w:val="single" w:sz="8" w:space="0" w:color="auto"/>
              <w:bottom w:val="nil"/>
              <w:right w:val="single" w:sz="8" w:space="0" w:color="auto"/>
            </w:tcBorders>
            <w:shd w:val="clear" w:color="000000" w:fill="FFFFFF"/>
            <w:noWrap/>
            <w:hideMark/>
          </w:tcPr>
          <w:p w14:paraId="1C29FF2B"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88.031,1</w:t>
            </w:r>
          </w:p>
        </w:tc>
        <w:tc>
          <w:tcPr>
            <w:tcW w:w="941" w:type="dxa"/>
            <w:tcBorders>
              <w:top w:val="nil"/>
              <w:left w:val="nil"/>
              <w:bottom w:val="nil"/>
              <w:right w:val="single" w:sz="8" w:space="0" w:color="auto"/>
            </w:tcBorders>
            <w:shd w:val="clear" w:color="000000" w:fill="FFFFFF"/>
            <w:noWrap/>
            <w:hideMark/>
          </w:tcPr>
          <w:p w14:paraId="122EE2B3"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87.125,6</w:t>
            </w:r>
          </w:p>
        </w:tc>
        <w:tc>
          <w:tcPr>
            <w:tcW w:w="941" w:type="dxa"/>
            <w:tcBorders>
              <w:top w:val="nil"/>
              <w:left w:val="nil"/>
              <w:bottom w:val="nil"/>
              <w:right w:val="single" w:sz="8" w:space="0" w:color="auto"/>
            </w:tcBorders>
            <w:shd w:val="clear" w:color="000000" w:fill="FFFFFF"/>
            <w:noWrap/>
            <w:hideMark/>
          </w:tcPr>
          <w:p w14:paraId="2BBBAAD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90.508,4</w:t>
            </w:r>
          </w:p>
        </w:tc>
        <w:tc>
          <w:tcPr>
            <w:tcW w:w="941" w:type="dxa"/>
            <w:tcBorders>
              <w:top w:val="nil"/>
              <w:left w:val="nil"/>
              <w:bottom w:val="nil"/>
              <w:right w:val="single" w:sz="8" w:space="0" w:color="auto"/>
            </w:tcBorders>
            <w:shd w:val="clear" w:color="000000" w:fill="FFFFFF"/>
            <w:noWrap/>
            <w:hideMark/>
          </w:tcPr>
          <w:p w14:paraId="5995F4B0"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93.769,5</w:t>
            </w:r>
          </w:p>
        </w:tc>
        <w:tc>
          <w:tcPr>
            <w:tcW w:w="941" w:type="dxa"/>
            <w:tcBorders>
              <w:top w:val="nil"/>
              <w:left w:val="nil"/>
              <w:bottom w:val="nil"/>
              <w:right w:val="single" w:sz="8" w:space="0" w:color="auto"/>
            </w:tcBorders>
            <w:shd w:val="clear" w:color="000000" w:fill="FFFFFF"/>
            <w:noWrap/>
            <w:hideMark/>
          </w:tcPr>
          <w:p w14:paraId="68D8E411"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97.469,4</w:t>
            </w:r>
          </w:p>
        </w:tc>
        <w:tc>
          <w:tcPr>
            <w:tcW w:w="941" w:type="dxa"/>
            <w:tcBorders>
              <w:top w:val="nil"/>
              <w:left w:val="nil"/>
              <w:bottom w:val="nil"/>
              <w:right w:val="single" w:sz="8" w:space="0" w:color="auto"/>
            </w:tcBorders>
            <w:shd w:val="clear" w:color="000000" w:fill="FFFFFF"/>
            <w:noWrap/>
            <w:hideMark/>
          </w:tcPr>
          <w:p w14:paraId="63B26219"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99.748,7</w:t>
            </w:r>
          </w:p>
        </w:tc>
        <w:tc>
          <w:tcPr>
            <w:tcW w:w="941" w:type="dxa"/>
            <w:tcBorders>
              <w:top w:val="nil"/>
              <w:left w:val="nil"/>
              <w:bottom w:val="nil"/>
              <w:right w:val="single" w:sz="8" w:space="0" w:color="auto"/>
            </w:tcBorders>
            <w:shd w:val="clear" w:color="000000" w:fill="FFFFFF"/>
            <w:noWrap/>
            <w:hideMark/>
          </w:tcPr>
          <w:p w14:paraId="4D6A57EF"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102.337,5</w:t>
            </w:r>
          </w:p>
        </w:tc>
        <w:tc>
          <w:tcPr>
            <w:tcW w:w="941" w:type="dxa"/>
            <w:tcBorders>
              <w:top w:val="nil"/>
              <w:left w:val="nil"/>
              <w:bottom w:val="nil"/>
              <w:right w:val="single" w:sz="8" w:space="0" w:color="auto"/>
            </w:tcBorders>
            <w:shd w:val="clear" w:color="000000" w:fill="FFFFFF"/>
            <w:noWrap/>
            <w:hideMark/>
          </w:tcPr>
          <w:p w14:paraId="03BC5986"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105.007,9</w:t>
            </w:r>
          </w:p>
        </w:tc>
        <w:tc>
          <w:tcPr>
            <w:tcW w:w="941" w:type="dxa"/>
            <w:tcBorders>
              <w:top w:val="nil"/>
              <w:left w:val="nil"/>
              <w:bottom w:val="nil"/>
              <w:right w:val="single" w:sz="8" w:space="0" w:color="auto"/>
            </w:tcBorders>
            <w:shd w:val="clear" w:color="000000" w:fill="FFFFFF"/>
            <w:noWrap/>
            <w:hideMark/>
          </w:tcPr>
          <w:p w14:paraId="6BC31A28"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107.762,5</w:t>
            </w:r>
          </w:p>
        </w:tc>
        <w:tc>
          <w:tcPr>
            <w:tcW w:w="941" w:type="dxa"/>
            <w:tcBorders>
              <w:top w:val="nil"/>
              <w:left w:val="nil"/>
              <w:bottom w:val="nil"/>
              <w:right w:val="single" w:sz="8" w:space="0" w:color="auto"/>
            </w:tcBorders>
            <w:shd w:val="clear" w:color="000000" w:fill="FFFFFF"/>
            <w:noWrap/>
            <w:hideMark/>
          </w:tcPr>
          <w:p w14:paraId="36CF5E61"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110.603,8</w:t>
            </w:r>
          </w:p>
        </w:tc>
        <w:tc>
          <w:tcPr>
            <w:tcW w:w="941" w:type="dxa"/>
            <w:tcBorders>
              <w:top w:val="nil"/>
              <w:left w:val="nil"/>
              <w:bottom w:val="nil"/>
              <w:right w:val="single" w:sz="8" w:space="0" w:color="auto"/>
            </w:tcBorders>
            <w:shd w:val="clear" w:color="000000" w:fill="FFFFFF"/>
            <w:noWrap/>
            <w:hideMark/>
          </w:tcPr>
          <w:p w14:paraId="4C646DCE"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113.534,5</w:t>
            </w:r>
          </w:p>
        </w:tc>
        <w:tc>
          <w:tcPr>
            <w:tcW w:w="941" w:type="dxa"/>
            <w:tcBorders>
              <w:top w:val="nil"/>
              <w:left w:val="nil"/>
              <w:bottom w:val="nil"/>
              <w:right w:val="single" w:sz="8" w:space="0" w:color="auto"/>
            </w:tcBorders>
            <w:shd w:val="clear" w:color="000000" w:fill="FFFFFF"/>
            <w:noWrap/>
            <w:hideMark/>
          </w:tcPr>
          <w:p w14:paraId="43D54503"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116.557,4</w:t>
            </w:r>
          </w:p>
        </w:tc>
        <w:tc>
          <w:tcPr>
            <w:tcW w:w="941" w:type="dxa"/>
            <w:tcBorders>
              <w:top w:val="nil"/>
              <w:left w:val="nil"/>
              <w:bottom w:val="nil"/>
              <w:right w:val="single" w:sz="8" w:space="0" w:color="auto"/>
            </w:tcBorders>
            <w:shd w:val="clear" w:color="000000" w:fill="FFFFFF"/>
            <w:noWrap/>
            <w:hideMark/>
          </w:tcPr>
          <w:p w14:paraId="67C56160" w14:textId="77777777" w:rsidR="0074039F" w:rsidRPr="00117BF8" w:rsidRDefault="0074039F" w:rsidP="0060097F">
            <w:pPr>
              <w:pStyle w:val="TablaC"/>
              <w:rPr>
                <w:rFonts w:ascii="Arial" w:hAnsi="Arial" w:cs="Arial"/>
                <w:sz w:val="18"/>
                <w:szCs w:val="18"/>
              </w:rPr>
            </w:pPr>
            <w:r w:rsidRPr="00117BF8">
              <w:rPr>
                <w:rFonts w:ascii="Arial" w:hAnsi="Arial" w:cs="Arial"/>
                <w:sz w:val="18"/>
                <w:szCs w:val="18"/>
              </w:rPr>
              <w:t>119.675,2</w:t>
            </w:r>
          </w:p>
        </w:tc>
      </w:tr>
      <w:tr w:rsidR="0074039F" w:rsidRPr="00CF312E" w14:paraId="0AE67758" w14:textId="77777777" w:rsidTr="00117BF8">
        <w:tc>
          <w:tcPr>
            <w:tcW w:w="2835" w:type="dxa"/>
            <w:tcBorders>
              <w:top w:val="single" w:sz="8" w:space="0" w:color="auto"/>
              <w:left w:val="single" w:sz="8" w:space="0" w:color="auto"/>
              <w:bottom w:val="single" w:sz="8" w:space="0" w:color="auto"/>
              <w:right w:val="nil"/>
            </w:tcBorders>
            <w:shd w:val="clear" w:color="000000" w:fill="FFFFFF"/>
            <w:noWrap/>
            <w:hideMark/>
          </w:tcPr>
          <w:p w14:paraId="115D09B7" w14:textId="77777777" w:rsidR="0074039F" w:rsidRPr="00117BF8" w:rsidRDefault="0074039F" w:rsidP="0060097F">
            <w:pPr>
              <w:pStyle w:val="TablaC"/>
              <w:jc w:val="left"/>
              <w:rPr>
                <w:rFonts w:ascii="Arial" w:hAnsi="Arial" w:cs="Arial"/>
                <w:b/>
                <w:sz w:val="18"/>
                <w:szCs w:val="18"/>
              </w:rPr>
            </w:pPr>
            <w:r w:rsidRPr="00117BF8">
              <w:rPr>
                <w:rFonts w:ascii="Arial" w:hAnsi="Arial" w:cs="Arial"/>
                <w:b/>
                <w:sz w:val="18"/>
                <w:szCs w:val="18"/>
              </w:rPr>
              <w:t>III. RESULTADO ECONOMICO</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hideMark/>
          </w:tcPr>
          <w:p w14:paraId="394A6A9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-10.931,3</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76E772F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23,0</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2832B80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10.565,1</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3CCB1B98"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23.548,1</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56EE666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23.645,4</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12DAF1C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28.448,4</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747B3FC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32.672,3</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3749B9BD"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36.255,0</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22674D6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39.361,6</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7011DFD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43.578,0</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78C4BFA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47.902,2</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2EFA2CD6"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52.542,8</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4E96D14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57.217,8</w:t>
            </w:r>
          </w:p>
        </w:tc>
      </w:tr>
      <w:tr w:rsidR="0074039F" w:rsidRPr="00CF312E" w14:paraId="2D47C582" w14:textId="77777777" w:rsidTr="00117BF8">
        <w:tc>
          <w:tcPr>
            <w:tcW w:w="2835" w:type="dxa"/>
            <w:tcBorders>
              <w:top w:val="nil"/>
              <w:left w:val="single" w:sz="8" w:space="0" w:color="auto"/>
              <w:bottom w:val="single" w:sz="8" w:space="0" w:color="auto"/>
              <w:right w:val="nil"/>
            </w:tcBorders>
            <w:shd w:val="clear" w:color="000000" w:fill="FFFFFF"/>
            <w:noWrap/>
            <w:hideMark/>
          </w:tcPr>
          <w:p w14:paraId="467D1E72" w14:textId="77777777" w:rsidR="0074039F" w:rsidRPr="00117BF8" w:rsidRDefault="0074039F" w:rsidP="0060097F">
            <w:pPr>
              <w:pStyle w:val="TablaC"/>
              <w:jc w:val="left"/>
              <w:rPr>
                <w:rFonts w:ascii="Arial" w:hAnsi="Arial" w:cs="Arial"/>
                <w:b/>
                <w:sz w:val="18"/>
                <w:szCs w:val="18"/>
              </w:rPr>
            </w:pPr>
            <w:r w:rsidRPr="00117BF8">
              <w:rPr>
                <w:rFonts w:ascii="Arial" w:hAnsi="Arial" w:cs="Arial"/>
                <w:b/>
                <w:sz w:val="18"/>
                <w:szCs w:val="18"/>
              </w:rPr>
              <w:t>IV. INGRESOS DE CAPITAL</w:t>
            </w:r>
          </w:p>
        </w:tc>
        <w:tc>
          <w:tcPr>
            <w:tcW w:w="941" w:type="dxa"/>
            <w:tcBorders>
              <w:top w:val="nil"/>
              <w:left w:val="single" w:sz="8" w:space="0" w:color="auto"/>
              <w:bottom w:val="nil"/>
              <w:right w:val="single" w:sz="8" w:space="0" w:color="auto"/>
            </w:tcBorders>
            <w:shd w:val="clear" w:color="000000" w:fill="FFFFFF"/>
            <w:noWrap/>
            <w:hideMark/>
          </w:tcPr>
          <w:p w14:paraId="4905CD16"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7.257,8</w:t>
            </w:r>
          </w:p>
        </w:tc>
        <w:tc>
          <w:tcPr>
            <w:tcW w:w="941" w:type="dxa"/>
            <w:tcBorders>
              <w:top w:val="nil"/>
              <w:left w:val="nil"/>
              <w:bottom w:val="nil"/>
              <w:right w:val="single" w:sz="8" w:space="0" w:color="auto"/>
            </w:tcBorders>
            <w:shd w:val="clear" w:color="000000" w:fill="FFFFFF"/>
            <w:noWrap/>
            <w:hideMark/>
          </w:tcPr>
          <w:p w14:paraId="7E999E6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7.670,7</w:t>
            </w:r>
          </w:p>
        </w:tc>
        <w:tc>
          <w:tcPr>
            <w:tcW w:w="941" w:type="dxa"/>
            <w:tcBorders>
              <w:top w:val="nil"/>
              <w:left w:val="nil"/>
              <w:bottom w:val="nil"/>
              <w:right w:val="single" w:sz="8" w:space="0" w:color="auto"/>
            </w:tcBorders>
            <w:shd w:val="clear" w:color="000000" w:fill="FFFFFF"/>
            <w:noWrap/>
            <w:hideMark/>
          </w:tcPr>
          <w:p w14:paraId="665DE3D3"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7.941,9</w:t>
            </w:r>
          </w:p>
        </w:tc>
        <w:tc>
          <w:tcPr>
            <w:tcW w:w="941" w:type="dxa"/>
            <w:tcBorders>
              <w:top w:val="nil"/>
              <w:left w:val="nil"/>
              <w:bottom w:val="nil"/>
              <w:right w:val="single" w:sz="8" w:space="0" w:color="auto"/>
            </w:tcBorders>
            <w:shd w:val="clear" w:color="000000" w:fill="FFFFFF"/>
            <w:noWrap/>
            <w:hideMark/>
          </w:tcPr>
          <w:p w14:paraId="3AFA07C5"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2508DC8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6001A160"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3998DAC2"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380D1A1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69AFE256"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1B8AFD9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3E2F8FD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41AD892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c>
          <w:tcPr>
            <w:tcW w:w="941" w:type="dxa"/>
            <w:tcBorders>
              <w:top w:val="nil"/>
              <w:left w:val="nil"/>
              <w:bottom w:val="nil"/>
              <w:right w:val="single" w:sz="8" w:space="0" w:color="auto"/>
            </w:tcBorders>
            <w:shd w:val="clear" w:color="000000" w:fill="FFFFFF"/>
            <w:noWrap/>
            <w:hideMark/>
          </w:tcPr>
          <w:p w14:paraId="3973DF3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9.230,5</w:t>
            </w:r>
          </w:p>
        </w:tc>
      </w:tr>
      <w:tr w:rsidR="0074039F" w:rsidRPr="00CF312E" w14:paraId="46B406BF" w14:textId="77777777" w:rsidTr="00117BF8">
        <w:tc>
          <w:tcPr>
            <w:tcW w:w="2835" w:type="dxa"/>
            <w:tcBorders>
              <w:top w:val="nil"/>
              <w:left w:val="single" w:sz="8" w:space="0" w:color="auto"/>
              <w:bottom w:val="single" w:sz="8" w:space="0" w:color="auto"/>
              <w:right w:val="nil"/>
            </w:tcBorders>
            <w:shd w:val="clear" w:color="000000" w:fill="FFFFFF"/>
            <w:noWrap/>
            <w:hideMark/>
          </w:tcPr>
          <w:p w14:paraId="3570D55C" w14:textId="77777777" w:rsidR="0074039F" w:rsidRPr="00117BF8" w:rsidRDefault="0074039F" w:rsidP="0060097F">
            <w:pPr>
              <w:pStyle w:val="TablaC"/>
              <w:jc w:val="left"/>
              <w:rPr>
                <w:rFonts w:ascii="Arial" w:hAnsi="Arial" w:cs="Arial"/>
                <w:b/>
                <w:sz w:val="18"/>
                <w:szCs w:val="18"/>
              </w:rPr>
            </w:pPr>
            <w:r w:rsidRPr="00117BF8">
              <w:rPr>
                <w:rFonts w:ascii="Arial" w:hAnsi="Arial" w:cs="Arial"/>
                <w:b/>
                <w:sz w:val="18"/>
                <w:szCs w:val="18"/>
              </w:rPr>
              <w:t xml:space="preserve"> V. GASTOS DE CAPITAL</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hideMark/>
          </w:tcPr>
          <w:p w14:paraId="44B5E8B0"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25.936,9</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11AC7F9B"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37.092,1</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21A824B8"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37.908,8</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4A955E4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40.117,0</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5F4F269B"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42.247,0</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7A88ED75"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44.029,5</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720AA9F2"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45.939,9</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1E26A047"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47.988,4</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4ADF84E8"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50.185,9</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7BFA8C33"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52.544,6</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55E16B26"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55.077,5</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43D87CED"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57.799,2</w:t>
            </w:r>
          </w:p>
        </w:tc>
        <w:tc>
          <w:tcPr>
            <w:tcW w:w="941" w:type="dxa"/>
            <w:tcBorders>
              <w:top w:val="single" w:sz="8" w:space="0" w:color="auto"/>
              <w:left w:val="nil"/>
              <w:bottom w:val="single" w:sz="8" w:space="0" w:color="auto"/>
              <w:right w:val="single" w:sz="8" w:space="0" w:color="auto"/>
            </w:tcBorders>
            <w:shd w:val="clear" w:color="000000" w:fill="FFFFFF"/>
            <w:noWrap/>
            <w:hideMark/>
          </w:tcPr>
          <w:p w14:paraId="633D6E0E"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60.725,3</w:t>
            </w:r>
          </w:p>
        </w:tc>
      </w:tr>
      <w:tr w:rsidR="0074039F" w:rsidRPr="00CF312E" w14:paraId="03EDBDA8" w14:textId="77777777" w:rsidTr="00117BF8">
        <w:tc>
          <w:tcPr>
            <w:tcW w:w="2835" w:type="dxa"/>
            <w:tcBorders>
              <w:top w:val="nil"/>
              <w:left w:val="single" w:sz="8" w:space="0" w:color="auto"/>
              <w:bottom w:val="single" w:sz="8" w:space="0" w:color="auto"/>
              <w:right w:val="nil"/>
            </w:tcBorders>
            <w:shd w:val="clear" w:color="000000" w:fill="FFFFFF"/>
            <w:noWrap/>
            <w:hideMark/>
          </w:tcPr>
          <w:p w14:paraId="0373AA4D" w14:textId="77777777" w:rsidR="0074039F" w:rsidRPr="00117BF8" w:rsidRDefault="0074039F" w:rsidP="0060097F">
            <w:pPr>
              <w:pStyle w:val="TablaC"/>
              <w:jc w:val="left"/>
              <w:rPr>
                <w:rFonts w:ascii="Arial" w:hAnsi="Arial" w:cs="Arial"/>
                <w:b/>
                <w:sz w:val="18"/>
                <w:szCs w:val="18"/>
              </w:rPr>
            </w:pPr>
            <w:r w:rsidRPr="00117BF8">
              <w:rPr>
                <w:rFonts w:ascii="Arial" w:hAnsi="Arial" w:cs="Arial"/>
                <w:b/>
                <w:sz w:val="18"/>
                <w:szCs w:val="18"/>
              </w:rPr>
              <w:t xml:space="preserve"> VI. INGRESOS TOTALES (I+IV)</w:t>
            </w:r>
          </w:p>
        </w:tc>
        <w:tc>
          <w:tcPr>
            <w:tcW w:w="941" w:type="dxa"/>
            <w:tcBorders>
              <w:top w:val="nil"/>
              <w:left w:val="single" w:sz="8" w:space="0" w:color="auto"/>
              <w:bottom w:val="single" w:sz="8" w:space="0" w:color="auto"/>
              <w:right w:val="single" w:sz="8" w:space="0" w:color="auto"/>
            </w:tcBorders>
            <w:shd w:val="clear" w:color="000000" w:fill="FFFFFF"/>
            <w:noWrap/>
            <w:hideMark/>
          </w:tcPr>
          <w:p w14:paraId="07590872"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383.768,1</w:t>
            </w:r>
          </w:p>
        </w:tc>
        <w:tc>
          <w:tcPr>
            <w:tcW w:w="941" w:type="dxa"/>
            <w:tcBorders>
              <w:top w:val="nil"/>
              <w:left w:val="nil"/>
              <w:bottom w:val="single" w:sz="8" w:space="0" w:color="auto"/>
              <w:right w:val="single" w:sz="8" w:space="0" w:color="auto"/>
            </w:tcBorders>
            <w:shd w:val="clear" w:color="000000" w:fill="FFFFFF"/>
            <w:noWrap/>
            <w:hideMark/>
          </w:tcPr>
          <w:p w14:paraId="7DA5A0ED"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408.567,7</w:t>
            </w:r>
          </w:p>
        </w:tc>
        <w:tc>
          <w:tcPr>
            <w:tcW w:w="941" w:type="dxa"/>
            <w:tcBorders>
              <w:top w:val="nil"/>
              <w:left w:val="nil"/>
              <w:bottom w:val="single" w:sz="8" w:space="0" w:color="auto"/>
              <w:right w:val="single" w:sz="8" w:space="0" w:color="auto"/>
            </w:tcBorders>
            <w:shd w:val="clear" w:color="000000" w:fill="FFFFFF"/>
            <w:noWrap/>
            <w:hideMark/>
          </w:tcPr>
          <w:p w14:paraId="561BA80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418.539,8</w:t>
            </w:r>
          </w:p>
        </w:tc>
        <w:tc>
          <w:tcPr>
            <w:tcW w:w="941" w:type="dxa"/>
            <w:tcBorders>
              <w:top w:val="nil"/>
              <w:left w:val="nil"/>
              <w:bottom w:val="single" w:sz="8" w:space="0" w:color="auto"/>
              <w:right w:val="single" w:sz="8" w:space="0" w:color="auto"/>
            </w:tcBorders>
            <w:shd w:val="clear" w:color="000000" w:fill="FFFFFF"/>
            <w:noWrap/>
            <w:hideMark/>
          </w:tcPr>
          <w:p w14:paraId="7E0AA940"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439.785,6</w:t>
            </w:r>
          </w:p>
        </w:tc>
        <w:tc>
          <w:tcPr>
            <w:tcW w:w="941" w:type="dxa"/>
            <w:tcBorders>
              <w:top w:val="nil"/>
              <w:left w:val="nil"/>
              <w:bottom w:val="single" w:sz="8" w:space="0" w:color="auto"/>
              <w:right w:val="single" w:sz="8" w:space="0" w:color="auto"/>
            </w:tcBorders>
            <w:shd w:val="clear" w:color="000000" w:fill="FFFFFF"/>
            <w:noWrap/>
            <w:hideMark/>
          </w:tcPr>
          <w:p w14:paraId="7A0BF4BB"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449.118,6</w:t>
            </w:r>
          </w:p>
        </w:tc>
        <w:tc>
          <w:tcPr>
            <w:tcW w:w="941" w:type="dxa"/>
            <w:tcBorders>
              <w:top w:val="nil"/>
              <w:left w:val="nil"/>
              <w:bottom w:val="single" w:sz="8" w:space="0" w:color="auto"/>
              <w:right w:val="single" w:sz="8" w:space="0" w:color="auto"/>
            </w:tcBorders>
            <w:shd w:val="clear" w:color="000000" w:fill="FFFFFF"/>
            <w:noWrap/>
            <w:hideMark/>
          </w:tcPr>
          <w:p w14:paraId="37B8AD22"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459.654,8</w:t>
            </w:r>
          </w:p>
        </w:tc>
        <w:tc>
          <w:tcPr>
            <w:tcW w:w="941" w:type="dxa"/>
            <w:tcBorders>
              <w:top w:val="nil"/>
              <w:left w:val="nil"/>
              <w:bottom w:val="single" w:sz="8" w:space="0" w:color="auto"/>
              <w:right w:val="single" w:sz="8" w:space="0" w:color="auto"/>
            </w:tcBorders>
            <w:shd w:val="clear" w:color="000000" w:fill="FFFFFF"/>
            <w:noWrap/>
            <w:hideMark/>
          </w:tcPr>
          <w:p w14:paraId="42D6CD4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470.988,7</w:t>
            </w:r>
          </w:p>
        </w:tc>
        <w:tc>
          <w:tcPr>
            <w:tcW w:w="941" w:type="dxa"/>
            <w:tcBorders>
              <w:top w:val="nil"/>
              <w:left w:val="nil"/>
              <w:bottom w:val="single" w:sz="8" w:space="0" w:color="auto"/>
              <w:right w:val="single" w:sz="8" w:space="0" w:color="auto"/>
            </w:tcBorders>
            <w:shd w:val="clear" w:color="000000" w:fill="FFFFFF"/>
            <w:noWrap/>
            <w:hideMark/>
          </w:tcPr>
          <w:p w14:paraId="458E64D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482.759,0</w:t>
            </w:r>
          </w:p>
        </w:tc>
        <w:tc>
          <w:tcPr>
            <w:tcW w:w="941" w:type="dxa"/>
            <w:tcBorders>
              <w:top w:val="nil"/>
              <w:left w:val="nil"/>
              <w:bottom w:val="single" w:sz="8" w:space="0" w:color="auto"/>
              <w:right w:val="single" w:sz="8" w:space="0" w:color="auto"/>
            </w:tcBorders>
            <w:shd w:val="clear" w:color="000000" w:fill="FFFFFF"/>
            <w:noWrap/>
            <w:hideMark/>
          </w:tcPr>
          <w:p w14:paraId="02BFD84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494.978,6</w:t>
            </w:r>
          </w:p>
        </w:tc>
        <w:tc>
          <w:tcPr>
            <w:tcW w:w="941" w:type="dxa"/>
            <w:tcBorders>
              <w:top w:val="nil"/>
              <w:left w:val="nil"/>
              <w:bottom w:val="single" w:sz="8" w:space="0" w:color="auto"/>
              <w:right w:val="single" w:sz="8" w:space="0" w:color="auto"/>
            </w:tcBorders>
            <w:shd w:val="clear" w:color="000000" w:fill="FFFFFF"/>
            <w:noWrap/>
            <w:hideMark/>
          </w:tcPr>
          <w:p w14:paraId="14D9413D"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507.661,2</w:t>
            </w:r>
          </w:p>
        </w:tc>
        <w:tc>
          <w:tcPr>
            <w:tcW w:w="941" w:type="dxa"/>
            <w:tcBorders>
              <w:top w:val="nil"/>
              <w:left w:val="nil"/>
              <w:bottom w:val="single" w:sz="8" w:space="0" w:color="auto"/>
              <w:right w:val="single" w:sz="8" w:space="0" w:color="auto"/>
            </w:tcBorders>
            <w:shd w:val="clear" w:color="000000" w:fill="FFFFFF"/>
            <w:noWrap/>
            <w:hideMark/>
          </w:tcPr>
          <w:p w14:paraId="6DA8770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520.820,7</w:t>
            </w:r>
          </w:p>
        </w:tc>
        <w:tc>
          <w:tcPr>
            <w:tcW w:w="941" w:type="dxa"/>
            <w:tcBorders>
              <w:top w:val="nil"/>
              <w:left w:val="nil"/>
              <w:bottom w:val="single" w:sz="8" w:space="0" w:color="auto"/>
              <w:right w:val="single" w:sz="8" w:space="0" w:color="auto"/>
            </w:tcBorders>
            <w:shd w:val="clear" w:color="000000" w:fill="FFFFFF"/>
            <w:noWrap/>
            <w:hideMark/>
          </w:tcPr>
          <w:p w14:paraId="72EB75C0"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534.471,9</w:t>
            </w:r>
          </w:p>
        </w:tc>
        <w:tc>
          <w:tcPr>
            <w:tcW w:w="941" w:type="dxa"/>
            <w:tcBorders>
              <w:top w:val="nil"/>
              <w:left w:val="nil"/>
              <w:bottom w:val="single" w:sz="8" w:space="0" w:color="auto"/>
              <w:right w:val="single" w:sz="8" w:space="0" w:color="auto"/>
            </w:tcBorders>
            <w:shd w:val="clear" w:color="000000" w:fill="FFFFFF"/>
            <w:noWrap/>
            <w:hideMark/>
          </w:tcPr>
          <w:p w14:paraId="4E112CB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548.629,9</w:t>
            </w:r>
          </w:p>
        </w:tc>
      </w:tr>
      <w:tr w:rsidR="0074039F" w:rsidRPr="00CF312E" w14:paraId="28443AFE" w14:textId="77777777" w:rsidTr="00117BF8">
        <w:tc>
          <w:tcPr>
            <w:tcW w:w="2835" w:type="dxa"/>
            <w:tcBorders>
              <w:top w:val="nil"/>
              <w:left w:val="single" w:sz="8" w:space="0" w:color="auto"/>
              <w:bottom w:val="single" w:sz="8" w:space="0" w:color="auto"/>
              <w:right w:val="nil"/>
            </w:tcBorders>
            <w:shd w:val="clear" w:color="000000" w:fill="FFFFFF"/>
            <w:noWrap/>
            <w:hideMark/>
          </w:tcPr>
          <w:p w14:paraId="52918097" w14:textId="77777777" w:rsidR="0074039F" w:rsidRPr="00117BF8" w:rsidRDefault="0074039F" w:rsidP="0060097F">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VII. GASTOS TOTALES (II+V)</w:t>
            </w:r>
          </w:p>
        </w:tc>
        <w:tc>
          <w:tcPr>
            <w:tcW w:w="941" w:type="dxa"/>
            <w:tcBorders>
              <w:top w:val="nil"/>
              <w:left w:val="single" w:sz="8" w:space="0" w:color="auto"/>
              <w:bottom w:val="single" w:sz="8" w:space="0" w:color="auto"/>
              <w:right w:val="single" w:sz="8" w:space="0" w:color="auto"/>
            </w:tcBorders>
            <w:shd w:val="clear" w:color="000000" w:fill="FFFFFF"/>
            <w:noWrap/>
            <w:hideMark/>
          </w:tcPr>
          <w:p w14:paraId="32FF014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413.378,5</w:t>
            </w:r>
          </w:p>
        </w:tc>
        <w:tc>
          <w:tcPr>
            <w:tcW w:w="941" w:type="dxa"/>
            <w:tcBorders>
              <w:top w:val="nil"/>
              <w:left w:val="nil"/>
              <w:bottom w:val="single" w:sz="8" w:space="0" w:color="auto"/>
              <w:right w:val="single" w:sz="8" w:space="0" w:color="auto"/>
            </w:tcBorders>
            <w:shd w:val="clear" w:color="000000" w:fill="FFFFFF"/>
            <w:noWrap/>
            <w:hideMark/>
          </w:tcPr>
          <w:p w14:paraId="7BE144F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437.966,2</w:t>
            </w:r>
          </w:p>
        </w:tc>
        <w:tc>
          <w:tcPr>
            <w:tcW w:w="941" w:type="dxa"/>
            <w:tcBorders>
              <w:top w:val="nil"/>
              <w:left w:val="nil"/>
              <w:bottom w:val="single" w:sz="8" w:space="0" w:color="auto"/>
              <w:right w:val="single" w:sz="8" w:space="0" w:color="auto"/>
            </w:tcBorders>
            <w:shd w:val="clear" w:color="000000" w:fill="FFFFFF"/>
            <w:noWrap/>
            <w:hideMark/>
          </w:tcPr>
          <w:p w14:paraId="0C1F3303"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437.941,5</w:t>
            </w:r>
          </w:p>
        </w:tc>
        <w:tc>
          <w:tcPr>
            <w:tcW w:w="941" w:type="dxa"/>
            <w:tcBorders>
              <w:top w:val="nil"/>
              <w:left w:val="nil"/>
              <w:bottom w:val="single" w:sz="8" w:space="0" w:color="auto"/>
              <w:right w:val="single" w:sz="8" w:space="0" w:color="auto"/>
            </w:tcBorders>
            <w:shd w:val="clear" w:color="000000" w:fill="FFFFFF"/>
            <w:noWrap/>
            <w:hideMark/>
          </w:tcPr>
          <w:p w14:paraId="23F4C2F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447.124,1</w:t>
            </w:r>
          </w:p>
        </w:tc>
        <w:tc>
          <w:tcPr>
            <w:tcW w:w="941" w:type="dxa"/>
            <w:tcBorders>
              <w:top w:val="nil"/>
              <w:left w:val="nil"/>
              <w:bottom w:val="single" w:sz="8" w:space="0" w:color="auto"/>
              <w:right w:val="single" w:sz="8" w:space="0" w:color="auto"/>
            </w:tcBorders>
            <w:shd w:val="clear" w:color="000000" w:fill="FFFFFF"/>
            <w:noWrap/>
            <w:hideMark/>
          </w:tcPr>
          <w:p w14:paraId="7FE9805B"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458.489,7</w:t>
            </w:r>
          </w:p>
        </w:tc>
        <w:tc>
          <w:tcPr>
            <w:tcW w:w="941" w:type="dxa"/>
            <w:tcBorders>
              <w:top w:val="nil"/>
              <w:left w:val="nil"/>
              <w:bottom w:val="single" w:sz="8" w:space="0" w:color="auto"/>
              <w:right w:val="single" w:sz="8" w:space="0" w:color="auto"/>
            </w:tcBorders>
            <w:shd w:val="clear" w:color="000000" w:fill="FFFFFF"/>
            <w:noWrap/>
            <w:hideMark/>
          </w:tcPr>
          <w:p w14:paraId="3BEE2D7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466.005,4</w:t>
            </w:r>
          </w:p>
        </w:tc>
        <w:tc>
          <w:tcPr>
            <w:tcW w:w="941" w:type="dxa"/>
            <w:tcBorders>
              <w:top w:val="nil"/>
              <w:left w:val="nil"/>
              <w:bottom w:val="single" w:sz="8" w:space="0" w:color="auto"/>
              <w:right w:val="single" w:sz="8" w:space="0" w:color="auto"/>
            </w:tcBorders>
            <w:shd w:val="clear" w:color="000000" w:fill="FFFFFF"/>
            <w:noWrap/>
            <w:hideMark/>
          </w:tcPr>
          <w:p w14:paraId="3B528180"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475.025,9</w:t>
            </w:r>
          </w:p>
        </w:tc>
        <w:tc>
          <w:tcPr>
            <w:tcW w:w="941" w:type="dxa"/>
            <w:tcBorders>
              <w:top w:val="nil"/>
              <w:left w:val="nil"/>
              <w:bottom w:val="single" w:sz="8" w:space="0" w:color="auto"/>
              <w:right w:val="single" w:sz="8" w:space="0" w:color="auto"/>
            </w:tcBorders>
            <w:shd w:val="clear" w:color="000000" w:fill="FFFFFF"/>
            <w:noWrap/>
            <w:hideMark/>
          </w:tcPr>
          <w:p w14:paraId="673ED47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485.261,9</w:t>
            </w:r>
          </w:p>
        </w:tc>
        <w:tc>
          <w:tcPr>
            <w:tcW w:w="941" w:type="dxa"/>
            <w:tcBorders>
              <w:top w:val="nil"/>
              <w:left w:val="nil"/>
              <w:bottom w:val="single" w:sz="8" w:space="0" w:color="auto"/>
              <w:right w:val="single" w:sz="8" w:space="0" w:color="auto"/>
            </w:tcBorders>
            <w:shd w:val="clear" w:color="000000" w:fill="FFFFFF"/>
            <w:noWrap/>
            <w:hideMark/>
          </w:tcPr>
          <w:p w14:paraId="706A495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496.572,4</w:t>
            </w:r>
          </w:p>
        </w:tc>
        <w:tc>
          <w:tcPr>
            <w:tcW w:w="941" w:type="dxa"/>
            <w:tcBorders>
              <w:top w:val="nil"/>
              <w:left w:val="nil"/>
              <w:bottom w:val="single" w:sz="8" w:space="0" w:color="auto"/>
              <w:right w:val="single" w:sz="8" w:space="0" w:color="auto"/>
            </w:tcBorders>
            <w:shd w:val="clear" w:color="000000" w:fill="FFFFFF"/>
            <w:noWrap/>
            <w:hideMark/>
          </w:tcPr>
          <w:p w14:paraId="388DC7C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507.397,3</w:t>
            </w:r>
          </w:p>
        </w:tc>
        <w:tc>
          <w:tcPr>
            <w:tcW w:w="941" w:type="dxa"/>
            <w:tcBorders>
              <w:top w:val="nil"/>
              <w:left w:val="nil"/>
              <w:bottom w:val="single" w:sz="8" w:space="0" w:color="auto"/>
              <w:right w:val="single" w:sz="8" w:space="0" w:color="auto"/>
            </w:tcBorders>
            <w:shd w:val="clear" w:color="000000" w:fill="FFFFFF"/>
            <w:noWrap/>
            <w:hideMark/>
          </w:tcPr>
          <w:p w14:paraId="323630AE"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518.765,6</w:t>
            </w:r>
          </w:p>
        </w:tc>
        <w:tc>
          <w:tcPr>
            <w:tcW w:w="941" w:type="dxa"/>
            <w:tcBorders>
              <w:top w:val="nil"/>
              <w:left w:val="nil"/>
              <w:bottom w:val="single" w:sz="8" w:space="0" w:color="auto"/>
              <w:right w:val="single" w:sz="8" w:space="0" w:color="auto"/>
            </w:tcBorders>
            <w:shd w:val="clear" w:color="000000" w:fill="FFFFFF"/>
            <w:noWrap/>
            <w:hideMark/>
          </w:tcPr>
          <w:p w14:paraId="63F641B3"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530.497,8</w:t>
            </w:r>
          </w:p>
        </w:tc>
        <w:tc>
          <w:tcPr>
            <w:tcW w:w="941" w:type="dxa"/>
            <w:tcBorders>
              <w:top w:val="nil"/>
              <w:left w:val="nil"/>
              <w:bottom w:val="single" w:sz="8" w:space="0" w:color="auto"/>
              <w:right w:val="single" w:sz="8" w:space="0" w:color="auto"/>
            </w:tcBorders>
            <w:shd w:val="clear" w:color="000000" w:fill="FFFFFF"/>
            <w:noWrap/>
            <w:hideMark/>
          </w:tcPr>
          <w:p w14:paraId="79435C98"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542.906,9</w:t>
            </w:r>
          </w:p>
        </w:tc>
      </w:tr>
      <w:tr w:rsidR="0074039F" w:rsidRPr="00CF312E" w14:paraId="2B2DDE2E" w14:textId="77777777" w:rsidTr="00117BF8">
        <w:tc>
          <w:tcPr>
            <w:tcW w:w="2835" w:type="dxa"/>
            <w:tcBorders>
              <w:top w:val="nil"/>
              <w:left w:val="single" w:sz="8" w:space="0" w:color="auto"/>
              <w:bottom w:val="single" w:sz="8" w:space="0" w:color="auto"/>
              <w:right w:val="nil"/>
            </w:tcBorders>
            <w:shd w:val="clear" w:color="000000" w:fill="FFFFFF"/>
            <w:noWrap/>
            <w:hideMark/>
          </w:tcPr>
          <w:p w14:paraId="5C97DAD8" w14:textId="77777777" w:rsidR="0074039F" w:rsidRPr="00117BF8" w:rsidRDefault="0074039F" w:rsidP="0060097F">
            <w:pPr>
              <w:pStyle w:val="TablaC"/>
              <w:jc w:val="left"/>
              <w:rPr>
                <w:rFonts w:ascii="Arial" w:hAnsi="Arial" w:cs="Arial"/>
                <w:b/>
                <w:sz w:val="18"/>
                <w:szCs w:val="18"/>
              </w:rPr>
            </w:pPr>
            <w:r w:rsidRPr="00117BF8">
              <w:rPr>
                <w:rFonts w:ascii="Arial" w:hAnsi="Arial" w:cs="Arial"/>
                <w:b/>
                <w:sz w:val="18"/>
                <w:szCs w:val="18"/>
              </w:rPr>
              <w:t xml:space="preserve"> IX. RESULTADO PRIMARIO (VI-VIII)</w:t>
            </w:r>
          </w:p>
        </w:tc>
        <w:tc>
          <w:tcPr>
            <w:tcW w:w="941" w:type="dxa"/>
            <w:tcBorders>
              <w:top w:val="nil"/>
              <w:left w:val="single" w:sz="8" w:space="0" w:color="auto"/>
              <w:bottom w:val="single" w:sz="8" w:space="0" w:color="auto"/>
              <w:right w:val="single" w:sz="8" w:space="0" w:color="auto"/>
            </w:tcBorders>
            <w:shd w:val="clear" w:color="000000" w:fill="FFFFFF"/>
            <w:noWrap/>
            <w:hideMark/>
          </w:tcPr>
          <w:p w14:paraId="48B36FA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-15.164,4</w:t>
            </w:r>
          </w:p>
        </w:tc>
        <w:tc>
          <w:tcPr>
            <w:tcW w:w="941" w:type="dxa"/>
            <w:tcBorders>
              <w:top w:val="nil"/>
              <w:left w:val="nil"/>
              <w:bottom w:val="single" w:sz="8" w:space="0" w:color="auto"/>
              <w:right w:val="single" w:sz="8" w:space="0" w:color="auto"/>
            </w:tcBorders>
            <w:shd w:val="clear" w:color="000000" w:fill="FFFFFF"/>
            <w:noWrap/>
            <w:hideMark/>
          </w:tcPr>
          <w:p w14:paraId="26CE413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-10.154,7</w:t>
            </w:r>
          </w:p>
        </w:tc>
        <w:tc>
          <w:tcPr>
            <w:tcW w:w="941" w:type="dxa"/>
            <w:tcBorders>
              <w:top w:val="nil"/>
              <w:left w:val="nil"/>
              <w:bottom w:val="single" w:sz="8" w:space="0" w:color="auto"/>
              <w:right w:val="single" w:sz="8" w:space="0" w:color="auto"/>
            </w:tcBorders>
            <w:shd w:val="clear" w:color="000000" w:fill="FFFFFF"/>
            <w:noWrap/>
            <w:hideMark/>
          </w:tcPr>
          <w:p w14:paraId="51A7B623"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358,6</w:t>
            </w:r>
          </w:p>
        </w:tc>
        <w:tc>
          <w:tcPr>
            <w:tcW w:w="941" w:type="dxa"/>
            <w:tcBorders>
              <w:top w:val="nil"/>
              <w:left w:val="nil"/>
              <w:bottom w:val="single" w:sz="8" w:space="0" w:color="auto"/>
              <w:right w:val="single" w:sz="8" w:space="0" w:color="auto"/>
            </w:tcBorders>
            <w:shd w:val="clear" w:color="000000" w:fill="FFFFFF"/>
            <w:noWrap/>
            <w:hideMark/>
          </w:tcPr>
          <w:p w14:paraId="2A03458B"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14.122,7</w:t>
            </w:r>
          </w:p>
        </w:tc>
        <w:tc>
          <w:tcPr>
            <w:tcW w:w="941" w:type="dxa"/>
            <w:tcBorders>
              <w:top w:val="nil"/>
              <w:left w:val="nil"/>
              <w:bottom w:val="single" w:sz="8" w:space="0" w:color="auto"/>
              <w:right w:val="single" w:sz="8" w:space="0" w:color="auto"/>
            </w:tcBorders>
            <w:shd w:val="clear" w:color="000000" w:fill="FFFFFF"/>
            <w:noWrap/>
            <w:hideMark/>
          </w:tcPr>
          <w:p w14:paraId="5A8F9D6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11.753,8</w:t>
            </w:r>
          </w:p>
        </w:tc>
        <w:tc>
          <w:tcPr>
            <w:tcW w:w="941" w:type="dxa"/>
            <w:tcBorders>
              <w:top w:val="nil"/>
              <w:left w:val="nil"/>
              <w:bottom w:val="single" w:sz="8" w:space="0" w:color="auto"/>
              <w:right w:val="single" w:sz="8" w:space="0" w:color="auto"/>
            </w:tcBorders>
            <w:shd w:val="clear" w:color="000000" w:fill="FFFFFF"/>
            <w:noWrap/>
            <w:hideMark/>
          </w:tcPr>
          <w:p w14:paraId="5295F27F"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14.199,3</w:t>
            </w:r>
          </w:p>
        </w:tc>
        <w:tc>
          <w:tcPr>
            <w:tcW w:w="941" w:type="dxa"/>
            <w:tcBorders>
              <w:top w:val="nil"/>
              <w:left w:val="nil"/>
              <w:bottom w:val="single" w:sz="8" w:space="0" w:color="auto"/>
              <w:right w:val="single" w:sz="8" w:space="0" w:color="auto"/>
            </w:tcBorders>
            <w:shd w:val="clear" w:color="000000" w:fill="FFFFFF"/>
            <w:noWrap/>
            <w:hideMark/>
          </w:tcPr>
          <w:p w14:paraId="5D84E4ED"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15.322,7</w:t>
            </w:r>
          </w:p>
        </w:tc>
        <w:tc>
          <w:tcPr>
            <w:tcW w:w="941" w:type="dxa"/>
            <w:tcBorders>
              <w:top w:val="nil"/>
              <w:left w:val="nil"/>
              <w:bottom w:val="single" w:sz="8" w:space="0" w:color="auto"/>
              <w:right w:val="single" w:sz="8" w:space="0" w:color="auto"/>
            </w:tcBorders>
            <w:shd w:val="clear" w:color="000000" w:fill="FFFFFF"/>
            <w:noWrap/>
            <w:hideMark/>
          </w:tcPr>
          <w:p w14:paraId="4E4F3C6D"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16.547,7</w:t>
            </w:r>
          </w:p>
        </w:tc>
        <w:tc>
          <w:tcPr>
            <w:tcW w:w="941" w:type="dxa"/>
            <w:tcBorders>
              <w:top w:val="nil"/>
              <w:left w:val="nil"/>
              <w:bottom w:val="single" w:sz="8" w:space="0" w:color="auto"/>
              <w:right w:val="single" w:sz="8" w:space="0" w:color="auto"/>
            </w:tcBorders>
            <w:shd w:val="clear" w:color="000000" w:fill="FFFFFF"/>
            <w:noWrap/>
            <w:hideMark/>
          </w:tcPr>
          <w:p w14:paraId="50CE03C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17.871,3</w:t>
            </w:r>
          </w:p>
        </w:tc>
        <w:tc>
          <w:tcPr>
            <w:tcW w:w="941" w:type="dxa"/>
            <w:tcBorders>
              <w:top w:val="nil"/>
              <w:left w:val="nil"/>
              <w:bottom w:val="single" w:sz="8" w:space="0" w:color="auto"/>
              <w:right w:val="single" w:sz="8" w:space="0" w:color="auto"/>
            </w:tcBorders>
            <w:shd w:val="clear" w:color="000000" w:fill="FFFFFF"/>
            <w:noWrap/>
            <w:hideMark/>
          </w:tcPr>
          <w:p w14:paraId="0A72DB02"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19.289,7</w:t>
            </w:r>
          </w:p>
        </w:tc>
        <w:tc>
          <w:tcPr>
            <w:tcW w:w="941" w:type="dxa"/>
            <w:tcBorders>
              <w:top w:val="nil"/>
              <w:left w:val="nil"/>
              <w:bottom w:val="single" w:sz="8" w:space="0" w:color="auto"/>
              <w:right w:val="single" w:sz="8" w:space="0" w:color="auto"/>
            </w:tcBorders>
            <w:shd w:val="clear" w:color="000000" w:fill="FFFFFF"/>
            <w:noWrap/>
            <w:hideMark/>
          </w:tcPr>
          <w:p w14:paraId="734891AC"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20.798,6</w:t>
            </w:r>
          </w:p>
        </w:tc>
        <w:tc>
          <w:tcPr>
            <w:tcW w:w="941" w:type="dxa"/>
            <w:tcBorders>
              <w:top w:val="nil"/>
              <w:left w:val="nil"/>
              <w:bottom w:val="single" w:sz="8" w:space="0" w:color="auto"/>
              <w:right w:val="single" w:sz="8" w:space="0" w:color="auto"/>
            </w:tcBorders>
            <w:shd w:val="clear" w:color="000000" w:fill="FFFFFF"/>
            <w:noWrap/>
            <w:hideMark/>
          </w:tcPr>
          <w:p w14:paraId="42096B4B"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22.392,7</w:t>
            </w:r>
          </w:p>
        </w:tc>
        <w:tc>
          <w:tcPr>
            <w:tcW w:w="941" w:type="dxa"/>
            <w:tcBorders>
              <w:top w:val="nil"/>
              <w:left w:val="nil"/>
              <w:bottom w:val="single" w:sz="8" w:space="0" w:color="auto"/>
              <w:right w:val="single" w:sz="8" w:space="0" w:color="auto"/>
            </w:tcBorders>
            <w:shd w:val="clear" w:color="000000" w:fill="FFFFFF"/>
            <w:noWrap/>
            <w:hideMark/>
          </w:tcPr>
          <w:p w14:paraId="7E66072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24.065,6</w:t>
            </w:r>
          </w:p>
        </w:tc>
      </w:tr>
      <w:tr w:rsidR="0074039F" w:rsidRPr="00CF312E" w14:paraId="105F3C23" w14:textId="77777777" w:rsidTr="00117BF8">
        <w:tc>
          <w:tcPr>
            <w:tcW w:w="2835" w:type="dxa"/>
            <w:tcBorders>
              <w:top w:val="nil"/>
              <w:left w:val="single" w:sz="8" w:space="0" w:color="auto"/>
              <w:bottom w:val="nil"/>
              <w:right w:val="nil"/>
            </w:tcBorders>
            <w:shd w:val="clear" w:color="000000" w:fill="C0C0C0"/>
            <w:noWrap/>
            <w:hideMark/>
          </w:tcPr>
          <w:p w14:paraId="19B1515F" w14:textId="77777777" w:rsidR="0074039F" w:rsidRPr="00117BF8" w:rsidRDefault="0074039F" w:rsidP="0060097F">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X. RESULTADO FINANCIERO (VI-VII)</w:t>
            </w:r>
          </w:p>
        </w:tc>
        <w:tc>
          <w:tcPr>
            <w:tcW w:w="941" w:type="dxa"/>
            <w:tcBorders>
              <w:top w:val="nil"/>
              <w:left w:val="single" w:sz="8" w:space="0" w:color="auto"/>
              <w:bottom w:val="nil"/>
              <w:right w:val="single" w:sz="8" w:space="0" w:color="auto"/>
            </w:tcBorders>
            <w:shd w:val="clear" w:color="000000" w:fill="BFBFBF"/>
            <w:noWrap/>
            <w:hideMark/>
          </w:tcPr>
          <w:p w14:paraId="428B680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-29.610,4</w:t>
            </w:r>
          </w:p>
        </w:tc>
        <w:tc>
          <w:tcPr>
            <w:tcW w:w="941" w:type="dxa"/>
            <w:tcBorders>
              <w:top w:val="nil"/>
              <w:left w:val="nil"/>
              <w:bottom w:val="nil"/>
              <w:right w:val="single" w:sz="8" w:space="0" w:color="auto"/>
            </w:tcBorders>
            <w:shd w:val="clear" w:color="000000" w:fill="BFBFBF"/>
            <w:noWrap/>
            <w:hideMark/>
          </w:tcPr>
          <w:p w14:paraId="7921B491"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-29.398,4</w:t>
            </w:r>
          </w:p>
        </w:tc>
        <w:tc>
          <w:tcPr>
            <w:tcW w:w="941" w:type="dxa"/>
            <w:tcBorders>
              <w:top w:val="nil"/>
              <w:left w:val="nil"/>
              <w:bottom w:val="nil"/>
              <w:right w:val="single" w:sz="8" w:space="0" w:color="auto"/>
            </w:tcBorders>
            <w:shd w:val="clear" w:color="000000" w:fill="BFBFBF"/>
            <w:noWrap/>
            <w:hideMark/>
          </w:tcPr>
          <w:p w14:paraId="1D192673"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-19.401,7</w:t>
            </w:r>
          </w:p>
        </w:tc>
        <w:tc>
          <w:tcPr>
            <w:tcW w:w="941" w:type="dxa"/>
            <w:tcBorders>
              <w:top w:val="nil"/>
              <w:left w:val="nil"/>
              <w:bottom w:val="nil"/>
              <w:right w:val="single" w:sz="8" w:space="0" w:color="auto"/>
            </w:tcBorders>
            <w:shd w:val="clear" w:color="000000" w:fill="BFBFBF"/>
            <w:noWrap/>
            <w:hideMark/>
          </w:tcPr>
          <w:p w14:paraId="68E4C25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-7.338,5</w:t>
            </w:r>
          </w:p>
        </w:tc>
        <w:tc>
          <w:tcPr>
            <w:tcW w:w="941" w:type="dxa"/>
            <w:tcBorders>
              <w:top w:val="nil"/>
              <w:left w:val="nil"/>
              <w:bottom w:val="nil"/>
              <w:right w:val="single" w:sz="8" w:space="0" w:color="auto"/>
            </w:tcBorders>
            <w:shd w:val="clear" w:color="000000" w:fill="BFBFBF"/>
            <w:noWrap/>
            <w:hideMark/>
          </w:tcPr>
          <w:p w14:paraId="2B00AF7E"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-9.371,0</w:t>
            </w:r>
          </w:p>
        </w:tc>
        <w:tc>
          <w:tcPr>
            <w:tcW w:w="941" w:type="dxa"/>
            <w:tcBorders>
              <w:top w:val="nil"/>
              <w:left w:val="nil"/>
              <w:bottom w:val="nil"/>
              <w:right w:val="single" w:sz="8" w:space="0" w:color="auto"/>
            </w:tcBorders>
            <w:shd w:val="clear" w:color="000000" w:fill="BFBFBF"/>
            <w:noWrap/>
            <w:hideMark/>
          </w:tcPr>
          <w:p w14:paraId="54594279"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-6.350,5</w:t>
            </w:r>
          </w:p>
        </w:tc>
        <w:tc>
          <w:tcPr>
            <w:tcW w:w="941" w:type="dxa"/>
            <w:tcBorders>
              <w:top w:val="nil"/>
              <w:left w:val="nil"/>
              <w:bottom w:val="nil"/>
              <w:right w:val="single" w:sz="8" w:space="0" w:color="auto"/>
            </w:tcBorders>
            <w:shd w:val="clear" w:color="000000" w:fill="BFBFBF"/>
            <w:noWrap/>
            <w:hideMark/>
          </w:tcPr>
          <w:p w14:paraId="7F5803A7"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-4.037,1</w:t>
            </w:r>
          </w:p>
        </w:tc>
        <w:tc>
          <w:tcPr>
            <w:tcW w:w="941" w:type="dxa"/>
            <w:tcBorders>
              <w:top w:val="nil"/>
              <w:left w:val="nil"/>
              <w:bottom w:val="nil"/>
              <w:right w:val="single" w:sz="8" w:space="0" w:color="auto"/>
            </w:tcBorders>
            <w:shd w:val="clear" w:color="000000" w:fill="BFBFBF"/>
            <w:noWrap/>
            <w:hideMark/>
          </w:tcPr>
          <w:p w14:paraId="6E912CDA"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-2.502,9</w:t>
            </w:r>
          </w:p>
        </w:tc>
        <w:tc>
          <w:tcPr>
            <w:tcW w:w="941" w:type="dxa"/>
            <w:tcBorders>
              <w:top w:val="nil"/>
              <w:left w:val="nil"/>
              <w:bottom w:val="nil"/>
              <w:right w:val="single" w:sz="8" w:space="0" w:color="auto"/>
            </w:tcBorders>
            <w:shd w:val="clear" w:color="000000" w:fill="BFBFBF"/>
            <w:noWrap/>
            <w:hideMark/>
          </w:tcPr>
          <w:p w14:paraId="5272ABE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-1.593,8</w:t>
            </w:r>
          </w:p>
        </w:tc>
        <w:tc>
          <w:tcPr>
            <w:tcW w:w="941" w:type="dxa"/>
            <w:tcBorders>
              <w:top w:val="nil"/>
              <w:left w:val="nil"/>
              <w:bottom w:val="nil"/>
              <w:right w:val="single" w:sz="8" w:space="0" w:color="auto"/>
            </w:tcBorders>
            <w:shd w:val="clear" w:color="000000" w:fill="BFBFBF"/>
            <w:noWrap/>
            <w:hideMark/>
          </w:tcPr>
          <w:p w14:paraId="14393E0B"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263,9</w:t>
            </w:r>
          </w:p>
        </w:tc>
        <w:tc>
          <w:tcPr>
            <w:tcW w:w="941" w:type="dxa"/>
            <w:tcBorders>
              <w:top w:val="nil"/>
              <w:left w:val="nil"/>
              <w:bottom w:val="nil"/>
              <w:right w:val="single" w:sz="8" w:space="0" w:color="auto"/>
            </w:tcBorders>
            <w:shd w:val="clear" w:color="000000" w:fill="BFBFBF"/>
            <w:noWrap/>
            <w:hideMark/>
          </w:tcPr>
          <w:p w14:paraId="730DFB44"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2.055,1</w:t>
            </w:r>
          </w:p>
        </w:tc>
        <w:tc>
          <w:tcPr>
            <w:tcW w:w="941" w:type="dxa"/>
            <w:tcBorders>
              <w:top w:val="nil"/>
              <w:left w:val="nil"/>
              <w:bottom w:val="nil"/>
              <w:right w:val="single" w:sz="8" w:space="0" w:color="auto"/>
            </w:tcBorders>
            <w:shd w:val="clear" w:color="000000" w:fill="BFBFBF"/>
            <w:noWrap/>
            <w:hideMark/>
          </w:tcPr>
          <w:p w14:paraId="7A6D66A5"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3.974,1</w:t>
            </w:r>
          </w:p>
        </w:tc>
        <w:tc>
          <w:tcPr>
            <w:tcW w:w="941" w:type="dxa"/>
            <w:tcBorders>
              <w:top w:val="nil"/>
              <w:left w:val="nil"/>
              <w:bottom w:val="nil"/>
              <w:right w:val="single" w:sz="8" w:space="0" w:color="auto"/>
            </w:tcBorders>
            <w:shd w:val="clear" w:color="000000" w:fill="BFBFBF"/>
            <w:noWrap/>
            <w:hideMark/>
          </w:tcPr>
          <w:p w14:paraId="5207CD63" w14:textId="77777777" w:rsidR="0074039F" w:rsidRPr="00117BF8" w:rsidRDefault="0074039F" w:rsidP="0060097F">
            <w:pPr>
              <w:pStyle w:val="TablaC"/>
              <w:rPr>
                <w:rFonts w:ascii="Arial" w:hAnsi="Arial" w:cs="Arial"/>
                <w:b/>
                <w:sz w:val="18"/>
                <w:szCs w:val="18"/>
              </w:rPr>
            </w:pPr>
            <w:r w:rsidRPr="00117BF8">
              <w:rPr>
                <w:rFonts w:ascii="Arial" w:hAnsi="Arial" w:cs="Arial"/>
                <w:b/>
                <w:sz w:val="18"/>
                <w:szCs w:val="18"/>
              </w:rPr>
              <w:t>5.723,0</w:t>
            </w:r>
          </w:p>
        </w:tc>
      </w:tr>
    </w:tbl>
    <w:p w14:paraId="3092D725" w14:textId="77777777" w:rsidR="0074039F" w:rsidRPr="00117BF8" w:rsidRDefault="00A96AB5" w:rsidP="00716F81">
      <w:pPr>
        <w:pStyle w:val="Hfuente"/>
        <w:rPr>
          <w:rFonts w:ascii="Arial" w:hAnsi="Arial" w:cs="Arial"/>
          <w:sz w:val="18"/>
          <w:szCs w:val="18"/>
        </w:rPr>
      </w:pPr>
      <w:r w:rsidRPr="00117BF8">
        <w:rPr>
          <w:rFonts w:ascii="Arial" w:hAnsi="Arial" w:cs="Arial"/>
          <w:sz w:val="18"/>
          <w:szCs w:val="18"/>
        </w:rPr>
        <w:t>Fuente: Elaboración Propia sobre datos suministrados por la Provincia</w:t>
      </w:r>
    </w:p>
    <w:p w14:paraId="0C546469" w14:textId="77777777" w:rsidR="008A73D1" w:rsidRPr="00117BF8" w:rsidRDefault="008A73D1" w:rsidP="00C00291">
      <w:pPr>
        <w:pStyle w:val="Hfuente"/>
        <w:rPr>
          <w:rFonts w:ascii="Arial" w:hAnsi="Arial" w:cs="Arial"/>
        </w:rPr>
      </w:pPr>
    </w:p>
    <w:p w14:paraId="4617918C" w14:textId="77777777" w:rsidR="00EE1F5A" w:rsidRPr="00117BF8" w:rsidRDefault="00EE1F5A" w:rsidP="00BC0FCD">
      <w:pPr>
        <w:pStyle w:val="hsa"/>
        <w:rPr>
          <w:rFonts w:ascii="Arial" w:hAnsi="Arial" w:cs="Arial"/>
        </w:rPr>
        <w:sectPr w:rsidR="00EE1F5A" w:rsidRPr="00117BF8" w:rsidSect="00EE1F5A">
          <w:headerReference w:type="default" r:id="rId48"/>
          <w:footerReference w:type="default" r:id="rId49"/>
          <w:pgSz w:w="16840" w:h="11907" w:orient="landscape"/>
          <w:pgMar w:top="1701" w:right="1418" w:bottom="1701" w:left="1418" w:header="851" w:footer="851" w:gutter="0"/>
          <w:cols w:space="720"/>
          <w:docGrid w:linePitch="326"/>
        </w:sectPr>
      </w:pPr>
    </w:p>
    <w:p w14:paraId="113778DC" w14:textId="77777777" w:rsidR="00023C0E" w:rsidRPr="00117BF8" w:rsidRDefault="00647345" w:rsidP="00023C0E">
      <w:pPr>
        <w:pStyle w:val="Heading2"/>
        <w:rPr>
          <w:rFonts w:ascii="Arial" w:hAnsi="Arial" w:cs="Arial"/>
          <w:sz w:val="22"/>
          <w:szCs w:val="22"/>
        </w:rPr>
      </w:pPr>
      <w:bookmarkStart w:id="115" w:name="_Ref493354574"/>
      <w:bookmarkStart w:id="116" w:name="_Toc494040338"/>
      <w:r w:rsidRPr="00117BF8">
        <w:rPr>
          <w:rFonts w:ascii="Arial" w:hAnsi="Arial" w:cs="Arial"/>
          <w:sz w:val="22"/>
          <w:szCs w:val="22"/>
        </w:rPr>
        <w:t>Análisis de la</w:t>
      </w:r>
      <w:r w:rsidR="00486149" w:rsidRPr="00117BF8">
        <w:rPr>
          <w:rFonts w:ascii="Arial" w:hAnsi="Arial" w:cs="Arial"/>
          <w:sz w:val="22"/>
          <w:szCs w:val="22"/>
        </w:rPr>
        <w:t xml:space="preserve"> Proyección </w:t>
      </w:r>
      <w:r w:rsidRPr="00117BF8">
        <w:rPr>
          <w:rFonts w:ascii="Arial" w:hAnsi="Arial" w:cs="Arial"/>
          <w:sz w:val="22"/>
          <w:szCs w:val="22"/>
        </w:rPr>
        <w:t xml:space="preserve">de la Provincia </w:t>
      </w:r>
      <w:r w:rsidR="00486149" w:rsidRPr="00117BF8">
        <w:rPr>
          <w:rFonts w:ascii="Arial" w:hAnsi="Arial" w:cs="Arial"/>
          <w:sz w:val="22"/>
          <w:szCs w:val="22"/>
        </w:rPr>
        <w:t xml:space="preserve">y </w:t>
      </w:r>
      <w:r w:rsidRPr="00117BF8">
        <w:rPr>
          <w:rFonts w:ascii="Arial" w:hAnsi="Arial" w:cs="Arial"/>
          <w:sz w:val="22"/>
          <w:szCs w:val="22"/>
        </w:rPr>
        <w:t>Proyección Alternativa</w:t>
      </w:r>
      <w:r w:rsidR="00486149" w:rsidRPr="00117BF8">
        <w:rPr>
          <w:rFonts w:ascii="Arial" w:hAnsi="Arial" w:cs="Arial"/>
          <w:sz w:val="22"/>
          <w:szCs w:val="22"/>
        </w:rPr>
        <w:t>.</w:t>
      </w:r>
      <w:bookmarkEnd w:id="115"/>
      <w:bookmarkEnd w:id="116"/>
    </w:p>
    <w:p w14:paraId="182450F6" w14:textId="77777777" w:rsidR="00C829EF" w:rsidRPr="00117BF8" w:rsidRDefault="00C829EF" w:rsidP="00F0711D">
      <w:pPr>
        <w:pStyle w:val="hsa"/>
        <w:rPr>
          <w:rFonts w:ascii="Arial" w:hAnsi="Arial" w:cs="Arial"/>
          <w:sz w:val="22"/>
          <w:szCs w:val="22"/>
        </w:rPr>
      </w:pPr>
      <w:r w:rsidRPr="00117BF8">
        <w:rPr>
          <w:rFonts w:ascii="Arial" w:hAnsi="Arial" w:cs="Arial"/>
          <w:sz w:val="22"/>
          <w:szCs w:val="22"/>
        </w:rPr>
        <w:t xml:space="preserve">Como se puede observar en el Anexo </w:t>
      </w:r>
      <w:r w:rsidR="002009BF" w:rsidRPr="00117BF8">
        <w:rPr>
          <w:rFonts w:ascii="Arial" w:hAnsi="Arial" w:cs="Arial"/>
          <w:sz w:val="22"/>
          <w:szCs w:val="22"/>
        </w:rPr>
        <w:t>VI</w:t>
      </w:r>
      <w:r w:rsidRPr="00117BF8">
        <w:rPr>
          <w:rFonts w:ascii="Arial" w:hAnsi="Arial" w:cs="Arial"/>
          <w:sz w:val="22"/>
          <w:szCs w:val="22"/>
        </w:rPr>
        <w:t xml:space="preserve"> los supuestos explicitados por la Provincia fueron muy limitados, otros supuestos se pueden inferir de la evolución de recursos y gastos en valores contantes que se incluyen en la tabla </w:t>
      </w:r>
      <w:r w:rsidR="0069589D" w:rsidRPr="00117BF8">
        <w:rPr>
          <w:rFonts w:ascii="Arial" w:hAnsi="Arial" w:cs="Arial"/>
          <w:sz w:val="22"/>
          <w:szCs w:val="22"/>
        </w:rPr>
        <w:t>A V - 2</w:t>
      </w:r>
      <w:r w:rsidRPr="00117BF8">
        <w:rPr>
          <w:rFonts w:ascii="Arial" w:hAnsi="Arial" w:cs="Arial"/>
          <w:sz w:val="22"/>
          <w:szCs w:val="22"/>
        </w:rPr>
        <w:t xml:space="preserve"> del Anexo </w:t>
      </w:r>
      <w:r w:rsidR="002009BF" w:rsidRPr="00117BF8">
        <w:rPr>
          <w:rFonts w:ascii="Arial" w:hAnsi="Arial" w:cs="Arial"/>
          <w:sz w:val="22"/>
          <w:szCs w:val="22"/>
        </w:rPr>
        <w:t>V</w:t>
      </w:r>
      <w:r w:rsidRPr="00117BF8">
        <w:rPr>
          <w:rFonts w:ascii="Arial" w:hAnsi="Arial" w:cs="Arial"/>
          <w:sz w:val="22"/>
          <w:szCs w:val="22"/>
        </w:rPr>
        <w:t>.</w:t>
      </w:r>
    </w:p>
    <w:p w14:paraId="4442BA52" w14:textId="644B770E" w:rsidR="00F0711D" w:rsidRPr="00117BF8" w:rsidRDefault="00C829EF" w:rsidP="00F0711D">
      <w:pPr>
        <w:pStyle w:val="hsa"/>
        <w:rPr>
          <w:rFonts w:ascii="Arial" w:hAnsi="Arial" w:cs="Arial"/>
          <w:sz w:val="22"/>
          <w:szCs w:val="22"/>
        </w:rPr>
      </w:pPr>
      <w:r w:rsidRPr="00117BF8">
        <w:rPr>
          <w:rFonts w:ascii="Arial" w:hAnsi="Arial" w:cs="Arial"/>
          <w:sz w:val="22"/>
          <w:szCs w:val="22"/>
        </w:rPr>
        <w:t xml:space="preserve">Con el propósito de evaluar las proyecciones presentadas por la Provincia </w:t>
      </w:r>
      <w:r w:rsidR="000D106C" w:rsidRPr="00117BF8">
        <w:rPr>
          <w:rFonts w:ascii="Arial" w:hAnsi="Arial" w:cs="Arial"/>
          <w:sz w:val="22"/>
          <w:szCs w:val="22"/>
        </w:rPr>
        <w:t>consideré</w:t>
      </w:r>
      <w:r w:rsidRPr="00117BF8">
        <w:rPr>
          <w:rFonts w:ascii="Arial" w:hAnsi="Arial" w:cs="Arial"/>
          <w:sz w:val="22"/>
          <w:szCs w:val="22"/>
        </w:rPr>
        <w:t xml:space="preserve"> supuestos alternativos, basado en </w:t>
      </w:r>
      <w:r w:rsidR="000D106C" w:rsidRPr="00117BF8">
        <w:rPr>
          <w:rFonts w:ascii="Arial" w:hAnsi="Arial" w:cs="Arial"/>
          <w:sz w:val="22"/>
          <w:szCs w:val="22"/>
        </w:rPr>
        <w:t>i</w:t>
      </w:r>
      <w:r w:rsidRPr="00117BF8">
        <w:rPr>
          <w:rFonts w:ascii="Arial" w:hAnsi="Arial" w:cs="Arial"/>
          <w:sz w:val="22"/>
          <w:szCs w:val="22"/>
        </w:rPr>
        <w:t xml:space="preserve">nformación pública y en lo </w:t>
      </w:r>
      <w:r w:rsidR="000D106C" w:rsidRPr="00117BF8">
        <w:rPr>
          <w:rFonts w:ascii="Arial" w:hAnsi="Arial" w:cs="Arial"/>
          <w:sz w:val="22"/>
          <w:szCs w:val="22"/>
        </w:rPr>
        <w:t>acontecido</w:t>
      </w:r>
      <w:r w:rsidRPr="00117BF8">
        <w:rPr>
          <w:rFonts w:ascii="Arial" w:hAnsi="Arial" w:cs="Arial"/>
          <w:sz w:val="22"/>
          <w:szCs w:val="22"/>
        </w:rPr>
        <w:t xml:space="preserve"> durante </w:t>
      </w:r>
      <w:r w:rsidR="000D106C" w:rsidRPr="00117BF8">
        <w:rPr>
          <w:rFonts w:ascii="Arial" w:hAnsi="Arial" w:cs="Arial"/>
          <w:sz w:val="22"/>
          <w:szCs w:val="22"/>
        </w:rPr>
        <w:t>los</w:t>
      </w:r>
      <w:r w:rsidRPr="00117BF8">
        <w:rPr>
          <w:rFonts w:ascii="Arial" w:hAnsi="Arial" w:cs="Arial"/>
          <w:sz w:val="22"/>
          <w:szCs w:val="22"/>
        </w:rPr>
        <w:t xml:space="preserve"> año</w:t>
      </w:r>
      <w:r w:rsidR="000D106C" w:rsidRPr="00117BF8">
        <w:rPr>
          <w:rFonts w:ascii="Arial" w:hAnsi="Arial" w:cs="Arial"/>
          <w:sz w:val="22"/>
          <w:szCs w:val="22"/>
        </w:rPr>
        <w:t>s</w:t>
      </w:r>
      <w:r w:rsidRPr="00117BF8">
        <w:rPr>
          <w:rFonts w:ascii="Arial" w:hAnsi="Arial" w:cs="Arial"/>
          <w:sz w:val="22"/>
          <w:szCs w:val="22"/>
        </w:rPr>
        <w:t xml:space="preserve"> 2016 y 2017 (Las proyecciones de la Provincia por ejemplo se basan en datos previos a los definitivos del año 2016). Estas proyecciones alternativas no pretenden sustituir las proyecciones realizadas por la Provincia y su propósito</w:t>
      </w:r>
      <w:r w:rsidR="00355530" w:rsidRPr="00117BF8">
        <w:rPr>
          <w:rFonts w:ascii="Arial" w:hAnsi="Arial" w:cs="Arial"/>
          <w:sz w:val="22"/>
          <w:szCs w:val="22"/>
        </w:rPr>
        <w:t xml:space="preserve"> se</w:t>
      </w:r>
      <w:r w:rsidRPr="00117BF8">
        <w:rPr>
          <w:rFonts w:ascii="Arial" w:hAnsi="Arial" w:cs="Arial"/>
          <w:sz w:val="22"/>
          <w:szCs w:val="22"/>
        </w:rPr>
        <w:t xml:space="preserve"> limita a apreciar el impacto originado en </w:t>
      </w:r>
      <w:r w:rsidR="000D106C" w:rsidRPr="00117BF8">
        <w:rPr>
          <w:rFonts w:ascii="Arial" w:hAnsi="Arial" w:cs="Arial"/>
          <w:sz w:val="22"/>
          <w:szCs w:val="22"/>
        </w:rPr>
        <w:t xml:space="preserve">modificaciones </w:t>
      </w:r>
      <w:r w:rsidRPr="00117BF8">
        <w:rPr>
          <w:rFonts w:ascii="Arial" w:hAnsi="Arial" w:cs="Arial"/>
          <w:sz w:val="22"/>
          <w:szCs w:val="22"/>
        </w:rPr>
        <w:t xml:space="preserve">en los supuestos </w:t>
      </w:r>
      <w:r w:rsidR="00355530" w:rsidRPr="00117BF8">
        <w:rPr>
          <w:rFonts w:ascii="Arial" w:hAnsi="Arial" w:cs="Arial"/>
          <w:sz w:val="22"/>
          <w:szCs w:val="22"/>
        </w:rPr>
        <w:t xml:space="preserve">y, particularmente, </w:t>
      </w:r>
      <w:r w:rsidR="00355530" w:rsidRPr="00117BF8">
        <w:rPr>
          <w:rFonts w:ascii="Arial" w:eastAsia="Calibri" w:hAnsi="Arial" w:cs="Arial"/>
          <w:sz w:val="22"/>
          <w:szCs w:val="22"/>
        </w:rPr>
        <w:t xml:space="preserve">la capacidad de repago del servicio de la deuda de la Provincia </w:t>
      </w:r>
      <w:r w:rsidR="00F0711D" w:rsidRPr="00117BF8">
        <w:rPr>
          <w:rFonts w:ascii="Arial" w:eastAsia="Calibri" w:hAnsi="Arial" w:cs="Arial"/>
          <w:sz w:val="22"/>
          <w:szCs w:val="22"/>
        </w:rPr>
        <w:t xml:space="preserve">de los </w:t>
      </w:r>
      <w:r w:rsidR="00186356" w:rsidRPr="00117BF8">
        <w:rPr>
          <w:rFonts w:ascii="Arial" w:hAnsi="Arial" w:cs="Arial"/>
          <w:sz w:val="22"/>
          <w:szCs w:val="22"/>
        </w:rPr>
        <w:t xml:space="preserve">Programas AR-L1272, 1273 y 1274 </w:t>
      </w:r>
      <w:r w:rsidR="00355530" w:rsidRPr="00117BF8">
        <w:rPr>
          <w:rFonts w:ascii="Arial" w:eastAsia="Calibri" w:hAnsi="Arial" w:cs="Arial"/>
          <w:sz w:val="22"/>
          <w:szCs w:val="22"/>
        </w:rPr>
        <w:t xml:space="preserve">y </w:t>
      </w:r>
      <w:r w:rsidR="00F0711D" w:rsidRPr="00117BF8">
        <w:rPr>
          <w:rFonts w:ascii="Arial" w:eastAsia="Calibri" w:hAnsi="Arial" w:cs="Arial"/>
          <w:sz w:val="22"/>
          <w:szCs w:val="22"/>
        </w:rPr>
        <w:t>el impacto de estos en</w:t>
      </w:r>
      <w:r w:rsidR="00355530" w:rsidRPr="00117BF8">
        <w:rPr>
          <w:rFonts w:ascii="Arial" w:eastAsia="Calibri" w:hAnsi="Arial" w:cs="Arial"/>
          <w:sz w:val="22"/>
          <w:szCs w:val="22"/>
        </w:rPr>
        <w:t xml:space="preserve"> la situación </w:t>
      </w:r>
      <w:r w:rsidR="00F0711D" w:rsidRPr="00117BF8">
        <w:rPr>
          <w:rFonts w:ascii="Arial" w:eastAsia="Calibri" w:hAnsi="Arial" w:cs="Arial"/>
          <w:sz w:val="22"/>
          <w:szCs w:val="22"/>
        </w:rPr>
        <w:t xml:space="preserve">fiscal </w:t>
      </w:r>
      <w:r w:rsidR="00355530" w:rsidRPr="00117BF8">
        <w:rPr>
          <w:rFonts w:ascii="Arial" w:eastAsia="Calibri" w:hAnsi="Arial" w:cs="Arial"/>
          <w:sz w:val="22"/>
          <w:szCs w:val="22"/>
        </w:rPr>
        <w:t>de</w:t>
      </w:r>
      <w:r w:rsidR="00F0711D" w:rsidRPr="00117BF8">
        <w:rPr>
          <w:rFonts w:ascii="Arial" w:eastAsia="Calibri" w:hAnsi="Arial" w:cs="Arial"/>
          <w:sz w:val="22"/>
          <w:szCs w:val="22"/>
        </w:rPr>
        <w:t xml:space="preserve"> </w:t>
      </w:r>
      <w:r w:rsidR="00355530" w:rsidRPr="00117BF8">
        <w:rPr>
          <w:rFonts w:ascii="Arial" w:eastAsia="Calibri" w:hAnsi="Arial" w:cs="Arial"/>
          <w:sz w:val="22"/>
          <w:szCs w:val="22"/>
        </w:rPr>
        <w:t>l</w:t>
      </w:r>
      <w:r w:rsidR="00F0711D" w:rsidRPr="00117BF8">
        <w:rPr>
          <w:rFonts w:ascii="Arial" w:eastAsia="Calibri" w:hAnsi="Arial" w:cs="Arial"/>
          <w:sz w:val="22"/>
          <w:szCs w:val="22"/>
        </w:rPr>
        <w:t>a</w:t>
      </w:r>
      <w:r w:rsidR="00355530" w:rsidRPr="00117BF8">
        <w:rPr>
          <w:rFonts w:ascii="Arial" w:eastAsia="Calibri" w:hAnsi="Arial" w:cs="Arial"/>
          <w:sz w:val="22"/>
          <w:szCs w:val="22"/>
        </w:rPr>
        <w:t xml:space="preserve"> PBA. </w:t>
      </w:r>
      <w:r w:rsidR="00F0711D" w:rsidRPr="00117BF8">
        <w:rPr>
          <w:rFonts w:ascii="Arial" w:eastAsia="Calibri" w:hAnsi="Arial" w:cs="Arial"/>
          <w:sz w:val="22"/>
          <w:szCs w:val="22"/>
        </w:rPr>
        <w:t xml:space="preserve">Adicionalmente, se pretende </w:t>
      </w:r>
      <w:r w:rsidR="00186356" w:rsidRPr="00117BF8">
        <w:rPr>
          <w:rFonts w:ascii="Arial" w:eastAsia="Calibri" w:hAnsi="Arial" w:cs="Arial"/>
          <w:sz w:val="22"/>
          <w:szCs w:val="22"/>
        </w:rPr>
        <w:t xml:space="preserve">estimar </w:t>
      </w:r>
      <w:r w:rsidR="00355530" w:rsidRPr="00117BF8">
        <w:rPr>
          <w:rFonts w:ascii="Arial" w:eastAsia="Calibri" w:hAnsi="Arial" w:cs="Arial"/>
          <w:sz w:val="22"/>
          <w:szCs w:val="22"/>
        </w:rPr>
        <w:t>si la Provincia</w:t>
      </w:r>
      <w:r w:rsidR="00355530" w:rsidRPr="00117BF8">
        <w:rPr>
          <w:rFonts w:ascii="Arial" w:hAnsi="Arial" w:cs="Arial"/>
          <w:sz w:val="22"/>
          <w:szCs w:val="22"/>
        </w:rPr>
        <w:t xml:space="preserve"> </w:t>
      </w:r>
      <w:r w:rsidR="00355530" w:rsidRPr="00117BF8">
        <w:rPr>
          <w:rFonts w:ascii="Arial" w:eastAsia="Calibri" w:hAnsi="Arial" w:cs="Arial"/>
          <w:sz w:val="22"/>
          <w:szCs w:val="22"/>
        </w:rPr>
        <w:t xml:space="preserve">cuenta con recursos suficientes para i) aportar oportunamente la contribución del aporte local y ii) garantizar la operación y mantenimiento de las obras a ser construidas con </w:t>
      </w:r>
      <w:r w:rsidR="00F0711D" w:rsidRPr="00117BF8">
        <w:rPr>
          <w:rFonts w:ascii="Arial" w:eastAsia="Calibri" w:hAnsi="Arial" w:cs="Arial"/>
          <w:sz w:val="22"/>
          <w:szCs w:val="22"/>
        </w:rPr>
        <w:t>los</w:t>
      </w:r>
      <w:r w:rsidR="00355530" w:rsidRPr="00117BF8">
        <w:rPr>
          <w:rFonts w:ascii="Arial" w:eastAsia="Calibri" w:hAnsi="Arial" w:cs="Arial"/>
          <w:sz w:val="22"/>
          <w:szCs w:val="22"/>
        </w:rPr>
        <w:t xml:space="preserve"> programa</w:t>
      </w:r>
      <w:r w:rsidR="00F0711D" w:rsidRPr="00117BF8">
        <w:rPr>
          <w:rFonts w:ascii="Arial" w:eastAsia="Calibri" w:hAnsi="Arial" w:cs="Arial"/>
          <w:sz w:val="22"/>
          <w:szCs w:val="22"/>
        </w:rPr>
        <w:t>s citados</w:t>
      </w:r>
      <w:r w:rsidRPr="00117BF8">
        <w:rPr>
          <w:rFonts w:ascii="Arial" w:hAnsi="Arial" w:cs="Arial"/>
          <w:sz w:val="22"/>
          <w:szCs w:val="22"/>
        </w:rPr>
        <w:t>.</w:t>
      </w:r>
    </w:p>
    <w:p w14:paraId="4EF2A42B" w14:textId="77777777" w:rsidR="00C829EF" w:rsidRPr="00117BF8" w:rsidRDefault="00F0711D" w:rsidP="00F0711D">
      <w:pPr>
        <w:pStyle w:val="hsa"/>
        <w:rPr>
          <w:rFonts w:ascii="Arial" w:hAnsi="Arial" w:cs="Arial"/>
          <w:sz w:val="22"/>
          <w:szCs w:val="22"/>
        </w:rPr>
      </w:pPr>
      <w:r w:rsidRPr="00117BF8">
        <w:rPr>
          <w:rFonts w:ascii="Arial" w:hAnsi="Arial" w:cs="Arial"/>
          <w:sz w:val="22"/>
          <w:szCs w:val="22"/>
        </w:rPr>
        <w:t>La</w:t>
      </w:r>
      <w:r w:rsidR="00C829EF" w:rsidRPr="00117BF8">
        <w:rPr>
          <w:rFonts w:ascii="Arial" w:hAnsi="Arial" w:cs="Arial"/>
          <w:sz w:val="22"/>
          <w:szCs w:val="22"/>
        </w:rPr>
        <w:t xml:space="preserve">s </w:t>
      </w:r>
      <w:r w:rsidRPr="00117BF8">
        <w:rPr>
          <w:rFonts w:ascii="Arial" w:hAnsi="Arial" w:cs="Arial"/>
          <w:sz w:val="22"/>
          <w:szCs w:val="22"/>
        </w:rPr>
        <w:t xml:space="preserve">proyecciones alternativas </w:t>
      </w:r>
      <w:r w:rsidR="00C829EF" w:rsidRPr="00117BF8">
        <w:rPr>
          <w:rFonts w:ascii="Arial" w:hAnsi="Arial" w:cs="Arial"/>
          <w:sz w:val="22"/>
          <w:szCs w:val="22"/>
        </w:rPr>
        <w:t xml:space="preserve">y otros cuadros derivados se incluyen en el Anexo </w:t>
      </w:r>
      <w:r w:rsidR="002009BF" w:rsidRPr="00117BF8">
        <w:rPr>
          <w:rFonts w:ascii="Arial" w:hAnsi="Arial" w:cs="Arial"/>
          <w:sz w:val="22"/>
          <w:szCs w:val="22"/>
        </w:rPr>
        <w:t>VII</w:t>
      </w:r>
      <w:r w:rsidR="00C829EF" w:rsidRPr="00117BF8">
        <w:rPr>
          <w:rFonts w:ascii="Arial" w:hAnsi="Arial" w:cs="Arial"/>
          <w:sz w:val="22"/>
          <w:szCs w:val="22"/>
        </w:rPr>
        <w:t>.</w:t>
      </w:r>
    </w:p>
    <w:p w14:paraId="4D90F14B" w14:textId="77777777" w:rsidR="00486149" w:rsidRPr="00CF312E" w:rsidRDefault="00486149">
      <w:pPr>
        <w:pStyle w:val="Heading3"/>
      </w:pPr>
      <w:bookmarkStart w:id="117" w:name="_Ref493355091"/>
      <w:bookmarkStart w:id="118" w:name="_Toc494040339"/>
      <w:r w:rsidRPr="00CF312E">
        <w:t>Supuestos</w:t>
      </w:r>
      <w:bookmarkEnd w:id="117"/>
      <w:bookmarkEnd w:id="118"/>
    </w:p>
    <w:p w14:paraId="4C85A4C2" w14:textId="77777777" w:rsidR="00486149" w:rsidRPr="00117BF8" w:rsidRDefault="00D27722" w:rsidP="00486149">
      <w:pPr>
        <w:pStyle w:val="hsa"/>
        <w:rPr>
          <w:rFonts w:ascii="Arial" w:hAnsi="Arial" w:cs="Arial"/>
          <w:sz w:val="22"/>
          <w:szCs w:val="22"/>
        </w:rPr>
      </w:pPr>
      <w:r w:rsidRPr="00117BF8">
        <w:rPr>
          <w:rFonts w:ascii="Arial" w:hAnsi="Arial" w:cs="Arial"/>
          <w:sz w:val="22"/>
          <w:szCs w:val="22"/>
        </w:rPr>
        <w:t xml:space="preserve">Respecto a los supuesto macros las diferencias </w:t>
      </w:r>
      <w:r w:rsidR="00F0711D" w:rsidRPr="00117BF8">
        <w:rPr>
          <w:rFonts w:ascii="Arial" w:hAnsi="Arial" w:cs="Arial"/>
          <w:sz w:val="22"/>
          <w:szCs w:val="22"/>
        </w:rPr>
        <w:t xml:space="preserve">entre las proyecciones de la Provincia y las Alternativas son </w:t>
      </w:r>
      <w:r w:rsidRPr="00117BF8">
        <w:rPr>
          <w:rFonts w:ascii="Arial" w:hAnsi="Arial" w:cs="Arial"/>
          <w:sz w:val="22"/>
          <w:szCs w:val="22"/>
        </w:rPr>
        <w:t xml:space="preserve">las que sigue: </w:t>
      </w:r>
    </w:p>
    <w:tbl>
      <w:tblPr>
        <w:tblW w:w="8159" w:type="dxa"/>
        <w:tblLayout w:type="fixed"/>
        <w:tblCellMar>
          <w:left w:w="0" w:type="dxa"/>
          <w:right w:w="0" w:type="dxa"/>
        </w:tblCellMar>
        <w:tblLook w:val="0600" w:firstRow="0" w:lastRow="0" w:firstColumn="0" w:lastColumn="0" w:noHBand="1" w:noVBand="1"/>
      </w:tblPr>
      <w:tblGrid>
        <w:gridCol w:w="582"/>
        <w:gridCol w:w="783"/>
        <w:gridCol w:w="858"/>
        <w:gridCol w:w="1013"/>
        <w:gridCol w:w="1032"/>
        <w:gridCol w:w="858"/>
        <w:gridCol w:w="858"/>
        <w:gridCol w:w="1013"/>
        <w:gridCol w:w="1162"/>
      </w:tblGrid>
      <w:tr w:rsidR="00D27722" w:rsidRPr="004E6455" w14:paraId="4FCA592A" w14:textId="77777777" w:rsidTr="00117BF8">
        <w:trPr>
          <w:trHeight w:val="423"/>
        </w:trPr>
        <w:tc>
          <w:tcPr>
            <w:tcW w:w="8159" w:type="dxa"/>
            <w:gridSpan w:val="9"/>
            <w:tcBorders>
              <w:top w:val="single" w:sz="8" w:space="0" w:color="FFFFFF"/>
              <w:left w:val="single" w:sz="8" w:space="0" w:color="FFFFFF"/>
              <w:bottom w:val="single" w:sz="8" w:space="0" w:color="FFFFFF"/>
              <w:right w:val="single" w:sz="8" w:space="0" w:color="FFFFFF"/>
            </w:tcBorders>
            <w:shd w:val="clear" w:color="auto" w:fill="0070C0"/>
            <w:tcMar>
              <w:top w:w="15" w:type="dxa"/>
              <w:left w:w="15" w:type="dxa"/>
              <w:bottom w:w="0" w:type="dxa"/>
              <w:right w:w="15" w:type="dxa"/>
            </w:tcMar>
            <w:vAlign w:val="bottom"/>
          </w:tcPr>
          <w:p w14:paraId="3E0E9080" w14:textId="2E3A2506" w:rsidR="00D27722" w:rsidRPr="00117BF8" w:rsidRDefault="0069589D" w:rsidP="00883677">
            <w:pPr>
              <w:pStyle w:val="TablaT"/>
              <w:rPr>
                <w:rFonts w:ascii="Arial" w:hAnsi="Arial" w:cs="Arial"/>
                <w:sz w:val="22"/>
                <w:szCs w:val="22"/>
                <w:lang w:val="es-ES_tradnl"/>
              </w:rPr>
            </w:pPr>
            <w:bookmarkStart w:id="119" w:name="_Toc493861153"/>
            <w:r w:rsidRPr="00117BF8">
              <w:rPr>
                <w:rFonts w:ascii="Arial" w:hAnsi="Arial" w:cs="Arial"/>
                <w:sz w:val="22"/>
                <w:szCs w:val="22"/>
                <w:lang w:val="es-ES_tradnl"/>
              </w:rPr>
              <w:t xml:space="preserve">Tabla </w:t>
            </w:r>
            <w:r w:rsidR="00883677" w:rsidRPr="00117BF8">
              <w:rPr>
                <w:rFonts w:ascii="Arial" w:hAnsi="Arial" w:cs="Arial"/>
                <w:sz w:val="22"/>
                <w:szCs w:val="22"/>
                <w:lang w:val="es-ES_tradnl"/>
              </w:rPr>
              <w:t xml:space="preserve">43 </w:t>
            </w:r>
            <w:r w:rsidR="00D27722" w:rsidRPr="00117BF8">
              <w:rPr>
                <w:rFonts w:ascii="Arial" w:hAnsi="Arial" w:cs="Arial"/>
                <w:sz w:val="22"/>
                <w:szCs w:val="22"/>
                <w:lang w:val="es-ES_tradnl"/>
              </w:rPr>
              <w:t>– Supuestos Macro en las Proyecciones</w:t>
            </w:r>
            <w:bookmarkEnd w:id="119"/>
          </w:p>
        </w:tc>
      </w:tr>
      <w:tr w:rsidR="00D27722" w:rsidRPr="004E6455" w14:paraId="555AAFC8"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0CB71DB" w14:textId="77777777" w:rsidR="00486149" w:rsidRPr="00117BF8" w:rsidRDefault="00486149" w:rsidP="00D27722">
            <w:pPr>
              <w:pStyle w:val="TablaE"/>
              <w:rPr>
                <w:rFonts w:ascii="Arial" w:hAnsi="Arial" w:cs="Arial"/>
                <w:color w:val="auto"/>
                <w:sz w:val="22"/>
                <w:szCs w:val="22"/>
              </w:rPr>
            </w:pPr>
          </w:p>
        </w:tc>
        <w:tc>
          <w:tcPr>
            <w:tcW w:w="3686" w:type="dxa"/>
            <w:gridSpan w:val="4"/>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37DBB0FB"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Proyecciones Provincia</w:t>
            </w:r>
          </w:p>
        </w:tc>
        <w:tc>
          <w:tcPr>
            <w:tcW w:w="3891" w:type="dxa"/>
            <w:gridSpan w:val="4"/>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02215F89"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Proyecciones Alternativas</w:t>
            </w:r>
          </w:p>
        </w:tc>
      </w:tr>
      <w:tr w:rsidR="00D27722" w:rsidRPr="004E6455" w14:paraId="06176D36" w14:textId="77777777" w:rsidTr="00D27722">
        <w:trPr>
          <w:trHeight w:val="845"/>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3168186" w14:textId="77777777" w:rsidR="00486149" w:rsidRPr="00117BF8" w:rsidRDefault="00486149" w:rsidP="00D27722">
            <w:pPr>
              <w:pStyle w:val="TablaE"/>
              <w:rPr>
                <w:rFonts w:ascii="Arial" w:hAnsi="Arial" w:cs="Arial"/>
                <w:color w:val="auto"/>
                <w:sz w:val="22"/>
                <w:szCs w:val="22"/>
              </w:rPr>
            </w:pPr>
          </w:p>
        </w:tc>
        <w:tc>
          <w:tcPr>
            <w:tcW w:w="78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6173B171"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PBG Real</w:t>
            </w:r>
          </w:p>
        </w:tc>
        <w:tc>
          <w:tcPr>
            <w:tcW w:w="858"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2E6B2BFF"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IPC</w:t>
            </w:r>
          </w:p>
        </w:tc>
        <w:tc>
          <w:tcPr>
            <w:tcW w:w="101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60839759"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PBG Nominal</w:t>
            </w:r>
          </w:p>
        </w:tc>
        <w:tc>
          <w:tcPr>
            <w:tcW w:w="1032"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335216A3"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Elasticidad Tributos Prov.</w:t>
            </w: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6F3B34DE"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PBG Real</w:t>
            </w: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4D6817B1"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IPC</w:t>
            </w:r>
            <w:r w:rsidR="009F4F22" w:rsidRPr="00117BF8">
              <w:rPr>
                <w:rFonts w:ascii="Arial" w:hAnsi="Arial" w:cs="Arial"/>
                <w:bCs/>
                <w:color w:val="auto"/>
                <w:sz w:val="22"/>
                <w:szCs w:val="22"/>
              </w:rPr>
              <w:t>(*)</w:t>
            </w:r>
          </w:p>
        </w:tc>
        <w:tc>
          <w:tcPr>
            <w:tcW w:w="1013"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2D61C2A2" w14:textId="77777777" w:rsidR="00584E1F" w:rsidRPr="00117BF8" w:rsidRDefault="00486149" w:rsidP="00D27722">
            <w:pPr>
              <w:pStyle w:val="TablaE"/>
              <w:rPr>
                <w:rFonts w:ascii="Arial" w:hAnsi="Arial" w:cs="Arial"/>
                <w:color w:val="auto"/>
                <w:sz w:val="22"/>
                <w:szCs w:val="22"/>
              </w:rPr>
            </w:pPr>
            <w:r w:rsidRPr="00117BF8">
              <w:rPr>
                <w:rFonts w:ascii="Arial" w:hAnsi="Arial" w:cs="Arial"/>
                <w:bCs/>
                <w:color w:val="auto"/>
                <w:sz w:val="22"/>
                <w:szCs w:val="22"/>
              </w:rPr>
              <w:t>PBG Nominal</w:t>
            </w:r>
          </w:p>
        </w:tc>
        <w:tc>
          <w:tcPr>
            <w:tcW w:w="1162"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1A7498D2" w14:textId="77777777" w:rsidR="00584E1F" w:rsidRPr="00117BF8" w:rsidRDefault="00D27722" w:rsidP="00D27722">
            <w:pPr>
              <w:pStyle w:val="TablaE"/>
              <w:rPr>
                <w:rFonts w:ascii="Arial" w:hAnsi="Arial" w:cs="Arial"/>
                <w:color w:val="auto"/>
                <w:sz w:val="22"/>
                <w:szCs w:val="22"/>
              </w:rPr>
            </w:pPr>
            <w:r w:rsidRPr="00117BF8">
              <w:rPr>
                <w:rFonts w:ascii="Arial" w:hAnsi="Arial" w:cs="Arial"/>
                <w:bCs/>
                <w:color w:val="auto"/>
                <w:sz w:val="22"/>
                <w:szCs w:val="22"/>
              </w:rPr>
              <w:t>Elasticidad Tributos Prov.</w:t>
            </w:r>
          </w:p>
        </w:tc>
      </w:tr>
      <w:tr w:rsidR="00486149" w:rsidRPr="004E6455" w14:paraId="22F9B865"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BC55794"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2017</w:t>
            </w:r>
          </w:p>
        </w:tc>
        <w:tc>
          <w:tcPr>
            <w:tcW w:w="78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6CBDB3FC"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3,5%</w:t>
            </w:r>
          </w:p>
        </w:tc>
        <w:tc>
          <w:tcPr>
            <w:tcW w:w="858"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44AEC7FA"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19,4%</w:t>
            </w:r>
          </w:p>
        </w:tc>
        <w:tc>
          <w:tcPr>
            <w:tcW w:w="101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003A9E5C"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23</w:t>
            </w:r>
            <w:r w:rsidR="000D106C" w:rsidRPr="00117BF8">
              <w:rPr>
                <w:rFonts w:ascii="Arial" w:hAnsi="Arial" w:cs="Arial"/>
                <w:sz w:val="18"/>
                <w:szCs w:val="18"/>
              </w:rPr>
              <w:t>,</w:t>
            </w:r>
            <w:r w:rsidRPr="00117BF8">
              <w:rPr>
                <w:rFonts w:ascii="Arial" w:hAnsi="Arial" w:cs="Arial"/>
                <w:sz w:val="18"/>
                <w:szCs w:val="18"/>
              </w:rPr>
              <w:t>6%</w:t>
            </w:r>
          </w:p>
        </w:tc>
        <w:tc>
          <w:tcPr>
            <w:tcW w:w="1032"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63D9EF69"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1,10</w:t>
            </w: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3AC26DA2"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2,70%</w:t>
            </w: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4FF4A396"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30,4%</w:t>
            </w:r>
          </w:p>
        </w:tc>
        <w:tc>
          <w:tcPr>
            <w:tcW w:w="1013"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7734931F"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33,90%</w:t>
            </w:r>
          </w:p>
        </w:tc>
        <w:tc>
          <w:tcPr>
            <w:tcW w:w="1162"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36FD001A"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1,10</w:t>
            </w:r>
          </w:p>
        </w:tc>
      </w:tr>
      <w:tr w:rsidR="00486149" w:rsidRPr="004E6455" w14:paraId="71890E36"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123B116"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2018</w:t>
            </w:r>
          </w:p>
        </w:tc>
        <w:tc>
          <w:tcPr>
            <w:tcW w:w="78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314D9440"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3,5%</w:t>
            </w:r>
          </w:p>
        </w:tc>
        <w:tc>
          <w:tcPr>
            <w:tcW w:w="858"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083D2D60"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14,3%</w:t>
            </w:r>
          </w:p>
        </w:tc>
        <w:tc>
          <w:tcPr>
            <w:tcW w:w="101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2E027259"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18,3%</w:t>
            </w:r>
          </w:p>
        </w:tc>
        <w:tc>
          <w:tcPr>
            <w:tcW w:w="103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2EE99C32" w14:textId="77777777" w:rsidR="00486149" w:rsidRPr="00117BF8" w:rsidRDefault="00486149" w:rsidP="00486149">
            <w:pPr>
              <w:pStyle w:val="TablaC"/>
              <w:rPr>
                <w:rFonts w:ascii="Arial" w:hAnsi="Arial" w:cs="Arial"/>
                <w:sz w:val="18"/>
                <w:szCs w:val="18"/>
              </w:rPr>
            </w:pPr>
          </w:p>
        </w:tc>
        <w:tc>
          <w:tcPr>
            <w:tcW w:w="858"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5319F82A"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3,20%</w:t>
            </w:r>
          </w:p>
        </w:tc>
        <w:tc>
          <w:tcPr>
            <w:tcW w:w="858"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26524078"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18,8%</w:t>
            </w:r>
          </w:p>
        </w:tc>
        <w:tc>
          <w:tcPr>
            <w:tcW w:w="1013"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3C8013EF"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22,55%</w:t>
            </w:r>
          </w:p>
        </w:tc>
        <w:tc>
          <w:tcPr>
            <w:tcW w:w="1162"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18899796"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1,07</w:t>
            </w:r>
          </w:p>
        </w:tc>
      </w:tr>
      <w:tr w:rsidR="00486149" w:rsidRPr="004E6455" w14:paraId="57F20730"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1F31AB7"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2019</w:t>
            </w:r>
          </w:p>
        </w:tc>
        <w:tc>
          <w:tcPr>
            <w:tcW w:w="78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5654A3F0"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3,5%</w:t>
            </w:r>
          </w:p>
        </w:tc>
        <w:tc>
          <w:tcPr>
            <w:tcW w:w="858"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082216A4"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8,5%</w:t>
            </w:r>
          </w:p>
        </w:tc>
        <w:tc>
          <w:tcPr>
            <w:tcW w:w="101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1ECB4D00"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12,3%</w:t>
            </w:r>
          </w:p>
        </w:tc>
        <w:tc>
          <w:tcPr>
            <w:tcW w:w="1032"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7855AE0C" w14:textId="77777777" w:rsidR="00486149" w:rsidRPr="00117BF8" w:rsidRDefault="00486149" w:rsidP="00486149">
            <w:pPr>
              <w:pStyle w:val="TablaC"/>
              <w:rPr>
                <w:rFonts w:ascii="Arial" w:hAnsi="Arial" w:cs="Arial"/>
                <w:sz w:val="18"/>
                <w:szCs w:val="18"/>
              </w:rPr>
            </w:pP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0A02F348"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3,20%</w:t>
            </w: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2E3BBA71"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12,9%</w:t>
            </w:r>
          </w:p>
        </w:tc>
        <w:tc>
          <w:tcPr>
            <w:tcW w:w="1013"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446C5E1D"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16,54%</w:t>
            </w:r>
          </w:p>
        </w:tc>
        <w:tc>
          <w:tcPr>
            <w:tcW w:w="1162"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0C6348F1"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1,03</w:t>
            </w:r>
          </w:p>
        </w:tc>
      </w:tr>
      <w:tr w:rsidR="00486149" w:rsidRPr="004E6455" w14:paraId="0914FB16"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B0A9AC5"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2020</w:t>
            </w:r>
          </w:p>
        </w:tc>
        <w:tc>
          <w:tcPr>
            <w:tcW w:w="78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60E06BB4"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3,5%</w:t>
            </w:r>
          </w:p>
        </w:tc>
        <w:tc>
          <w:tcPr>
            <w:tcW w:w="858"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1C90C736"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6,1%</w:t>
            </w:r>
          </w:p>
        </w:tc>
        <w:tc>
          <w:tcPr>
            <w:tcW w:w="101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79372EE4"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9,8%</w:t>
            </w:r>
          </w:p>
        </w:tc>
        <w:tc>
          <w:tcPr>
            <w:tcW w:w="103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550EDD95"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1,00</w:t>
            </w:r>
          </w:p>
        </w:tc>
        <w:tc>
          <w:tcPr>
            <w:tcW w:w="858"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3657879A"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2,97%</w:t>
            </w:r>
          </w:p>
        </w:tc>
        <w:tc>
          <w:tcPr>
            <w:tcW w:w="858"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56F9FD0E"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9,3%</w:t>
            </w:r>
          </w:p>
        </w:tc>
        <w:tc>
          <w:tcPr>
            <w:tcW w:w="1013"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4F6DE152" w14:textId="77777777" w:rsidR="00584E1F" w:rsidRPr="00117BF8" w:rsidRDefault="00486149" w:rsidP="00B879FE">
            <w:pPr>
              <w:pStyle w:val="TablaC"/>
              <w:rPr>
                <w:rFonts w:ascii="Arial" w:hAnsi="Arial" w:cs="Arial"/>
                <w:sz w:val="18"/>
                <w:szCs w:val="18"/>
              </w:rPr>
            </w:pPr>
            <w:r w:rsidRPr="00117BF8">
              <w:rPr>
                <w:rFonts w:ascii="Arial" w:hAnsi="Arial" w:cs="Arial"/>
                <w:sz w:val="18"/>
                <w:szCs w:val="18"/>
              </w:rPr>
              <w:t>12,5</w:t>
            </w:r>
            <w:r w:rsidR="00B879FE" w:rsidRPr="00117BF8">
              <w:rPr>
                <w:rFonts w:ascii="Arial" w:hAnsi="Arial" w:cs="Arial"/>
                <w:sz w:val="18"/>
                <w:szCs w:val="18"/>
              </w:rPr>
              <w:t>1</w:t>
            </w:r>
            <w:r w:rsidRPr="00117BF8">
              <w:rPr>
                <w:rFonts w:ascii="Arial" w:hAnsi="Arial" w:cs="Arial"/>
                <w:sz w:val="18"/>
                <w:szCs w:val="18"/>
              </w:rPr>
              <w:t>%</w:t>
            </w:r>
          </w:p>
        </w:tc>
        <w:tc>
          <w:tcPr>
            <w:tcW w:w="1162"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4569DB75"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1,00</w:t>
            </w:r>
          </w:p>
        </w:tc>
      </w:tr>
      <w:tr w:rsidR="00486149" w:rsidRPr="004E6455" w14:paraId="13A6E29A"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4F13DD5"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2021</w:t>
            </w:r>
          </w:p>
        </w:tc>
        <w:tc>
          <w:tcPr>
            <w:tcW w:w="78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35DDC8C1"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3,5%</w:t>
            </w:r>
          </w:p>
        </w:tc>
        <w:tc>
          <w:tcPr>
            <w:tcW w:w="858"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186B6CAE"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4,5%</w:t>
            </w:r>
          </w:p>
        </w:tc>
        <w:tc>
          <w:tcPr>
            <w:tcW w:w="101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6C351D82"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8,2%</w:t>
            </w:r>
          </w:p>
        </w:tc>
        <w:tc>
          <w:tcPr>
            <w:tcW w:w="1032"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4CB9FD4F"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1,00</w:t>
            </w: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1637ADEC"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2,97%</w:t>
            </w: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7117F1A0" w14:textId="77777777" w:rsidR="00584E1F" w:rsidRPr="00117BF8" w:rsidRDefault="00486149" w:rsidP="00B879FE">
            <w:pPr>
              <w:pStyle w:val="TablaC"/>
              <w:rPr>
                <w:rFonts w:ascii="Arial" w:hAnsi="Arial" w:cs="Arial"/>
                <w:sz w:val="18"/>
                <w:szCs w:val="18"/>
              </w:rPr>
            </w:pPr>
            <w:r w:rsidRPr="00117BF8">
              <w:rPr>
                <w:rFonts w:ascii="Arial" w:hAnsi="Arial" w:cs="Arial"/>
                <w:sz w:val="18"/>
                <w:szCs w:val="18"/>
              </w:rPr>
              <w:t>6,</w:t>
            </w:r>
            <w:r w:rsidR="00B879FE" w:rsidRPr="00117BF8">
              <w:rPr>
                <w:rFonts w:ascii="Arial" w:hAnsi="Arial" w:cs="Arial"/>
                <w:sz w:val="18"/>
                <w:szCs w:val="18"/>
              </w:rPr>
              <w:t>3</w:t>
            </w:r>
            <w:r w:rsidRPr="00117BF8">
              <w:rPr>
                <w:rFonts w:ascii="Arial" w:hAnsi="Arial" w:cs="Arial"/>
                <w:sz w:val="18"/>
                <w:szCs w:val="18"/>
              </w:rPr>
              <w:t>%</w:t>
            </w:r>
          </w:p>
        </w:tc>
        <w:tc>
          <w:tcPr>
            <w:tcW w:w="1013"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3E9D7E7C" w14:textId="77777777" w:rsidR="00584E1F" w:rsidRPr="00117BF8" w:rsidRDefault="00B879FE" w:rsidP="00B879FE">
            <w:pPr>
              <w:pStyle w:val="TablaC"/>
              <w:rPr>
                <w:rFonts w:ascii="Arial" w:hAnsi="Arial" w:cs="Arial"/>
                <w:sz w:val="18"/>
                <w:szCs w:val="18"/>
              </w:rPr>
            </w:pPr>
            <w:r w:rsidRPr="00117BF8">
              <w:rPr>
                <w:rFonts w:ascii="Arial" w:hAnsi="Arial" w:cs="Arial"/>
                <w:sz w:val="18"/>
                <w:szCs w:val="18"/>
              </w:rPr>
              <w:t>9,49</w:t>
            </w:r>
            <w:r w:rsidR="00486149" w:rsidRPr="00117BF8">
              <w:rPr>
                <w:rFonts w:ascii="Arial" w:hAnsi="Arial" w:cs="Arial"/>
                <w:sz w:val="18"/>
                <w:szCs w:val="18"/>
              </w:rPr>
              <w:t>%</w:t>
            </w:r>
          </w:p>
        </w:tc>
        <w:tc>
          <w:tcPr>
            <w:tcW w:w="1162"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3B0A4286"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1,00</w:t>
            </w:r>
          </w:p>
        </w:tc>
      </w:tr>
      <w:tr w:rsidR="00486149" w:rsidRPr="004E6455" w14:paraId="6760E932"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44FF235"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2022</w:t>
            </w:r>
          </w:p>
        </w:tc>
        <w:tc>
          <w:tcPr>
            <w:tcW w:w="78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0A0BA0F1"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3,5%</w:t>
            </w:r>
          </w:p>
        </w:tc>
        <w:tc>
          <w:tcPr>
            <w:tcW w:w="858"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7B29EE2D"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4,5%</w:t>
            </w:r>
          </w:p>
        </w:tc>
        <w:tc>
          <w:tcPr>
            <w:tcW w:w="101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12A33022"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8,2%</w:t>
            </w:r>
          </w:p>
        </w:tc>
        <w:tc>
          <w:tcPr>
            <w:tcW w:w="103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197A3E87"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1,00</w:t>
            </w:r>
          </w:p>
        </w:tc>
        <w:tc>
          <w:tcPr>
            <w:tcW w:w="858"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01BD8109"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2,97%</w:t>
            </w:r>
          </w:p>
        </w:tc>
        <w:tc>
          <w:tcPr>
            <w:tcW w:w="858"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5E0BEE64"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4,5%</w:t>
            </w:r>
          </w:p>
        </w:tc>
        <w:tc>
          <w:tcPr>
            <w:tcW w:w="1013"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0AC54E0C"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7,60%</w:t>
            </w:r>
          </w:p>
        </w:tc>
        <w:tc>
          <w:tcPr>
            <w:tcW w:w="1162"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4E4FD310"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1,00</w:t>
            </w:r>
          </w:p>
        </w:tc>
      </w:tr>
      <w:tr w:rsidR="00486149" w:rsidRPr="004E6455" w14:paraId="0FB27F73"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BDF21F2" w14:textId="77777777" w:rsidR="00486149" w:rsidRPr="00117BF8" w:rsidRDefault="009F4F22" w:rsidP="00486149">
            <w:pPr>
              <w:pStyle w:val="TablaC"/>
              <w:rPr>
                <w:rFonts w:ascii="Arial" w:hAnsi="Arial" w:cs="Arial"/>
                <w:sz w:val="18"/>
                <w:szCs w:val="18"/>
              </w:rPr>
            </w:pPr>
            <w:r w:rsidRPr="00117BF8">
              <w:rPr>
                <w:rFonts w:ascii="Arial" w:hAnsi="Arial" w:cs="Arial"/>
                <w:sz w:val="18"/>
                <w:szCs w:val="18"/>
              </w:rPr>
              <w:t>…</w:t>
            </w:r>
          </w:p>
        </w:tc>
        <w:tc>
          <w:tcPr>
            <w:tcW w:w="78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0A260148" w14:textId="77777777" w:rsidR="00486149" w:rsidRPr="00117BF8" w:rsidRDefault="00486149" w:rsidP="00486149">
            <w:pPr>
              <w:pStyle w:val="TablaC"/>
              <w:rPr>
                <w:rFonts w:ascii="Arial" w:hAnsi="Arial" w:cs="Arial"/>
                <w:sz w:val="18"/>
                <w:szCs w:val="18"/>
              </w:rPr>
            </w:pPr>
          </w:p>
        </w:tc>
        <w:tc>
          <w:tcPr>
            <w:tcW w:w="858"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6F0BDBC1" w14:textId="77777777" w:rsidR="00486149" w:rsidRPr="00117BF8" w:rsidRDefault="00486149" w:rsidP="00486149">
            <w:pPr>
              <w:pStyle w:val="TablaC"/>
              <w:rPr>
                <w:rFonts w:ascii="Arial" w:hAnsi="Arial" w:cs="Arial"/>
                <w:sz w:val="18"/>
                <w:szCs w:val="18"/>
              </w:rPr>
            </w:pPr>
          </w:p>
        </w:tc>
        <w:tc>
          <w:tcPr>
            <w:tcW w:w="1013"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34FA6896" w14:textId="77777777" w:rsidR="00486149" w:rsidRPr="00117BF8" w:rsidRDefault="00486149" w:rsidP="00486149">
            <w:pPr>
              <w:pStyle w:val="TablaC"/>
              <w:rPr>
                <w:rFonts w:ascii="Arial" w:hAnsi="Arial" w:cs="Arial"/>
                <w:sz w:val="18"/>
                <w:szCs w:val="18"/>
              </w:rPr>
            </w:pPr>
          </w:p>
        </w:tc>
        <w:tc>
          <w:tcPr>
            <w:tcW w:w="1032" w:type="dxa"/>
            <w:tcBorders>
              <w:top w:val="single" w:sz="8" w:space="0" w:color="FFFFFF"/>
              <w:left w:val="single" w:sz="8" w:space="0" w:color="FFFFFF"/>
              <w:bottom w:val="single" w:sz="8" w:space="0" w:color="FFFFFF"/>
              <w:right w:val="single" w:sz="8" w:space="0" w:color="FFFFFF"/>
            </w:tcBorders>
            <w:shd w:val="clear" w:color="auto" w:fill="C3D69B"/>
            <w:tcMar>
              <w:top w:w="15" w:type="dxa"/>
              <w:left w:w="15" w:type="dxa"/>
              <w:bottom w:w="0" w:type="dxa"/>
              <w:right w:w="15" w:type="dxa"/>
            </w:tcMar>
            <w:vAlign w:val="bottom"/>
            <w:hideMark/>
          </w:tcPr>
          <w:p w14:paraId="058B0482" w14:textId="77777777" w:rsidR="00486149" w:rsidRPr="00117BF8" w:rsidRDefault="00486149" w:rsidP="00486149">
            <w:pPr>
              <w:pStyle w:val="TablaC"/>
              <w:rPr>
                <w:rFonts w:ascii="Arial" w:hAnsi="Arial" w:cs="Arial"/>
                <w:sz w:val="18"/>
                <w:szCs w:val="18"/>
              </w:rPr>
            </w:pP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4138A3AD" w14:textId="77777777" w:rsidR="00486149" w:rsidRPr="00117BF8" w:rsidRDefault="00486149" w:rsidP="00486149">
            <w:pPr>
              <w:pStyle w:val="TablaC"/>
              <w:rPr>
                <w:rFonts w:ascii="Arial" w:hAnsi="Arial" w:cs="Arial"/>
                <w:sz w:val="18"/>
                <w:szCs w:val="18"/>
              </w:rPr>
            </w:pPr>
          </w:p>
        </w:tc>
        <w:tc>
          <w:tcPr>
            <w:tcW w:w="858"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34EC0362" w14:textId="77777777" w:rsidR="00486149" w:rsidRPr="00117BF8" w:rsidRDefault="00486149" w:rsidP="00486149">
            <w:pPr>
              <w:pStyle w:val="TablaC"/>
              <w:rPr>
                <w:rFonts w:ascii="Arial" w:hAnsi="Arial" w:cs="Arial"/>
                <w:sz w:val="18"/>
                <w:szCs w:val="18"/>
              </w:rPr>
            </w:pPr>
          </w:p>
        </w:tc>
        <w:tc>
          <w:tcPr>
            <w:tcW w:w="1013"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5D4A90C7" w14:textId="77777777" w:rsidR="00486149" w:rsidRPr="00117BF8" w:rsidRDefault="00486149" w:rsidP="00486149">
            <w:pPr>
              <w:pStyle w:val="TablaC"/>
              <w:rPr>
                <w:rFonts w:ascii="Arial" w:hAnsi="Arial" w:cs="Arial"/>
                <w:sz w:val="18"/>
                <w:szCs w:val="18"/>
              </w:rPr>
            </w:pPr>
          </w:p>
        </w:tc>
        <w:tc>
          <w:tcPr>
            <w:tcW w:w="1162" w:type="dxa"/>
            <w:tcBorders>
              <w:top w:val="single" w:sz="8" w:space="0" w:color="FFFFFF"/>
              <w:left w:val="single" w:sz="8" w:space="0" w:color="FFFFFF"/>
              <w:bottom w:val="single" w:sz="8" w:space="0" w:color="FFFFFF"/>
              <w:right w:val="single" w:sz="8" w:space="0" w:color="FFFFFF"/>
            </w:tcBorders>
            <w:shd w:val="clear" w:color="auto" w:fill="FAC090"/>
            <w:tcMar>
              <w:top w:w="15" w:type="dxa"/>
              <w:left w:w="15" w:type="dxa"/>
              <w:bottom w:w="0" w:type="dxa"/>
              <w:right w:w="15" w:type="dxa"/>
            </w:tcMar>
            <w:vAlign w:val="bottom"/>
            <w:hideMark/>
          </w:tcPr>
          <w:p w14:paraId="10A11BC1" w14:textId="77777777" w:rsidR="00486149" w:rsidRPr="00117BF8" w:rsidRDefault="00486149" w:rsidP="00486149">
            <w:pPr>
              <w:pStyle w:val="TablaC"/>
              <w:rPr>
                <w:rFonts w:ascii="Arial" w:hAnsi="Arial" w:cs="Arial"/>
                <w:sz w:val="18"/>
                <w:szCs w:val="18"/>
              </w:rPr>
            </w:pPr>
          </w:p>
        </w:tc>
      </w:tr>
      <w:tr w:rsidR="00486149" w:rsidRPr="004E6455" w14:paraId="3A95363A" w14:textId="77777777" w:rsidTr="00D27722">
        <w:trPr>
          <w:trHeight w:val="423"/>
        </w:trPr>
        <w:tc>
          <w:tcPr>
            <w:tcW w:w="58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DD02B6E"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2028</w:t>
            </w:r>
          </w:p>
        </w:tc>
        <w:tc>
          <w:tcPr>
            <w:tcW w:w="78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461EEDD5"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3,5%</w:t>
            </w:r>
          </w:p>
        </w:tc>
        <w:tc>
          <w:tcPr>
            <w:tcW w:w="858"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2B96DA2C"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4,5%</w:t>
            </w:r>
          </w:p>
        </w:tc>
        <w:tc>
          <w:tcPr>
            <w:tcW w:w="101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553CA300"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8,2%</w:t>
            </w:r>
          </w:p>
        </w:tc>
        <w:tc>
          <w:tcPr>
            <w:tcW w:w="103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bottom"/>
            <w:hideMark/>
          </w:tcPr>
          <w:p w14:paraId="124608C0"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1,00</w:t>
            </w:r>
          </w:p>
        </w:tc>
        <w:tc>
          <w:tcPr>
            <w:tcW w:w="858"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23CA67BF"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2,97%</w:t>
            </w:r>
          </w:p>
        </w:tc>
        <w:tc>
          <w:tcPr>
            <w:tcW w:w="858"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26FAD47E"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4,5%</w:t>
            </w:r>
          </w:p>
        </w:tc>
        <w:tc>
          <w:tcPr>
            <w:tcW w:w="1013"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7FB6B1E6"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7,6%</w:t>
            </w:r>
          </w:p>
        </w:tc>
        <w:tc>
          <w:tcPr>
            <w:tcW w:w="1162" w:type="dxa"/>
            <w:tcBorders>
              <w:top w:val="single" w:sz="8" w:space="0" w:color="FFFFFF"/>
              <w:left w:val="single" w:sz="8" w:space="0" w:color="FFFFFF"/>
              <w:bottom w:val="single" w:sz="8" w:space="0" w:color="FFFFFF"/>
              <w:right w:val="single" w:sz="8" w:space="0" w:color="FFFFFF"/>
            </w:tcBorders>
            <w:shd w:val="clear" w:color="auto" w:fill="FDEADA"/>
            <w:tcMar>
              <w:top w:w="15" w:type="dxa"/>
              <w:left w:w="15" w:type="dxa"/>
              <w:bottom w:w="0" w:type="dxa"/>
              <w:right w:w="15" w:type="dxa"/>
            </w:tcMar>
            <w:vAlign w:val="bottom"/>
            <w:hideMark/>
          </w:tcPr>
          <w:p w14:paraId="1ED3B360" w14:textId="77777777" w:rsidR="00584E1F" w:rsidRPr="00117BF8" w:rsidRDefault="00486149" w:rsidP="00486149">
            <w:pPr>
              <w:pStyle w:val="TablaC"/>
              <w:rPr>
                <w:rFonts w:ascii="Arial" w:hAnsi="Arial" w:cs="Arial"/>
                <w:sz w:val="18"/>
                <w:szCs w:val="18"/>
              </w:rPr>
            </w:pPr>
            <w:r w:rsidRPr="00117BF8">
              <w:rPr>
                <w:rFonts w:ascii="Arial" w:hAnsi="Arial" w:cs="Arial"/>
                <w:sz w:val="18"/>
                <w:szCs w:val="18"/>
              </w:rPr>
              <w:t>1,00</w:t>
            </w:r>
          </w:p>
        </w:tc>
      </w:tr>
    </w:tbl>
    <w:p w14:paraId="094E2C6F" w14:textId="07AB2A21" w:rsidR="00486149" w:rsidRPr="00117BF8" w:rsidRDefault="009F4F22" w:rsidP="00716F81">
      <w:pPr>
        <w:pStyle w:val="Hfuente"/>
        <w:rPr>
          <w:rFonts w:ascii="Arial" w:hAnsi="Arial" w:cs="Arial"/>
          <w:sz w:val="18"/>
          <w:szCs w:val="18"/>
        </w:rPr>
      </w:pPr>
      <w:r w:rsidRPr="00117BF8">
        <w:rPr>
          <w:rFonts w:ascii="Arial" w:hAnsi="Arial" w:cs="Arial"/>
          <w:sz w:val="18"/>
          <w:szCs w:val="18"/>
        </w:rPr>
        <w:t>(*)La inflación se calcula como el promedio entre la inflación punta a punta del año corriente con el año previo.</w:t>
      </w:r>
    </w:p>
    <w:p w14:paraId="170B5E3E" w14:textId="77777777" w:rsidR="00486149" w:rsidRPr="00117BF8" w:rsidRDefault="00D27722" w:rsidP="00486149">
      <w:pPr>
        <w:pStyle w:val="hsa"/>
        <w:rPr>
          <w:rFonts w:ascii="Arial" w:hAnsi="Arial" w:cs="Arial"/>
          <w:sz w:val="22"/>
          <w:szCs w:val="22"/>
        </w:rPr>
      </w:pPr>
      <w:r w:rsidRPr="00117BF8">
        <w:rPr>
          <w:rFonts w:ascii="Arial" w:hAnsi="Arial" w:cs="Arial"/>
          <w:sz w:val="22"/>
          <w:szCs w:val="22"/>
        </w:rPr>
        <w:t>Las razones de las diferencias se explican a continuación.</w:t>
      </w:r>
    </w:p>
    <w:p w14:paraId="2A2B21AE" w14:textId="77777777" w:rsidR="00691361" w:rsidRPr="00117BF8" w:rsidRDefault="00691361" w:rsidP="00D80F71">
      <w:pPr>
        <w:pStyle w:val="hsa"/>
        <w:rPr>
          <w:rFonts w:ascii="Arial" w:hAnsi="Arial" w:cs="Arial"/>
          <w:sz w:val="22"/>
          <w:szCs w:val="22"/>
        </w:rPr>
      </w:pPr>
      <w:r w:rsidRPr="00117BF8">
        <w:rPr>
          <w:rFonts w:ascii="Arial" w:hAnsi="Arial" w:cs="Arial"/>
          <w:b/>
          <w:sz w:val="22"/>
          <w:szCs w:val="22"/>
          <w:u w:val="single"/>
        </w:rPr>
        <w:t>Proyecciones del PIB</w:t>
      </w:r>
      <w:r w:rsidR="00D80F71" w:rsidRPr="00117BF8">
        <w:rPr>
          <w:rFonts w:ascii="Arial" w:hAnsi="Arial" w:cs="Arial"/>
          <w:b/>
          <w:sz w:val="22"/>
          <w:szCs w:val="22"/>
          <w:u w:val="single"/>
        </w:rPr>
        <w:t>:</w:t>
      </w:r>
      <w:r w:rsidR="00D80F71" w:rsidRPr="00117BF8">
        <w:rPr>
          <w:rFonts w:ascii="Arial" w:hAnsi="Arial" w:cs="Arial"/>
          <w:sz w:val="22"/>
          <w:szCs w:val="22"/>
        </w:rPr>
        <w:t xml:space="preserve"> </w:t>
      </w:r>
      <w:r w:rsidRPr="00117BF8">
        <w:rPr>
          <w:rFonts w:ascii="Arial" w:hAnsi="Arial" w:cs="Arial"/>
          <w:sz w:val="22"/>
          <w:szCs w:val="22"/>
        </w:rPr>
        <w:t xml:space="preserve">La Provincia proyecta el PBG con iguales niveles al PIB. </w:t>
      </w:r>
      <w:r w:rsidR="00D27722" w:rsidRPr="00117BF8">
        <w:rPr>
          <w:rFonts w:ascii="Arial" w:hAnsi="Arial" w:cs="Arial"/>
          <w:sz w:val="22"/>
          <w:szCs w:val="22"/>
        </w:rPr>
        <w:t xml:space="preserve">Para las proyecciones alternativas se sigue igual criterio respecto de asimilar el PBG al PIB nacional, pero se han modificado las hipótesis </w:t>
      </w:r>
      <w:r w:rsidR="00545BE7" w:rsidRPr="00117BF8">
        <w:rPr>
          <w:rFonts w:ascii="Arial" w:hAnsi="Arial" w:cs="Arial"/>
          <w:sz w:val="22"/>
          <w:szCs w:val="22"/>
        </w:rPr>
        <w:t xml:space="preserve">sobre su evolución. </w:t>
      </w:r>
      <w:r w:rsidRPr="00117BF8">
        <w:rPr>
          <w:rFonts w:ascii="Arial" w:hAnsi="Arial" w:cs="Arial"/>
          <w:sz w:val="22"/>
          <w:szCs w:val="22"/>
        </w:rPr>
        <w:t xml:space="preserve">Se construyó una proyección alternativa que combina la </w:t>
      </w:r>
      <w:r w:rsidR="00545BE7" w:rsidRPr="00117BF8">
        <w:rPr>
          <w:rFonts w:ascii="Arial" w:hAnsi="Arial" w:cs="Arial"/>
          <w:sz w:val="22"/>
          <w:szCs w:val="22"/>
        </w:rPr>
        <w:t>estimación</w:t>
      </w:r>
      <w:r w:rsidRPr="00117BF8">
        <w:rPr>
          <w:rFonts w:ascii="Arial" w:hAnsi="Arial" w:cs="Arial"/>
          <w:sz w:val="22"/>
          <w:szCs w:val="22"/>
        </w:rPr>
        <w:t xml:space="preserve"> del </w:t>
      </w:r>
      <w:r w:rsidR="003024E7" w:rsidRPr="00117BF8">
        <w:rPr>
          <w:rFonts w:ascii="Arial" w:hAnsi="Arial" w:cs="Arial"/>
          <w:sz w:val="22"/>
          <w:szCs w:val="22"/>
        </w:rPr>
        <w:t>BM</w:t>
      </w:r>
      <w:r w:rsidRPr="00117BF8">
        <w:rPr>
          <w:rFonts w:ascii="Arial" w:hAnsi="Arial" w:cs="Arial"/>
          <w:sz w:val="22"/>
          <w:szCs w:val="22"/>
        </w:rPr>
        <w:t xml:space="preserve"> para los años 2017 a 2019 </w:t>
      </w:r>
      <w:r w:rsidR="00545BE7" w:rsidRPr="00117BF8">
        <w:rPr>
          <w:rFonts w:ascii="Arial" w:hAnsi="Arial" w:cs="Arial"/>
          <w:sz w:val="22"/>
          <w:szCs w:val="22"/>
        </w:rPr>
        <w:t xml:space="preserve">y para los siguientes se considera 2,97% anual que es </w:t>
      </w:r>
      <w:r w:rsidRPr="00117BF8">
        <w:rPr>
          <w:rFonts w:ascii="Arial" w:hAnsi="Arial" w:cs="Arial"/>
          <w:sz w:val="22"/>
          <w:szCs w:val="22"/>
        </w:rPr>
        <w:t>el promedio de la media móvil para los últimos 10 años del período 1993/2016. Los resultados se indican en el gráfico que sigue:</w:t>
      </w:r>
    </w:p>
    <w:p w14:paraId="53B7C9AE" w14:textId="77777777" w:rsidR="00D01429" w:rsidRPr="00117BF8" w:rsidRDefault="005F6AD9" w:rsidP="00117BF8">
      <w:pPr>
        <w:pStyle w:val="hsa3"/>
        <w:spacing w:after="120"/>
        <w:jc w:val="center"/>
        <w:rPr>
          <w:rFonts w:ascii="Arial" w:hAnsi="Arial" w:cs="Arial"/>
          <w:sz w:val="20"/>
        </w:rPr>
      </w:pPr>
      <w:bookmarkStart w:id="120" w:name="_Toc493781707"/>
      <w:r w:rsidRPr="00117BF8">
        <w:rPr>
          <w:rFonts w:ascii="Arial" w:hAnsi="Arial" w:cs="Arial"/>
          <w:sz w:val="20"/>
        </w:rPr>
        <w:t>Gráfico 16</w:t>
      </w:r>
      <w:r w:rsidR="00D01429" w:rsidRPr="00117BF8">
        <w:rPr>
          <w:rFonts w:ascii="Arial" w:hAnsi="Arial" w:cs="Arial"/>
          <w:sz w:val="20"/>
        </w:rPr>
        <w:t xml:space="preserve"> – Proyecciones PBI </w:t>
      </w:r>
      <w:r w:rsidR="003024E7" w:rsidRPr="00117BF8">
        <w:rPr>
          <w:rFonts w:ascii="Arial" w:hAnsi="Arial" w:cs="Arial"/>
          <w:sz w:val="20"/>
        </w:rPr>
        <w:t>–</w:t>
      </w:r>
      <w:r w:rsidR="00D01429" w:rsidRPr="00117BF8">
        <w:rPr>
          <w:rFonts w:ascii="Arial" w:hAnsi="Arial" w:cs="Arial"/>
          <w:sz w:val="20"/>
        </w:rPr>
        <w:t xml:space="preserve"> Alternativas</w:t>
      </w:r>
      <w:bookmarkEnd w:id="120"/>
    </w:p>
    <w:p w14:paraId="4CC0FE43" w14:textId="77777777" w:rsidR="00691361" w:rsidRPr="00117BF8" w:rsidRDefault="00117BF8" w:rsidP="00D80F71">
      <w:pPr>
        <w:pStyle w:val="hsa"/>
        <w:rPr>
          <w:rFonts w:ascii="Arial" w:hAnsi="Arial" w:cs="Arial"/>
          <w:sz w:val="18"/>
          <w:szCs w:val="18"/>
        </w:rPr>
      </w:pPr>
      <w:r w:rsidRPr="00117BF8">
        <w:rPr>
          <w:rFonts w:ascii="Arial" w:hAnsi="Arial" w:cs="Arial"/>
        </w:rPr>
        <w:pict w14:anchorId="2BBC64DF">
          <v:shape id="_x0000_i1046" type="#_x0000_t75" style="width:424.5pt;height:276.75pt">
            <v:imagedata r:id="rId50" o:title=""/>
          </v:shape>
        </w:pict>
      </w:r>
      <w:r w:rsidR="00BA78F0" w:rsidRPr="00117BF8">
        <w:rPr>
          <w:rFonts w:ascii="Arial" w:hAnsi="Arial" w:cs="Arial"/>
          <w:sz w:val="20"/>
        </w:rPr>
        <w:t xml:space="preserve"> </w:t>
      </w:r>
      <w:r w:rsidR="00BA78F0" w:rsidRPr="00117BF8">
        <w:rPr>
          <w:rFonts w:ascii="Arial" w:hAnsi="Arial" w:cs="Arial"/>
          <w:sz w:val="18"/>
          <w:szCs w:val="18"/>
        </w:rPr>
        <w:t>Elaboración Propia en base a las proyecciones de la Provincia y datos del INDEC, BM, REM.</w:t>
      </w:r>
    </w:p>
    <w:p w14:paraId="23C64776" w14:textId="77777777" w:rsidR="00D80F71" w:rsidRPr="00117BF8" w:rsidRDefault="00D01429" w:rsidP="00D80F71">
      <w:pPr>
        <w:pStyle w:val="hsa"/>
        <w:rPr>
          <w:rFonts w:ascii="Arial" w:hAnsi="Arial" w:cs="Arial"/>
          <w:sz w:val="22"/>
          <w:szCs w:val="22"/>
        </w:rPr>
      </w:pPr>
      <w:r w:rsidRPr="00117BF8">
        <w:rPr>
          <w:rFonts w:ascii="Arial" w:hAnsi="Arial" w:cs="Arial"/>
          <w:sz w:val="22"/>
          <w:szCs w:val="22"/>
        </w:rPr>
        <w:t>En el gráfico precedente se ilustra la proyección de la provincia que es el valor máximo</w:t>
      </w:r>
      <w:r w:rsidR="00A615D4" w:rsidRPr="00117BF8">
        <w:rPr>
          <w:rFonts w:ascii="Arial" w:hAnsi="Arial" w:cs="Arial"/>
          <w:sz w:val="22"/>
          <w:szCs w:val="22"/>
        </w:rPr>
        <w:t>;</w:t>
      </w:r>
      <w:r w:rsidRPr="00117BF8">
        <w:rPr>
          <w:rFonts w:ascii="Arial" w:hAnsi="Arial" w:cs="Arial"/>
          <w:sz w:val="22"/>
          <w:szCs w:val="22"/>
        </w:rPr>
        <w:t xml:space="preserve"> la tasa promedio de crecimiento 1993/2016</w:t>
      </w:r>
      <w:r w:rsidRPr="00117BF8">
        <w:rPr>
          <w:rStyle w:val="FootnoteReference"/>
          <w:rFonts w:ascii="Arial" w:hAnsi="Arial" w:cs="Arial"/>
          <w:sz w:val="22"/>
          <w:szCs w:val="22"/>
        </w:rPr>
        <w:footnoteReference w:id="26"/>
      </w:r>
      <w:r w:rsidR="00C63D5F" w:rsidRPr="00117BF8">
        <w:rPr>
          <w:rFonts w:ascii="Arial" w:hAnsi="Arial" w:cs="Arial"/>
          <w:sz w:val="22"/>
          <w:szCs w:val="22"/>
        </w:rPr>
        <w:t xml:space="preserve"> es el valor mínimo</w:t>
      </w:r>
      <w:r w:rsidR="00A615D4" w:rsidRPr="00117BF8">
        <w:rPr>
          <w:rFonts w:ascii="Arial" w:hAnsi="Arial" w:cs="Arial"/>
          <w:sz w:val="22"/>
          <w:szCs w:val="22"/>
        </w:rPr>
        <w:t xml:space="preserve">; </w:t>
      </w:r>
      <w:r w:rsidR="00C63D5F" w:rsidRPr="00117BF8">
        <w:rPr>
          <w:rFonts w:ascii="Arial" w:hAnsi="Arial" w:cs="Arial"/>
          <w:sz w:val="22"/>
          <w:szCs w:val="22"/>
        </w:rPr>
        <w:t xml:space="preserve">la tasa promedio de períodos móviles de 10 años </w:t>
      </w:r>
      <w:r w:rsidR="00A615D4" w:rsidRPr="00117BF8">
        <w:rPr>
          <w:rFonts w:ascii="Arial" w:hAnsi="Arial" w:cs="Arial"/>
          <w:sz w:val="22"/>
          <w:szCs w:val="22"/>
        </w:rPr>
        <w:t>(</w:t>
      </w:r>
      <w:r w:rsidR="00C63D5F" w:rsidRPr="00117BF8">
        <w:rPr>
          <w:rFonts w:ascii="Arial" w:hAnsi="Arial" w:cs="Arial"/>
          <w:sz w:val="22"/>
          <w:szCs w:val="22"/>
        </w:rPr>
        <w:t>2,97%</w:t>
      </w:r>
      <w:r w:rsidR="00A615D4" w:rsidRPr="00117BF8">
        <w:rPr>
          <w:rFonts w:ascii="Arial" w:hAnsi="Arial" w:cs="Arial"/>
          <w:sz w:val="22"/>
          <w:szCs w:val="22"/>
        </w:rPr>
        <w:t>)</w:t>
      </w:r>
      <w:r w:rsidR="00C63D5F" w:rsidRPr="00117BF8">
        <w:rPr>
          <w:rFonts w:ascii="Arial" w:hAnsi="Arial" w:cs="Arial"/>
          <w:sz w:val="22"/>
          <w:szCs w:val="22"/>
        </w:rPr>
        <w:t xml:space="preserve">. Esta tasa se considera en las proyecciones a partir del año 2020, para los años previos se </w:t>
      </w:r>
      <w:r w:rsidR="004B5BA0" w:rsidRPr="00117BF8">
        <w:rPr>
          <w:rFonts w:ascii="Arial" w:hAnsi="Arial" w:cs="Arial"/>
          <w:sz w:val="22"/>
          <w:szCs w:val="22"/>
        </w:rPr>
        <w:t>utilizaron</w:t>
      </w:r>
      <w:r w:rsidR="003024E7" w:rsidRPr="00117BF8">
        <w:rPr>
          <w:rFonts w:ascii="Arial" w:hAnsi="Arial" w:cs="Arial"/>
          <w:sz w:val="22"/>
          <w:szCs w:val="22"/>
        </w:rPr>
        <w:t xml:space="preserve"> las proyecciones del BM</w:t>
      </w:r>
      <w:r w:rsidR="00C63D5F" w:rsidRPr="00117BF8">
        <w:rPr>
          <w:rFonts w:ascii="Arial" w:hAnsi="Arial" w:cs="Arial"/>
          <w:sz w:val="22"/>
          <w:szCs w:val="22"/>
        </w:rPr>
        <w:t xml:space="preserve"> (2,70% para el 2017 y 3,20% para el 2018 y 2019).</w:t>
      </w:r>
    </w:p>
    <w:p w14:paraId="6A4C94B0" w14:textId="4C7BEA63" w:rsidR="00D80F71" w:rsidRPr="00117BF8" w:rsidRDefault="004F0535" w:rsidP="00D80F71">
      <w:pPr>
        <w:pStyle w:val="hsa"/>
        <w:rPr>
          <w:rFonts w:ascii="Arial" w:hAnsi="Arial" w:cs="Arial"/>
          <w:sz w:val="22"/>
          <w:szCs w:val="22"/>
        </w:rPr>
      </w:pPr>
      <w:r w:rsidRPr="00117BF8">
        <w:rPr>
          <w:rFonts w:ascii="Arial" w:hAnsi="Arial" w:cs="Arial"/>
          <w:b/>
          <w:sz w:val="22"/>
          <w:szCs w:val="22"/>
          <w:u w:val="single"/>
        </w:rPr>
        <w:t>Inflación</w:t>
      </w:r>
      <w:r w:rsidRPr="00117BF8">
        <w:rPr>
          <w:rFonts w:ascii="Arial" w:hAnsi="Arial" w:cs="Arial"/>
          <w:sz w:val="22"/>
          <w:szCs w:val="22"/>
        </w:rPr>
        <w:t xml:space="preserve">: La inflación impacta en los recursos por medio del incremento del PBG nominal y, por lo tanto, en la recaudación impositiva. </w:t>
      </w:r>
      <w:r w:rsidR="00CF312E" w:rsidRPr="00CF312E">
        <w:rPr>
          <w:rFonts w:ascii="Arial" w:hAnsi="Arial" w:cs="Arial"/>
          <w:sz w:val="22"/>
          <w:szCs w:val="22"/>
        </w:rPr>
        <w:t>Además,</w:t>
      </w:r>
      <w:r w:rsidRPr="00117BF8">
        <w:rPr>
          <w:rFonts w:ascii="Arial" w:hAnsi="Arial" w:cs="Arial"/>
          <w:sz w:val="22"/>
          <w:szCs w:val="22"/>
        </w:rPr>
        <w:t xml:space="preserve"> es determinante de la variación nominal de los gastos.</w:t>
      </w:r>
    </w:p>
    <w:p w14:paraId="16F125F1" w14:textId="77777777" w:rsidR="004F0535" w:rsidRPr="00117BF8" w:rsidRDefault="004F0535" w:rsidP="00D80F71">
      <w:pPr>
        <w:pStyle w:val="hsa"/>
        <w:rPr>
          <w:rFonts w:ascii="Arial" w:hAnsi="Arial" w:cs="Arial"/>
          <w:sz w:val="22"/>
          <w:szCs w:val="22"/>
        </w:rPr>
      </w:pPr>
      <w:r w:rsidRPr="00117BF8">
        <w:rPr>
          <w:rFonts w:ascii="Arial" w:hAnsi="Arial" w:cs="Arial"/>
          <w:sz w:val="22"/>
          <w:szCs w:val="22"/>
        </w:rPr>
        <w:t>Las proyecciones de inflaci</w:t>
      </w:r>
      <w:r w:rsidR="00D75B49" w:rsidRPr="00117BF8">
        <w:rPr>
          <w:rFonts w:ascii="Arial" w:hAnsi="Arial" w:cs="Arial"/>
          <w:sz w:val="22"/>
          <w:szCs w:val="22"/>
        </w:rPr>
        <w:t xml:space="preserve">ón </w:t>
      </w:r>
      <w:r w:rsidR="00B879FE" w:rsidRPr="00117BF8">
        <w:rPr>
          <w:rFonts w:ascii="Arial" w:hAnsi="Arial" w:cs="Arial"/>
          <w:sz w:val="22"/>
          <w:szCs w:val="22"/>
        </w:rPr>
        <w:t>se calcularon como el promedio de la inflación punta a punta del año corriente con el año previo. Para el año 2016, por falta de continuidad en la ser</w:t>
      </w:r>
      <w:r w:rsidR="009F4F22" w:rsidRPr="00117BF8">
        <w:rPr>
          <w:rFonts w:ascii="Arial" w:hAnsi="Arial" w:cs="Arial"/>
          <w:sz w:val="22"/>
          <w:szCs w:val="22"/>
        </w:rPr>
        <w:t>ie de IPC, se consideró el í</w:t>
      </w:r>
      <w:r w:rsidR="00B879FE" w:rsidRPr="00117BF8">
        <w:rPr>
          <w:rFonts w:ascii="Arial" w:hAnsi="Arial" w:cs="Arial"/>
          <w:sz w:val="22"/>
          <w:szCs w:val="22"/>
        </w:rPr>
        <w:t>ndice de precios impl</w:t>
      </w:r>
      <w:r w:rsidR="009F4F22" w:rsidRPr="00117BF8">
        <w:rPr>
          <w:rFonts w:ascii="Arial" w:hAnsi="Arial" w:cs="Arial"/>
          <w:sz w:val="22"/>
          <w:szCs w:val="22"/>
        </w:rPr>
        <w:t>ícitos del P</w:t>
      </w:r>
      <w:r w:rsidR="00526DE1" w:rsidRPr="00117BF8">
        <w:rPr>
          <w:rFonts w:ascii="Arial" w:hAnsi="Arial" w:cs="Arial"/>
          <w:sz w:val="22"/>
          <w:szCs w:val="22"/>
        </w:rPr>
        <w:t>IB,</w:t>
      </w:r>
      <w:r w:rsidR="00526DE1" w:rsidRPr="00117BF8">
        <w:rPr>
          <w:rStyle w:val="FootnoteReference"/>
          <w:rFonts w:ascii="Arial" w:hAnsi="Arial" w:cs="Arial"/>
          <w:sz w:val="22"/>
          <w:szCs w:val="22"/>
        </w:rPr>
        <w:footnoteReference w:id="27"/>
      </w:r>
      <w:r w:rsidR="00526DE1" w:rsidRPr="00117BF8">
        <w:rPr>
          <w:rFonts w:ascii="Arial" w:hAnsi="Arial" w:cs="Arial"/>
          <w:sz w:val="22"/>
          <w:szCs w:val="22"/>
        </w:rPr>
        <w:t xml:space="preserve"> para los años 2017 a 2019 las estimaciones publicadas en el REM (Versión Julio 2017) y para los años siguientes una proyección propia que converge con la realizada por la Provincia.</w:t>
      </w:r>
    </w:p>
    <w:tbl>
      <w:tblPr>
        <w:tblW w:w="3858"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142"/>
        <w:gridCol w:w="1716"/>
      </w:tblGrid>
      <w:tr w:rsidR="009F4F22" w:rsidRPr="004E6455" w14:paraId="75F2952B" w14:textId="77777777" w:rsidTr="005C7F8A">
        <w:trPr>
          <w:trHeight w:val="300"/>
          <w:jc w:val="center"/>
        </w:trPr>
        <w:tc>
          <w:tcPr>
            <w:tcW w:w="3858" w:type="dxa"/>
            <w:gridSpan w:val="2"/>
            <w:tcBorders>
              <w:top w:val="single" w:sz="8" w:space="0" w:color="7BA0CD"/>
              <w:left w:val="single" w:sz="8" w:space="0" w:color="7BA0CD"/>
              <w:bottom w:val="single" w:sz="8" w:space="0" w:color="7BA0CD"/>
              <w:right w:val="single" w:sz="8" w:space="0" w:color="7BA0CD"/>
            </w:tcBorders>
            <w:shd w:val="clear" w:color="auto" w:fill="0070C0"/>
            <w:noWrap/>
          </w:tcPr>
          <w:p w14:paraId="624E6E83" w14:textId="48DBACDC" w:rsidR="009F4F22" w:rsidRPr="00117BF8" w:rsidRDefault="009F4F22" w:rsidP="00883677">
            <w:pPr>
              <w:pStyle w:val="TablaT"/>
              <w:rPr>
                <w:rFonts w:ascii="Arial" w:hAnsi="Arial" w:cs="Arial"/>
                <w:sz w:val="22"/>
                <w:szCs w:val="22"/>
              </w:rPr>
            </w:pPr>
            <w:bookmarkStart w:id="121" w:name="_Toc493861154"/>
            <w:r w:rsidRPr="00117BF8">
              <w:rPr>
                <w:rFonts w:ascii="Arial" w:hAnsi="Arial" w:cs="Arial"/>
                <w:sz w:val="22"/>
                <w:szCs w:val="22"/>
              </w:rPr>
              <w:t xml:space="preserve">Tabla </w:t>
            </w:r>
            <w:r w:rsidR="0069589D" w:rsidRPr="00117BF8">
              <w:rPr>
                <w:rFonts w:ascii="Arial" w:hAnsi="Arial" w:cs="Arial"/>
                <w:sz w:val="22"/>
                <w:szCs w:val="22"/>
              </w:rPr>
              <w:t>4</w:t>
            </w:r>
            <w:r w:rsidR="00883677" w:rsidRPr="00117BF8">
              <w:rPr>
                <w:rFonts w:ascii="Arial" w:hAnsi="Arial" w:cs="Arial"/>
                <w:sz w:val="22"/>
                <w:szCs w:val="22"/>
              </w:rPr>
              <w:t>4</w:t>
            </w:r>
            <w:r w:rsidRPr="00117BF8">
              <w:rPr>
                <w:rFonts w:ascii="Arial" w:hAnsi="Arial" w:cs="Arial"/>
                <w:sz w:val="22"/>
                <w:szCs w:val="22"/>
              </w:rPr>
              <w:t xml:space="preserve"> – Inflación Proyectada</w:t>
            </w:r>
            <w:bookmarkEnd w:id="121"/>
          </w:p>
        </w:tc>
      </w:tr>
      <w:tr w:rsidR="00B879FE" w:rsidRPr="004E6455" w14:paraId="5765B36A" w14:textId="77777777" w:rsidTr="005C7F8A">
        <w:trPr>
          <w:trHeight w:val="300"/>
          <w:jc w:val="center"/>
        </w:trPr>
        <w:tc>
          <w:tcPr>
            <w:tcW w:w="2142" w:type="dxa"/>
            <w:tcBorders>
              <w:right w:val="nil"/>
            </w:tcBorders>
            <w:shd w:val="clear" w:color="auto" w:fill="0070C0"/>
            <w:noWrap/>
            <w:hideMark/>
          </w:tcPr>
          <w:p w14:paraId="76517CF1" w14:textId="77777777" w:rsidR="00B879FE" w:rsidRPr="00117BF8" w:rsidRDefault="00B879FE" w:rsidP="00306531">
            <w:pPr>
              <w:pStyle w:val="TablaE"/>
              <w:rPr>
                <w:rFonts w:ascii="Arial" w:hAnsi="Arial" w:cs="Arial"/>
                <w:sz w:val="22"/>
                <w:szCs w:val="22"/>
              </w:rPr>
            </w:pPr>
            <w:r w:rsidRPr="00117BF8">
              <w:rPr>
                <w:rFonts w:ascii="Arial" w:hAnsi="Arial" w:cs="Arial"/>
                <w:sz w:val="22"/>
                <w:szCs w:val="22"/>
              </w:rPr>
              <w:t>Año</w:t>
            </w:r>
          </w:p>
        </w:tc>
        <w:tc>
          <w:tcPr>
            <w:tcW w:w="1716" w:type="dxa"/>
            <w:tcBorders>
              <w:left w:val="nil"/>
            </w:tcBorders>
            <w:shd w:val="clear" w:color="auto" w:fill="0070C0"/>
          </w:tcPr>
          <w:p w14:paraId="2F33202A" w14:textId="77777777" w:rsidR="00B879FE" w:rsidRPr="00117BF8" w:rsidRDefault="00B879FE" w:rsidP="00306531">
            <w:pPr>
              <w:pStyle w:val="TablaE"/>
              <w:rPr>
                <w:rFonts w:ascii="Arial" w:hAnsi="Arial" w:cs="Arial"/>
                <w:sz w:val="22"/>
                <w:szCs w:val="22"/>
              </w:rPr>
            </w:pPr>
            <w:r w:rsidRPr="00117BF8">
              <w:rPr>
                <w:rFonts w:ascii="Arial" w:hAnsi="Arial" w:cs="Arial"/>
                <w:sz w:val="22"/>
                <w:szCs w:val="22"/>
              </w:rPr>
              <w:t xml:space="preserve">Inflación </w:t>
            </w:r>
            <w:r w:rsidR="009F4F22" w:rsidRPr="00117BF8">
              <w:rPr>
                <w:rFonts w:ascii="Arial" w:hAnsi="Arial" w:cs="Arial"/>
                <w:sz w:val="22"/>
                <w:szCs w:val="22"/>
              </w:rPr>
              <w:t>Anual</w:t>
            </w:r>
          </w:p>
        </w:tc>
      </w:tr>
      <w:tr w:rsidR="00B879FE" w:rsidRPr="004E6455" w14:paraId="2266AD50" w14:textId="77777777" w:rsidTr="005C7F8A">
        <w:trPr>
          <w:trHeight w:val="300"/>
          <w:jc w:val="center"/>
        </w:trPr>
        <w:tc>
          <w:tcPr>
            <w:tcW w:w="2142" w:type="dxa"/>
            <w:tcBorders>
              <w:right w:val="nil"/>
            </w:tcBorders>
            <w:shd w:val="clear" w:color="auto" w:fill="auto"/>
            <w:noWrap/>
            <w:hideMark/>
          </w:tcPr>
          <w:p w14:paraId="73A0C046" w14:textId="77777777" w:rsidR="00B879FE" w:rsidRPr="00117BF8" w:rsidRDefault="00B879FE" w:rsidP="005C7F8A">
            <w:pPr>
              <w:pStyle w:val="TablaC"/>
              <w:jc w:val="center"/>
              <w:rPr>
                <w:rFonts w:ascii="Arial" w:hAnsi="Arial" w:cs="Arial"/>
                <w:b/>
                <w:bCs/>
                <w:sz w:val="18"/>
                <w:szCs w:val="18"/>
              </w:rPr>
            </w:pPr>
            <w:r w:rsidRPr="00117BF8">
              <w:rPr>
                <w:rFonts w:ascii="Arial" w:hAnsi="Arial" w:cs="Arial"/>
                <w:b/>
                <w:bCs/>
                <w:sz w:val="18"/>
                <w:szCs w:val="18"/>
              </w:rPr>
              <w:t>2016</w:t>
            </w:r>
          </w:p>
        </w:tc>
        <w:tc>
          <w:tcPr>
            <w:tcW w:w="1716" w:type="dxa"/>
            <w:tcBorders>
              <w:left w:val="nil"/>
            </w:tcBorders>
            <w:shd w:val="clear" w:color="auto" w:fill="auto"/>
          </w:tcPr>
          <w:p w14:paraId="78FD244E" w14:textId="77777777" w:rsidR="00B879FE" w:rsidRPr="00117BF8" w:rsidRDefault="00B879FE" w:rsidP="005C7F8A">
            <w:pPr>
              <w:pStyle w:val="TablaC"/>
              <w:jc w:val="center"/>
              <w:rPr>
                <w:rFonts w:ascii="Arial" w:hAnsi="Arial" w:cs="Arial"/>
                <w:sz w:val="18"/>
                <w:szCs w:val="18"/>
              </w:rPr>
            </w:pPr>
            <w:r w:rsidRPr="00117BF8">
              <w:rPr>
                <w:rFonts w:ascii="Arial" w:hAnsi="Arial" w:cs="Arial"/>
                <w:sz w:val="18"/>
                <w:szCs w:val="18"/>
              </w:rPr>
              <w:t>38;7%</w:t>
            </w:r>
          </w:p>
        </w:tc>
      </w:tr>
      <w:tr w:rsidR="00B879FE" w:rsidRPr="004E6455" w14:paraId="31562D54" w14:textId="77777777" w:rsidTr="005C7F8A">
        <w:trPr>
          <w:trHeight w:val="300"/>
          <w:jc w:val="center"/>
        </w:trPr>
        <w:tc>
          <w:tcPr>
            <w:tcW w:w="2142" w:type="dxa"/>
            <w:tcBorders>
              <w:right w:val="nil"/>
            </w:tcBorders>
            <w:shd w:val="clear" w:color="auto" w:fill="D3DFEE"/>
            <w:noWrap/>
            <w:hideMark/>
          </w:tcPr>
          <w:p w14:paraId="58139BF8" w14:textId="77777777" w:rsidR="00B879FE" w:rsidRPr="00117BF8" w:rsidRDefault="00B879FE" w:rsidP="005C7F8A">
            <w:pPr>
              <w:pStyle w:val="TablaC"/>
              <w:jc w:val="center"/>
              <w:rPr>
                <w:rFonts w:ascii="Arial" w:hAnsi="Arial" w:cs="Arial"/>
                <w:b/>
                <w:bCs/>
                <w:sz w:val="18"/>
                <w:szCs w:val="18"/>
              </w:rPr>
            </w:pPr>
            <w:r w:rsidRPr="00117BF8">
              <w:rPr>
                <w:rFonts w:ascii="Arial" w:hAnsi="Arial" w:cs="Arial"/>
                <w:b/>
                <w:bCs/>
                <w:sz w:val="18"/>
                <w:szCs w:val="18"/>
              </w:rPr>
              <w:t>2017</w:t>
            </w:r>
          </w:p>
        </w:tc>
        <w:tc>
          <w:tcPr>
            <w:tcW w:w="1716" w:type="dxa"/>
            <w:tcBorders>
              <w:left w:val="nil"/>
            </w:tcBorders>
            <w:shd w:val="clear" w:color="auto" w:fill="D3DFEE"/>
          </w:tcPr>
          <w:p w14:paraId="035364FF" w14:textId="77777777" w:rsidR="00B879FE" w:rsidRPr="00117BF8" w:rsidRDefault="00B879FE" w:rsidP="005C7F8A">
            <w:pPr>
              <w:pStyle w:val="TablaC"/>
              <w:jc w:val="center"/>
              <w:rPr>
                <w:rFonts w:ascii="Arial" w:hAnsi="Arial" w:cs="Arial"/>
                <w:sz w:val="18"/>
                <w:szCs w:val="18"/>
              </w:rPr>
            </w:pPr>
            <w:r w:rsidRPr="00117BF8">
              <w:rPr>
                <w:rFonts w:ascii="Arial" w:hAnsi="Arial" w:cs="Arial"/>
                <w:sz w:val="18"/>
                <w:szCs w:val="18"/>
              </w:rPr>
              <w:t>22,0%</w:t>
            </w:r>
          </w:p>
        </w:tc>
      </w:tr>
      <w:tr w:rsidR="00B879FE" w:rsidRPr="004E6455" w14:paraId="5BF6650B" w14:textId="77777777" w:rsidTr="005C7F8A">
        <w:trPr>
          <w:trHeight w:val="300"/>
          <w:jc w:val="center"/>
        </w:trPr>
        <w:tc>
          <w:tcPr>
            <w:tcW w:w="2142" w:type="dxa"/>
            <w:tcBorders>
              <w:right w:val="nil"/>
            </w:tcBorders>
            <w:shd w:val="clear" w:color="auto" w:fill="auto"/>
            <w:noWrap/>
            <w:hideMark/>
          </w:tcPr>
          <w:p w14:paraId="5215CD2D" w14:textId="77777777" w:rsidR="00B879FE" w:rsidRPr="00117BF8" w:rsidRDefault="00B879FE" w:rsidP="005C7F8A">
            <w:pPr>
              <w:pStyle w:val="TablaC"/>
              <w:jc w:val="center"/>
              <w:rPr>
                <w:rFonts w:ascii="Arial" w:hAnsi="Arial" w:cs="Arial"/>
                <w:b/>
                <w:bCs/>
                <w:sz w:val="18"/>
                <w:szCs w:val="18"/>
              </w:rPr>
            </w:pPr>
            <w:r w:rsidRPr="00117BF8">
              <w:rPr>
                <w:rFonts w:ascii="Arial" w:hAnsi="Arial" w:cs="Arial"/>
                <w:b/>
                <w:bCs/>
                <w:sz w:val="18"/>
                <w:szCs w:val="18"/>
              </w:rPr>
              <w:t>2018</w:t>
            </w:r>
          </w:p>
        </w:tc>
        <w:tc>
          <w:tcPr>
            <w:tcW w:w="1716" w:type="dxa"/>
            <w:tcBorders>
              <w:left w:val="nil"/>
            </w:tcBorders>
            <w:shd w:val="clear" w:color="auto" w:fill="auto"/>
          </w:tcPr>
          <w:p w14:paraId="296D2A24" w14:textId="77777777" w:rsidR="00B879FE" w:rsidRPr="00117BF8" w:rsidRDefault="00B879FE" w:rsidP="005C7F8A">
            <w:pPr>
              <w:pStyle w:val="TablaC"/>
              <w:jc w:val="center"/>
              <w:rPr>
                <w:rFonts w:ascii="Arial" w:hAnsi="Arial" w:cs="Arial"/>
                <w:sz w:val="18"/>
                <w:szCs w:val="18"/>
              </w:rPr>
            </w:pPr>
            <w:r w:rsidRPr="00117BF8">
              <w:rPr>
                <w:rFonts w:ascii="Arial" w:hAnsi="Arial" w:cs="Arial"/>
                <w:sz w:val="18"/>
                <w:szCs w:val="18"/>
              </w:rPr>
              <w:t>15,5%</w:t>
            </w:r>
          </w:p>
        </w:tc>
      </w:tr>
      <w:tr w:rsidR="00B879FE" w:rsidRPr="004E6455" w14:paraId="3181CCC3" w14:textId="77777777" w:rsidTr="005C7F8A">
        <w:trPr>
          <w:trHeight w:val="300"/>
          <w:jc w:val="center"/>
        </w:trPr>
        <w:tc>
          <w:tcPr>
            <w:tcW w:w="2142" w:type="dxa"/>
            <w:tcBorders>
              <w:right w:val="nil"/>
            </w:tcBorders>
            <w:shd w:val="clear" w:color="auto" w:fill="D3DFEE"/>
            <w:noWrap/>
            <w:hideMark/>
          </w:tcPr>
          <w:p w14:paraId="168F3928" w14:textId="77777777" w:rsidR="00B879FE" w:rsidRPr="00117BF8" w:rsidRDefault="00B879FE" w:rsidP="005C7F8A">
            <w:pPr>
              <w:pStyle w:val="TablaC"/>
              <w:jc w:val="center"/>
              <w:rPr>
                <w:rFonts w:ascii="Arial" w:hAnsi="Arial" w:cs="Arial"/>
                <w:b/>
                <w:bCs/>
                <w:sz w:val="18"/>
                <w:szCs w:val="18"/>
              </w:rPr>
            </w:pPr>
            <w:r w:rsidRPr="00117BF8">
              <w:rPr>
                <w:rFonts w:ascii="Arial" w:hAnsi="Arial" w:cs="Arial"/>
                <w:b/>
                <w:bCs/>
                <w:sz w:val="18"/>
                <w:szCs w:val="18"/>
              </w:rPr>
              <w:t>2019</w:t>
            </w:r>
          </w:p>
        </w:tc>
        <w:tc>
          <w:tcPr>
            <w:tcW w:w="1716" w:type="dxa"/>
            <w:tcBorders>
              <w:left w:val="nil"/>
            </w:tcBorders>
            <w:shd w:val="clear" w:color="auto" w:fill="D3DFEE"/>
          </w:tcPr>
          <w:p w14:paraId="0F906510" w14:textId="77777777" w:rsidR="00B879FE" w:rsidRPr="00117BF8" w:rsidRDefault="00B879FE" w:rsidP="005C7F8A">
            <w:pPr>
              <w:pStyle w:val="TablaC"/>
              <w:jc w:val="center"/>
              <w:rPr>
                <w:rFonts w:ascii="Arial" w:hAnsi="Arial" w:cs="Arial"/>
                <w:sz w:val="18"/>
                <w:szCs w:val="18"/>
              </w:rPr>
            </w:pPr>
            <w:r w:rsidRPr="00117BF8">
              <w:rPr>
                <w:rFonts w:ascii="Arial" w:hAnsi="Arial" w:cs="Arial"/>
                <w:sz w:val="18"/>
                <w:szCs w:val="18"/>
              </w:rPr>
              <w:t>10,4%</w:t>
            </w:r>
          </w:p>
        </w:tc>
      </w:tr>
      <w:tr w:rsidR="00B879FE" w:rsidRPr="004E6455" w14:paraId="539455BC" w14:textId="77777777" w:rsidTr="005C7F8A">
        <w:trPr>
          <w:trHeight w:val="300"/>
          <w:jc w:val="center"/>
        </w:trPr>
        <w:tc>
          <w:tcPr>
            <w:tcW w:w="2142" w:type="dxa"/>
            <w:tcBorders>
              <w:right w:val="nil"/>
            </w:tcBorders>
            <w:shd w:val="clear" w:color="auto" w:fill="auto"/>
            <w:noWrap/>
            <w:hideMark/>
          </w:tcPr>
          <w:p w14:paraId="5B992649" w14:textId="77777777" w:rsidR="00B879FE" w:rsidRPr="00117BF8" w:rsidRDefault="00B879FE" w:rsidP="005C7F8A">
            <w:pPr>
              <w:pStyle w:val="TablaC"/>
              <w:jc w:val="center"/>
              <w:rPr>
                <w:rFonts w:ascii="Arial" w:hAnsi="Arial" w:cs="Arial"/>
                <w:b/>
                <w:bCs/>
                <w:sz w:val="18"/>
                <w:szCs w:val="18"/>
              </w:rPr>
            </w:pPr>
            <w:r w:rsidRPr="00117BF8">
              <w:rPr>
                <w:rFonts w:ascii="Arial" w:hAnsi="Arial" w:cs="Arial"/>
                <w:b/>
                <w:bCs/>
                <w:sz w:val="18"/>
                <w:szCs w:val="18"/>
              </w:rPr>
              <w:t>2020</w:t>
            </w:r>
          </w:p>
        </w:tc>
        <w:tc>
          <w:tcPr>
            <w:tcW w:w="1716" w:type="dxa"/>
            <w:tcBorders>
              <w:left w:val="nil"/>
            </w:tcBorders>
            <w:shd w:val="clear" w:color="auto" w:fill="auto"/>
          </w:tcPr>
          <w:p w14:paraId="1D5EA95F" w14:textId="77777777" w:rsidR="00B879FE" w:rsidRPr="00117BF8" w:rsidRDefault="00B879FE" w:rsidP="005C7F8A">
            <w:pPr>
              <w:pStyle w:val="TablaC"/>
              <w:jc w:val="center"/>
              <w:rPr>
                <w:rFonts w:ascii="Arial" w:hAnsi="Arial" w:cs="Arial"/>
                <w:sz w:val="18"/>
                <w:szCs w:val="18"/>
              </w:rPr>
            </w:pPr>
            <w:r w:rsidRPr="00117BF8">
              <w:rPr>
                <w:rFonts w:ascii="Arial" w:hAnsi="Arial" w:cs="Arial"/>
                <w:sz w:val="18"/>
                <w:szCs w:val="18"/>
              </w:rPr>
              <w:t>8,2%</w:t>
            </w:r>
          </w:p>
        </w:tc>
      </w:tr>
      <w:tr w:rsidR="00B879FE" w:rsidRPr="004E6455" w14:paraId="63FAAEA4" w14:textId="77777777" w:rsidTr="005C7F8A">
        <w:trPr>
          <w:trHeight w:val="300"/>
          <w:jc w:val="center"/>
        </w:trPr>
        <w:tc>
          <w:tcPr>
            <w:tcW w:w="2142" w:type="dxa"/>
            <w:tcBorders>
              <w:right w:val="nil"/>
            </w:tcBorders>
            <w:shd w:val="clear" w:color="auto" w:fill="D3DFEE"/>
            <w:noWrap/>
            <w:hideMark/>
          </w:tcPr>
          <w:p w14:paraId="7CA9FE49" w14:textId="77777777" w:rsidR="00B879FE" w:rsidRPr="00117BF8" w:rsidRDefault="00B879FE" w:rsidP="005C7F8A">
            <w:pPr>
              <w:pStyle w:val="TablaC"/>
              <w:jc w:val="center"/>
              <w:rPr>
                <w:rFonts w:ascii="Arial" w:hAnsi="Arial" w:cs="Arial"/>
                <w:b/>
                <w:bCs/>
                <w:sz w:val="18"/>
                <w:szCs w:val="18"/>
              </w:rPr>
            </w:pPr>
            <w:r w:rsidRPr="00117BF8">
              <w:rPr>
                <w:rFonts w:ascii="Arial" w:hAnsi="Arial" w:cs="Arial"/>
                <w:b/>
                <w:bCs/>
                <w:sz w:val="18"/>
                <w:szCs w:val="18"/>
              </w:rPr>
              <w:t>2021</w:t>
            </w:r>
          </w:p>
        </w:tc>
        <w:tc>
          <w:tcPr>
            <w:tcW w:w="1716" w:type="dxa"/>
            <w:tcBorders>
              <w:left w:val="nil"/>
            </w:tcBorders>
            <w:shd w:val="clear" w:color="auto" w:fill="D3DFEE"/>
          </w:tcPr>
          <w:p w14:paraId="208D336D" w14:textId="77777777" w:rsidR="00B879FE" w:rsidRPr="00117BF8" w:rsidRDefault="00B879FE" w:rsidP="005C7F8A">
            <w:pPr>
              <w:pStyle w:val="TablaC"/>
              <w:jc w:val="center"/>
              <w:rPr>
                <w:rFonts w:ascii="Arial" w:hAnsi="Arial" w:cs="Arial"/>
                <w:sz w:val="18"/>
                <w:szCs w:val="18"/>
              </w:rPr>
            </w:pPr>
            <w:r w:rsidRPr="00117BF8">
              <w:rPr>
                <w:rFonts w:ascii="Arial" w:hAnsi="Arial" w:cs="Arial"/>
                <w:sz w:val="18"/>
                <w:szCs w:val="18"/>
              </w:rPr>
              <w:t>4,5%</w:t>
            </w:r>
          </w:p>
        </w:tc>
      </w:tr>
      <w:tr w:rsidR="00B879FE" w:rsidRPr="004E6455" w14:paraId="6FE9B6B3" w14:textId="77777777" w:rsidTr="005C7F8A">
        <w:trPr>
          <w:trHeight w:val="300"/>
          <w:jc w:val="center"/>
        </w:trPr>
        <w:tc>
          <w:tcPr>
            <w:tcW w:w="2142" w:type="dxa"/>
            <w:tcBorders>
              <w:right w:val="nil"/>
            </w:tcBorders>
            <w:shd w:val="clear" w:color="auto" w:fill="auto"/>
            <w:noWrap/>
            <w:hideMark/>
          </w:tcPr>
          <w:p w14:paraId="230AC5D0" w14:textId="77777777" w:rsidR="00B879FE" w:rsidRPr="00117BF8" w:rsidRDefault="009F4F22" w:rsidP="005C7F8A">
            <w:pPr>
              <w:pStyle w:val="TablaC"/>
              <w:jc w:val="center"/>
              <w:rPr>
                <w:rFonts w:ascii="Arial" w:hAnsi="Arial" w:cs="Arial"/>
                <w:b/>
                <w:bCs/>
                <w:sz w:val="18"/>
                <w:szCs w:val="18"/>
              </w:rPr>
            </w:pPr>
            <w:r w:rsidRPr="00117BF8">
              <w:rPr>
                <w:rFonts w:ascii="Arial" w:hAnsi="Arial" w:cs="Arial"/>
                <w:b/>
                <w:bCs/>
                <w:sz w:val="18"/>
                <w:szCs w:val="18"/>
              </w:rPr>
              <w:t>…</w:t>
            </w:r>
          </w:p>
        </w:tc>
        <w:tc>
          <w:tcPr>
            <w:tcW w:w="1716" w:type="dxa"/>
            <w:tcBorders>
              <w:left w:val="nil"/>
            </w:tcBorders>
            <w:shd w:val="clear" w:color="auto" w:fill="auto"/>
          </w:tcPr>
          <w:p w14:paraId="6F53762E" w14:textId="77777777" w:rsidR="00B879FE" w:rsidRPr="00117BF8" w:rsidRDefault="00B879FE" w:rsidP="005C7F8A">
            <w:pPr>
              <w:pStyle w:val="TablaC"/>
              <w:jc w:val="center"/>
              <w:rPr>
                <w:rFonts w:ascii="Arial" w:hAnsi="Arial" w:cs="Arial"/>
                <w:sz w:val="18"/>
                <w:szCs w:val="18"/>
              </w:rPr>
            </w:pPr>
          </w:p>
        </w:tc>
      </w:tr>
      <w:tr w:rsidR="00B879FE" w:rsidRPr="004E6455" w14:paraId="2B4EA911" w14:textId="77777777" w:rsidTr="005C7F8A">
        <w:trPr>
          <w:trHeight w:val="300"/>
          <w:jc w:val="center"/>
        </w:trPr>
        <w:tc>
          <w:tcPr>
            <w:tcW w:w="2142" w:type="dxa"/>
            <w:tcBorders>
              <w:right w:val="nil"/>
            </w:tcBorders>
            <w:shd w:val="clear" w:color="auto" w:fill="D3DFEE"/>
            <w:noWrap/>
            <w:hideMark/>
          </w:tcPr>
          <w:p w14:paraId="7412D1C2" w14:textId="77777777" w:rsidR="00B879FE" w:rsidRPr="00117BF8" w:rsidRDefault="00B879FE" w:rsidP="005C7F8A">
            <w:pPr>
              <w:pStyle w:val="TablaC"/>
              <w:jc w:val="center"/>
              <w:rPr>
                <w:rFonts w:ascii="Arial" w:hAnsi="Arial" w:cs="Arial"/>
                <w:b/>
                <w:bCs/>
                <w:sz w:val="18"/>
                <w:szCs w:val="18"/>
              </w:rPr>
            </w:pPr>
            <w:r w:rsidRPr="00117BF8">
              <w:rPr>
                <w:rFonts w:ascii="Arial" w:hAnsi="Arial" w:cs="Arial"/>
                <w:b/>
                <w:bCs/>
                <w:sz w:val="18"/>
                <w:szCs w:val="18"/>
              </w:rPr>
              <w:t>202</w:t>
            </w:r>
            <w:r w:rsidR="009F4F22" w:rsidRPr="00117BF8">
              <w:rPr>
                <w:rFonts w:ascii="Arial" w:hAnsi="Arial" w:cs="Arial"/>
                <w:b/>
                <w:bCs/>
                <w:sz w:val="18"/>
                <w:szCs w:val="18"/>
              </w:rPr>
              <w:t>8</w:t>
            </w:r>
          </w:p>
        </w:tc>
        <w:tc>
          <w:tcPr>
            <w:tcW w:w="1716" w:type="dxa"/>
            <w:tcBorders>
              <w:left w:val="nil"/>
            </w:tcBorders>
            <w:shd w:val="clear" w:color="auto" w:fill="D3DFEE"/>
          </w:tcPr>
          <w:p w14:paraId="1105EC80" w14:textId="77777777" w:rsidR="00B879FE" w:rsidRPr="00117BF8" w:rsidRDefault="009F4F22" w:rsidP="005C7F8A">
            <w:pPr>
              <w:pStyle w:val="TablaC"/>
              <w:jc w:val="center"/>
              <w:rPr>
                <w:rFonts w:ascii="Arial" w:hAnsi="Arial" w:cs="Arial"/>
                <w:sz w:val="18"/>
                <w:szCs w:val="18"/>
              </w:rPr>
            </w:pPr>
            <w:r w:rsidRPr="00117BF8">
              <w:rPr>
                <w:rFonts w:ascii="Arial" w:hAnsi="Arial" w:cs="Arial"/>
                <w:sz w:val="18"/>
                <w:szCs w:val="18"/>
              </w:rPr>
              <w:t>4,5%</w:t>
            </w:r>
          </w:p>
        </w:tc>
      </w:tr>
    </w:tbl>
    <w:p w14:paraId="03B8BE5B" w14:textId="77777777" w:rsidR="00D75B49" w:rsidRPr="00117BF8" w:rsidRDefault="00306531" w:rsidP="00306531">
      <w:pPr>
        <w:pStyle w:val="Hfuente"/>
        <w:rPr>
          <w:rFonts w:ascii="Arial" w:hAnsi="Arial" w:cs="Arial"/>
          <w:sz w:val="18"/>
          <w:szCs w:val="18"/>
        </w:rPr>
      </w:pPr>
      <w:r w:rsidRPr="00117BF8">
        <w:rPr>
          <w:rFonts w:ascii="Arial" w:hAnsi="Arial" w:cs="Arial"/>
          <w:sz w:val="18"/>
          <w:szCs w:val="18"/>
        </w:rPr>
        <w:t>Fuente: Elaboración propia sobre datos del INDEC y REM</w:t>
      </w:r>
    </w:p>
    <w:p w14:paraId="616B5FFB" w14:textId="2E83460B" w:rsidR="00D80F71" w:rsidRPr="00117BF8" w:rsidRDefault="00D80F71" w:rsidP="0021263A">
      <w:pPr>
        <w:pStyle w:val="hsa"/>
        <w:rPr>
          <w:rFonts w:ascii="Arial" w:hAnsi="Arial" w:cs="Arial"/>
          <w:sz w:val="22"/>
          <w:szCs w:val="22"/>
        </w:rPr>
      </w:pPr>
      <w:r w:rsidRPr="00117BF8">
        <w:rPr>
          <w:rFonts w:ascii="Arial" w:hAnsi="Arial" w:cs="Arial"/>
          <w:b/>
          <w:sz w:val="22"/>
          <w:szCs w:val="22"/>
          <w:u w:val="single"/>
        </w:rPr>
        <w:t>Año Base:</w:t>
      </w:r>
      <w:r w:rsidRPr="00117BF8">
        <w:rPr>
          <w:rFonts w:ascii="Arial" w:hAnsi="Arial" w:cs="Arial"/>
          <w:sz w:val="22"/>
          <w:szCs w:val="22"/>
        </w:rPr>
        <w:t xml:space="preserve"> Las proyecciones de la Provincia utilizan como año base el 2016</w:t>
      </w:r>
      <w:r w:rsidR="004B5BA0" w:rsidRPr="00117BF8">
        <w:rPr>
          <w:rFonts w:ascii="Arial" w:hAnsi="Arial" w:cs="Arial"/>
          <w:sz w:val="22"/>
          <w:szCs w:val="22"/>
        </w:rPr>
        <w:t>. E</w:t>
      </w:r>
      <w:r w:rsidRPr="00117BF8">
        <w:rPr>
          <w:rFonts w:ascii="Arial" w:hAnsi="Arial" w:cs="Arial"/>
          <w:sz w:val="22"/>
          <w:szCs w:val="22"/>
        </w:rPr>
        <w:t xml:space="preserve">laboradas antes de disponer la ejecución final del presupuesto de ese año </w:t>
      </w:r>
      <w:r w:rsidR="00306531" w:rsidRPr="00117BF8">
        <w:rPr>
          <w:rFonts w:ascii="Arial" w:hAnsi="Arial" w:cs="Arial"/>
          <w:sz w:val="22"/>
          <w:szCs w:val="22"/>
        </w:rPr>
        <w:t xml:space="preserve">son diferentes a </w:t>
      </w:r>
      <w:r w:rsidR="004B5BA0" w:rsidRPr="00117BF8">
        <w:rPr>
          <w:rFonts w:ascii="Arial" w:hAnsi="Arial" w:cs="Arial"/>
          <w:sz w:val="22"/>
          <w:szCs w:val="22"/>
        </w:rPr>
        <w:t>los datos definitivos de la ejecución</w:t>
      </w:r>
      <w:r w:rsidR="00306531" w:rsidRPr="00117BF8">
        <w:rPr>
          <w:rFonts w:ascii="Arial" w:hAnsi="Arial" w:cs="Arial"/>
          <w:sz w:val="22"/>
          <w:szCs w:val="22"/>
        </w:rPr>
        <w:t>,</w:t>
      </w:r>
      <w:r w:rsidRPr="00117BF8">
        <w:rPr>
          <w:rFonts w:ascii="Arial" w:hAnsi="Arial" w:cs="Arial"/>
          <w:sz w:val="22"/>
          <w:szCs w:val="22"/>
        </w:rPr>
        <w:t xml:space="preserve"> los desvíos</w:t>
      </w:r>
      <w:r w:rsidR="009F4F22" w:rsidRPr="00117BF8">
        <w:rPr>
          <w:rFonts w:ascii="Arial" w:hAnsi="Arial" w:cs="Arial"/>
          <w:sz w:val="22"/>
          <w:szCs w:val="22"/>
        </w:rPr>
        <w:t xml:space="preserve"> </w:t>
      </w:r>
      <w:r w:rsidR="00306531" w:rsidRPr="00117BF8">
        <w:rPr>
          <w:rFonts w:ascii="Arial" w:hAnsi="Arial" w:cs="Arial"/>
          <w:sz w:val="22"/>
          <w:szCs w:val="22"/>
        </w:rPr>
        <w:t xml:space="preserve">se indican </w:t>
      </w:r>
      <w:r w:rsidR="009F4F22" w:rsidRPr="00117BF8">
        <w:rPr>
          <w:rFonts w:ascii="Arial" w:hAnsi="Arial" w:cs="Arial"/>
          <w:sz w:val="22"/>
          <w:szCs w:val="22"/>
        </w:rPr>
        <w:t xml:space="preserve">en la tabla </w:t>
      </w:r>
      <w:r w:rsidR="0069589D" w:rsidRPr="00117BF8">
        <w:rPr>
          <w:rFonts w:ascii="Arial" w:hAnsi="Arial" w:cs="Arial"/>
          <w:sz w:val="22"/>
          <w:szCs w:val="22"/>
        </w:rPr>
        <w:t>4</w:t>
      </w:r>
      <w:r w:rsidR="00883677" w:rsidRPr="00117BF8">
        <w:rPr>
          <w:rFonts w:ascii="Arial" w:hAnsi="Arial" w:cs="Arial"/>
          <w:sz w:val="22"/>
          <w:szCs w:val="22"/>
        </w:rPr>
        <w:t>5</w:t>
      </w:r>
      <w:r w:rsidR="009F4F22" w:rsidRPr="00117BF8">
        <w:rPr>
          <w:rFonts w:ascii="Arial" w:hAnsi="Arial" w:cs="Arial"/>
          <w:sz w:val="22"/>
          <w:szCs w:val="22"/>
        </w:rPr>
        <w:t xml:space="preserve">. Las proyecciones alternativas consideraron como base </w:t>
      </w:r>
      <w:r w:rsidR="00306531" w:rsidRPr="00117BF8">
        <w:rPr>
          <w:rFonts w:ascii="Arial" w:hAnsi="Arial" w:cs="Arial"/>
          <w:sz w:val="22"/>
          <w:szCs w:val="22"/>
        </w:rPr>
        <w:t xml:space="preserve">los </w:t>
      </w:r>
      <w:r w:rsidR="004B5BA0" w:rsidRPr="00117BF8">
        <w:rPr>
          <w:rFonts w:ascii="Arial" w:hAnsi="Arial" w:cs="Arial"/>
          <w:sz w:val="22"/>
          <w:szCs w:val="22"/>
        </w:rPr>
        <w:t xml:space="preserve">valores </w:t>
      </w:r>
      <w:r w:rsidR="00306531" w:rsidRPr="00117BF8">
        <w:rPr>
          <w:rFonts w:ascii="Arial" w:hAnsi="Arial" w:cs="Arial"/>
          <w:sz w:val="22"/>
          <w:szCs w:val="22"/>
        </w:rPr>
        <w:t>ejecutados</w:t>
      </w:r>
      <w:r w:rsidR="009F4F22" w:rsidRPr="00117BF8">
        <w:rPr>
          <w:rFonts w:ascii="Arial" w:hAnsi="Arial" w:cs="Arial"/>
          <w:sz w:val="22"/>
          <w:szCs w:val="22"/>
        </w:rPr>
        <w:t>.</w:t>
      </w:r>
    </w:p>
    <w:tbl>
      <w:tblPr>
        <w:tblW w:w="8026" w:type="dxa"/>
        <w:tblInd w:w="55" w:type="dxa"/>
        <w:tblBorders>
          <w:top w:val="single" w:sz="8" w:space="0" w:color="00B0F0"/>
          <w:left w:val="single" w:sz="8" w:space="0" w:color="00B0F0"/>
          <w:bottom w:val="single" w:sz="8" w:space="0" w:color="00B0F0"/>
          <w:right w:val="single" w:sz="8" w:space="0" w:color="00B0F0"/>
        </w:tblBorders>
        <w:tblCellMar>
          <w:left w:w="70" w:type="dxa"/>
          <w:right w:w="70" w:type="dxa"/>
        </w:tblCellMar>
        <w:tblLook w:val="04A0" w:firstRow="1" w:lastRow="0" w:firstColumn="1" w:lastColumn="0" w:noHBand="0" w:noVBand="1"/>
      </w:tblPr>
      <w:tblGrid>
        <w:gridCol w:w="4126"/>
        <w:gridCol w:w="1380"/>
        <w:gridCol w:w="1320"/>
        <w:gridCol w:w="1200"/>
      </w:tblGrid>
      <w:tr w:rsidR="001B0CE5" w:rsidRPr="004E6455" w14:paraId="1E4F606A" w14:textId="77777777" w:rsidTr="00306531">
        <w:trPr>
          <w:trHeight w:val="413"/>
          <w:tblHeader/>
        </w:trPr>
        <w:tc>
          <w:tcPr>
            <w:tcW w:w="8026" w:type="dxa"/>
            <w:gridSpan w:val="4"/>
            <w:tcBorders>
              <w:top w:val="single" w:sz="8" w:space="0" w:color="00B0F0"/>
              <w:bottom w:val="nil"/>
            </w:tcBorders>
            <w:shd w:val="clear" w:color="auto" w:fill="0070C0"/>
            <w:noWrap/>
            <w:vAlign w:val="center"/>
          </w:tcPr>
          <w:p w14:paraId="6F4DFF7D" w14:textId="7D22F0D4" w:rsidR="001B0CE5" w:rsidRPr="00117BF8" w:rsidRDefault="001B0CE5" w:rsidP="00883677">
            <w:pPr>
              <w:pStyle w:val="TablaT"/>
              <w:rPr>
                <w:rFonts w:ascii="Arial" w:hAnsi="Arial" w:cs="Arial"/>
                <w:sz w:val="22"/>
                <w:szCs w:val="22"/>
                <w:lang w:val="es-ES_tradnl"/>
              </w:rPr>
            </w:pPr>
            <w:bookmarkStart w:id="122" w:name="_Toc493861155"/>
            <w:r w:rsidRPr="00117BF8">
              <w:rPr>
                <w:rFonts w:ascii="Arial" w:hAnsi="Arial" w:cs="Arial"/>
                <w:sz w:val="22"/>
                <w:szCs w:val="22"/>
                <w:lang w:val="es-ES_tradnl"/>
              </w:rPr>
              <w:t xml:space="preserve">Tabla </w:t>
            </w:r>
            <w:r w:rsidR="0069589D" w:rsidRPr="00117BF8">
              <w:rPr>
                <w:rFonts w:ascii="Arial" w:hAnsi="Arial" w:cs="Arial"/>
                <w:sz w:val="22"/>
                <w:szCs w:val="22"/>
                <w:lang w:val="es-ES_tradnl"/>
              </w:rPr>
              <w:t>4</w:t>
            </w:r>
            <w:r w:rsidR="00883677" w:rsidRPr="00117BF8">
              <w:rPr>
                <w:rFonts w:ascii="Arial" w:hAnsi="Arial" w:cs="Arial"/>
                <w:sz w:val="22"/>
                <w:szCs w:val="22"/>
                <w:lang w:val="es-ES_tradnl"/>
              </w:rPr>
              <w:t>5</w:t>
            </w:r>
            <w:r w:rsidRPr="00117BF8">
              <w:rPr>
                <w:rFonts w:ascii="Arial" w:hAnsi="Arial" w:cs="Arial"/>
                <w:sz w:val="22"/>
                <w:szCs w:val="22"/>
                <w:lang w:val="es-ES_tradnl"/>
              </w:rPr>
              <w:t xml:space="preserve"> – Comparación Año 2016: Proyección vs Real</w:t>
            </w:r>
            <w:bookmarkEnd w:id="122"/>
          </w:p>
        </w:tc>
      </w:tr>
      <w:tr w:rsidR="00D80F71" w:rsidRPr="004E6455" w14:paraId="323EF57A" w14:textId="77777777" w:rsidTr="00306531">
        <w:trPr>
          <w:trHeight w:val="413"/>
          <w:tblHeader/>
        </w:trPr>
        <w:tc>
          <w:tcPr>
            <w:tcW w:w="4126" w:type="dxa"/>
            <w:vMerge w:val="restart"/>
            <w:tcBorders>
              <w:top w:val="single" w:sz="8" w:space="0" w:color="00B0F0"/>
              <w:bottom w:val="nil"/>
            </w:tcBorders>
            <w:shd w:val="clear" w:color="auto" w:fill="0070C0"/>
            <w:noWrap/>
            <w:vAlign w:val="center"/>
            <w:hideMark/>
          </w:tcPr>
          <w:p w14:paraId="66327BAD" w14:textId="77777777" w:rsidR="00D80F71" w:rsidRPr="00117BF8" w:rsidRDefault="00D80F71" w:rsidP="001B0CE5">
            <w:pPr>
              <w:pStyle w:val="TablaE"/>
              <w:rPr>
                <w:rFonts w:ascii="Arial" w:hAnsi="Arial" w:cs="Arial"/>
                <w:sz w:val="22"/>
                <w:szCs w:val="22"/>
              </w:rPr>
            </w:pPr>
            <w:r w:rsidRPr="00117BF8">
              <w:rPr>
                <w:rFonts w:ascii="Arial" w:hAnsi="Arial" w:cs="Arial"/>
                <w:sz w:val="22"/>
                <w:szCs w:val="22"/>
              </w:rPr>
              <w:t>CONCEPTO</w:t>
            </w:r>
          </w:p>
        </w:tc>
        <w:tc>
          <w:tcPr>
            <w:tcW w:w="1380" w:type="dxa"/>
            <w:vMerge w:val="restart"/>
            <w:tcBorders>
              <w:top w:val="single" w:sz="8" w:space="0" w:color="00B0F0"/>
              <w:bottom w:val="nil"/>
            </w:tcBorders>
            <w:shd w:val="clear" w:color="auto" w:fill="0070C0"/>
            <w:noWrap/>
            <w:vAlign w:val="center"/>
            <w:hideMark/>
          </w:tcPr>
          <w:p w14:paraId="39BF8C64" w14:textId="77777777" w:rsidR="00D80F71" w:rsidRPr="00117BF8" w:rsidRDefault="00D80F71" w:rsidP="001B0CE5">
            <w:pPr>
              <w:pStyle w:val="TablaE"/>
              <w:rPr>
                <w:rFonts w:ascii="Arial" w:hAnsi="Arial" w:cs="Arial"/>
                <w:sz w:val="22"/>
                <w:szCs w:val="22"/>
              </w:rPr>
            </w:pPr>
            <w:r w:rsidRPr="00117BF8">
              <w:rPr>
                <w:rFonts w:ascii="Arial" w:hAnsi="Arial" w:cs="Arial"/>
                <w:sz w:val="22"/>
                <w:szCs w:val="22"/>
              </w:rPr>
              <w:t>Proy. 2016</w:t>
            </w:r>
          </w:p>
        </w:tc>
        <w:tc>
          <w:tcPr>
            <w:tcW w:w="1320" w:type="dxa"/>
            <w:vMerge w:val="restart"/>
            <w:tcBorders>
              <w:top w:val="single" w:sz="8" w:space="0" w:color="00B0F0"/>
              <w:bottom w:val="nil"/>
            </w:tcBorders>
            <w:shd w:val="clear" w:color="auto" w:fill="0070C0"/>
            <w:noWrap/>
            <w:vAlign w:val="center"/>
            <w:hideMark/>
          </w:tcPr>
          <w:p w14:paraId="0479AB6D" w14:textId="77777777" w:rsidR="00D80F71" w:rsidRPr="00117BF8" w:rsidRDefault="00D80F71" w:rsidP="001B0CE5">
            <w:pPr>
              <w:pStyle w:val="TablaE"/>
              <w:rPr>
                <w:rFonts w:ascii="Arial" w:hAnsi="Arial" w:cs="Arial"/>
                <w:sz w:val="22"/>
                <w:szCs w:val="22"/>
              </w:rPr>
            </w:pPr>
            <w:r w:rsidRPr="00117BF8">
              <w:rPr>
                <w:rFonts w:ascii="Arial" w:hAnsi="Arial" w:cs="Arial"/>
                <w:sz w:val="22"/>
                <w:szCs w:val="22"/>
              </w:rPr>
              <w:t>Real 2016</w:t>
            </w:r>
          </w:p>
        </w:tc>
        <w:tc>
          <w:tcPr>
            <w:tcW w:w="1200" w:type="dxa"/>
            <w:vMerge w:val="restart"/>
            <w:tcBorders>
              <w:top w:val="single" w:sz="8" w:space="0" w:color="00B0F0"/>
              <w:bottom w:val="nil"/>
            </w:tcBorders>
            <w:shd w:val="clear" w:color="auto" w:fill="0070C0"/>
            <w:noWrap/>
            <w:vAlign w:val="center"/>
            <w:hideMark/>
          </w:tcPr>
          <w:p w14:paraId="4AB238EF" w14:textId="77777777" w:rsidR="00D80F71" w:rsidRPr="00117BF8" w:rsidRDefault="00D80F71" w:rsidP="001B0CE5">
            <w:pPr>
              <w:pStyle w:val="TablaE"/>
              <w:rPr>
                <w:rFonts w:ascii="Arial" w:hAnsi="Arial" w:cs="Arial"/>
                <w:sz w:val="22"/>
                <w:szCs w:val="22"/>
              </w:rPr>
            </w:pPr>
            <w:r w:rsidRPr="00117BF8">
              <w:rPr>
                <w:rFonts w:ascii="Arial" w:hAnsi="Arial" w:cs="Arial"/>
                <w:sz w:val="22"/>
                <w:szCs w:val="22"/>
              </w:rPr>
              <w:t>Desvío</w:t>
            </w:r>
          </w:p>
        </w:tc>
      </w:tr>
      <w:tr w:rsidR="00D80F71" w:rsidRPr="004E6455" w14:paraId="5AE444ED" w14:textId="77777777" w:rsidTr="00655C81">
        <w:trPr>
          <w:trHeight w:val="315"/>
        </w:trPr>
        <w:tc>
          <w:tcPr>
            <w:tcW w:w="4126" w:type="dxa"/>
            <w:vMerge/>
            <w:tcBorders>
              <w:top w:val="single" w:sz="8" w:space="0" w:color="00B0F0"/>
              <w:bottom w:val="nil"/>
            </w:tcBorders>
            <w:shd w:val="clear" w:color="auto" w:fill="0070C0"/>
            <w:vAlign w:val="center"/>
            <w:hideMark/>
          </w:tcPr>
          <w:p w14:paraId="345C1C31" w14:textId="77777777" w:rsidR="00D80F71" w:rsidRPr="004E6455" w:rsidRDefault="00D80F71" w:rsidP="001B0CE5">
            <w:pPr>
              <w:pStyle w:val="TablaC"/>
              <w:rPr>
                <w:rFonts w:ascii="Arial" w:hAnsi="Arial" w:cs="Arial"/>
                <w:b/>
                <w:bCs/>
                <w:i/>
                <w:iCs/>
                <w:szCs w:val="22"/>
              </w:rPr>
            </w:pPr>
          </w:p>
        </w:tc>
        <w:tc>
          <w:tcPr>
            <w:tcW w:w="1380" w:type="dxa"/>
            <w:vMerge/>
            <w:tcBorders>
              <w:top w:val="single" w:sz="8" w:space="0" w:color="00B0F0"/>
              <w:bottom w:val="nil"/>
            </w:tcBorders>
            <w:shd w:val="clear" w:color="auto" w:fill="0070C0"/>
            <w:vAlign w:val="center"/>
            <w:hideMark/>
          </w:tcPr>
          <w:p w14:paraId="4CB25998" w14:textId="77777777" w:rsidR="00D80F71" w:rsidRPr="004E6455" w:rsidRDefault="00D80F71" w:rsidP="001B0CE5">
            <w:pPr>
              <w:pStyle w:val="TablaC"/>
              <w:rPr>
                <w:rFonts w:ascii="Arial" w:hAnsi="Arial" w:cs="Arial"/>
                <w:b/>
                <w:bCs/>
                <w:i/>
                <w:iCs/>
                <w:szCs w:val="22"/>
              </w:rPr>
            </w:pPr>
          </w:p>
        </w:tc>
        <w:tc>
          <w:tcPr>
            <w:tcW w:w="1320" w:type="dxa"/>
            <w:vMerge/>
            <w:tcBorders>
              <w:top w:val="single" w:sz="8" w:space="0" w:color="00B0F0"/>
              <w:bottom w:val="nil"/>
            </w:tcBorders>
            <w:shd w:val="clear" w:color="auto" w:fill="0070C0"/>
            <w:vAlign w:val="center"/>
            <w:hideMark/>
          </w:tcPr>
          <w:p w14:paraId="7123F53B" w14:textId="77777777" w:rsidR="00D80F71" w:rsidRPr="004E6455" w:rsidRDefault="00D80F71" w:rsidP="001B0CE5">
            <w:pPr>
              <w:pStyle w:val="TablaC"/>
              <w:rPr>
                <w:rFonts w:ascii="Arial" w:hAnsi="Arial" w:cs="Arial"/>
                <w:b/>
                <w:bCs/>
                <w:i/>
                <w:iCs/>
                <w:szCs w:val="22"/>
              </w:rPr>
            </w:pPr>
          </w:p>
        </w:tc>
        <w:tc>
          <w:tcPr>
            <w:tcW w:w="1200" w:type="dxa"/>
            <w:vMerge/>
            <w:tcBorders>
              <w:top w:val="single" w:sz="8" w:space="0" w:color="00B0F0"/>
              <w:bottom w:val="nil"/>
            </w:tcBorders>
            <w:shd w:val="clear" w:color="auto" w:fill="0070C0"/>
            <w:vAlign w:val="center"/>
            <w:hideMark/>
          </w:tcPr>
          <w:p w14:paraId="0B83D08C" w14:textId="77777777" w:rsidR="00D80F71" w:rsidRPr="004E6455" w:rsidRDefault="00D80F71" w:rsidP="001B0CE5">
            <w:pPr>
              <w:pStyle w:val="TablaC"/>
              <w:rPr>
                <w:rFonts w:ascii="Arial" w:hAnsi="Arial" w:cs="Arial"/>
                <w:b/>
                <w:bCs/>
                <w:i/>
                <w:iCs/>
                <w:szCs w:val="22"/>
              </w:rPr>
            </w:pPr>
          </w:p>
        </w:tc>
      </w:tr>
      <w:tr w:rsidR="00D80F71" w:rsidRPr="00CF312E" w14:paraId="3B7E4AD6" w14:textId="77777777" w:rsidTr="00655C81">
        <w:trPr>
          <w:trHeight w:val="402"/>
        </w:trPr>
        <w:tc>
          <w:tcPr>
            <w:tcW w:w="4126" w:type="dxa"/>
            <w:tcBorders>
              <w:top w:val="nil"/>
            </w:tcBorders>
            <w:shd w:val="clear" w:color="000000" w:fill="FFFFFF"/>
            <w:noWrap/>
            <w:vAlign w:val="center"/>
            <w:hideMark/>
          </w:tcPr>
          <w:p w14:paraId="02352F8A" w14:textId="77777777" w:rsidR="00D80F71" w:rsidRPr="00117BF8" w:rsidRDefault="00D80F71" w:rsidP="001B0CE5">
            <w:pPr>
              <w:pStyle w:val="TablaC"/>
              <w:jc w:val="left"/>
              <w:rPr>
                <w:rFonts w:ascii="Arial" w:hAnsi="Arial" w:cs="Arial"/>
                <w:sz w:val="18"/>
                <w:szCs w:val="18"/>
              </w:rPr>
            </w:pPr>
            <w:r w:rsidRPr="00117BF8">
              <w:rPr>
                <w:rFonts w:ascii="Arial" w:hAnsi="Arial" w:cs="Arial"/>
                <w:sz w:val="18"/>
                <w:szCs w:val="18"/>
              </w:rPr>
              <w:t>I. INGRESOS CORRIENTES</w:t>
            </w:r>
          </w:p>
        </w:tc>
        <w:tc>
          <w:tcPr>
            <w:tcW w:w="1380" w:type="dxa"/>
            <w:tcBorders>
              <w:top w:val="nil"/>
            </w:tcBorders>
            <w:shd w:val="clear" w:color="000000" w:fill="FFFFFF"/>
            <w:noWrap/>
            <w:vAlign w:val="center"/>
            <w:hideMark/>
          </w:tcPr>
          <w:p w14:paraId="4D6D62C6"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376.510,3</w:t>
            </w:r>
          </w:p>
        </w:tc>
        <w:tc>
          <w:tcPr>
            <w:tcW w:w="1320" w:type="dxa"/>
            <w:tcBorders>
              <w:top w:val="nil"/>
            </w:tcBorders>
            <w:shd w:val="clear" w:color="000000" w:fill="FFFFFF"/>
            <w:noWrap/>
            <w:vAlign w:val="center"/>
            <w:hideMark/>
          </w:tcPr>
          <w:p w14:paraId="7873351F"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386.061,9</w:t>
            </w:r>
          </w:p>
        </w:tc>
        <w:tc>
          <w:tcPr>
            <w:tcW w:w="1200" w:type="dxa"/>
            <w:tcBorders>
              <w:top w:val="nil"/>
            </w:tcBorders>
            <w:shd w:val="clear" w:color="000000" w:fill="FFFFFF"/>
            <w:noWrap/>
            <w:vAlign w:val="center"/>
            <w:hideMark/>
          </w:tcPr>
          <w:p w14:paraId="76C9EC61"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2,5%</w:t>
            </w:r>
          </w:p>
        </w:tc>
      </w:tr>
      <w:tr w:rsidR="00D80F71" w:rsidRPr="00CF312E" w14:paraId="4FFFB708" w14:textId="77777777" w:rsidTr="00655C81">
        <w:trPr>
          <w:trHeight w:val="402"/>
        </w:trPr>
        <w:tc>
          <w:tcPr>
            <w:tcW w:w="4126" w:type="dxa"/>
            <w:shd w:val="clear" w:color="000000" w:fill="FFFFFF"/>
            <w:noWrap/>
            <w:vAlign w:val="center"/>
            <w:hideMark/>
          </w:tcPr>
          <w:p w14:paraId="7709C87C" w14:textId="77777777" w:rsidR="00D80F71" w:rsidRPr="00117BF8" w:rsidRDefault="00D80F71" w:rsidP="001B0CE5">
            <w:pPr>
              <w:pStyle w:val="TablaC"/>
              <w:jc w:val="left"/>
              <w:rPr>
                <w:rFonts w:ascii="Arial" w:hAnsi="Arial" w:cs="Arial"/>
                <w:sz w:val="18"/>
                <w:szCs w:val="18"/>
              </w:rPr>
            </w:pPr>
            <w:r w:rsidRPr="00117BF8">
              <w:rPr>
                <w:rFonts w:ascii="Arial" w:hAnsi="Arial" w:cs="Arial"/>
                <w:sz w:val="18"/>
                <w:szCs w:val="18"/>
              </w:rPr>
              <w:t xml:space="preserve">   . Tributarios</w:t>
            </w:r>
          </w:p>
        </w:tc>
        <w:tc>
          <w:tcPr>
            <w:tcW w:w="1380" w:type="dxa"/>
            <w:shd w:val="clear" w:color="000000" w:fill="FFFFFF"/>
            <w:noWrap/>
            <w:vAlign w:val="center"/>
            <w:hideMark/>
          </w:tcPr>
          <w:p w14:paraId="4D5D2798"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257.566,4</w:t>
            </w:r>
          </w:p>
        </w:tc>
        <w:tc>
          <w:tcPr>
            <w:tcW w:w="1320" w:type="dxa"/>
            <w:shd w:val="clear" w:color="000000" w:fill="FFFFFF"/>
            <w:noWrap/>
            <w:vAlign w:val="center"/>
            <w:hideMark/>
          </w:tcPr>
          <w:p w14:paraId="09C4D773"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267.040,7</w:t>
            </w:r>
          </w:p>
        </w:tc>
        <w:tc>
          <w:tcPr>
            <w:tcW w:w="1200" w:type="dxa"/>
            <w:shd w:val="clear" w:color="000000" w:fill="FFFFFF"/>
            <w:noWrap/>
            <w:vAlign w:val="center"/>
            <w:hideMark/>
          </w:tcPr>
          <w:p w14:paraId="5F8A1976"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3,7%</w:t>
            </w:r>
          </w:p>
        </w:tc>
      </w:tr>
      <w:tr w:rsidR="00D80F71" w:rsidRPr="00CF312E" w14:paraId="61DC3805" w14:textId="77777777" w:rsidTr="00655C81">
        <w:trPr>
          <w:trHeight w:val="402"/>
        </w:trPr>
        <w:tc>
          <w:tcPr>
            <w:tcW w:w="4126" w:type="dxa"/>
            <w:shd w:val="clear" w:color="000000" w:fill="FFFFFF"/>
            <w:noWrap/>
            <w:vAlign w:val="center"/>
            <w:hideMark/>
          </w:tcPr>
          <w:p w14:paraId="201D8EB7" w14:textId="77777777" w:rsidR="00D80F71" w:rsidRPr="00117BF8" w:rsidRDefault="00D80F71" w:rsidP="001B0CE5">
            <w:pPr>
              <w:pStyle w:val="TablaC"/>
              <w:jc w:val="left"/>
              <w:rPr>
                <w:rFonts w:ascii="Arial" w:hAnsi="Arial" w:cs="Arial"/>
                <w:sz w:val="18"/>
                <w:szCs w:val="18"/>
                <w:lang w:val="es-ES_tradnl"/>
              </w:rPr>
            </w:pPr>
            <w:r w:rsidRPr="00117BF8">
              <w:rPr>
                <w:rFonts w:ascii="Arial" w:hAnsi="Arial" w:cs="Arial"/>
                <w:sz w:val="18"/>
                <w:szCs w:val="18"/>
                <w:lang w:val="es-ES_tradnl"/>
              </w:rPr>
              <w:t xml:space="preserve">   . Contribuciones a la Seguridad Social</w:t>
            </w:r>
          </w:p>
        </w:tc>
        <w:tc>
          <w:tcPr>
            <w:tcW w:w="1380" w:type="dxa"/>
            <w:shd w:val="clear" w:color="000000" w:fill="FFFFFF"/>
            <w:noWrap/>
            <w:vAlign w:val="center"/>
            <w:hideMark/>
          </w:tcPr>
          <w:p w14:paraId="28F8D008"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65.824,3</w:t>
            </w:r>
          </w:p>
        </w:tc>
        <w:tc>
          <w:tcPr>
            <w:tcW w:w="1320" w:type="dxa"/>
            <w:shd w:val="clear" w:color="auto" w:fill="auto"/>
            <w:noWrap/>
            <w:vAlign w:val="center"/>
            <w:hideMark/>
          </w:tcPr>
          <w:p w14:paraId="6C519CAB"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66.408,7</w:t>
            </w:r>
          </w:p>
        </w:tc>
        <w:tc>
          <w:tcPr>
            <w:tcW w:w="1200" w:type="dxa"/>
            <w:shd w:val="clear" w:color="auto" w:fill="auto"/>
            <w:noWrap/>
            <w:vAlign w:val="center"/>
            <w:hideMark/>
          </w:tcPr>
          <w:p w14:paraId="11F43D31"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0,9%</w:t>
            </w:r>
          </w:p>
        </w:tc>
      </w:tr>
      <w:tr w:rsidR="00D80F71" w:rsidRPr="00CF312E" w14:paraId="5FD7900E" w14:textId="77777777" w:rsidTr="00655C81">
        <w:trPr>
          <w:trHeight w:val="402"/>
        </w:trPr>
        <w:tc>
          <w:tcPr>
            <w:tcW w:w="4126" w:type="dxa"/>
            <w:shd w:val="clear" w:color="000000" w:fill="FFFFFF"/>
            <w:noWrap/>
            <w:vAlign w:val="center"/>
            <w:hideMark/>
          </w:tcPr>
          <w:p w14:paraId="585E12FF" w14:textId="77777777" w:rsidR="00D80F71" w:rsidRPr="00117BF8" w:rsidRDefault="00D80F71" w:rsidP="00306531">
            <w:pPr>
              <w:pStyle w:val="TablaC"/>
              <w:keepNext w:val="0"/>
              <w:jc w:val="left"/>
              <w:rPr>
                <w:rFonts w:ascii="Arial" w:hAnsi="Arial" w:cs="Arial"/>
                <w:sz w:val="18"/>
                <w:szCs w:val="18"/>
              </w:rPr>
            </w:pPr>
            <w:r w:rsidRPr="00117BF8">
              <w:rPr>
                <w:rFonts w:ascii="Arial" w:hAnsi="Arial" w:cs="Arial"/>
                <w:sz w:val="18"/>
                <w:szCs w:val="18"/>
              </w:rPr>
              <w:t xml:space="preserve">   . No Tributarios</w:t>
            </w:r>
          </w:p>
        </w:tc>
        <w:tc>
          <w:tcPr>
            <w:tcW w:w="1380" w:type="dxa"/>
            <w:shd w:val="clear" w:color="000000" w:fill="FFFFFF"/>
            <w:noWrap/>
            <w:vAlign w:val="center"/>
            <w:hideMark/>
          </w:tcPr>
          <w:p w14:paraId="2C0BB228"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53.119,5</w:t>
            </w:r>
          </w:p>
        </w:tc>
        <w:tc>
          <w:tcPr>
            <w:tcW w:w="1320" w:type="dxa"/>
            <w:shd w:val="clear" w:color="000000" w:fill="FFFFFF"/>
            <w:noWrap/>
            <w:vAlign w:val="center"/>
            <w:hideMark/>
          </w:tcPr>
          <w:p w14:paraId="57BE6320"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52.612,4</w:t>
            </w:r>
          </w:p>
        </w:tc>
        <w:tc>
          <w:tcPr>
            <w:tcW w:w="1200" w:type="dxa"/>
            <w:shd w:val="clear" w:color="000000" w:fill="FFFFFF"/>
            <w:noWrap/>
            <w:vAlign w:val="center"/>
            <w:hideMark/>
          </w:tcPr>
          <w:p w14:paraId="3DED9E1D"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-1,0%</w:t>
            </w:r>
          </w:p>
        </w:tc>
      </w:tr>
      <w:tr w:rsidR="00D80F71" w:rsidRPr="00CF312E" w14:paraId="55506282" w14:textId="77777777" w:rsidTr="00655C81">
        <w:trPr>
          <w:trHeight w:val="402"/>
        </w:trPr>
        <w:tc>
          <w:tcPr>
            <w:tcW w:w="4126" w:type="dxa"/>
            <w:shd w:val="clear" w:color="000000" w:fill="FFFFFF"/>
            <w:noWrap/>
            <w:vAlign w:val="center"/>
            <w:hideMark/>
          </w:tcPr>
          <w:p w14:paraId="6BBE5AE6" w14:textId="77777777" w:rsidR="00D80F71" w:rsidRPr="00117BF8" w:rsidRDefault="00D80F71" w:rsidP="00306531">
            <w:pPr>
              <w:pStyle w:val="TablaC"/>
              <w:keepNext w:val="0"/>
              <w:jc w:val="left"/>
              <w:rPr>
                <w:rFonts w:ascii="Arial" w:hAnsi="Arial" w:cs="Arial"/>
                <w:sz w:val="18"/>
                <w:szCs w:val="18"/>
              </w:rPr>
            </w:pPr>
            <w:r w:rsidRPr="00117BF8">
              <w:rPr>
                <w:rFonts w:ascii="Arial" w:hAnsi="Arial" w:cs="Arial"/>
                <w:sz w:val="18"/>
                <w:szCs w:val="18"/>
              </w:rPr>
              <w:t>II. GASTOS CORRIENTES</w:t>
            </w:r>
          </w:p>
        </w:tc>
        <w:tc>
          <w:tcPr>
            <w:tcW w:w="1380" w:type="dxa"/>
            <w:shd w:val="clear" w:color="000000" w:fill="FFFFFF"/>
            <w:noWrap/>
            <w:vAlign w:val="center"/>
            <w:hideMark/>
          </w:tcPr>
          <w:p w14:paraId="00B22664"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387.441,6</w:t>
            </w:r>
          </w:p>
        </w:tc>
        <w:tc>
          <w:tcPr>
            <w:tcW w:w="1320" w:type="dxa"/>
            <w:shd w:val="clear" w:color="000000" w:fill="FFFFFF"/>
            <w:noWrap/>
            <w:vAlign w:val="center"/>
            <w:hideMark/>
          </w:tcPr>
          <w:p w14:paraId="4D776F1E"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398.420,6</w:t>
            </w:r>
          </w:p>
        </w:tc>
        <w:tc>
          <w:tcPr>
            <w:tcW w:w="1200" w:type="dxa"/>
            <w:shd w:val="clear" w:color="000000" w:fill="FFFFFF"/>
            <w:noWrap/>
            <w:vAlign w:val="center"/>
            <w:hideMark/>
          </w:tcPr>
          <w:p w14:paraId="79EEB2DB"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2,8%</w:t>
            </w:r>
          </w:p>
        </w:tc>
      </w:tr>
      <w:tr w:rsidR="00D80F71" w:rsidRPr="00CF312E" w14:paraId="53EF57CC" w14:textId="77777777" w:rsidTr="00655C81">
        <w:trPr>
          <w:trHeight w:val="402"/>
        </w:trPr>
        <w:tc>
          <w:tcPr>
            <w:tcW w:w="4126" w:type="dxa"/>
            <w:shd w:val="clear" w:color="000000" w:fill="FFFFFF"/>
            <w:noWrap/>
            <w:vAlign w:val="center"/>
            <w:hideMark/>
          </w:tcPr>
          <w:p w14:paraId="07E00540" w14:textId="77777777" w:rsidR="00D80F71" w:rsidRPr="00117BF8" w:rsidRDefault="00D80F71" w:rsidP="00306531">
            <w:pPr>
              <w:pStyle w:val="TablaC"/>
              <w:keepNext w:val="0"/>
              <w:jc w:val="left"/>
              <w:rPr>
                <w:rFonts w:ascii="Arial" w:hAnsi="Arial" w:cs="Arial"/>
                <w:sz w:val="18"/>
                <w:szCs w:val="18"/>
              </w:rPr>
            </w:pPr>
            <w:r w:rsidRPr="00117BF8">
              <w:rPr>
                <w:rFonts w:ascii="Arial" w:hAnsi="Arial" w:cs="Arial"/>
                <w:sz w:val="18"/>
                <w:szCs w:val="18"/>
              </w:rPr>
              <w:t xml:space="preserve">    - Personal</w:t>
            </w:r>
          </w:p>
        </w:tc>
        <w:tc>
          <w:tcPr>
            <w:tcW w:w="1380" w:type="dxa"/>
            <w:shd w:val="clear" w:color="000000" w:fill="FFFFFF"/>
            <w:noWrap/>
            <w:vAlign w:val="center"/>
            <w:hideMark/>
          </w:tcPr>
          <w:p w14:paraId="38360A91"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195.638,1</w:t>
            </w:r>
          </w:p>
        </w:tc>
        <w:tc>
          <w:tcPr>
            <w:tcW w:w="1320" w:type="dxa"/>
            <w:shd w:val="clear" w:color="000000" w:fill="FFFFFF"/>
            <w:noWrap/>
            <w:vAlign w:val="center"/>
            <w:hideMark/>
          </w:tcPr>
          <w:p w14:paraId="0C403DDC"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198.342,5</w:t>
            </w:r>
          </w:p>
        </w:tc>
        <w:tc>
          <w:tcPr>
            <w:tcW w:w="1200" w:type="dxa"/>
            <w:shd w:val="clear" w:color="000000" w:fill="FFFFFF"/>
            <w:noWrap/>
            <w:vAlign w:val="center"/>
            <w:hideMark/>
          </w:tcPr>
          <w:p w14:paraId="1791EAF4"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1,4%</w:t>
            </w:r>
          </w:p>
        </w:tc>
      </w:tr>
      <w:tr w:rsidR="00D80F71" w:rsidRPr="00CF312E" w14:paraId="4E0794B3" w14:textId="77777777" w:rsidTr="00655C81">
        <w:trPr>
          <w:trHeight w:val="402"/>
        </w:trPr>
        <w:tc>
          <w:tcPr>
            <w:tcW w:w="4126" w:type="dxa"/>
            <w:shd w:val="clear" w:color="000000" w:fill="FFFFFF"/>
            <w:noWrap/>
            <w:vAlign w:val="center"/>
            <w:hideMark/>
          </w:tcPr>
          <w:p w14:paraId="2008200D" w14:textId="77777777" w:rsidR="00D80F71" w:rsidRPr="00117BF8" w:rsidRDefault="00D80F71" w:rsidP="00306531">
            <w:pPr>
              <w:pStyle w:val="TablaC"/>
              <w:keepNext w:val="0"/>
              <w:jc w:val="left"/>
              <w:rPr>
                <w:rFonts w:ascii="Arial" w:hAnsi="Arial" w:cs="Arial"/>
                <w:sz w:val="18"/>
                <w:szCs w:val="18"/>
                <w:lang w:val="es-ES_tradnl"/>
              </w:rPr>
            </w:pPr>
            <w:r w:rsidRPr="00117BF8">
              <w:rPr>
                <w:rFonts w:ascii="Arial" w:hAnsi="Arial" w:cs="Arial"/>
                <w:sz w:val="18"/>
                <w:szCs w:val="18"/>
                <w:lang w:val="es-ES_tradnl"/>
              </w:rPr>
              <w:t xml:space="preserve">    - Bienes y Servicios y varios</w:t>
            </w:r>
          </w:p>
        </w:tc>
        <w:tc>
          <w:tcPr>
            <w:tcW w:w="1380" w:type="dxa"/>
            <w:shd w:val="clear" w:color="000000" w:fill="FFFFFF"/>
            <w:noWrap/>
            <w:vAlign w:val="center"/>
            <w:hideMark/>
          </w:tcPr>
          <w:p w14:paraId="72C25E9F"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20.840,4</w:t>
            </w:r>
          </w:p>
        </w:tc>
        <w:tc>
          <w:tcPr>
            <w:tcW w:w="1320" w:type="dxa"/>
            <w:shd w:val="clear" w:color="000000" w:fill="FFFFFF"/>
            <w:noWrap/>
            <w:vAlign w:val="center"/>
            <w:hideMark/>
          </w:tcPr>
          <w:p w14:paraId="25B4FA0A"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19.084,4</w:t>
            </w:r>
          </w:p>
        </w:tc>
        <w:tc>
          <w:tcPr>
            <w:tcW w:w="1200" w:type="dxa"/>
            <w:shd w:val="clear" w:color="000000" w:fill="FFFFFF"/>
            <w:noWrap/>
            <w:vAlign w:val="center"/>
            <w:hideMark/>
          </w:tcPr>
          <w:p w14:paraId="2AE92A46"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-8,4%</w:t>
            </w:r>
          </w:p>
        </w:tc>
      </w:tr>
      <w:tr w:rsidR="00D80F71" w:rsidRPr="00CF312E" w14:paraId="207B9498" w14:textId="77777777" w:rsidTr="00655C81">
        <w:trPr>
          <w:trHeight w:val="402"/>
        </w:trPr>
        <w:tc>
          <w:tcPr>
            <w:tcW w:w="4126" w:type="dxa"/>
            <w:shd w:val="clear" w:color="000000" w:fill="FFFFFF"/>
            <w:noWrap/>
            <w:vAlign w:val="center"/>
            <w:hideMark/>
          </w:tcPr>
          <w:p w14:paraId="13E065A1" w14:textId="77777777" w:rsidR="00D80F71" w:rsidRPr="00117BF8" w:rsidRDefault="00D80F71" w:rsidP="00306531">
            <w:pPr>
              <w:pStyle w:val="TablaC"/>
              <w:keepNext w:val="0"/>
              <w:jc w:val="left"/>
              <w:rPr>
                <w:rFonts w:ascii="Arial" w:hAnsi="Arial" w:cs="Arial"/>
                <w:sz w:val="18"/>
                <w:szCs w:val="18"/>
              </w:rPr>
            </w:pPr>
            <w:r w:rsidRPr="00117BF8">
              <w:rPr>
                <w:rFonts w:ascii="Arial" w:hAnsi="Arial" w:cs="Arial"/>
                <w:sz w:val="18"/>
                <w:szCs w:val="18"/>
              </w:rPr>
              <w:t xml:space="preserve">    . Intereses</w:t>
            </w:r>
          </w:p>
        </w:tc>
        <w:tc>
          <w:tcPr>
            <w:tcW w:w="1380" w:type="dxa"/>
            <w:shd w:val="clear" w:color="000000" w:fill="FFFFFF"/>
            <w:noWrap/>
            <w:vAlign w:val="center"/>
            <w:hideMark/>
          </w:tcPr>
          <w:p w14:paraId="22A799B9"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14.446,0</w:t>
            </w:r>
          </w:p>
        </w:tc>
        <w:tc>
          <w:tcPr>
            <w:tcW w:w="1320" w:type="dxa"/>
            <w:shd w:val="clear" w:color="000000" w:fill="FFFFFF"/>
            <w:noWrap/>
            <w:vAlign w:val="center"/>
            <w:hideMark/>
          </w:tcPr>
          <w:p w14:paraId="12C10595"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15.978,4</w:t>
            </w:r>
          </w:p>
        </w:tc>
        <w:tc>
          <w:tcPr>
            <w:tcW w:w="1200" w:type="dxa"/>
            <w:shd w:val="clear" w:color="000000" w:fill="FFFFFF"/>
            <w:noWrap/>
            <w:vAlign w:val="center"/>
            <w:hideMark/>
          </w:tcPr>
          <w:p w14:paraId="11FFE186"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10,6%</w:t>
            </w:r>
          </w:p>
        </w:tc>
      </w:tr>
      <w:tr w:rsidR="00D80F71" w:rsidRPr="00CF312E" w14:paraId="10F971C4" w14:textId="77777777" w:rsidTr="00655C81">
        <w:trPr>
          <w:trHeight w:val="402"/>
        </w:trPr>
        <w:tc>
          <w:tcPr>
            <w:tcW w:w="4126" w:type="dxa"/>
            <w:shd w:val="clear" w:color="000000" w:fill="FFFFFF"/>
            <w:noWrap/>
            <w:vAlign w:val="center"/>
            <w:hideMark/>
          </w:tcPr>
          <w:p w14:paraId="40004690" w14:textId="77777777" w:rsidR="00D80F71" w:rsidRPr="00117BF8" w:rsidRDefault="00D80F71" w:rsidP="00306531">
            <w:pPr>
              <w:pStyle w:val="TablaC"/>
              <w:keepNext w:val="0"/>
              <w:jc w:val="left"/>
              <w:rPr>
                <w:rFonts w:ascii="Arial" w:hAnsi="Arial" w:cs="Arial"/>
                <w:sz w:val="18"/>
                <w:szCs w:val="18"/>
                <w:lang w:val="es-ES_tradnl"/>
              </w:rPr>
            </w:pPr>
            <w:r w:rsidRPr="00117BF8">
              <w:rPr>
                <w:rFonts w:ascii="Arial" w:hAnsi="Arial" w:cs="Arial"/>
                <w:sz w:val="18"/>
                <w:szCs w:val="18"/>
                <w:lang w:val="es-ES_tradnl"/>
              </w:rPr>
              <w:t xml:space="preserve">    . Prestaciones de la Seguridad Social</w:t>
            </w:r>
          </w:p>
        </w:tc>
        <w:tc>
          <w:tcPr>
            <w:tcW w:w="1380" w:type="dxa"/>
            <w:shd w:val="clear" w:color="000000" w:fill="FFFFFF"/>
            <w:noWrap/>
            <w:vAlign w:val="center"/>
            <w:hideMark/>
          </w:tcPr>
          <w:p w14:paraId="659FD6C1"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68.486,1</w:t>
            </w:r>
          </w:p>
        </w:tc>
        <w:tc>
          <w:tcPr>
            <w:tcW w:w="1320" w:type="dxa"/>
            <w:shd w:val="clear" w:color="000000" w:fill="FFFFFF"/>
            <w:noWrap/>
            <w:vAlign w:val="center"/>
            <w:hideMark/>
          </w:tcPr>
          <w:p w14:paraId="3FFE9F27"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69.834,6</w:t>
            </w:r>
          </w:p>
        </w:tc>
        <w:tc>
          <w:tcPr>
            <w:tcW w:w="1200" w:type="dxa"/>
            <w:shd w:val="clear" w:color="000000" w:fill="FFFFFF"/>
            <w:noWrap/>
            <w:vAlign w:val="center"/>
            <w:hideMark/>
          </w:tcPr>
          <w:p w14:paraId="262C6A5E"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2,0%</w:t>
            </w:r>
          </w:p>
        </w:tc>
      </w:tr>
      <w:tr w:rsidR="00D80F71" w:rsidRPr="00CF312E" w14:paraId="21C37F83" w14:textId="77777777" w:rsidTr="00655C81">
        <w:trPr>
          <w:trHeight w:val="402"/>
        </w:trPr>
        <w:tc>
          <w:tcPr>
            <w:tcW w:w="4126" w:type="dxa"/>
            <w:shd w:val="clear" w:color="000000" w:fill="FFFFFF"/>
            <w:noWrap/>
            <w:vAlign w:val="center"/>
            <w:hideMark/>
          </w:tcPr>
          <w:p w14:paraId="4C8E28F8" w14:textId="77777777" w:rsidR="00D80F71" w:rsidRPr="00117BF8" w:rsidRDefault="00D80F71" w:rsidP="00306531">
            <w:pPr>
              <w:pStyle w:val="TablaC"/>
              <w:keepNext w:val="0"/>
              <w:jc w:val="left"/>
              <w:rPr>
                <w:rFonts w:ascii="Arial" w:hAnsi="Arial" w:cs="Arial"/>
                <w:sz w:val="18"/>
                <w:szCs w:val="18"/>
                <w:lang w:val="es-ES_tradnl"/>
              </w:rPr>
            </w:pPr>
            <w:r w:rsidRPr="00117BF8">
              <w:rPr>
                <w:rFonts w:ascii="Arial" w:hAnsi="Arial" w:cs="Arial"/>
                <w:sz w:val="18"/>
                <w:szCs w:val="18"/>
                <w:lang w:val="es-ES_tradnl"/>
              </w:rPr>
              <w:t xml:space="preserve">    . Transferencias Corrientes y Otros Gastos</w:t>
            </w:r>
          </w:p>
        </w:tc>
        <w:tc>
          <w:tcPr>
            <w:tcW w:w="1380" w:type="dxa"/>
            <w:shd w:val="clear" w:color="000000" w:fill="FFFFFF"/>
            <w:noWrap/>
            <w:vAlign w:val="center"/>
            <w:hideMark/>
          </w:tcPr>
          <w:p w14:paraId="04C697DA"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88.031,1</w:t>
            </w:r>
          </w:p>
        </w:tc>
        <w:tc>
          <w:tcPr>
            <w:tcW w:w="1320" w:type="dxa"/>
            <w:shd w:val="clear" w:color="000000" w:fill="FFFFFF"/>
            <w:noWrap/>
            <w:vAlign w:val="center"/>
            <w:hideMark/>
          </w:tcPr>
          <w:p w14:paraId="51BC2CEF"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95.180,6</w:t>
            </w:r>
          </w:p>
        </w:tc>
        <w:tc>
          <w:tcPr>
            <w:tcW w:w="1200" w:type="dxa"/>
            <w:shd w:val="clear" w:color="000000" w:fill="FFFFFF"/>
            <w:noWrap/>
            <w:vAlign w:val="center"/>
            <w:hideMark/>
          </w:tcPr>
          <w:p w14:paraId="3B14A324"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8,1%</w:t>
            </w:r>
          </w:p>
        </w:tc>
      </w:tr>
      <w:tr w:rsidR="00D80F71" w:rsidRPr="00CF312E" w14:paraId="2DC42797" w14:textId="77777777" w:rsidTr="00655C81">
        <w:trPr>
          <w:trHeight w:val="402"/>
        </w:trPr>
        <w:tc>
          <w:tcPr>
            <w:tcW w:w="4126" w:type="dxa"/>
            <w:shd w:val="clear" w:color="000000" w:fill="FFFFFF"/>
            <w:noWrap/>
            <w:vAlign w:val="center"/>
            <w:hideMark/>
          </w:tcPr>
          <w:p w14:paraId="63FF797D" w14:textId="77777777" w:rsidR="00D80F71" w:rsidRPr="00117BF8" w:rsidRDefault="00D80F71" w:rsidP="00306531">
            <w:pPr>
              <w:pStyle w:val="TablaC"/>
              <w:keepNext w:val="0"/>
              <w:jc w:val="left"/>
              <w:rPr>
                <w:rFonts w:ascii="Arial" w:hAnsi="Arial" w:cs="Arial"/>
                <w:sz w:val="18"/>
                <w:szCs w:val="18"/>
              </w:rPr>
            </w:pPr>
            <w:r w:rsidRPr="00117BF8">
              <w:rPr>
                <w:rFonts w:ascii="Arial" w:hAnsi="Arial" w:cs="Arial"/>
                <w:sz w:val="18"/>
                <w:szCs w:val="18"/>
              </w:rPr>
              <w:t>III. RESULTADO ECONOMICO</w:t>
            </w:r>
          </w:p>
        </w:tc>
        <w:tc>
          <w:tcPr>
            <w:tcW w:w="1380" w:type="dxa"/>
            <w:shd w:val="clear" w:color="000000" w:fill="FFFFFF"/>
            <w:noWrap/>
            <w:vAlign w:val="center"/>
            <w:hideMark/>
          </w:tcPr>
          <w:p w14:paraId="5AE49364"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-10.931,3</w:t>
            </w:r>
          </w:p>
        </w:tc>
        <w:tc>
          <w:tcPr>
            <w:tcW w:w="1320" w:type="dxa"/>
            <w:shd w:val="clear" w:color="000000" w:fill="FFFFFF"/>
            <w:noWrap/>
            <w:vAlign w:val="center"/>
            <w:hideMark/>
          </w:tcPr>
          <w:p w14:paraId="0DF73B26"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-12.358,7</w:t>
            </w:r>
          </w:p>
        </w:tc>
        <w:tc>
          <w:tcPr>
            <w:tcW w:w="1200" w:type="dxa"/>
            <w:shd w:val="clear" w:color="000000" w:fill="FFFFFF"/>
            <w:noWrap/>
            <w:vAlign w:val="center"/>
            <w:hideMark/>
          </w:tcPr>
          <w:p w14:paraId="60A4CFC8"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13,1%</w:t>
            </w:r>
          </w:p>
        </w:tc>
      </w:tr>
      <w:tr w:rsidR="00D80F71" w:rsidRPr="00CF312E" w14:paraId="58F13A02" w14:textId="77777777" w:rsidTr="00655C81">
        <w:trPr>
          <w:trHeight w:val="402"/>
        </w:trPr>
        <w:tc>
          <w:tcPr>
            <w:tcW w:w="4126" w:type="dxa"/>
            <w:shd w:val="clear" w:color="000000" w:fill="FFFFFF"/>
            <w:noWrap/>
            <w:vAlign w:val="center"/>
            <w:hideMark/>
          </w:tcPr>
          <w:p w14:paraId="592F8FF7" w14:textId="77777777" w:rsidR="00D80F71" w:rsidRPr="00117BF8" w:rsidRDefault="00D80F71" w:rsidP="00306531">
            <w:pPr>
              <w:pStyle w:val="TablaC"/>
              <w:keepNext w:val="0"/>
              <w:jc w:val="left"/>
              <w:rPr>
                <w:rFonts w:ascii="Arial" w:hAnsi="Arial" w:cs="Arial"/>
                <w:sz w:val="18"/>
                <w:szCs w:val="18"/>
              </w:rPr>
            </w:pPr>
            <w:r w:rsidRPr="00117BF8">
              <w:rPr>
                <w:rFonts w:ascii="Arial" w:hAnsi="Arial" w:cs="Arial"/>
                <w:sz w:val="18"/>
                <w:szCs w:val="18"/>
              </w:rPr>
              <w:t>IV. INGRESOS DE CAPITAL</w:t>
            </w:r>
          </w:p>
        </w:tc>
        <w:tc>
          <w:tcPr>
            <w:tcW w:w="1380" w:type="dxa"/>
            <w:shd w:val="clear" w:color="000000" w:fill="FFFFFF"/>
            <w:noWrap/>
            <w:vAlign w:val="center"/>
            <w:hideMark/>
          </w:tcPr>
          <w:p w14:paraId="10B2D4D8"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7.257,8</w:t>
            </w:r>
          </w:p>
        </w:tc>
        <w:tc>
          <w:tcPr>
            <w:tcW w:w="1320" w:type="dxa"/>
            <w:shd w:val="clear" w:color="000000" w:fill="FFFFFF"/>
            <w:noWrap/>
            <w:vAlign w:val="center"/>
            <w:hideMark/>
          </w:tcPr>
          <w:p w14:paraId="379C1B57"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8.035,5</w:t>
            </w:r>
          </w:p>
        </w:tc>
        <w:tc>
          <w:tcPr>
            <w:tcW w:w="1200" w:type="dxa"/>
            <w:shd w:val="clear" w:color="000000" w:fill="FFFFFF"/>
            <w:noWrap/>
            <w:vAlign w:val="center"/>
            <w:hideMark/>
          </w:tcPr>
          <w:p w14:paraId="7AD1AD45"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10,7%</w:t>
            </w:r>
          </w:p>
        </w:tc>
      </w:tr>
      <w:tr w:rsidR="00D80F71" w:rsidRPr="00CF312E" w14:paraId="728D2216" w14:textId="77777777" w:rsidTr="00655C81">
        <w:trPr>
          <w:trHeight w:val="402"/>
        </w:trPr>
        <w:tc>
          <w:tcPr>
            <w:tcW w:w="4126" w:type="dxa"/>
            <w:shd w:val="clear" w:color="000000" w:fill="FFFFFF"/>
            <w:noWrap/>
            <w:vAlign w:val="center"/>
            <w:hideMark/>
          </w:tcPr>
          <w:p w14:paraId="394B4800" w14:textId="77777777" w:rsidR="00D80F71" w:rsidRPr="00117BF8" w:rsidRDefault="00D80F71" w:rsidP="00306531">
            <w:pPr>
              <w:pStyle w:val="TablaC"/>
              <w:keepNext w:val="0"/>
              <w:jc w:val="left"/>
              <w:rPr>
                <w:rFonts w:ascii="Arial" w:hAnsi="Arial" w:cs="Arial"/>
                <w:sz w:val="18"/>
                <w:szCs w:val="18"/>
              </w:rPr>
            </w:pPr>
            <w:r w:rsidRPr="00117BF8">
              <w:rPr>
                <w:rFonts w:ascii="Arial" w:hAnsi="Arial" w:cs="Arial"/>
                <w:sz w:val="18"/>
                <w:szCs w:val="18"/>
              </w:rPr>
              <w:t xml:space="preserve"> V. GASTOS DE CAPITAL</w:t>
            </w:r>
          </w:p>
        </w:tc>
        <w:tc>
          <w:tcPr>
            <w:tcW w:w="1380" w:type="dxa"/>
            <w:shd w:val="clear" w:color="000000" w:fill="FFFFFF"/>
            <w:noWrap/>
            <w:vAlign w:val="center"/>
            <w:hideMark/>
          </w:tcPr>
          <w:p w14:paraId="181609B6"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25.936,9</w:t>
            </w:r>
          </w:p>
        </w:tc>
        <w:tc>
          <w:tcPr>
            <w:tcW w:w="1320" w:type="dxa"/>
            <w:shd w:val="clear" w:color="000000" w:fill="FFFFFF"/>
            <w:noWrap/>
            <w:vAlign w:val="center"/>
            <w:hideMark/>
          </w:tcPr>
          <w:p w14:paraId="207F3933"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26.494,0</w:t>
            </w:r>
          </w:p>
        </w:tc>
        <w:tc>
          <w:tcPr>
            <w:tcW w:w="1200" w:type="dxa"/>
            <w:shd w:val="clear" w:color="000000" w:fill="FFFFFF"/>
            <w:noWrap/>
            <w:vAlign w:val="center"/>
            <w:hideMark/>
          </w:tcPr>
          <w:p w14:paraId="4BC22834" w14:textId="77777777" w:rsidR="00D80F71" w:rsidRPr="00117BF8" w:rsidRDefault="00D80F71" w:rsidP="00306531">
            <w:pPr>
              <w:pStyle w:val="TablaC"/>
              <w:keepNext w:val="0"/>
              <w:rPr>
                <w:rFonts w:ascii="Arial" w:hAnsi="Arial" w:cs="Arial"/>
                <w:sz w:val="18"/>
                <w:szCs w:val="18"/>
              </w:rPr>
            </w:pPr>
            <w:r w:rsidRPr="00117BF8">
              <w:rPr>
                <w:rFonts w:ascii="Arial" w:hAnsi="Arial" w:cs="Arial"/>
                <w:sz w:val="18"/>
                <w:szCs w:val="18"/>
              </w:rPr>
              <w:t>2,1%</w:t>
            </w:r>
          </w:p>
        </w:tc>
      </w:tr>
      <w:tr w:rsidR="00D80F71" w:rsidRPr="00CF312E" w14:paraId="50489569" w14:textId="77777777" w:rsidTr="00655C81">
        <w:trPr>
          <w:trHeight w:val="402"/>
        </w:trPr>
        <w:tc>
          <w:tcPr>
            <w:tcW w:w="4126" w:type="dxa"/>
            <w:shd w:val="clear" w:color="000000" w:fill="FFFFFF"/>
            <w:noWrap/>
            <w:vAlign w:val="center"/>
            <w:hideMark/>
          </w:tcPr>
          <w:p w14:paraId="2B61A5F9" w14:textId="77777777" w:rsidR="00D80F71" w:rsidRPr="00117BF8" w:rsidRDefault="00D80F71" w:rsidP="00306531">
            <w:pPr>
              <w:pStyle w:val="TablaC"/>
              <w:jc w:val="left"/>
              <w:rPr>
                <w:rFonts w:ascii="Arial" w:hAnsi="Arial" w:cs="Arial"/>
                <w:sz w:val="18"/>
                <w:szCs w:val="18"/>
              </w:rPr>
            </w:pPr>
            <w:r w:rsidRPr="00117BF8">
              <w:rPr>
                <w:rFonts w:ascii="Arial" w:hAnsi="Arial" w:cs="Arial"/>
                <w:sz w:val="18"/>
                <w:szCs w:val="18"/>
              </w:rPr>
              <w:t xml:space="preserve"> VI. INGRESOS TOTALES (I+IV)</w:t>
            </w:r>
          </w:p>
        </w:tc>
        <w:tc>
          <w:tcPr>
            <w:tcW w:w="1380" w:type="dxa"/>
            <w:shd w:val="clear" w:color="000000" w:fill="FFFFFF"/>
            <w:noWrap/>
            <w:vAlign w:val="center"/>
            <w:hideMark/>
          </w:tcPr>
          <w:p w14:paraId="5C28FE39"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383.768,1</w:t>
            </w:r>
          </w:p>
        </w:tc>
        <w:tc>
          <w:tcPr>
            <w:tcW w:w="1320" w:type="dxa"/>
            <w:shd w:val="clear" w:color="000000" w:fill="FFFFFF"/>
            <w:noWrap/>
            <w:vAlign w:val="center"/>
            <w:hideMark/>
          </w:tcPr>
          <w:p w14:paraId="2BADB676"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394.097,4</w:t>
            </w:r>
          </w:p>
        </w:tc>
        <w:tc>
          <w:tcPr>
            <w:tcW w:w="1200" w:type="dxa"/>
            <w:shd w:val="clear" w:color="000000" w:fill="FFFFFF"/>
            <w:noWrap/>
            <w:vAlign w:val="center"/>
            <w:hideMark/>
          </w:tcPr>
          <w:p w14:paraId="423D99F8"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2,7%</w:t>
            </w:r>
          </w:p>
        </w:tc>
      </w:tr>
      <w:tr w:rsidR="00D80F71" w:rsidRPr="00CF312E" w14:paraId="578FA588" w14:textId="77777777" w:rsidTr="00655C81">
        <w:trPr>
          <w:trHeight w:val="402"/>
        </w:trPr>
        <w:tc>
          <w:tcPr>
            <w:tcW w:w="4126" w:type="dxa"/>
            <w:shd w:val="clear" w:color="000000" w:fill="FFFFFF"/>
            <w:noWrap/>
            <w:vAlign w:val="center"/>
            <w:hideMark/>
          </w:tcPr>
          <w:p w14:paraId="0B98C094" w14:textId="77777777" w:rsidR="00D80F71" w:rsidRPr="00117BF8" w:rsidRDefault="00D80F71" w:rsidP="00306531">
            <w:pPr>
              <w:pStyle w:val="TablaC"/>
              <w:jc w:val="left"/>
              <w:rPr>
                <w:rFonts w:ascii="Arial" w:hAnsi="Arial" w:cs="Arial"/>
                <w:sz w:val="18"/>
                <w:szCs w:val="18"/>
                <w:lang w:val="es-ES_tradnl"/>
              </w:rPr>
            </w:pPr>
            <w:r w:rsidRPr="00117BF8">
              <w:rPr>
                <w:rFonts w:ascii="Arial" w:hAnsi="Arial" w:cs="Arial"/>
                <w:sz w:val="18"/>
                <w:szCs w:val="18"/>
                <w:lang w:val="es-ES_tradnl"/>
              </w:rPr>
              <w:t xml:space="preserve"> VII. GASTOS TOTALES (II+V)</w:t>
            </w:r>
          </w:p>
        </w:tc>
        <w:tc>
          <w:tcPr>
            <w:tcW w:w="1380" w:type="dxa"/>
            <w:shd w:val="clear" w:color="000000" w:fill="FFFFFF"/>
            <w:noWrap/>
            <w:vAlign w:val="center"/>
            <w:hideMark/>
          </w:tcPr>
          <w:p w14:paraId="7E20A2A9"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413.378,5</w:t>
            </w:r>
          </w:p>
        </w:tc>
        <w:tc>
          <w:tcPr>
            <w:tcW w:w="1320" w:type="dxa"/>
            <w:shd w:val="clear" w:color="000000" w:fill="FFFFFF"/>
            <w:noWrap/>
            <w:vAlign w:val="center"/>
            <w:hideMark/>
          </w:tcPr>
          <w:p w14:paraId="450D36BD"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424.914,5</w:t>
            </w:r>
          </w:p>
        </w:tc>
        <w:tc>
          <w:tcPr>
            <w:tcW w:w="1200" w:type="dxa"/>
            <w:shd w:val="clear" w:color="000000" w:fill="FFFFFF"/>
            <w:noWrap/>
            <w:vAlign w:val="center"/>
            <w:hideMark/>
          </w:tcPr>
          <w:p w14:paraId="26F9C88E"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2,8%</w:t>
            </w:r>
          </w:p>
        </w:tc>
      </w:tr>
      <w:tr w:rsidR="00D80F71" w:rsidRPr="00CF312E" w14:paraId="23244ABB" w14:textId="77777777" w:rsidTr="00655C81">
        <w:trPr>
          <w:trHeight w:val="402"/>
        </w:trPr>
        <w:tc>
          <w:tcPr>
            <w:tcW w:w="4126" w:type="dxa"/>
            <w:shd w:val="clear" w:color="000000" w:fill="FFFFFF"/>
            <w:noWrap/>
            <w:vAlign w:val="center"/>
            <w:hideMark/>
          </w:tcPr>
          <w:p w14:paraId="3CCE4A38" w14:textId="77777777" w:rsidR="00D80F71" w:rsidRPr="00117BF8" w:rsidRDefault="00D80F71" w:rsidP="00306531">
            <w:pPr>
              <w:pStyle w:val="TablaC"/>
              <w:jc w:val="left"/>
              <w:rPr>
                <w:rFonts w:ascii="Arial" w:hAnsi="Arial" w:cs="Arial"/>
                <w:sz w:val="18"/>
                <w:szCs w:val="18"/>
              </w:rPr>
            </w:pPr>
            <w:r w:rsidRPr="00117BF8">
              <w:rPr>
                <w:rFonts w:ascii="Arial" w:hAnsi="Arial" w:cs="Arial"/>
                <w:sz w:val="18"/>
                <w:szCs w:val="18"/>
              </w:rPr>
              <w:t xml:space="preserve"> IX. RESULTADO PRIMARIO (VI-VII+inter.)</w:t>
            </w:r>
          </w:p>
        </w:tc>
        <w:tc>
          <w:tcPr>
            <w:tcW w:w="1380" w:type="dxa"/>
            <w:shd w:val="clear" w:color="000000" w:fill="FFFFFF"/>
            <w:noWrap/>
            <w:vAlign w:val="center"/>
            <w:hideMark/>
          </w:tcPr>
          <w:p w14:paraId="51020AD4"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-15.164,4</w:t>
            </w:r>
          </w:p>
        </w:tc>
        <w:tc>
          <w:tcPr>
            <w:tcW w:w="1320" w:type="dxa"/>
            <w:shd w:val="clear" w:color="000000" w:fill="FFFFFF"/>
            <w:noWrap/>
            <w:vAlign w:val="center"/>
            <w:hideMark/>
          </w:tcPr>
          <w:p w14:paraId="5666419A"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-14.838,8</w:t>
            </w:r>
          </w:p>
        </w:tc>
        <w:tc>
          <w:tcPr>
            <w:tcW w:w="1200" w:type="dxa"/>
            <w:shd w:val="clear" w:color="000000" w:fill="FFFFFF"/>
            <w:noWrap/>
            <w:vAlign w:val="center"/>
            <w:hideMark/>
          </w:tcPr>
          <w:p w14:paraId="2BEFA1F0" w14:textId="77777777" w:rsidR="00D80F71" w:rsidRPr="00117BF8" w:rsidRDefault="00D80F71" w:rsidP="00306531">
            <w:pPr>
              <w:pStyle w:val="TablaC"/>
              <w:rPr>
                <w:rFonts w:ascii="Arial" w:hAnsi="Arial" w:cs="Arial"/>
                <w:sz w:val="18"/>
                <w:szCs w:val="18"/>
              </w:rPr>
            </w:pPr>
            <w:r w:rsidRPr="00117BF8">
              <w:rPr>
                <w:rFonts w:ascii="Arial" w:hAnsi="Arial" w:cs="Arial"/>
                <w:sz w:val="18"/>
                <w:szCs w:val="18"/>
              </w:rPr>
              <w:t>-2,1%</w:t>
            </w:r>
          </w:p>
        </w:tc>
      </w:tr>
      <w:tr w:rsidR="00D80F71" w:rsidRPr="00CF312E" w14:paraId="6D73D5AD" w14:textId="77777777" w:rsidTr="00655C81">
        <w:trPr>
          <w:trHeight w:val="402"/>
        </w:trPr>
        <w:tc>
          <w:tcPr>
            <w:tcW w:w="4126" w:type="dxa"/>
            <w:shd w:val="clear" w:color="000000" w:fill="C0C0C0"/>
            <w:noWrap/>
            <w:vAlign w:val="center"/>
            <w:hideMark/>
          </w:tcPr>
          <w:p w14:paraId="4253B9E8" w14:textId="77777777" w:rsidR="00D80F71" w:rsidRPr="00117BF8" w:rsidRDefault="00D80F71" w:rsidP="001B0CE5">
            <w:pPr>
              <w:pStyle w:val="TablaC"/>
              <w:jc w:val="left"/>
              <w:rPr>
                <w:rFonts w:ascii="Arial" w:hAnsi="Arial" w:cs="Arial"/>
                <w:sz w:val="18"/>
                <w:szCs w:val="18"/>
                <w:lang w:val="es-ES_tradnl"/>
              </w:rPr>
            </w:pPr>
            <w:r w:rsidRPr="00117BF8">
              <w:rPr>
                <w:rFonts w:ascii="Arial" w:hAnsi="Arial" w:cs="Arial"/>
                <w:sz w:val="18"/>
                <w:szCs w:val="18"/>
                <w:lang w:val="es-ES_tradnl"/>
              </w:rPr>
              <w:t xml:space="preserve"> X. RESULTADO FINANCIERO (VI-VII)</w:t>
            </w:r>
          </w:p>
        </w:tc>
        <w:tc>
          <w:tcPr>
            <w:tcW w:w="1380" w:type="dxa"/>
            <w:shd w:val="clear" w:color="000000" w:fill="BFBFBF"/>
            <w:noWrap/>
            <w:vAlign w:val="center"/>
            <w:hideMark/>
          </w:tcPr>
          <w:p w14:paraId="210FC82F"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-29.610,4</w:t>
            </w:r>
          </w:p>
        </w:tc>
        <w:tc>
          <w:tcPr>
            <w:tcW w:w="1320" w:type="dxa"/>
            <w:shd w:val="clear" w:color="000000" w:fill="BFBFBF"/>
            <w:noWrap/>
            <w:vAlign w:val="center"/>
            <w:hideMark/>
          </w:tcPr>
          <w:p w14:paraId="757F70D0"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-30.817,2</w:t>
            </w:r>
          </w:p>
        </w:tc>
        <w:tc>
          <w:tcPr>
            <w:tcW w:w="1200" w:type="dxa"/>
            <w:shd w:val="clear" w:color="000000" w:fill="BFBFBF"/>
            <w:noWrap/>
            <w:vAlign w:val="center"/>
            <w:hideMark/>
          </w:tcPr>
          <w:p w14:paraId="3517CF2E" w14:textId="77777777" w:rsidR="00D80F71" w:rsidRPr="00117BF8" w:rsidRDefault="00D80F71" w:rsidP="00903B65">
            <w:pPr>
              <w:pStyle w:val="TablaC"/>
              <w:rPr>
                <w:rFonts w:ascii="Arial" w:hAnsi="Arial" w:cs="Arial"/>
                <w:sz w:val="18"/>
                <w:szCs w:val="18"/>
              </w:rPr>
            </w:pPr>
            <w:r w:rsidRPr="00117BF8">
              <w:rPr>
                <w:rFonts w:ascii="Arial" w:hAnsi="Arial" w:cs="Arial"/>
                <w:sz w:val="18"/>
                <w:szCs w:val="18"/>
              </w:rPr>
              <w:t>4,1%</w:t>
            </w:r>
          </w:p>
        </w:tc>
      </w:tr>
    </w:tbl>
    <w:p w14:paraId="0FD93002" w14:textId="77777777" w:rsidR="00D80F71" w:rsidRPr="00117BF8" w:rsidRDefault="00306531" w:rsidP="00306531">
      <w:pPr>
        <w:pStyle w:val="Hfuente"/>
        <w:rPr>
          <w:rFonts w:ascii="Arial" w:hAnsi="Arial" w:cs="Arial"/>
          <w:sz w:val="18"/>
          <w:szCs w:val="18"/>
        </w:rPr>
      </w:pPr>
      <w:r w:rsidRPr="00117BF8">
        <w:rPr>
          <w:rFonts w:ascii="Arial" w:hAnsi="Arial" w:cs="Arial"/>
          <w:sz w:val="18"/>
          <w:szCs w:val="18"/>
        </w:rPr>
        <w:t>Fuente: Proyecciones de la Provincia y CGPBA</w:t>
      </w:r>
    </w:p>
    <w:p w14:paraId="1A136E68" w14:textId="407DF73E" w:rsidR="00593674" w:rsidRPr="00117BF8" w:rsidRDefault="00593674" w:rsidP="0052251F">
      <w:pPr>
        <w:pStyle w:val="hsa"/>
        <w:rPr>
          <w:rFonts w:ascii="Arial" w:hAnsi="Arial" w:cs="Arial"/>
          <w:sz w:val="22"/>
          <w:szCs w:val="22"/>
        </w:rPr>
      </w:pPr>
      <w:r w:rsidRPr="00117BF8">
        <w:rPr>
          <w:rFonts w:ascii="Arial" w:hAnsi="Arial" w:cs="Arial"/>
          <w:b/>
          <w:sz w:val="22"/>
          <w:szCs w:val="22"/>
          <w:u w:val="single"/>
        </w:rPr>
        <w:t>Proyección de Recursos Tributarios:</w:t>
      </w:r>
      <w:r w:rsidRPr="00117BF8">
        <w:rPr>
          <w:rFonts w:ascii="Arial" w:hAnsi="Arial" w:cs="Arial"/>
          <w:sz w:val="22"/>
          <w:szCs w:val="22"/>
        </w:rPr>
        <w:t xml:space="preserve"> En la proyección alternativa los recursos tributarios de origen provincial varían respecto del año base en función de la evolución del PBG nominal y de la elasticidad ingreso que se detalla en la tabla </w:t>
      </w:r>
      <w:r w:rsidR="0069589D" w:rsidRPr="00117BF8">
        <w:rPr>
          <w:rFonts w:ascii="Arial" w:hAnsi="Arial" w:cs="Arial"/>
          <w:sz w:val="22"/>
          <w:szCs w:val="22"/>
        </w:rPr>
        <w:t>4</w:t>
      </w:r>
      <w:r w:rsidR="00883677" w:rsidRPr="00117BF8">
        <w:rPr>
          <w:rFonts w:ascii="Arial" w:hAnsi="Arial" w:cs="Arial"/>
          <w:sz w:val="22"/>
          <w:szCs w:val="22"/>
        </w:rPr>
        <w:t>3</w:t>
      </w:r>
      <w:r w:rsidRPr="00117BF8">
        <w:rPr>
          <w:rFonts w:ascii="Arial" w:hAnsi="Arial" w:cs="Arial"/>
          <w:sz w:val="22"/>
          <w:szCs w:val="22"/>
        </w:rPr>
        <w:t>.</w:t>
      </w:r>
    </w:p>
    <w:p w14:paraId="767F4FAA" w14:textId="3B82D3AD" w:rsidR="00593674" w:rsidRPr="00117BF8" w:rsidRDefault="00593674" w:rsidP="0052251F">
      <w:pPr>
        <w:pStyle w:val="hsa"/>
        <w:rPr>
          <w:rFonts w:ascii="Arial" w:hAnsi="Arial" w:cs="Arial"/>
          <w:sz w:val="22"/>
          <w:szCs w:val="22"/>
        </w:rPr>
      </w:pPr>
      <w:r w:rsidRPr="00117BF8">
        <w:rPr>
          <w:rFonts w:ascii="Arial" w:hAnsi="Arial" w:cs="Arial"/>
          <w:sz w:val="22"/>
          <w:szCs w:val="22"/>
        </w:rPr>
        <w:t xml:space="preserve">Los recursos tributarios de origen nacional </w:t>
      </w:r>
      <w:r w:rsidR="00116AA3" w:rsidRPr="00117BF8">
        <w:rPr>
          <w:rFonts w:ascii="Arial" w:hAnsi="Arial" w:cs="Arial"/>
          <w:sz w:val="22"/>
          <w:szCs w:val="22"/>
        </w:rPr>
        <w:t xml:space="preserve">tienen igual evolución que los </w:t>
      </w:r>
      <w:r w:rsidR="005A28C7" w:rsidRPr="00CF312E">
        <w:rPr>
          <w:rFonts w:ascii="Arial" w:hAnsi="Arial" w:cs="Arial"/>
          <w:sz w:val="22"/>
          <w:szCs w:val="22"/>
        </w:rPr>
        <w:t>provinciales,</w:t>
      </w:r>
      <w:r w:rsidR="00116AA3" w:rsidRPr="00117BF8">
        <w:rPr>
          <w:rFonts w:ascii="Arial" w:hAnsi="Arial" w:cs="Arial"/>
          <w:sz w:val="22"/>
          <w:szCs w:val="22"/>
        </w:rPr>
        <w:t xml:space="preserve"> </w:t>
      </w:r>
      <w:r w:rsidRPr="00117BF8">
        <w:rPr>
          <w:rFonts w:ascii="Arial" w:hAnsi="Arial" w:cs="Arial"/>
          <w:sz w:val="22"/>
          <w:szCs w:val="22"/>
        </w:rPr>
        <w:t xml:space="preserve">pero </w:t>
      </w:r>
      <w:r w:rsidR="00116AA3" w:rsidRPr="00117BF8">
        <w:rPr>
          <w:rFonts w:ascii="Arial" w:hAnsi="Arial" w:cs="Arial"/>
          <w:sz w:val="22"/>
          <w:szCs w:val="22"/>
        </w:rPr>
        <w:t>con los siguientes ajustes</w:t>
      </w:r>
      <w:r w:rsidRPr="00117BF8">
        <w:rPr>
          <w:rFonts w:ascii="Arial" w:hAnsi="Arial" w:cs="Arial"/>
          <w:sz w:val="22"/>
          <w:szCs w:val="22"/>
        </w:rPr>
        <w:t>:</w:t>
      </w:r>
    </w:p>
    <w:p w14:paraId="0D201C54" w14:textId="77777777" w:rsidR="0052251F" w:rsidRPr="00117BF8" w:rsidRDefault="00593674" w:rsidP="00116AA3">
      <w:pPr>
        <w:pStyle w:val="HPUN0"/>
        <w:rPr>
          <w:rFonts w:ascii="Arial" w:hAnsi="Arial" w:cs="Arial"/>
          <w:sz w:val="22"/>
          <w:szCs w:val="22"/>
        </w:rPr>
      </w:pPr>
      <w:r w:rsidRPr="00117BF8">
        <w:rPr>
          <w:rFonts w:ascii="Arial" w:hAnsi="Arial" w:cs="Arial"/>
          <w:sz w:val="22"/>
          <w:szCs w:val="22"/>
        </w:rPr>
        <w:t xml:space="preserve">Se estima que continua la tendencia </w:t>
      </w:r>
      <w:r w:rsidR="00306531" w:rsidRPr="00117BF8">
        <w:rPr>
          <w:rFonts w:ascii="Arial" w:hAnsi="Arial" w:cs="Arial"/>
          <w:sz w:val="22"/>
          <w:szCs w:val="22"/>
        </w:rPr>
        <w:t xml:space="preserve">decreciente </w:t>
      </w:r>
      <w:r w:rsidR="0052251F" w:rsidRPr="00117BF8">
        <w:rPr>
          <w:rFonts w:ascii="Arial" w:hAnsi="Arial" w:cs="Arial"/>
          <w:sz w:val="22"/>
          <w:szCs w:val="22"/>
        </w:rPr>
        <w:t>registrada entre 2003 y 2014</w:t>
      </w:r>
      <w:r w:rsidRPr="00117BF8">
        <w:rPr>
          <w:rFonts w:ascii="Arial" w:hAnsi="Arial" w:cs="Arial"/>
          <w:sz w:val="22"/>
          <w:szCs w:val="22"/>
        </w:rPr>
        <w:t xml:space="preserve"> (Ver Gráfico </w:t>
      </w:r>
      <w:r w:rsidR="005F6AD9" w:rsidRPr="00117BF8">
        <w:rPr>
          <w:rFonts w:ascii="Arial" w:hAnsi="Arial" w:cs="Arial"/>
          <w:sz w:val="22"/>
          <w:szCs w:val="22"/>
        </w:rPr>
        <w:t>11</w:t>
      </w:r>
      <w:r w:rsidRPr="00117BF8">
        <w:rPr>
          <w:rFonts w:ascii="Arial" w:hAnsi="Arial" w:cs="Arial"/>
          <w:sz w:val="22"/>
          <w:szCs w:val="22"/>
        </w:rPr>
        <w:t>), la P</w:t>
      </w:r>
      <w:r w:rsidR="0052251F" w:rsidRPr="00117BF8">
        <w:rPr>
          <w:rFonts w:ascii="Arial" w:hAnsi="Arial" w:cs="Arial"/>
          <w:sz w:val="22"/>
          <w:szCs w:val="22"/>
        </w:rPr>
        <w:t>rovincia pasaría de una participación de 8,70%</w:t>
      </w:r>
      <w:r w:rsidR="00613085" w:rsidRPr="00117BF8">
        <w:rPr>
          <w:rFonts w:ascii="Arial" w:hAnsi="Arial" w:cs="Arial"/>
          <w:sz w:val="22"/>
          <w:szCs w:val="22"/>
        </w:rPr>
        <w:t xml:space="preserve"> en 2017 a una de 8,33 en 2028.</w:t>
      </w:r>
    </w:p>
    <w:p w14:paraId="23EB87D4" w14:textId="77777777" w:rsidR="00613085" w:rsidRPr="00117BF8" w:rsidRDefault="0015690B" w:rsidP="00116AA3">
      <w:pPr>
        <w:pStyle w:val="HPUN0"/>
        <w:rPr>
          <w:rFonts w:ascii="Arial" w:hAnsi="Arial" w:cs="Arial"/>
          <w:sz w:val="22"/>
          <w:szCs w:val="22"/>
        </w:rPr>
      </w:pPr>
      <w:r w:rsidRPr="00117BF8">
        <w:rPr>
          <w:rFonts w:ascii="Arial" w:hAnsi="Arial" w:cs="Arial"/>
          <w:sz w:val="22"/>
          <w:szCs w:val="22"/>
        </w:rPr>
        <w:t xml:space="preserve">Sobre la base de </w:t>
      </w:r>
      <w:r w:rsidR="00613085" w:rsidRPr="00117BF8">
        <w:rPr>
          <w:rFonts w:ascii="Arial" w:hAnsi="Arial" w:cs="Arial"/>
          <w:sz w:val="22"/>
          <w:szCs w:val="22"/>
        </w:rPr>
        <w:t xml:space="preserve">la recaudación observada </w:t>
      </w:r>
      <w:r w:rsidRPr="00117BF8">
        <w:rPr>
          <w:rFonts w:ascii="Arial" w:hAnsi="Arial" w:cs="Arial"/>
          <w:sz w:val="22"/>
          <w:szCs w:val="22"/>
        </w:rPr>
        <w:t xml:space="preserve">hasta el </w:t>
      </w:r>
      <w:r w:rsidR="00613085" w:rsidRPr="00117BF8">
        <w:rPr>
          <w:rFonts w:ascii="Arial" w:hAnsi="Arial" w:cs="Arial"/>
          <w:sz w:val="22"/>
          <w:szCs w:val="22"/>
        </w:rPr>
        <w:t>mes de agosto</w:t>
      </w:r>
      <w:r w:rsidRPr="00117BF8">
        <w:rPr>
          <w:rFonts w:ascii="Arial" w:hAnsi="Arial" w:cs="Arial"/>
          <w:sz w:val="22"/>
          <w:szCs w:val="22"/>
        </w:rPr>
        <w:t xml:space="preserve">, se estima para el año 2017 </w:t>
      </w:r>
      <w:r w:rsidR="00613085" w:rsidRPr="00117BF8">
        <w:rPr>
          <w:rFonts w:ascii="Arial" w:hAnsi="Arial" w:cs="Arial"/>
          <w:sz w:val="22"/>
          <w:szCs w:val="22"/>
        </w:rPr>
        <w:t>un incremento de 25,1% respecto al año previo. Este aumento es inferior al incremento del PBI nominal debido a que en el año 2016 se recaudaron montos de importancia como consecuencia de un blanqueo impositivo (También por este concepto se recaudó en 2017 pero valores muy inferiores).</w:t>
      </w:r>
      <w:r w:rsidR="00116AA3" w:rsidRPr="00117BF8">
        <w:rPr>
          <w:rFonts w:ascii="Arial" w:hAnsi="Arial" w:cs="Arial"/>
          <w:sz w:val="22"/>
          <w:szCs w:val="22"/>
        </w:rPr>
        <w:t xml:space="preserve"> Este ajuste también se realiza para el año 2018. </w:t>
      </w:r>
    </w:p>
    <w:p w14:paraId="1DC6842B" w14:textId="77777777" w:rsidR="00116AA3" w:rsidRPr="00117BF8" w:rsidRDefault="00962A45" w:rsidP="00116AA3">
      <w:pPr>
        <w:pStyle w:val="HPUN0"/>
        <w:rPr>
          <w:rFonts w:ascii="Arial" w:hAnsi="Arial" w:cs="Arial"/>
          <w:sz w:val="22"/>
          <w:szCs w:val="22"/>
        </w:rPr>
      </w:pPr>
      <w:r w:rsidRPr="00117BF8">
        <w:rPr>
          <w:rFonts w:ascii="Arial" w:hAnsi="Arial" w:cs="Arial"/>
          <w:sz w:val="22"/>
          <w:szCs w:val="22"/>
        </w:rPr>
        <w:t>El Acuerdo Federal de mayo de 2016</w:t>
      </w:r>
      <w:r w:rsidR="0015690B" w:rsidRPr="00117BF8">
        <w:rPr>
          <w:rFonts w:ascii="Arial" w:hAnsi="Arial" w:cs="Arial"/>
          <w:sz w:val="22"/>
          <w:szCs w:val="22"/>
        </w:rPr>
        <w:t xml:space="preserve"> determinó </w:t>
      </w:r>
      <w:r w:rsidRPr="00117BF8">
        <w:rPr>
          <w:rFonts w:ascii="Arial" w:hAnsi="Arial" w:cs="Arial"/>
          <w:sz w:val="22"/>
          <w:szCs w:val="22"/>
        </w:rPr>
        <w:t xml:space="preserve">la reducción paulatina de la detracción del 15% </w:t>
      </w:r>
      <w:r w:rsidR="0015690B" w:rsidRPr="00117BF8">
        <w:rPr>
          <w:rFonts w:ascii="Arial" w:hAnsi="Arial" w:cs="Arial"/>
          <w:sz w:val="22"/>
          <w:szCs w:val="22"/>
        </w:rPr>
        <w:t xml:space="preserve">que </w:t>
      </w:r>
      <w:r w:rsidR="006826AC" w:rsidRPr="00117BF8">
        <w:rPr>
          <w:rFonts w:ascii="Arial" w:hAnsi="Arial" w:cs="Arial"/>
          <w:sz w:val="22"/>
          <w:szCs w:val="22"/>
        </w:rPr>
        <w:t xml:space="preserve">realizaba </w:t>
      </w:r>
      <w:r w:rsidR="0015690B" w:rsidRPr="00117BF8">
        <w:rPr>
          <w:rFonts w:ascii="Arial" w:hAnsi="Arial" w:cs="Arial"/>
          <w:sz w:val="22"/>
          <w:szCs w:val="22"/>
        </w:rPr>
        <w:t xml:space="preserve">la Nación sobre los recursos </w:t>
      </w:r>
      <w:r w:rsidRPr="00117BF8">
        <w:rPr>
          <w:rFonts w:ascii="Arial" w:hAnsi="Arial" w:cs="Arial"/>
          <w:sz w:val="22"/>
          <w:szCs w:val="22"/>
        </w:rPr>
        <w:t>coparticipables brutos</w:t>
      </w:r>
      <w:r w:rsidR="006826AC" w:rsidRPr="00117BF8">
        <w:rPr>
          <w:rFonts w:ascii="Arial" w:hAnsi="Arial" w:cs="Arial"/>
          <w:sz w:val="22"/>
          <w:szCs w:val="22"/>
        </w:rPr>
        <w:t>. Este tenía con destino e</w:t>
      </w:r>
      <w:r w:rsidRPr="00117BF8">
        <w:rPr>
          <w:rFonts w:ascii="Arial" w:hAnsi="Arial" w:cs="Arial"/>
          <w:sz w:val="22"/>
          <w:szCs w:val="22"/>
        </w:rPr>
        <w:t xml:space="preserve">l pago de obligaciones previsionales nacionales y otros gastos operativos. </w:t>
      </w:r>
      <w:r w:rsidR="0015690B" w:rsidRPr="00117BF8">
        <w:rPr>
          <w:rFonts w:ascii="Arial" w:hAnsi="Arial" w:cs="Arial"/>
          <w:sz w:val="22"/>
          <w:szCs w:val="22"/>
        </w:rPr>
        <w:t xml:space="preserve">Para el año </w:t>
      </w:r>
      <w:r w:rsidRPr="00117BF8">
        <w:rPr>
          <w:rFonts w:ascii="Arial" w:hAnsi="Arial" w:cs="Arial"/>
          <w:sz w:val="22"/>
          <w:szCs w:val="22"/>
        </w:rPr>
        <w:t>2017 se redujo en 6 puntos y</w:t>
      </w:r>
      <w:r w:rsidR="006826AC" w:rsidRPr="00117BF8">
        <w:rPr>
          <w:rFonts w:ascii="Arial" w:hAnsi="Arial" w:cs="Arial"/>
          <w:sz w:val="22"/>
          <w:szCs w:val="22"/>
        </w:rPr>
        <w:t>,</w:t>
      </w:r>
      <w:r w:rsidRPr="00117BF8">
        <w:rPr>
          <w:rFonts w:ascii="Arial" w:hAnsi="Arial" w:cs="Arial"/>
          <w:sz w:val="22"/>
          <w:szCs w:val="22"/>
        </w:rPr>
        <w:t xml:space="preserve"> en cada año siguiente</w:t>
      </w:r>
      <w:r w:rsidR="006826AC" w:rsidRPr="00117BF8">
        <w:rPr>
          <w:rFonts w:ascii="Arial" w:hAnsi="Arial" w:cs="Arial"/>
          <w:sz w:val="22"/>
          <w:szCs w:val="22"/>
        </w:rPr>
        <w:t>,</w:t>
      </w:r>
      <w:r w:rsidRPr="00117BF8">
        <w:rPr>
          <w:rFonts w:ascii="Arial" w:hAnsi="Arial" w:cs="Arial"/>
          <w:sz w:val="22"/>
          <w:szCs w:val="22"/>
        </w:rPr>
        <w:t xml:space="preserve"> se reducirán 3 puntos, eliminándose a partir del año 2020.</w:t>
      </w:r>
      <w:r w:rsidR="00116AA3" w:rsidRPr="00117BF8">
        <w:rPr>
          <w:rFonts w:ascii="Arial" w:hAnsi="Arial" w:cs="Arial"/>
          <w:sz w:val="22"/>
          <w:szCs w:val="22"/>
        </w:rPr>
        <w:t xml:space="preserve"> Para 2017 se estimó igual monto que el estimado por la Provincia y para el resto de los años se ajustó según el resto de los supuestos contemplados.</w:t>
      </w:r>
    </w:p>
    <w:p w14:paraId="63C92948" w14:textId="77777777" w:rsidR="00D05307" w:rsidRPr="00117BF8" w:rsidRDefault="00D05307" w:rsidP="0021263A">
      <w:pPr>
        <w:pStyle w:val="hsa"/>
        <w:rPr>
          <w:rFonts w:ascii="Arial" w:hAnsi="Arial" w:cs="Arial"/>
          <w:sz w:val="22"/>
          <w:szCs w:val="22"/>
        </w:rPr>
      </w:pPr>
      <w:r w:rsidRPr="00117BF8">
        <w:rPr>
          <w:rFonts w:ascii="Arial" w:hAnsi="Arial" w:cs="Arial"/>
          <w:b/>
          <w:sz w:val="22"/>
          <w:szCs w:val="22"/>
          <w:u w:val="single"/>
        </w:rPr>
        <w:t>Contribuciones a la Seguridad Social</w:t>
      </w:r>
      <w:r w:rsidR="00EB7FD5" w:rsidRPr="00117BF8">
        <w:rPr>
          <w:rFonts w:ascii="Arial" w:hAnsi="Arial" w:cs="Arial"/>
          <w:b/>
          <w:sz w:val="22"/>
          <w:szCs w:val="22"/>
          <w:u w:val="single"/>
        </w:rPr>
        <w:t xml:space="preserve">: </w:t>
      </w:r>
      <w:r w:rsidR="00EB7FD5" w:rsidRPr="00117BF8">
        <w:rPr>
          <w:rFonts w:ascii="Arial" w:hAnsi="Arial" w:cs="Arial"/>
          <w:sz w:val="22"/>
          <w:szCs w:val="22"/>
        </w:rPr>
        <w:t>Este rubro es la contrapartida del gasto en Prestaciones de la Seguridad Social (Ver más adelante) y</w:t>
      </w:r>
      <w:r w:rsidR="00786C56" w:rsidRPr="00117BF8">
        <w:rPr>
          <w:rFonts w:ascii="Arial" w:hAnsi="Arial" w:cs="Arial"/>
          <w:sz w:val="22"/>
          <w:szCs w:val="22"/>
        </w:rPr>
        <w:t>,</w:t>
      </w:r>
      <w:r w:rsidR="00EB7FD5" w:rsidRPr="00117BF8">
        <w:rPr>
          <w:rFonts w:ascii="Arial" w:hAnsi="Arial" w:cs="Arial"/>
          <w:sz w:val="22"/>
          <w:szCs w:val="22"/>
        </w:rPr>
        <w:t xml:space="preserve"> por lo tanto</w:t>
      </w:r>
      <w:r w:rsidR="00786C56" w:rsidRPr="00117BF8">
        <w:rPr>
          <w:rFonts w:ascii="Arial" w:hAnsi="Arial" w:cs="Arial"/>
          <w:sz w:val="22"/>
          <w:szCs w:val="22"/>
        </w:rPr>
        <w:t>,</w:t>
      </w:r>
      <w:r w:rsidR="00EB7FD5" w:rsidRPr="00117BF8">
        <w:rPr>
          <w:rFonts w:ascii="Arial" w:hAnsi="Arial" w:cs="Arial"/>
          <w:sz w:val="22"/>
          <w:szCs w:val="22"/>
        </w:rPr>
        <w:t xml:space="preserve"> su comportamiento es similar. La Provincia proyecta ambos rubros de manera similar, en las proyecciones alter</w:t>
      </w:r>
      <w:r w:rsidR="00D413F9" w:rsidRPr="00117BF8">
        <w:rPr>
          <w:rFonts w:ascii="Arial" w:hAnsi="Arial" w:cs="Arial"/>
          <w:sz w:val="22"/>
          <w:szCs w:val="22"/>
        </w:rPr>
        <w:t>nativas se adopta la misma hipótesis salvo para el año 2017</w:t>
      </w:r>
      <w:r w:rsidR="00245144" w:rsidRPr="00117BF8">
        <w:rPr>
          <w:rFonts w:ascii="Arial" w:hAnsi="Arial" w:cs="Arial"/>
          <w:sz w:val="22"/>
          <w:szCs w:val="22"/>
        </w:rPr>
        <w:t xml:space="preserve"> debido a</w:t>
      </w:r>
      <w:r w:rsidR="00D413F9" w:rsidRPr="00117BF8">
        <w:rPr>
          <w:rFonts w:ascii="Arial" w:hAnsi="Arial" w:cs="Arial"/>
          <w:sz w:val="22"/>
          <w:szCs w:val="22"/>
        </w:rPr>
        <w:t xml:space="preserve"> la excepcionalidad que presentan las Prestaciones </w:t>
      </w:r>
      <w:r w:rsidR="006826AC" w:rsidRPr="00117BF8">
        <w:rPr>
          <w:rFonts w:ascii="Arial" w:hAnsi="Arial" w:cs="Arial"/>
          <w:sz w:val="22"/>
          <w:szCs w:val="22"/>
        </w:rPr>
        <w:t>(S</w:t>
      </w:r>
      <w:r w:rsidR="00D413F9" w:rsidRPr="00117BF8">
        <w:rPr>
          <w:rFonts w:ascii="Arial" w:hAnsi="Arial" w:cs="Arial"/>
          <w:sz w:val="22"/>
          <w:szCs w:val="22"/>
        </w:rPr>
        <w:t xml:space="preserve">e </w:t>
      </w:r>
      <w:r w:rsidR="006826AC" w:rsidRPr="00117BF8">
        <w:rPr>
          <w:rFonts w:ascii="Arial" w:hAnsi="Arial" w:cs="Arial"/>
          <w:sz w:val="22"/>
          <w:szCs w:val="22"/>
        </w:rPr>
        <w:t>amplía</w:t>
      </w:r>
      <w:r w:rsidR="00D413F9" w:rsidRPr="00117BF8">
        <w:rPr>
          <w:rFonts w:ascii="Arial" w:hAnsi="Arial" w:cs="Arial"/>
          <w:sz w:val="22"/>
          <w:szCs w:val="22"/>
        </w:rPr>
        <w:t xml:space="preserve"> más adelante</w:t>
      </w:r>
      <w:r w:rsidR="006826AC" w:rsidRPr="00117BF8">
        <w:rPr>
          <w:rFonts w:ascii="Arial" w:hAnsi="Arial" w:cs="Arial"/>
          <w:sz w:val="22"/>
          <w:szCs w:val="22"/>
        </w:rPr>
        <w:t>)</w:t>
      </w:r>
      <w:r w:rsidR="00D413F9" w:rsidRPr="00117BF8">
        <w:rPr>
          <w:rFonts w:ascii="Arial" w:hAnsi="Arial" w:cs="Arial"/>
          <w:sz w:val="22"/>
          <w:szCs w:val="22"/>
        </w:rPr>
        <w:t>.</w:t>
      </w:r>
      <w:r w:rsidR="00EB7FD5" w:rsidRPr="00117BF8">
        <w:rPr>
          <w:rFonts w:ascii="Arial" w:hAnsi="Arial" w:cs="Arial"/>
          <w:sz w:val="22"/>
          <w:szCs w:val="22"/>
        </w:rPr>
        <w:t xml:space="preserve"> </w:t>
      </w:r>
    </w:p>
    <w:p w14:paraId="374189D2" w14:textId="77777777" w:rsidR="00D05307" w:rsidRPr="00117BF8" w:rsidRDefault="00D05307" w:rsidP="0021263A">
      <w:pPr>
        <w:pStyle w:val="hsa"/>
        <w:rPr>
          <w:rFonts w:ascii="Arial" w:hAnsi="Arial" w:cs="Arial"/>
          <w:sz w:val="22"/>
          <w:szCs w:val="22"/>
        </w:rPr>
      </w:pPr>
      <w:r w:rsidRPr="00117BF8">
        <w:rPr>
          <w:rFonts w:ascii="Arial" w:hAnsi="Arial" w:cs="Arial"/>
          <w:b/>
          <w:sz w:val="22"/>
          <w:szCs w:val="22"/>
          <w:u w:val="single"/>
        </w:rPr>
        <w:t>Recursos No Tributarios</w:t>
      </w:r>
      <w:r w:rsidR="00D413F9" w:rsidRPr="00117BF8">
        <w:rPr>
          <w:rFonts w:ascii="Arial" w:hAnsi="Arial" w:cs="Arial"/>
          <w:sz w:val="22"/>
          <w:szCs w:val="22"/>
        </w:rPr>
        <w:t xml:space="preserve">: Estos recursos se originan en transferencias discrecionales del gobierno nacional. La Provincia </w:t>
      </w:r>
      <w:r w:rsidR="00371839" w:rsidRPr="00117BF8">
        <w:rPr>
          <w:rFonts w:ascii="Arial" w:hAnsi="Arial" w:cs="Arial"/>
          <w:sz w:val="22"/>
          <w:szCs w:val="22"/>
        </w:rPr>
        <w:t>ha proyectado valores decrecientes expresados en precios constantes, las proyecciones alternativas consideran los mismos valores nominales que los contemplados por la Provincia</w:t>
      </w:r>
      <w:r w:rsidR="00D413F9" w:rsidRPr="00117BF8">
        <w:rPr>
          <w:rFonts w:ascii="Arial" w:hAnsi="Arial" w:cs="Arial"/>
          <w:sz w:val="22"/>
          <w:szCs w:val="22"/>
        </w:rPr>
        <w:t>.</w:t>
      </w:r>
    </w:p>
    <w:p w14:paraId="68510EE2" w14:textId="77777777" w:rsidR="00C5715E" w:rsidRPr="00117BF8" w:rsidRDefault="0015690B" w:rsidP="0021263A">
      <w:pPr>
        <w:pStyle w:val="hsa"/>
        <w:rPr>
          <w:rFonts w:ascii="Arial" w:hAnsi="Arial" w:cs="Arial"/>
          <w:sz w:val="22"/>
          <w:szCs w:val="22"/>
        </w:rPr>
      </w:pPr>
      <w:r w:rsidRPr="00117BF8">
        <w:rPr>
          <w:rFonts w:ascii="Arial" w:hAnsi="Arial" w:cs="Arial"/>
          <w:b/>
          <w:sz w:val="22"/>
          <w:szCs w:val="22"/>
          <w:u w:val="single"/>
        </w:rPr>
        <w:t xml:space="preserve">Gastos </w:t>
      </w:r>
      <w:r w:rsidR="00D05307" w:rsidRPr="00117BF8">
        <w:rPr>
          <w:rFonts w:ascii="Arial" w:hAnsi="Arial" w:cs="Arial"/>
          <w:b/>
          <w:sz w:val="22"/>
          <w:szCs w:val="22"/>
          <w:u w:val="single"/>
        </w:rPr>
        <w:t>en Personal</w:t>
      </w:r>
      <w:r w:rsidRPr="00117BF8">
        <w:rPr>
          <w:rFonts w:ascii="Arial" w:hAnsi="Arial" w:cs="Arial"/>
          <w:b/>
          <w:sz w:val="22"/>
          <w:szCs w:val="22"/>
          <w:u w:val="single"/>
        </w:rPr>
        <w:t xml:space="preserve">: </w:t>
      </w:r>
      <w:r w:rsidRPr="00117BF8">
        <w:rPr>
          <w:rFonts w:ascii="Arial" w:hAnsi="Arial" w:cs="Arial"/>
          <w:sz w:val="22"/>
          <w:szCs w:val="22"/>
        </w:rPr>
        <w:t xml:space="preserve">La provincia estimó un crecimiento real </w:t>
      </w:r>
      <w:r w:rsidR="009243FC" w:rsidRPr="00117BF8">
        <w:rPr>
          <w:rFonts w:ascii="Arial" w:hAnsi="Arial" w:cs="Arial"/>
          <w:sz w:val="22"/>
          <w:szCs w:val="22"/>
        </w:rPr>
        <w:t xml:space="preserve">del gasto en personal en porcentajes variables para el período 2017 a 2021 con un crecimiento anual máximo en 2017 (4,35%) y una reducción de 2,01 en 2018 (Ver Anexo </w:t>
      </w:r>
      <w:r w:rsidR="002009BF" w:rsidRPr="00117BF8">
        <w:rPr>
          <w:rFonts w:ascii="Arial" w:hAnsi="Arial" w:cs="Arial"/>
          <w:sz w:val="22"/>
          <w:szCs w:val="22"/>
        </w:rPr>
        <w:t>V – Tabla A V - 2</w:t>
      </w:r>
      <w:r w:rsidR="009243FC" w:rsidRPr="00117BF8">
        <w:rPr>
          <w:rFonts w:ascii="Arial" w:hAnsi="Arial" w:cs="Arial"/>
          <w:sz w:val="22"/>
          <w:szCs w:val="22"/>
        </w:rPr>
        <w:t>), a</w:t>
      </w:r>
      <w:r w:rsidR="00D05307" w:rsidRPr="00117BF8">
        <w:rPr>
          <w:rFonts w:ascii="Arial" w:hAnsi="Arial" w:cs="Arial"/>
          <w:sz w:val="22"/>
          <w:szCs w:val="22"/>
        </w:rPr>
        <w:t xml:space="preserve"> partir de 2022 la variación es del 50% del crecimiento del PBG a precios constantes.</w:t>
      </w:r>
    </w:p>
    <w:p w14:paraId="08B4ECE4" w14:textId="77777777" w:rsidR="00D05307" w:rsidRPr="00117BF8" w:rsidRDefault="00D05307" w:rsidP="0021263A">
      <w:pPr>
        <w:pStyle w:val="hsa"/>
        <w:rPr>
          <w:rFonts w:ascii="Arial" w:hAnsi="Arial" w:cs="Arial"/>
          <w:sz w:val="22"/>
          <w:szCs w:val="22"/>
        </w:rPr>
      </w:pPr>
      <w:r w:rsidRPr="00117BF8">
        <w:rPr>
          <w:rFonts w:ascii="Arial" w:hAnsi="Arial" w:cs="Arial"/>
          <w:sz w:val="22"/>
          <w:szCs w:val="22"/>
        </w:rPr>
        <w:t>En las proyecciones alternativas se consideró una reducción real en el año 2017 de 3,6%</w:t>
      </w:r>
      <w:r w:rsidR="006826AC" w:rsidRPr="00117BF8">
        <w:rPr>
          <w:rFonts w:ascii="Arial" w:hAnsi="Arial" w:cs="Arial"/>
          <w:sz w:val="22"/>
          <w:szCs w:val="22"/>
        </w:rPr>
        <w:t xml:space="preserve"> (Consecuencia de los aumentos de salarios concedidos en 2017 y la inflación estimada)</w:t>
      </w:r>
      <w:r w:rsidR="00245144" w:rsidRPr="00117BF8">
        <w:rPr>
          <w:rFonts w:ascii="Arial" w:hAnsi="Arial" w:cs="Arial"/>
          <w:sz w:val="22"/>
          <w:szCs w:val="22"/>
        </w:rPr>
        <w:t>, en</w:t>
      </w:r>
      <w:r w:rsidRPr="00117BF8">
        <w:rPr>
          <w:rFonts w:ascii="Arial" w:hAnsi="Arial" w:cs="Arial"/>
          <w:sz w:val="22"/>
          <w:szCs w:val="22"/>
        </w:rPr>
        <w:t xml:space="preserve"> los años restantes se incrementó en el 50% de la evolución PGB a precios constantes</w:t>
      </w:r>
      <w:r w:rsidR="0069589D" w:rsidRPr="00117BF8">
        <w:rPr>
          <w:rFonts w:ascii="Arial" w:hAnsi="Arial" w:cs="Arial"/>
          <w:sz w:val="22"/>
          <w:szCs w:val="22"/>
        </w:rPr>
        <w:t xml:space="preserve"> (Anexo VII – Tabla A VII – 5)</w:t>
      </w:r>
      <w:r w:rsidRPr="00117BF8">
        <w:rPr>
          <w:rFonts w:ascii="Arial" w:hAnsi="Arial" w:cs="Arial"/>
          <w:sz w:val="22"/>
          <w:szCs w:val="22"/>
        </w:rPr>
        <w:t>.</w:t>
      </w:r>
    </w:p>
    <w:p w14:paraId="1FF092D0" w14:textId="77777777" w:rsidR="00D05307" w:rsidRPr="00117BF8" w:rsidRDefault="00D05307" w:rsidP="0021263A">
      <w:pPr>
        <w:pStyle w:val="hsa"/>
        <w:rPr>
          <w:rFonts w:ascii="Arial" w:hAnsi="Arial" w:cs="Arial"/>
          <w:sz w:val="22"/>
          <w:szCs w:val="22"/>
        </w:rPr>
      </w:pPr>
      <w:r w:rsidRPr="00117BF8">
        <w:rPr>
          <w:rFonts w:ascii="Arial" w:hAnsi="Arial" w:cs="Arial"/>
          <w:b/>
          <w:sz w:val="22"/>
          <w:szCs w:val="22"/>
          <w:u w:val="single"/>
        </w:rPr>
        <w:t>Gastos en Bienes y Servicios:</w:t>
      </w:r>
      <w:r w:rsidRPr="00117BF8">
        <w:rPr>
          <w:rFonts w:ascii="Arial" w:hAnsi="Arial" w:cs="Arial"/>
          <w:sz w:val="22"/>
          <w:szCs w:val="22"/>
        </w:rPr>
        <w:t xml:space="preserve"> La </w:t>
      </w:r>
      <w:r w:rsidR="000F5830" w:rsidRPr="00117BF8">
        <w:rPr>
          <w:rFonts w:ascii="Arial" w:hAnsi="Arial" w:cs="Arial"/>
          <w:sz w:val="22"/>
          <w:szCs w:val="22"/>
        </w:rPr>
        <w:t>P</w:t>
      </w:r>
      <w:r w:rsidRPr="00117BF8">
        <w:rPr>
          <w:rFonts w:ascii="Arial" w:hAnsi="Arial" w:cs="Arial"/>
          <w:sz w:val="22"/>
          <w:szCs w:val="22"/>
        </w:rPr>
        <w:t>rovincia estima una variación real de 3,20% para el año 2017 y luego igual variación que el PBG.</w:t>
      </w:r>
    </w:p>
    <w:p w14:paraId="6B3D00F0" w14:textId="3792AEFC" w:rsidR="00D05307" w:rsidRPr="00117BF8" w:rsidRDefault="00D05307" w:rsidP="0021263A">
      <w:pPr>
        <w:pStyle w:val="hsa"/>
        <w:rPr>
          <w:rFonts w:ascii="Arial" w:hAnsi="Arial" w:cs="Arial"/>
          <w:sz w:val="22"/>
          <w:szCs w:val="22"/>
        </w:rPr>
      </w:pPr>
      <w:r w:rsidRPr="00117BF8">
        <w:rPr>
          <w:rFonts w:ascii="Arial" w:hAnsi="Arial" w:cs="Arial"/>
          <w:sz w:val="22"/>
          <w:szCs w:val="22"/>
        </w:rPr>
        <w:t>En las proye</w:t>
      </w:r>
      <w:r w:rsidR="00312A08" w:rsidRPr="00117BF8">
        <w:rPr>
          <w:rFonts w:ascii="Arial" w:hAnsi="Arial" w:cs="Arial"/>
          <w:sz w:val="22"/>
          <w:szCs w:val="22"/>
        </w:rPr>
        <w:t xml:space="preserve">cciones alternativas </w:t>
      </w:r>
      <w:r w:rsidR="006826AC" w:rsidRPr="00117BF8">
        <w:rPr>
          <w:rFonts w:ascii="Arial" w:hAnsi="Arial" w:cs="Arial"/>
          <w:sz w:val="22"/>
          <w:szCs w:val="22"/>
        </w:rPr>
        <w:t>se proyecta igual incremento que e</w:t>
      </w:r>
      <w:r w:rsidR="0056572A" w:rsidRPr="00117BF8">
        <w:rPr>
          <w:rFonts w:ascii="Arial" w:hAnsi="Arial" w:cs="Arial"/>
          <w:sz w:val="22"/>
          <w:szCs w:val="22"/>
        </w:rPr>
        <w:t xml:space="preserve">l PBG y, además, se incorpora el costo de mantenimiento de la infraestructura financiada con </w:t>
      </w:r>
      <w:r w:rsidR="000F459A" w:rsidRPr="00117BF8">
        <w:rPr>
          <w:rFonts w:ascii="Arial" w:hAnsi="Arial" w:cs="Arial"/>
          <w:sz w:val="22"/>
          <w:szCs w:val="22"/>
        </w:rPr>
        <w:t>el</w:t>
      </w:r>
      <w:r w:rsidR="0056572A" w:rsidRPr="00117BF8">
        <w:rPr>
          <w:rFonts w:ascii="Arial" w:hAnsi="Arial" w:cs="Arial"/>
          <w:sz w:val="22"/>
          <w:szCs w:val="22"/>
        </w:rPr>
        <w:t xml:space="preserve"> programa</w:t>
      </w:r>
      <w:r w:rsidR="000F459A" w:rsidRPr="00117BF8">
        <w:rPr>
          <w:rFonts w:ascii="Arial" w:hAnsi="Arial" w:cs="Arial"/>
          <w:sz w:val="22"/>
          <w:szCs w:val="22"/>
        </w:rPr>
        <w:t xml:space="preserve"> </w:t>
      </w:r>
      <w:r w:rsidR="005A28C7">
        <w:rPr>
          <w:rFonts w:ascii="Arial" w:hAnsi="Arial" w:cs="Arial"/>
          <w:sz w:val="22"/>
          <w:szCs w:val="22"/>
        </w:rPr>
        <w:br/>
      </w:r>
      <w:r w:rsidR="000F459A" w:rsidRPr="00117BF8">
        <w:rPr>
          <w:rFonts w:ascii="Arial" w:hAnsi="Arial" w:cs="Arial"/>
          <w:sz w:val="22"/>
          <w:szCs w:val="22"/>
        </w:rPr>
        <w:t xml:space="preserve">AR-L1273, no así el correspondiente al AR-L1274. </w:t>
      </w:r>
      <w:r w:rsidR="00245144" w:rsidRPr="00117BF8">
        <w:rPr>
          <w:rFonts w:ascii="Arial" w:hAnsi="Arial" w:cs="Arial"/>
          <w:sz w:val="22"/>
          <w:szCs w:val="22"/>
        </w:rPr>
        <w:t>E</w:t>
      </w:r>
      <w:r w:rsidR="000F459A" w:rsidRPr="00117BF8">
        <w:rPr>
          <w:rFonts w:ascii="Arial" w:hAnsi="Arial" w:cs="Arial"/>
          <w:sz w:val="22"/>
          <w:szCs w:val="22"/>
        </w:rPr>
        <w:t xml:space="preserve">stos gastos se </w:t>
      </w:r>
      <w:r w:rsidR="00245144" w:rsidRPr="00117BF8">
        <w:rPr>
          <w:rFonts w:ascii="Arial" w:hAnsi="Arial" w:cs="Arial"/>
          <w:sz w:val="22"/>
          <w:szCs w:val="22"/>
        </w:rPr>
        <w:t xml:space="preserve">explicitan </w:t>
      </w:r>
      <w:r w:rsidR="000F459A" w:rsidRPr="00117BF8">
        <w:rPr>
          <w:rFonts w:ascii="Arial" w:hAnsi="Arial" w:cs="Arial"/>
          <w:sz w:val="22"/>
          <w:szCs w:val="22"/>
        </w:rPr>
        <w:t>en el título “</w:t>
      </w:r>
      <w:r w:rsidR="000F459A" w:rsidRPr="00117BF8">
        <w:rPr>
          <w:rFonts w:ascii="Arial" w:hAnsi="Arial" w:cs="Arial"/>
          <w:sz w:val="22"/>
          <w:szCs w:val="22"/>
        </w:rPr>
        <w:fldChar w:fldCharType="begin"/>
      </w:r>
      <w:r w:rsidR="000F459A" w:rsidRPr="00117BF8">
        <w:rPr>
          <w:rFonts w:ascii="Arial" w:hAnsi="Arial" w:cs="Arial"/>
          <w:sz w:val="22"/>
          <w:szCs w:val="22"/>
        </w:rPr>
        <w:instrText xml:space="preserve"> REF _Ref493357368 \h </w:instrText>
      </w:r>
      <w:r w:rsidR="00CF312E" w:rsidRPr="00CF312E">
        <w:rPr>
          <w:rFonts w:ascii="Arial" w:hAnsi="Arial" w:cs="Arial"/>
          <w:sz w:val="22"/>
          <w:szCs w:val="22"/>
        </w:rPr>
        <w:instrText xml:space="preserve"> \* MERGEFORMAT </w:instrText>
      </w:r>
      <w:r w:rsidR="000F459A" w:rsidRPr="00117BF8">
        <w:rPr>
          <w:rFonts w:ascii="Arial" w:hAnsi="Arial" w:cs="Arial"/>
          <w:sz w:val="22"/>
          <w:szCs w:val="22"/>
        </w:rPr>
      </w:r>
      <w:r w:rsidR="000F459A" w:rsidRPr="00117BF8">
        <w:rPr>
          <w:rFonts w:ascii="Arial" w:hAnsi="Arial" w:cs="Arial"/>
          <w:sz w:val="22"/>
          <w:szCs w:val="22"/>
        </w:rPr>
        <w:fldChar w:fldCharType="separate"/>
      </w:r>
      <w:r w:rsidR="006826AC" w:rsidRPr="00117BF8">
        <w:rPr>
          <w:rFonts w:ascii="Arial" w:eastAsia="Calibri" w:hAnsi="Arial" w:cs="Arial"/>
          <w:sz w:val="22"/>
          <w:szCs w:val="22"/>
        </w:rPr>
        <w:t>Características y Proyecciones</w:t>
      </w:r>
      <w:r w:rsidR="000F459A" w:rsidRPr="00117BF8">
        <w:rPr>
          <w:rFonts w:ascii="Arial" w:hAnsi="Arial" w:cs="Arial"/>
          <w:sz w:val="22"/>
          <w:szCs w:val="22"/>
        </w:rPr>
        <w:fldChar w:fldCharType="end"/>
      </w:r>
      <w:r w:rsidR="000F459A" w:rsidRPr="00117BF8">
        <w:rPr>
          <w:rFonts w:ascii="Arial" w:hAnsi="Arial" w:cs="Arial"/>
          <w:sz w:val="22"/>
          <w:szCs w:val="22"/>
        </w:rPr>
        <w:t>” del capítulo “</w:t>
      </w:r>
      <w:r w:rsidR="000F459A" w:rsidRPr="00117BF8">
        <w:rPr>
          <w:rFonts w:ascii="Arial" w:hAnsi="Arial" w:cs="Arial"/>
          <w:sz w:val="22"/>
          <w:szCs w:val="22"/>
        </w:rPr>
        <w:fldChar w:fldCharType="begin"/>
      </w:r>
      <w:r w:rsidR="000F459A" w:rsidRPr="00117BF8">
        <w:rPr>
          <w:rFonts w:ascii="Arial" w:hAnsi="Arial" w:cs="Arial"/>
          <w:sz w:val="22"/>
          <w:szCs w:val="22"/>
        </w:rPr>
        <w:instrText xml:space="preserve"> REF _Ref493357375 \h </w:instrText>
      </w:r>
      <w:r w:rsidR="00CF312E" w:rsidRPr="00CF312E">
        <w:rPr>
          <w:rFonts w:ascii="Arial" w:hAnsi="Arial" w:cs="Arial"/>
          <w:sz w:val="22"/>
          <w:szCs w:val="22"/>
        </w:rPr>
        <w:instrText xml:space="preserve"> \* MERGEFORMAT </w:instrText>
      </w:r>
      <w:r w:rsidR="000F459A" w:rsidRPr="00117BF8">
        <w:rPr>
          <w:rFonts w:ascii="Arial" w:hAnsi="Arial" w:cs="Arial"/>
          <w:sz w:val="22"/>
          <w:szCs w:val="22"/>
        </w:rPr>
      </w:r>
      <w:r w:rsidR="000F459A" w:rsidRPr="00117BF8">
        <w:rPr>
          <w:rFonts w:ascii="Arial" w:hAnsi="Arial" w:cs="Arial"/>
          <w:sz w:val="22"/>
          <w:szCs w:val="22"/>
        </w:rPr>
        <w:fldChar w:fldCharType="separate"/>
      </w:r>
      <w:r w:rsidR="00DA6762" w:rsidRPr="00117BF8">
        <w:rPr>
          <w:rFonts w:ascii="Arial" w:eastAsia="Calibri" w:hAnsi="Arial" w:cs="Arial"/>
          <w:sz w:val="22"/>
          <w:szCs w:val="22"/>
        </w:rPr>
        <w:t>Las Operaciones de Préstamo BID</w:t>
      </w:r>
      <w:r w:rsidR="000F459A" w:rsidRPr="00117BF8">
        <w:rPr>
          <w:rFonts w:ascii="Arial" w:hAnsi="Arial" w:cs="Arial"/>
          <w:sz w:val="22"/>
          <w:szCs w:val="22"/>
        </w:rPr>
        <w:fldChar w:fldCharType="end"/>
      </w:r>
      <w:r w:rsidR="000F459A" w:rsidRPr="00117BF8">
        <w:rPr>
          <w:rFonts w:ascii="Arial" w:hAnsi="Arial" w:cs="Arial"/>
          <w:sz w:val="22"/>
          <w:szCs w:val="22"/>
        </w:rPr>
        <w:t>”</w:t>
      </w:r>
      <w:r w:rsidR="0056572A" w:rsidRPr="00117BF8">
        <w:rPr>
          <w:rFonts w:ascii="Arial" w:hAnsi="Arial" w:cs="Arial"/>
          <w:sz w:val="22"/>
          <w:szCs w:val="22"/>
        </w:rPr>
        <w:t>.</w:t>
      </w:r>
    </w:p>
    <w:p w14:paraId="1E59ED0D" w14:textId="77777777" w:rsidR="00D36210" w:rsidRPr="00117BF8" w:rsidRDefault="00D36210" w:rsidP="0021263A">
      <w:pPr>
        <w:pStyle w:val="hsa"/>
        <w:rPr>
          <w:rFonts w:ascii="Arial" w:hAnsi="Arial" w:cs="Arial"/>
          <w:sz w:val="22"/>
          <w:szCs w:val="22"/>
        </w:rPr>
      </w:pPr>
      <w:r w:rsidRPr="00117BF8">
        <w:rPr>
          <w:rFonts w:ascii="Arial" w:hAnsi="Arial" w:cs="Arial"/>
          <w:b/>
          <w:sz w:val="22"/>
          <w:szCs w:val="22"/>
          <w:u w:val="single"/>
        </w:rPr>
        <w:t>Intereses:</w:t>
      </w:r>
      <w:r w:rsidRPr="00117BF8">
        <w:rPr>
          <w:rFonts w:ascii="Arial" w:hAnsi="Arial" w:cs="Arial"/>
          <w:sz w:val="22"/>
          <w:szCs w:val="22"/>
        </w:rPr>
        <w:t xml:space="preserve"> Ver</w:t>
      </w:r>
      <w:r w:rsidR="00C829EF" w:rsidRPr="00117BF8">
        <w:rPr>
          <w:rFonts w:ascii="Arial" w:hAnsi="Arial" w:cs="Arial"/>
          <w:sz w:val="22"/>
          <w:szCs w:val="22"/>
        </w:rPr>
        <w:t xml:space="preserve"> Servicio de D</w:t>
      </w:r>
      <w:r w:rsidRPr="00117BF8">
        <w:rPr>
          <w:rFonts w:ascii="Arial" w:hAnsi="Arial" w:cs="Arial"/>
          <w:sz w:val="22"/>
          <w:szCs w:val="22"/>
        </w:rPr>
        <w:t>euda</w:t>
      </w:r>
    </w:p>
    <w:p w14:paraId="7AE7DAEB" w14:textId="72F80EF2" w:rsidR="00312A08" w:rsidRPr="00117BF8" w:rsidRDefault="00312A08" w:rsidP="0021263A">
      <w:pPr>
        <w:pStyle w:val="hsa"/>
        <w:rPr>
          <w:rFonts w:ascii="Arial" w:hAnsi="Arial" w:cs="Arial"/>
          <w:sz w:val="22"/>
          <w:szCs w:val="22"/>
        </w:rPr>
      </w:pPr>
      <w:r w:rsidRPr="00117BF8">
        <w:rPr>
          <w:rFonts w:ascii="Arial" w:hAnsi="Arial" w:cs="Arial"/>
          <w:b/>
          <w:sz w:val="22"/>
          <w:szCs w:val="22"/>
          <w:u w:val="single"/>
        </w:rPr>
        <w:t>Prestaciones de la Seguridad Social:</w:t>
      </w:r>
      <w:r w:rsidRPr="00117BF8">
        <w:rPr>
          <w:rFonts w:ascii="Arial" w:hAnsi="Arial" w:cs="Arial"/>
          <w:sz w:val="22"/>
          <w:szCs w:val="22"/>
        </w:rPr>
        <w:t xml:space="preserve"> Salvo para el año 2017, la Provincia proyecta para est</w:t>
      </w:r>
      <w:r w:rsidR="005A28C7">
        <w:rPr>
          <w:rFonts w:ascii="Arial" w:hAnsi="Arial" w:cs="Arial"/>
          <w:sz w:val="22"/>
          <w:szCs w:val="22"/>
        </w:rPr>
        <w:t xml:space="preserve">os </w:t>
      </w:r>
      <w:r w:rsidRPr="00117BF8">
        <w:rPr>
          <w:rFonts w:ascii="Arial" w:hAnsi="Arial" w:cs="Arial"/>
          <w:sz w:val="22"/>
          <w:szCs w:val="22"/>
        </w:rPr>
        <w:t>gastos iguales variaciones reales que el Gasto en Personal, lo cual es razonable por la íntima relación entre estos rubros.</w:t>
      </w:r>
    </w:p>
    <w:p w14:paraId="2BC6695A" w14:textId="290C60DD" w:rsidR="00312A08" w:rsidRPr="00117BF8" w:rsidRDefault="00312A08" w:rsidP="0021263A">
      <w:pPr>
        <w:pStyle w:val="hsa"/>
        <w:rPr>
          <w:rFonts w:ascii="Arial" w:hAnsi="Arial" w:cs="Arial"/>
          <w:sz w:val="22"/>
          <w:szCs w:val="22"/>
        </w:rPr>
      </w:pPr>
      <w:r w:rsidRPr="00117BF8">
        <w:rPr>
          <w:rFonts w:ascii="Arial" w:hAnsi="Arial" w:cs="Arial"/>
          <w:sz w:val="22"/>
          <w:szCs w:val="22"/>
        </w:rPr>
        <w:t>En las proyecciones alternativas</w:t>
      </w:r>
      <w:r w:rsidR="00DA6762" w:rsidRPr="00117BF8">
        <w:rPr>
          <w:rFonts w:ascii="Arial" w:hAnsi="Arial" w:cs="Arial"/>
          <w:sz w:val="22"/>
          <w:szCs w:val="22"/>
        </w:rPr>
        <w:t xml:space="preserve">, los valores, en términos reales, del </w:t>
      </w:r>
      <w:r w:rsidRPr="00117BF8">
        <w:rPr>
          <w:rFonts w:ascii="Arial" w:hAnsi="Arial" w:cs="Arial"/>
          <w:sz w:val="22"/>
          <w:szCs w:val="22"/>
        </w:rPr>
        <w:t>año 2017 se reduce</w:t>
      </w:r>
      <w:r w:rsidR="00DA6762" w:rsidRPr="00117BF8">
        <w:rPr>
          <w:rFonts w:ascii="Arial" w:hAnsi="Arial" w:cs="Arial"/>
          <w:sz w:val="22"/>
          <w:szCs w:val="22"/>
        </w:rPr>
        <w:t>n</w:t>
      </w:r>
      <w:r w:rsidRPr="00117BF8">
        <w:rPr>
          <w:rFonts w:ascii="Arial" w:hAnsi="Arial" w:cs="Arial"/>
          <w:sz w:val="22"/>
          <w:szCs w:val="22"/>
        </w:rPr>
        <w:t xml:space="preserve"> en 19,5%, debido a que en 2016 </w:t>
      </w:r>
      <w:r w:rsidR="000F5830" w:rsidRPr="00117BF8">
        <w:rPr>
          <w:rFonts w:ascii="Arial" w:hAnsi="Arial" w:cs="Arial"/>
          <w:sz w:val="22"/>
          <w:szCs w:val="22"/>
        </w:rPr>
        <w:t>se registró un gasto excepcional</w:t>
      </w:r>
      <w:r w:rsidR="00DA6762" w:rsidRPr="00117BF8">
        <w:rPr>
          <w:rFonts w:ascii="Arial" w:hAnsi="Arial" w:cs="Arial"/>
          <w:sz w:val="22"/>
          <w:szCs w:val="22"/>
        </w:rPr>
        <w:t xml:space="preserve"> en este rubro</w:t>
      </w:r>
      <w:r w:rsidR="000F5830" w:rsidRPr="00117BF8">
        <w:rPr>
          <w:rFonts w:ascii="Arial" w:hAnsi="Arial" w:cs="Arial"/>
          <w:sz w:val="22"/>
          <w:szCs w:val="22"/>
        </w:rPr>
        <w:t xml:space="preserve"> (Ver </w:t>
      </w:r>
      <w:r w:rsidR="000F5830" w:rsidRPr="00117BF8">
        <w:rPr>
          <w:rFonts w:ascii="Arial" w:hAnsi="Arial" w:cs="Arial"/>
          <w:sz w:val="22"/>
          <w:szCs w:val="22"/>
        </w:rPr>
        <w:fldChar w:fldCharType="begin"/>
      </w:r>
      <w:r w:rsidR="000F5830" w:rsidRPr="00117BF8">
        <w:rPr>
          <w:rFonts w:ascii="Arial" w:hAnsi="Arial" w:cs="Arial"/>
          <w:sz w:val="22"/>
          <w:szCs w:val="22"/>
        </w:rPr>
        <w:instrText xml:space="preserve"> REF _Ref493177537 \h </w:instrText>
      </w:r>
      <w:r w:rsidR="00CF312E" w:rsidRPr="00CF312E">
        <w:rPr>
          <w:rFonts w:ascii="Arial" w:hAnsi="Arial" w:cs="Arial"/>
          <w:sz w:val="22"/>
          <w:szCs w:val="22"/>
        </w:rPr>
        <w:instrText xml:space="preserve"> \* MERGEFORMAT </w:instrText>
      </w:r>
      <w:r w:rsidR="000F5830" w:rsidRPr="00117BF8">
        <w:rPr>
          <w:rFonts w:ascii="Arial" w:hAnsi="Arial" w:cs="Arial"/>
          <w:sz w:val="22"/>
          <w:szCs w:val="22"/>
        </w:rPr>
      </w:r>
      <w:r w:rsidR="000F5830" w:rsidRPr="00117BF8">
        <w:rPr>
          <w:rFonts w:ascii="Arial" w:hAnsi="Arial" w:cs="Arial"/>
          <w:sz w:val="22"/>
          <w:szCs w:val="22"/>
        </w:rPr>
        <w:fldChar w:fldCharType="separate"/>
      </w:r>
      <w:r w:rsidR="00DA6762" w:rsidRPr="00117BF8">
        <w:rPr>
          <w:rFonts w:ascii="Arial" w:eastAsia="Calibri" w:hAnsi="Arial" w:cs="Arial"/>
          <w:sz w:val="22"/>
          <w:szCs w:val="22"/>
        </w:rPr>
        <w:t>Clasificación por Finalidad/Función y Objeto del Gasto</w:t>
      </w:r>
      <w:r w:rsidR="000F5830" w:rsidRPr="00117BF8">
        <w:rPr>
          <w:rFonts w:ascii="Arial" w:hAnsi="Arial" w:cs="Arial"/>
          <w:sz w:val="22"/>
          <w:szCs w:val="22"/>
        </w:rPr>
        <w:fldChar w:fldCharType="end"/>
      </w:r>
      <w:r w:rsidR="000F5830" w:rsidRPr="00117BF8">
        <w:rPr>
          <w:rFonts w:ascii="Arial" w:hAnsi="Arial" w:cs="Arial"/>
          <w:sz w:val="22"/>
          <w:szCs w:val="22"/>
        </w:rPr>
        <w:t>) y luego se proyecta con la misma evolución que el gasto en personal.</w:t>
      </w:r>
    </w:p>
    <w:p w14:paraId="75C45E76" w14:textId="77777777" w:rsidR="000F5830" w:rsidRPr="00117BF8" w:rsidRDefault="000F5830" w:rsidP="0021263A">
      <w:pPr>
        <w:pStyle w:val="hsa"/>
        <w:rPr>
          <w:rFonts w:ascii="Arial" w:hAnsi="Arial" w:cs="Arial"/>
          <w:sz w:val="22"/>
          <w:szCs w:val="22"/>
        </w:rPr>
      </w:pPr>
      <w:r w:rsidRPr="00117BF8">
        <w:rPr>
          <w:rFonts w:ascii="Arial" w:hAnsi="Arial" w:cs="Arial"/>
          <w:b/>
          <w:sz w:val="22"/>
          <w:szCs w:val="22"/>
          <w:u w:val="single"/>
        </w:rPr>
        <w:t xml:space="preserve">Transferencias Corrientes y otros gastos: </w:t>
      </w:r>
      <w:r w:rsidRPr="00117BF8">
        <w:rPr>
          <w:rFonts w:ascii="Arial" w:hAnsi="Arial" w:cs="Arial"/>
          <w:sz w:val="22"/>
          <w:szCs w:val="22"/>
        </w:rPr>
        <w:t>La Provincia estima para 2017 una reducción de 1% y en los años siguientes, por lo general, una evolución intermedia entre la evolución de los recursos tributarios y los gastos en personal.</w:t>
      </w:r>
    </w:p>
    <w:p w14:paraId="0968BAA0" w14:textId="77777777" w:rsidR="000F5830" w:rsidRPr="00117BF8" w:rsidRDefault="000F5830" w:rsidP="0021263A">
      <w:pPr>
        <w:pStyle w:val="hsa"/>
        <w:rPr>
          <w:rFonts w:ascii="Arial" w:hAnsi="Arial" w:cs="Arial"/>
          <w:sz w:val="22"/>
          <w:szCs w:val="22"/>
        </w:rPr>
      </w:pPr>
      <w:r w:rsidRPr="00117BF8">
        <w:rPr>
          <w:rFonts w:ascii="Arial" w:hAnsi="Arial" w:cs="Arial"/>
          <w:sz w:val="22"/>
          <w:szCs w:val="22"/>
        </w:rPr>
        <w:t>En las proyecciones alternativas se considera</w:t>
      </w:r>
      <w:r w:rsidR="00F25A51" w:rsidRPr="00117BF8">
        <w:rPr>
          <w:rFonts w:ascii="Arial" w:hAnsi="Arial" w:cs="Arial"/>
          <w:sz w:val="22"/>
          <w:szCs w:val="22"/>
        </w:rPr>
        <w:t xml:space="preserve"> que este rubro se compone de las transferencias </w:t>
      </w:r>
      <w:r w:rsidR="00245144" w:rsidRPr="00117BF8">
        <w:rPr>
          <w:rFonts w:ascii="Arial" w:hAnsi="Arial" w:cs="Arial"/>
          <w:sz w:val="22"/>
          <w:szCs w:val="22"/>
        </w:rPr>
        <w:t xml:space="preserve">originadas en la coparticipación </w:t>
      </w:r>
      <w:r w:rsidR="00F25A51" w:rsidRPr="00117BF8">
        <w:rPr>
          <w:rFonts w:ascii="Arial" w:hAnsi="Arial" w:cs="Arial"/>
          <w:sz w:val="22"/>
          <w:szCs w:val="22"/>
        </w:rPr>
        <w:t>municip</w:t>
      </w:r>
      <w:r w:rsidR="00245144" w:rsidRPr="00117BF8">
        <w:rPr>
          <w:rFonts w:ascii="Arial" w:hAnsi="Arial" w:cs="Arial"/>
          <w:sz w:val="22"/>
          <w:szCs w:val="22"/>
        </w:rPr>
        <w:t>al</w:t>
      </w:r>
      <w:r w:rsidR="00F25A51" w:rsidRPr="00117BF8">
        <w:rPr>
          <w:rFonts w:ascii="Arial" w:hAnsi="Arial" w:cs="Arial"/>
          <w:sz w:val="22"/>
          <w:szCs w:val="22"/>
        </w:rPr>
        <w:t xml:space="preserve"> y el resto son esencialmente destinadas a la educación privada, por esta razón las primeras evolucionan según la recaudación tributaria, mientras que el resto de igual manera que los gastos en personal. La proporción </w:t>
      </w:r>
      <w:r w:rsidR="00245144" w:rsidRPr="00117BF8">
        <w:rPr>
          <w:rFonts w:ascii="Arial" w:hAnsi="Arial" w:cs="Arial"/>
          <w:sz w:val="22"/>
          <w:szCs w:val="22"/>
        </w:rPr>
        <w:t xml:space="preserve">base </w:t>
      </w:r>
      <w:r w:rsidR="00F25A51" w:rsidRPr="00117BF8">
        <w:rPr>
          <w:rFonts w:ascii="Arial" w:hAnsi="Arial" w:cs="Arial"/>
          <w:sz w:val="22"/>
          <w:szCs w:val="22"/>
        </w:rPr>
        <w:t xml:space="preserve">de cada componente </w:t>
      </w:r>
      <w:r w:rsidR="00245144" w:rsidRPr="00117BF8">
        <w:rPr>
          <w:rFonts w:ascii="Arial" w:hAnsi="Arial" w:cs="Arial"/>
          <w:sz w:val="22"/>
          <w:szCs w:val="22"/>
        </w:rPr>
        <w:t xml:space="preserve">es la ocurrida en </w:t>
      </w:r>
      <w:r w:rsidR="00F25A51" w:rsidRPr="00117BF8">
        <w:rPr>
          <w:rFonts w:ascii="Arial" w:hAnsi="Arial" w:cs="Arial"/>
          <w:sz w:val="22"/>
          <w:szCs w:val="22"/>
        </w:rPr>
        <w:t>2016 (57% Transferencias a Municipios y 43% el resto).</w:t>
      </w:r>
    </w:p>
    <w:p w14:paraId="11CC3304" w14:textId="02A79BF5" w:rsidR="00D36210" w:rsidRPr="00117BF8" w:rsidRDefault="00D36210" w:rsidP="0021263A">
      <w:pPr>
        <w:pStyle w:val="hsa"/>
        <w:rPr>
          <w:rFonts w:ascii="Arial" w:hAnsi="Arial" w:cs="Arial"/>
          <w:sz w:val="22"/>
          <w:szCs w:val="22"/>
        </w:rPr>
      </w:pPr>
      <w:r w:rsidRPr="00117BF8">
        <w:rPr>
          <w:rFonts w:ascii="Arial" w:hAnsi="Arial" w:cs="Arial"/>
          <w:b/>
          <w:sz w:val="22"/>
          <w:szCs w:val="22"/>
          <w:u w:val="single"/>
        </w:rPr>
        <w:t>Ingresos y Gastos de Capital:</w:t>
      </w:r>
      <w:r w:rsidRPr="00117BF8">
        <w:rPr>
          <w:rFonts w:ascii="Arial" w:hAnsi="Arial" w:cs="Arial"/>
          <w:sz w:val="22"/>
          <w:szCs w:val="22"/>
        </w:rPr>
        <w:t xml:space="preserve"> Las proyecciones alternativas consideran iguales montos que </w:t>
      </w:r>
      <w:r w:rsidR="003659A4" w:rsidRPr="00117BF8">
        <w:rPr>
          <w:rFonts w:ascii="Arial" w:hAnsi="Arial" w:cs="Arial"/>
          <w:sz w:val="22"/>
          <w:szCs w:val="22"/>
        </w:rPr>
        <w:t xml:space="preserve">las realizadas por la Provincia, salvo que los gastos de capital alternativos incorporan los montos de inversión previstos en </w:t>
      </w:r>
      <w:r w:rsidR="00DA6762" w:rsidRPr="00117BF8">
        <w:rPr>
          <w:rFonts w:ascii="Arial" w:hAnsi="Arial" w:cs="Arial"/>
          <w:sz w:val="22"/>
          <w:szCs w:val="22"/>
        </w:rPr>
        <w:t>Las Operaciones</w:t>
      </w:r>
      <w:r w:rsidR="003659A4" w:rsidRPr="00117BF8">
        <w:rPr>
          <w:rFonts w:ascii="Arial" w:hAnsi="Arial" w:cs="Arial"/>
          <w:sz w:val="22"/>
          <w:szCs w:val="22"/>
        </w:rPr>
        <w:t xml:space="preserve"> </w:t>
      </w:r>
      <w:r w:rsidR="00DA6762" w:rsidRPr="00117BF8">
        <w:rPr>
          <w:rFonts w:ascii="Arial" w:hAnsi="Arial" w:cs="Arial"/>
          <w:sz w:val="22"/>
          <w:szCs w:val="22"/>
        </w:rPr>
        <w:t xml:space="preserve">detallados </w:t>
      </w:r>
      <w:r w:rsidR="003659A4" w:rsidRPr="00117BF8">
        <w:rPr>
          <w:rFonts w:ascii="Arial" w:hAnsi="Arial" w:cs="Arial"/>
          <w:sz w:val="22"/>
          <w:szCs w:val="22"/>
        </w:rPr>
        <w:t xml:space="preserve">en </w:t>
      </w:r>
      <w:r w:rsidR="00937D16" w:rsidRPr="00117BF8">
        <w:rPr>
          <w:rFonts w:ascii="Arial" w:hAnsi="Arial" w:cs="Arial"/>
          <w:sz w:val="22"/>
          <w:szCs w:val="22"/>
        </w:rPr>
        <w:t>el título “</w:t>
      </w:r>
      <w:r w:rsidR="00937D16" w:rsidRPr="00117BF8">
        <w:rPr>
          <w:rFonts w:ascii="Arial" w:hAnsi="Arial" w:cs="Arial"/>
          <w:sz w:val="22"/>
          <w:szCs w:val="22"/>
        </w:rPr>
        <w:fldChar w:fldCharType="begin"/>
      </w:r>
      <w:r w:rsidR="00937D16" w:rsidRPr="00117BF8">
        <w:rPr>
          <w:rFonts w:ascii="Arial" w:hAnsi="Arial" w:cs="Arial"/>
          <w:sz w:val="22"/>
          <w:szCs w:val="22"/>
        </w:rPr>
        <w:instrText xml:space="preserve"> REF _Ref493357368 \h </w:instrText>
      </w:r>
      <w:r w:rsidR="00CF312E" w:rsidRPr="00CF312E">
        <w:rPr>
          <w:rFonts w:ascii="Arial" w:hAnsi="Arial" w:cs="Arial"/>
          <w:sz w:val="22"/>
          <w:szCs w:val="22"/>
        </w:rPr>
        <w:instrText xml:space="preserve"> \* MERGEFORMAT </w:instrText>
      </w:r>
      <w:r w:rsidR="00937D16" w:rsidRPr="00117BF8">
        <w:rPr>
          <w:rFonts w:ascii="Arial" w:hAnsi="Arial" w:cs="Arial"/>
          <w:sz w:val="22"/>
          <w:szCs w:val="22"/>
        </w:rPr>
      </w:r>
      <w:r w:rsidR="00937D16" w:rsidRPr="00117BF8">
        <w:rPr>
          <w:rFonts w:ascii="Arial" w:hAnsi="Arial" w:cs="Arial"/>
          <w:sz w:val="22"/>
          <w:szCs w:val="22"/>
        </w:rPr>
        <w:fldChar w:fldCharType="separate"/>
      </w:r>
      <w:r w:rsidR="00DA6762" w:rsidRPr="00117BF8">
        <w:rPr>
          <w:rFonts w:ascii="Arial" w:eastAsia="Calibri" w:hAnsi="Arial" w:cs="Arial"/>
          <w:sz w:val="22"/>
          <w:szCs w:val="22"/>
        </w:rPr>
        <w:t>Características y Proyecciones</w:t>
      </w:r>
      <w:r w:rsidR="00937D16" w:rsidRPr="00117BF8">
        <w:rPr>
          <w:rFonts w:ascii="Arial" w:hAnsi="Arial" w:cs="Arial"/>
          <w:sz w:val="22"/>
          <w:szCs w:val="22"/>
        </w:rPr>
        <w:fldChar w:fldCharType="end"/>
      </w:r>
      <w:r w:rsidR="00937D16" w:rsidRPr="00117BF8">
        <w:rPr>
          <w:rFonts w:ascii="Arial" w:hAnsi="Arial" w:cs="Arial"/>
          <w:sz w:val="22"/>
          <w:szCs w:val="22"/>
        </w:rPr>
        <w:t>” del capítulo “</w:t>
      </w:r>
      <w:r w:rsidR="00937D16" w:rsidRPr="00117BF8">
        <w:rPr>
          <w:rFonts w:ascii="Arial" w:hAnsi="Arial" w:cs="Arial"/>
          <w:sz w:val="22"/>
          <w:szCs w:val="22"/>
        </w:rPr>
        <w:fldChar w:fldCharType="begin"/>
      </w:r>
      <w:r w:rsidR="00937D16" w:rsidRPr="00117BF8">
        <w:rPr>
          <w:rFonts w:ascii="Arial" w:hAnsi="Arial" w:cs="Arial"/>
          <w:sz w:val="22"/>
          <w:szCs w:val="22"/>
        </w:rPr>
        <w:instrText xml:space="preserve"> REF _Ref493357375 \h </w:instrText>
      </w:r>
      <w:r w:rsidR="00CF312E" w:rsidRPr="00CF312E">
        <w:rPr>
          <w:rFonts w:ascii="Arial" w:hAnsi="Arial" w:cs="Arial"/>
          <w:sz w:val="22"/>
          <w:szCs w:val="22"/>
        </w:rPr>
        <w:instrText xml:space="preserve"> \* MERGEFORMAT </w:instrText>
      </w:r>
      <w:r w:rsidR="00937D16" w:rsidRPr="00117BF8">
        <w:rPr>
          <w:rFonts w:ascii="Arial" w:hAnsi="Arial" w:cs="Arial"/>
          <w:sz w:val="22"/>
          <w:szCs w:val="22"/>
        </w:rPr>
      </w:r>
      <w:r w:rsidR="00937D16" w:rsidRPr="00117BF8">
        <w:rPr>
          <w:rFonts w:ascii="Arial" w:hAnsi="Arial" w:cs="Arial"/>
          <w:sz w:val="22"/>
          <w:szCs w:val="22"/>
        </w:rPr>
        <w:fldChar w:fldCharType="separate"/>
      </w:r>
      <w:r w:rsidR="00DA6762" w:rsidRPr="00117BF8">
        <w:rPr>
          <w:rFonts w:ascii="Arial" w:eastAsia="Calibri" w:hAnsi="Arial" w:cs="Arial"/>
          <w:sz w:val="22"/>
          <w:szCs w:val="22"/>
        </w:rPr>
        <w:t>Las Operaciones de Préstamo BID</w:t>
      </w:r>
      <w:r w:rsidR="00937D16" w:rsidRPr="00117BF8">
        <w:rPr>
          <w:rFonts w:ascii="Arial" w:hAnsi="Arial" w:cs="Arial"/>
          <w:sz w:val="22"/>
          <w:szCs w:val="22"/>
        </w:rPr>
        <w:fldChar w:fldCharType="end"/>
      </w:r>
      <w:r w:rsidR="00937D16" w:rsidRPr="00117BF8">
        <w:rPr>
          <w:rFonts w:ascii="Arial" w:hAnsi="Arial" w:cs="Arial"/>
          <w:sz w:val="22"/>
          <w:szCs w:val="22"/>
        </w:rPr>
        <w:t>”</w:t>
      </w:r>
      <w:r w:rsidR="003659A4" w:rsidRPr="00117BF8">
        <w:rPr>
          <w:rFonts w:ascii="Arial" w:hAnsi="Arial" w:cs="Arial"/>
          <w:sz w:val="22"/>
          <w:szCs w:val="22"/>
        </w:rPr>
        <w:t>.</w:t>
      </w:r>
    </w:p>
    <w:p w14:paraId="61CDDE58" w14:textId="77777777" w:rsidR="00664310" w:rsidRPr="00CF312E" w:rsidRDefault="00664310">
      <w:pPr>
        <w:pStyle w:val="Heading3"/>
      </w:pPr>
      <w:bookmarkStart w:id="123" w:name="_Toc494040340"/>
      <w:r w:rsidRPr="00CF312E">
        <w:t>Consistencia de los Gastos</w:t>
      </w:r>
      <w:bookmarkEnd w:id="123"/>
    </w:p>
    <w:p w14:paraId="31D7B128" w14:textId="77777777" w:rsidR="000F459A" w:rsidRPr="00117BF8" w:rsidRDefault="000F459A" w:rsidP="000F459A">
      <w:pPr>
        <w:pStyle w:val="hsa"/>
        <w:rPr>
          <w:rFonts w:ascii="Arial" w:hAnsi="Arial" w:cs="Arial"/>
          <w:sz w:val="22"/>
          <w:szCs w:val="22"/>
        </w:rPr>
      </w:pPr>
      <w:r w:rsidRPr="00117BF8">
        <w:rPr>
          <w:rFonts w:ascii="Arial" w:hAnsi="Arial" w:cs="Arial"/>
          <w:sz w:val="22"/>
          <w:szCs w:val="22"/>
        </w:rPr>
        <w:t>En ambas proyecciones, a largo plazo, los gastos en Bienes y Servicios han sido proyectados creciendo en términos reales a igual ritmo que el PBG, mientras que los gastos en Personal, Prestaciones de la Seguridad Social y el componente de las Transferencias relacionado con remuneraciones fueron proyectados a una tasa anual equivalente al 50% del PBG. La Provincia estima un crecimiento a largo plazo del PBG de 3,5% mientras en la</w:t>
      </w:r>
      <w:r w:rsidR="00252C5A" w:rsidRPr="00117BF8">
        <w:rPr>
          <w:rFonts w:ascii="Arial" w:hAnsi="Arial" w:cs="Arial"/>
          <w:sz w:val="22"/>
          <w:szCs w:val="22"/>
        </w:rPr>
        <w:t>s</w:t>
      </w:r>
      <w:r w:rsidRPr="00117BF8">
        <w:rPr>
          <w:rFonts w:ascii="Arial" w:hAnsi="Arial" w:cs="Arial"/>
          <w:sz w:val="22"/>
          <w:szCs w:val="22"/>
        </w:rPr>
        <w:t xml:space="preserve"> proyecciones alternativas se estima 2,97%, el 50% de estas tasas es 1,75% y 1,5% respectivamente.</w:t>
      </w:r>
    </w:p>
    <w:p w14:paraId="3AB4278B" w14:textId="77777777" w:rsidR="000F459A" w:rsidRPr="00117BF8" w:rsidRDefault="000F459A" w:rsidP="000F459A">
      <w:pPr>
        <w:pStyle w:val="hsa"/>
        <w:rPr>
          <w:rFonts w:ascii="Arial" w:hAnsi="Arial" w:cs="Arial"/>
          <w:sz w:val="22"/>
          <w:szCs w:val="22"/>
        </w:rPr>
      </w:pPr>
      <w:r w:rsidRPr="00117BF8">
        <w:rPr>
          <w:rFonts w:ascii="Arial" w:hAnsi="Arial" w:cs="Arial"/>
          <w:sz w:val="22"/>
          <w:szCs w:val="22"/>
        </w:rPr>
        <w:t>Una manera de apreciar la consistencia del gasto, en especial los relacion</w:t>
      </w:r>
      <w:r w:rsidR="00724BDE" w:rsidRPr="00117BF8">
        <w:rPr>
          <w:rFonts w:ascii="Arial" w:hAnsi="Arial" w:cs="Arial"/>
          <w:sz w:val="22"/>
          <w:szCs w:val="22"/>
        </w:rPr>
        <w:t xml:space="preserve">ados con el personal que </w:t>
      </w:r>
      <w:r w:rsidR="000C7EA7" w:rsidRPr="00117BF8">
        <w:rPr>
          <w:rFonts w:ascii="Arial" w:hAnsi="Arial" w:cs="Arial"/>
          <w:sz w:val="22"/>
          <w:szCs w:val="22"/>
        </w:rPr>
        <w:t>a su vez se</w:t>
      </w:r>
      <w:r w:rsidRPr="00117BF8">
        <w:rPr>
          <w:rFonts w:ascii="Arial" w:hAnsi="Arial" w:cs="Arial"/>
          <w:sz w:val="22"/>
          <w:szCs w:val="22"/>
        </w:rPr>
        <w:t xml:space="preserve"> relaci</w:t>
      </w:r>
      <w:r w:rsidR="000C7EA7" w:rsidRPr="00117BF8">
        <w:rPr>
          <w:rFonts w:ascii="Arial" w:hAnsi="Arial" w:cs="Arial"/>
          <w:sz w:val="22"/>
          <w:szCs w:val="22"/>
        </w:rPr>
        <w:t xml:space="preserve">onan </w:t>
      </w:r>
      <w:r w:rsidRPr="00117BF8">
        <w:rPr>
          <w:rFonts w:ascii="Arial" w:hAnsi="Arial" w:cs="Arial"/>
          <w:sz w:val="22"/>
          <w:szCs w:val="22"/>
        </w:rPr>
        <w:t>con los servicios brindados por la provincia</w:t>
      </w:r>
      <w:r w:rsidR="000C7EA7" w:rsidRPr="00117BF8">
        <w:rPr>
          <w:rFonts w:ascii="Arial" w:hAnsi="Arial" w:cs="Arial"/>
          <w:sz w:val="22"/>
          <w:szCs w:val="22"/>
        </w:rPr>
        <w:t>,</w:t>
      </w:r>
      <w:r w:rsidRPr="00117BF8">
        <w:rPr>
          <w:rFonts w:ascii="Arial" w:hAnsi="Arial" w:cs="Arial"/>
          <w:sz w:val="22"/>
          <w:szCs w:val="22"/>
        </w:rPr>
        <w:t xml:space="preserve"> es </w:t>
      </w:r>
      <w:r w:rsidR="000C7EA7" w:rsidRPr="00117BF8">
        <w:rPr>
          <w:rFonts w:ascii="Arial" w:hAnsi="Arial" w:cs="Arial"/>
          <w:sz w:val="22"/>
          <w:szCs w:val="22"/>
        </w:rPr>
        <w:t>compararlos con</w:t>
      </w:r>
      <w:r w:rsidRPr="00117BF8">
        <w:rPr>
          <w:rFonts w:ascii="Arial" w:hAnsi="Arial" w:cs="Arial"/>
          <w:sz w:val="22"/>
          <w:szCs w:val="22"/>
        </w:rPr>
        <w:t xml:space="preserve"> la tasa de crecimiento de la población</w:t>
      </w:r>
      <w:r w:rsidR="00724BDE" w:rsidRPr="00117BF8">
        <w:rPr>
          <w:rFonts w:ascii="Arial" w:hAnsi="Arial" w:cs="Arial"/>
          <w:sz w:val="22"/>
          <w:szCs w:val="22"/>
        </w:rPr>
        <w:t>. Para el período 2016/20</w:t>
      </w:r>
      <w:r w:rsidR="005077F8" w:rsidRPr="00117BF8">
        <w:rPr>
          <w:rFonts w:ascii="Arial" w:hAnsi="Arial" w:cs="Arial"/>
          <w:sz w:val="22"/>
          <w:szCs w:val="22"/>
        </w:rPr>
        <w:t>2</w:t>
      </w:r>
      <w:r w:rsidR="00724BDE" w:rsidRPr="00117BF8">
        <w:rPr>
          <w:rFonts w:ascii="Arial" w:hAnsi="Arial" w:cs="Arial"/>
          <w:sz w:val="22"/>
          <w:szCs w:val="22"/>
        </w:rPr>
        <w:t>5 se estima que la población crecerá a una tasa anual del 0,96%.</w:t>
      </w:r>
      <w:r w:rsidR="00724BDE" w:rsidRPr="00117BF8">
        <w:rPr>
          <w:rStyle w:val="FootnoteReference"/>
          <w:rFonts w:ascii="Arial" w:hAnsi="Arial" w:cs="Arial"/>
          <w:sz w:val="22"/>
          <w:szCs w:val="22"/>
        </w:rPr>
        <w:footnoteReference w:id="28"/>
      </w:r>
      <w:r w:rsidR="00724BDE" w:rsidRPr="00117BF8">
        <w:rPr>
          <w:rFonts w:ascii="Arial" w:hAnsi="Arial" w:cs="Arial"/>
          <w:sz w:val="22"/>
          <w:szCs w:val="22"/>
        </w:rPr>
        <w:t xml:space="preserve"> Esta tasa es inferior a la evolución real de</w:t>
      </w:r>
      <w:r w:rsidR="00A052A9" w:rsidRPr="00117BF8">
        <w:rPr>
          <w:rFonts w:ascii="Arial" w:hAnsi="Arial" w:cs="Arial"/>
          <w:sz w:val="22"/>
          <w:szCs w:val="22"/>
        </w:rPr>
        <w:t xml:space="preserve"> </w:t>
      </w:r>
      <w:r w:rsidR="00724BDE" w:rsidRPr="00117BF8">
        <w:rPr>
          <w:rFonts w:ascii="Arial" w:hAnsi="Arial" w:cs="Arial"/>
          <w:sz w:val="22"/>
          <w:szCs w:val="22"/>
        </w:rPr>
        <w:t>l</w:t>
      </w:r>
      <w:r w:rsidR="00A052A9" w:rsidRPr="00117BF8">
        <w:rPr>
          <w:rFonts w:ascii="Arial" w:hAnsi="Arial" w:cs="Arial"/>
          <w:sz w:val="22"/>
          <w:szCs w:val="22"/>
        </w:rPr>
        <w:t>os</w:t>
      </w:r>
      <w:r w:rsidR="00724BDE" w:rsidRPr="00117BF8">
        <w:rPr>
          <w:rFonts w:ascii="Arial" w:hAnsi="Arial" w:cs="Arial"/>
          <w:sz w:val="22"/>
          <w:szCs w:val="22"/>
        </w:rPr>
        <w:t xml:space="preserve"> gastos en las dos proyecciones.</w:t>
      </w:r>
    </w:p>
    <w:p w14:paraId="27B8064B" w14:textId="7316B030" w:rsidR="000C7EA7" w:rsidRPr="00117BF8" w:rsidRDefault="000C7EA7" w:rsidP="000F459A">
      <w:pPr>
        <w:pStyle w:val="hsa"/>
        <w:rPr>
          <w:rFonts w:ascii="Arial" w:hAnsi="Arial" w:cs="Arial"/>
          <w:sz w:val="22"/>
          <w:szCs w:val="22"/>
        </w:rPr>
      </w:pPr>
      <w:r w:rsidRPr="00117BF8">
        <w:rPr>
          <w:rFonts w:ascii="Arial" w:hAnsi="Arial" w:cs="Arial"/>
          <w:sz w:val="22"/>
          <w:szCs w:val="22"/>
        </w:rPr>
        <w:t>Respecto de los gastos y su evolución se vuelve en el capítulo “</w:t>
      </w:r>
      <w:r w:rsidRPr="00117BF8">
        <w:rPr>
          <w:rFonts w:ascii="Arial" w:hAnsi="Arial" w:cs="Arial"/>
          <w:sz w:val="22"/>
          <w:szCs w:val="22"/>
        </w:rPr>
        <w:fldChar w:fldCharType="begin"/>
      </w:r>
      <w:r w:rsidRPr="00117BF8">
        <w:rPr>
          <w:rFonts w:ascii="Arial" w:hAnsi="Arial" w:cs="Arial"/>
          <w:sz w:val="22"/>
          <w:szCs w:val="22"/>
        </w:rPr>
        <w:instrText xml:space="preserve"> REF _Ref493452424 \h </w:instrText>
      </w:r>
      <w:r w:rsidR="00CF312E" w:rsidRPr="00CF312E">
        <w:rPr>
          <w:rFonts w:ascii="Arial" w:hAnsi="Arial" w:cs="Arial"/>
          <w:sz w:val="22"/>
          <w:szCs w:val="22"/>
        </w:rPr>
        <w:instrText xml:space="preserve"> \* MERGEFORMAT </w:instrText>
      </w:r>
      <w:r w:rsidRPr="00117BF8">
        <w:rPr>
          <w:rFonts w:ascii="Arial" w:hAnsi="Arial" w:cs="Arial"/>
          <w:sz w:val="22"/>
          <w:szCs w:val="22"/>
        </w:rPr>
      </w:r>
      <w:r w:rsidRPr="00117BF8">
        <w:rPr>
          <w:rFonts w:ascii="Arial" w:hAnsi="Arial" w:cs="Arial"/>
          <w:sz w:val="22"/>
          <w:szCs w:val="22"/>
        </w:rPr>
        <w:fldChar w:fldCharType="separate"/>
      </w:r>
      <w:r w:rsidR="005077F8" w:rsidRPr="00117BF8">
        <w:rPr>
          <w:rFonts w:ascii="Arial" w:hAnsi="Arial" w:cs="Arial"/>
          <w:sz w:val="22"/>
          <w:szCs w:val="22"/>
        </w:rPr>
        <w:t>Indicadores: Responsabilidad Fiscal y Endeudamiento</w:t>
      </w:r>
      <w:r w:rsidRPr="00117BF8">
        <w:rPr>
          <w:rFonts w:ascii="Arial" w:hAnsi="Arial" w:cs="Arial"/>
          <w:sz w:val="22"/>
          <w:szCs w:val="22"/>
        </w:rPr>
        <w:fldChar w:fldCharType="end"/>
      </w:r>
      <w:r w:rsidRPr="00117BF8">
        <w:rPr>
          <w:rFonts w:ascii="Arial" w:hAnsi="Arial" w:cs="Arial"/>
          <w:sz w:val="22"/>
          <w:szCs w:val="22"/>
        </w:rPr>
        <w:t>”.</w:t>
      </w:r>
    </w:p>
    <w:p w14:paraId="59D64456" w14:textId="77777777" w:rsidR="00390179" w:rsidRPr="00CF312E" w:rsidRDefault="00390179">
      <w:pPr>
        <w:pStyle w:val="Heading3"/>
      </w:pPr>
      <w:bookmarkStart w:id="124" w:name="_Toc494040341"/>
      <w:r w:rsidRPr="00CF312E">
        <w:t>Servicio de Deuda</w:t>
      </w:r>
      <w:bookmarkEnd w:id="124"/>
    </w:p>
    <w:p w14:paraId="0C086FF6" w14:textId="77777777" w:rsidR="00390179" w:rsidRPr="00117BF8" w:rsidRDefault="00390179" w:rsidP="00390179">
      <w:pPr>
        <w:pStyle w:val="hsa"/>
        <w:rPr>
          <w:rFonts w:ascii="Arial" w:hAnsi="Arial" w:cs="Arial"/>
          <w:sz w:val="22"/>
          <w:szCs w:val="22"/>
        </w:rPr>
      </w:pPr>
      <w:r w:rsidRPr="00117BF8">
        <w:rPr>
          <w:rFonts w:ascii="Arial" w:hAnsi="Arial" w:cs="Arial"/>
          <w:sz w:val="22"/>
          <w:szCs w:val="22"/>
        </w:rPr>
        <w:t>La Provincia proyecta intereses, deuda y servicio de deuda (Este expresado en términos de porcentaje sobre recurso</w:t>
      </w:r>
      <w:r w:rsidR="000C7EA7" w:rsidRPr="00117BF8">
        <w:rPr>
          <w:rFonts w:ascii="Arial" w:hAnsi="Arial" w:cs="Arial"/>
          <w:sz w:val="22"/>
          <w:szCs w:val="22"/>
        </w:rPr>
        <w:t>s</w:t>
      </w:r>
      <w:r w:rsidRPr="00117BF8">
        <w:rPr>
          <w:rFonts w:ascii="Arial" w:hAnsi="Arial" w:cs="Arial"/>
          <w:sz w:val="22"/>
          <w:szCs w:val="22"/>
        </w:rPr>
        <w:t>). Adicionalmente informó la proporción del endeudamiento por tipo de moneda (para todos los años 50% en pesos y 50% en dólares). No se recibieron supuestos relacionados con el perfil de los préstamos a recibir, ni la tasa esperada.</w:t>
      </w:r>
    </w:p>
    <w:p w14:paraId="3ABBE63E" w14:textId="77777777" w:rsidR="00390179" w:rsidRPr="00117BF8" w:rsidRDefault="00390179" w:rsidP="00390179">
      <w:pPr>
        <w:pStyle w:val="hsa"/>
        <w:rPr>
          <w:rFonts w:ascii="Arial" w:hAnsi="Arial" w:cs="Arial"/>
          <w:sz w:val="22"/>
          <w:szCs w:val="22"/>
        </w:rPr>
      </w:pPr>
      <w:r w:rsidRPr="00117BF8">
        <w:rPr>
          <w:rFonts w:ascii="Arial" w:hAnsi="Arial" w:cs="Arial"/>
          <w:sz w:val="22"/>
          <w:szCs w:val="22"/>
        </w:rPr>
        <w:t>Con los datos recibidos se estimaron las tasas de interés y estas mismas se consideraron en las Proyecciones Alternativas, el endeudamiento adicional fue calculado en función de las necesidades de financiamiento y con igual composición por moneda que en las proyecciones de la Provincia.</w:t>
      </w:r>
    </w:p>
    <w:p w14:paraId="557CA300" w14:textId="77777777" w:rsidR="00390179" w:rsidRPr="00117BF8" w:rsidRDefault="00390179" w:rsidP="00390179">
      <w:pPr>
        <w:pStyle w:val="hsa"/>
        <w:rPr>
          <w:rFonts w:ascii="Arial" w:hAnsi="Arial" w:cs="Arial"/>
          <w:sz w:val="22"/>
          <w:szCs w:val="22"/>
        </w:rPr>
      </w:pPr>
      <w:r w:rsidRPr="00117BF8">
        <w:rPr>
          <w:rFonts w:ascii="Arial" w:hAnsi="Arial" w:cs="Arial"/>
          <w:sz w:val="22"/>
          <w:szCs w:val="22"/>
        </w:rPr>
        <w:t>Las diferencias entre las proyecciones de la Provincia y las Alternativas se centran en tres aspectos principales:</w:t>
      </w:r>
    </w:p>
    <w:p w14:paraId="298625F8" w14:textId="77777777" w:rsidR="00390179" w:rsidRPr="00117BF8" w:rsidRDefault="00390179" w:rsidP="00390179">
      <w:pPr>
        <w:pStyle w:val="HPUN0"/>
        <w:rPr>
          <w:rFonts w:ascii="Arial" w:hAnsi="Arial" w:cs="Arial"/>
          <w:sz w:val="22"/>
          <w:szCs w:val="22"/>
        </w:rPr>
      </w:pPr>
      <w:r w:rsidRPr="00117BF8">
        <w:rPr>
          <w:rFonts w:ascii="Arial" w:hAnsi="Arial" w:cs="Arial"/>
          <w:sz w:val="22"/>
          <w:szCs w:val="22"/>
        </w:rPr>
        <w:t>Necesidades de Financiamiento</w:t>
      </w:r>
      <w:r w:rsidR="002B7F69" w:rsidRPr="00117BF8">
        <w:rPr>
          <w:rFonts w:ascii="Arial" w:hAnsi="Arial" w:cs="Arial"/>
          <w:sz w:val="22"/>
          <w:szCs w:val="22"/>
        </w:rPr>
        <w:t xml:space="preserve"> (Se desarrollan en los próximos títulos)</w:t>
      </w:r>
    </w:p>
    <w:p w14:paraId="1A6B754F" w14:textId="77777777" w:rsidR="00390179" w:rsidRPr="00117BF8" w:rsidRDefault="00390179" w:rsidP="00390179">
      <w:pPr>
        <w:pStyle w:val="HPUN0"/>
        <w:rPr>
          <w:rFonts w:ascii="Arial" w:hAnsi="Arial" w:cs="Arial"/>
          <w:sz w:val="22"/>
          <w:szCs w:val="22"/>
        </w:rPr>
      </w:pPr>
      <w:r w:rsidRPr="00117BF8">
        <w:rPr>
          <w:rFonts w:ascii="Arial" w:hAnsi="Arial" w:cs="Arial"/>
          <w:sz w:val="22"/>
          <w:szCs w:val="22"/>
        </w:rPr>
        <w:t>Tipo de Cambio (ARS/USD)</w:t>
      </w:r>
      <w:r w:rsidR="002B7F69" w:rsidRPr="00117BF8">
        <w:rPr>
          <w:rFonts w:ascii="Arial" w:hAnsi="Arial" w:cs="Arial"/>
          <w:sz w:val="22"/>
          <w:szCs w:val="22"/>
        </w:rPr>
        <w:t xml:space="preserve"> (Ver “Supuestos”)</w:t>
      </w:r>
    </w:p>
    <w:p w14:paraId="278025DA" w14:textId="77777777" w:rsidR="00390179" w:rsidRPr="00117BF8" w:rsidRDefault="00390179" w:rsidP="00390179">
      <w:pPr>
        <w:pStyle w:val="HPUN0"/>
        <w:rPr>
          <w:rFonts w:ascii="Arial" w:hAnsi="Arial" w:cs="Arial"/>
          <w:sz w:val="22"/>
          <w:szCs w:val="22"/>
        </w:rPr>
      </w:pPr>
      <w:r w:rsidRPr="00117BF8">
        <w:rPr>
          <w:rFonts w:ascii="Arial" w:hAnsi="Arial" w:cs="Arial"/>
          <w:sz w:val="22"/>
          <w:szCs w:val="22"/>
        </w:rPr>
        <w:t>Préstamos BID</w:t>
      </w:r>
      <w:r w:rsidR="002B7F69" w:rsidRPr="00117BF8">
        <w:rPr>
          <w:rFonts w:ascii="Arial" w:hAnsi="Arial" w:cs="Arial"/>
          <w:sz w:val="22"/>
          <w:szCs w:val="22"/>
        </w:rPr>
        <w:t>, n</w:t>
      </w:r>
      <w:r w:rsidRPr="00117BF8">
        <w:rPr>
          <w:rFonts w:ascii="Arial" w:hAnsi="Arial" w:cs="Arial"/>
          <w:sz w:val="22"/>
          <w:szCs w:val="22"/>
        </w:rPr>
        <w:t>o son considerados en l</w:t>
      </w:r>
      <w:r w:rsidR="002B7F69" w:rsidRPr="00117BF8">
        <w:rPr>
          <w:rFonts w:ascii="Arial" w:hAnsi="Arial" w:cs="Arial"/>
          <w:sz w:val="22"/>
          <w:szCs w:val="22"/>
        </w:rPr>
        <w:t>as proyecciones de la Provincia, en las alternativas se incorporan lo</w:t>
      </w:r>
      <w:r w:rsidR="0069589D" w:rsidRPr="00117BF8">
        <w:rPr>
          <w:rFonts w:ascii="Arial" w:hAnsi="Arial" w:cs="Arial"/>
          <w:sz w:val="22"/>
          <w:szCs w:val="22"/>
        </w:rPr>
        <w:t>s flujos indicados en la tabla 33</w:t>
      </w:r>
      <w:r w:rsidR="002B7F69" w:rsidRPr="00117BF8">
        <w:rPr>
          <w:rFonts w:ascii="Arial" w:hAnsi="Arial" w:cs="Arial"/>
          <w:sz w:val="22"/>
          <w:szCs w:val="22"/>
        </w:rPr>
        <w:t>.</w:t>
      </w:r>
    </w:p>
    <w:p w14:paraId="7A38E0FA" w14:textId="77777777" w:rsidR="00390179" w:rsidRPr="00CF312E" w:rsidRDefault="00390179">
      <w:pPr>
        <w:pStyle w:val="Heading3"/>
      </w:pPr>
      <w:bookmarkStart w:id="125" w:name="_Toc494040342"/>
      <w:r w:rsidRPr="00CF312E">
        <w:t>Resultados Económico y Primario</w:t>
      </w:r>
      <w:bookmarkEnd w:id="125"/>
    </w:p>
    <w:p w14:paraId="731BCD47" w14:textId="77777777" w:rsidR="00390179" w:rsidRPr="00117BF8" w:rsidRDefault="00390179" w:rsidP="00390179">
      <w:pPr>
        <w:pStyle w:val="hsa"/>
        <w:rPr>
          <w:rFonts w:ascii="Arial" w:hAnsi="Arial" w:cs="Arial"/>
          <w:sz w:val="22"/>
          <w:szCs w:val="22"/>
        </w:rPr>
      </w:pPr>
      <w:r w:rsidRPr="00117BF8">
        <w:rPr>
          <w:rFonts w:ascii="Arial" w:hAnsi="Arial" w:cs="Arial"/>
          <w:sz w:val="22"/>
          <w:szCs w:val="22"/>
        </w:rPr>
        <w:t xml:space="preserve">Las diferencias entre los resultados </w:t>
      </w:r>
      <w:r w:rsidR="003150B9" w:rsidRPr="00117BF8">
        <w:rPr>
          <w:rFonts w:ascii="Arial" w:hAnsi="Arial" w:cs="Arial"/>
          <w:sz w:val="22"/>
          <w:szCs w:val="22"/>
        </w:rPr>
        <w:t>primarios</w:t>
      </w:r>
      <w:r w:rsidRPr="00117BF8">
        <w:rPr>
          <w:rFonts w:ascii="Arial" w:hAnsi="Arial" w:cs="Arial"/>
          <w:sz w:val="22"/>
          <w:szCs w:val="22"/>
        </w:rPr>
        <w:t xml:space="preserve"> de ambas proyecciones s</w:t>
      </w:r>
      <w:r w:rsidR="005077F8" w:rsidRPr="00117BF8">
        <w:rPr>
          <w:rFonts w:ascii="Arial" w:hAnsi="Arial" w:cs="Arial"/>
          <w:sz w:val="22"/>
          <w:szCs w:val="22"/>
        </w:rPr>
        <w:t xml:space="preserve">e originan en </w:t>
      </w:r>
      <w:r w:rsidRPr="00117BF8">
        <w:rPr>
          <w:rFonts w:ascii="Arial" w:hAnsi="Arial" w:cs="Arial"/>
          <w:sz w:val="22"/>
          <w:szCs w:val="22"/>
        </w:rPr>
        <w:t xml:space="preserve">combinación </w:t>
      </w:r>
      <w:r w:rsidR="002B7F69" w:rsidRPr="00117BF8">
        <w:rPr>
          <w:rFonts w:ascii="Arial" w:hAnsi="Arial" w:cs="Arial"/>
          <w:sz w:val="22"/>
          <w:szCs w:val="22"/>
        </w:rPr>
        <w:t>de los impactos, a veces contrapuesto</w:t>
      </w:r>
      <w:r w:rsidRPr="00117BF8">
        <w:rPr>
          <w:rFonts w:ascii="Arial" w:hAnsi="Arial" w:cs="Arial"/>
          <w:sz w:val="22"/>
          <w:szCs w:val="22"/>
        </w:rPr>
        <w:t>s</w:t>
      </w:r>
      <w:r w:rsidR="002B7F69" w:rsidRPr="00117BF8">
        <w:rPr>
          <w:rFonts w:ascii="Arial" w:hAnsi="Arial" w:cs="Arial"/>
          <w:sz w:val="22"/>
          <w:szCs w:val="22"/>
        </w:rPr>
        <w:t>,</w:t>
      </w:r>
      <w:r w:rsidRPr="00117BF8">
        <w:rPr>
          <w:rFonts w:ascii="Arial" w:hAnsi="Arial" w:cs="Arial"/>
          <w:sz w:val="22"/>
          <w:szCs w:val="22"/>
        </w:rPr>
        <w:t xml:space="preserve"> de los supuestos alternativos utilizados.</w:t>
      </w:r>
    </w:p>
    <w:p w14:paraId="0C9F23BE" w14:textId="77777777" w:rsidR="00390179" w:rsidRPr="00117BF8" w:rsidRDefault="00185401" w:rsidP="00390179">
      <w:pPr>
        <w:pStyle w:val="hsa"/>
        <w:rPr>
          <w:rFonts w:ascii="Arial" w:hAnsi="Arial" w:cs="Arial"/>
          <w:sz w:val="22"/>
          <w:szCs w:val="22"/>
        </w:rPr>
      </w:pPr>
      <w:r w:rsidRPr="00117BF8">
        <w:rPr>
          <w:rFonts w:ascii="Arial" w:hAnsi="Arial" w:cs="Arial"/>
          <w:sz w:val="22"/>
          <w:szCs w:val="22"/>
        </w:rPr>
        <w:t>Los ni</w:t>
      </w:r>
      <w:r w:rsidR="00390179" w:rsidRPr="00117BF8">
        <w:rPr>
          <w:rFonts w:ascii="Arial" w:hAnsi="Arial" w:cs="Arial"/>
          <w:sz w:val="22"/>
          <w:szCs w:val="22"/>
        </w:rPr>
        <w:t xml:space="preserve">veles de inflación superiores </w:t>
      </w:r>
      <w:r w:rsidR="005077F8" w:rsidRPr="00117BF8">
        <w:rPr>
          <w:rFonts w:ascii="Arial" w:hAnsi="Arial" w:cs="Arial"/>
          <w:sz w:val="22"/>
          <w:szCs w:val="22"/>
        </w:rPr>
        <w:t>de</w:t>
      </w:r>
      <w:r w:rsidR="00390179" w:rsidRPr="00117BF8">
        <w:rPr>
          <w:rFonts w:ascii="Arial" w:hAnsi="Arial" w:cs="Arial"/>
          <w:sz w:val="22"/>
          <w:szCs w:val="22"/>
        </w:rPr>
        <w:t xml:space="preserve"> las proyecciones alternativas mejoran el resultado </w:t>
      </w:r>
      <w:r w:rsidR="003150B9" w:rsidRPr="00117BF8">
        <w:rPr>
          <w:rFonts w:ascii="Arial" w:hAnsi="Arial" w:cs="Arial"/>
          <w:sz w:val="22"/>
          <w:szCs w:val="22"/>
        </w:rPr>
        <w:t>primario</w:t>
      </w:r>
      <w:r w:rsidR="00390179" w:rsidRPr="00117BF8">
        <w:rPr>
          <w:rFonts w:ascii="Arial" w:hAnsi="Arial" w:cs="Arial"/>
          <w:sz w:val="22"/>
          <w:szCs w:val="22"/>
        </w:rPr>
        <w:t xml:space="preserve"> por licuación de los gastos corrientes, particular</w:t>
      </w:r>
      <w:r w:rsidR="002B7F69" w:rsidRPr="00117BF8">
        <w:rPr>
          <w:rFonts w:ascii="Arial" w:hAnsi="Arial" w:cs="Arial"/>
          <w:sz w:val="22"/>
          <w:szCs w:val="22"/>
        </w:rPr>
        <w:t>mente</w:t>
      </w:r>
      <w:r w:rsidR="00390179" w:rsidRPr="00117BF8">
        <w:rPr>
          <w:rFonts w:ascii="Arial" w:hAnsi="Arial" w:cs="Arial"/>
          <w:sz w:val="22"/>
          <w:szCs w:val="22"/>
        </w:rPr>
        <w:t xml:space="preserve"> en el año 2017 dado que para los años siguientes los gastos acompañan la evolución de la inflación.</w:t>
      </w:r>
    </w:p>
    <w:p w14:paraId="502AE8BE" w14:textId="316260C9" w:rsidR="00390179" w:rsidRPr="00117BF8" w:rsidRDefault="00390179" w:rsidP="00390179">
      <w:pPr>
        <w:pStyle w:val="hsa"/>
        <w:rPr>
          <w:rFonts w:ascii="Arial" w:hAnsi="Arial" w:cs="Arial"/>
          <w:sz w:val="22"/>
          <w:szCs w:val="22"/>
        </w:rPr>
      </w:pPr>
      <w:r w:rsidRPr="00117BF8">
        <w:rPr>
          <w:rFonts w:ascii="Arial" w:hAnsi="Arial" w:cs="Arial"/>
          <w:sz w:val="22"/>
          <w:szCs w:val="22"/>
        </w:rPr>
        <w:t>Las</w:t>
      </w:r>
      <w:r w:rsidR="00CF312E">
        <w:rPr>
          <w:rFonts w:ascii="Arial" w:hAnsi="Arial" w:cs="Arial"/>
          <w:sz w:val="22"/>
          <w:szCs w:val="22"/>
        </w:rPr>
        <w:t xml:space="preserve"> </w:t>
      </w:r>
      <w:r w:rsidRPr="00117BF8">
        <w:rPr>
          <w:rFonts w:ascii="Arial" w:hAnsi="Arial" w:cs="Arial"/>
          <w:sz w:val="22"/>
          <w:szCs w:val="22"/>
        </w:rPr>
        <w:t>tasa</w:t>
      </w:r>
      <w:r w:rsidR="00CF312E">
        <w:rPr>
          <w:rFonts w:ascii="Arial" w:hAnsi="Arial" w:cs="Arial"/>
          <w:sz w:val="22"/>
          <w:szCs w:val="22"/>
        </w:rPr>
        <w:t>s</w:t>
      </w:r>
      <w:r w:rsidRPr="00117BF8">
        <w:rPr>
          <w:rFonts w:ascii="Arial" w:hAnsi="Arial" w:cs="Arial"/>
          <w:sz w:val="22"/>
          <w:szCs w:val="22"/>
        </w:rPr>
        <w:t xml:space="preserve"> de crecimiento </w:t>
      </w:r>
      <w:r w:rsidR="005077F8" w:rsidRPr="00117BF8">
        <w:rPr>
          <w:rFonts w:ascii="Arial" w:hAnsi="Arial" w:cs="Arial"/>
          <w:sz w:val="22"/>
          <w:szCs w:val="22"/>
        </w:rPr>
        <w:t xml:space="preserve">real </w:t>
      </w:r>
      <w:r w:rsidRPr="00117BF8">
        <w:rPr>
          <w:rFonts w:ascii="Arial" w:hAnsi="Arial" w:cs="Arial"/>
          <w:sz w:val="22"/>
          <w:szCs w:val="22"/>
        </w:rPr>
        <w:t>inferior prevista para el PBG en las proyecciones alternativas impacta negativamente en el resultado, lo mismo que el menor crecimiento estimado para los recursos tributarios de origen nacional.</w:t>
      </w:r>
    </w:p>
    <w:p w14:paraId="192FAE1F" w14:textId="77777777" w:rsidR="00390179" w:rsidRPr="00117BF8" w:rsidRDefault="00390179" w:rsidP="00390179">
      <w:pPr>
        <w:pStyle w:val="hsa"/>
        <w:rPr>
          <w:rFonts w:ascii="Arial" w:hAnsi="Arial" w:cs="Arial"/>
          <w:sz w:val="22"/>
          <w:szCs w:val="22"/>
        </w:rPr>
      </w:pPr>
      <w:r w:rsidRPr="00117BF8">
        <w:rPr>
          <w:rFonts w:ascii="Arial" w:hAnsi="Arial" w:cs="Arial"/>
          <w:sz w:val="22"/>
          <w:szCs w:val="22"/>
        </w:rPr>
        <w:t xml:space="preserve">Mi estimación de la evolución de los recursos </w:t>
      </w:r>
      <w:r w:rsidR="00185401" w:rsidRPr="00117BF8">
        <w:rPr>
          <w:rFonts w:ascii="Arial" w:hAnsi="Arial" w:cs="Arial"/>
          <w:sz w:val="22"/>
          <w:szCs w:val="22"/>
        </w:rPr>
        <w:t xml:space="preserve">originados en la Contribución a la Seguridad Social es superior a la prevista por la Provincia. Tanto en términos nominales como comparativamente con los gastos en Prestaciones de la Seguridad Social. </w:t>
      </w:r>
      <w:r w:rsidR="002B7F69" w:rsidRPr="00117BF8">
        <w:rPr>
          <w:rFonts w:ascii="Arial" w:hAnsi="Arial" w:cs="Arial"/>
          <w:sz w:val="22"/>
          <w:szCs w:val="22"/>
        </w:rPr>
        <w:t xml:space="preserve">La </w:t>
      </w:r>
      <w:r w:rsidR="00185401" w:rsidRPr="00117BF8">
        <w:rPr>
          <w:rFonts w:ascii="Arial" w:hAnsi="Arial" w:cs="Arial"/>
          <w:sz w:val="22"/>
          <w:szCs w:val="22"/>
        </w:rPr>
        <w:t>principal diferencia se registra en el año 2017, posiblemente por la forma de considerar en ambas proyecciones un gasto excepcional ocurrido en 2016 (Ver en “Supuestos” la parte correspondiente a “Prestaciones de la Seguridad Social”).</w:t>
      </w:r>
    </w:p>
    <w:p w14:paraId="5537A0B8" w14:textId="77777777" w:rsidR="00185401" w:rsidRPr="00117BF8" w:rsidRDefault="00185401" w:rsidP="00390179">
      <w:pPr>
        <w:pStyle w:val="hsa"/>
        <w:rPr>
          <w:rFonts w:ascii="Arial" w:hAnsi="Arial" w:cs="Arial"/>
          <w:sz w:val="22"/>
          <w:szCs w:val="22"/>
        </w:rPr>
      </w:pPr>
      <w:r w:rsidRPr="00117BF8">
        <w:rPr>
          <w:rFonts w:ascii="Arial" w:hAnsi="Arial" w:cs="Arial"/>
          <w:sz w:val="22"/>
          <w:szCs w:val="22"/>
        </w:rPr>
        <w:t>Los montos de los gastos correspondientes a transferencias son también sustancialmente superiores en la alternativa.</w:t>
      </w:r>
    </w:p>
    <w:p w14:paraId="521D9B4B" w14:textId="77777777" w:rsidR="003150B9" w:rsidRPr="00117BF8" w:rsidRDefault="003150B9" w:rsidP="00390179">
      <w:pPr>
        <w:pStyle w:val="hsa"/>
        <w:rPr>
          <w:rFonts w:ascii="Arial" w:hAnsi="Arial" w:cs="Arial"/>
          <w:sz w:val="22"/>
          <w:szCs w:val="22"/>
        </w:rPr>
      </w:pPr>
      <w:r w:rsidRPr="00117BF8">
        <w:rPr>
          <w:rFonts w:ascii="Arial" w:hAnsi="Arial" w:cs="Arial"/>
          <w:sz w:val="22"/>
          <w:szCs w:val="22"/>
        </w:rPr>
        <w:t xml:space="preserve">Hay un mayor déficit en la cuenta de capital </w:t>
      </w:r>
      <w:r w:rsidR="002B7F69" w:rsidRPr="00117BF8">
        <w:rPr>
          <w:rFonts w:ascii="Arial" w:hAnsi="Arial" w:cs="Arial"/>
          <w:sz w:val="22"/>
          <w:szCs w:val="22"/>
        </w:rPr>
        <w:t xml:space="preserve">alternativa </w:t>
      </w:r>
      <w:r w:rsidRPr="00117BF8">
        <w:rPr>
          <w:rFonts w:ascii="Arial" w:hAnsi="Arial" w:cs="Arial"/>
          <w:sz w:val="22"/>
          <w:szCs w:val="22"/>
        </w:rPr>
        <w:t>como consecuencia del impacto de las operaciones de préstamo BID consideradas en este informe.</w:t>
      </w:r>
    </w:p>
    <w:p w14:paraId="54DB6E07" w14:textId="77777777" w:rsidR="003150B9" w:rsidRPr="00117BF8" w:rsidRDefault="003150B9" w:rsidP="003150B9">
      <w:pPr>
        <w:pStyle w:val="hsa"/>
        <w:rPr>
          <w:rFonts w:ascii="Arial" w:hAnsi="Arial" w:cs="Arial"/>
          <w:sz w:val="22"/>
          <w:szCs w:val="22"/>
        </w:rPr>
      </w:pPr>
      <w:r w:rsidRPr="00117BF8">
        <w:rPr>
          <w:rFonts w:ascii="Arial" w:hAnsi="Arial" w:cs="Arial"/>
          <w:sz w:val="22"/>
          <w:szCs w:val="22"/>
        </w:rPr>
        <w:t xml:space="preserve">Con el propósito de aislar la inflación en el gráfico </w:t>
      </w:r>
      <w:r w:rsidR="005F6AD9" w:rsidRPr="00117BF8">
        <w:rPr>
          <w:rFonts w:ascii="Arial" w:hAnsi="Arial" w:cs="Arial"/>
          <w:sz w:val="22"/>
          <w:szCs w:val="22"/>
        </w:rPr>
        <w:t>17</w:t>
      </w:r>
      <w:r w:rsidRPr="00117BF8">
        <w:rPr>
          <w:rFonts w:ascii="Arial" w:hAnsi="Arial" w:cs="Arial"/>
          <w:sz w:val="22"/>
          <w:szCs w:val="22"/>
        </w:rPr>
        <w:t xml:space="preserve"> se ilustran los resultados primarios a precios constantes. Luego de mejores resultados para 2016 y 2017 en las proyecciones alternativas, a partir del 2018</w:t>
      </w:r>
      <w:r w:rsidR="002B7F69" w:rsidRPr="00117BF8">
        <w:rPr>
          <w:rFonts w:ascii="Arial" w:hAnsi="Arial" w:cs="Arial"/>
          <w:sz w:val="22"/>
          <w:szCs w:val="22"/>
        </w:rPr>
        <w:t>,</w:t>
      </w:r>
      <w:r w:rsidRPr="00117BF8">
        <w:rPr>
          <w:rFonts w:ascii="Arial" w:hAnsi="Arial" w:cs="Arial"/>
          <w:sz w:val="22"/>
          <w:szCs w:val="22"/>
        </w:rPr>
        <w:t xml:space="preserve"> los resultados son sustancialmente inferiores a los correspondientes a las proyecciones de la Provincia.</w:t>
      </w:r>
    </w:p>
    <w:p w14:paraId="0118DDF6" w14:textId="77777777" w:rsidR="003150B9" w:rsidRPr="00117BF8" w:rsidRDefault="003150B9" w:rsidP="00117BF8">
      <w:pPr>
        <w:pStyle w:val="hsa3"/>
        <w:spacing w:after="120"/>
        <w:jc w:val="center"/>
        <w:rPr>
          <w:rFonts w:ascii="Arial" w:hAnsi="Arial" w:cs="Arial"/>
          <w:sz w:val="20"/>
        </w:rPr>
      </w:pPr>
      <w:bookmarkStart w:id="126" w:name="_Toc493781708"/>
      <w:r w:rsidRPr="00117BF8">
        <w:rPr>
          <w:rFonts w:ascii="Arial" w:hAnsi="Arial" w:cs="Arial"/>
          <w:sz w:val="20"/>
        </w:rPr>
        <w:t xml:space="preserve">Gráfico </w:t>
      </w:r>
      <w:r w:rsidR="005F6AD9" w:rsidRPr="00117BF8">
        <w:rPr>
          <w:rFonts w:ascii="Arial" w:hAnsi="Arial" w:cs="Arial"/>
          <w:sz w:val="20"/>
        </w:rPr>
        <w:t>17</w:t>
      </w:r>
      <w:r w:rsidRPr="00117BF8">
        <w:rPr>
          <w:rFonts w:ascii="Arial" w:hAnsi="Arial" w:cs="Arial"/>
          <w:sz w:val="20"/>
        </w:rPr>
        <w:t xml:space="preserve"> – Comparación de los Resultados Primarios a precio</w:t>
      </w:r>
      <w:r w:rsidR="005F6AD9" w:rsidRPr="00117BF8">
        <w:rPr>
          <w:rFonts w:ascii="Arial" w:hAnsi="Arial" w:cs="Arial"/>
          <w:sz w:val="20"/>
        </w:rPr>
        <w:t>s</w:t>
      </w:r>
      <w:r w:rsidRPr="00117BF8">
        <w:rPr>
          <w:rFonts w:ascii="Arial" w:hAnsi="Arial" w:cs="Arial"/>
          <w:sz w:val="20"/>
        </w:rPr>
        <w:t xml:space="preserve"> de 2016</w:t>
      </w:r>
      <w:bookmarkEnd w:id="126"/>
    </w:p>
    <w:p w14:paraId="3207CA8F" w14:textId="77777777" w:rsidR="009446AB" w:rsidRPr="00117BF8" w:rsidRDefault="00117BF8" w:rsidP="009446AB">
      <w:pPr>
        <w:pStyle w:val="Hfuente"/>
        <w:rPr>
          <w:rFonts w:ascii="Arial" w:hAnsi="Arial" w:cs="Arial"/>
          <w:sz w:val="18"/>
          <w:szCs w:val="18"/>
        </w:rPr>
      </w:pPr>
      <w:r w:rsidRPr="00117BF8">
        <w:rPr>
          <w:rFonts w:ascii="Arial" w:hAnsi="Arial" w:cs="Arial"/>
        </w:rPr>
        <w:pict w14:anchorId="2BBC64E0">
          <v:shape id="_x0000_i1047" type="#_x0000_t75" style="width:424.5pt;height:276.75pt">
            <v:imagedata r:id="rId19" o:title=""/>
          </v:shape>
        </w:pict>
      </w:r>
      <w:r w:rsidR="009446AB" w:rsidRPr="00117BF8">
        <w:rPr>
          <w:rFonts w:ascii="Arial" w:hAnsi="Arial" w:cs="Arial"/>
        </w:rPr>
        <w:t xml:space="preserve"> </w:t>
      </w:r>
      <w:r w:rsidR="009446AB" w:rsidRPr="00117BF8">
        <w:rPr>
          <w:rFonts w:ascii="Arial" w:hAnsi="Arial" w:cs="Arial"/>
          <w:sz w:val="18"/>
          <w:szCs w:val="18"/>
        </w:rPr>
        <w:t>Fuente: Elaboración propia sobre proyecciones de la Provincia y Alternativa</w:t>
      </w:r>
    </w:p>
    <w:p w14:paraId="5F743ECA" w14:textId="77777777" w:rsidR="00185401" w:rsidRPr="00117BF8" w:rsidRDefault="0007505B" w:rsidP="00390179">
      <w:pPr>
        <w:pStyle w:val="hsa"/>
        <w:rPr>
          <w:rFonts w:ascii="Arial" w:hAnsi="Arial" w:cs="Arial"/>
          <w:sz w:val="22"/>
          <w:szCs w:val="22"/>
        </w:rPr>
      </w:pPr>
      <w:r w:rsidRPr="00117BF8">
        <w:rPr>
          <w:rFonts w:ascii="Arial" w:hAnsi="Arial" w:cs="Arial"/>
          <w:sz w:val="22"/>
          <w:szCs w:val="22"/>
        </w:rPr>
        <w:t xml:space="preserve">Los resultados económicos son superiores a los primarios debido al importante déficit estimado para la cuenta de capital en ambas proyecciones. </w:t>
      </w:r>
      <w:r w:rsidR="002B7F69" w:rsidRPr="00117BF8">
        <w:rPr>
          <w:rFonts w:ascii="Arial" w:hAnsi="Arial" w:cs="Arial"/>
          <w:sz w:val="22"/>
          <w:szCs w:val="22"/>
        </w:rPr>
        <w:t>S</w:t>
      </w:r>
      <w:r w:rsidRPr="00117BF8">
        <w:rPr>
          <w:rFonts w:ascii="Arial" w:hAnsi="Arial" w:cs="Arial"/>
          <w:sz w:val="22"/>
          <w:szCs w:val="22"/>
        </w:rPr>
        <w:t>i bien l</w:t>
      </w:r>
      <w:r w:rsidR="00185401" w:rsidRPr="00117BF8">
        <w:rPr>
          <w:rFonts w:ascii="Arial" w:hAnsi="Arial" w:cs="Arial"/>
          <w:sz w:val="22"/>
          <w:szCs w:val="22"/>
        </w:rPr>
        <w:t xml:space="preserve">os intereses en las proyecciones alternativas para los años 2017 y 2018 son inferiores como </w:t>
      </w:r>
      <w:r w:rsidR="00483786" w:rsidRPr="00117BF8">
        <w:rPr>
          <w:rFonts w:ascii="Arial" w:hAnsi="Arial" w:cs="Arial"/>
          <w:sz w:val="22"/>
          <w:szCs w:val="22"/>
        </w:rPr>
        <w:t xml:space="preserve">consecuencia de menores necesidades de financiamiento </w:t>
      </w:r>
      <w:r w:rsidR="002B7F69" w:rsidRPr="00117BF8">
        <w:rPr>
          <w:rFonts w:ascii="Arial" w:hAnsi="Arial" w:cs="Arial"/>
          <w:sz w:val="22"/>
          <w:szCs w:val="22"/>
        </w:rPr>
        <w:t>de</w:t>
      </w:r>
      <w:r w:rsidR="00483786" w:rsidRPr="00117BF8">
        <w:rPr>
          <w:rFonts w:ascii="Arial" w:hAnsi="Arial" w:cs="Arial"/>
          <w:sz w:val="22"/>
          <w:szCs w:val="22"/>
        </w:rPr>
        <w:t xml:space="preserve"> 2017, </w:t>
      </w:r>
      <w:r w:rsidRPr="00117BF8">
        <w:rPr>
          <w:rFonts w:ascii="Arial" w:hAnsi="Arial" w:cs="Arial"/>
          <w:sz w:val="22"/>
          <w:szCs w:val="22"/>
        </w:rPr>
        <w:t>a partir de 2019 l</w:t>
      </w:r>
      <w:r w:rsidR="00483786" w:rsidRPr="00117BF8">
        <w:rPr>
          <w:rFonts w:ascii="Arial" w:hAnsi="Arial" w:cs="Arial"/>
          <w:sz w:val="22"/>
          <w:szCs w:val="22"/>
        </w:rPr>
        <w:t xml:space="preserve">a situación </w:t>
      </w:r>
      <w:r w:rsidRPr="00117BF8">
        <w:rPr>
          <w:rFonts w:ascii="Arial" w:hAnsi="Arial" w:cs="Arial"/>
          <w:sz w:val="22"/>
          <w:szCs w:val="22"/>
        </w:rPr>
        <w:t>se revierte</w:t>
      </w:r>
      <w:r w:rsidR="00483786" w:rsidRPr="00117BF8">
        <w:rPr>
          <w:rFonts w:ascii="Arial" w:hAnsi="Arial" w:cs="Arial"/>
          <w:sz w:val="22"/>
          <w:szCs w:val="22"/>
        </w:rPr>
        <w:t>.</w:t>
      </w:r>
    </w:p>
    <w:p w14:paraId="0999A706" w14:textId="77777777" w:rsidR="003150B9" w:rsidRPr="00117BF8" w:rsidRDefault="0007505B" w:rsidP="003150B9">
      <w:pPr>
        <w:pStyle w:val="hsa"/>
        <w:rPr>
          <w:rFonts w:ascii="Arial" w:hAnsi="Arial" w:cs="Arial"/>
          <w:sz w:val="22"/>
          <w:szCs w:val="22"/>
        </w:rPr>
      </w:pPr>
      <w:r w:rsidRPr="00117BF8">
        <w:rPr>
          <w:rFonts w:ascii="Arial" w:hAnsi="Arial" w:cs="Arial"/>
          <w:sz w:val="22"/>
          <w:szCs w:val="22"/>
        </w:rPr>
        <w:t>Luego de los primeros años</w:t>
      </w:r>
      <w:r w:rsidR="003150B9" w:rsidRPr="00117BF8">
        <w:rPr>
          <w:rFonts w:ascii="Arial" w:hAnsi="Arial" w:cs="Arial"/>
          <w:sz w:val="22"/>
          <w:szCs w:val="22"/>
        </w:rPr>
        <w:t>, el resultado econ</w:t>
      </w:r>
      <w:r w:rsidR="009446AB" w:rsidRPr="00117BF8">
        <w:rPr>
          <w:rFonts w:ascii="Arial" w:hAnsi="Arial" w:cs="Arial"/>
          <w:sz w:val="22"/>
          <w:szCs w:val="22"/>
        </w:rPr>
        <w:t>ómico de la</w:t>
      </w:r>
      <w:r w:rsidR="003150B9" w:rsidRPr="00117BF8">
        <w:rPr>
          <w:rFonts w:ascii="Arial" w:hAnsi="Arial" w:cs="Arial"/>
          <w:sz w:val="22"/>
          <w:szCs w:val="22"/>
        </w:rPr>
        <w:t xml:space="preserve"> proyecci</w:t>
      </w:r>
      <w:r w:rsidRPr="00117BF8">
        <w:rPr>
          <w:rFonts w:ascii="Arial" w:hAnsi="Arial" w:cs="Arial"/>
          <w:sz w:val="22"/>
          <w:szCs w:val="22"/>
        </w:rPr>
        <w:t xml:space="preserve">ón </w:t>
      </w:r>
      <w:r w:rsidR="003150B9" w:rsidRPr="00117BF8">
        <w:rPr>
          <w:rFonts w:ascii="Arial" w:hAnsi="Arial" w:cs="Arial"/>
          <w:sz w:val="22"/>
          <w:szCs w:val="22"/>
        </w:rPr>
        <w:t>alternativa</w:t>
      </w:r>
      <w:r w:rsidRPr="00117BF8">
        <w:rPr>
          <w:rFonts w:ascii="Arial" w:hAnsi="Arial" w:cs="Arial"/>
          <w:sz w:val="22"/>
          <w:szCs w:val="22"/>
        </w:rPr>
        <w:t>,</w:t>
      </w:r>
      <w:r w:rsidR="003150B9" w:rsidRPr="00117BF8">
        <w:rPr>
          <w:rFonts w:ascii="Arial" w:hAnsi="Arial" w:cs="Arial"/>
          <w:sz w:val="22"/>
          <w:szCs w:val="22"/>
        </w:rPr>
        <w:t xml:space="preserve"> </w:t>
      </w:r>
      <w:r w:rsidRPr="00117BF8">
        <w:rPr>
          <w:rFonts w:ascii="Arial" w:hAnsi="Arial" w:cs="Arial"/>
          <w:sz w:val="22"/>
          <w:szCs w:val="22"/>
        </w:rPr>
        <w:t xml:space="preserve">a precios de 2016, </w:t>
      </w:r>
      <w:r w:rsidR="003150B9" w:rsidRPr="00117BF8">
        <w:rPr>
          <w:rFonts w:ascii="Arial" w:hAnsi="Arial" w:cs="Arial"/>
          <w:sz w:val="22"/>
          <w:szCs w:val="22"/>
        </w:rPr>
        <w:t xml:space="preserve">se ubica en algo </w:t>
      </w:r>
      <w:r w:rsidR="002B7F69" w:rsidRPr="00117BF8">
        <w:rPr>
          <w:rFonts w:ascii="Arial" w:hAnsi="Arial" w:cs="Arial"/>
          <w:sz w:val="22"/>
          <w:szCs w:val="22"/>
        </w:rPr>
        <w:t>más</w:t>
      </w:r>
      <w:r w:rsidR="003150B9" w:rsidRPr="00117BF8">
        <w:rPr>
          <w:rFonts w:ascii="Arial" w:hAnsi="Arial" w:cs="Arial"/>
          <w:sz w:val="22"/>
          <w:szCs w:val="22"/>
        </w:rPr>
        <w:t xml:space="preserve"> del 50% del resultado estimado por la Provincia.</w:t>
      </w:r>
    </w:p>
    <w:p w14:paraId="66A955BD" w14:textId="77777777" w:rsidR="00483786" w:rsidRPr="00117BF8" w:rsidRDefault="00483786" w:rsidP="00117BF8">
      <w:pPr>
        <w:pStyle w:val="hsa3"/>
        <w:spacing w:after="120"/>
        <w:jc w:val="center"/>
        <w:rPr>
          <w:rFonts w:ascii="Arial" w:hAnsi="Arial" w:cs="Arial"/>
          <w:sz w:val="22"/>
          <w:szCs w:val="22"/>
        </w:rPr>
      </w:pPr>
      <w:bookmarkStart w:id="127" w:name="_Toc493781709"/>
      <w:r w:rsidRPr="00117BF8">
        <w:rPr>
          <w:rFonts w:ascii="Arial" w:hAnsi="Arial" w:cs="Arial"/>
          <w:sz w:val="22"/>
          <w:szCs w:val="22"/>
        </w:rPr>
        <w:t xml:space="preserve">Gráfico </w:t>
      </w:r>
      <w:r w:rsidR="005F6AD9" w:rsidRPr="00117BF8">
        <w:rPr>
          <w:rFonts w:ascii="Arial" w:hAnsi="Arial" w:cs="Arial"/>
          <w:sz w:val="22"/>
          <w:szCs w:val="22"/>
        </w:rPr>
        <w:t>18</w:t>
      </w:r>
      <w:r w:rsidRPr="00117BF8">
        <w:rPr>
          <w:rFonts w:ascii="Arial" w:hAnsi="Arial" w:cs="Arial"/>
          <w:sz w:val="22"/>
          <w:szCs w:val="22"/>
        </w:rPr>
        <w:t xml:space="preserve"> – Comparación de los Resultados Económicos a precio</w:t>
      </w:r>
      <w:r w:rsidR="005F6AD9" w:rsidRPr="00117BF8">
        <w:rPr>
          <w:rFonts w:ascii="Arial" w:hAnsi="Arial" w:cs="Arial"/>
          <w:sz w:val="22"/>
          <w:szCs w:val="22"/>
        </w:rPr>
        <w:t>s</w:t>
      </w:r>
      <w:r w:rsidRPr="00117BF8">
        <w:rPr>
          <w:rFonts w:ascii="Arial" w:hAnsi="Arial" w:cs="Arial"/>
          <w:sz w:val="22"/>
          <w:szCs w:val="22"/>
        </w:rPr>
        <w:t xml:space="preserve"> de 2016</w:t>
      </w:r>
      <w:bookmarkEnd w:id="127"/>
    </w:p>
    <w:p w14:paraId="094B1538" w14:textId="77777777" w:rsidR="009446AB" w:rsidRPr="00117BF8" w:rsidRDefault="00117BF8" w:rsidP="009446AB">
      <w:pPr>
        <w:pStyle w:val="Hfuente"/>
        <w:rPr>
          <w:rFonts w:ascii="Arial" w:hAnsi="Arial" w:cs="Arial"/>
          <w:sz w:val="18"/>
          <w:szCs w:val="18"/>
        </w:rPr>
      </w:pPr>
      <w:r w:rsidRPr="00117BF8">
        <w:rPr>
          <w:rFonts w:ascii="Arial" w:hAnsi="Arial" w:cs="Arial"/>
        </w:rPr>
        <w:pict w14:anchorId="2BBC64E1">
          <v:shape id="_x0000_i1048" type="#_x0000_t75" style="width:424.5pt;height:276.75pt">
            <v:imagedata r:id="rId20" o:title=""/>
          </v:shape>
        </w:pict>
      </w:r>
      <w:r w:rsidR="009446AB" w:rsidRPr="00117BF8">
        <w:rPr>
          <w:rFonts w:ascii="Arial" w:hAnsi="Arial" w:cs="Arial"/>
        </w:rPr>
        <w:t xml:space="preserve"> </w:t>
      </w:r>
      <w:r w:rsidR="009446AB" w:rsidRPr="00117BF8">
        <w:rPr>
          <w:rFonts w:ascii="Arial" w:hAnsi="Arial" w:cs="Arial"/>
          <w:sz w:val="18"/>
          <w:szCs w:val="18"/>
        </w:rPr>
        <w:t>Fuente: Elaboración propia sobre proyecciones de la Provincia y Alternativa</w:t>
      </w:r>
    </w:p>
    <w:p w14:paraId="03BF7B49" w14:textId="77777777" w:rsidR="006334D8" w:rsidRPr="00CF312E" w:rsidRDefault="006334D8">
      <w:pPr>
        <w:pStyle w:val="Heading3"/>
      </w:pPr>
      <w:bookmarkStart w:id="128" w:name="_Toc494040343"/>
      <w:r w:rsidRPr="00CF312E">
        <w:t>Análisis de Sensibilidad</w:t>
      </w:r>
      <w:r w:rsidR="00390179" w:rsidRPr="00CF312E">
        <w:t xml:space="preserve"> y Resultado Financiero</w:t>
      </w:r>
      <w:bookmarkEnd w:id="128"/>
    </w:p>
    <w:p w14:paraId="63E93FBD" w14:textId="77777777" w:rsidR="006334D8" w:rsidRPr="00117BF8" w:rsidRDefault="006334D8" w:rsidP="006334D8">
      <w:pPr>
        <w:pStyle w:val="hsa"/>
        <w:rPr>
          <w:rFonts w:ascii="Arial" w:hAnsi="Arial" w:cs="Arial"/>
          <w:sz w:val="22"/>
          <w:szCs w:val="22"/>
        </w:rPr>
      </w:pPr>
      <w:r w:rsidRPr="00117BF8">
        <w:rPr>
          <w:rFonts w:ascii="Arial" w:hAnsi="Arial" w:cs="Arial"/>
          <w:sz w:val="22"/>
          <w:szCs w:val="22"/>
        </w:rPr>
        <w:t xml:space="preserve">Las proyecciones alternativas fueron presentadas y analizadas con los representantes de la Provincia en una reunión conjunta en la sede local del BID, </w:t>
      </w:r>
      <w:r w:rsidR="00895261" w:rsidRPr="00117BF8">
        <w:rPr>
          <w:rFonts w:ascii="Arial" w:hAnsi="Arial" w:cs="Arial"/>
          <w:sz w:val="22"/>
          <w:szCs w:val="22"/>
        </w:rPr>
        <w:t>con posterioridad a la reunión se le enviaron a la provincia los archivos que sostenían las proyecciones</w:t>
      </w:r>
      <w:r w:rsidR="002B7F69" w:rsidRPr="00117BF8">
        <w:rPr>
          <w:rFonts w:ascii="Arial" w:hAnsi="Arial" w:cs="Arial"/>
          <w:sz w:val="22"/>
          <w:szCs w:val="22"/>
        </w:rPr>
        <w:t xml:space="preserve"> alternativas</w:t>
      </w:r>
      <w:r w:rsidRPr="00117BF8">
        <w:rPr>
          <w:rFonts w:ascii="Arial" w:hAnsi="Arial" w:cs="Arial"/>
          <w:sz w:val="22"/>
          <w:szCs w:val="22"/>
        </w:rPr>
        <w:t>. El 15/9 los representan</w:t>
      </w:r>
      <w:r w:rsidR="00895261" w:rsidRPr="00117BF8">
        <w:rPr>
          <w:rFonts w:ascii="Arial" w:hAnsi="Arial" w:cs="Arial"/>
          <w:sz w:val="22"/>
          <w:szCs w:val="22"/>
        </w:rPr>
        <w:t>tes de la provincia respondieron que no tenían comentarios adicionales que realizar.</w:t>
      </w:r>
      <w:r w:rsidR="00895261" w:rsidRPr="00117BF8">
        <w:rPr>
          <w:rStyle w:val="FootnoteReference"/>
          <w:rFonts w:ascii="Arial" w:hAnsi="Arial" w:cs="Arial"/>
          <w:sz w:val="22"/>
          <w:szCs w:val="22"/>
        </w:rPr>
        <w:footnoteReference w:id="29"/>
      </w:r>
      <w:r w:rsidR="00033946" w:rsidRPr="00117BF8">
        <w:rPr>
          <w:rFonts w:ascii="Arial" w:hAnsi="Arial" w:cs="Arial"/>
          <w:sz w:val="22"/>
          <w:szCs w:val="22"/>
        </w:rPr>
        <w:t xml:space="preserve"> Las proyecciones alternativas que aquí se </w:t>
      </w:r>
      <w:r w:rsidR="0001323D" w:rsidRPr="00117BF8">
        <w:rPr>
          <w:rFonts w:ascii="Arial" w:hAnsi="Arial" w:cs="Arial"/>
          <w:sz w:val="22"/>
          <w:szCs w:val="22"/>
        </w:rPr>
        <w:t xml:space="preserve">presentan tienen pequeñas diferencias con las analizadas con los representantes de la Provincia </w:t>
      </w:r>
      <w:r w:rsidR="002B7F69" w:rsidRPr="00117BF8">
        <w:rPr>
          <w:rFonts w:ascii="Arial" w:hAnsi="Arial" w:cs="Arial"/>
          <w:sz w:val="22"/>
          <w:szCs w:val="22"/>
        </w:rPr>
        <w:t xml:space="preserve">como consecuencia de </w:t>
      </w:r>
      <w:r w:rsidR="0001323D" w:rsidRPr="00117BF8">
        <w:rPr>
          <w:rFonts w:ascii="Arial" w:hAnsi="Arial" w:cs="Arial"/>
          <w:sz w:val="22"/>
          <w:szCs w:val="22"/>
        </w:rPr>
        <w:t xml:space="preserve">ajustes menores y algún cambio en las previsiones de los préstamos BID, </w:t>
      </w:r>
      <w:r w:rsidR="002B7F69" w:rsidRPr="00117BF8">
        <w:rPr>
          <w:rFonts w:ascii="Arial" w:hAnsi="Arial" w:cs="Arial"/>
          <w:sz w:val="22"/>
          <w:szCs w:val="22"/>
        </w:rPr>
        <w:t>n</w:t>
      </w:r>
      <w:r w:rsidR="0001323D" w:rsidRPr="00117BF8">
        <w:rPr>
          <w:rFonts w:ascii="Arial" w:hAnsi="Arial" w:cs="Arial"/>
          <w:sz w:val="22"/>
          <w:szCs w:val="22"/>
        </w:rPr>
        <w:t>o se modifican los aspectos sustanciales.</w:t>
      </w:r>
    </w:p>
    <w:p w14:paraId="3CDDAC30" w14:textId="77777777" w:rsidR="00895261" w:rsidRPr="00117BF8" w:rsidRDefault="00895261" w:rsidP="006334D8">
      <w:pPr>
        <w:pStyle w:val="hsa"/>
        <w:rPr>
          <w:rFonts w:ascii="Arial" w:hAnsi="Arial" w:cs="Arial"/>
          <w:sz w:val="22"/>
          <w:szCs w:val="22"/>
        </w:rPr>
      </w:pPr>
      <w:r w:rsidRPr="00117BF8">
        <w:rPr>
          <w:rFonts w:ascii="Arial" w:hAnsi="Arial" w:cs="Arial"/>
          <w:sz w:val="22"/>
          <w:szCs w:val="22"/>
        </w:rPr>
        <w:t>En el transcurso de la reunión los representantes de la Provincia comentaron que el supuesto relativo a los ingresos tributarios de origen nacional les parecía muy pesimista</w:t>
      </w:r>
      <w:r w:rsidR="00AC0F0D" w:rsidRPr="00117BF8">
        <w:rPr>
          <w:rFonts w:ascii="Arial" w:hAnsi="Arial" w:cs="Arial"/>
          <w:sz w:val="22"/>
          <w:szCs w:val="22"/>
        </w:rPr>
        <w:t>,</w:t>
      </w:r>
      <w:r w:rsidRPr="00117BF8">
        <w:rPr>
          <w:rFonts w:ascii="Arial" w:hAnsi="Arial" w:cs="Arial"/>
          <w:sz w:val="22"/>
          <w:szCs w:val="22"/>
        </w:rPr>
        <w:t xml:space="preserve"> a la luz de las gestiones que est</w:t>
      </w:r>
      <w:r w:rsidR="0001323D" w:rsidRPr="00117BF8">
        <w:rPr>
          <w:rFonts w:ascii="Arial" w:hAnsi="Arial" w:cs="Arial"/>
          <w:sz w:val="22"/>
          <w:szCs w:val="22"/>
        </w:rPr>
        <w:t>á realizando la P</w:t>
      </w:r>
      <w:r w:rsidRPr="00117BF8">
        <w:rPr>
          <w:rFonts w:ascii="Arial" w:hAnsi="Arial" w:cs="Arial"/>
          <w:sz w:val="22"/>
          <w:szCs w:val="22"/>
        </w:rPr>
        <w:t>rovincia (Ver “Contexto”). Si bien es posible que la Provincia</w:t>
      </w:r>
      <w:r w:rsidR="002B7F69" w:rsidRPr="00117BF8">
        <w:rPr>
          <w:rFonts w:ascii="Arial" w:hAnsi="Arial" w:cs="Arial"/>
          <w:sz w:val="22"/>
          <w:szCs w:val="22"/>
        </w:rPr>
        <w:t>,</w:t>
      </w:r>
      <w:r w:rsidRPr="00117BF8">
        <w:rPr>
          <w:rFonts w:ascii="Arial" w:hAnsi="Arial" w:cs="Arial"/>
          <w:sz w:val="22"/>
          <w:szCs w:val="22"/>
        </w:rPr>
        <w:t xml:space="preserve"> en algún momento</w:t>
      </w:r>
      <w:r w:rsidR="002B7F69" w:rsidRPr="00117BF8">
        <w:rPr>
          <w:rFonts w:ascii="Arial" w:hAnsi="Arial" w:cs="Arial"/>
          <w:sz w:val="22"/>
          <w:szCs w:val="22"/>
        </w:rPr>
        <w:t>,</w:t>
      </w:r>
      <w:r w:rsidRPr="00117BF8">
        <w:rPr>
          <w:rFonts w:ascii="Arial" w:hAnsi="Arial" w:cs="Arial"/>
          <w:sz w:val="22"/>
          <w:szCs w:val="22"/>
        </w:rPr>
        <w:t xml:space="preserve"> logre una mejora en la coparticipación, a la fecha no existe norma que cambie </w:t>
      </w:r>
      <w:r w:rsidR="002B7F69" w:rsidRPr="00117BF8">
        <w:rPr>
          <w:rFonts w:ascii="Arial" w:hAnsi="Arial" w:cs="Arial"/>
          <w:sz w:val="22"/>
          <w:szCs w:val="22"/>
        </w:rPr>
        <w:t xml:space="preserve">en </w:t>
      </w:r>
      <w:r w:rsidRPr="00117BF8">
        <w:rPr>
          <w:rFonts w:ascii="Arial" w:hAnsi="Arial" w:cs="Arial"/>
          <w:sz w:val="22"/>
          <w:szCs w:val="22"/>
        </w:rPr>
        <w:t>el futuro la actual situación y su evolución</w:t>
      </w:r>
      <w:r w:rsidR="0001323D" w:rsidRPr="00117BF8">
        <w:rPr>
          <w:rFonts w:ascii="Arial" w:hAnsi="Arial" w:cs="Arial"/>
          <w:sz w:val="22"/>
          <w:szCs w:val="22"/>
        </w:rPr>
        <w:t xml:space="preserve"> previsible</w:t>
      </w:r>
      <w:r w:rsidRPr="00117BF8">
        <w:rPr>
          <w:rFonts w:ascii="Arial" w:hAnsi="Arial" w:cs="Arial"/>
          <w:sz w:val="22"/>
          <w:szCs w:val="22"/>
        </w:rPr>
        <w:t>.</w:t>
      </w:r>
    </w:p>
    <w:p w14:paraId="1F238E79" w14:textId="2627D710" w:rsidR="00895261" w:rsidRPr="00117BF8" w:rsidRDefault="00895261" w:rsidP="006334D8">
      <w:pPr>
        <w:pStyle w:val="hsa"/>
        <w:rPr>
          <w:rFonts w:ascii="Arial" w:hAnsi="Arial" w:cs="Arial"/>
          <w:sz w:val="22"/>
          <w:szCs w:val="22"/>
        </w:rPr>
      </w:pPr>
      <w:r w:rsidRPr="00117BF8">
        <w:rPr>
          <w:rFonts w:ascii="Arial" w:hAnsi="Arial" w:cs="Arial"/>
          <w:sz w:val="22"/>
          <w:szCs w:val="22"/>
        </w:rPr>
        <w:t xml:space="preserve">De todas maneras, </w:t>
      </w:r>
      <w:r w:rsidR="002B7F69" w:rsidRPr="00117BF8">
        <w:rPr>
          <w:rFonts w:ascii="Arial" w:hAnsi="Arial" w:cs="Arial"/>
          <w:sz w:val="22"/>
          <w:szCs w:val="22"/>
        </w:rPr>
        <w:t xml:space="preserve">aquí </w:t>
      </w:r>
      <w:r w:rsidRPr="00117BF8">
        <w:rPr>
          <w:rFonts w:ascii="Arial" w:hAnsi="Arial" w:cs="Arial"/>
          <w:sz w:val="22"/>
          <w:szCs w:val="22"/>
        </w:rPr>
        <w:t>se realiza un análisis de sensibilidad que permite apreciar el impacto de cambios en la Coparticipación Federal. En el gráfico 2 se indica la caída de la participación de la Provincia en la Coparticipación en el período 199</w:t>
      </w:r>
      <w:r w:rsidR="000847A1" w:rsidRPr="00117BF8">
        <w:rPr>
          <w:rFonts w:ascii="Arial" w:hAnsi="Arial" w:cs="Arial"/>
          <w:sz w:val="22"/>
          <w:szCs w:val="22"/>
        </w:rPr>
        <w:t>5 a 2015, si la provincia recupe</w:t>
      </w:r>
      <w:r w:rsidRPr="00117BF8">
        <w:rPr>
          <w:rFonts w:ascii="Arial" w:hAnsi="Arial" w:cs="Arial"/>
          <w:sz w:val="22"/>
          <w:szCs w:val="22"/>
        </w:rPr>
        <w:t xml:space="preserve">rase </w:t>
      </w:r>
      <w:r w:rsidR="000847A1" w:rsidRPr="00117BF8">
        <w:rPr>
          <w:rFonts w:ascii="Arial" w:hAnsi="Arial" w:cs="Arial"/>
          <w:sz w:val="22"/>
          <w:szCs w:val="22"/>
        </w:rPr>
        <w:t>un tercio de esa reducción</w:t>
      </w:r>
      <w:r w:rsidR="002B7F69" w:rsidRPr="00117BF8">
        <w:rPr>
          <w:rFonts w:ascii="Arial" w:hAnsi="Arial" w:cs="Arial"/>
          <w:sz w:val="22"/>
          <w:szCs w:val="22"/>
        </w:rPr>
        <w:t>,</w:t>
      </w:r>
      <w:r w:rsidR="000847A1" w:rsidRPr="00117BF8">
        <w:rPr>
          <w:rFonts w:ascii="Arial" w:hAnsi="Arial" w:cs="Arial"/>
          <w:sz w:val="22"/>
          <w:szCs w:val="22"/>
        </w:rPr>
        <w:t xml:space="preserve"> </w:t>
      </w:r>
      <w:r w:rsidR="005A28C7" w:rsidRPr="00CF312E">
        <w:rPr>
          <w:rFonts w:ascii="Arial" w:hAnsi="Arial" w:cs="Arial"/>
          <w:sz w:val="22"/>
          <w:szCs w:val="22"/>
        </w:rPr>
        <w:t>sus ingresos</w:t>
      </w:r>
      <w:r w:rsidR="000847A1" w:rsidRPr="00117BF8">
        <w:rPr>
          <w:rFonts w:ascii="Arial" w:hAnsi="Arial" w:cs="Arial"/>
          <w:sz w:val="22"/>
          <w:szCs w:val="22"/>
        </w:rPr>
        <w:t xml:space="preserve"> de origen tributario nacional crecerían aproximadamente 11%</w:t>
      </w:r>
      <w:r w:rsidR="0001323D" w:rsidRPr="00117BF8">
        <w:rPr>
          <w:rFonts w:ascii="Arial" w:hAnsi="Arial" w:cs="Arial"/>
          <w:sz w:val="22"/>
          <w:szCs w:val="22"/>
        </w:rPr>
        <w:t xml:space="preserve">. </w:t>
      </w:r>
    </w:p>
    <w:p w14:paraId="321D740D" w14:textId="77777777" w:rsidR="00AA6E6D" w:rsidRPr="00117BF8" w:rsidRDefault="0001323D" w:rsidP="0021263A">
      <w:pPr>
        <w:pStyle w:val="hsa"/>
        <w:rPr>
          <w:rFonts w:ascii="Arial" w:hAnsi="Arial" w:cs="Arial"/>
          <w:sz w:val="22"/>
          <w:szCs w:val="22"/>
        </w:rPr>
      </w:pPr>
      <w:r w:rsidRPr="00117BF8">
        <w:rPr>
          <w:rFonts w:ascii="Arial" w:hAnsi="Arial" w:cs="Arial"/>
          <w:sz w:val="22"/>
          <w:szCs w:val="22"/>
        </w:rPr>
        <w:t>Debe señal</w:t>
      </w:r>
      <w:r w:rsidR="002B7F69" w:rsidRPr="00117BF8">
        <w:rPr>
          <w:rFonts w:ascii="Arial" w:hAnsi="Arial" w:cs="Arial"/>
          <w:sz w:val="22"/>
          <w:szCs w:val="22"/>
        </w:rPr>
        <w:t>arse que una mejora en la copa</w:t>
      </w:r>
      <w:r w:rsidRPr="00117BF8">
        <w:rPr>
          <w:rFonts w:ascii="Arial" w:hAnsi="Arial" w:cs="Arial"/>
          <w:sz w:val="22"/>
          <w:szCs w:val="22"/>
        </w:rPr>
        <w:t xml:space="preserve">rticipación de la Provincia seguramente impactaría en los ingresos originados en transferencias discrecionales de la Nación, </w:t>
      </w:r>
      <w:r w:rsidR="00AC0F0D" w:rsidRPr="00117BF8">
        <w:rPr>
          <w:rFonts w:ascii="Arial" w:hAnsi="Arial" w:cs="Arial"/>
          <w:sz w:val="22"/>
          <w:szCs w:val="22"/>
        </w:rPr>
        <w:t>da</w:t>
      </w:r>
      <w:r w:rsidR="002B7F69" w:rsidRPr="00117BF8">
        <w:rPr>
          <w:rFonts w:ascii="Arial" w:hAnsi="Arial" w:cs="Arial"/>
          <w:sz w:val="22"/>
          <w:szCs w:val="22"/>
        </w:rPr>
        <w:t xml:space="preserve">do </w:t>
      </w:r>
      <w:r w:rsidRPr="00117BF8">
        <w:rPr>
          <w:rFonts w:ascii="Arial" w:hAnsi="Arial" w:cs="Arial"/>
          <w:sz w:val="22"/>
          <w:szCs w:val="22"/>
        </w:rPr>
        <w:t xml:space="preserve">que </w:t>
      </w:r>
      <w:r w:rsidR="002B7F69" w:rsidRPr="00117BF8">
        <w:rPr>
          <w:rFonts w:ascii="Arial" w:hAnsi="Arial" w:cs="Arial"/>
          <w:sz w:val="22"/>
          <w:szCs w:val="22"/>
        </w:rPr>
        <w:t xml:space="preserve">esta </w:t>
      </w:r>
      <w:r w:rsidRPr="00117BF8">
        <w:rPr>
          <w:rFonts w:ascii="Arial" w:hAnsi="Arial" w:cs="Arial"/>
          <w:sz w:val="22"/>
          <w:szCs w:val="22"/>
        </w:rPr>
        <w:t>se vería tentada a</w:t>
      </w:r>
      <w:r w:rsidR="009C6A75" w:rsidRPr="00117BF8">
        <w:rPr>
          <w:rFonts w:ascii="Arial" w:hAnsi="Arial" w:cs="Arial"/>
          <w:sz w:val="22"/>
          <w:szCs w:val="22"/>
        </w:rPr>
        <w:t xml:space="preserve"> reducirlas y en mayores pretens</w:t>
      </w:r>
      <w:r w:rsidRPr="00117BF8">
        <w:rPr>
          <w:rFonts w:ascii="Arial" w:hAnsi="Arial" w:cs="Arial"/>
          <w:sz w:val="22"/>
          <w:szCs w:val="22"/>
        </w:rPr>
        <w:t>iones de los municipios. Sin embargo, en el análisis de sensibilidad se considera que estas variables no se modifican. El resultado financiero tendría mejoras primarias originadas en mayores ingresos y secundarias en menores los niveles de intereses</w:t>
      </w:r>
      <w:r w:rsidR="009C6A75" w:rsidRPr="00117BF8">
        <w:rPr>
          <w:rFonts w:ascii="Arial" w:hAnsi="Arial" w:cs="Arial"/>
          <w:sz w:val="22"/>
          <w:szCs w:val="22"/>
        </w:rPr>
        <w:t xml:space="preserve"> por una deuda menor</w:t>
      </w:r>
      <w:r w:rsidRPr="00117BF8">
        <w:rPr>
          <w:rFonts w:ascii="Arial" w:hAnsi="Arial" w:cs="Arial"/>
          <w:sz w:val="22"/>
          <w:szCs w:val="22"/>
        </w:rPr>
        <w:t>.</w:t>
      </w:r>
    </w:p>
    <w:p w14:paraId="2EF9E420" w14:textId="77777777" w:rsidR="00CC69DC" w:rsidRPr="00117BF8" w:rsidRDefault="0001323D" w:rsidP="0021263A">
      <w:pPr>
        <w:pStyle w:val="hsa"/>
        <w:rPr>
          <w:rFonts w:ascii="Arial" w:hAnsi="Arial" w:cs="Arial"/>
          <w:sz w:val="22"/>
          <w:szCs w:val="22"/>
        </w:rPr>
      </w:pPr>
      <w:r w:rsidRPr="00117BF8">
        <w:rPr>
          <w:rFonts w:ascii="Arial" w:hAnsi="Arial" w:cs="Arial"/>
          <w:sz w:val="22"/>
          <w:szCs w:val="22"/>
        </w:rPr>
        <w:t>Los resultados financieros comparativos</w:t>
      </w:r>
      <w:r w:rsidR="009446AB" w:rsidRPr="00117BF8">
        <w:rPr>
          <w:rFonts w:ascii="Arial" w:hAnsi="Arial" w:cs="Arial"/>
          <w:sz w:val="22"/>
          <w:szCs w:val="22"/>
        </w:rPr>
        <w:t>,</w:t>
      </w:r>
      <w:r w:rsidRPr="00117BF8">
        <w:rPr>
          <w:rFonts w:ascii="Arial" w:hAnsi="Arial" w:cs="Arial"/>
          <w:sz w:val="22"/>
          <w:szCs w:val="22"/>
        </w:rPr>
        <w:t xml:space="preserve"> </w:t>
      </w:r>
      <w:r w:rsidR="009446AB" w:rsidRPr="00117BF8">
        <w:rPr>
          <w:rFonts w:ascii="Arial" w:hAnsi="Arial" w:cs="Arial"/>
          <w:sz w:val="22"/>
          <w:szCs w:val="22"/>
        </w:rPr>
        <w:t xml:space="preserve">a precios de 2016, </w:t>
      </w:r>
      <w:r w:rsidRPr="00117BF8">
        <w:rPr>
          <w:rFonts w:ascii="Arial" w:hAnsi="Arial" w:cs="Arial"/>
          <w:sz w:val="22"/>
          <w:szCs w:val="22"/>
        </w:rPr>
        <w:t xml:space="preserve">se ilustran en el gráfico </w:t>
      </w:r>
      <w:r w:rsidR="005F6AD9" w:rsidRPr="00117BF8">
        <w:rPr>
          <w:rFonts w:ascii="Arial" w:hAnsi="Arial" w:cs="Arial"/>
          <w:sz w:val="22"/>
          <w:szCs w:val="22"/>
        </w:rPr>
        <w:t>19</w:t>
      </w:r>
      <w:r w:rsidR="009446AB" w:rsidRPr="00117BF8">
        <w:rPr>
          <w:rFonts w:ascii="Arial" w:hAnsi="Arial" w:cs="Arial"/>
          <w:sz w:val="22"/>
          <w:szCs w:val="22"/>
        </w:rPr>
        <w:t xml:space="preserve"> </w:t>
      </w:r>
      <w:r w:rsidR="00C76157" w:rsidRPr="00117BF8">
        <w:rPr>
          <w:rFonts w:ascii="Arial" w:hAnsi="Arial" w:cs="Arial"/>
          <w:sz w:val="22"/>
          <w:szCs w:val="22"/>
        </w:rPr>
        <w:t>El comportamiento de l</w:t>
      </w:r>
      <w:r w:rsidR="009446AB" w:rsidRPr="00117BF8">
        <w:rPr>
          <w:rFonts w:ascii="Arial" w:hAnsi="Arial" w:cs="Arial"/>
          <w:sz w:val="22"/>
          <w:szCs w:val="22"/>
        </w:rPr>
        <w:t>os resultados correspondientes a las proyecciones de la Provincia y Alternativa se explica en el título previo. El impacto de un</w:t>
      </w:r>
      <w:r w:rsidR="00AC0F0D" w:rsidRPr="00117BF8">
        <w:rPr>
          <w:rFonts w:ascii="Arial" w:hAnsi="Arial" w:cs="Arial"/>
          <w:sz w:val="22"/>
          <w:szCs w:val="22"/>
        </w:rPr>
        <w:t xml:space="preserve"> incremento </w:t>
      </w:r>
      <w:r w:rsidR="009446AB" w:rsidRPr="00117BF8">
        <w:rPr>
          <w:rFonts w:ascii="Arial" w:hAnsi="Arial" w:cs="Arial"/>
          <w:sz w:val="22"/>
          <w:szCs w:val="22"/>
        </w:rPr>
        <w:t>net</w:t>
      </w:r>
      <w:r w:rsidR="00AC0F0D" w:rsidRPr="00117BF8">
        <w:rPr>
          <w:rFonts w:ascii="Arial" w:hAnsi="Arial" w:cs="Arial"/>
          <w:sz w:val="22"/>
          <w:szCs w:val="22"/>
        </w:rPr>
        <w:t>o</w:t>
      </w:r>
      <w:r w:rsidR="009446AB" w:rsidRPr="00117BF8">
        <w:rPr>
          <w:rFonts w:ascii="Arial" w:hAnsi="Arial" w:cs="Arial"/>
          <w:sz w:val="22"/>
          <w:szCs w:val="22"/>
        </w:rPr>
        <w:t xml:space="preserve"> equivalente al 11% de los recursos de origen tributario nacional determinaría</w:t>
      </w:r>
      <w:r w:rsidR="00C76157" w:rsidRPr="00117BF8">
        <w:rPr>
          <w:rFonts w:ascii="Arial" w:hAnsi="Arial" w:cs="Arial"/>
          <w:sz w:val="22"/>
          <w:szCs w:val="22"/>
        </w:rPr>
        <w:t xml:space="preserve"> una sustancial mejora en el resultado financiero, debido no sólo al incremento de recursos sino a un menor nivel de deuda y, por lo tanto, de intereses.</w:t>
      </w:r>
      <w:r w:rsidR="009446AB" w:rsidRPr="00117BF8">
        <w:rPr>
          <w:rFonts w:ascii="Arial" w:hAnsi="Arial" w:cs="Arial"/>
          <w:sz w:val="22"/>
          <w:szCs w:val="22"/>
        </w:rPr>
        <w:t xml:space="preserve"> </w:t>
      </w:r>
    </w:p>
    <w:p w14:paraId="43B16B74" w14:textId="77777777" w:rsidR="009446AB" w:rsidRPr="00117BF8" w:rsidRDefault="009446AB" w:rsidP="00117BF8">
      <w:pPr>
        <w:pStyle w:val="hsa3"/>
        <w:spacing w:after="120"/>
        <w:jc w:val="center"/>
        <w:rPr>
          <w:rFonts w:ascii="Arial" w:hAnsi="Arial" w:cs="Arial"/>
          <w:sz w:val="20"/>
        </w:rPr>
      </w:pPr>
      <w:bookmarkStart w:id="129" w:name="_Toc493781710"/>
      <w:r w:rsidRPr="00117BF8">
        <w:rPr>
          <w:rFonts w:ascii="Arial" w:hAnsi="Arial" w:cs="Arial"/>
          <w:sz w:val="20"/>
        </w:rPr>
        <w:t xml:space="preserve">Gráfico </w:t>
      </w:r>
      <w:r w:rsidR="005F6AD9" w:rsidRPr="00117BF8">
        <w:rPr>
          <w:rFonts w:ascii="Arial" w:hAnsi="Arial" w:cs="Arial"/>
          <w:sz w:val="20"/>
        </w:rPr>
        <w:t>19</w:t>
      </w:r>
      <w:r w:rsidRPr="00117BF8">
        <w:rPr>
          <w:rFonts w:ascii="Arial" w:hAnsi="Arial" w:cs="Arial"/>
          <w:sz w:val="20"/>
        </w:rPr>
        <w:t xml:space="preserve"> – Comparación de los Resultados </w:t>
      </w:r>
      <w:r w:rsidR="005F6AD9" w:rsidRPr="00117BF8">
        <w:rPr>
          <w:rFonts w:ascii="Arial" w:hAnsi="Arial" w:cs="Arial"/>
          <w:sz w:val="20"/>
        </w:rPr>
        <w:t>Financieros</w:t>
      </w:r>
      <w:r w:rsidRPr="00117BF8">
        <w:rPr>
          <w:rFonts w:ascii="Arial" w:hAnsi="Arial" w:cs="Arial"/>
          <w:sz w:val="20"/>
        </w:rPr>
        <w:t xml:space="preserve"> a precio</w:t>
      </w:r>
      <w:r w:rsidR="005F6AD9" w:rsidRPr="00117BF8">
        <w:rPr>
          <w:rFonts w:ascii="Arial" w:hAnsi="Arial" w:cs="Arial"/>
          <w:sz w:val="20"/>
        </w:rPr>
        <w:t>s</w:t>
      </w:r>
      <w:r w:rsidRPr="00117BF8">
        <w:rPr>
          <w:rFonts w:ascii="Arial" w:hAnsi="Arial" w:cs="Arial"/>
          <w:sz w:val="20"/>
        </w:rPr>
        <w:t xml:space="preserve"> de 2016</w:t>
      </w:r>
      <w:bookmarkEnd w:id="129"/>
    </w:p>
    <w:p w14:paraId="08741417" w14:textId="77777777" w:rsidR="009446AB" w:rsidRPr="00117BF8" w:rsidRDefault="00117BF8" w:rsidP="009446AB">
      <w:pPr>
        <w:pStyle w:val="Hfuente"/>
        <w:rPr>
          <w:rFonts w:ascii="Arial" w:hAnsi="Arial" w:cs="Arial"/>
          <w:sz w:val="18"/>
          <w:szCs w:val="18"/>
        </w:rPr>
      </w:pPr>
      <w:r w:rsidRPr="00117BF8">
        <w:rPr>
          <w:rFonts w:ascii="Arial" w:hAnsi="Arial" w:cs="Arial"/>
        </w:rPr>
        <w:pict w14:anchorId="2BBC64E2">
          <v:shape id="_x0000_i1049" type="#_x0000_t75" style="width:424.5pt;height:276.75pt">
            <v:imagedata r:id="rId21" o:title=""/>
          </v:shape>
        </w:pict>
      </w:r>
      <w:r w:rsidR="009446AB" w:rsidRPr="00117BF8">
        <w:rPr>
          <w:rFonts w:ascii="Arial" w:hAnsi="Arial" w:cs="Arial"/>
        </w:rPr>
        <w:t xml:space="preserve"> </w:t>
      </w:r>
      <w:r w:rsidR="009446AB" w:rsidRPr="00117BF8">
        <w:rPr>
          <w:rFonts w:ascii="Arial" w:hAnsi="Arial" w:cs="Arial"/>
          <w:sz w:val="18"/>
          <w:szCs w:val="18"/>
        </w:rPr>
        <w:t>Fuente: Elaboración propia sobre proyecciones de la Provincia y Alternativa</w:t>
      </w:r>
    </w:p>
    <w:p w14:paraId="410BECAB" w14:textId="77777777" w:rsidR="00FD43F5" w:rsidRPr="00117BF8" w:rsidRDefault="009F19ED" w:rsidP="00117BF8">
      <w:pPr>
        <w:pStyle w:val="Heading1"/>
        <w:spacing w:before="120" w:after="180"/>
        <w:rPr>
          <w:rFonts w:ascii="Arial" w:hAnsi="Arial" w:cs="Arial"/>
          <w:sz w:val="22"/>
          <w:szCs w:val="22"/>
        </w:rPr>
      </w:pPr>
      <w:bookmarkStart w:id="130" w:name="_Ref493452424"/>
      <w:bookmarkStart w:id="131" w:name="_Toc494040344"/>
      <w:r w:rsidRPr="00117BF8">
        <w:rPr>
          <w:rFonts w:ascii="Arial" w:hAnsi="Arial" w:cs="Arial"/>
          <w:sz w:val="22"/>
          <w:szCs w:val="22"/>
        </w:rPr>
        <w:t>I</w:t>
      </w:r>
      <w:r w:rsidR="00FD43F5" w:rsidRPr="00117BF8">
        <w:rPr>
          <w:rFonts w:ascii="Arial" w:hAnsi="Arial" w:cs="Arial"/>
          <w:sz w:val="22"/>
          <w:szCs w:val="22"/>
        </w:rPr>
        <w:t>ndicadores</w:t>
      </w:r>
      <w:r w:rsidR="00717782" w:rsidRPr="00117BF8">
        <w:rPr>
          <w:rFonts w:ascii="Arial" w:hAnsi="Arial" w:cs="Arial"/>
          <w:sz w:val="22"/>
          <w:szCs w:val="22"/>
        </w:rPr>
        <w:t>: Responsabil</w:t>
      </w:r>
      <w:r w:rsidR="000C7EA7" w:rsidRPr="00117BF8">
        <w:rPr>
          <w:rFonts w:ascii="Arial" w:hAnsi="Arial" w:cs="Arial"/>
          <w:sz w:val="22"/>
          <w:szCs w:val="22"/>
        </w:rPr>
        <w:t>i</w:t>
      </w:r>
      <w:r w:rsidR="00717782" w:rsidRPr="00117BF8">
        <w:rPr>
          <w:rFonts w:ascii="Arial" w:hAnsi="Arial" w:cs="Arial"/>
          <w:sz w:val="22"/>
          <w:szCs w:val="22"/>
        </w:rPr>
        <w:t>dad Fiscal y Endeudamiento</w:t>
      </w:r>
      <w:bookmarkEnd w:id="130"/>
      <w:bookmarkEnd w:id="131"/>
    </w:p>
    <w:p w14:paraId="018337FD" w14:textId="77C2503B" w:rsidR="00717782" w:rsidRPr="00117BF8" w:rsidRDefault="00FD43F5" w:rsidP="00FD43F5">
      <w:pPr>
        <w:pStyle w:val="hsa"/>
        <w:rPr>
          <w:rFonts w:ascii="Arial" w:hAnsi="Arial" w:cs="Arial"/>
          <w:sz w:val="22"/>
          <w:szCs w:val="22"/>
        </w:rPr>
      </w:pPr>
      <w:r w:rsidRPr="00117BF8">
        <w:rPr>
          <w:rFonts w:ascii="Arial" w:hAnsi="Arial" w:cs="Arial"/>
          <w:sz w:val="22"/>
          <w:szCs w:val="22"/>
        </w:rPr>
        <w:t xml:space="preserve">En el título Responsabilidad Fiscal se señalan </w:t>
      </w:r>
      <w:r w:rsidR="00717782" w:rsidRPr="00117BF8">
        <w:rPr>
          <w:rFonts w:ascii="Arial" w:hAnsi="Arial" w:cs="Arial"/>
          <w:sz w:val="22"/>
          <w:szCs w:val="22"/>
        </w:rPr>
        <w:t xml:space="preserve">los </w:t>
      </w:r>
      <w:r w:rsidRPr="00117BF8">
        <w:rPr>
          <w:rFonts w:ascii="Arial" w:hAnsi="Arial" w:cs="Arial"/>
          <w:sz w:val="22"/>
          <w:szCs w:val="22"/>
        </w:rPr>
        <w:t xml:space="preserve">límites </w:t>
      </w:r>
      <w:r w:rsidR="00717782" w:rsidRPr="00117BF8">
        <w:rPr>
          <w:rFonts w:ascii="Arial" w:hAnsi="Arial" w:cs="Arial"/>
          <w:sz w:val="22"/>
          <w:szCs w:val="22"/>
        </w:rPr>
        <w:t xml:space="preserve">contenidos en el proyecto de ley de Responsabilidad Fiscal. Si bien estos indicadores sólo estarán vigentes una vez aprobada la ley, a modo de referencia se indica </w:t>
      </w:r>
      <w:r w:rsidR="00CF312E" w:rsidRPr="00CF312E">
        <w:rPr>
          <w:rFonts w:ascii="Arial" w:hAnsi="Arial" w:cs="Arial"/>
          <w:sz w:val="22"/>
          <w:szCs w:val="22"/>
        </w:rPr>
        <w:t>cómo</w:t>
      </w:r>
      <w:r w:rsidR="00717782" w:rsidRPr="00117BF8">
        <w:rPr>
          <w:rFonts w:ascii="Arial" w:hAnsi="Arial" w:cs="Arial"/>
          <w:sz w:val="22"/>
          <w:szCs w:val="22"/>
        </w:rPr>
        <w:t xml:space="preserve"> se encuadra</w:t>
      </w:r>
      <w:r w:rsidR="009C6A75" w:rsidRPr="00117BF8">
        <w:rPr>
          <w:rFonts w:ascii="Arial" w:hAnsi="Arial" w:cs="Arial"/>
          <w:sz w:val="22"/>
          <w:szCs w:val="22"/>
        </w:rPr>
        <w:t>ría</w:t>
      </w:r>
      <w:r w:rsidR="00717782" w:rsidRPr="00117BF8">
        <w:rPr>
          <w:rFonts w:ascii="Arial" w:hAnsi="Arial" w:cs="Arial"/>
          <w:sz w:val="22"/>
          <w:szCs w:val="22"/>
        </w:rPr>
        <w:t xml:space="preserve">n </w:t>
      </w:r>
      <w:r w:rsidR="0061094C" w:rsidRPr="00117BF8">
        <w:rPr>
          <w:rFonts w:ascii="Arial" w:hAnsi="Arial" w:cs="Arial"/>
          <w:sz w:val="22"/>
          <w:szCs w:val="22"/>
        </w:rPr>
        <w:t xml:space="preserve">las proyecciones </w:t>
      </w:r>
      <w:r w:rsidR="00717782" w:rsidRPr="00117BF8">
        <w:rPr>
          <w:rFonts w:ascii="Arial" w:hAnsi="Arial" w:cs="Arial"/>
          <w:sz w:val="22"/>
          <w:szCs w:val="22"/>
        </w:rPr>
        <w:t>en los mismos</w:t>
      </w:r>
      <w:r w:rsidR="00977B2A" w:rsidRPr="00117BF8">
        <w:rPr>
          <w:rFonts w:ascii="Arial" w:hAnsi="Arial" w:cs="Arial"/>
          <w:sz w:val="22"/>
          <w:szCs w:val="22"/>
        </w:rPr>
        <w:t>, debe tenerse presente que este proyecto se presentó el último 14 de setiembre, posteriormente a la recepción de las proyecciones elaboradas por la Provincia, a</w:t>
      </w:r>
      <w:r w:rsidR="009C6A75" w:rsidRPr="00117BF8">
        <w:rPr>
          <w:rFonts w:ascii="Arial" w:hAnsi="Arial" w:cs="Arial"/>
          <w:sz w:val="22"/>
          <w:szCs w:val="22"/>
        </w:rPr>
        <w:t xml:space="preserve"> la elaboración de</w:t>
      </w:r>
      <w:r w:rsidR="00977B2A" w:rsidRPr="00117BF8">
        <w:rPr>
          <w:rFonts w:ascii="Arial" w:hAnsi="Arial" w:cs="Arial"/>
          <w:sz w:val="22"/>
          <w:szCs w:val="22"/>
        </w:rPr>
        <w:t xml:space="preserve"> las propias y a la reunión de análisis con </w:t>
      </w:r>
      <w:r w:rsidR="0061094C" w:rsidRPr="00117BF8">
        <w:rPr>
          <w:rFonts w:ascii="Arial" w:hAnsi="Arial" w:cs="Arial"/>
          <w:sz w:val="22"/>
          <w:szCs w:val="22"/>
        </w:rPr>
        <w:t>los funcionarios provinciales</w:t>
      </w:r>
      <w:r w:rsidR="00717782" w:rsidRPr="00117BF8">
        <w:rPr>
          <w:rFonts w:ascii="Arial" w:hAnsi="Arial" w:cs="Arial"/>
          <w:sz w:val="22"/>
          <w:szCs w:val="22"/>
        </w:rPr>
        <w:t>. La descripción de los indicadores está disponible en el título “</w:t>
      </w:r>
      <w:r w:rsidR="00717782" w:rsidRPr="00117BF8">
        <w:rPr>
          <w:rFonts w:ascii="Arial" w:hAnsi="Arial" w:cs="Arial"/>
          <w:sz w:val="22"/>
          <w:szCs w:val="22"/>
        </w:rPr>
        <w:fldChar w:fldCharType="begin"/>
      </w:r>
      <w:r w:rsidR="00717782" w:rsidRPr="00117BF8">
        <w:rPr>
          <w:rFonts w:ascii="Arial" w:hAnsi="Arial" w:cs="Arial"/>
          <w:sz w:val="22"/>
          <w:szCs w:val="22"/>
        </w:rPr>
        <w:instrText xml:space="preserve"> REF _Ref493425567 \h </w:instrText>
      </w:r>
      <w:r w:rsidR="00CF312E">
        <w:rPr>
          <w:rFonts w:ascii="Arial" w:hAnsi="Arial" w:cs="Arial"/>
          <w:sz w:val="22"/>
          <w:szCs w:val="22"/>
        </w:rPr>
        <w:instrText xml:space="preserve"> \* MERGEFORMAT </w:instrText>
      </w:r>
      <w:r w:rsidR="00717782" w:rsidRPr="00117BF8">
        <w:rPr>
          <w:rFonts w:ascii="Arial" w:hAnsi="Arial" w:cs="Arial"/>
          <w:sz w:val="22"/>
          <w:szCs w:val="22"/>
        </w:rPr>
      </w:r>
      <w:r w:rsidR="00717782" w:rsidRPr="00117BF8">
        <w:rPr>
          <w:rFonts w:ascii="Arial" w:hAnsi="Arial" w:cs="Arial"/>
          <w:sz w:val="22"/>
          <w:szCs w:val="22"/>
        </w:rPr>
        <w:fldChar w:fldCharType="separate"/>
      </w:r>
      <w:r w:rsidR="00717782" w:rsidRPr="00117BF8">
        <w:rPr>
          <w:rFonts w:ascii="Arial" w:hAnsi="Arial" w:cs="Arial"/>
          <w:sz w:val="22"/>
          <w:szCs w:val="22"/>
        </w:rPr>
        <w:t>Responsabilidad Fiscal</w:t>
      </w:r>
      <w:r w:rsidR="00717782" w:rsidRPr="00117BF8">
        <w:rPr>
          <w:rFonts w:ascii="Arial" w:hAnsi="Arial" w:cs="Arial"/>
          <w:sz w:val="22"/>
          <w:szCs w:val="22"/>
        </w:rPr>
        <w:fldChar w:fldCharType="end"/>
      </w:r>
      <w:r w:rsidR="00717782" w:rsidRPr="00117BF8">
        <w:rPr>
          <w:rFonts w:ascii="Arial" w:hAnsi="Arial" w:cs="Arial"/>
          <w:sz w:val="22"/>
          <w:szCs w:val="22"/>
        </w:rPr>
        <w:t>”.</w:t>
      </w:r>
      <w:r w:rsidR="00EF7F62" w:rsidRPr="00117BF8">
        <w:rPr>
          <w:rStyle w:val="FootnoteReference"/>
          <w:rFonts w:ascii="Arial" w:hAnsi="Arial" w:cs="Arial"/>
          <w:sz w:val="22"/>
          <w:szCs w:val="22"/>
        </w:rPr>
        <w:footnoteReference w:id="30"/>
      </w:r>
    </w:p>
    <w:p w14:paraId="16A7B413" w14:textId="77777777" w:rsidR="009C6A75" w:rsidRPr="00117BF8" w:rsidRDefault="009C6A75" w:rsidP="00FD43F5">
      <w:pPr>
        <w:pStyle w:val="hsa"/>
        <w:rPr>
          <w:rFonts w:ascii="Arial" w:hAnsi="Arial" w:cs="Arial"/>
          <w:sz w:val="22"/>
          <w:szCs w:val="22"/>
        </w:rPr>
      </w:pPr>
      <w:r w:rsidRPr="00117BF8">
        <w:rPr>
          <w:rFonts w:ascii="Arial" w:hAnsi="Arial" w:cs="Arial"/>
          <w:sz w:val="22"/>
          <w:szCs w:val="22"/>
        </w:rPr>
        <w:t>Para casa proyección se indica el cumplimiento. De todas maneras, de aprobarse el proyecto de ley, será importante la definición del año base que en las consideraciones de los próximos párrafos se considera el año 2017</w:t>
      </w:r>
      <w:r w:rsidR="0061094C" w:rsidRPr="00117BF8">
        <w:rPr>
          <w:rFonts w:ascii="Arial" w:hAnsi="Arial" w:cs="Arial"/>
          <w:sz w:val="22"/>
          <w:szCs w:val="22"/>
        </w:rPr>
        <w:t>, también la reglamentación de la ley y las decisiones del Consejo de Responsabilidad Fiscal</w:t>
      </w:r>
      <w:r w:rsidRPr="00117BF8">
        <w:rPr>
          <w:rFonts w:ascii="Arial" w:hAnsi="Arial" w:cs="Arial"/>
          <w:sz w:val="22"/>
          <w:szCs w:val="22"/>
        </w:rPr>
        <w:t>.</w:t>
      </w:r>
    </w:p>
    <w:p w14:paraId="3AB3FA62" w14:textId="77777777" w:rsidR="009F19ED" w:rsidRPr="00117BF8" w:rsidRDefault="00717782" w:rsidP="009F19ED">
      <w:pPr>
        <w:pStyle w:val="HPUN0"/>
        <w:numPr>
          <w:ilvl w:val="0"/>
          <w:numId w:val="17"/>
        </w:numPr>
        <w:rPr>
          <w:rFonts w:ascii="Arial" w:hAnsi="Arial" w:cs="Arial"/>
          <w:sz w:val="22"/>
          <w:szCs w:val="22"/>
        </w:rPr>
      </w:pPr>
      <w:r w:rsidRPr="00117BF8">
        <w:rPr>
          <w:rFonts w:ascii="Arial" w:hAnsi="Arial" w:cs="Arial"/>
          <w:sz w:val="22"/>
          <w:szCs w:val="22"/>
          <w:u w:val="single"/>
        </w:rPr>
        <w:t>Límite del Gasto Corriente Primario Neto:</w:t>
      </w:r>
      <w:r w:rsidRPr="00117BF8">
        <w:rPr>
          <w:rFonts w:ascii="Arial" w:hAnsi="Arial" w:cs="Arial"/>
          <w:sz w:val="22"/>
          <w:szCs w:val="22"/>
        </w:rPr>
        <w:t xml:space="preserve"> </w:t>
      </w:r>
    </w:p>
    <w:p w14:paraId="259949A6" w14:textId="77777777" w:rsidR="009F19ED" w:rsidRPr="00117BF8" w:rsidRDefault="009F19ED" w:rsidP="009F19ED">
      <w:pPr>
        <w:pStyle w:val="HPUN0"/>
        <w:numPr>
          <w:ilvl w:val="1"/>
          <w:numId w:val="20"/>
        </w:numPr>
        <w:rPr>
          <w:rFonts w:ascii="Arial" w:hAnsi="Arial" w:cs="Arial"/>
          <w:sz w:val="22"/>
          <w:szCs w:val="22"/>
        </w:rPr>
      </w:pPr>
      <w:r w:rsidRPr="00117BF8">
        <w:rPr>
          <w:rFonts w:ascii="Arial" w:hAnsi="Arial" w:cs="Arial"/>
          <w:sz w:val="22"/>
          <w:szCs w:val="22"/>
        </w:rPr>
        <w:t xml:space="preserve">Proyecciones Provincia: </w:t>
      </w:r>
      <w:r w:rsidR="009C6A75" w:rsidRPr="00117BF8">
        <w:rPr>
          <w:rFonts w:ascii="Arial" w:hAnsi="Arial" w:cs="Arial"/>
          <w:sz w:val="22"/>
          <w:szCs w:val="22"/>
        </w:rPr>
        <w:t>Supera en los</w:t>
      </w:r>
      <w:r w:rsidRPr="00117BF8">
        <w:rPr>
          <w:rFonts w:ascii="Arial" w:hAnsi="Arial" w:cs="Arial"/>
          <w:sz w:val="22"/>
          <w:szCs w:val="22"/>
        </w:rPr>
        <w:t xml:space="preserve"> año</w:t>
      </w:r>
      <w:r w:rsidR="009C6A75" w:rsidRPr="00117BF8">
        <w:rPr>
          <w:rFonts w:ascii="Arial" w:hAnsi="Arial" w:cs="Arial"/>
          <w:sz w:val="22"/>
          <w:szCs w:val="22"/>
        </w:rPr>
        <w:t>s</w:t>
      </w:r>
      <w:r w:rsidRPr="00117BF8">
        <w:rPr>
          <w:rFonts w:ascii="Arial" w:hAnsi="Arial" w:cs="Arial"/>
          <w:sz w:val="22"/>
          <w:szCs w:val="22"/>
        </w:rPr>
        <w:t xml:space="preserve"> 2019 a 2024.</w:t>
      </w:r>
    </w:p>
    <w:p w14:paraId="04AB1E67" w14:textId="77777777" w:rsidR="009F19ED" w:rsidRPr="00117BF8" w:rsidRDefault="009F19ED" w:rsidP="009F19ED">
      <w:pPr>
        <w:pStyle w:val="HPUN0"/>
        <w:numPr>
          <w:ilvl w:val="1"/>
          <w:numId w:val="20"/>
        </w:numPr>
        <w:rPr>
          <w:rFonts w:ascii="Arial" w:hAnsi="Arial" w:cs="Arial"/>
          <w:sz w:val="22"/>
          <w:szCs w:val="22"/>
        </w:rPr>
      </w:pPr>
      <w:r w:rsidRPr="00117BF8">
        <w:rPr>
          <w:rFonts w:ascii="Arial" w:hAnsi="Arial" w:cs="Arial"/>
          <w:sz w:val="22"/>
          <w:szCs w:val="22"/>
        </w:rPr>
        <w:t xml:space="preserve">Proyecciones Alternativa: </w:t>
      </w:r>
      <w:r w:rsidR="009C6A75" w:rsidRPr="00117BF8">
        <w:rPr>
          <w:rFonts w:ascii="Arial" w:hAnsi="Arial" w:cs="Arial"/>
          <w:sz w:val="22"/>
          <w:szCs w:val="22"/>
        </w:rPr>
        <w:t>Supera</w:t>
      </w:r>
      <w:r w:rsidRPr="00117BF8">
        <w:rPr>
          <w:rFonts w:ascii="Arial" w:hAnsi="Arial" w:cs="Arial"/>
          <w:sz w:val="22"/>
          <w:szCs w:val="22"/>
        </w:rPr>
        <w:t xml:space="preserve"> del año 2018 en adelante.</w:t>
      </w:r>
    </w:p>
    <w:p w14:paraId="33BA18A1" w14:textId="77777777" w:rsidR="009F19ED" w:rsidRPr="00117BF8" w:rsidRDefault="00717782" w:rsidP="009F19ED">
      <w:pPr>
        <w:pStyle w:val="HPUN0"/>
        <w:numPr>
          <w:ilvl w:val="0"/>
          <w:numId w:val="17"/>
        </w:numPr>
        <w:rPr>
          <w:rFonts w:ascii="Arial" w:hAnsi="Arial" w:cs="Arial"/>
          <w:sz w:val="22"/>
          <w:szCs w:val="22"/>
        </w:rPr>
      </w:pPr>
      <w:r w:rsidRPr="00117BF8">
        <w:rPr>
          <w:rFonts w:ascii="Arial" w:hAnsi="Arial" w:cs="Arial"/>
          <w:sz w:val="22"/>
          <w:szCs w:val="22"/>
          <w:u w:val="single"/>
        </w:rPr>
        <w:t>L</w:t>
      </w:r>
      <w:r w:rsidR="001B685C" w:rsidRPr="00117BF8">
        <w:rPr>
          <w:rFonts w:ascii="Arial" w:hAnsi="Arial" w:cs="Arial"/>
          <w:sz w:val="22"/>
          <w:szCs w:val="22"/>
          <w:u w:val="single"/>
        </w:rPr>
        <w:t>ímite del Gasto</w:t>
      </w:r>
      <w:r w:rsidRPr="00117BF8">
        <w:rPr>
          <w:rFonts w:ascii="Arial" w:hAnsi="Arial" w:cs="Arial"/>
          <w:sz w:val="22"/>
          <w:szCs w:val="22"/>
          <w:u w:val="single"/>
        </w:rPr>
        <w:t xml:space="preserve"> Primario Neto:</w:t>
      </w:r>
      <w:r w:rsidRPr="00117BF8">
        <w:rPr>
          <w:rFonts w:ascii="Arial" w:hAnsi="Arial" w:cs="Arial"/>
          <w:sz w:val="22"/>
          <w:szCs w:val="22"/>
        </w:rPr>
        <w:t xml:space="preserve"> </w:t>
      </w:r>
    </w:p>
    <w:p w14:paraId="054FAFB5" w14:textId="77777777" w:rsidR="009F19ED" w:rsidRPr="00117BF8" w:rsidRDefault="009F19ED" w:rsidP="009F19ED">
      <w:pPr>
        <w:pStyle w:val="HPUN0"/>
        <w:numPr>
          <w:ilvl w:val="1"/>
          <w:numId w:val="20"/>
        </w:numPr>
        <w:rPr>
          <w:rFonts w:ascii="Arial" w:hAnsi="Arial" w:cs="Arial"/>
          <w:sz w:val="22"/>
          <w:szCs w:val="22"/>
        </w:rPr>
      </w:pPr>
      <w:r w:rsidRPr="00117BF8">
        <w:rPr>
          <w:rFonts w:ascii="Arial" w:hAnsi="Arial" w:cs="Arial"/>
          <w:sz w:val="22"/>
          <w:szCs w:val="22"/>
        </w:rPr>
        <w:t xml:space="preserve">Proyecciones Provincia: </w:t>
      </w:r>
      <w:r w:rsidR="009C6A75" w:rsidRPr="00117BF8">
        <w:rPr>
          <w:rFonts w:ascii="Arial" w:hAnsi="Arial" w:cs="Arial"/>
          <w:sz w:val="22"/>
          <w:szCs w:val="22"/>
        </w:rPr>
        <w:t>No supera</w:t>
      </w:r>
      <w:r w:rsidRPr="00117BF8">
        <w:rPr>
          <w:rFonts w:ascii="Arial" w:hAnsi="Arial" w:cs="Arial"/>
          <w:sz w:val="22"/>
          <w:szCs w:val="22"/>
        </w:rPr>
        <w:t>.</w:t>
      </w:r>
    </w:p>
    <w:p w14:paraId="5D1476B6" w14:textId="77777777" w:rsidR="009F19ED" w:rsidRPr="00117BF8" w:rsidRDefault="009F19ED" w:rsidP="009F19ED">
      <w:pPr>
        <w:pStyle w:val="HPUN0"/>
        <w:numPr>
          <w:ilvl w:val="1"/>
          <w:numId w:val="20"/>
        </w:numPr>
        <w:rPr>
          <w:rFonts w:ascii="Arial" w:hAnsi="Arial" w:cs="Arial"/>
          <w:sz w:val="22"/>
          <w:szCs w:val="22"/>
        </w:rPr>
      </w:pPr>
      <w:r w:rsidRPr="00117BF8">
        <w:rPr>
          <w:rFonts w:ascii="Arial" w:hAnsi="Arial" w:cs="Arial"/>
          <w:sz w:val="22"/>
          <w:szCs w:val="22"/>
        </w:rPr>
        <w:t xml:space="preserve">Proyecciones Alternativa: </w:t>
      </w:r>
      <w:r w:rsidR="009C6A75" w:rsidRPr="00117BF8">
        <w:rPr>
          <w:rFonts w:ascii="Arial" w:hAnsi="Arial" w:cs="Arial"/>
          <w:sz w:val="22"/>
          <w:szCs w:val="22"/>
        </w:rPr>
        <w:t xml:space="preserve">Los supera en los </w:t>
      </w:r>
      <w:r w:rsidRPr="00117BF8">
        <w:rPr>
          <w:rFonts w:ascii="Arial" w:hAnsi="Arial" w:cs="Arial"/>
          <w:sz w:val="22"/>
          <w:szCs w:val="22"/>
        </w:rPr>
        <w:t>años 2022 y 2023.</w:t>
      </w:r>
    </w:p>
    <w:p w14:paraId="751B1AA7" w14:textId="77777777" w:rsidR="009F19ED" w:rsidRPr="00117BF8" w:rsidRDefault="00717782" w:rsidP="009F19ED">
      <w:pPr>
        <w:pStyle w:val="HPUN0"/>
        <w:numPr>
          <w:ilvl w:val="0"/>
          <w:numId w:val="17"/>
        </w:numPr>
        <w:rPr>
          <w:rFonts w:ascii="Arial" w:hAnsi="Arial" w:cs="Arial"/>
          <w:sz w:val="22"/>
          <w:szCs w:val="22"/>
        </w:rPr>
      </w:pPr>
      <w:r w:rsidRPr="00117BF8">
        <w:rPr>
          <w:rFonts w:ascii="Arial" w:hAnsi="Arial" w:cs="Arial"/>
          <w:sz w:val="22"/>
          <w:szCs w:val="22"/>
          <w:u w:val="single"/>
        </w:rPr>
        <w:t>Resultado Financiero Equilibrado:</w:t>
      </w:r>
    </w:p>
    <w:p w14:paraId="2BDA6025" w14:textId="77777777" w:rsidR="009F19ED" w:rsidRPr="00117BF8" w:rsidRDefault="009F19ED" w:rsidP="009F19ED">
      <w:pPr>
        <w:pStyle w:val="HPUN0"/>
        <w:numPr>
          <w:ilvl w:val="1"/>
          <w:numId w:val="20"/>
        </w:numPr>
        <w:rPr>
          <w:rFonts w:ascii="Arial" w:hAnsi="Arial" w:cs="Arial"/>
          <w:sz w:val="22"/>
          <w:szCs w:val="22"/>
        </w:rPr>
      </w:pPr>
      <w:r w:rsidRPr="00117BF8">
        <w:rPr>
          <w:rFonts w:ascii="Arial" w:hAnsi="Arial" w:cs="Arial"/>
          <w:sz w:val="22"/>
          <w:szCs w:val="22"/>
        </w:rPr>
        <w:t xml:space="preserve">Proyecciones Provincia: </w:t>
      </w:r>
      <w:r w:rsidR="0076506A" w:rsidRPr="00117BF8">
        <w:rPr>
          <w:rFonts w:ascii="Arial" w:hAnsi="Arial" w:cs="Arial"/>
          <w:sz w:val="22"/>
          <w:szCs w:val="22"/>
        </w:rPr>
        <w:t>Resultado financiero equilibrado a partir del año 2025</w:t>
      </w:r>
      <w:r w:rsidRPr="00117BF8">
        <w:rPr>
          <w:rFonts w:ascii="Arial" w:hAnsi="Arial" w:cs="Arial"/>
          <w:sz w:val="22"/>
          <w:szCs w:val="22"/>
        </w:rPr>
        <w:t>.</w:t>
      </w:r>
    </w:p>
    <w:p w14:paraId="73A73F6F" w14:textId="77777777" w:rsidR="009F19ED" w:rsidRPr="00117BF8" w:rsidRDefault="009F19ED" w:rsidP="009F19ED">
      <w:pPr>
        <w:pStyle w:val="HPUN0"/>
        <w:numPr>
          <w:ilvl w:val="1"/>
          <w:numId w:val="20"/>
        </w:numPr>
        <w:rPr>
          <w:rFonts w:ascii="Arial" w:hAnsi="Arial" w:cs="Arial"/>
          <w:sz w:val="22"/>
          <w:szCs w:val="22"/>
        </w:rPr>
      </w:pPr>
      <w:r w:rsidRPr="00117BF8">
        <w:rPr>
          <w:rFonts w:ascii="Arial" w:hAnsi="Arial" w:cs="Arial"/>
          <w:sz w:val="22"/>
          <w:szCs w:val="22"/>
        </w:rPr>
        <w:t xml:space="preserve">Proyecciones Alternativa: </w:t>
      </w:r>
      <w:r w:rsidR="0076506A" w:rsidRPr="00117BF8">
        <w:rPr>
          <w:rFonts w:ascii="Arial" w:hAnsi="Arial" w:cs="Arial"/>
          <w:sz w:val="22"/>
          <w:szCs w:val="22"/>
        </w:rPr>
        <w:t>No posee</w:t>
      </w:r>
      <w:r w:rsidRPr="00117BF8">
        <w:rPr>
          <w:rFonts w:ascii="Arial" w:hAnsi="Arial" w:cs="Arial"/>
          <w:sz w:val="22"/>
          <w:szCs w:val="22"/>
        </w:rPr>
        <w:t>.</w:t>
      </w:r>
    </w:p>
    <w:p w14:paraId="723976EA" w14:textId="77777777" w:rsidR="0076506A" w:rsidRPr="00117BF8" w:rsidRDefault="00717782" w:rsidP="009F19ED">
      <w:pPr>
        <w:pStyle w:val="HPUN0"/>
        <w:numPr>
          <w:ilvl w:val="0"/>
          <w:numId w:val="17"/>
        </w:numPr>
        <w:rPr>
          <w:rFonts w:ascii="Arial" w:hAnsi="Arial" w:cs="Arial"/>
          <w:sz w:val="22"/>
          <w:szCs w:val="22"/>
        </w:rPr>
      </w:pPr>
      <w:r w:rsidRPr="00117BF8">
        <w:rPr>
          <w:rFonts w:ascii="Arial" w:hAnsi="Arial" w:cs="Arial"/>
          <w:sz w:val="22"/>
          <w:szCs w:val="22"/>
          <w:u w:val="single"/>
        </w:rPr>
        <w:t>Gasto Corriente Primario con Resultado Financiero Equilibrado:</w:t>
      </w:r>
    </w:p>
    <w:p w14:paraId="2193D6EF" w14:textId="77777777" w:rsidR="0076506A" w:rsidRPr="00117BF8" w:rsidRDefault="0076506A" w:rsidP="0076506A">
      <w:pPr>
        <w:pStyle w:val="HPUN0"/>
        <w:numPr>
          <w:ilvl w:val="1"/>
          <w:numId w:val="17"/>
        </w:numPr>
        <w:rPr>
          <w:rFonts w:ascii="Arial" w:hAnsi="Arial" w:cs="Arial"/>
          <w:sz w:val="22"/>
          <w:szCs w:val="22"/>
        </w:rPr>
      </w:pPr>
      <w:r w:rsidRPr="00117BF8">
        <w:rPr>
          <w:rFonts w:ascii="Arial" w:hAnsi="Arial" w:cs="Arial"/>
          <w:sz w:val="22"/>
          <w:szCs w:val="22"/>
        </w:rPr>
        <w:t>Proyecciones Provincia: Cumple.</w:t>
      </w:r>
    </w:p>
    <w:p w14:paraId="3FA96644" w14:textId="77777777" w:rsidR="0076506A" w:rsidRPr="00117BF8" w:rsidRDefault="0076506A" w:rsidP="0076506A">
      <w:pPr>
        <w:pStyle w:val="HPUN0"/>
        <w:numPr>
          <w:ilvl w:val="1"/>
          <w:numId w:val="17"/>
        </w:numPr>
        <w:rPr>
          <w:rFonts w:ascii="Arial" w:hAnsi="Arial" w:cs="Arial"/>
          <w:sz w:val="22"/>
          <w:szCs w:val="22"/>
        </w:rPr>
      </w:pPr>
      <w:r w:rsidRPr="00117BF8">
        <w:rPr>
          <w:rFonts w:ascii="Arial" w:hAnsi="Arial" w:cs="Arial"/>
          <w:sz w:val="22"/>
          <w:szCs w:val="22"/>
        </w:rPr>
        <w:t>Proyecciones Alternativa: No Aplica.</w:t>
      </w:r>
    </w:p>
    <w:p w14:paraId="60C51791" w14:textId="748CD307" w:rsidR="00EF7F62" w:rsidRPr="00117BF8" w:rsidRDefault="00717782" w:rsidP="009F19ED">
      <w:pPr>
        <w:pStyle w:val="HPUN0"/>
        <w:numPr>
          <w:ilvl w:val="0"/>
          <w:numId w:val="17"/>
        </w:numPr>
        <w:rPr>
          <w:rFonts w:ascii="Arial" w:hAnsi="Arial" w:cs="Arial"/>
          <w:sz w:val="22"/>
          <w:szCs w:val="22"/>
        </w:rPr>
      </w:pPr>
      <w:r w:rsidRPr="00117BF8">
        <w:rPr>
          <w:rFonts w:ascii="Arial" w:hAnsi="Arial" w:cs="Arial"/>
          <w:sz w:val="22"/>
          <w:szCs w:val="22"/>
          <w:u w:val="single"/>
        </w:rPr>
        <w:t>Cargos Ocupados:</w:t>
      </w:r>
      <w:r w:rsidRPr="00117BF8">
        <w:rPr>
          <w:rFonts w:ascii="Arial" w:hAnsi="Arial" w:cs="Arial"/>
          <w:sz w:val="22"/>
          <w:szCs w:val="22"/>
        </w:rPr>
        <w:t xml:space="preserve"> </w:t>
      </w:r>
      <w:r w:rsidR="0076506A" w:rsidRPr="00117BF8">
        <w:rPr>
          <w:rFonts w:ascii="Arial" w:hAnsi="Arial" w:cs="Arial"/>
          <w:sz w:val="22"/>
          <w:szCs w:val="22"/>
        </w:rPr>
        <w:t xml:space="preserve">Las proyecciones de la Provincia prevén un crecimiento </w:t>
      </w:r>
      <w:r w:rsidR="009C6A75" w:rsidRPr="00117BF8">
        <w:rPr>
          <w:rFonts w:ascii="Arial" w:hAnsi="Arial" w:cs="Arial"/>
          <w:sz w:val="22"/>
          <w:szCs w:val="22"/>
        </w:rPr>
        <w:t>a</w:t>
      </w:r>
      <w:r w:rsidR="0076506A" w:rsidRPr="00117BF8">
        <w:rPr>
          <w:rFonts w:ascii="Arial" w:hAnsi="Arial" w:cs="Arial"/>
          <w:sz w:val="22"/>
          <w:szCs w:val="22"/>
        </w:rPr>
        <w:t xml:space="preserve"> precios contantes del gasto en personal a partir del año 2019, mientras que en el caso de las alternativas esto ocurre a partir del año 2018. Si bien puede a</w:t>
      </w:r>
      <w:r w:rsidR="009C6A75" w:rsidRPr="00117BF8">
        <w:rPr>
          <w:rFonts w:ascii="Arial" w:hAnsi="Arial" w:cs="Arial"/>
          <w:sz w:val="22"/>
          <w:szCs w:val="22"/>
        </w:rPr>
        <w:t>sociarse el gasto en valores co</w:t>
      </w:r>
      <w:r w:rsidR="0076506A" w:rsidRPr="00117BF8">
        <w:rPr>
          <w:rFonts w:ascii="Arial" w:hAnsi="Arial" w:cs="Arial"/>
          <w:sz w:val="22"/>
          <w:szCs w:val="22"/>
        </w:rPr>
        <w:t>n</w:t>
      </w:r>
      <w:r w:rsidR="009C6A75" w:rsidRPr="00117BF8">
        <w:rPr>
          <w:rFonts w:ascii="Arial" w:hAnsi="Arial" w:cs="Arial"/>
          <w:sz w:val="22"/>
          <w:szCs w:val="22"/>
        </w:rPr>
        <w:t>s</w:t>
      </w:r>
      <w:r w:rsidR="0076506A" w:rsidRPr="00117BF8">
        <w:rPr>
          <w:rFonts w:ascii="Arial" w:hAnsi="Arial" w:cs="Arial"/>
          <w:sz w:val="22"/>
          <w:szCs w:val="22"/>
        </w:rPr>
        <w:t>tantes a puestos ocupados, esto no nec</w:t>
      </w:r>
      <w:r w:rsidR="009C6A75" w:rsidRPr="00117BF8">
        <w:rPr>
          <w:rFonts w:ascii="Arial" w:hAnsi="Arial" w:cs="Arial"/>
          <w:sz w:val="22"/>
          <w:szCs w:val="22"/>
        </w:rPr>
        <w:t>esariamente es así si se tiene</w:t>
      </w:r>
      <w:r w:rsidR="00EF7F62" w:rsidRPr="00117BF8">
        <w:rPr>
          <w:rFonts w:ascii="Arial" w:hAnsi="Arial" w:cs="Arial"/>
          <w:sz w:val="22"/>
          <w:szCs w:val="22"/>
        </w:rPr>
        <w:t xml:space="preserve"> en cuenta que para el año 2018 las proyecciones de la Provincia estiman una caída en </w:t>
      </w:r>
      <w:r w:rsidR="009C6A75" w:rsidRPr="00117BF8">
        <w:rPr>
          <w:rFonts w:ascii="Arial" w:hAnsi="Arial" w:cs="Arial"/>
          <w:sz w:val="22"/>
          <w:szCs w:val="22"/>
        </w:rPr>
        <w:t>este</w:t>
      </w:r>
      <w:r w:rsidR="00EF7F62" w:rsidRPr="00117BF8">
        <w:rPr>
          <w:rFonts w:ascii="Arial" w:hAnsi="Arial" w:cs="Arial"/>
          <w:sz w:val="22"/>
          <w:szCs w:val="22"/>
        </w:rPr>
        <w:t xml:space="preserve"> gasto a precios constantes, mientras que en las proyecciones alternativas esto ocurre en 2017. </w:t>
      </w:r>
      <w:r w:rsidR="00AF6E1E" w:rsidRPr="00117BF8">
        <w:rPr>
          <w:rFonts w:ascii="Arial" w:hAnsi="Arial" w:cs="Arial"/>
          <w:sz w:val="22"/>
          <w:szCs w:val="22"/>
        </w:rPr>
        <w:t>L</w:t>
      </w:r>
      <w:r w:rsidR="009C6A75" w:rsidRPr="00117BF8">
        <w:rPr>
          <w:rFonts w:ascii="Arial" w:hAnsi="Arial" w:cs="Arial"/>
          <w:sz w:val="22"/>
          <w:szCs w:val="22"/>
        </w:rPr>
        <w:t>as proyecciones de la Provincia</w:t>
      </w:r>
      <w:r w:rsidR="00AF6E1E" w:rsidRPr="00117BF8">
        <w:rPr>
          <w:rFonts w:ascii="Arial" w:hAnsi="Arial" w:cs="Arial"/>
          <w:sz w:val="22"/>
          <w:szCs w:val="22"/>
        </w:rPr>
        <w:t xml:space="preserve">, recién </w:t>
      </w:r>
      <w:r w:rsidR="00EF7F62" w:rsidRPr="00117BF8">
        <w:rPr>
          <w:rFonts w:ascii="Arial" w:hAnsi="Arial" w:cs="Arial"/>
          <w:sz w:val="22"/>
          <w:szCs w:val="22"/>
        </w:rPr>
        <w:t>a partir de</w:t>
      </w:r>
      <w:r w:rsidR="00AF6E1E" w:rsidRPr="00117BF8">
        <w:rPr>
          <w:rFonts w:ascii="Arial" w:hAnsi="Arial" w:cs="Arial"/>
          <w:sz w:val="22"/>
          <w:szCs w:val="22"/>
        </w:rPr>
        <w:t xml:space="preserve">l </w:t>
      </w:r>
      <w:r w:rsidR="00EF7F62" w:rsidRPr="00117BF8">
        <w:rPr>
          <w:rFonts w:ascii="Arial" w:hAnsi="Arial" w:cs="Arial"/>
          <w:sz w:val="22"/>
          <w:szCs w:val="22"/>
        </w:rPr>
        <w:t>año 2022 superan los valores del 2017</w:t>
      </w:r>
      <w:r w:rsidR="00AF6E1E" w:rsidRPr="00117BF8">
        <w:rPr>
          <w:rFonts w:ascii="Arial" w:hAnsi="Arial" w:cs="Arial"/>
          <w:sz w:val="22"/>
          <w:szCs w:val="22"/>
        </w:rPr>
        <w:t xml:space="preserve">, en </w:t>
      </w:r>
      <w:r w:rsidR="00EF7F62" w:rsidRPr="00117BF8">
        <w:rPr>
          <w:rFonts w:ascii="Arial" w:hAnsi="Arial" w:cs="Arial"/>
          <w:sz w:val="22"/>
          <w:szCs w:val="22"/>
        </w:rPr>
        <w:t>las alternativas todos los años superan al 2017, aunque recién a partir del 2020 se superan los valores de 2016.</w:t>
      </w:r>
    </w:p>
    <w:p w14:paraId="0425FFDA" w14:textId="77777777" w:rsidR="00EF7F62" w:rsidRPr="00117BF8" w:rsidRDefault="00EF7F62" w:rsidP="00EF7F62">
      <w:pPr>
        <w:pStyle w:val="HPUN0"/>
        <w:numPr>
          <w:ilvl w:val="0"/>
          <w:numId w:val="17"/>
        </w:numPr>
        <w:rPr>
          <w:rFonts w:ascii="Arial" w:hAnsi="Arial" w:cs="Arial"/>
          <w:sz w:val="22"/>
          <w:szCs w:val="22"/>
        </w:rPr>
      </w:pPr>
      <w:r w:rsidRPr="00117BF8">
        <w:rPr>
          <w:rFonts w:ascii="Arial" w:hAnsi="Arial" w:cs="Arial"/>
          <w:sz w:val="22"/>
          <w:szCs w:val="22"/>
        </w:rPr>
        <w:t xml:space="preserve"> Servicio de Deuda</w:t>
      </w:r>
      <w:r w:rsidR="00095E3E" w:rsidRPr="00117BF8">
        <w:rPr>
          <w:rFonts w:ascii="Arial" w:hAnsi="Arial" w:cs="Arial"/>
          <w:sz w:val="22"/>
          <w:szCs w:val="22"/>
        </w:rPr>
        <w:t xml:space="preserve"> (Ver Gráfico </w:t>
      </w:r>
      <w:r w:rsidR="00526CA8" w:rsidRPr="00117BF8">
        <w:rPr>
          <w:rFonts w:ascii="Arial" w:hAnsi="Arial" w:cs="Arial"/>
          <w:sz w:val="22"/>
          <w:szCs w:val="22"/>
        </w:rPr>
        <w:t>20</w:t>
      </w:r>
      <w:r w:rsidR="00095E3E" w:rsidRPr="00117BF8">
        <w:rPr>
          <w:rFonts w:ascii="Arial" w:hAnsi="Arial" w:cs="Arial"/>
          <w:sz w:val="22"/>
          <w:szCs w:val="22"/>
        </w:rPr>
        <w:t>)</w:t>
      </w:r>
      <w:r w:rsidRPr="00117BF8">
        <w:rPr>
          <w:rFonts w:ascii="Arial" w:hAnsi="Arial" w:cs="Arial"/>
          <w:sz w:val="22"/>
          <w:szCs w:val="22"/>
        </w:rPr>
        <w:t>:</w:t>
      </w:r>
    </w:p>
    <w:p w14:paraId="40D5106F" w14:textId="77777777" w:rsidR="00EF7F62" w:rsidRPr="00117BF8" w:rsidRDefault="00EF7F62" w:rsidP="00EF7F62">
      <w:pPr>
        <w:pStyle w:val="HPUN0"/>
        <w:numPr>
          <w:ilvl w:val="1"/>
          <w:numId w:val="17"/>
        </w:numPr>
        <w:rPr>
          <w:rFonts w:ascii="Arial" w:hAnsi="Arial" w:cs="Arial"/>
          <w:sz w:val="22"/>
          <w:szCs w:val="22"/>
        </w:rPr>
      </w:pPr>
      <w:r w:rsidRPr="00117BF8">
        <w:rPr>
          <w:rFonts w:ascii="Arial" w:hAnsi="Arial" w:cs="Arial"/>
          <w:sz w:val="22"/>
          <w:szCs w:val="22"/>
        </w:rPr>
        <w:t xml:space="preserve">Proyecciones Provincia: </w:t>
      </w:r>
      <w:r w:rsidR="00AF6E1E" w:rsidRPr="00117BF8">
        <w:rPr>
          <w:rFonts w:ascii="Arial" w:hAnsi="Arial" w:cs="Arial"/>
          <w:sz w:val="22"/>
          <w:szCs w:val="22"/>
        </w:rPr>
        <w:t>No supera el límite</w:t>
      </w:r>
      <w:r w:rsidRPr="00117BF8">
        <w:rPr>
          <w:rFonts w:ascii="Arial" w:hAnsi="Arial" w:cs="Arial"/>
          <w:sz w:val="22"/>
          <w:szCs w:val="22"/>
        </w:rPr>
        <w:t>.</w:t>
      </w:r>
    </w:p>
    <w:p w14:paraId="48E43BAE" w14:textId="6F2B19AD" w:rsidR="00EF7F62" w:rsidRDefault="00EF7F62" w:rsidP="00EF7F62">
      <w:pPr>
        <w:pStyle w:val="HPUN0"/>
        <w:numPr>
          <w:ilvl w:val="1"/>
          <w:numId w:val="17"/>
        </w:numPr>
        <w:rPr>
          <w:rFonts w:ascii="Arial" w:hAnsi="Arial" w:cs="Arial"/>
          <w:sz w:val="22"/>
          <w:szCs w:val="22"/>
        </w:rPr>
      </w:pPr>
      <w:r w:rsidRPr="00117BF8">
        <w:rPr>
          <w:rFonts w:ascii="Arial" w:hAnsi="Arial" w:cs="Arial"/>
          <w:sz w:val="22"/>
          <w:szCs w:val="22"/>
        </w:rPr>
        <w:t xml:space="preserve">Proyecciones Alternativa: </w:t>
      </w:r>
      <w:r w:rsidR="00AF6E1E" w:rsidRPr="00117BF8">
        <w:rPr>
          <w:rFonts w:ascii="Arial" w:hAnsi="Arial" w:cs="Arial"/>
          <w:sz w:val="22"/>
          <w:szCs w:val="22"/>
        </w:rPr>
        <w:t>Lo supera los</w:t>
      </w:r>
      <w:r w:rsidRPr="00117BF8">
        <w:rPr>
          <w:rFonts w:ascii="Arial" w:hAnsi="Arial" w:cs="Arial"/>
          <w:sz w:val="22"/>
          <w:szCs w:val="22"/>
        </w:rPr>
        <w:t xml:space="preserve"> años 2022 y 2023 (15,40% y 15,01% respectivamente).</w:t>
      </w:r>
    </w:p>
    <w:p w14:paraId="6384E653" w14:textId="09CD2BC3" w:rsidR="00CF312E" w:rsidRPr="00117BF8" w:rsidRDefault="00CF312E" w:rsidP="00117BF8">
      <w:pPr>
        <w:pStyle w:val="HPUN0"/>
        <w:numPr>
          <w:ilvl w:val="0"/>
          <w:numId w:val="0"/>
        </w:numPr>
        <w:rPr>
          <w:rFonts w:ascii="Arial" w:hAnsi="Arial" w:cs="Arial"/>
          <w:sz w:val="22"/>
          <w:szCs w:val="22"/>
        </w:rPr>
      </w:pPr>
    </w:p>
    <w:p w14:paraId="072C9BE4" w14:textId="4F2C4B94" w:rsidR="006A1969" w:rsidRPr="00117BF8" w:rsidRDefault="00095E3E" w:rsidP="00117BF8">
      <w:pPr>
        <w:pStyle w:val="hsa3"/>
        <w:spacing w:after="120"/>
        <w:jc w:val="center"/>
      </w:pPr>
      <w:bookmarkStart w:id="132" w:name="_Toc493781711"/>
      <w:commentRangeStart w:id="133"/>
      <w:r w:rsidRPr="00117BF8">
        <w:rPr>
          <w:rFonts w:ascii="Arial" w:hAnsi="Arial" w:cs="Arial"/>
          <w:b w:val="0"/>
          <w:sz w:val="20"/>
        </w:rPr>
        <w:t xml:space="preserve">Gráfico </w:t>
      </w:r>
      <w:r w:rsidR="00526CA8" w:rsidRPr="00117BF8">
        <w:rPr>
          <w:rFonts w:ascii="Arial" w:hAnsi="Arial" w:cs="Arial"/>
          <w:b w:val="0"/>
          <w:sz w:val="20"/>
        </w:rPr>
        <w:t>20</w:t>
      </w:r>
      <w:r w:rsidRPr="00117BF8">
        <w:rPr>
          <w:rFonts w:ascii="Arial" w:hAnsi="Arial" w:cs="Arial"/>
          <w:b w:val="0"/>
          <w:sz w:val="20"/>
        </w:rPr>
        <w:t xml:space="preserve"> – Servició de Deuda según Cálculo Proyecto de Ley Responsabilidad Fiscal</w:t>
      </w:r>
      <w:bookmarkEnd w:id="132"/>
      <w:commentRangeEnd w:id="133"/>
      <w:r w:rsidR="00F43075" w:rsidRPr="00117BF8">
        <w:rPr>
          <w:rStyle w:val="CommentReference"/>
          <w:rFonts w:ascii="Arial" w:hAnsi="Arial" w:cs="Arial"/>
          <w:sz w:val="20"/>
          <w:szCs w:val="20"/>
        </w:rPr>
        <w:commentReference w:id="133"/>
      </w:r>
    </w:p>
    <w:p w14:paraId="1F9FEF58" w14:textId="1648B14A" w:rsidR="00095E3E" w:rsidRPr="00117BF8" w:rsidRDefault="00117BF8" w:rsidP="00095E3E">
      <w:pPr>
        <w:pStyle w:val="Hfuente"/>
        <w:rPr>
          <w:rFonts w:ascii="Arial" w:hAnsi="Arial" w:cs="Arial"/>
        </w:rPr>
      </w:pPr>
      <w:r w:rsidRPr="00117BF8">
        <w:rPr>
          <w:rFonts w:ascii="Arial" w:hAnsi="Arial" w:cs="Arial"/>
        </w:rPr>
        <w:pict w14:anchorId="52732401">
          <v:shape id="_x0000_i1051" type="#_x0000_t75" style="width:424.5pt;height:277.35pt">
            <v:imagedata r:id="rId54" o:title=""/>
          </v:shape>
        </w:pict>
      </w:r>
      <w:r w:rsidR="005A28C7">
        <w:rPr>
          <w:rFonts w:ascii="Arial" w:hAnsi="Arial" w:cs="Arial"/>
        </w:rPr>
        <w:br/>
      </w:r>
      <w:r w:rsidR="00095E3E" w:rsidRPr="00117BF8">
        <w:rPr>
          <w:rFonts w:ascii="Arial" w:hAnsi="Arial" w:cs="Arial"/>
          <w:sz w:val="18"/>
          <w:szCs w:val="18"/>
        </w:rPr>
        <w:t>Fuente: Elaboración propia sobre proyecciones de la Provincia y Alternativa</w:t>
      </w:r>
      <w:r w:rsidR="006A1969" w:rsidRPr="00117BF8">
        <w:rPr>
          <w:rFonts w:ascii="Arial" w:hAnsi="Arial" w:cs="Arial"/>
          <w:sz w:val="18"/>
          <w:szCs w:val="18"/>
        </w:rPr>
        <w:t>. 2016 presupuesto ejecutado</w:t>
      </w:r>
    </w:p>
    <w:p w14:paraId="76D1972D" w14:textId="55A65843" w:rsidR="004F330A" w:rsidRPr="00117BF8" w:rsidRDefault="00095E3E" w:rsidP="0021263A">
      <w:pPr>
        <w:pStyle w:val="hsa"/>
        <w:rPr>
          <w:rFonts w:ascii="Arial" w:hAnsi="Arial" w:cs="Arial"/>
          <w:sz w:val="22"/>
          <w:szCs w:val="22"/>
        </w:rPr>
      </w:pPr>
      <w:r w:rsidRPr="00117BF8">
        <w:rPr>
          <w:rFonts w:ascii="Arial" w:hAnsi="Arial" w:cs="Arial"/>
          <w:sz w:val="22"/>
          <w:szCs w:val="22"/>
        </w:rPr>
        <w:t xml:space="preserve">Los niveles de deuda sobre los recursos corrientes y el PBG se indican en el Gráfico </w:t>
      </w:r>
      <w:r w:rsidR="00526CA8" w:rsidRPr="00117BF8">
        <w:rPr>
          <w:rFonts w:ascii="Arial" w:hAnsi="Arial" w:cs="Arial"/>
          <w:sz w:val="22"/>
          <w:szCs w:val="22"/>
        </w:rPr>
        <w:t>21</w:t>
      </w:r>
      <w:r w:rsidRPr="00117BF8">
        <w:rPr>
          <w:rFonts w:ascii="Arial" w:hAnsi="Arial" w:cs="Arial"/>
          <w:sz w:val="22"/>
          <w:szCs w:val="22"/>
        </w:rPr>
        <w:t>, se han considerado dos magnitudes de PBG</w:t>
      </w:r>
      <w:r w:rsidR="00AF6E1E" w:rsidRPr="00117BF8">
        <w:rPr>
          <w:rFonts w:ascii="Arial" w:hAnsi="Arial" w:cs="Arial"/>
          <w:sz w:val="22"/>
          <w:szCs w:val="22"/>
        </w:rPr>
        <w:t>,</w:t>
      </w:r>
      <w:r w:rsidRPr="00117BF8">
        <w:rPr>
          <w:rFonts w:ascii="Arial" w:hAnsi="Arial" w:cs="Arial"/>
          <w:sz w:val="22"/>
          <w:szCs w:val="22"/>
        </w:rPr>
        <w:t xml:space="preserve"> según la metodología que se utilice para su cálculo (Ver título “</w:t>
      </w:r>
      <w:r w:rsidRPr="00117BF8">
        <w:rPr>
          <w:rFonts w:ascii="Arial" w:hAnsi="Arial" w:cs="Arial"/>
          <w:sz w:val="22"/>
          <w:szCs w:val="22"/>
        </w:rPr>
        <w:fldChar w:fldCharType="begin"/>
      </w:r>
      <w:r w:rsidRPr="00117BF8">
        <w:rPr>
          <w:rFonts w:ascii="Arial" w:hAnsi="Arial" w:cs="Arial"/>
          <w:sz w:val="22"/>
          <w:szCs w:val="22"/>
        </w:rPr>
        <w:instrText xml:space="preserve"> REF _Ref493432185 \h </w:instrText>
      </w:r>
      <w:r w:rsidR="00593C9A">
        <w:rPr>
          <w:rFonts w:ascii="Arial" w:hAnsi="Arial" w:cs="Arial"/>
          <w:sz w:val="22"/>
          <w:szCs w:val="22"/>
        </w:rPr>
        <w:instrText xml:space="preserve"> \* MERGEFORMAT </w:instrText>
      </w:r>
      <w:r w:rsidRPr="00117BF8">
        <w:rPr>
          <w:rFonts w:ascii="Arial" w:hAnsi="Arial" w:cs="Arial"/>
          <w:sz w:val="22"/>
          <w:szCs w:val="22"/>
        </w:rPr>
      </w:r>
      <w:r w:rsidRPr="00117BF8">
        <w:rPr>
          <w:rFonts w:ascii="Arial" w:hAnsi="Arial" w:cs="Arial"/>
          <w:sz w:val="22"/>
          <w:szCs w:val="22"/>
        </w:rPr>
        <w:fldChar w:fldCharType="separate"/>
      </w:r>
      <w:r w:rsidRPr="00117BF8">
        <w:rPr>
          <w:rFonts w:ascii="Arial" w:eastAsia="Calibri" w:hAnsi="Arial" w:cs="Arial"/>
          <w:sz w:val="22"/>
          <w:szCs w:val="22"/>
        </w:rPr>
        <w:t>Evolución de la Deuda</w:t>
      </w:r>
      <w:r w:rsidRPr="00117BF8">
        <w:rPr>
          <w:rFonts w:ascii="Arial" w:hAnsi="Arial" w:cs="Arial"/>
          <w:sz w:val="22"/>
          <w:szCs w:val="22"/>
        </w:rPr>
        <w:fldChar w:fldCharType="end"/>
      </w:r>
      <w:r w:rsidRPr="00117BF8">
        <w:rPr>
          <w:rFonts w:ascii="Arial" w:hAnsi="Arial" w:cs="Arial"/>
          <w:sz w:val="22"/>
          <w:szCs w:val="22"/>
        </w:rPr>
        <w:t xml:space="preserve">”). </w:t>
      </w:r>
    </w:p>
    <w:p w14:paraId="54F84D60" w14:textId="1074C358" w:rsidR="00883677" w:rsidRPr="00117BF8" w:rsidRDefault="00F30582" w:rsidP="00117BF8">
      <w:pPr>
        <w:pStyle w:val="hsa3"/>
        <w:spacing w:after="120"/>
        <w:jc w:val="center"/>
      </w:pPr>
      <w:bookmarkStart w:id="134" w:name="_Toc493781712"/>
      <w:commentRangeStart w:id="135"/>
      <w:r w:rsidRPr="00117BF8">
        <w:rPr>
          <w:rFonts w:ascii="Arial" w:hAnsi="Arial" w:cs="Arial"/>
          <w:b w:val="0"/>
          <w:sz w:val="20"/>
        </w:rPr>
        <w:t xml:space="preserve">Gráfico </w:t>
      </w:r>
      <w:r w:rsidR="00526CA8" w:rsidRPr="00117BF8">
        <w:rPr>
          <w:rFonts w:ascii="Arial" w:hAnsi="Arial" w:cs="Arial"/>
          <w:b w:val="0"/>
          <w:sz w:val="20"/>
        </w:rPr>
        <w:t>21</w:t>
      </w:r>
      <w:r w:rsidRPr="00117BF8">
        <w:rPr>
          <w:rFonts w:ascii="Arial" w:hAnsi="Arial" w:cs="Arial"/>
          <w:b w:val="0"/>
          <w:sz w:val="20"/>
        </w:rPr>
        <w:t xml:space="preserve"> – Indicadores de Deuda</w:t>
      </w:r>
      <w:bookmarkEnd w:id="134"/>
      <w:commentRangeEnd w:id="135"/>
      <w:r w:rsidR="00F43075" w:rsidRPr="00117BF8">
        <w:rPr>
          <w:rStyle w:val="CommentReference"/>
          <w:rFonts w:ascii="Arial" w:hAnsi="Arial" w:cs="Arial"/>
          <w:sz w:val="20"/>
          <w:szCs w:val="20"/>
        </w:rPr>
        <w:commentReference w:id="135"/>
      </w:r>
    </w:p>
    <w:p w14:paraId="0859ACE6" w14:textId="6623ACDF" w:rsidR="00F30582" w:rsidRPr="00117BF8" w:rsidRDefault="00117BF8" w:rsidP="00F30582">
      <w:pPr>
        <w:pStyle w:val="Hfuente"/>
        <w:rPr>
          <w:rFonts w:ascii="Arial" w:hAnsi="Arial" w:cs="Arial"/>
        </w:rPr>
      </w:pPr>
      <w:r w:rsidRPr="00117BF8">
        <w:rPr>
          <w:rFonts w:ascii="Arial" w:hAnsi="Arial" w:cs="Arial"/>
        </w:rPr>
        <w:pict w14:anchorId="63D2F0E3">
          <v:shape id="_x0000_i1053" type="#_x0000_t75" style="width:424.5pt;height:277.35pt">
            <v:imagedata r:id="rId55" o:title=""/>
          </v:shape>
        </w:pict>
      </w:r>
      <w:r w:rsidR="005A28C7">
        <w:rPr>
          <w:rFonts w:ascii="Arial" w:hAnsi="Arial" w:cs="Arial"/>
          <w:sz w:val="18"/>
          <w:szCs w:val="18"/>
        </w:rPr>
        <w:br/>
        <w:t>Fue</w:t>
      </w:r>
      <w:r w:rsidR="00F30582" w:rsidRPr="00117BF8">
        <w:rPr>
          <w:rFonts w:ascii="Arial" w:hAnsi="Arial" w:cs="Arial"/>
          <w:sz w:val="18"/>
          <w:szCs w:val="18"/>
        </w:rPr>
        <w:t>nte: Elaboración propia sobre proyecciones de la Provincia y Alternativa</w:t>
      </w:r>
      <w:r w:rsidR="00883677" w:rsidRPr="00117BF8">
        <w:rPr>
          <w:rFonts w:ascii="Arial" w:hAnsi="Arial" w:cs="Arial"/>
          <w:sz w:val="18"/>
          <w:szCs w:val="18"/>
        </w:rPr>
        <w:t>. 2016 presupuesto ejecutado</w:t>
      </w:r>
    </w:p>
    <w:p w14:paraId="2164F883" w14:textId="77777777" w:rsidR="00AF6E1E" w:rsidRPr="00117BF8" w:rsidRDefault="00F30582" w:rsidP="0021263A">
      <w:pPr>
        <w:pStyle w:val="hsa"/>
        <w:rPr>
          <w:rFonts w:ascii="Arial" w:hAnsi="Arial" w:cs="Arial"/>
          <w:sz w:val="22"/>
          <w:szCs w:val="22"/>
        </w:rPr>
      </w:pPr>
      <w:r w:rsidRPr="00117BF8">
        <w:rPr>
          <w:rFonts w:ascii="Arial" w:hAnsi="Arial" w:cs="Arial"/>
          <w:sz w:val="22"/>
          <w:szCs w:val="22"/>
        </w:rPr>
        <w:t>Los indicadores de deuda son más elevados en las proyecciones alternativas por las razones que se han ex</w:t>
      </w:r>
      <w:r w:rsidR="00AF6E1E" w:rsidRPr="00117BF8">
        <w:rPr>
          <w:rFonts w:ascii="Arial" w:hAnsi="Arial" w:cs="Arial"/>
          <w:sz w:val="22"/>
          <w:szCs w:val="22"/>
        </w:rPr>
        <w:t>plicado en los títulos previos.</w:t>
      </w:r>
    </w:p>
    <w:p w14:paraId="399E766F" w14:textId="77777777" w:rsidR="00095E3E" w:rsidRPr="00117BF8" w:rsidRDefault="00AF6E1E" w:rsidP="0021263A">
      <w:pPr>
        <w:pStyle w:val="hsa"/>
        <w:rPr>
          <w:rFonts w:ascii="Arial" w:hAnsi="Arial" w:cs="Arial"/>
          <w:sz w:val="22"/>
          <w:szCs w:val="22"/>
        </w:rPr>
      </w:pPr>
      <w:r w:rsidRPr="00117BF8">
        <w:rPr>
          <w:rFonts w:ascii="Arial" w:hAnsi="Arial" w:cs="Arial"/>
          <w:sz w:val="22"/>
          <w:szCs w:val="22"/>
        </w:rPr>
        <w:t>Además</w:t>
      </w:r>
      <w:r w:rsidR="009B1A22" w:rsidRPr="00117BF8">
        <w:rPr>
          <w:rFonts w:ascii="Arial" w:hAnsi="Arial" w:cs="Arial"/>
          <w:sz w:val="22"/>
          <w:szCs w:val="22"/>
        </w:rPr>
        <w:t>,</w:t>
      </w:r>
      <w:r w:rsidR="00F30582" w:rsidRPr="00117BF8">
        <w:rPr>
          <w:rFonts w:ascii="Arial" w:hAnsi="Arial" w:cs="Arial"/>
          <w:sz w:val="22"/>
          <w:szCs w:val="22"/>
        </w:rPr>
        <w:t xml:space="preserve"> es diferente la evolución de la deuda</w:t>
      </w:r>
      <w:r w:rsidRPr="00117BF8">
        <w:rPr>
          <w:rFonts w:ascii="Arial" w:hAnsi="Arial" w:cs="Arial"/>
          <w:sz w:val="22"/>
          <w:szCs w:val="22"/>
        </w:rPr>
        <w:t>. Mientras</w:t>
      </w:r>
      <w:r w:rsidR="00F30582" w:rsidRPr="00117BF8">
        <w:rPr>
          <w:rFonts w:ascii="Arial" w:hAnsi="Arial" w:cs="Arial"/>
          <w:sz w:val="22"/>
          <w:szCs w:val="22"/>
        </w:rPr>
        <w:t xml:space="preserve"> en las proyecciones elaboradas por la Provincia los indicadores </w:t>
      </w:r>
      <w:r w:rsidRPr="00117BF8">
        <w:rPr>
          <w:rFonts w:ascii="Arial" w:hAnsi="Arial" w:cs="Arial"/>
          <w:sz w:val="22"/>
          <w:szCs w:val="22"/>
        </w:rPr>
        <w:t xml:space="preserve">de deuda </w:t>
      </w:r>
      <w:r w:rsidR="00F30582" w:rsidRPr="00117BF8">
        <w:rPr>
          <w:rFonts w:ascii="Arial" w:hAnsi="Arial" w:cs="Arial"/>
          <w:sz w:val="22"/>
          <w:szCs w:val="22"/>
        </w:rPr>
        <w:t>alcanzan su máximo en los años 2018 y 2019 para luego descender en forma continua, en las proyecciones alternativas hay un crecimiento importante en los años 2018 y 2019 pero luego se mantiene una tendencia levemente creciente hasta el año 2024, para luego decrecer lentamente.</w:t>
      </w:r>
    </w:p>
    <w:p w14:paraId="0F3246AF" w14:textId="1165AC51" w:rsidR="00F30582" w:rsidRPr="00117BF8" w:rsidRDefault="00F30582" w:rsidP="0021263A">
      <w:pPr>
        <w:pStyle w:val="hsa"/>
        <w:rPr>
          <w:rFonts w:ascii="Arial" w:hAnsi="Arial" w:cs="Arial"/>
          <w:sz w:val="22"/>
          <w:szCs w:val="22"/>
        </w:rPr>
      </w:pPr>
      <w:r w:rsidRPr="00117BF8">
        <w:rPr>
          <w:rFonts w:ascii="Arial" w:hAnsi="Arial" w:cs="Arial"/>
          <w:sz w:val="22"/>
          <w:szCs w:val="22"/>
        </w:rPr>
        <w:t xml:space="preserve">Los niveles de deuda en la proyección alternativa se mantienen dentro de límites aceptables, </w:t>
      </w:r>
      <w:r w:rsidR="00AF6E1E" w:rsidRPr="00117BF8">
        <w:rPr>
          <w:rFonts w:ascii="Arial" w:hAnsi="Arial" w:cs="Arial"/>
          <w:sz w:val="22"/>
          <w:szCs w:val="22"/>
        </w:rPr>
        <w:t xml:space="preserve">pero </w:t>
      </w:r>
      <w:r w:rsidRPr="00117BF8">
        <w:rPr>
          <w:rFonts w:ascii="Arial" w:hAnsi="Arial" w:cs="Arial"/>
          <w:sz w:val="22"/>
          <w:szCs w:val="22"/>
        </w:rPr>
        <w:t>su perseverancia en esos niveles determina que las finanzas provinciales se encuentren expuestas</w:t>
      </w:r>
      <w:r w:rsidR="00F43075" w:rsidRPr="00117BF8">
        <w:rPr>
          <w:rFonts w:ascii="Arial" w:hAnsi="Arial" w:cs="Arial"/>
          <w:sz w:val="22"/>
          <w:szCs w:val="22"/>
        </w:rPr>
        <w:t xml:space="preserve"> frente</w:t>
      </w:r>
      <w:r w:rsidRPr="00117BF8">
        <w:rPr>
          <w:rFonts w:ascii="Arial" w:hAnsi="Arial" w:cs="Arial"/>
          <w:sz w:val="22"/>
          <w:szCs w:val="22"/>
        </w:rPr>
        <w:t xml:space="preserve"> a </w:t>
      </w:r>
      <w:r w:rsidR="00F43075" w:rsidRPr="00117BF8">
        <w:rPr>
          <w:rFonts w:ascii="Arial" w:hAnsi="Arial" w:cs="Arial"/>
          <w:sz w:val="22"/>
          <w:szCs w:val="22"/>
        </w:rPr>
        <w:t>choques macroeconómicos</w:t>
      </w:r>
      <w:r w:rsidRPr="00117BF8">
        <w:rPr>
          <w:rFonts w:ascii="Arial" w:hAnsi="Arial" w:cs="Arial"/>
          <w:sz w:val="22"/>
          <w:szCs w:val="22"/>
        </w:rPr>
        <w:t xml:space="preserve"> durante un período prologando.</w:t>
      </w:r>
    </w:p>
    <w:p w14:paraId="16CE708F" w14:textId="77777777" w:rsidR="00DF4AA4" w:rsidRPr="00117BF8" w:rsidRDefault="00DF4AA4" w:rsidP="0021263A">
      <w:pPr>
        <w:pStyle w:val="hsa"/>
        <w:rPr>
          <w:rFonts w:ascii="Arial" w:hAnsi="Arial" w:cs="Arial"/>
          <w:sz w:val="22"/>
          <w:szCs w:val="22"/>
        </w:rPr>
      </w:pPr>
      <w:r w:rsidRPr="00117BF8">
        <w:rPr>
          <w:rFonts w:ascii="Arial" w:hAnsi="Arial" w:cs="Arial"/>
          <w:sz w:val="22"/>
          <w:szCs w:val="22"/>
        </w:rPr>
        <w:t>La Provincia en sus prospectos de deuda expone los riesgos a la que se encuentran expuestas las proyecciones y la deuda en sí,</w:t>
      </w:r>
      <w:r w:rsidRPr="00117BF8">
        <w:rPr>
          <w:rStyle w:val="FootnoteReference"/>
          <w:rFonts w:ascii="Arial" w:hAnsi="Arial" w:cs="Arial"/>
          <w:sz w:val="22"/>
          <w:szCs w:val="22"/>
        </w:rPr>
        <w:footnoteReference w:id="31"/>
      </w:r>
      <w:r w:rsidRPr="00117BF8">
        <w:rPr>
          <w:rFonts w:ascii="Arial" w:hAnsi="Arial" w:cs="Arial"/>
          <w:sz w:val="22"/>
          <w:szCs w:val="22"/>
        </w:rPr>
        <w:t xml:space="preserve"> debe indicarse que la deuda con OMC presenta riesgos mucho más limitados por sus características y garantías.</w:t>
      </w:r>
    </w:p>
    <w:p w14:paraId="67B659B3" w14:textId="77777777" w:rsidR="004A596D" w:rsidRPr="00117BF8" w:rsidRDefault="000901E5" w:rsidP="0021263A">
      <w:pPr>
        <w:pStyle w:val="hsa"/>
        <w:rPr>
          <w:rFonts w:ascii="Arial" w:hAnsi="Arial" w:cs="Arial"/>
          <w:sz w:val="22"/>
          <w:szCs w:val="22"/>
        </w:rPr>
      </w:pPr>
      <w:r w:rsidRPr="00117BF8">
        <w:rPr>
          <w:rFonts w:ascii="Arial" w:hAnsi="Arial" w:cs="Arial"/>
          <w:sz w:val="22"/>
          <w:szCs w:val="22"/>
        </w:rPr>
        <w:t>La Provincia nos ha proporcionado los informes de calificación de deuda de Moody´s y Standard &amp; Poo</w:t>
      </w:r>
      <w:r w:rsidR="00C24935" w:rsidRPr="00117BF8">
        <w:rPr>
          <w:rFonts w:ascii="Arial" w:hAnsi="Arial" w:cs="Arial"/>
          <w:sz w:val="22"/>
          <w:szCs w:val="22"/>
        </w:rPr>
        <w:t>r´s</w:t>
      </w:r>
      <w:r w:rsidR="004D1E33" w:rsidRPr="00117BF8">
        <w:rPr>
          <w:rFonts w:ascii="Arial" w:hAnsi="Arial" w:cs="Arial"/>
          <w:sz w:val="22"/>
          <w:szCs w:val="22"/>
        </w:rPr>
        <w:t>, ambos del</w:t>
      </w:r>
      <w:r w:rsidR="00C24935" w:rsidRPr="00117BF8">
        <w:rPr>
          <w:rFonts w:ascii="Arial" w:hAnsi="Arial" w:cs="Arial"/>
          <w:sz w:val="22"/>
          <w:szCs w:val="22"/>
        </w:rPr>
        <w:t xml:space="preserve"> 14 de Julio de corriente año</w:t>
      </w:r>
      <w:r w:rsidR="004D1E33" w:rsidRPr="00117BF8">
        <w:rPr>
          <w:rFonts w:ascii="Arial" w:hAnsi="Arial" w:cs="Arial"/>
          <w:sz w:val="22"/>
          <w:szCs w:val="22"/>
        </w:rPr>
        <w:t>.</w:t>
      </w:r>
      <w:r w:rsidR="00C24935" w:rsidRPr="00117BF8">
        <w:rPr>
          <w:rFonts w:ascii="Arial" w:hAnsi="Arial" w:cs="Arial"/>
          <w:sz w:val="22"/>
          <w:szCs w:val="22"/>
        </w:rPr>
        <w:t xml:space="preserve"> Moody´s califica a la Provincia de Buenos Aires de la siguiente manera</w:t>
      </w:r>
      <w:r w:rsidR="005C42F3" w:rsidRPr="00117BF8">
        <w:rPr>
          <w:rFonts w:ascii="Arial" w:hAnsi="Arial" w:cs="Arial"/>
          <w:sz w:val="22"/>
          <w:szCs w:val="22"/>
        </w:rPr>
        <w:t>:</w:t>
      </w:r>
      <w:r w:rsidR="005C42F3" w:rsidRPr="00117BF8">
        <w:rPr>
          <w:rStyle w:val="FootnoteReference"/>
          <w:rFonts w:ascii="Arial" w:hAnsi="Arial" w:cs="Arial"/>
          <w:sz w:val="22"/>
          <w:szCs w:val="22"/>
        </w:rPr>
        <w:footnoteReference w:id="32"/>
      </w:r>
    </w:p>
    <w:p w14:paraId="53E05236" w14:textId="77777777" w:rsidR="00C24935" w:rsidRPr="00117BF8" w:rsidRDefault="00117BF8" w:rsidP="0021263A">
      <w:pPr>
        <w:pStyle w:val="hsa"/>
        <w:rPr>
          <w:rFonts w:ascii="Arial" w:hAnsi="Arial" w:cs="Arial"/>
        </w:rPr>
      </w:pPr>
      <w:r w:rsidRPr="00117BF8">
        <w:rPr>
          <w:rFonts w:ascii="Arial" w:hAnsi="Arial" w:cs="Arial"/>
        </w:rPr>
        <w:pict w14:anchorId="2BBC64E5">
          <v:shape id="_x0000_i1054" type="#_x0000_t75" style="width:425.1pt;height:93.3pt">
            <v:imagedata r:id="rId56" o:title=""/>
          </v:shape>
        </w:pict>
      </w:r>
    </w:p>
    <w:p w14:paraId="6D4F9F93" w14:textId="77777777" w:rsidR="00C24935" w:rsidRPr="00117BF8" w:rsidRDefault="00027107" w:rsidP="0021263A">
      <w:pPr>
        <w:pStyle w:val="hsa"/>
        <w:rPr>
          <w:rFonts w:ascii="Arial" w:hAnsi="Arial" w:cs="Arial"/>
          <w:sz w:val="22"/>
          <w:szCs w:val="22"/>
        </w:rPr>
      </w:pPr>
      <w:r w:rsidRPr="00117BF8">
        <w:rPr>
          <w:rFonts w:ascii="Arial" w:hAnsi="Arial" w:cs="Arial"/>
          <w:sz w:val="22"/>
          <w:szCs w:val="22"/>
        </w:rPr>
        <w:t>Standard &amp; Poor´s califica a la Provincia con “raA” que implica algo más susceptible a efectos adversos por cambios circunstanciales o de las condiciones de la economía que las entidades con calificaciones en categorías superiores. Sin embargo, la entidad tiene una capacidad fuerte de cumplir con sus obligaciones financieras en comparación con otras entidades en el mercado nacional.</w:t>
      </w:r>
    </w:p>
    <w:p w14:paraId="22A9BE78" w14:textId="77777777" w:rsidR="00D50D07" w:rsidRPr="00117BF8" w:rsidRDefault="000901E5" w:rsidP="00117BF8">
      <w:pPr>
        <w:pStyle w:val="Heading1"/>
        <w:spacing w:before="120" w:after="180"/>
        <w:rPr>
          <w:rFonts w:ascii="Arial" w:eastAsia="Calibri" w:hAnsi="Arial" w:cs="Arial"/>
          <w:sz w:val="22"/>
          <w:szCs w:val="22"/>
        </w:rPr>
      </w:pPr>
      <w:bookmarkStart w:id="136" w:name="_Toc494040345"/>
      <w:bookmarkStart w:id="137" w:name="_Toc488332324"/>
      <w:bookmarkStart w:id="138" w:name="_Toc488332326"/>
      <w:r w:rsidRPr="00117BF8">
        <w:rPr>
          <w:rFonts w:ascii="Arial" w:eastAsia="Calibri" w:hAnsi="Arial" w:cs="Arial"/>
          <w:sz w:val="22"/>
          <w:szCs w:val="22"/>
        </w:rPr>
        <w:t>Aprobación d</w:t>
      </w:r>
      <w:r w:rsidR="005B00B2" w:rsidRPr="00117BF8">
        <w:rPr>
          <w:rFonts w:ascii="Arial" w:eastAsia="Calibri" w:hAnsi="Arial" w:cs="Arial"/>
          <w:sz w:val="22"/>
          <w:szCs w:val="22"/>
        </w:rPr>
        <w:t>e</w:t>
      </w:r>
      <w:r w:rsidR="00D50D07" w:rsidRPr="00117BF8">
        <w:rPr>
          <w:rFonts w:ascii="Arial" w:eastAsia="Calibri" w:hAnsi="Arial" w:cs="Arial"/>
          <w:sz w:val="22"/>
          <w:szCs w:val="22"/>
        </w:rPr>
        <w:t xml:space="preserve"> </w:t>
      </w:r>
      <w:r w:rsidR="005B00B2" w:rsidRPr="00117BF8">
        <w:rPr>
          <w:rFonts w:ascii="Arial" w:eastAsia="Calibri" w:hAnsi="Arial" w:cs="Arial"/>
          <w:sz w:val="22"/>
          <w:szCs w:val="22"/>
        </w:rPr>
        <w:t>l</w:t>
      </w:r>
      <w:r w:rsidR="00D50D07" w:rsidRPr="00117BF8">
        <w:rPr>
          <w:rFonts w:ascii="Arial" w:eastAsia="Calibri" w:hAnsi="Arial" w:cs="Arial"/>
          <w:sz w:val="22"/>
          <w:szCs w:val="22"/>
        </w:rPr>
        <w:t>as Operaciones de préstamo</w:t>
      </w:r>
      <w:r w:rsidRPr="00117BF8">
        <w:rPr>
          <w:rFonts w:ascii="Arial" w:eastAsia="Calibri" w:hAnsi="Arial" w:cs="Arial"/>
          <w:sz w:val="22"/>
          <w:szCs w:val="22"/>
        </w:rPr>
        <w:t xml:space="preserve"> BID</w:t>
      </w:r>
      <w:bookmarkEnd w:id="136"/>
    </w:p>
    <w:bookmarkEnd w:id="137"/>
    <w:p w14:paraId="64FCC301" w14:textId="049062DD" w:rsidR="00161187" w:rsidRPr="00117BF8" w:rsidRDefault="005E50B9" w:rsidP="005B00B2">
      <w:pPr>
        <w:pStyle w:val="hsa"/>
        <w:rPr>
          <w:rFonts w:ascii="Arial" w:eastAsia="Calibri" w:hAnsi="Arial" w:cs="Arial"/>
          <w:sz w:val="22"/>
          <w:szCs w:val="22"/>
        </w:rPr>
      </w:pPr>
      <w:r w:rsidRPr="00117BF8">
        <w:rPr>
          <w:rFonts w:ascii="Arial" w:eastAsia="Calibri" w:hAnsi="Arial" w:cs="Arial"/>
          <w:sz w:val="22"/>
          <w:szCs w:val="22"/>
        </w:rPr>
        <w:t xml:space="preserve">En la tabla </w:t>
      </w:r>
      <w:r w:rsidR="0069589D" w:rsidRPr="00117BF8">
        <w:rPr>
          <w:rFonts w:ascii="Arial" w:eastAsia="Calibri" w:hAnsi="Arial" w:cs="Arial"/>
          <w:sz w:val="22"/>
          <w:szCs w:val="22"/>
        </w:rPr>
        <w:t>4</w:t>
      </w:r>
      <w:r w:rsidR="00883677" w:rsidRPr="00117BF8">
        <w:rPr>
          <w:rFonts w:ascii="Arial" w:eastAsia="Calibri" w:hAnsi="Arial" w:cs="Arial"/>
          <w:sz w:val="22"/>
          <w:szCs w:val="22"/>
        </w:rPr>
        <w:t>6</w:t>
      </w:r>
      <w:r w:rsidRPr="00117BF8">
        <w:rPr>
          <w:rFonts w:ascii="Arial" w:eastAsia="Calibri" w:hAnsi="Arial" w:cs="Arial"/>
          <w:sz w:val="22"/>
          <w:szCs w:val="22"/>
        </w:rPr>
        <w:t xml:space="preserve"> se indican las eta</w:t>
      </w:r>
      <w:r w:rsidR="00AF6E1E" w:rsidRPr="00117BF8">
        <w:rPr>
          <w:rFonts w:ascii="Arial" w:eastAsia="Calibri" w:hAnsi="Arial" w:cs="Arial"/>
          <w:sz w:val="22"/>
          <w:szCs w:val="22"/>
        </w:rPr>
        <w:t>pa</w:t>
      </w:r>
      <w:r w:rsidRPr="00117BF8">
        <w:rPr>
          <w:rFonts w:ascii="Arial" w:eastAsia="Calibri" w:hAnsi="Arial" w:cs="Arial"/>
          <w:sz w:val="22"/>
          <w:szCs w:val="22"/>
        </w:rPr>
        <w:t xml:space="preserve">s previstas para la aprobación de los programas de crédito, en el Anexo </w:t>
      </w:r>
      <w:r w:rsidR="002009BF" w:rsidRPr="00117BF8">
        <w:rPr>
          <w:rFonts w:ascii="Arial" w:eastAsia="Calibri" w:hAnsi="Arial" w:cs="Arial"/>
          <w:sz w:val="22"/>
          <w:szCs w:val="22"/>
        </w:rPr>
        <w:t>VIII</w:t>
      </w:r>
      <w:r w:rsidRPr="00117BF8">
        <w:rPr>
          <w:rFonts w:ascii="Arial" w:eastAsia="Calibri" w:hAnsi="Arial" w:cs="Arial"/>
          <w:sz w:val="22"/>
          <w:szCs w:val="22"/>
        </w:rPr>
        <w:t xml:space="preserve"> se amplía e incluyen los cursogramas. </w:t>
      </w:r>
      <w:r w:rsidR="009B1A22" w:rsidRPr="00117BF8">
        <w:rPr>
          <w:rFonts w:ascii="Arial" w:eastAsia="Calibri" w:hAnsi="Arial" w:cs="Arial"/>
          <w:sz w:val="22"/>
          <w:szCs w:val="22"/>
        </w:rPr>
        <w:t>L</w:t>
      </w:r>
      <w:r w:rsidRPr="00117BF8">
        <w:rPr>
          <w:rFonts w:ascii="Arial" w:eastAsia="Calibri" w:hAnsi="Arial" w:cs="Arial"/>
          <w:sz w:val="22"/>
          <w:szCs w:val="22"/>
        </w:rPr>
        <w:t xml:space="preserve">os representantes de la Provincia </w:t>
      </w:r>
      <w:r w:rsidR="009B1A22" w:rsidRPr="00117BF8">
        <w:rPr>
          <w:rFonts w:ascii="Arial" w:eastAsia="Calibri" w:hAnsi="Arial" w:cs="Arial"/>
          <w:sz w:val="22"/>
          <w:szCs w:val="22"/>
        </w:rPr>
        <w:t xml:space="preserve">indican que </w:t>
      </w:r>
      <w:r w:rsidRPr="00117BF8">
        <w:rPr>
          <w:rFonts w:ascii="Arial" w:eastAsia="Calibri" w:hAnsi="Arial" w:cs="Arial"/>
          <w:sz w:val="22"/>
          <w:szCs w:val="22"/>
        </w:rPr>
        <w:t>l</w:t>
      </w:r>
      <w:r w:rsidR="00FF1C7F" w:rsidRPr="00117BF8">
        <w:rPr>
          <w:rFonts w:ascii="Arial" w:eastAsia="Calibri" w:hAnsi="Arial" w:cs="Arial"/>
          <w:sz w:val="22"/>
          <w:szCs w:val="22"/>
        </w:rPr>
        <w:t>os programas de préstamo que se consideran en este info</w:t>
      </w:r>
      <w:r w:rsidRPr="00117BF8">
        <w:rPr>
          <w:rFonts w:ascii="Arial" w:eastAsia="Calibri" w:hAnsi="Arial" w:cs="Arial"/>
          <w:sz w:val="22"/>
          <w:szCs w:val="22"/>
        </w:rPr>
        <w:t>r</w:t>
      </w:r>
      <w:r w:rsidR="00FF1C7F" w:rsidRPr="00117BF8">
        <w:rPr>
          <w:rFonts w:ascii="Arial" w:eastAsia="Calibri" w:hAnsi="Arial" w:cs="Arial"/>
          <w:sz w:val="22"/>
          <w:szCs w:val="22"/>
        </w:rPr>
        <w:t>me</w:t>
      </w:r>
      <w:r w:rsidRPr="00117BF8">
        <w:rPr>
          <w:rFonts w:ascii="Arial" w:eastAsia="Calibri" w:hAnsi="Arial" w:cs="Arial"/>
          <w:sz w:val="22"/>
          <w:szCs w:val="22"/>
        </w:rPr>
        <w:t xml:space="preserve"> se encuentran finalizando la subetapa 1.1-Inicio de Preparación del Proyecto.</w:t>
      </w:r>
    </w:p>
    <w:tbl>
      <w:tblPr>
        <w:tblW w:w="8505" w:type="dxa"/>
        <w:tblInd w:w="250" w:type="dxa"/>
        <w:tblLook w:val="04A0" w:firstRow="1" w:lastRow="0" w:firstColumn="1" w:lastColumn="0" w:noHBand="0" w:noVBand="1"/>
      </w:tblPr>
      <w:tblGrid>
        <w:gridCol w:w="1825"/>
        <w:gridCol w:w="2157"/>
        <w:gridCol w:w="1912"/>
        <w:gridCol w:w="2611"/>
      </w:tblGrid>
      <w:tr w:rsidR="00161187" w:rsidRPr="004E6455" w14:paraId="4383F1AC" w14:textId="77777777" w:rsidTr="002F43BF">
        <w:tc>
          <w:tcPr>
            <w:tcW w:w="8505" w:type="dxa"/>
            <w:gridSpan w:val="4"/>
            <w:tcBorders>
              <w:top w:val="nil"/>
              <w:left w:val="nil"/>
              <w:bottom w:val="single" w:sz="4" w:space="0" w:color="7F7F7F"/>
              <w:right w:val="nil"/>
            </w:tcBorders>
            <w:shd w:val="clear" w:color="auto" w:fill="0070C0"/>
          </w:tcPr>
          <w:p w14:paraId="4FD1ED28" w14:textId="322D7E0B" w:rsidR="00161187" w:rsidRPr="00117BF8" w:rsidRDefault="00161187" w:rsidP="00883677">
            <w:pPr>
              <w:pStyle w:val="TablaT"/>
              <w:rPr>
                <w:rFonts w:ascii="Arial" w:hAnsi="Arial" w:cs="Arial"/>
                <w:sz w:val="22"/>
                <w:szCs w:val="22"/>
                <w:lang w:val="es-ES_tradnl"/>
              </w:rPr>
            </w:pPr>
            <w:bookmarkStart w:id="139" w:name="_Toc493861156"/>
            <w:r w:rsidRPr="00117BF8">
              <w:rPr>
                <w:rFonts w:ascii="Arial" w:hAnsi="Arial" w:cs="Arial"/>
                <w:sz w:val="22"/>
                <w:szCs w:val="22"/>
                <w:lang w:val="es-ES_tradnl"/>
              </w:rPr>
              <w:t xml:space="preserve">Tabla </w:t>
            </w:r>
            <w:r w:rsidR="0069589D" w:rsidRPr="00117BF8">
              <w:rPr>
                <w:rFonts w:ascii="Arial" w:hAnsi="Arial" w:cs="Arial"/>
                <w:sz w:val="22"/>
                <w:szCs w:val="22"/>
                <w:lang w:val="es-ES_tradnl"/>
              </w:rPr>
              <w:t>4</w:t>
            </w:r>
            <w:r w:rsidR="00883677" w:rsidRPr="00117BF8">
              <w:rPr>
                <w:rFonts w:ascii="Arial" w:hAnsi="Arial" w:cs="Arial"/>
                <w:sz w:val="22"/>
                <w:szCs w:val="22"/>
                <w:lang w:val="es-ES_tradnl"/>
              </w:rPr>
              <w:t>6</w:t>
            </w:r>
            <w:r w:rsidRPr="00117BF8">
              <w:rPr>
                <w:rFonts w:ascii="Arial" w:hAnsi="Arial" w:cs="Arial"/>
                <w:sz w:val="22"/>
                <w:szCs w:val="22"/>
                <w:lang w:val="es-ES_tradnl"/>
              </w:rPr>
              <w:t xml:space="preserve"> – Ciclo del Proyecto </w:t>
            </w:r>
            <w:r w:rsidR="00977B2A" w:rsidRPr="00117BF8">
              <w:rPr>
                <w:rFonts w:ascii="Arial" w:hAnsi="Arial" w:cs="Arial"/>
                <w:sz w:val="22"/>
                <w:szCs w:val="22"/>
                <w:lang w:val="es-ES_tradnl"/>
              </w:rPr>
              <w:t>–</w:t>
            </w:r>
            <w:r w:rsidRPr="00117BF8">
              <w:rPr>
                <w:rFonts w:ascii="Arial" w:hAnsi="Arial" w:cs="Arial"/>
                <w:sz w:val="22"/>
                <w:szCs w:val="22"/>
                <w:lang w:val="es-ES_tradnl"/>
              </w:rPr>
              <w:t xml:space="preserve"> Etapas</w:t>
            </w:r>
            <w:bookmarkEnd w:id="139"/>
          </w:p>
        </w:tc>
      </w:tr>
      <w:tr w:rsidR="00161187" w:rsidRPr="004E6455" w14:paraId="12EF3995" w14:textId="77777777" w:rsidTr="00161187">
        <w:tc>
          <w:tcPr>
            <w:tcW w:w="1825" w:type="dxa"/>
            <w:tcBorders>
              <w:top w:val="nil"/>
              <w:left w:val="nil"/>
              <w:bottom w:val="single" w:sz="4" w:space="0" w:color="7F7F7F"/>
              <w:right w:val="nil"/>
            </w:tcBorders>
            <w:shd w:val="clear" w:color="auto" w:fill="0070C0"/>
          </w:tcPr>
          <w:p w14:paraId="37DB1AAB" w14:textId="77777777" w:rsidR="00161187" w:rsidRPr="00117BF8" w:rsidRDefault="00161187" w:rsidP="00161187">
            <w:pPr>
              <w:pStyle w:val="TablaE"/>
              <w:rPr>
                <w:rFonts w:ascii="Arial" w:hAnsi="Arial" w:cs="Arial"/>
                <w:bCs/>
                <w:sz w:val="22"/>
                <w:szCs w:val="22"/>
                <w:lang w:val="es-AR" w:eastAsia="en-US"/>
              </w:rPr>
            </w:pPr>
          </w:p>
        </w:tc>
        <w:tc>
          <w:tcPr>
            <w:tcW w:w="2157" w:type="dxa"/>
            <w:tcBorders>
              <w:top w:val="nil"/>
              <w:left w:val="nil"/>
              <w:bottom w:val="single" w:sz="4" w:space="0" w:color="7F7F7F"/>
              <w:right w:val="nil"/>
            </w:tcBorders>
            <w:shd w:val="clear" w:color="auto" w:fill="0070C0"/>
            <w:hideMark/>
          </w:tcPr>
          <w:p w14:paraId="6B9ADB06" w14:textId="77777777" w:rsidR="00161187" w:rsidRPr="00117BF8" w:rsidRDefault="00161187" w:rsidP="00161187">
            <w:pPr>
              <w:pStyle w:val="TablaE"/>
              <w:rPr>
                <w:rFonts w:ascii="Arial" w:hAnsi="Arial" w:cs="Arial"/>
                <w:bCs/>
                <w:sz w:val="22"/>
                <w:szCs w:val="22"/>
                <w:lang w:val="es-AR" w:eastAsia="en-US"/>
              </w:rPr>
            </w:pPr>
            <w:r w:rsidRPr="00117BF8">
              <w:rPr>
                <w:rFonts w:ascii="Arial" w:hAnsi="Arial" w:cs="Arial"/>
                <w:bCs/>
                <w:sz w:val="22"/>
                <w:szCs w:val="22"/>
                <w:lang w:val="es-AR"/>
              </w:rPr>
              <w:t>Descripción</w:t>
            </w:r>
          </w:p>
        </w:tc>
        <w:tc>
          <w:tcPr>
            <w:tcW w:w="1912" w:type="dxa"/>
            <w:tcBorders>
              <w:top w:val="nil"/>
              <w:left w:val="nil"/>
              <w:bottom w:val="single" w:sz="4" w:space="0" w:color="7F7F7F"/>
              <w:right w:val="nil"/>
            </w:tcBorders>
            <w:shd w:val="clear" w:color="auto" w:fill="0070C0"/>
            <w:hideMark/>
          </w:tcPr>
          <w:p w14:paraId="2ED16B45" w14:textId="77777777" w:rsidR="00161187" w:rsidRPr="00117BF8" w:rsidRDefault="00161187" w:rsidP="00161187">
            <w:pPr>
              <w:pStyle w:val="TablaE"/>
              <w:rPr>
                <w:rFonts w:ascii="Arial" w:hAnsi="Arial" w:cs="Arial"/>
                <w:bCs/>
                <w:sz w:val="22"/>
                <w:szCs w:val="22"/>
                <w:lang w:val="es-AR" w:eastAsia="en-US"/>
              </w:rPr>
            </w:pPr>
            <w:r w:rsidRPr="00117BF8">
              <w:rPr>
                <w:rFonts w:ascii="Arial" w:hAnsi="Arial" w:cs="Arial"/>
                <w:bCs/>
                <w:sz w:val="22"/>
                <w:szCs w:val="22"/>
                <w:lang w:val="es-AR"/>
              </w:rPr>
              <w:t>Organismo/s responsables</w:t>
            </w:r>
          </w:p>
        </w:tc>
        <w:tc>
          <w:tcPr>
            <w:tcW w:w="2611" w:type="dxa"/>
            <w:tcBorders>
              <w:top w:val="nil"/>
              <w:left w:val="nil"/>
              <w:bottom w:val="single" w:sz="4" w:space="0" w:color="7F7F7F"/>
              <w:right w:val="nil"/>
            </w:tcBorders>
            <w:shd w:val="clear" w:color="auto" w:fill="0070C0"/>
            <w:hideMark/>
          </w:tcPr>
          <w:p w14:paraId="330CF3BC" w14:textId="77777777" w:rsidR="00161187" w:rsidRPr="00117BF8" w:rsidRDefault="00161187" w:rsidP="00161187">
            <w:pPr>
              <w:pStyle w:val="TablaE"/>
              <w:rPr>
                <w:rFonts w:ascii="Arial" w:hAnsi="Arial" w:cs="Arial"/>
                <w:bCs/>
                <w:sz w:val="22"/>
                <w:szCs w:val="22"/>
                <w:lang w:val="es-AR" w:eastAsia="en-US"/>
              </w:rPr>
            </w:pPr>
            <w:r w:rsidRPr="00117BF8">
              <w:rPr>
                <w:rFonts w:ascii="Arial" w:hAnsi="Arial" w:cs="Arial"/>
                <w:bCs/>
                <w:sz w:val="22"/>
                <w:szCs w:val="22"/>
                <w:lang w:val="es-AR"/>
              </w:rPr>
              <w:t>documentos</w:t>
            </w:r>
          </w:p>
        </w:tc>
      </w:tr>
      <w:tr w:rsidR="00161187" w:rsidRPr="00593C9A" w14:paraId="77148646" w14:textId="77777777" w:rsidTr="00161187">
        <w:tc>
          <w:tcPr>
            <w:tcW w:w="1825" w:type="dxa"/>
            <w:vMerge w:val="restart"/>
            <w:tcBorders>
              <w:top w:val="single" w:sz="4" w:space="0" w:color="7F7F7F"/>
              <w:left w:val="nil"/>
              <w:bottom w:val="dotted" w:sz="4" w:space="0" w:color="7F7F7F"/>
              <w:right w:val="single" w:sz="4" w:space="0" w:color="7F7F7F"/>
            </w:tcBorders>
            <w:shd w:val="clear" w:color="auto" w:fill="F2F2F2"/>
            <w:vAlign w:val="center"/>
          </w:tcPr>
          <w:p w14:paraId="7E80CB23"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ETAPA 1</w:t>
            </w:r>
          </w:p>
          <w:p w14:paraId="2DFDFEE5" w14:textId="77777777" w:rsidR="00161187" w:rsidRPr="00117BF8" w:rsidRDefault="00161187" w:rsidP="00161187">
            <w:pPr>
              <w:pStyle w:val="TablaC"/>
              <w:jc w:val="left"/>
              <w:rPr>
                <w:rFonts w:ascii="Arial" w:hAnsi="Arial" w:cs="Arial"/>
                <w:sz w:val="18"/>
                <w:szCs w:val="18"/>
              </w:rPr>
            </w:pPr>
          </w:p>
          <w:p w14:paraId="0428505E"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IDENTIFICACION PRE-INVERSION</w:t>
            </w:r>
          </w:p>
        </w:tc>
        <w:tc>
          <w:tcPr>
            <w:tcW w:w="2157" w:type="dxa"/>
            <w:tcBorders>
              <w:top w:val="single" w:sz="4" w:space="0" w:color="7F7F7F"/>
              <w:left w:val="nil"/>
              <w:bottom w:val="dotted" w:sz="4" w:space="0" w:color="7F7F7F"/>
              <w:right w:val="nil"/>
            </w:tcBorders>
            <w:shd w:val="clear" w:color="auto" w:fill="F2F2F2"/>
            <w:vAlign w:val="center"/>
            <w:hideMark/>
          </w:tcPr>
          <w:p w14:paraId="199FC9F8"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1.1-Inicio de Preparación del Proyecto</w:t>
            </w:r>
          </w:p>
        </w:tc>
        <w:tc>
          <w:tcPr>
            <w:tcW w:w="1912" w:type="dxa"/>
            <w:tcBorders>
              <w:top w:val="single" w:sz="4" w:space="0" w:color="7F7F7F"/>
              <w:left w:val="nil"/>
              <w:bottom w:val="dotted" w:sz="4" w:space="0" w:color="7F7F7F"/>
              <w:right w:val="nil"/>
            </w:tcBorders>
            <w:shd w:val="clear" w:color="auto" w:fill="F2F2F2"/>
            <w:vAlign w:val="center"/>
            <w:hideMark/>
          </w:tcPr>
          <w:p w14:paraId="2213DBD4"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Repartición PBA</w:t>
            </w:r>
          </w:p>
          <w:p w14:paraId="6EE51859"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ME-SSF</w:t>
            </w:r>
          </w:p>
        </w:tc>
        <w:tc>
          <w:tcPr>
            <w:tcW w:w="2611" w:type="dxa"/>
            <w:tcBorders>
              <w:top w:val="single" w:sz="4" w:space="0" w:color="7F7F7F"/>
              <w:left w:val="nil"/>
              <w:bottom w:val="dotted" w:sz="4" w:space="0" w:color="7F7F7F"/>
              <w:right w:val="nil"/>
            </w:tcBorders>
            <w:shd w:val="clear" w:color="auto" w:fill="F2F2F2"/>
            <w:vAlign w:val="center"/>
            <w:hideMark/>
          </w:tcPr>
          <w:p w14:paraId="65E40158" w14:textId="164949F6"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Perfil del Proyecto Pedido de Priorización</w:t>
            </w:r>
          </w:p>
        </w:tc>
      </w:tr>
      <w:tr w:rsidR="00161187" w:rsidRPr="00593C9A" w14:paraId="1DA400AB" w14:textId="77777777" w:rsidTr="00161187">
        <w:tc>
          <w:tcPr>
            <w:tcW w:w="0" w:type="auto"/>
            <w:vMerge/>
            <w:tcBorders>
              <w:top w:val="single" w:sz="4" w:space="0" w:color="7F7F7F"/>
              <w:left w:val="nil"/>
              <w:bottom w:val="dotted" w:sz="4" w:space="0" w:color="7F7F7F"/>
              <w:right w:val="single" w:sz="4" w:space="0" w:color="7F7F7F"/>
            </w:tcBorders>
            <w:vAlign w:val="center"/>
            <w:hideMark/>
          </w:tcPr>
          <w:p w14:paraId="69702E8D" w14:textId="77777777" w:rsidR="00161187" w:rsidRPr="00117BF8" w:rsidRDefault="00161187" w:rsidP="00161187">
            <w:pPr>
              <w:pStyle w:val="TablaC"/>
              <w:jc w:val="left"/>
              <w:rPr>
                <w:rFonts w:ascii="Arial" w:hAnsi="Arial" w:cs="Arial"/>
                <w:sz w:val="18"/>
                <w:szCs w:val="18"/>
                <w:lang w:val="es-ES_tradnl"/>
              </w:rPr>
            </w:pPr>
          </w:p>
        </w:tc>
        <w:tc>
          <w:tcPr>
            <w:tcW w:w="2157" w:type="dxa"/>
            <w:tcBorders>
              <w:top w:val="dotted" w:sz="4" w:space="0" w:color="7F7F7F"/>
              <w:left w:val="nil"/>
              <w:bottom w:val="dotted" w:sz="4" w:space="0" w:color="7F7F7F"/>
              <w:right w:val="nil"/>
            </w:tcBorders>
            <w:shd w:val="clear" w:color="auto" w:fill="F2F2F2"/>
            <w:vAlign w:val="center"/>
            <w:hideMark/>
          </w:tcPr>
          <w:p w14:paraId="0FB6D2A2"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1.2-Priorización del Proyecto</w:t>
            </w:r>
          </w:p>
        </w:tc>
        <w:tc>
          <w:tcPr>
            <w:tcW w:w="1912" w:type="dxa"/>
            <w:tcBorders>
              <w:top w:val="dotted" w:sz="4" w:space="0" w:color="7F7F7F"/>
              <w:left w:val="nil"/>
              <w:bottom w:val="dotted" w:sz="4" w:space="0" w:color="7F7F7F"/>
              <w:right w:val="nil"/>
            </w:tcBorders>
            <w:shd w:val="clear" w:color="auto" w:fill="F2F2F2"/>
            <w:vAlign w:val="center"/>
            <w:hideMark/>
          </w:tcPr>
          <w:p w14:paraId="73BB4A8B"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ME-SSF</w:t>
            </w:r>
          </w:p>
          <w:p w14:paraId="7327B173"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PBA-PE</w:t>
            </w:r>
          </w:p>
          <w:p w14:paraId="54CF8BD3"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JGM de la Nación</w:t>
            </w:r>
          </w:p>
        </w:tc>
        <w:tc>
          <w:tcPr>
            <w:tcW w:w="2611" w:type="dxa"/>
            <w:tcBorders>
              <w:top w:val="dotted" w:sz="4" w:space="0" w:color="7F7F7F"/>
              <w:left w:val="nil"/>
              <w:bottom w:val="dotted" w:sz="4" w:space="0" w:color="7F7F7F"/>
              <w:right w:val="nil"/>
            </w:tcBorders>
            <w:shd w:val="clear" w:color="auto" w:fill="F2F2F2"/>
            <w:vAlign w:val="center"/>
            <w:hideMark/>
          </w:tcPr>
          <w:p w14:paraId="39341204"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Documento de Proyecto Priorizado</w:t>
            </w:r>
          </w:p>
        </w:tc>
      </w:tr>
      <w:tr w:rsidR="00161187" w:rsidRPr="00593C9A" w14:paraId="5393C20C" w14:textId="77777777" w:rsidTr="00161187">
        <w:tc>
          <w:tcPr>
            <w:tcW w:w="0" w:type="auto"/>
            <w:vMerge/>
            <w:tcBorders>
              <w:top w:val="single" w:sz="4" w:space="0" w:color="7F7F7F"/>
              <w:left w:val="nil"/>
              <w:bottom w:val="dotted" w:sz="4" w:space="0" w:color="7F7F7F"/>
              <w:right w:val="single" w:sz="4" w:space="0" w:color="7F7F7F"/>
            </w:tcBorders>
            <w:vAlign w:val="center"/>
            <w:hideMark/>
          </w:tcPr>
          <w:p w14:paraId="37BA5219" w14:textId="77777777" w:rsidR="00161187" w:rsidRPr="00117BF8" w:rsidRDefault="00161187" w:rsidP="00161187">
            <w:pPr>
              <w:pStyle w:val="TablaC"/>
              <w:jc w:val="left"/>
              <w:rPr>
                <w:rFonts w:ascii="Arial" w:hAnsi="Arial" w:cs="Arial"/>
                <w:sz w:val="18"/>
                <w:szCs w:val="18"/>
              </w:rPr>
            </w:pPr>
          </w:p>
        </w:tc>
        <w:tc>
          <w:tcPr>
            <w:tcW w:w="2157" w:type="dxa"/>
            <w:tcBorders>
              <w:top w:val="dotted" w:sz="4" w:space="0" w:color="7F7F7F"/>
              <w:left w:val="nil"/>
              <w:bottom w:val="dotted" w:sz="4" w:space="0" w:color="7F7F7F"/>
              <w:right w:val="nil"/>
            </w:tcBorders>
            <w:shd w:val="clear" w:color="auto" w:fill="F2F2F2"/>
            <w:vAlign w:val="center"/>
            <w:hideMark/>
          </w:tcPr>
          <w:p w14:paraId="01EC68D8"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1.3- Preparación y Formulación del Proyecto</w:t>
            </w:r>
          </w:p>
        </w:tc>
        <w:tc>
          <w:tcPr>
            <w:tcW w:w="1912" w:type="dxa"/>
            <w:tcBorders>
              <w:top w:val="dotted" w:sz="4" w:space="0" w:color="7F7F7F"/>
              <w:left w:val="nil"/>
              <w:bottom w:val="dotted" w:sz="4" w:space="0" w:color="7F7F7F"/>
              <w:right w:val="nil"/>
            </w:tcBorders>
            <w:shd w:val="clear" w:color="auto" w:fill="F2F2F2"/>
            <w:vAlign w:val="center"/>
            <w:hideMark/>
          </w:tcPr>
          <w:p w14:paraId="657EDF30"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ME-SSF</w:t>
            </w:r>
          </w:p>
          <w:p w14:paraId="4F452189"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Repartición PBA</w:t>
            </w:r>
          </w:p>
          <w:p w14:paraId="2A24613C"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JGM de la Nación</w:t>
            </w:r>
          </w:p>
          <w:p w14:paraId="50B2F3D1"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MF de la Nación</w:t>
            </w:r>
          </w:p>
          <w:p w14:paraId="7C407B87"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OF</w:t>
            </w:r>
          </w:p>
        </w:tc>
        <w:tc>
          <w:tcPr>
            <w:tcW w:w="2611" w:type="dxa"/>
            <w:tcBorders>
              <w:top w:val="dotted" w:sz="4" w:space="0" w:color="7F7F7F"/>
              <w:left w:val="nil"/>
              <w:bottom w:val="dotted" w:sz="4" w:space="0" w:color="7F7F7F"/>
              <w:right w:val="nil"/>
            </w:tcBorders>
            <w:shd w:val="clear" w:color="auto" w:fill="F2F2F2"/>
            <w:vAlign w:val="center"/>
            <w:hideMark/>
          </w:tcPr>
          <w:p w14:paraId="50CFEBBE"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Documento de Préstamo y otros específicos</w:t>
            </w:r>
          </w:p>
        </w:tc>
      </w:tr>
      <w:tr w:rsidR="00161187" w:rsidRPr="00593C9A" w14:paraId="1FCFA27E" w14:textId="77777777" w:rsidTr="00161187">
        <w:tc>
          <w:tcPr>
            <w:tcW w:w="1825" w:type="dxa"/>
            <w:tcBorders>
              <w:top w:val="dotted" w:sz="4" w:space="0" w:color="7F7F7F"/>
              <w:left w:val="nil"/>
              <w:bottom w:val="dotted" w:sz="4" w:space="0" w:color="7F7F7F"/>
              <w:right w:val="single" w:sz="4" w:space="0" w:color="7F7F7F"/>
            </w:tcBorders>
            <w:vAlign w:val="center"/>
          </w:tcPr>
          <w:p w14:paraId="66882105"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ETAPA 2</w:t>
            </w:r>
          </w:p>
          <w:p w14:paraId="0F67B4C8" w14:textId="77777777" w:rsidR="00161187" w:rsidRPr="00117BF8" w:rsidRDefault="00161187" w:rsidP="00161187">
            <w:pPr>
              <w:pStyle w:val="TablaC"/>
              <w:jc w:val="left"/>
              <w:rPr>
                <w:rFonts w:ascii="Arial" w:hAnsi="Arial" w:cs="Arial"/>
                <w:sz w:val="18"/>
                <w:szCs w:val="18"/>
              </w:rPr>
            </w:pPr>
          </w:p>
          <w:p w14:paraId="188F08B8"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negociacion</w:t>
            </w:r>
          </w:p>
        </w:tc>
        <w:tc>
          <w:tcPr>
            <w:tcW w:w="2157" w:type="dxa"/>
            <w:tcBorders>
              <w:top w:val="dotted" w:sz="4" w:space="0" w:color="7F7F7F"/>
              <w:left w:val="nil"/>
              <w:bottom w:val="dotted" w:sz="4" w:space="0" w:color="7F7F7F"/>
              <w:right w:val="nil"/>
            </w:tcBorders>
            <w:vAlign w:val="center"/>
            <w:hideMark/>
          </w:tcPr>
          <w:p w14:paraId="424E26D4"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 xml:space="preserve">2- Negociación </w:t>
            </w:r>
          </w:p>
        </w:tc>
        <w:tc>
          <w:tcPr>
            <w:tcW w:w="1912" w:type="dxa"/>
            <w:tcBorders>
              <w:top w:val="dotted" w:sz="4" w:space="0" w:color="7F7F7F"/>
              <w:left w:val="nil"/>
              <w:bottom w:val="dotted" w:sz="4" w:space="0" w:color="7F7F7F"/>
              <w:right w:val="nil"/>
            </w:tcBorders>
            <w:vAlign w:val="center"/>
            <w:hideMark/>
          </w:tcPr>
          <w:p w14:paraId="4B345E65"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ME-SSF</w:t>
            </w:r>
          </w:p>
          <w:p w14:paraId="33161831"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Repartición PBA</w:t>
            </w:r>
          </w:p>
          <w:p w14:paraId="71AADEEC"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JGM de la Nación</w:t>
            </w:r>
          </w:p>
          <w:p w14:paraId="4336FCBE"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MF de la Nación</w:t>
            </w:r>
          </w:p>
          <w:p w14:paraId="2F8AEC5A"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OF</w:t>
            </w:r>
          </w:p>
        </w:tc>
        <w:tc>
          <w:tcPr>
            <w:tcW w:w="2611" w:type="dxa"/>
            <w:tcBorders>
              <w:top w:val="dotted" w:sz="4" w:space="0" w:color="7F7F7F"/>
              <w:left w:val="nil"/>
              <w:bottom w:val="dotted" w:sz="4" w:space="0" w:color="7F7F7F"/>
              <w:right w:val="nil"/>
            </w:tcBorders>
            <w:vAlign w:val="center"/>
            <w:hideMark/>
          </w:tcPr>
          <w:p w14:paraId="7F99FEAD"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Documento Proyecto</w:t>
            </w:r>
          </w:p>
          <w:p w14:paraId="51CC25B6"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Contratos de Préstamo y Garantía negociados</w:t>
            </w:r>
          </w:p>
        </w:tc>
      </w:tr>
      <w:tr w:rsidR="00161187" w:rsidRPr="00593C9A" w14:paraId="5AED4FEA" w14:textId="77777777" w:rsidTr="00161187">
        <w:tc>
          <w:tcPr>
            <w:tcW w:w="1825" w:type="dxa"/>
            <w:vMerge w:val="restart"/>
            <w:tcBorders>
              <w:top w:val="dotted" w:sz="4" w:space="0" w:color="7F7F7F"/>
              <w:left w:val="nil"/>
              <w:bottom w:val="dotted" w:sz="4" w:space="0" w:color="7F7F7F"/>
              <w:right w:val="single" w:sz="4" w:space="0" w:color="7F7F7F"/>
            </w:tcBorders>
            <w:shd w:val="clear" w:color="auto" w:fill="F2F2F2"/>
          </w:tcPr>
          <w:p w14:paraId="7B997A69" w14:textId="77777777" w:rsidR="00161187" w:rsidRPr="00117BF8" w:rsidRDefault="00161187" w:rsidP="00161187">
            <w:pPr>
              <w:pStyle w:val="TablaC"/>
              <w:jc w:val="left"/>
              <w:rPr>
                <w:rFonts w:ascii="Arial" w:hAnsi="Arial" w:cs="Arial"/>
                <w:sz w:val="18"/>
                <w:szCs w:val="18"/>
                <w:lang w:val="es-ES_tradnl"/>
              </w:rPr>
            </w:pPr>
          </w:p>
          <w:p w14:paraId="49FA08A7" w14:textId="77777777" w:rsidR="00161187" w:rsidRPr="00117BF8" w:rsidRDefault="00161187" w:rsidP="00161187">
            <w:pPr>
              <w:pStyle w:val="TablaC"/>
              <w:jc w:val="left"/>
              <w:rPr>
                <w:rFonts w:ascii="Arial" w:hAnsi="Arial" w:cs="Arial"/>
                <w:sz w:val="18"/>
                <w:szCs w:val="18"/>
                <w:lang w:val="es-ES_tradnl"/>
              </w:rPr>
            </w:pPr>
          </w:p>
          <w:p w14:paraId="182AC7E9" w14:textId="77777777" w:rsidR="00161187" w:rsidRPr="00117BF8" w:rsidRDefault="00161187" w:rsidP="00161187">
            <w:pPr>
              <w:pStyle w:val="TablaC"/>
              <w:jc w:val="left"/>
              <w:rPr>
                <w:rFonts w:ascii="Arial" w:hAnsi="Arial" w:cs="Arial"/>
                <w:sz w:val="18"/>
                <w:szCs w:val="18"/>
                <w:lang w:val="es-ES_tradnl"/>
              </w:rPr>
            </w:pPr>
          </w:p>
          <w:p w14:paraId="3C43F5EF" w14:textId="77777777" w:rsidR="00161187" w:rsidRPr="00117BF8" w:rsidRDefault="00161187" w:rsidP="00161187">
            <w:pPr>
              <w:pStyle w:val="TablaC"/>
              <w:jc w:val="left"/>
              <w:rPr>
                <w:rFonts w:ascii="Arial" w:hAnsi="Arial" w:cs="Arial"/>
                <w:sz w:val="18"/>
                <w:szCs w:val="18"/>
                <w:lang w:val="es-ES_tradnl"/>
              </w:rPr>
            </w:pPr>
          </w:p>
          <w:p w14:paraId="163EA5D2" w14:textId="77777777" w:rsidR="00161187" w:rsidRPr="00117BF8" w:rsidRDefault="00161187" w:rsidP="00161187">
            <w:pPr>
              <w:pStyle w:val="TablaC"/>
              <w:jc w:val="left"/>
              <w:rPr>
                <w:rFonts w:ascii="Arial" w:hAnsi="Arial" w:cs="Arial"/>
                <w:sz w:val="18"/>
                <w:szCs w:val="18"/>
                <w:lang w:val="es-ES_tradnl"/>
              </w:rPr>
            </w:pPr>
          </w:p>
          <w:p w14:paraId="7C6C3484" w14:textId="77777777" w:rsidR="00161187" w:rsidRPr="00117BF8" w:rsidRDefault="00161187" w:rsidP="00161187">
            <w:pPr>
              <w:pStyle w:val="TablaC"/>
              <w:jc w:val="left"/>
              <w:rPr>
                <w:rFonts w:ascii="Arial" w:hAnsi="Arial" w:cs="Arial"/>
                <w:sz w:val="18"/>
                <w:szCs w:val="18"/>
                <w:lang w:val="es-ES_tradnl"/>
              </w:rPr>
            </w:pPr>
          </w:p>
          <w:p w14:paraId="5E2793E1" w14:textId="77777777" w:rsidR="00161187" w:rsidRPr="00117BF8" w:rsidRDefault="00161187" w:rsidP="00161187">
            <w:pPr>
              <w:pStyle w:val="TablaC"/>
              <w:jc w:val="left"/>
              <w:rPr>
                <w:rFonts w:ascii="Arial" w:hAnsi="Arial" w:cs="Arial"/>
                <w:sz w:val="18"/>
                <w:szCs w:val="18"/>
                <w:lang w:val="es-ES_tradnl"/>
              </w:rPr>
            </w:pPr>
          </w:p>
          <w:p w14:paraId="2F60F62E"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ETAPA 3</w:t>
            </w:r>
          </w:p>
          <w:p w14:paraId="35D11B94" w14:textId="77777777" w:rsidR="00161187" w:rsidRPr="00117BF8" w:rsidRDefault="00161187" w:rsidP="00161187">
            <w:pPr>
              <w:pStyle w:val="TablaC"/>
              <w:jc w:val="left"/>
              <w:rPr>
                <w:rFonts w:ascii="Arial" w:hAnsi="Arial" w:cs="Arial"/>
                <w:sz w:val="18"/>
                <w:szCs w:val="18"/>
              </w:rPr>
            </w:pPr>
          </w:p>
          <w:p w14:paraId="321BC094"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APROBACION Y FIRMA</w:t>
            </w:r>
          </w:p>
          <w:p w14:paraId="6DB7B000" w14:textId="77777777" w:rsidR="00161187" w:rsidRPr="00117BF8" w:rsidRDefault="00161187" w:rsidP="00161187">
            <w:pPr>
              <w:pStyle w:val="TablaC"/>
              <w:jc w:val="left"/>
              <w:rPr>
                <w:rFonts w:ascii="Arial" w:hAnsi="Arial" w:cs="Arial"/>
                <w:sz w:val="18"/>
                <w:szCs w:val="18"/>
              </w:rPr>
            </w:pPr>
          </w:p>
        </w:tc>
        <w:tc>
          <w:tcPr>
            <w:tcW w:w="2157" w:type="dxa"/>
            <w:tcBorders>
              <w:top w:val="dotted" w:sz="4" w:space="0" w:color="7F7F7F"/>
              <w:left w:val="nil"/>
              <w:bottom w:val="dotted" w:sz="4" w:space="0" w:color="7F7F7F"/>
              <w:right w:val="nil"/>
            </w:tcBorders>
            <w:shd w:val="clear" w:color="auto" w:fill="F2F2F2"/>
            <w:vAlign w:val="center"/>
            <w:hideMark/>
          </w:tcPr>
          <w:p w14:paraId="3AE7DFB8"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 xml:space="preserve">3.1-Aprobación por Organismo Financiador </w:t>
            </w:r>
          </w:p>
        </w:tc>
        <w:tc>
          <w:tcPr>
            <w:tcW w:w="1912" w:type="dxa"/>
            <w:tcBorders>
              <w:top w:val="dotted" w:sz="4" w:space="0" w:color="7F7F7F"/>
              <w:left w:val="nil"/>
              <w:bottom w:val="dotted" w:sz="4" w:space="0" w:color="7F7F7F"/>
              <w:right w:val="nil"/>
            </w:tcBorders>
            <w:shd w:val="clear" w:color="auto" w:fill="F2F2F2"/>
          </w:tcPr>
          <w:p w14:paraId="6C7E6916" w14:textId="77777777" w:rsidR="00161187" w:rsidRPr="00117BF8" w:rsidRDefault="00161187" w:rsidP="00161187">
            <w:pPr>
              <w:pStyle w:val="TablaC"/>
              <w:jc w:val="left"/>
              <w:rPr>
                <w:rFonts w:ascii="Arial" w:hAnsi="Arial" w:cs="Arial"/>
                <w:sz w:val="18"/>
                <w:szCs w:val="18"/>
              </w:rPr>
            </w:pPr>
          </w:p>
          <w:p w14:paraId="489269A0"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OF</w:t>
            </w:r>
          </w:p>
        </w:tc>
        <w:tc>
          <w:tcPr>
            <w:tcW w:w="2611" w:type="dxa"/>
            <w:tcBorders>
              <w:top w:val="dotted" w:sz="4" w:space="0" w:color="7F7F7F"/>
              <w:left w:val="nil"/>
              <w:bottom w:val="dotted" w:sz="4" w:space="0" w:color="7F7F7F"/>
              <w:right w:val="nil"/>
            </w:tcBorders>
            <w:shd w:val="clear" w:color="auto" w:fill="F2F2F2"/>
            <w:hideMark/>
          </w:tcPr>
          <w:p w14:paraId="33EB0A0C"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Aprobación de los contratos de préstamo y garantía por parte del Directorio OF</w:t>
            </w:r>
          </w:p>
        </w:tc>
      </w:tr>
      <w:tr w:rsidR="00161187" w:rsidRPr="00593C9A" w14:paraId="664BA9AC" w14:textId="77777777" w:rsidTr="00161187">
        <w:tc>
          <w:tcPr>
            <w:tcW w:w="0" w:type="auto"/>
            <w:vMerge/>
            <w:tcBorders>
              <w:top w:val="dotted" w:sz="4" w:space="0" w:color="7F7F7F"/>
              <w:left w:val="nil"/>
              <w:bottom w:val="dotted" w:sz="4" w:space="0" w:color="7F7F7F"/>
              <w:right w:val="single" w:sz="4" w:space="0" w:color="7F7F7F"/>
            </w:tcBorders>
            <w:vAlign w:val="center"/>
            <w:hideMark/>
          </w:tcPr>
          <w:p w14:paraId="5D1FB0E1" w14:textId="77777777" w:rsidR="00161187" w:rsidRPr="00117BF8" w:rsidRDefault="00161187" w:rsidP="00161187">
            <w:pPr>
              <w:pStyle w:val="TablaC"/>
              <w:jc w:val="left"/>
              <w:rPr>
                <w:rFonts w:ascii="Arial" w:hAnsi="Arial" w:cs="Arial"/>
                <w:sz w:val="18"/>
                <w:szCs w:val="18"/>
                <w:lang w:val="es-ES_tradnl"/>
              </w:rPr>
            </w:pPr>
          </w:p>
        </w:tc>
        <w:tc>
          <w:tcPr>
            <w:tcW w:w="2157" w:type="dxa"/>
            <w:tcBorders>
              <w:top w:val="dotted" w:sz="4" w:space="0" w:color="7F7F7F"/>
              <w:left w:val="nil"/>
              <w:bottom w:val="dotted" w:sz="4" w:space="0" w:color="7F7F7F"/>
              <w:right w:val="nil"/>
            </w:tcBorders>
            <w:shd w:val="clear" w:color="auto" w:fill="F2F2F2"/>
            <w:vAlign w:val="center"/>
            <w:hideMark/>
          </w:tcPr>
          <w:p w14:paraId="23D17EA8"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3.1-Aprobación Provincial del Contrato de Préstamo</w:t>
            </w:r>
          </w:p>
        </w:tc>
        <w:tc>
          <w:tcPr>
            <w:tcW w:w="1912" w:type="dxa"/>
            <w:tcBorders>
              <w:top w:val="dotted" w:sz="4" w:space="0" w:color="7F7F7F"/>
              <w:left w:val="nil"/>
              <w:bottom w:val="dotted" w:sz="4" w:space="0" w:color="7F7F7F"/>
              <w:right w:val="nil"/>
            </w:tcBorders>
            <w:shd w:val="clear" w:color="auto" w:fill="F2F2F2"/>
          </w:tcPr>
          <w:p w14:paraId="36F4C17B"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ME-SSF</w:t>
            </w:r>
          </w:p>
          <w:p w14:paraId="66AF6C57"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Organismos de Control PBA</w:t>
            </w:r>
          </w:p>
          <w:p w14:paraId="72DC2B95"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ME- Ministro</w:t>
            </w:r>
          </w:p>
        </w:tc>
        <w:tc>
          <w:tcPr>
            <w:tcW w:w="2611" w:type="dxa"/>
            <w:tcBorders>
              <w:top w:val="dotted" w:sz="4" w:space="0" w:color="7F7F7F"/>
              <w:left w:val="nil"/>
              <w:bottom w:val="dotted" w:sz="4" w:space="0" w:color="7F7F7F"/>
              <w:right w:val="nil"/>
            </w:tcBorders>
            <w:shd w:val="clear" w:color="auto" w:fill="F2F2F2"/>
            <w:hideMark/>
          </w:tcPr>
          <w:p w14:paraId="0380D524"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 xml:space="preserve">-Autorización de endeudamiento por Legislatura </w:t>
            </w:r>
          </w:p>
          <w:p w14:paraId="007D69AC"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-Resolución ME autorizando firma de contratos de Préstamo y Contragarantía</w:t>
            </w:r>
          </w:p>
        </w:tc>
      </w:tr>
      <w:tr w:rsidR="00161187" w:rsidRPr="00593C9A" w14:paraId="19947C01" w14:textId="77777777" w:rsidTr="00161187">
        <w:trPr>
          <w:trHeight w:val="890"/>
        </w:trPr>
        <w:tc>
          <w:tcPr>
            <w:tcW w:w="0" w:type="auto"/>
            <w:vMerge/>
            <w:tcBorders>
              <w:top w:val="dotted" w:sz="4" w:space="0" w:color="7F7F7F"/>
              <w:left w:val="nil"/>
              <w:bottom w:val="dotted" w:sz="4" w:space="0" w:color="7F7F7F"/>
              <w:right w:val="single" w:sz="4" w:space="0" w:color="7F7F7F"/>
            </w:tcBorders>
            <w:vAlign w:val="center"/>
            <w:hideMark/>
          </w:tcPr>
          <w:p w14:paraId="7FB9228B" w14:textId="77777777" w:rsidR="00161187" w:rsidRPr="00117BF8" w:rsidRDefault="00161187" w:rsidP="00161187">
            <w:pPr>
              <w:pStyle w:val="TablaC"/>
              <w:jc w:val="left"/>
              <w:rPr>
                <w:rFonts w:ascii="Arial" w:hAnsi="Arial" w:cs="Arial"/>
                <w:sz w:val="18"/>
                <w:szCs w:val="18"/>
                <w:lang w:val="es-ES_tradnl"/>
              </w:rPr>
            </w:pPr>
          </w:p>
        </w:tc>
        <w:tc>
          <w:tcPr>
            <w:tcW w:w="2157" w:type="dxa"/>
            <w:tcBorders>
              <w:top w:val="dotted" w:sz="4" w:space="0" w:color="7F7F7F"/>
              <w:left w:val="nil"/>
              <w:bottom w:val="dotted" w:sz="4" w:space="0" w:color="7F7F7F"/>
              <w:right w:val="nil"/>
            </w:tcBorders>
            <w:shd w:val="clear" w:color="auto" w:fill="F2F2F2"/>
            <w:hideMark/>
          </w:tcPr>
          <w:p w14:paraId="7C6F2BD9"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3.2-Autorización de la operación ante el Gobierno Nacional</w:t>
            </w:r>
          </w:p>
        </w:tc>
        <w:tc>
          <w:tcPr>
            <w:tcW w:w="1912" w:type="dxa"/>
            <w:tcBorders>
              <w:top w:val="dotted" w:sz="4" w:space="0" w:color="7F7F7F"/>
              <w:left w:val="nil"/>
              <w:bottom w:val="dotted" w:sz="4" w:space="0" w:color="7F7F7F"/>
              <w:right w:val="nil"/>
            </w:tcBorders>
            <w:shd w:val="clear" w:color="auto" w:fill="F2F2F2"/>
            <w:hideMark/>
          </w:tcPr>
          <w:p w14:paraId="4FF21FB0"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ME-SSF</w:t>
            </w:r>
          </w:p>
          <w:p w14:paraId="16B68685"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 xml:space="preserve">MF-Nación </w:t>
            </w:r>
          </w:p>
          <w:p w14:paraId="73535F26"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MH-Nación</w:t>
            </w:r>
          </w:p>
          <w:p w14:paraId="607635E8" w14:textId="77777777" w:rsidR="00161187" w:rsidRPr="00117BF8" w:rsidRDefault="00161187" w:rsidP="00104ACF">
            <w:pPr>
              <w:pStyle w:val="TablaC"/>
              <w:jc w:val="left"/>
              <w:rPr>
                <w:rFonts w:ascii="Arial" w:hAnsi="Arial" w:cs="Arial"/>
                <w:sz w:val="18"/>
                <w:szCs w:val="18"/>
              </w:rPr>
            </w:pPr>
            <w:r w:rsidRPr="00117BF8">
              <w:rPr>
                <w:rFonts w:ascii="Arial" w:hAnsi="Arial" w:cs="Arial"/>
                <w:sz w:val="18"/>
                <w:szCs w:val="18"/>
              </w:rPr>
              <w:t>MIOy</w:t>
            </w:r>
            <w:r w:rsidR="00104ACF" w:rsidRPr="00117BF8">
              <w:rPr>
                <w:rFonts w:ascii="Arial" w:hAnsi="Arial" w:cs="Arial"/>
                <w:sz w:val="18"/>
                <w:szCs w:val="18"/>
              </w:rPr>
              <w:t>V</w:t>
            </w:r>
            <w:r w:rsidRPr="00117BF8">
              <w:rPr>
                <w:rFonts w:ascii="Arial" w:hAnsi="Arial" w:cs="Arial"/>
                <w:sz w:val="18"/>
                <w:szCs w:val="18"/>
              </w:rPr>
              <w:t>-Nación</w:t>
            </w:r>
          </w:p>
        </w:tc>
        <w:tc>
          <w:tcPr>
            <w:tcW w:w="2611" w:type="dxa"/>
            <w:tcBorders>
              <w:top w:val="dotted" w:sz="4" w:space="0" w:color="7F7F7F"/>
              <w:left w:val="nil"/>
              <w:bottom w:val="dotted" w:sz="4" w:space="0" w:color="7F7F7F"/>
              <w:right w:val="nil"/>
            </w:tcBorders>
            <w:shd w:val="clear" w:color="auto" w:fill="F2F2F2"/>
            <w:hideMark/>
          </w:tcPr>
          <w:p w14:paraId="31FEDDEC"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Decreto Nacional para la firma del Contratos de Garantía y Contragarantía</w:t>
            </w:r>
          </w:p>
        </w:tc>
      </w:tr>
      <w:tr w:rsidR="00161187" w:rsidRPr="00593C9A" w14:paraId="151CB5F0" w14:textId="77777777" w:rsidTr="00161187">
        <w:tc>
          <w:tcPr>
            <w:tcW w:w="0" w:type="auto"/>
            <w:vMerge/>
            <w:tcBorders>
              <w:top w:val="dotted" w:sz="4" w:space="0" w:color="7F7F7F"/>
              <w:left w:val="nil"/>
              <w:bottom w:val="dotted" w:sz="4" w:space="0" w:color="7F7F7F"/>
              <w:right w:val="single" w:sz="4" w:space="0" w:color="7F7F7F"/>
            </w:tcBorders>
            <w:vAlign w:val="center"/>
            <w:hideMark/>
          </w:tcPr>
          <w:p w14:paraId="706600F6" w14:textId="77777777" w:rsidR="00161187" w:rsidRPr="00117BF8" w:rsidRDefault="00161187" w:rsidP="00161187">
            <w:pPr>
              <w:pStyle w:val="TablaC"/>
              <w:jc w:val="left"/>
              <w:rPr>
                <w:rFonts w:ascii="Arial" w:hAnsi="Arial" w:cs="Arial"/>
                <w:sz w:val="18"/>
                <w:szCs w:val="18"/>
                <w:lang w:val="es-ES_tradnl"/>
              </w:rPr>
            </w:pPr>
          </w:p>
        </w:tc>
        <w:tc>
          <w:tcPr>
            <w:tcW w:w="2157" w:type="dxa"/>
            <w:tcBorders>
              <w:top w:val="dotted" w:sz="4" w:space="0" w:color="7F7F7F"/>
              <w:left w:val="nil"/>
              <w:bottom w:val="dotted" w:sz="4" w:space="0" w:color="7F7F7F"/>
              <w:right w:val="nil"/>
            </w:tcBorders>
            <w:shd w:val="clear" w:color="auto" w:fill="F2F2F2"/>
            <w:hideMark/>
          </w:tcPr>
          <w:p w14:paraId="143FCBF7"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 xml:space="preserve">3.3-Firma del Contrato de Préstamo y del Contrato de Contragarantía </w:t>
            </w:r>
          </w:p>
        </w:tc>
        <w:tc>
          <w:tcPr>
            <w:tcW w:w="1912" w:type="dxa"/>
            <w:tcBorders>
              <w:top w:val="dotted" w:sz="4" w:space="0" w:color="7F7F7F"/>
              <w:left w:val="nil"/>
              <w:bottom w:val="dotted" w:sz="4" w:space="0" w:color="7F7F7F"/>
              <w:right w:val="nil"/>
            </w:tcBorders>
            <w:shd w:val="clear" w:color="auto" w:fill="F2F2F2"/>
            <w:vAlign w:val="center"/>
            <w:hideMark/>
          </w:tcPr>
          <w:p w14:paraId="6E807A1A"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ME-SSF</w:t>
            </w:r>
          </w:p>
          <w:p w14:paraId="51D91A33"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 xml:space="preserve">MF-Nación </w:t>
            </w:r>
          </w:p>
          <w:p w14:paraId="10CEFFF4"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OF</w:t>
            </w:r>
          </w:p>
        </w:tc>
        <w:tc>
          <w:tcPr>
            <w:tcW w:w="2611" w:type="dxa"/>
            <w:tcBorders>
              <w:top w:val="dotted" w:sz="4" w:space="0" w:color="7F7F7F"/>
              <w:left w:val="nil"/>
              <w:bottom w:val="dotted" w:sz="4" w:space="0" w:color="7F7F7F"/>
              <w:right w:val="nil"/>
            </w:tcBorders>
            <w:shd w:val="clear" w:color="auto" w:fill="F2F2F2"/>
            <w:vAlign w:val="center"/>
            <w:hideMark/>
          </w:tcPr>
          <w:p w14:paraId="703DFCEB"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Contratos de Préstamo y Garantía Firmados</w:t>
            </w:r>
          </w:p>
        </w:tc>
      </w:tr>
      <w:tr w:rsidR="00161187" w:rsidRPr="00593C9A" w14:paraId="12D1D9DD" w14:textId="77777777" w:rsidTr="00161187">
        <w:tc>
          <w:tcPr>
            <w:tcW w:w="1825" w:type="dxa"/>
            <w:tcBorders>
              <w:top w:val="dotted" w:sz="4" w:space="0" w:color="7F7F7F"/>
              <w:left w:val="nil"/>
              <w:bottom w:val="single" w:sz="4" w:space="0" w:color="auto"/>
              <w:right w:val="single" w:sz="4" w:space="0" w:color="7F7F7F"/>
            </w:tcBorders>
          </w:tcPr>
          <w:p w14:paraId="097C87B1"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ETAPA 4</w:t>
            </w:r>
          </w:p>
          <w:p w14:paraId="096E3A11" w14:textId="77777777" w:rsidR="00161187" w:rsidRPr="00117BF8" w:rsidRDefault="00161187" w:rsidP="00161187">
            <w:pPr>
              <w:pStyle w:val="TablaC"/>
              <w:jc w:val="left"/>
              <w:rPr>
                <w:rFonts w:ascii="Arial" w:hAnsi="Arial" w:cs="Arial"/>
                <w:sz w:val="18"/>
                <w:szCs w:val="18"/>
              </w:rPr>
            </w:pPr>
          </w:p>
          <w:p w14:paraId="64B64A75" w14:textId="77777777" w:rsidR="00161187" w:rsidRPr="00117BF8" w:rsidRDefault="00161187" w:rsidP="00444838">
            <w:pPr>
              <w:pStyle w:val="TablaC"/>
              <w:jc w:val="left"/>
              <w:rPr>
                <w:rFonts w:ascii="Arial" w:hAnsi="Arial" w:cs="Arial"/>
                <w:sz w:val="18"/>
                <w:szCs w:val="18"/>
              </w:rPr>
            </w:pPr>
            <w:r w:rsidRPr="00117BF8">
              <w:rPr>
                <w:rFonts w:ascii="Arial" w:hAnsi="Arial" w:cs="Arial"/>
                <w:sz w:val="18"/>
                <w:szCs w:val="18"/>
              </w:rPr>
              <w:t>EFECTIVIDAD DEL PRÉSTAMO</w:t>
            </w:r>
          </w:p>
        </w:tc>
        <w:tc>
          <w:tcPr>
            <w:tcW w:w="2157" w:type="dxa"/>
            <w:tcBorders>
              <w:top w:val="dotted" w:sz="4" w:space="0" w:color="7F7F7F"/>
              <w:left w:val="nil"/>
              <w:bottom w:val="single" w:sz="4" w:space="0" w:color="auto"/>
              <w:right w:val="nil"/>
            </w:tcBorders>
            <w:vAlign w:val="center"/>
            <w:hideMark/>
          </w:tcPr>
          <w:p w14:paraId="405351C1"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4-Efectividad del Préstamo</w:t>
            </w:r>
          </w:p>
        </w:tc>
        <w:tc>
          <w:tcPr>
            <w:tcW w:w="1912" w:type="dxa"/>
            <w:tcBorders>
              <w:top w:val="dotted" w:sz="4" w:space="0" w:color="7F7F7F"/>
              <w:left w:val="nil"/>
              <w:bottom w:val="single" w:sz="4" w:space="0" w:color="auto"/>
              <w:right w:val="nil"/>
            </w:tcBorders>
            <w:vAlign w:val="center"/>
            <w:hideMark/>
          </w:tcPr>
          <w:p w14:paraId="57743E7D"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ME-SSF</w:t>
            </w:r>
          </w:p>
          <w:p w14:paraId="218E3866"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Repartición PBA</w:t>
            </w:r>
          </w:p>
        </w:tc>
        <w:tc>
          <w:tcPr>
            <w:tcW w:w="2611" w:type="dxa"/>
            <w:tcBorders>
              <w:top w:val="dotted" w:sz="4" w:space="0" w:color="7F7F7F"/>
              <w:left w:val="nil"/>
              <w:bottom w:val="single" w:sz="4" w:space="0" w:color="auto"/>
              <w:right w:val="nil"/>
            </w:tcBorders>
            <w:hideMark/>
          </w:tcPr>
          <w:p w14:paraId="6816659D"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Dictamen Jurídico</w:t>
            </w:r>
          </w:p>
          <w:p w14:paraId="3E451998"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Reglamento Operativo</w:t>
            </w:r>
          </w:p>
          <w:p w14:paraId="7BF3A2B9" w14:textId="77777777" w:rsidR="00161187" w:rsidRPr="00117BF8" w:rsidRDefault="00161187" w:rsidP="00161187">
            <w:pPr>
              <w:pStyle w:val="TablaC"/>
              <w:jc w:val="left"/>
              <w:rPr>
                <w:rFonts w:ascii="Arial" w:hAnsi="Arial" w:cs="Arial"/>
                <w:sz w:val="18"/>
                <w:szCs w:val="18"/>
                <w:lang w:val="es-ES_tradnl"/>
              </w:rPr>
            </w:pPr>
            <w:r w:rsidRPr="00117BF8">
              <w:rPr>
                <w:rFonts w:ascii="Arial" w:hAnsi="Arial" w:cs="Arial"/>
                <w:sz w:val="18"/>
                <w:szCs w:val="18"/>
                <w:lang w:val="es-ES_tradnl"/>
              </w:rPr>
              <w:t xml:space="preserve">Informe Inicial </w:t>
            </w:r>
          </w:p>
          <w:p w14:paraId="4CB6907D" w14:textId="77777777" w:rsidR="00161187" w:rsidRPr="00117BF8" w:rsidRDefault="00161187" w:rsidP="00161187">
            <w:pPr>
              <w:pStyle w:val="TablaC"/>
              <w:jc w:val="left"/>
              <w:rPr>
                <w:rFonts w:ascii="Arial" w:hAnsi="Arial" w:cs="Arial"/>
                <w:sz w:val="18"/>
                <w:szCs w:val="18"/>
              </w:rPr>
            </w:pPr>
            <w:r w:rsidRPr="00117BF8">
              <w:rPr>
                <w:rFonts w:ascii="Arial" w:hAnsi="Arial" w:cs="Arial"/>
                <w:sz w:val="18"/>
                <w:szCs w:val="18"/>
              </w:rPr>
              <w:t>Cuenta especial y Firmantes</w:t>
            </w:r>
          </w:p>
        </w:tc>
      </w:tr>
    </w:tbl>
    <w:p w14:paraId="179FAD95" w14:textId="77777777" w:rsidR="00161187" w:rsidRPr="00117BF8" w:rsidRDefault="00104ACF" w:rsidP="00104ACF">
      <w:pPr>
        <w:pStyle w:val="Hfuente"/>
        <w:rPr>
          <w:rFonts w:ascii="Arial" w:hAnsi="Arial" w:cs="Arial"/>
          <w:sz w:val="18"/>
          <w:szCs w:val="18"/>
          <w:lang w:val="es-AR" w:eastAsia="en-US"/>
        </w:rPr>
      </w:pPr>
      <w:r w:rsidRPr="00117BF8">
        <w:rPr>
          <w:rFonts w:ascii="Arial" w:hAnsi="Arial" w:cs="Arial"/>
          <w:sz w:val="18"/>
          <w:szCs w:val="18"/>
        </w:rPr>
        <w:t xml:space="preserve">Fuente </w:t>
      </w:r>
      <w:r w:rsidR="005E50B9" w:rsidRPr="00117BF8">
        <w:rPr>
          <w:rFonts w:ascii="Arial" w:hAnsi="Arial" w:cs="Arial"/>
          <w:sz w:val="18"/>
          <w:szCs w:val="18"/>
        </w:rPr>
        <w:t>Dirección Provincial de Organismos Multilaterales y Financiamiento Bilateral. Siglas:</w:t>
      </w:r>
      <w:r w:rsidR="005E50B9" w:rsidRPr="00593C9A">
        <w:rPr>
          <w:rFonts w:ascii="Arial" w:hAnsi="Arial" w:cs="Arial"/>
          <w:sz w:val="18"/>
          <w:szCs w:val="18"/>
          <w:lang w:val="es-AR"/>
        </w:rPr>
        <w:t xml:space="preserve"> </w:t>
      </w:r>
      <w:r w:rsidRPr="00117BF8">
        <w:rPr>
          <w:rFonts w:ascii="Arial" w:hAnsi="Arial" w:cs="Arial"/>
          <w:b/>
          <w:sz w:val="18"/>
          <w:szCs w:val="18"/>
          <w:lang w:val="es-AR"/>
        </w:rPr>
        <w:t>JGM</w:t>
      </w:r>
      <w:r w:rsidRPr="00117BF8">
        <w:rPr>
          <w:rFonts w:ascii="Arial" w:hAnsi="Arial" w:cs="Arial"/>
          <w:b/>
          <w:sz w:val="18"/>
          <w:szCs w:val="18"/>
          <w:lang w:val="es-ES_tradnl" w:eastAsia="en-US"/>
        </w:rPr>
        <w:t xml:space="preserve">: </w:t>
      </w:r>
      <w:r w:rsidRPr="00117BF8">
        <w:rPr>
          <w:rFonts w:ascii="Arial" w:hAnsi="Arial" w:cs="Arial"/>
          <w:sz w:val="18"/>
          <w:szCs w:val="18"/>
          <w:lang w:val="es-AR"/>
        </w:rPr>
        <w:t>Jefatura de Gabinete de Ministros</w:t>
      </w:r>
      <w:r w:rsidRPr="00117BF8">
        <w:rPr>
          <w:rFonts w:ascii="Arial" w:hAnsi="Arial" w:cs="Arial"/>
          <w:sz w:val="18"/>
          <w:szCs w:val="18"/>
          <w:lang w:val="es-AR" w:eastAsia="en-US"/>
        </w:rPr>
        <w:t xml:space="preserve">; </w:t>
      </w:r>
      <w:r w:rsidR="00280473" w:rsidRPr="00117BF8">
        <w:rPr>
          <w:rFonts w:ascii="Arial" w:hAnsi="Arial" w:cs="Arial"/>
          <w:b/>
          <w:sz w:val="18"/>
          <w:szCs w:val="18"/>
          <w:lang w:val="es-AR"/>
        </w:rPr>
        <w:t>ME:</w:t>
      </w:r>
      <w:r w:rsidRPr="00117BF8">
        <w:rPr>
          <w:rFonts w:ascii="Arial" w:hAnsi="Arial" w:cs="Arial"/>
          <w:b/>
          <w:sz w:val="18"/>
          <w:szCs w:val="18"/>
          <w:lang w:val="es-AR" w:eastAsia="en-US"/>
        </w:rPr>
        <w:t xml:space="preserve"> </w:t>
      </w:r>
      <w:r w:rsidRPr="00117BF8">
        <w:rPr>
          <w:rFonts w:ascii="Arial" w:hAnsi="Arial" w:cs="Arial"/>
          <w:sz w:val="18"/>
          <w:szCs w:val="18"/>
          <w:lang w:val="es-AR"/>
        </w:rPr>
        <w:t>Ministerio de Economía de PBA</w:t>
      </w:r>
      <w:r w:rsidRPr="00117BF8">
        <w:rPr>
          <w:rFonts w:ascii="Arial" w:hAnsi="Arial" w:cs="Arial"/>
          <w:sz w:val="18"/>
          <w:szCs w:val="18"/>
          <w:lang w:val="es-AR" w:eastAsia="en-US"/>
        </w:rPr>
        <w:t xml:space="preserve">; </w:t>
      </w:r>
      <w:r w:rsidRPr="00117BF8">
        <w:rPr>
          <w:rFonts w:ascii="Arial" w:hAnsi="Arial" w:cs="Arial"/>
          <w:b/>
          <w:sz w:val="18"/>
          <w:szCs w:val="18"/>
          <w:lang w:val="es-AR"/>
        </w:rPr>
        <w:t>MF</w:t>
      </w:r>
      <w:r w:rsidRPr="00117BF8">
        <w:rPr>
          <w:rFonts w:ascii="Arial" w:hAnsi="Arial" w:cs="Arial"/>
          <w:b/>
          <w:sz w:val="18"/>
          <w:szCs w:val="18"/>
          <w:lang w:val="es-AR" w:eastAsia="en-US"/>
        </w:rPr>
        <w:t xml:space="preserve">: </w:t>
      </w:r>
      <w:r w:rsidRPr="00117BF8">
        <w:rPr>
          <w:rFonts w:ascii="Arial" w:hAnsi="Arial" w:cs="Arial"/>
          <w:sz w:val="18"/>
          <w:szCs w:val="18"/>
          <w:lang w:val="es-AR"/>
        </w:rPr>
        <w:t>Ministerio de Finanzas de la Nación</w:t>
      </w:r>
      <w:r w:rsidRPr="00117BF8">
        <w:rPr>
          <w:rFonts w:ascii="Arial" w:hAnsi="Arial" w:cs="Arial"/>
          <w:sz w:val="18"/>
          <w:szCs w:val="18"/>
          <w:lang w:val="es-AR" w:eastAsia="en-US"/>
        </w:rPr>
        <w:t xml:space="preserve">; </w:t>
      </w:r>
      <w:r w:rsidR="00280473" w:rsidRPr="00117BF8">
        <w:rPr>
          <w:rFonts w:ascii="Arial" w:hAnsi="Arial" w:cs="Arial"/>
          <w:b/>
          <w:sz w:val="18"/>
          <w:szCs w:val="18"/>
          <w:lang w:val="es-AR"/>
        </w:rPr>
        <w:t>MH:</w:t>
      </w:r>
      <w:r w:rsidRPr="00117BF8">
        <w:rPr>
          <w:rFonts w:ascii="Arial" w:hAnsi="Arial" w:cs="Arial"/>
          <w:b/>
          <w:sz w:val="18"/>
          <w:szCs w:val="18"/>
          <w:lang w:val="es-AR" w:eastAsia="en-US"/>
        </w:rPr>
        <w:t xml:space="preserve"> </w:t>
      </w:r>
      <w:r w:rsidRPr="00117BF8">
        <w:rPr>
          <w:rFonts w:ascii="Arial" w:hAnsi="Arial" w:cs="Arial"/>
          <w:sz w:val="18"/>
          <w:szCs w:val="18"/>
          <w:lang w:val="es-AR"/>
        </w:rPr>
        <w:t>Ministerio de Hacienda de la Nación</w:t>
      </w:r>
      <w:r w:rsidRPr="00117BF8">
        <w:rPr>
          <w:rFonts w:ascii="Arial" w:hAnsi="Arial" w:cs="Arial"/>
          <w:sz w:val="18"/>
          <w:szCs w:val="18"/>
          <w:lang w:val="es-AR" w:eastAsia="en-US"/>
        </w:rPr>
        <w:t xml:space="preserve">; </w:t>
      </w:r>
      <w:r w:rsidRPr="00117BF8">
        <w:rPr>
          <w:rFonts w:ascii="Arial" w:hAnsi="Arial" w:cs="Arial"/>
          <w:b/>
          <w:sz w:val="18"/>
          <w:szCs w:val="18"/>
          <w:lang w:val="es-AR"/>
        </w:rPr>
        <w:t>MIOPyV</w:t>
      </w:r>
      <w:r w:rsidRPr="00117BF8">
        <w:rPr>
          <w:rFonts w:ascii="Arial" w:hAnsi="Arial" w:cs="Arial"/>
          <w:b/>
          <w:sz w:val="18"/>
          <w:szCs w:val="18"/>
          <w:lang w:val="es-AR" w:eastAsia="en-US"/>
        </w:rPr>
        <w:t xml:space="preserve">: </w:t>
      </w:r>
      <w:r w:rsidRPr="00117BF8">
        <w:rPr>
          <w:rFonts w:ascii="Arial" w:hAnsi="Arial" w:cs="Arial"/>
          <w:sz w:val="18"/>
          <w:szCs w:val="18"/>
          <w:lang w:val="es-AR"/>
        </w:rPr>
        <w:t xml:space="preserve">Ministerio del Interior, Obras Públicas y Vivienda de la </w:t>
      </w:r>
      <w:r w:rsidR="00280473" w:rsidRPr="00117BF8">
        <w:rPr>
          <w:rFonts w:ascii="Arial" w:hAnsi="Arial" w:cs="Arial"/>
          <w:sz w:val="18"/>
          <w:szCs w:val="18"/>
          <w:lang w:val="es-AR"/>
        </w:rPr>
        <w:t>Nación;</w:t>
      </w:r>
      <w:r w:rsidRPr="00117BF8">
        <w:rPr>
          <w:rFonts w:ascii="Arial" w:hAnsi="Arial" w:cs="Arial"/>
          <w:sz w:val="18"/>
          <w:szCs w:val="18"/>
          <w:lang w:val="es-AR" w:eastAsia="en-US"/>
        </w:rPr>
        <w:t xml:space="preserve"> </w:t>
      </w:r>
      <w:r w:rsidRPr="00117BF8">
        <w:rPr>
          <w:rFonts w:ascii="Arial" w:hAnsi="Arial" w:cs="Arial"/>
          <w:b/>
          <w:sz w:val="18"/>
          <w:szCs w:val="18"/>
          <w:lang w:val="es-AR"/>
        </w:rPr>
        <w:t>OF</w:t>
      </w:r>
      <w:r w:rsidRPr="00117BF8">
        <w:rPr>
          <w:rFonts w:ascii="Arial" w:hAnsi="Arial" w:cs="Arial"/>
          <w:b/>
          <w:sz w:val="18"/>
          <w:szCs w:val="18"/>
          <w:lang w:val="es-AR" w:eastAsia="en-US"/>
        </w:rPr>
        <w:t xml:space="preserve">: </w:t>
      </w:r>
      <w:r w:rsidRPr="00117BF8">
        <w:rPr>
          <w:rFonts w:ascii="Arial" w:hAnsi="Arial" w:cs="Arial"/>
          <w:sz w:val="18"/>
          <w:szCs w:val="18"/>
          <w:lang w:val="es-AR"/>
        </w:rPr>
        <w:t>Organismo Financiador (Multilateral o Bilateral)</w:t>
      </w:r>
      <w:r w:rsidRPr="00117BF8">
        <w:rPr>
          <w:rFonts w:ascii="Arial" w:hAnsi="Arial" w:cs="Arial"/>
          <w:sz w:val="18"/>
          <w:szCs w:val="18"/>
          <w:lang w:val="es-AR" w:eastAsia="en-US"/>
        </w:rPr>
        <w:t xml:space="preserve">; </w:t>
      </w:r>
      <w:r w:rsidRPr="00117BF8">
        <w:rPr>
          <w:rFonts w:ascii="Arial" w:hAnsi="Arial" w:cs="Arial"/>
          <w:b/>
          <w:sz w:val="18"/>
          <w:szCs w:val="18"/>
        </w:rPr>
        <w:t>PBA</w:t>
      </w:r>
      <w:r w:rsidRPr="00117BF8">
        <w:rPr>
          <w:rFonts w:ascii="Arial" w:hAnsi="Arial" w:cs="Arial"/>
          <w:b/>
          <w:sz w:val="18"/>
          <w:szCs w:val="18"/>
          <w:lang w:val="es-AR" w:eastAsia="en-US"/>
        </w:rPr>
        <w:t xml:space="preserve">: </w:t>
      </w:r>
      <w:r w:rsidRPr="00117BF8">
        <w:rPr>
          <w:rFonts w:ascii="Arial" w:hAnsi="Arial" w:cs="Arial"/>
          <w:sz w:val="18"/>
          <w:szCs w:val="18"/>
          <w:lang w:val="es-AR"/>
        </w:rPr>
        <w:t>Provincia de Buenos Aires</w:t>
      </w:r>
      <w:r w:rsidRPr="00117BF8">
        <w:rPr>
          <w:rFonts w:ascii="Arial" w:hAnsi="Arial" w:cs="Arial"/>
          <w:sz w:val="18"/>
          <w:szCs w:val="18"/>
          <w:lang w:val="es-AR" w:eastAsia="en-US"/>
        </w:rPr>
        <w:t xml:space="preserve">; </w:t>
      </w:r>
      <w:r w:rsidRPr="00117BF8">
        <w:rPr>
          <w:rFonts w:ascii="Arial" w:hAnsi="Arial" w:cs="Arial"/>
          <w:b/>
          <w:sz w:val="18"/>
          <w:szCs w:val="18"/>
          <w:lang w:val="es-AR"/>
        </w:rPr>
        <w:t>PE: Poder Ejecutivo; SSF</w:t>
      </w:r>
      <w:r w:rsidRPr="00117BF8">
        <w:rPr>
          <w:rFonts w:ascii="Arial" w:hAnsi="Arial" w:cs="Arial"/>
          <w:b/>
          <w:sz w:val="18"/>
          <w:szCs w:val="18"/>
          <w:lang w:val="es-AR" w:eastAsia="en-US"/>
        </w:rPr>
        <w:t xml:space="preserve">: </w:t>
      </w:r>
      <w:r w:rsidR="00444838" w:rsidRPr="00117BF8">
        <w:rPr>
          <w:rFonts w:ascii="Arial" w:hAnsi="Arial" w:cs="Arial"/>
          <w:sz w:val="18"/>
          <w:szCs w:val="18"/>
          <w:lang w:val="es-AR"/>
        </w:rPr>
        <w:t>Subsecretaría de Fin</w:t>
      </w:r>
      <w:r w:rsidRPr="00117BF8">
        <w:rPr>
          <w:rFonts w:ascii="Arial" w:hAnsi="Arial" w:cs="Arial"/>
          <w:sz w:val="18"/>
          <w:szCs w:val="18"/>
          <w:lang w:val="es-AR"/>
        </w:rPr>
        <w:t>anzas</w:t>
      </w:r>
      <w:r w:rsidRPr="00117BF8">
        <w:rPr>
          <w:rFonts w:ascii="Arial" w:hAnsi="Arial" w:cs="Arial"/>
          <w:sz w:val="18"/>
          <w:szCs w:val="18"/>
          <w:lang w:val="es-AR" w:eastAsia="en-US"/>
        </w:rPr>
        <w:t>.</w:t>
      </w:r>
    </w:p>
    <w:bookmarkEnd w:id="138"/>
    <w:p w14:paraId="63D2ECBE" w14:textId="77777777" w:rsidR="005C42F3" w:rsidRPr="00117BF8" w:rsidRDefault="005C42F3" w:rsidP="00D2642B">
      <w:pPr>
        <w:pStyle w:val="HPUN0"/>
        <w:numPr>
          <w:ilvl w:val="0"/>
          <w:numId w:val="0"/>
        </w:numPr>
        <w:ind w:left="360" w:hanging="360"/>
        <w:rPr>
          <w:rFonts w:ascii="Arial" w:eastAsia="Calibri" w:hAnsi="Arial" w:cs="Arial"/>
          <w:sz w:val="18"/>
          <w:szCs w:val="18"/>
        </w:rPr>
      </w:pPr>
    </w:p>
    <w:p w14:paraId="41836F68" w14:textId="611978D5" w:rsidR="00480639" w:rsidRPr="00117BF8" w:rsidRDefault="00F77F02" w:rsidP="00117BF8">
      <w:pPr>
        <w:pStyle w:val="Heading1"/>
        <w:spacing w:before="0" w:after="180"/>
        <w:rPr>
          <w:rFonts w:ascii="Arial" w:eastAsia="Calibri" w:hAnsi="Arial" w:cs="Arial"/>
          <w:sz w:val="22"/>
          <w:szCs w:val="22"/>
        </w:rPr>
      </w:pPr>
      <w:bookmarkStart w:id="140" w:name="_Toc494040346"/>
      <w:bookmarkStart w:id="141" w:name="_Toc494040347"/>
      <w:bookmarkStart w:id="142" w:name="_Toc494040348"/>
      <w:bookmarkStart w:id="143" w:name="_Toc494040349"/>
      <w:bookmarkEnd w:id="140"/>
      <w:bookmarkEnd w:id="141"/>
      <w:bookmarkEnd w:id="142"/>
      <w:bookmarkEnd w:id="143"/>
      <w:r w:rsidRPr="00117BF8">
        <w:rPr>
          <w:rFonts w:ascii="Arial" w:eastAsia="Calibri" w:hAnsi="Arial" w:cs="Arial"/>
          <w:sz w:val="18"/>
          <w:szCs w:val="18"/>
        </w:rPr>
        <w:br w:type="page"/>
      </w:r>
      <w:bookmarkStart w:id="144" w:name="_Toc494040350"/>
      <w:r w:rsidRPr="00117BF8">
        <w:rPr>
          <w:rFonts w:ascii="Arial" w:eastAsia="Calibri" w:hAnsi="Arial" w:cs="Arial"/>
          <w:sz w:val="22"/>
          <w:szCs w:val="22"/>
        </w:rPr>
        <w:t xml:space="preserve">Anexo I – Información </w:t>
      </w:r>
      <w:r w:rsidR="00E401C3" w:rsidRPr="00117BF8">
        <w:rPr>
          <w:rFonts w:ascii="Arial" w:eastAsia="Calibri" w:hAnsi="Arial" w:cs="Arial"/>
          <w:sz w:val="22"/>
          <w:szCs w:val="22"/>
        </w:rPr>
        <w:t>Sobre las operaciones</w:t>
      </w:r>
      <w:bookmarkEnd w:id="144"/>
    </w:p>
    <w:p w14:paraId="6A55C517" w14:textId="77777777" w:rsidR="00480639" w:rsidRPr="00117BF8" w:rsidRDefault="00480639" w:rsidP="00117BF8">
      <w:pPr>
        <w:pStyle w:val="Heading2"/>
        <w:spacing w:after="180"/>
        <w:rPr>
          <w:rFonts w:ascii="Arial" w:eastAsia="Calibri" w:hAnsi="Arial" w:cs="Arial"/>
          <w:sz w:val="22"/>
          <w:szCs w:val="22"/>
        </w:rPr>
      </w:pPr>
      <w:bookmarkStart w:id="145" w:name="_Toc494040351"/>
      <w:r w:rsidRPr="00117BF8">
        <w:rPr>
          <w:rFonts w:ascii="Arial" w:eastAsia="Calibri" w:hAnsi="Arial" w:cs="Arial"/>
          <w:sz w:val="22"/>
          <w:szCs w:val="22"/>
        </w:rPr>
        <w:t>Préstamo Ar-L127</w:t>
      </w:r>
      <w:r w:rsidR="0022036C" w:rsidRPr="00117BF8">
        <w:rPr>
          <w:rFonts w:ascii="Arial" w:eastAsia="Calibri" w:hAnsi="Arial" w:cs="Arial"/>
          <w:sz w:val="22"/>
          <w:szCs w:val="22"/>
        </w:rPr>
        <w:t>2</w:t>
      </w:r>
      <w:bookmarkEnd w:id="145"/>
    </w:p>
    <w:p w14:paraId="7776FB2A" w14:textId="77777777" w:rsidR="0022036C" w:rsidRPr="00117BF8" w:rsidRDefault="0022036C" w:rsidP="0022036C">
      <w:pPr>
        <w:pStyle w:val="hsa"/>
        <w:rPr>
          <w:rFonts w:ascii="Arial" w:eastAsia="Calibri" w:hAnsi="Arial" w:cs="Arial"/>
          <w:sz w:val="22"/>
          <w:szCs w:val="22"/>
        </w:rPr>
      </w:pPr>
      <w:r w:rsidRPr="00117BF8">
        <w:rPr>
          <w:rFonts w:ascii="Arial" w:eastAsia="Calibri" w:hAnsi="Arial" w:cs="Arial"/>
          <w:sz w:val="22"/>
          <w:szCs w:val="22"/>
        </w:rPr>
        <w:t>Desembolsos</w:t>
      </w:r>
    </w:p>
    <w:tbl>
      <w:tblPr>
        <w:tblW w:w="6000" w:type="dxa"/>
        <w:tblInd w:w="4" w:type="dxa"/>
        <w:tblCellMar>
          <w:left w:w="0" w:type="dxa"/>
          <w:right w:w="0" w:type="dxa"/>
        </w:tblCellMar>
        <w:tblLook w:val="04A0" w:firstRow="1" w:lastRow="0" w:firstColumn="1" w:lastColumn="0" w:noHBand="0" w:noVBand="1"/>
      </w:tblPr>
      <w:tblGrid>
        <w:gridCol w:w="1195"/>
        <w:gridCol w:w="1195"/>
        <w:gridCol w:w="1195"/>
        <w:gridCol w:w="1195"/>
        <w:gridCol w:w="1195"/>
        <w:gridCol w:w="1318"/>
      </w:tblGrid>
      <w:tr w:rsidR="0022036C" w:rsidRPr="004E6455" w14:paraId="33C9978C" w14:textId="77777777" w:rsidTr="0022036C">
        <w:trPr>
          <w:trHeight w:val="300"/>
        </w:trPr>
        <w:tc>
          <w:tcPr>
            <w:tcW w:w="6000" w:type="dxa"/>
            <w:gridSpan w:val="6"/>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2A8E651B" w14:textId="77777777" w:rsidR="0022036C" w:rsidRPr="00117BF8" w:rsidRDefault="0022036C">
            <w:pPr>
              <w:pStyle w:val="NormalWeb"/>
              <w:spacing w:before="0" w:beforeAutospacing="0" w:after="0" w:afterAutospacing="0"/>
              <w:jc w:val="center"/>
              <w:rPr>
                <w:rFonts w:ascii="Arial" w:hAnsi="Arial" w:cs="Arial"/>
                <w:sz w:val="22"/>
                <w:szCs w:val="22"/>
              </w:rPr>
            </w:pPr>
            <w:r w:rsidRPr="00117BF8">
              <w:rPr>
                <w:rFonts w:ascii="Arial" w:hAnsi="Arial" w:cs="Arial"/>
                <w:b/>
                <w:bCs/>
                <w:color w:val="000000"/>
                <w:sz w:val="22"/>
                <w:szCs w:val="22"/>
                <w:lang w:val="pt-BR"/>
              </w:rPr>
              <w:t>Cronograma de desembolsos  AR-L1272 – Cifras en USD</w:t>
            </w:r>
          </w:p>
        </w:tc>
      </w:tr>
      <w:tr w:rsidR="0022036C" w:rsidRPr="004E6455" w14:paraId="2AF947FE" w14:textId="77777777" w:rsidTr="0022036C">
        <w:trPr>
          <w:trHeight w:val="288"/>
        </w:trPr>
        <w:tc>
          <w:tcPr>
            <w:tcW w:w="9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C7AE6C" w14:textId="77777777" w:rsidR="0022036C" w:rsidRPr="00117BF8" w:rsidRDefault="0022036C">
            <w:pPr>
              <w:pStyle w:val="NormalWeb"/>
              <w:spacing w:before="0" w:beforeAutospacing="0" w:after="0" w:afterAutospacing="0"/>
              <w:jc w:val="center"/>
              <w:rPr>
                <w:rFonts w:ascii="Arial" w:hAnsi="Arial" w:cs="Arial"/>
                <w:sz w:val="22"/>
                <w:szCs w:val="22"/>
              </w:rPr>
            </w:pPr>
            <w:r w:rsidRPr="00117BF8">
              <w:rPr>
                <w:rFonts w:ascii="Arial" w:hAnsi="Arial" w:cs="Arial"/>
                <w:b/>
                <w:bCs/>
                <w:color w:val="000000"/>
                <w:sz w:val="22"/>
                <w:szCs w:val="22"/>
              </w:rPr>
              <w:t>2018</w:t>
            </w:r>
          </w:p>
        </w:tc>
        <w:tc>
          <w:tcPr>
            <w:tcW w:w="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7B59E6" w14:textId="77777777" w:rsidR="0022036C" w:rsidRPr="00117BF8" w:rsidRDefault="0022036C">
            <w:pPr>
              <w:pStyle w:val="NormalWeb"/>
              <w:spacing w:before="0" w:beforeAutospacing="0" w:after="0" w:afterAutospacing="0"/>
              <w:jc w:val="center"/>
              <w:rPr>
                <w:rFonts w:ascii="Arial" w:hAnsi="Arial" w:cs="Arial"/>
                <w:sz w:val="22"/>
                <w:szCs w:val="22"/>
              </w:rPr>
            </w:pPr>
            <w:r w:rsidRPr="00117BF8">
              <w:rPr>
                <w:rFonts w:ascii="Arial" w:hAnsi="Arial" w:cs="Arial"/>
                <w:b/>
                <w:bCs/>
                <w:color w:val="000000"/>
                <w:sz w:val="22"/>
                <w:szCs w:val="22"/>
              </w:rPr>
              <w:t>2019</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349F46" w14:textId="77777777" w:rsidR="0022036C" w:rsidRPr="00117BF8" w:rsidRDefault="0022036C">
            <w:pPr>
              <w:pStyle w:val="NormalWeb"/>
              <w:spacing w:before="0" w:beforeAutospacing="0" w:after="0" w:afterAutospacing="0"/>
              <w:jc w:val="center"/>
              <w:rPr>
                <w:rFonts w:ascii="Arial" w:hAnsi="Arial" w:cs="Arial"/>
                <w:sz w:val="22"/>
                <w:szCs w:val="22"/>
              </w:rPr>
            </w:pPr>
            <w:r w:rsidRPr="00117BF8">
              <w:rPr>
                <w:rFonts w:ascii="Arial" w:hAnsi="Arial" w:cs="Arial"/>
                <w:b/>
                <w:bCs/>
                <w:color w:val="000000"/>
                <w:sz w:val="22"/>
                <w:szCs w:val="22"/>
              </w:rPr>
              <w:t>2020</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CF2EA7" w14:textId="77777777" w:rsidR="0022036C" w:rsidRPr="00117BF8" w:rsidRDefault="0022036C">
            <w:pPr>
              <w:pStyle w:val="NormalWeb"/>
              <w:spacing w:before="0" w:beforeAutospacing="0" w:after="0" w:afterAutospacing="0"/>
              <w:jc w:val="center"/>
              <w:rPr>
                <w:rFonts w:ascii="Arial" w:hAnsi="Arial" w:cs="Arial"/>
                <w:sz w:val="22"/>
                <w:szCs w:val="22"/>
              </w:rPr>
            </w:pPr>
            <w:r w:rsidRPr="00117BF8">
              <w:rPr>
                <w:rFonts w:ascii="Arial" w:hAnsi="Arial" w:cs="Arial"/>
                <w:b/>
                <w:bCs/>
                <w:color w:val="000000"/>
                <w:sz w:val="22"/>
                <w:szCs w:val="22"/>
              </w:rPr>
              <w:t>2021</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D77A3" w14:textId="77777777" w:rsidR="0022036C" w:rsidRPr="00117BF8" w:rsidRDefault="0022036C">
            <w:pPr>
              <w:pStyle w:val="NormalWeb"/>
              <w:spacing w:before="0" w:beforeAutospacing="0" w:after="0" w:afterAutospacing="0"/>
              <w:jc w:val="center"/>
              <w:rPr>
                <w:rFonts w:ascii="Arial" w:hAnsi="Arial" w:cs="Arial"/>
                <w:sz w:val="22"/>
                <w:szCs w:val="22"/>
              </w:rPr>
            </w:pPr>
            <w:r w:rsidRPr="00117BF8">
              <w:rPr>
                <w:rFonts w:ascii="Arial" w:hAnsi="Arial" w:cs="Arial"/>
                <w:b/>
                <w:bCs/>
                <w:color w:val="000000"/>
                <w:sz w:val="22"/>
                <w:szCs w:val="22"/>
              </w:rPr>
              <w:t>2022</w:t>
            </w:r>
          </w:p>
        </w:tc>
        <w:tc>
          <w:tcPr>
            <w:tcW w:w="10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23802E" w14:textId="77777777" w:rsidR="0022036C" w:rsidRPr="00117BF8" w:rsidRDefault="0022036C">
            <w:pPr>
              <w:pStyle w:val="NormalWeb"/>
              <w:spacing w:before="0" w:beforeAutospacing="0" w:after="0" w:afterAutospacing="0"/>
              <w:jc w:val="center"/>
              <w:rPr>
                <w:rFonts w:ascii="Arial" w:hAnsi="Arial" w:cs="Arial"/>
                <w:sz w:val="22"/>
                <w:szCs w:val="22"/>
              </w:rPr>
            </w:pPr>
            <w:r w:rsidRPr="00117BF8">
              <w:rPr>
                <w:rFonts w:ascii="Arial" w:hAnsi="Arial" w:cs="Arial"/>
                <w:b/>
                <w:bCs/>
                <w:color w:val="000000"/>
                <w:sz w:val="22"/>
                <w:szCs w:val="22"/>
              </w:rPr>
              <w:t>Total</w:t>
            </w:r>
          </w:p>
        </w:tc>
      </w:tr>
      <w:tr w:rsidR="0022036C" w:rsidRPr="004E6455" w14:paraId="17E6EE49" w14:textId="77777777" w:rsidTr="0022036C">
        <w:trPr>
          <w:trHeight w:val="300"/>
        </w:trPr>
        <w:tc>
          <w:tcPr>
            <w:tcW w:w="9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4BA89A" w14:textId="77777777" w:rsidR="0022036C" w:rsidRPr="00117BF8" w:rsidRDefault="0022036C">
            <w:pPr>
              <w:pStyle w:val="NormalWeb"/>
              <w:spacing w:before="0" w:beforeAutospacing="0" w:after="0" w:afterAutospacing="0"/>
              <w:jc w:val="right"/>
              <w:rPr>
                <w:rFonts w:ascii="Arial" w:hAnsi="Arial" w:cs="Arial"/>
                <w:sz w:val="22"/>
                <w:szCs w:val="22"/>
              </w:rPr>
            </w:pPr>
            <w:r w:rsidRPr="00117BF8">
              <w:rPr>
                <w:rFonts w:ascii="Arial" w:hAnsi="Arial" w:cs="Arial"/>
                <w:color w:val="000000"/>
                <w:sz w:val="22"/>
                <w:szCs w:val="22"/>
              </w:rPr>
              <w:t>2,000,000</w:t>
            </w:r>
          </w:p>
        </w:tc>
        <w:tc>
          <w:tcPr>
            <w:tcW w:w="9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FE0CE" w14:textId="77777777" w:rsidR="0022036C" w:rsidRPr="00117BF8" w:rsidRDefault="0022036C">
            <w:pPr>
              <w:pStyle w:val="NormalWeb"/>
              <w:spacing w:before="0" w:beforeAutospacing="0" w:after="0" w:afterAutospacing="0"/>
              <w:jc w:val="right"/>
              <w:rPr>
                <w:rFonts w:ascii="Arial" w:hAnsi="Arial" w:cs="Arial"/>
                <w:sz w:val="22"/>
                <w:szCs w:val="22"/>
              </w:rPr>
            </w:pPr>
            <w:r w:rsidRPr="00117BF8">
              <w:rPr>
                <w:rFonts w:ascii="Arial" w:hAnsi="Arial" w:cs="Arial"/>
                <w:color w:val="000000"/>
                <w:sz w:val="22"/>
                <w:szCs w:val="22"/>
              </w:rPr>
              <w:t>4,000,000</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B015E7" w14:textId="77777777" w:rsidR="0022036C" w:rsidRPr="00117BF8" w:rsidRDefault="0022036C">
            <w:pPr>
              <w:pStyle w:val="NormalWeb"/>
              <w:spacing w:before="0" w:beforeAutospacing="0" w:after="0" w:afterAutospacing="0"/>
              <w:jc w:val="right"/>
              <w:rPr>
                <w:rFonts w:ascii="Arial" w:hAnsi="Arial" w:cs="Arial"/>
                <w:sz w:val="22"/>
                <w:szCs w:val="22"/>
              </w:rPr>
            </w:pPr>
            <w:r w:rsidRPr="00117BF8">
              <w:rPr>
                <w:rFonts w:ascii="Arial" w:hAnsi="Arial" w:cs="Arial"/>
                <w:color w:val="000000"/>
                <w:sz w:val="22"/>
                <w:szCs w:val="22"/>
              </w:rPr>
              <w:t>3,000,000</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451B4F" w14:textId="77777777" w:rsidR="0022036C" w:rsidRPr="00117BF8" w:rsidRDefault="0022036C">
            <w:pPr>
              <w:pStyle w:val="NormalWeb"/>
              <w:spacing w:before="0" w:beforeAutospacing="0" w:after="0" w:afterAutospacing="0"/>
              <w:jc w:val="right"/>
              <w:rPr>
                <w:rFonts w:ascii="Arial" w:hAnsi="Arial" w:cs="Arial"/>
                <w:sz w:val="22"/>
                <w:szCs w:val="22"/>
              </w:rPr>
            </w:pPr>
            <w:r w:rsidRPr="00117BF8">
              <w:rPr>
                <w:rFonts w:ascii="Arial" w:hAnsi="Arial" w:cs="Arial"/>
                <w:color w:val="000000"/>
                <w:sz w:val="22"/>
                <w:szCs w:val="22"/>
              </w:rPr>
              <w:t>5,000,000</w:t>
            </w:r>
          </w:p>
        </w:tc>
        <w:tc>
          <w:tcPr>
            <w:tcW w:w="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3557C1" w14:textId="77777777" w:rsidR="0022036C" w:rsidRPr="00117BF8" w:rsidRDefault="0022036C">
            <w:pPr>
              <w:pStyle w:val="NormalWeb"/>
              <w:spacing w:before="0" w:beforeAutospacing="0" w:after="0" w:afterAutospacing="0"/>
              <w:jc w:val="right"/>
              <w:rPr>
                <w:rFonts w:ascii="Arial" w:hAnsi="Arial" w:cs="Arial"/>
                <w:sz w:val="22"/>
                <w:szCs w:val="22"/>
              </w:rPr>
            </w:pPr>
            <w:r w:rsidRPr="00117BF8">
              <w:rPr>
                <w:rFonts w:ascii="Arial" w:hAnsi="Arial" w:cs="Arial"/>
                <w:color w:val="000000"/>
                <w:sz w:val="22"/>
                <w:szCs w:val="22"/>
              </w:rPr>
              <w:t>6,000,000</w:t>
            </w:r>
          </w:p>
        </w:tc>
        <w:tc>
          <w:tcPr>
            <w:tcW w:w="109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74477A" w14:textId="77777777" w:rsidR="0022036C" w:rsidRPr="00117BF8" w:rsidRDefault="0022036C">
            <w:pPr>
              <w:pStyle w:val="NormalWeb"/>
              <w:spacing w:before="0" w:beforeAutospacing="0" w:after="0" w:afterAutospacing="0"/>
              <w:jc w:val="right"/>
              <w:rPr>
                <w:rFonts w:ascii="Arial" w:hAnsi="Arial" w:cs="Arial"/>
                <w:sz w:val="22"/>
                <w:szCs w:val="22"/>
              </w:rPr>
            </w:pPr>
            <w:r w:rsidRPr="00117BF8">
              <w:rPr>
                <w:rFonts w:ascii="Arial" w:hAnsi="Arial" w:cs="Arial"/>
                <w:color w:val="000000"/>
                <w:sz w:val="22"/>
                <w:szCs w:val="22"/>
              </w:rPr>
              <w:t>20,000,000</w:t>
            </w:r>
          </w:p>
        </w:tc>
      </w:tr>
    </w:tbl>
    <w:p w14:paraId="11502DA1" w14:textId="77777777" w:rsidR="0022036C" w:rsidRPr="00117BF8" w:rsidRDefault="0022036C" w:rsidP="0022036C">
      <w:pPr>
        <w:pStyle w:val="hsa"/>
        <w:rPr>
          <w:rFonts w:ascii="Arial" w:eastAsia="Calibri" w:hAnsi="Arial" w:cs="Arial"/>
        </w:rPr>
      </w:pPr>
    </w:p>
    <w:p w14:paraId="4BF33B6D" w14:textId="77777777" w:rsidR="0022036C" w:rsidRPr="00117BF8" w:rsidRDefault="0022036C" w:rsidP="00117BF8">
      <w:pPr>
        <w:pStyle w:val="Heading2"/>
        <w:spacing w:before="0" w:after="180"/>
        <w:rPr>
          <w:rFonts w:ascii="Arial" w:eastAsia="Calibri" w:hAnsi="Arial" w:cs="Arial"/>
        </w:rPr>
      </w:pPr>
      <w:bookmarkStart w:id="146" w:name="_Toc494040352"/>
      <w:r w:rsidRPr="00117BF8">
        <w:rPr>
          <w:rFonts w:ascii="Arial" w:eastAsia="Calibri" w:hAnsi="Arial" w:cs="Arial"/>
        </w:rPr>
        <w:t>Préstamo Ar-L1273</w:t>
      </w:r>
      <w:bookmarkEnd w:id="146"/>
    </w:p>
    <w:p w14:paraId="02540AB6" w14:textId="7412FC31" w:rsidR="00480639" w:rsidRPr="00117BF8" w:rsidRDefault="00480639" w:rsidP="00480639">
      <w:pPr>
        <w:pStyle w:val="hsa"/>
        <w:rPr>
          <w:rFonts w:ascii="Arial" w:hAnsi="Arial" w:cs="Arial"/>
        </w:rPr>
      </w:pPr>
      <w:r w:rsidRPr="00117BF8">
        <w:rPr>
          <w:rFonts w:ascii="Arial" w:hAnsi="Arial" w:cs="Arial"/>
          <w:color w:val="000000"/>
          <w:szCs w:val="24"/>
          <w:lang w:val="es-AR" w:eastAsia="es-AR"/>
        </w:rPr>
        <w:t>Desembolsos</w:t>
      </w:r>
    </w:p>
    <w:tbl>
      <w:tblPr>
        <w:tblW w:w="8124" w:type="dxa"/>
        <w:tblInd w:w="55" w:type="dxa"/>
        <w:tblCellMar>
          <w:left w:w="70" w:type="dxa"/>
          <w:right w:w="70" w:type="dxa"/>
        </w:tblCellMar>
        <w:tblLook w:val="04A0" w:firstRow="1" w:lastRow="0" w:firstColumn="1" w:lastColumn="0" w:noHBand="0" w:noVBand="1"/>
      </w:tblPr>
      <w:tblGrid>
        <w:gridCol w:w="1320"/>
        <w:gridCol w:w="1134"/>
        <w:gridCol w:w="1134"/>
        <w:gridCol w:w="1134"/>
        <w:gridCol w:w="1134"/>
        <w:gridCol w:w="1134"/>
        <w:gridCol w:w="1134"/>
      </w:tblGrid>
      <w:tr w:rsidR="00020F05" w:rsidRPr="004E6455" w14:paraId="6DCBDB26" w14:textId="77777777" w:rsidTr="00020F05">
        <w:trPr>
          <w:trHeight w:val="330"/>
        </w:trPr>
        <w:tc>
          <w:tcPr>
            <w:tcW w:w="1320" w:type="dxa"/>
            <w:tcBorders>
              <w:top w:val="nil"/>
              <w:left w:val="nil"/>
              <w:bottom w:val="nil"/>
              <w:right w:val="nil"/>
            </w:tcBorders>
            <w:shd w:val="clear" w:color="auto" w:fill="auto"/>
            <w:noWrap/>
            <w:vAlign w:val="bottom"/>
            <w:hideMark/>
          </w:tcPr>
          <w:p w14:paraId="6D2B8B8E" w14:textId="77777777" w:rsidR="00020F05" w:rsidRPr="00117BF8" w:rsidRDefault="0022036C" w:rsidP="00480639">
            <w:pPr>
              <w:spacing w:after="0"/>
              <w:jc w:val="left"/>
              <w:rPr>
                <w:rFonts w:ascii="Arial" w:hAnsi="Arial" w:cs="Arial"/>
                <w:color w:val="000000"/>
                <w:sz w:val="22"/>
                <w:szCs w:val="22"/>
                <w:lang w:val="es-AR" w:eastAsia="es-AR"/>
              </w:rPr>
            </w:pPr>
            <w:r w:rsidRPr="00117BF8">
              <w:rPr>
                <w:rFonts w:ascii="Arial" w:hAnsi="Arial" w:cs="Arial"/>
                <w:color w:val="000000"/>
                <w:sz w:val="22"/>
                <w:szCs w:val="22"/>
                <w:lang w:val="es-AR" w:eastAsia="es-AR"/>
              </w:rPr>
              <w:t>Mill. USD</w:t>
            </w:r>
          </w:p>
        </w:tc>
        <w:tc>
          <w:tcPr>
            <w:tcW w:w="226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A95C392" w14:textId="77777777" w:rsidR="00020F05" w:rsidRPr="00117BF8" w:rsidRDefault="00020F05" w:rsidP="00480639">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Año 1</w:t>
            </w:r>
          </w:p>
        </w:tc>
        <w:tc>
          <w:tcPr>
            <w:tcW w:w="226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7C81B2" w14:textId="77777777" w:rsidR="00020F05" w:rsidRPr="00117BF8" w:rsidRDefault="00020F05" w:rsidP="00480639">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Año 2</w:t>
            </w:r>
          </w:p>
        </w:tc>
        <w:tc>
          <w:tcPr>
            <w:tcW w:w="2268" w:type="dxa"/>
            <w:gridSpan w:val="2"/>
            <w:tcBorders>
              <w:top w:val="single" w:sz="8" w:space="0" w:color="auto"/>
              <w:left w:val="nil"/>
              <w:bottom w:val="single" w:sz="8" w:space="0" w:color="auto"/>
              <w:right w:val="single" w:sz="4" w:space="0" w:color="auto"/>
            </w:tcBorders>
            <w:shd w:val="clear" w:color="auto" w:fill="auto"/>
            <w:noWrap/>
            <w:vAlign w:val="bottom"/>
            <w:hideMark/>
          </w:tcPr>
          <w:p w14:paraId="29885259" w14:textId="77777777" w:rsidR="00020F05" w:rsidRPr="00117BF8" w:rsidRDefault="00020F05" w:rsidP="00480639">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Año 3</w:t>
            </w:r>
          </w:p>
        </w:tc>
      </w:tr>
      <w:tr w:rsidR="00020F05" w:rsidRPr="004E6455" w14:paraId="7D7B79AA" w14:textId="77777777" w:rsidTr="00020F05">
        <w:trPr>
          <w:trHeight w:val="330"/>
        </w:trPr>
        <w:tc>
          <w:tcPr>
            <w:tcW w:w="1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0A33133" w14:textId="77777777" w:rsidR="00020F05" w:rsidRPr="004E6455" w:rsidRDefault="00020F05" w:rsidP="00480639">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Fuente Finam.</w:t>
            </w:r>
          </w:p>
        </w:tc>
        <w:tc>
          <w:tcPr>
            <w:tcW w:w="1134" w:type="dxa"/>
            <w:tcBorders>
              <w:top w:val="nil"/>
              <w:left w:val="nil"/>
              <w:bottom w:val="single" w:sz="8" w:space="0" w:color="auto"/>
              <w:right w:val="single" w:sz="8" w:space="0" w:color="auto"/>
            </w:tcBorders>
            <w:shd w:val="clear" w:color="000000" w:fill="D9D9D9"/>
            <w:vAlign w:val="center"/>
            <w:hideMark/>
          </w:tcPr>
          <w:p w14:paraId="4FA336AF" w14:textId="77777777" w:rsidR="00020F05" w:rsidRPr="004E6455" w:rsidRDefault="00020F05" w:rsidP="00480639">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I</w:t>
            </w:r>
          </w:p>
        </w:tc>
        <w:tc>
          <w:tcPr>
            <w:tcW w:w="1134" w:type="dxa"/>
            <w:tcBorders>
              <w:top w:val="nil"/>
              <w:left w:val="nil"/>
              <w:bottom w:val="single" w:sz="8" w:space="0" w:color="auto"/>
              <w:right w:val="single" w:sz="8" w:space="0" w:color="auto"/>
            </w:tcBorders>
            <w:shd w:val="clear" w:color="000000" w:fill="D9D9D9"/>
            <w:vAlign w:val="center"/>
            <w:hideMark/>
          </w:tcPr>
          <w:p w14:paraId="4375CA84" w14:textId="77777777" w:rsidR="00020F05" w:rsidRPr="004E6455" w:rsidRDefault="00020F05" w:rsidP="00480639">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II</w:t>
            </w:r>
          </w:p>
        </w:tc>
        <w:tc>
          <w:tcPr>
            <w:tcW w:w="1134" w:type="dxa"/>
            <w:tcBorders>
              <w:top w:val="nil"/>
              <w:left w:val="nil"/>
              <w:bottom w:val="single" w:sz="8" w:space="0" w:color="auto"/>
              <w:right w:val="single" w:sz="8" w:space="0" w:color="auto"/>
            </w:tcBorders>
            <w:shd w:val="clear" w:color="000000" w:fill="D9D9D9"/>
            <w:vAlign w:val="center"/>
            <w:hideMark/>
          </w:tcPr>
          <w:p w14:paraId="18E6F5DC" w14:textId="77777777" w:rsidR="00020F05" w:rsidRPr="004E6455" w:rsidRDefault="00020F05" w:rsidP="00480639">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III</w:t>
            </w:r>
          </w:p>
        </w:tc>
        <w:tc>
          <w:tcPr>
            <w:tcW w:w="1134" w:type="dxa"/>
            <w:tcBorders>
              <w:top w:val="nil"/>
              <w:left w:val="nil"/>
              <w:bottom w:val="single" w:sz="8" w:space="0" w:color="auto"/>
              <w:right w:val="single" w:sz="8" w:space="0" w:color="auto"/>
            </w:tcBorders>
            <w:shd w:val="clear" w:color="000000" w:fill="D9D9D9"/>
            <w:vAlign w:val="center"/>
            <w:hideMark/>
          </w:tcPr>
          <w:p w14:paraId="6F72AC78" w14:textId="77777777" w:rsidR="00020F05" w:rsidRPr="004E6455" w:rsidRDefault="00020F05" w:rsidP="00480639">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IV</w:t>
            </w:r>
          </w:p>
        </w:tc>
        <w:tc>
          <w:tcPr>
            <w:tcW w:w="1134" w:type="dxa"/>
            <w:tcBorders>
              <w:top w:val="nil"/>
              <w:left w:val="nil"/>
              <w:bottom w:val="single" w:sz="8" w:space="0" w:color="auto"/>
              <w:right w:val="single" w:sz="8" w:space="0" w:color="auto"/>
            </w:tcBorders>
            <w:shd w:val="clear" w:color="000000" w:fill="D9D9D9"/>
            <w:vAlign w:val="center"/>
            <w:hideMark/>
          </w:tcPr>
          <w:p w14:paraId="1D4F769A" w14:textId="77777777" w:rsidR="00020F05" w:rsidRPr="004E6455" w:rsidRDefault="00020F05" w:rsidP="00480639">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V</w:t>
            </w:r>
          </w:p>
        </w:tc>
        <w:tc>
          <w:tcPr>
            <w:tcW w:w="1134" w:type="dxa"/>
            <w:tcBorders>
              <w:top w:val="nil"/>
              <w:left w:val="nil"/>
              <w:bottom w:val="single" w:sz="8" w:space="0" w:color="auto"/>
              <w:right w:val="single" w:sz="8" w:space="0" w:color="auto"/>
            </w:tcBorders>
            <w:shd w:val="clear" w:color="000000" w:fill="D9D9D9"/>
            <w:vAlign w:val="center"/>
            <w:hideMark/>
          </w:tcPr>
          <w:p w14:paraId="0C85A0EE" w14:textId="77777777" w:rsidR="00020F05" w:rsidRPr="004E6455" w:rsidRDefault="00020F05" w:rsidP="00480639">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VI</w:t>
            </w:r>
          </w:p>
        </w:tc>
      </w:tr>
      <w:tr w:rsidR="00020F05" w:rsidRPr="004E6455" w14:paraId="4E59E1D2" w14:textId="77777777" w:rsidTr="00020F05">
        <w:trPr>
          <w:trHeight w:val="330"/>
        </w:trPr>
        <w:tc>
          <w:tcPr>
            <w:tcW w:w="1320" w:type="dxa"/>
            <w:tcBorders>
              <w:top w:val="nil"/>
              <w:left w:val="single" w:sz="8" w:space="0" w:color="auto"/>
              <w:bottom w:val="single" w:sz="8" w:space="0" w:color="auto"/>
              <w:right w:val="single" w:sz="8" w:space="0" w:color="auto"/>
            </w:tcBorders>
            <w:shd w:val="clear" w:color="auto" w:fill="auto"/>
            <w:noWrap/>
            <w:vAlign w:val="center"/>
            <w:hideMark/>
          </w:tcPr>
          <w:p w14:paraId="04F7593C" w14:textId="77777777" w:rsidR="00020F05" w:rsidRPr="004E6455" w:rsidRDefault="00020F05" w:rsidP="00480639">
            <w:pPr>
              <w:spacing w:after="0"/>
              <w:jc w:val="left"/>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Org. Int.</w:t>
            </w:r>
          </w:p>
        </w:tc>
        <w:tc>
          <w:tcPr>
            <w:tcW w:w="1134" w:type="dxa"/>
            <w:tcBorders>
              <w:top w:val="nil"/>
              <w:left w:val="nil"/>
              <w:bottom w:val="single" w:sz="8" w:space="0" w:color="auto"/>
              <w:right w:val="single" w:sz="8" w:space="0" w:color="auto"/>
            </w:tcBorders>
            <w:shd w:val="clear" w:color="auto" w:fill="auto"/>
            <w:noWrap/>
            <w:vAlign w:val="center"/>
            <w:hideMark/>
          </w:tcPr>
          <w:p w14:paraId="20270A9F"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2,18</w:t>
            </w:r>
          </w:p>
        </w:tc>
        <w:tc>
          <w:tcPr>
            <w:tcW w:w="1134" w:type="dxa"/>
            <w:tcBorders>
              <w:top w:val="nil"/>
              <w:left w:val="nil"/>
              <w:bottom w:val="single" w:sz="8" w:space="0" w:color="auto"/>
              <w:right w:val="single" w:sz="8" w:space="0" w:color="auto"/>
            </w:tcBorders>
            <w:shd w:val="clear" w:color="auto" w:fill="auto"/>
            <w:noWrap/>
            <w:vAlign w:val="center"/>
            <w:hideMark/>
          </w:tcPr>
          <w:p w14:paraId="14CF359B"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7,87</w:t>
            </w:r>
          </w:p>
        </w:tc>
        <w:tc>
          <w:tcPr>
            <w:tcW w:w="1134" w:type="dxa"/>
            <w:tcBorders>
              <w:top w:val="nil"/>
              <w:left w:val="nil"/>
              <w:bottom w:val="single" w:sz="8" w:space="0" w:color="auto"/>
              <w:right w:val="single" w:sz="8" w:space="0" w:color="auto"/>
            </w:tcBorders>
            <w:shd w:val="clear" w:color="auto" w:fill="auto"/>
            <w:noWrap/>
            <w:vAlign w:val="center"/>
            <w:hideMark/>
          </w:tcPr>
          <w:p w14:paraId="6C48257E"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16,79</w:t>
            </w:r>
          </w:p>
        </w:tc>
        <w:tc>
          <w:tcPr>
            <w:tcW w:w="1134" w:type="dxa"/>
            <w:tcBorders>
              <w:top w:val="nil"/>
              <w:left w:val="nil"/>
              <w:bottom w:val="single" w:sz="8" w:space="0" w:color="auto"/>
              <w:right w:val="single" w:sz="8" w:space="0" w:color="auto"/>
            </w:tcBorders>
            <w:shd w:val="clear" w:color="auto" w:fill="auto"/>
            <w:noWrap/>
            <w:vAlign w:val="center"/>
            <w:hideMark/>
          </w:tcPr>
          <w:p w14:paraId="26D336BB"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24,93</w:t>
            </w:r>
          </w:p>
        </w:tc>
        <w:tc>
          <w:tcPr>
            <w:tcW w:w="1134" w:type="dxa"/>
            <w:tcBorders>
              <w:top w:val="nil"/>
              <w:left w:val="nil"/>
              <w:bottom w:val="single" w:sz="8" w:space="0" w:color="auto"/>
              <w:right w:val="single" w:sz="8" w:space="0" w:color="auto"/>
            </w:tcBorders>
            <w:shd w:val="clear" w:color="auto" w:fill="auto"/>
            <w:noWrap/>
            <w:vAlign w:val="center"/>
            <w:hideMark/>
          </w:tcPr>
          <w:p w14:paraId="0FE76367"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26,34</w:t>
            </w:r>
          </w:p>
        </w:tc>
        <w:tc>
          <w:tcPr>
            <w:tcW w:w="1134" w:type="dxa"/>
            <w:tcBorders>
              <w:top w:val="nil"/>
              <w:left w:val="nil"/>
              <w:bottom w:val="single" w:sz="8" w:space="0" w:color="auto"/>
              <w:right w:val="single" w:sz="8" w:space="0" w:color="auto"/>
            </w:tcBorders>
            <w:shd w:val="clear" w:color="auto" w:fill="auto"/>
            <w:noWrap/>
            <w:vAlign w:val="center"/>
            <w:hideMark/>
          </w:tcPr>
          <w:p w14:paraId="3ADD1420"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27,07</w:t>
            </w:r>
          </w:p>
        </w:tc>
      </w:tr>
      <w:tr w:rsidR="00020F05" w:rsidRPr="004E6455" w14:paraId="6FF150D4" w14:textId="77777777" w:rsidTr="00020F05">
        <w:trPr>
          <w:trHeight w:val="330"/>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69391917" w14:textId="77777777" w:rsidR="00020F05" w:rsidRPr="004E6455" w:rsidRDefault="00020F05" w:rsidP="00480639">
            <w:pPr>
              <w:spacing w:after="0"/>
              <w:jc w:val="left"/>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Aporte Local</w:t>
            </w:r>
          </w:p>
        </w:tc>
        <w:tc>
          <w:tcPr>
            <w:tcW w:w="1134" w:type="dxa"/>
            <w:tcBorders>
              <w:top w:val="nil"/>
              <w:left w:val="nil"/>
              <w:bottom w:val="single" w:sz="8" w:space="0" w:color="auto"/>
              <w:right w:val="single" w:sz="8" w:space="0" w:color="auto"/>
            </w:tcBorders>
            <w:shd w:val="clear" w:color="auto" w:fill="auto"/>
            <w:noWrap/>
            <w:vAlign w:val="center"/>
            <w:hideMark/>
          </w:tcPr>
          <w:p w14:paraId="4E848576"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0,40</w:t>
            </w:r>
          </w:p>
        </w:tc>
        <w:tc>
          <w:tcPr>
            <w:tcW w:w="1134" w:type="dxa"/>
            <w:tcBorders>
              <w:top w:val="nil"/>
              <w:left w:val="nil"/>
              <w:bottom w:val="single" w:sz="8" w:space="0" w:color="auto"/>
              <w:right w:val="single" w:sz="8" w:space="0" w:color="auto"/>
            </w:tcBorders>
            <w:shd w:val="clear" w:color="auto" w:fill="auto"/>
            <w:noWrap/>
            <w:vAlign w:val="center"/>
            <w:hideMark/>
          </w:tcPr>
          <w:p w14:paraId="4D00CE3E"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1,52</w:t>
            </w:r>
          </w:p>
        </w:tc>
        <w:tc>
          <w:tcPr>
            <w:tcW w:w="1134" w:type="dxa"/>
            <w:tcBorders>
              <w:top w:val="nil"/>
              <w:left w:val="nil"/>
              <w:bottom w:val="single" w:sz="8" w:space="0" w:color="auto"/>
              <w:right w:val="single" w:sz="8" w:space="0" w:color="auto"/>
            </w:tcBorders>
            <w:shd w:val="clear" w:color="auto" w:fill="auto"/>
            <w:noWrap/>
            <w:vAlign w:val="center"/>
            <w:hideMark/>
          </w:tcPr>
          <w:p w14:paraId="32F4FA37"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3,20</w:t>
            </w:r>
          </w:p>
        </w:tc>
        <w:tc>
          <w:tcPr>
            <w:tcW w:w="1134" w:type="dxa"/>
            <w:tcBorders>
              <w:top w:val="nil"/>
              <w:left w:val="nil"/>
              <w:bottom w:val="single" w:sz="8" w:space="0" w:color="auto"/>
              <w:right w:val="single" w:sz="8" w:space="0" w:color="auto"/>
            </w:tcBorders>
            <w:shd w:val="clear" w:color="auto" w:fill="auto"/>
            <w:noWrap/>
            <w:vAlign w:val="center"/>
            <w:hideMark/>
          </w:tcPr>
          <w:p w14:paraId="7B2FD3B6"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4,84</w:t>
            </w:r>
          </w:p>
        </w:tc>
        <w:tc>
          <w:tcPr>
            <w:tcW w:w="1134" w:type="dxa"/>
            <w:tcBorders>
              <w:top w:val="nil"/>
              <w:left w:val="nil"/>
              <w:bottom w:val="single" w:sz="8" w:space="0" w:color="auto"/>
              <w:right w:val="single" w:sz="8" w:space="0" w:color="auto"/>
            </w:tcBorders>
            <w:shd w:val="clear" w:color="auto" w:fill="auto"/>
            <w:noWrap/>
            <w:vAlign w:val="center"/>
            <w:hideMark/>
          </w:tcPr>
          <w:p w14:paraId="74D9F51C"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5,41</w:t>
            </w:r>
          </w:p>
        </w:tc>
        <w:tc>
          <w:tcPr>
            <w:tcW w:w="1134" w:type="dxa"/>
            <w:tcBorders>
              <w:top w:val="nil"/>
              <w:left w:val="nil"/>
              <w:bottom w:val="single" w:sz="8" w:space="0" w:color="auto"/>
              <w:right w:val="single" w:sz="8" w:space="0" w:color="auto"/>
            </w:tcBorders>
            <w:shd w:val="clear" w:color="auto" w:fill="auto"/>
            <w:noWrap/>
            <w:vAlign w:val="center"/>
            <w:hideMark/>
          </w:tcPr>
          <w:p w14:paraId="689D2715"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5,52</w:t>
            </w:r>
          </w:p>
        </w:tc>
      </w:tr>
      <w:tr w:rsidR="00020F05" w:rsidRPr="004E6455" w14:paraId="4C38D2D7" w14:textId="77777777" w:rsidTr="00020F05">
        <w:trPr>
          <w:trHeight w:val="330"/>
        </w:trPr>
        <w:tc>
          <w:tcPr>
            <w:tcW w:w="1320" w:type="dxa"/>
            <w:tcBorders>
              <w:top w:val="nil"/>
              <w:left w:val="single" w:sz="8" w:space="0" w:color="auto"/>
              <w:bottom w:val="single" w:sz="8" w:space="0" w:color="auto"/>
              <w:right w:val="single" w:sz="8" w:space="0" w:color="auto"/>
            </w:tcBorders>
            <w:shd w:val="clear" w:color="000000" w:fill="D9D9D9"/>
            <w:vAlign w:val="center"/>
            <w:hideMark/>
          </w:tcPr>
          <w:p w14:paraId="17B6CD0E" w14:textId="77777777" w:rsidR="00020F05" w:rsidRPr="004E6455" w:rsidRDefault="00020F05" w:rsidP="00480639">
            <w:pPr>
              <w:spacing w:after="0"/>
              <w:jc w:val="left"/>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Total General</w:t>
            </w:r>
          </w:p>
        </w:tc>
        <w:tc>
          <w:tcPr>
            <w:tcW w:w="1134" w:type="dxa"/>
            <w:tcBorders>
              <w:top w:val="nil"/>
              <w:left w:val="nil"/>
              <w:bottom w:val="nil"/>
              <w:right w:val="single" w:sz="8" w:space="0" w:color="auto"/>
            </w:tcBorders>
            <w:shd w:val="clear" w:color="000000" w:fill="D9D9D9"/>
            <w:noWrap/>
            <w:vAlign w:val="center"/>
            <w:hideMark/>
          </w:tcPr>
          <w:p w14:paraId="5AE54543"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2,58</w:t>
            </w:r>
          </w:p>
        </w:tc>
        <w:tc>
          <w:tcPr>
            <w:tcW w:w="1134" w:type="dxa"/>
            <w:tcBorders>
              <w:top w:val="nil"/>
              <w:left w:val="nil"/>
              <w:bottom w:val="nil"/>
              <w:right w:val="single" w:sz="8" w:space="0" w:color="auto"/>
            </w:tcBorders>
            <w:shd w:val="clear" w:color="000000" w:fill="D9D9D9"/>
            <w:noWrap/>
            <w:vAlign w:val="center"/>
            <w:hideMark/>
          </w:tcPr>
          <w:p w14:paraId="289EF781"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9,39</w:t>
            </w:r>
          </w:p>
        </w:tc>
        <w:tc>
          <w:tcPr>
            <w:tcW w:w="1134" w:type="dxa"/>
            <w:tcBorders>
              <w:top w:val="nil"/>
              <w:left w:val="nil"/>
              <w:bottom w:val="nil"/>
              <w:right w:val="single" w:sz="8" w:space="0" w:color="auto"/>
            </w:tcBorders>
            <w:shd w:val="clear" w:color="000000" w:fill="D9D9D9"/>
            <w:noWrap/>
            <w:vAlign w:val="center"/>
            <w:hideMark/>
          </w:tcPr>
          <w:p w14:paraId="7589D35F"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19,99</w:t>
            </w:r>
          </w:p>
        </w:tc>
        <w:tc>
          <w:tcPr>
            <w:tcW w:w="1134" w:type="dxa"/>
            <w:tcBorders>
              <w:top w:val="nil"/>
              <w:left w:val="nil"/>
              <w:bottom w:val="nil"/>
              <w:right w:val="single" w:sz="8" w:space="0" w:color="auto"/>
            </w:tcBorders>
            <w:shd w:val="clear" w:color="000000" w:fill="D9D9D9"/>
            <w:noWrap/>
            <w:vAlign w:val="center"/>
            <w:hideMark/>
          </w:tcPr>
          <w:p w14:paraId="437ED69A"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29,77</w:t>
            </w:r>
          </w:p>
        </w:tc>
        <w:tc>
          <w:tcPr>
            <w:tcW w:w="1134" w:type="dxa"/>
            <w:tcBorders>
              <w:top w:val="nil"/>
              <w:left w:val="nil"/>
              <w:bottom w:val="nil"/>
              <w:right w:val="single" w:sz="8" w:space="0" w:color="auto"/>
            </w:tcBorders>
            <w:shd w:val="clear" w:color="000000" w:fill="D9D9D9"/>
            <w:noWrap/>
            <w:vAlign w:val="center"/>
            <w:hideMark/>
          </w:tcPr>
          <w:p w14:paraId="73FBABC8"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31,75</w:t>
            </w:r>
          </w:p>
        </w:tc>
        <w:tc>
          <w:tcPr>
            <w:tcW w:w="1134" w:type="dxa"/>
            <w:tcBorders>
              <w:top w:val="nil"/>
              <w:left w:val="nil"/>
              <w:bottom w:val="nil"/>
              <w:right w:val="single" w:sz="8" w:space="0" w:color="auto"/>
            </w:tcBorders>
            <w:shd w:val="clear" w:color="000000" w:fill="D9D9D9"/>
            <w:noWrap/>
            <w:vAlign w:val="center"/>
            <w:hideMark/>
          </w:tcPr>
          <w:p w14:paraId="18FA0FB2" w14:textId="77777777" w:rsidR="00020F05" w:rsidRPr="004E6455" w:rsidRDefault="00020F05" w:rsidP="00480639">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32,59</w:t>
            </w:r>
          </w:p>
        </w:tc>
      </w:tr>
      <w:tr w:rsidR="00020F05" w:rsidRPr="004E6455" w14:paraId="2DE4D1B5" w14:textId="77777777" w:rsidTr="00020F05">
        <w:trPr>
          <w:trHeight w:val="330"/>
        </w:trPr>
        <w:tc>
          <w:tcPr>
            <w:tcW w:w="1320" w:type="dxa"/>
            <w:tcBorders>
              <w:top w:val="nil"/>
              <w:left w:val="nil"/>
              <w:bottom w:val="nil"/>
              <w:right w:val="nil"/>
            </w:tcBorders>
            <w:shd w:val="clear" w:color="auto" w:fill="auto"/>
            <w:noWrap/>
            <w:vAlign w:val="bottom"/>
            <w:hideMark/>
          </w:tcPr>
          <w:p w14:paraId="3AFD5E45" w14:textId="77777777" w:rsidR="00020F05" w:rsidRPr="00117BF8" w:rsidRDefault="00020F05" w:rsidP="00480639">
            <w:pPr>
              <w:spacing w:after="0"/>
              <w:jc w:val="left"/>
              <w:rPr>
                <w:rFonts w:ascii="Arial" w:hAnsi="Arial" w:cs="Arial"/>
                <w:color w:val="000000"/>
                <w:szCs w:val="24"/>
                <w:lang w:val="es-AR" w:eastAsia="es-AR"/>
              </w:rPr>
            </w:pPr>
          </w:p>
        </w:tc>
        <w:tc>
          <w:tcPr>
            <w:tcW w:w="226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5164094" w14:textId="77777777" w:rsidR="00020F05" w:rsidRPr="00117BF8" w:rsidRDefault="00020F05" w:rsidP="00480639">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11,96</w:t>
            </w:r>
          </w:p>
        </w:tc>
        <w:tc>
          <w:tcPr>
            <w:tcW w:w="226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B83A7E" w14:textId="77777777" w:rsidR="00020F05" w:rsidRPr="00117BF8" w:rsidRDefault="00020F05" w:rsidP="00480639">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49,75</w:t>
            </w:r>
          </w:p>
        </w:tc>
        <w:tc>
          <w:tcPr>
            <w:tcW w:w="226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3A8CD9C" w14:textId="77777777" w:rsidR="00020F05" w:rsidRPr="00117BF8" w:rsidRDefault="00020F05" w:rsidP="00480639">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64,34</w:t>
            </w:r>
          </w:p>
        </w:tc>
      </w:tr>
      <w:tr w:rsidR="00020F05" w:rsidRPr="004E6455" w14:paraId="1A315B51" w14:textId="77777777" w:rsidTr="00020F05">
        <w:trPr>
          <w:gridAfter w:val="1"/>
          <w:wAfter w:w="1134" w:type="dxa"/>
          <w:trHeight w:val="330"/>
        </w:trPr>
        <w:tc>
          <w:tcPr>
            <w:tcW w:w="1320" w:type="dxa"/>
            <w:tcBorders>
              <w:top w:val="nil"/>
              <w:left w:val="nil"/>
              <w:bottom w:val="nil"/>
              <w:right w:val="nil"/>
            </w:tcBorders>
            <w:shd w:val="clear" w:color="auto" w:fill="auto"/>
            <w:noWrap/>
            <w:vAlign w:val="bottom"/>
            <w:hideMark/>
          </w:tcPr>
          <w:p w14:paraId="3E4DE64B" w14:textId="77777777" w:rsidR="00020F05" w:rsidRPr="00117BF8" w:rsidRDefault="00020F05" w:rsidP="004D08A0">
            <w:pPr>
              <w:spacing w:after="0"/>
              <w:jc w:val="left"/>
              <w:rPr>
                <w:rFonts w:ascii="Arial" w:hAnsi="Arial" w:cs="Arial"/>
                <w:color w:val="000000"/>
                <w:szCs w:val="24"/>
                <w:lang w:val="es-AR" w:eastAsia="es-AR"/>
              </w:rPr>
            </w:pPr>
          </w:p>
        </w:tc>
        <w:tc>
          <w:tcPr>
            <w:tcW w:w="226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D88A768" w14:textId="77777777" w:rsidR="00020F05" w:rsidRPr="00117BF8" w:rsidRDefault="00020F05" w:rsidP="004D08A0">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Año 4</w:t>
            </w:r>
          </w:p>
        </w:tc>
        <w:tc>
          <w:tcPr>
            <w:tcW w:w="226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8B2AA9" w14:textId="77777777" w:rsidR="00020F05" w:rsidRPr="00117BF8" w:rsidRDefault="00020F05" w:rsidP="004D08A0">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Año 5</w:t>
            </w:r>
          </w:p>
        </w:tc>
        <w:tc>
          <w:tcPr>
            <w:tcW w:w="1134" w:type="dxa"/>
            <w:tcBorders>
              <w:top w:val="nil"/>
              <w:left w:val="nil"/>
              <w:bottom w:val="nil"/>
              <w:right w:val="nil"/>
            </w:tcBorders>
            <w:shd w:val="clear" w:color="auto" w:fill="auto"/>
            <w:noWrap/>
            <w:vAlign w:val="bottom"/>
            <w:hideMark/>
          </w:tcPr>
          <w:p w14:paraId="0BF03BC3" w14:textId="77777777" w:rsidR="00020F05" w:rsidRPr="00117BF8" w:rsidRDefault="00020F05" w:rsidP="004D08A0">
            <w:pPr>
              <w:spacing w:after="0"/>
              <w:jc w:val="left"/>
              <w:rPr>
                <w:rFonts w:ascii="Arial" w:hAnsi="Arial" w:cs="Arial"/>
                <w:color w:val="000000"/>
                <w:szCs w:val="24"/>
                <w:lang w:val="es-AR" w:eastAsia="es-AR"/>
              </w:rPr>
            </w:pPr>
          </w:p>
        </w:tc>
      </w:tr>
      <w:tr w:rsidR="00020F05" w:rsidRPr="004E6455" w14:paraId="634B8191" w14:textId="77777777" w:rsidTr="00020F05">
        <w:trPr>
          <w:gridAfter w:val="1"/>
          <w:wAfter w:w="1134" w:type="dxa"/>
          <w:trHeight w:val="330"/>
        </w:trPr>
        <w:tc>
          <w:tcPr>
            <w:tcW w:w="13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2890418" w14:textId="77777777" w:rsidR="00020F05" w:rsidRPr="004E6455" w:rsidRDefault="00020F05" w:rsidP="004D08A0">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Fuente Finam.</w:t>
            </w:r>
          </w:p>
        </w:tc>
        <w:tc>
          <w:tcPr>
            <w:tcW w:w="1134" w:type="dxa"/>
            <w:tcBorders>
              <w:top w:val="nil"/>
              <w:left w:val="nil"/>
              <w:bottom w:val="single" w:sz="8" w:space="0" w:color="auto"/>
              <w:right w:val="single" w:sz="8" w:space="0" w:color="auto"/>
            </w:tcBorders>
            <w:shd w:val="clear" w:color="000000" w:fill="D9D9D9"/>
            <w:vAlign w:val="center"/>
            <w:hideMark/>
          </w:tcPr>
          <w:p w14:paraId="0D6F0C7A" w14:textId="77777777" w:rsidR="00020F05" w:rsidRPr="004E6455" w:rsidRDefault="00020F05" w:rsidP="004D08A0">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VII</w:t>
            </w:r>
          </w:p>
        </w:tc>
        <w:tc>
          <w:tcPr>
            <w:tcW w:w="1134" w:type="dxa"/>
            <w:tcBorders>
              <w:top w:val="nil"/>
              <w:left w:val="nil"/>
              <w:bottom w:val="single" w:sz="8" w:space="0" w:color="auto"/>
              <w:right w:val="single" w:sz="8" w:space="0" w:color="auto"/>
            </w:tcBorders>
            <w:shd w:val="clear" w:color="000000" w:fill="D9D9D9"/>
            <w:vAlign w:val="center"/>
            <w:hideMark/>
          </w:tcPr>
          <w:p w14:paraId="783E4C41" w14:textId="77777777" w:rsidR="00020F05" w:rsidRPr="004E6455" w:rsidRDefault="00020F05" w:rsidP="004D08A0">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VIII</w:t>
            </w:r>
          </w:p>
        </w:tc>
        <w:tc>
          <w:tcPr>
            <w:tcW w:w="1134" w:type="dxa"/>
            <w:tcBorders>
              <w:top w:val="nil"/>
              <w:left w:val="nil"/>
              <w:bottom w:val="single" w:sz="8" w:space="0" w:color="auto"/>
              <w:right w:val="single" w:sz="8" w:space="0" w:color="auto"/>
            </w:tcBorders>
            <w:shd w:val="clear" w:color="000000" w:fill="D9D9D9"/>
            <w:vAlign w:val="center"/>
            <w:hideMark/>
          </w:tcPr>
          <w:p w14:paraId="090052B3" w14:textId="77777777" w:rsidR="00020F05" w:rsidRPr="004E6455" w:rsidRDefault="00020F05" w:rsidP="004D08A0">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IX</w:t>
            </w:r>
          </w:p>
        </w:tc>
        <w:tc>
          <w:tcPr>
            <w:tcW w:w="1134" w:type="dxa"/>
            <w:tcBorders>
              <w:top w:val="nil"/>
              <w:left w:val="nil"/>
              <w:bottom w:val="single" w:sz="8" w:space="0" w:color="auto"/>
              <w:right w:val="single" w:sz="8" w:space="0" w:color="auto"/>
            </w:tcBorders>
            <w:shd w:val="clear" w:color="000000" w:fill="D9D9D9"/>
            <w:vAlign w:val="center"/>
            <w:hideMark/>
          </w:tcPr>
          <w:p w14:paraId="6C7164E2" w14:textId="77777777" w:rsidR="00020F05" w:rsidRPr="004E6455" w:rsidRDefault="00020F05" w:rsidP="004D08A0">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Sem.   X</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5538135C" w14:textId="77777777" w:rsidR="00020F05" w:rsidRPr="004E6455" w:rsidRDefault="00020F05" w:rsidP="004D08A0">
            <w:pPr>
              <w:spacing w:after="0"/>
              <w:jc w:val="center"/>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TOTAL</w:t>
            </w:r>
          </w:p>
        </w:tc>
      </w:tr>
      <w:tr w:rsidR="00020F05" w:rsidRPr="004E6455" w14:paraId="2832D6E6" w14:textId="77777777" w:rsidTr="00020F05">
        <w:trPr>
          <w:gridAfter w:val="1"/>
          <w:wAfter w:w="1134" w:type="dxa"/>
          <w:trHeight w:val="330"/>
        </w:trPr>
        <w:tc>
          <w:tcPr>
            <w:tcW w:w="1320" w:type="dxa"/>
            <w:tcBorders>
              <w:top w:val="nil"/>
              <w:left w:val="single" w:sz="8" w:space="0" w:color="auto"/>
              <w:bottom w:val="single" w:sz="8" w:space="0" w:color="auto"/>
              <w:right w:val="single" w:sz="8" w:space="0" w:color="auto"/>
            </w:tcBorders>
            <w:shd w:val="clear" w:color="auto" w:fill="auto"/>
            <w:noWrap/>
            <w:vAlign w:val="center"/>
            <w:hideMark/>
          </w:tcPr>
          <w:p w14:paraId="62B68D03" w14:textId="77777777" w:rsidR="00020F05" w:rsidRPr="004E6455" w:rsidRDefault="00020F05" w:rsidP="004D08A0">
            <w:pPr>
              <w:spacing w:after="0"/>
              <w:jc w:val="left"/>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Org. Int.</w:t>
            </w:r>
          </w:p>
        </w:tc>
        <w:tc>
          <w:tcPr>
            <w:tcW w:w="1134" w:type="dxa"/>
            <w:tcBorders>
              <w:top w:val="nil"/>
              <w:left w:val="nil"/>
              <w:bottom w:val="single" w:sz="8" w:space="0" w:color="auto"/>
              <w:right w:val="single" w:sz="8" w:space="0" w:color="auto"/>
            </w:tcBorders>
            <w:shd w:val="clear" w:color="auto" w:fill="auto"/>
            <w:noWrap/>
            <w:vAlign w:val="center"/>
            <w:hideMark/>
          </w:tcPr>
          <w:p w14:paraId="104C972A"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14,22</w:t>
            </w:r>
          </w:p>
        </w:tc>
        <w:tc>
          <w:tcPr>
            <w:tcW w:w="1134" w:type="dxa"/>
            <w:tcBorders>
              <w:top w:val="nil"/>
              <w:left w:val="nil"/>
              <w:bottom w:val="single" w:sz="8" w:space="0" w:color="auto"/>
              <w:right w:val="single" w:sz="8" w:space="0" w:color="auto"/>
            </w:tcBorders>
            <w:shd w:val="clear" w:color="auto" w:fill="auto"/>
            <w:noWrap/>
            <w:vAlign w:val="center"/>
            <w:hideMark/>
          </w:tcPr>
          <w:p w14:paraId="654FEF63"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12,12</w:t>
            </w:r>
          </w:p>
        </w:tc>
        <w:tc>
          <w:tcPr>
            <w:tcW w:w="1134" w:type="dxa"/>
            <w:tcBorders>
              <w:top w:val="nil"/>
              <w:left w:val="nil"/>
              <w:bottom w:val="single" w:sz="8" w:space="0" w:color="auto"/>
              <w:right w:val="single" w:sz="8" w:space="0" w:color="auto"/>
            </w:tcBorders>
            <w:shd w:val="clear" w:color="auto" w:fill="auto"/>
            <w:noWrap/>
            <w:vAlign w:val="center"/>
            <w:hideMark/>
          </w:tcPr>
          <w:p w14:paraId="469F8D98"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11,91</w:t>
            </w:r>
          </w:p>
        </w:tc>
        <w:tc>
          <w:tcPr>
            <w:tcW w:w="1134" w:type="dxa"/>
            <w:tcBorders>
              <w:top w:val="nil"/>
              <w:left w:val="nil"/>
              <w:bottom w:val="single" w:sz="8" w:space="0" w:color="auto"/>
              <w:right w:val="single" w:sz="8" w:space="0" w:color="auto"/>
            </w:tcBorders>
            <w:shd w:val="clear" w:color="auto" w:fill="auto"/>
            <w:noWrap/>
            <w:vAlign w:val="center"/>
            <w:hideMark/>
          </w:tcPr>
          <w:p w14:paraId="7207D7E2"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6,58</w:t>
            </w:r>
          </w:p>
        </w:tc>
        <w:tc>
          <w:tcPr>
            <w:tcW w:w="1134" w:type="dxa"/>
            <w:tcBorders>
              <w:top w:val="nil"/>
              <w:left w:val="nil"/>
              <w:bottom w:val="single" w:sz="8" w:space="0" w:color="auto"/>
              <w:right w:val="single" w:sz="8" w:space="0" w:color="auto"/>
            </w:tcBorders>
            <w:shd w:val="clear" w:color="000000" w:fill="D9D9D9"/>
            <w:noWrap/>
            <w:vAlign w:val="center"/>
            <w:hideMark/>
          </w:tcPr>
          <w:p w14:paraId="31F1E6DF" w14:textId="77777777" w:rsidR="00020F05" w:rsidRPr="004E6455" w:rsidRDefault="00020F05" w:rsidP="004D08A0">
            <w:pPr>
              <w:spacing w:after="0"/>
              <w:jc w:val="right"/>
              <w:rPr>
                <w:rFonts w:ascii="Arial" w:hAnsi="Arial" w:cs="Arial"/>
                <w:color w:val="000000"/>
                <w:sz w:val="18"/>
                <w:szCs w:val="18"/>
                <w:lang w:val="es-AR" w:eastAsia="es-AR"/>
              </w:rPr>
            </w:pPr>
            <w:r w:rsidRPr="004E6455">
              <w:rPr>
                <w:rFonts w:ascii="Arial" w:hAnsi="Arial" w:cs="Arial"/>
                <w:color w:val="000000"/>
                <w:sz w:val="18"/>
                <w:szCs w:val="18"/>
                <w:lang w:val="es-AR" w:eastAsia="es-AR"/>
              </w:rPr>
              <w:t>150,00</w:t>
            </w:r>
          </w:p>
        </w:tc>
      </w:tr>
      <w:tr w:rsidR="00020F05" w:rsidRPr="004E6455" w14:paraId="017B5025" w14:textId="77777777" w:rsidTr="00020F05">
        <w:trPr>
          <w:gridAfter w:val="1"/>
          <w:wAfter w:w="1134" w:type="dxa"/>
          <w:trHeight w:val="330"/>
        </w:trPr>
        <w:tc>
          <w:tcPr>
            <w:tcW w:w="1320" w:type="dxa"/>
            <w:tcBorders>
              <w:top w:val="nil"/>
              <w:left w:val="single" w:sz="8" w:space="0" w:color="auto"/>
              <w:bottom w:val="single" w:sz="8" w:space="0" w:color="auto"/>
              <w:right w:val="single" w:sz="8" w:space="0" w:color="auto"/>
            </w:tcBorders>
            <w:shd w:val="clear" w:color="auto" w:fill="auto"/>
            <w:vAlign w:val="center"/>
            <w:hideMark/>
          </w:tcPr>
          <w:p w14:paraId="416AFFE2" w14:textId="77777777" w:rsidR="00020F05" w:rsidRPr="004E6455" w:rsidRDefault="00020F05" w:rsidP="004D08A0">
            <w:pPr>
              <w:spacing w:after="0"/>
              <w:jc w:val="left"/>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Aporte Local</w:t>
            </w:r>
          </w:p>
        </w:tc>
        <w:tc>
          <w:tcPr>
            <w:tcW w:w="1134" w:type="dxa"/>
            <w:tcBorders>
              <w:top w:val="nil"/>
              <w:left w:val="nil"/>
              <w:bottom w:val="single" w:sz="8" w:space="0" w:color="auto"/>
              <w:right w:val="single" w:sz="8" w:space="0" w:color="auto"/>
            </w:tcBorders>
            <w:shd w:val="clear" w:color="auto" w:fill="auto"/>
            <w:noWrap/>
            <w:vAlign w:val="center"/>
            <w:hideMark/>
          </w:tcPr>
          <w:p w14:paraId="40E76222"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2,88</w:t>
            </w:r>
          </w:p>
        </w:tc>
        <w:tc>
          <w:tcPr>
            <w:tcW w:w="1134" w:type="dxa"/>
            <w:tcBorders>
              <w:top w:val="nil"/>
              <w:left w:val="nil"/>
              <w:bottom w:val="single" w:sz="8" w:space="0" w:color="auto"/>
              <w:right w:val="single" w:sz="8" w:space="0" w:color="auto"/>
            </w:tcBorders>
            <w:shd w:val="clear" w:color="auto" w:fill="auto"/>
            <w:noWrap/>
            <w:vAlign w:val="center"/>
            <w:hideMark/>
          </w:tcPr>
          <w:p w14:paraId="07AC94D0"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2,47</w:t>
            </w:r>
          </w:p>
        </w:tc>
        <w:tc>
          <w:tcPr>
            <w:tcW w:w="1134" w:type="dxa"/>
            <w:tcBorders>
              <w:top w:val="nil"/>
              <w:left w:val="nil"/>
              <w:bottom w:val="single" w:sz="8" w:space="0" w:color="auto"/>
              <w:right w:val="single" w:sz="8" w:space="0" w:color="auto"/>
            </w:tcBorders>
            <w:shd w:val="clear" w:color="auto" w:fill="auto"/>
            <w:noWrap/>
            <w:vAlign w:val="center"/>
            <w:hideMark/>
          </w:tcPr>
          <w:p w14:paraId="02D5969B"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2,42</w:t>
            </w:r>
          </w:p>
        </w:tc>
        <w:tc>
          <w:tcPr>
            <w:tcW w:w="1134" w:type="dxa"/>
            <w:tcBorders>
              <w:top w:val="nil"/>
              <w:left w:val="nil"/>
              <w:bottom w:val="single" w:sz="8" w:space="0" w:color="auto"/>
              <w:right w:val="single" w:sz="8" w:space="0" w:color="auto"/>
            </w:tcBorders>
            <w:shd w:val="clear" w:color="auto" w:fill="auto"/>
            <w:noWrap/>
            <w:vAlign w:val="center"/>
            <w:hideMark/>
          </w:tcPr>
          <w:p w14:paraId="56FF5DC6"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1,34</w:t>
            </w:r>
          </w:p>
        </w:tc>
        <w:tc>
          <w:tcPr>
            <w:tcW w:w="1134" w:type="dxa"/>
            <w:tcBorders>
              <w:top w:val="nil"/>
              <w:left w:val="nil"/>
              <w:bottom w:val="single" w:sz="8" w:space="0" w:color="auto"/>
              <w:right w:val="single" w:sz="8" w:space="0" w:color="auto"/>
            </w:tcBorders>
            <w:shd w:val="clear" w:color="000000" w:fill="D9D9D9"/>
            <w:noWrap/>
            <w:vAlign w:val="center"/>
            <w:hideMark/>
          </w:tcPr>
          <w:p w14:paraId="1DBD47E1" w14:textId="77777777" w:rsidR="00020F05" w:rsidRPr="004E6455" w:rsidRDefault="00020F05" w:rsidP="004D08A0">
            <w:pPr>
              <w:spacing w:after="0"/>
              <w:jc w:val="right"/>
              <w:rPr>
                <w:rFonts w:ascii="Arial" w:hAnsi="Arial" w:cs="Arial"/>
                <w:color w:val="000000"/>
                <w:sz w:val="18"/>
                <w:szCs w:val="18"/>
                <w:lang w:val="es-AR" w:eastAsia="es-AR"/>
              </w:rPr>
            </w:pPr>
            <w:r w:rsidRPr="004E6455">
              <w:rPr>
                <w:rFonts w:ascii="Arial" w:hAnsi="Arial" w:cs="Arial"/>
                <w:color w:val="000000"/>
                <w:sz w:val="18"/>
                <w:szCs w:val="18"/>
                <w:lang w:val="es-AR" w:eastAsia="es-AR"/>
              </w:rPr>
              <w:t>30,00</w:t>
            </w:r>
          </w:p>
        </w:tc>
      </w:tr>
      <w:tr w:rsidR="00020F05" w:rsidRPr="004E6455" w14:paraId="5FD8B681" w14:textId="77777777" w:rsidTr="00020F05">
        <w:trPr>
          <w:gridAfter w:val="1"/>
          <w:wAfter w:w="1134" w:type="dxa"/>
          <w:trHeight w:val="330"/>
        </w:trPr>
        <w:tc>
          <w:tcPr>
            <w:tcW w:w="1320" w:type="dxa"/>
            <w:tcBorders>
              <w:top w:val="nil"/>
              <w:left w:val="single" w:sz="8" w:space="0" w:color="auto"/>
              <w:bottom w:val="single" w:sz="8" w:space="0" w:color="auto"/>
              <w:right w:val="single" w:sz="8" w:space="0" w:color="auto"/>
            </w:tcBorders>
            <w:shd w:val="clear" w:color="000000" w:fill="D9D9D9"/>
            <w:vAlign w:val="center"/>
            <w:hideMark/>
          </w:tcPr>
          <w:p w14:paraId="72BE40E7" w14:textId="77777777" w:rsidR="00020F05" w:rsidRPr="004E6455" w:rsidRDefault="00020F05" w:rsidP="004D08A0">
            <w:pPr>
              <w:spacing w:after="0"/>
              <w:jc w:val="left"/>
              <w:rPr>
                <w:rFonts w:ascii="Arial" w:hAnsi="Arial" w:cs="Arial"/>
                <w:b/>
                <w:bCs/>
                <w:color w:val="000000"/>
                <w:sz w:val="18"/>
                <w:szCs w:val="18"/>
                <w:lang w:val="es-AR" w:eastAsia="es-AR"/>
              </w:rPr>
            </w:pPr>
            <w:r w:rsidRPr="004E6455">
              <w:rPr>
                <w:rFonts w:ascii="Arial" w:hAnsi="Arial" w:cs="Arial"/>
                <w:b/>
                <w:bCs/>
                <w:color w:val="000000"/>
                <w:sz w:val="18"/>
                <w:szCs w:val="18"/>
                <w:lang w:val="es-AR" w:eastAsia="es-AR"/>
              </w:rPr>
              <w:t>Total General</w:t>
            </w:r>
          </w:p>
        </w:tc>
        <w:tc>
          <w:tcPr>
            <w:tcW w:w="1134" w:type="dxa"/>
            <w:tcBorders>
              <w:top w:val="nil"/>
              <w:left w:val="nil"/>
              <w:bottom w:val="nil"/>
              <w:right w:val="single" w:sz="8" w:space="0" w:color="auto"/>
            </w:tcBorders>
            <w:shd w:val="clear" w:color="000000" w:fill="D9D9D9"/>
            <w:noWrap/>
            <w:vAlign w:val="center"/>
            <w:hideMark/>
          </w:tcPr>
          <w:p w14:paraId="07CCD73B"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17,10</w:t>
            </w:r>
          </w:p>
        </w:tc>
        <w:tc>
          <w:tcPr>
            <w:tcW w:w="1134" w:type="dxa"/>
            <w:tcBorders>
              <w:top w:val="nil"/>
              <w:left w:val="nil"/>
              <w:bottom w:val="nil"/>
              <w:right w:val="single" w:sz="8" w:space="0" w:color="auto"/>
            </w:tcBorders>
            <w:shd w:val="clear" w:color="000000" w:fill="D9D9D9"/>
            <w:noWrap/>
            <w:vAlign w:val="center"/>
            <w:hideMark/>
          </w:tcPr>
          <w:p w14:paraId="5869B472"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14,59</w:t>
            </w:r>
          </w:p>
        </w:tc>
        <w:tc>
          <w:tcPr>
            <w:tcW w:w="1134" w:type="dxa"/>
            <w:tcBorders>
              <w:top w:val="nil"/>
              <w:left w:val="nil"/>
              <w:bottom w:val="nil"/>
              <w:right w:val="single" w:sz="8" w:space="0" w:color="auto"/>
            </w:tcBorders>
            <w:shd w:val="clear" w:color="000000" w:fill="D9D9D9"/>
            <w:noWrap/>
            <w:vAlign w:val="center"/>
            <w:hideMark/>
          </w:tcPr>
          <w:p w14:paraId="6A3C543A"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14,33</w:t>
            </w:r>
          </w:p>
        </w:tc>
        <w:tc>
          <w:tcPr>
            <w:tcW w:w="1134" w:type="dxa"/>
            <w:tcBorders>
              <w:top w:val="nil"/>
              <w:left w:val="nil"/>
              <w:bottom w:val="nil"/>
              <w:right w:val="single" w:sz="8" w:space="0" w:color="auto"/>
            </w:tcBorders>
            <w:shd w:val="clear" w:color="000000" w:fill="D9D9D9"/>
            <w:noWrap/>
            <w:vAlign w:val="center"/>
            <w:hideMark/>
          </w:tcPr>
          <w:p w14:paraId="2778149B" w14:textId="77777777" w:rsidR="00020F05" w:rsidRPr="004E6455" w:rsidRDefault="00020F05" w:rsidP="004D08A0">
            <w:pPr>
              <w:spacing w:after="0"/>
              <w:jc w:val="center"/>
              <w:rPr>
                <w:rFonts w:ascii="Arial" w:hAnsi="Arial" w:cs="Arial"/>
                <w:color w:val="000000"/>
                <w:sz w:val="18"/>
                <w:szCs w:val="18"/>
                <w:lang w:val="es-AR" w:eastAsia="es-AR"/>
              </w:rPr>
            </w:pPr>
            <w:r w:rsidRPr="004E6455">
              <w:rPr>
                <w:rFonts w:ascii="Arial" w:hAnsi="Arial" w:cs="Arial"/>
                <w:color w:val="000000"/>
                <w:sz w:val="18"/>
                <w:szCs w:val="18"/>
                <w:lang w:val="es-AR" w:eastAsia="es-AR"/>
              </w:rPr>
              <w:t>7,92</w:t>
            </w:r>
          </w:p>
        </w:tc>
        <w:tc>
          <w:tcPr>
            <w:tcW w:w="1134" w:type="dxa"/>
            <w:tcBorders>
              <w:top w:val="nil"/>
              <w:left w:val="nil"/>
              <w:bottom w:val="single" w:sz="8" w:space="0" w:color="auto"/>
              <w:right w:val="single" w:sz="8" w:space="0" w:color="auto"/>
            </w:tcBorders>
            <w:shd w:val="clear" w:color="000000" w:fill="D9D9D9"/>
            <w:noWrap/>
            <w:vAlign w:val="center"/>
            <w:hideMark/>
          </w:tcPr>
          <w:p w14:paraId="44BB487D" w14:textId="77777777" w:rsidR="00020F05" w:rsidRPr="004E6455" w:rsidRDefault="00020F05" w:rsidP="004D08A0">
            <w:pPr>
              <w:spacing w:after="0"/>
              <w:jc w:val="right"/>
              <w:rPr>
                <w:rFonts w:ascii="Arial" w:hAnsi="Arial" w:cs="Arial"/>
                <w:color w:val="000000"/>
                <w:sz w:val="18"/>
                <w:szCs w:val="18"/>
                <w:lang w:val="es-AR" w:eastAsia="es-AR"/>
              </w:rPr>
            </w:pPr>
            <w:r w:rsidRPr="004E6455">
              <w:rPr>
                <w:rFonts w:ascii="Arial" w:hAnsi="Arial" w:cs="Arial"/>
                <w:color w:val="000000"/>
                <w:sz w:val="18"/>
                <w:szCs w:val="18"/>
                <w:lang w:val="es-AR" w:eastAsia="es-AR"/>
              </w:rPr>
              <w:t>180,00</w:t>
            </w:r>
          </w:p>
        </w:tc>
      </w:tr>
      <w:tr w:rsidR="00020F05" w:rsidRPr="004E6455" w14:paraId="318AA3AD" w14:textId="77777777" w:rsidTr="00020F05">
        <w:trPr>
          <w:gridAfter w:val="1"/>
          <w:wAfter w:w="1134" w:type="dxa"/>
          <w:trHeight w:val="330"/>
        </w:trPr>
        <w:tc>
          <w:tcPr>
            <w:tcW w:w="1320" w:type="dxa"/>
            <w:tcBorders>
              <w:top w:val="nil"/>
              <w:left w:val="nil"/>
              <w:bottom w:val="nil"/>
              <w:right w:val="nil"/>
            </w:tcBorders>
            <w:shd w:val="clear" w:color="auto" w:fill="auto"/>
            <w:noWrap/>
            <w:vAlign w:val="bottom"/>
            <w:hideMark/>
          </w:tcPr>
          <w:p w14:paraId="17DE5D90" w14:textId="77777777" w:rsidR="00020F05" w:rsidRPr="00117BF8" w:rsidRDefault="00020F05" w:rsidP="004D08A0">
            <w:pPr>
              <w:spacing w:after="0"/>
              <w:jc w:val="left"/>
              <w:rPr>
                <w:rFonts w:ascii="Arial" w:hAnsi="Arial" w:cs="Arial"/>
                <w:color w:val="000000"/>
                <w:szCs w:val="24"/>
                <w:lang w:val="es-AR" w:eastAsia="es-AR"/>
              </w:rPr>
            </w:pPr>
          </w:p>
        </w:tc>
        <w:tc>
          <w:tcPr>
            <w:tcW w:w="226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8B829F7" w14:textId="77777777" w:rsidR="00020F05" w:rsidRPr="00117BF8" w:rsidRDefault="00020F05" w:rsidP="004D08A0">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31,69</w:t>
            </w:r>
          </w:p>
        </w:tc>
        <w:tc>
          <w:tcPr>
            <w:tcW w:w="226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C2EBB9A" w14:textId="77777777" w:rsidR="00020F05" w:rsidRPr="00117BF8" w:rsidRDefault="00020F05" w:rsidP="004D08A0">
            <w:pPr>
              <w:spacing w:after="0"/>
              <w:jc w:val="center"/>
              <w:rPr>
                <w:rFonts w:ascii="Arial" w:hAnsi="Arial" w:cs="Arial"/>
                <w:b/>
                <w:bCs/>
                <w:color w:val="000000"/>
                <w:sz w:val="22"/>
                <w:szCs w:val="22"/>
                <w:lang w:val="es-AR" w:eastAsia="es-AR"/>
              </w:rPr>
            </w:pPr>
            <w:r w:rsidRPr="00117BF8">
              <w:rPr>
                <w:rFonts w:ascii="Arial" w:hAnsi="Arial" w:cs="Arial"/>
                <w:b/>
                <w:bCs/>
                <w:color w:val="000000"/>
                <w:sz w:val="22"/>
                <w:szCs w:val="22"/>
                <w:lang w:val="es-AR" w:eastAsia="es-AR"/>
              </w:rPr>
              <w:t>22,26</w:t>
            </w:r>
          </w:p>
        </w:tc>
        <w:tc>
          <w:tcPr>
            <w:tcW w:w="1134" w:type="dxa"/>
            <w:tcBorders>
              <w:top w:val="nil"/>
              <w:left w:val="nil"/>
              <w:bottom w:val="nil"/>
              <w:right w:val="nil"/>
            </w:tcBorders>
            <w:shd w:val="clear" w:color="auto" w:fill="auto"/>
            <w:noWrap/>
            <w:vAlign w:val="bottom"/>
            <w:hideMark/>
          </w:tcPr>
          <w:p w14:paraId="07DFD8BE" w14:textId="77777777" w:rsidR="00020F05" w:rsidRPr="00117BF8" w:rsidRDefault="00020F05" w:rsidP="004D08A0">
            <w:pPr>
              <w:spacing w:after="0"/>
              <w:jc w:val="left"/>
              <w:rPr>
                <w:rFonts w:ascii="Arial" w:hAnsi="Arial" w:cs="Arial"/>
                <w:color w:val="000000"/>
                <w:szCs w:val="24"/>
                <w:lang w:val="es-AR" w:eastAsia="es-AR"/>
              </w:rPr>
            </w:pPr>
          </w:p>
        </w:tc>
      </w:tr>
    </w:tbl>
    <w:p w14:paraId="2EB5F599" w14:textId="77777777" w:rsidR="00480639" w:rsidRPr="00117BF8" w:rsidRDefault="00480639" w:rsidP="00480639">
      <w:pPr>
        <w:rPr>
          <w:rFonts w:ascii="Arial" w:hAnsi="Arial" w:cs="Arial"/>
        </w:rPr>
      </w:pPr>
    </w:p>
    <w:p w14:paraId="159BA894" w14:textId="77777777" w:rsidR="00480639" w:rsidRPr="00117BF8" w:rsidRDefault="004D08A0" w:rsidP="00480639">
      <w:pPr>
        <w:pStyle w:val="Heading2"/>
        <w:rPr>
          <w:rFonts w:ascii="Arial" w:hAnsi="Arial" w:cs="Arial"/>
          <w:bCs/>
          <w:sz w:val="22"/>
          <w:szCs w:val="22"/>
          <w:lang w:val="es-ES_tradnl"/>
        </w:rPr>
      </w:pPr>
      <w:bookmarkStart w:id="147" w:name="_Toc494040353"/>
      <w:r w:rsidRPr="00117BF8">
        <w:rPr>
          <w:rFonts w:ascii="Arial" w:hAnsi="Arial" w:cs="Arial"/>
          <w:sz w:val="22"/>
          <w:szCs w:val="22"/>
        </w:rPr>
        <w:t>Préstamo</w:t>
      </w:r>
      <w:r w:rsidR="00480639" w:rsidRPr="00117BF8">
        <w:rPr>
          <w:rFonts w:ascii="Arial" w:hAnsi="Arial" w:cs="Arial"/>
          <w:sz w:val="22"/>
          <w:szCs w:val="22"/>
        </w:rPr>
        <w:t xml:space="preserve"> </w:t>
      </w:r>
      <w:r w:rsidR="00480639" w:rsidRPr="00117BF8">
        <w:rPr>
          <w:rFonts w:ascii="Arial" w:hAnsi="Arial" w:cs="Arial"/>
          <w:bCs/>
          <w:sz w:val="22"/>
          <w:szCs w:val="22"/>
          <w:lang w:val="es-ES_tradnl"/>
        </w:rPr>
        <w:t>AR-L1274</w:t>
      </w:r>
      <w:bookmarkEnd w:id="147"/>
    </w:p>
    <w:p w14:paraId="0F9EFFDF" w14:textId="77777777" w:rsidR="00480639" w:rsidRPr="00117BF8" w:rsidRDefault="00480639" w:rsidP="00480639">
      <w:pPr>
        <w:rPr>
          <w:rFonts w:ascii="Arial" w:hAnsi="Arial" w:cs="Arial"/>
          <w:b/>
          <w:bCs/>
          <w:sz w:val="22"/>
          <w:szCs w:val="22"/>
          <w:lang w:val="es-ES_tradnl"/>
        </w:rPr>
      </w:pPr>
      <w:r w:rsidRPr="00117BF8">
        <w:rPr>
          <w:rFonts w:ascii="Arial" w:hAnsi="Arial" w:cs="Arial"/>
          <w:b/>
          <w:bCs/>
          <w:sz w:val="22"/>
          <w:szCs w:val="22"/>
          <w:lang w:val="es-ES_tradnl"/>
        </w:rPr>
        <w:t xml:space="preserve">Identificación: </w:t>
      </w:r>
      <w:r w:rsidRPr="00117BF8">
        <w:rPr>
          <w:rFonts w:ascii="Arial" w:hAnsi="Arial" w:cs="Arial"/>
          <w:sz w:val="22"/>
          <w:szCs w:val="22"/>
          <w:lang w:val="es-ES_tradnl"/>
        </w:rPr>
        <w:t>Programa de Conectividad y Seguridad en Corredores Viales de la Provincia de Buenos Aires</w:t>
      </w:r>
    </w:p>
    <w:p w14:paraId="61CADA23" w14:textId="77777777" w:rsidR="00480639" w:rsidRPr="00117BF8" w:rsidRDefault="00480639" w:rsidP="00480639">
      <w:pPr>
        <w:rPr>
          <w:rFonts w:ascii="Arial" w:hAnsi="Arial" w:cs="Arial"/>
          <w:b/>
          <w:bCs/>
          <w:sz w:val="22"/>
          <w:szCs w:val="22"/>
          <w:lang w:val="es-ES_tradnl"/>
        </w:rPr>
      </w:pPr>
      <w:r w:rsidRPr="00117BF8">
        <w:rPr>
          <w:rFonts w:ascii="Arial" w:hAnsi="Arial" w:cs="Arial"/>
          <w:b/>
          <w:bCs/>
          <w:sz w:val="22"/>
          <w:szCs w:val="22"/>
          <w:lang w:val="es-ES_tradnl"/>
        </w:rPr>
        <w:t>Organismo responsable de Coordinación y Ejecución del Proyecto:</w:t>
      </w:r>
    </w:p>
    <w:p w14:paraId="3E1F5F89" w14:textId="77777777" w:rsidR="00480639" w:rsidRPr="00117BF8" w:rsidRDefault="00480639" w:rsidP="00480639">
      <w:pPr>
        <w:rPr>
          <w:rFonts w:ascii="Arial" w:hAnsi="Arial" w:cs="Arial"/>
          <w:b/>
          <w:sz w:val="22"/>
          <w:szCs w:val="22"/>
          <w:lang w:val="es-AR" w:eastAsia="es-BO"/>
        </w:rPr>
      </w:pPr>
      <w:r w:rsidRPr="00117BF8">
        <w:rPr>
          <w:rFonts w:ascii="Arial" w:hAnsi="Arial" w:cs="Arial"/>
          <w:sz w:val="22"/>
          <w:szCs w:val="22"/>
          <w:lang w:eastAsia="es-BO"/>
        </w:rPr>
        <w:t>Dirección de Vialidad de la provincia de Buenos Aires (DVBA)</w:t>
      </w:r>
    </w:p>
    <w:p w14:paraId="54A0D70C" w14:textId="77777777" w:rsidR="00480639" w:rsidRPr="00117BF8" w:rsidRDefault="00480639" w:rsidP="00480639">
      <w:pPr>
        <w:autoSpaceDE w:val="0"/>
        <w:autoSpaceDN w:val="0"/>
        <w:adjustRightInd w:val="0"/>
        <w:rPr>
          <w:rFonts w:ascii="Arial" w:hAnsi="Arial" w:cs="Arial"/>
          <w:b/>
          <w:sz w:val="22"/>
          <w:szCs w:val="22"/>
          <w:lang w:eastAsia="es-BO"/>
        </w:rPr>
      </w:pPr>
      <w:r w:rsidRPr="00117BF8">
        <w:rPr>
          <w:rFonts w:ascii="Arial" w:hAnsi="Arial" w:cs="Arial"/>
          <w:b/>
          <w:sz w:val="22"/>
          <w:szCs w:val="22"/>
          <w:lang w:eastAsia="es-BO"/>
        </w:rPr>
        <w:t>Breve Descripción de la Operación:</w:t>
      </w:r>
    </w:p>
    <w:p w14:paraId="3966BDC1" w14:textId="77777777" w:rsidR="00480639" w:rsidRPr="00117BF8" w:rsidRDefault="00480639" w:rsidP="00480639">
      <w:pPr>
        <w:autoSpaceDE w:val="0"/>
        <w:autoSpaceDN w:val="0"/>
        <w:adjustRightInd w:val="0"/>
        <w:rPr>
          <w:rFonts w:ascii="Arial" w:hAnsi="Arial" w:cs="Arial"/>
          <w:sz w:val="22"/>
          <w:szCs w:val="22"/>
          <w:lang w:val="es-ES_tradnl" w:eastAsia="es-AR"/>
        </w:rPr>
      </w:pPr>
      <w:r w:rsidRPr="00117BF8">
        <w:rPr>
          <w:rFonts w:ascii="Arial" w:hAnsi="Arial" w:cs="Arial"/>
          <w:sz w:val="22"/>
          <w:szCs w:val="22"/>
          <w:lang w:val="es-ES_tradnl" w:eastAsia="es-AR"/>
        </w:rPr>
        <w:t xml:space="preserve">Los tramos de acceso a grandes centros urbanos han estado fuertemente exigidos por el incremento del tráfico vehicular y el exceso de carga que tienen como origen o destino a los puertos, resultando en una capacidad limitada para el alto tránsito, afectando la calidad de circulación y un alto índice de accidentes viales. A su vez, las instituciones viales de la PBA, requieren del apoyo de herramientas que le permitan mejorar la planificación y gestión de los activos viales de la provincia. </w:t>
      </w:r>
    </w:p>
    <w:p w14:paraId="358A5926" w14:textId="77777777" w:rsidR="00480639" w:rsidRPr="00117BF8" w:rsidRDefault="00480639" w:rsidP="00480639">
      <w:pPr>
        <w:autoSpaceDE w:val="0"/>
        <w:autoSpaceDN w:val="0"/>
        <w:adjustRightInd w:val="0"/>
        <w:rPr>
          <w:rFonts w:ascii="Arial" w:hAnsi="Arial" w:cs="Arial"/>
          <w:sz w:val="22"/>
          <w:szCs w:val="22"/>
          <w:lang w:val="es-ES_tradnl" w:eastAsia="es-AR"/>
        </w:rPr>
      </w:pPr>
      <w:bookmarkStart w:id="148" w:name="_Ref487560111"/>
      <w:r w:rsidRPr="00117BF8">
        <w:rPr>
          <w:rFonts w:ascii="Arial" w:hAnsi="Arial" w:cs="Arial"/>
          <w:sz w:val="22"/>
          <w:szCs w:val="22"/>
          <w:lang w:val="es-ES_tradnl" w:eastAsia="es-AR"/>
        </w:rPr>
        <w:t>La Ruta Provincial (RP) Nº41, de 327 km, constituye el cuarto anillo de circunvalación al área metropolitana de Buenos Aires, permite unir el norte con el sudeste de la provincia sin utilizar los accesos a la gran urbe, y a su vez vincula a su paso a importantes centros urbanos de la PBA, lo que implica un tránsito importante respecto a las condiciones geométricas de la vía. Al ser la RP Nº41 interceptada por varias rutas radiales, se producen en ella intercambios de itinerarios, lo que produce un incremento del tránsito en ciertas secciones, como ser el caso del tramo de 27 km entre las Rutas Nacionales Nº7 y Nº8, cuyo proyecto de mejoramiento constituye la muestra representativa del programa. Actualmente, la RP Nº41 posee calzada pavimentada única bidireccional de 6,70 m de ancho y banquinas sin pavimentar de 2,50 m. Entre las intervenciones propuestas, se incluyen obras para pasar este tramo a un estándar de autopista de dos carriles por sentido, con distribuidores y viaductos en los tramos donde constan los mayores volúmenes de tránsito e inconvenientes de seguridad.</w:t>
      </w:r>
      <w:bookmarkEnd w:id="148"/>
    </w:p>
    <w:p w14:paraId="178ADDF3" w14:textId="77777777" w:rsidR="00480639" w:rsidRPr="00117BF8" w:rsidRDefault="00480639" w:rsidP="00480639">
      <w:pPr>
        <w:rPr>
          <w:rFonts w:ascii="Arial" w:hAnsi="Arial" w:cs="Arial"/>
          <w:b/>
          <w:sz w:val="22"/>
          <w:szCs w:val="22"/>
          <w:u w:val="single"/>
          <w:lang w:eastAsia="es-BO"/>
        </w:rPr>
      </w:pPr>
      <w:r w:rsidRPr="00117BF8">
        <w:rPr>
          <w:rFonts w:ascii="Arial" w:hAnsi="Arial" w:cs="Arial"/>
          <w:b/>
          <w:sz w:val="22"/>
          <w:szCs w:val="22"/>
          <w:u w:val="single"/>
          <w:lang w:eastAsia="es-BO"/>
        </w:rPr>
        <w:t>Monto</w:t>
      </w:r>
    </w:p>
    <w:p w14:paraId="45717045" w14:textId="77777777" w:rsidR="00480639" w:rsidRPr="00117BF8" w:rsidRDefault="00480639" w:rsidP="00480639">
      <w:pPr>
        <w:rPr>
          <w:rFonts w:ascii="Arial" w:hAnsi="Arial" w:cs="Arial"/>
          <w:sz w:val="22"/>
          <w:szCs w:val="22"/>
          <w:lang w:eastAsia="es-BO"/>
        </w:rPr>
      </w:pPr>
      <w:r w:rsidRPr="00117BF8">
        <w:rPr>
          <w:rFonts w:ascii="Arial" w:hAnsi="Arial" w:cs="Arial"/>
          <w:b/>
          <w:sz w:val="22"/>
          <w:szCs w:val="22"/>
          <w:lang w:eastAsia="es-BO"/>
        </w:rPr>
        <w:t xml:space="preserve">Monto del Préstamo: </w:t>
      </w:r>
      <w:r w:rsidRPr="00117BF8">
        <w:rPr>
          <w:rFonts w:ascii="Arial" w:hAnsi="Arial" w:cs="Arial"/>
          <w:sz w:val="22"/>
          <w:szCs w:val="22"/>
          <w:lang w:eastAsia="es-BO"/>
        </w:rPr>
        <w:t>US$200 millones (71,4%)</w:t>
      </w:r>
    </w:p>
    <w:p w14:paraId="2BECDB5D" w14:textId="77777777" w:rsidR="00480639" w:rsidRPr="00117BF8" w:rsidRDefault="00480639" w:rsidP="00480639">
      <w:pPr>
        <w:rPr>
          <w:rFonts w:ascii="Arial" w:hAnsi="Arial" w:cs="Arial"/>
          <w:sz w:val="22"/>
          <w:szCs w:val="22"/>
          <w:lang w:eastAsia="es-BO"/>
        </w:rPr>
      </w:pPr>
      <w:r w:rsidRPr="00117BF8">
        <w:rPr>
          <w:rFonts w:ascii="Arial" w:hAnsi="Arial" w:cs="Arial"/>
          <w:b/>
          <w:sz w:val="22"/>
          <w:szCs w:val="22"/>
          <w:lang w:eastAsia="es-BO"/>
        </w:rPr>
        <w:t xml:space="preserve"> Aporte de Contraparte: </w:t>
      </w:r>
      <w:r w:rsidRPr="00117BF8">
        <w:rPr>
          <w:rFonts w:ascii="Arial" w:hAnsi="Arial" w:cs="Arial"/>
          <w:sz w:val="22"/>
          <w:szCs w:val="22"/>
          <w:lang w:eastAsia="es-BO"/>
        </w:rPr>
        <w:t>US$80 millones (28,6%)</w:t>
      </w:r>
    </w:p>
    <w:p w14:paraId="38A83F86" w14:textId="1761D5D8" w:rsidR="00480639" w:rsidRPr="00117BF8" w:rsidRDefault="00480639" w:rsidP="00480639">
      <w:pPr>
        <w:rPr>
          <w:rFonts w:ascii="Arial" w:hAnsi="Arial" w:cs="Arial"/>
          <w:sz w:val="22"/>
          <w:szCs w:val="22"/>
          <w:lang w:eastAsia="es-BO"/>
        </w:rPr>
      </w:pPr>
      <w:r w:rsidRPr="00117BF8">
        <w:rPr>
          <w:rFonts w:ascii="Arial" w:hAnsi="Arial" w:cs="Arial"/>
          <w:b/>
          <w:sz w:val="22"/>
          <w:szCs w:val="22"/>
          <w:lang w:eastAsia="es-BO"/>
        </w:rPr>
        <w:t xml:space="preserve">Total: </w:t>
      </w:r>
      <w:r w:rsidRPr="00117BF8">
        <w:rPr>
          <w:rFonts w:ascii="Arial" w:hAnsi="Arial" w:cs="Arial"/>
          <w:sz w:val="22"/>
          <w:szCs w:val="22"/>
          <w:lang w:eastAsia="es-BO"/>
        </w:rPr>
        <w:t>US$280 millones</w:t>
      </w:r>
    </w:p>
    <w:p w14:paraId="2999CF1F" w14:textId="77777777" w:rsidR="00480639" w:rsidRPr="00117BF8" w:rsidRDefault="00480639" w:rsidP="00480639">
      <w:pPr>
        <w:rPr>
          <w:rFonts w:ascii="Arial" w:hAnsi="Arial" w:cs="Arial"/>
          <w:b/>
          <w:sz w:val="22"/>
          <w:szCs w:val="22"/>
          <w:lang w:eastAsia="es-BO"/>
        </w:rPr>
      </w:pPr>
      <w:r w:rsidRPr="00117BF8">
        <w:rPr>
          <w:rFonts w:ascii="Arial" w:hAnsi="Arial" w:cs="Arial"/>
          <w:b/>
          <w:sz w:val="22"/>
          <w:szCs w:val="22"/>
          <w:lang w:eastAsia="es-BO"/>
        </w:rPr>
        <w:t>Condiciones (Tasa, plazo, cronograma de desembolso, comisiones y otras características relevantes):</w:t>
      </w:r>
    </w:p>
    <w:p w14:paraId="0CABB121" w14:textId="77777777" w:rsidR="00480639" w:rsidRPr="00117BF8" w:rsidRDefault="00480639" w:rsidP="00480639">
      <w:pPr>
        <w:rPr>
          <w:rFonts w:ascii="Arial" w:hAnsi="Arial" w:cs="Arial"/>
          <w:sz w:val="22"/>
          <w:szCs w:val="22"/>
          <w:lang w:eastAsia="es-BO"/>
        </w:rPr>
      </w:pPr>
      <w:r w:rsidRPr="00117BF8">
        <w:rPr>
          <w:rFonts w:ascii="Arial" w:hAnsi="Arial" w:cs="Arial"/>
          <w:b/>
          <w:sz w:val="22"/>
          <w:szCs w:val="22"/>
          <w:lang w:eastAsia="es-BO"/>
        </w:rPr>
        <w:t xml:space="preserve">Plazo de amortización: </w:t>
      </w:r>
      <w:r w:rsidRPr="00117BF8">
        <w:rPr>
          <w:rFonts w:ascii="Arial" w:hAnsi="Arial" w:cs="Arial"/>
          <w:sz w:val="22"/>
          <w:szCs w:val="22"/>
          <w:lang w:eastAsia="es-BO"/>
        </w:rPr>
        <w:t>25 años</w:t>
      </w:r>
    </w:p>
    <w:p w14:paraId="31B702CD" w14:textId="77777777" w:rsidR="00480639" w:rsidRPr="00117BF8" w:rsidRDefault="00480639" w:rsidP="00480639">
      <w:pPr>
        <w:rPr>
          <w:rFonts w:ascii="Arial" w:hAnsi="Arial" w:cs="Arial"/>
          <w:sz w:val="22"/>
          <w:szCs w:val="22"/>
          <w:lang w:eastAsia="es-BO"/>
        </w:rPr>
      </w:pPr>
      <w:r w:rsidRPr="00117BF8">
        <w:rPr>
          <w:rFonts w:ascii="Arial" w:hAnsi="Arial" w:cs="Arial"/>
          <w:b/>
          <w:sz w:val="22"/>
          <w:szCs w:val="22"/>
          <w:lang w:eastAsia="es-BO"/>
        </w:rPr>
        <w:t xml:space="preserve">Período de desembolso: </w:t>
      </w:r>
      <w:r w:rsidRPr="00117BF8">
        <w:rPr>
          <w:rFonts w:ascii="Arial" w:hAnsi="Arial" w:cs="Arial"/>
          <w:sz w:val="22"/>
          <w:szCs w:val="22"/>
          <w:lang w:eastAsia="es-BO"/>
        </w:rPr>
        <w:t>5 años</w:t>
      </w:r>
    </w:p>
    <w:p w14:paraId="54F334B5" w14:textId="77777777" w:rsidR="00480639" w:rsidRPr="00117BF8" w:rsidRDefault="00480639" w:rsidP="00480639">
      <w:pPr>
        <w:rPr>
          <w:rFonts w:ascii="Arial" w:hAnsi="Arial" w:cs="Arial"/>
          <w:sz w:val="22"/>
          <w:szCs w:val="22"/>
          <w:lang w:eastAsia="es-BO"/>
        </w:rPr>
      </w:pPr>
      <w:r w:rsidRPr="00117BF8">
        <w:rPr>
          <w:rFonts w:ascii="Arial" w:hAnsi="Arial" w:cs="Arial"/>
          <w:b/>
          <w:sz w:val="22"/>
          <w:szCs w:val="22"/>
          <w:lang w:eastAsia="es-BO"/>
        </w:rPr>
        <w:t xml:space="preserve">Tasa de interés: </w:t>
      </w:r>
      <w:r w:rsidRPr="00117BF8">
        <w:rPr>
          <w:rFonts w:ascii="Arial" w:hAnsi="Arial" w:cs="Arial"/>
          <w:sz w:val="22"/>
          <w:szCs w:val="22"/>
          <w:lang w:eastAsia="es-BO"/>
        </w:rPr>
        <w:t>Basada en LIBOR</w:t>
      </w:r>
    </w:p>
    <w:p w14:paraId="1139F37A" w14:textId="77777777" w:rsidR="00480639" w:rsidRPr="00117BF8" w:rsidRDefault="00480639" w:rsidP="00480639">
      <w:pPr>
        <w:rPr>
          <w:rFonts w:ascii="Arial" w:hAnsi="Arial" w:cs="Arial"/>
          <w:sz w:val="22"/>
          <w:szCs w:val="22"/>
          <w:lang w:eastAsia="es-BO"/>
        </w:rPr>
      </w:pPr>
      <w:r w:rsidRPr="00117BF8">
        <w:rPr>
          <w:rFonts w:ascii="Arial" w:hAnsi="Arial" w:cs="Arial"/>
          <w:b/>
          <w:sz w:val="22"/>
          <w:szCs w:val="22"/>
          <w:lang w:eastAsia="es-BO"/>
        </w:rPr>
        <w:t xml:space="preserve">Vida Promedio Ponderada (VPP) Original: </w:t>
      </w:r>
      <w:r w:rsidRPr="00117BF8">
        <w:rPr>
          <w:rFonts w:ascii="Arial" w:hAnsi="Arial" w:cs="Arial"/>
          <w:sz w:val="22"/>
          <w:szCs w:val="22"/>
          <w:lang w:eastAsia="es-BO"/>
        </w:rPr>
        <w:t>14,75 años</w:t>
      </w:r>
    </w:p>
    <w:p w14:paraId="2995894B" w14:textId="2B401514" w:rsidR="00480639" w:rsidRPr="00117BF8" w:rsidRDefault="00480639" w:rsidP="00480639">
      <w:pPr>
        <w:rPr>
          <w:rFonts w:ascii="Arial" w:hAnsi="Arial" w:cs="Arial"/>
          <w:b/>
          <w:u w:val="single"/>
          <w:lang w:eastAsia="es-BO"/>
        </w:rPr>
      </w:pPr>
      <w:r w:rsidRPr="00117BF8">
        <w:rPr>
          <w:rFonts w:ascii="Arial" w:hAnsi="Arial" w:cs="Arial"/>
          <w:b/>
          <w:sz w:val="22"/>
          <w:szCs w:val="22"/>
          <w:lang w:eastAsia="es-BO"/>
        </w:rPr>
        <w:t xml:space="preserve">Moneda de aprobación: </w:t>
      </w:r>
      <w:r w:rsidRPr="00117BF8">
        <w:rPr>
          <w:rFonts w:ascii="Arial" w:hAnsi="Arial" w:cs="Arial"/>
          <w:sz w:val="22"/>
          <w:szCs w:val="22"/>
          <w:lang w:eastAsia="es-BO"/>
        </w:rPr>
        <w:t xml:space="preserve">Dólares estadounidenses con cargo al Capital Ordinario </w:t>
      </w:r>
    </w:p>
    <w:p w14:paraId="68C0CAD9" w14:textId="77777777" w:rsidR="00480639" w:rsidRPr="00117BF8" w:rsidRDefault="00480639" w:rsidP="00480639">
      <w:pPr>
        <w:rPr>
          <w:rFonts w:ascii="Arial" w:hAnsi="Arial" w:cs="Arial"/>
          <w:b/>
          <w:sz w:val="22"/>
          <w:szCs w:val="22"/>
          <w:u w:val="single"/>
          <w:lang w:eastAsia="es-BO"/>
        </w:rPr>
      </w:pPr>
      <w:r w:rsidRPr="00117BF8">
        <w:rPr>
          <w:rFonts w:ascii="Arial" w:hAnsi="Arial" w:cs="Arial"/>
          <w:b/>
          <w:sz w:val="22"/>
          <w:szCs w:val="22"/>
          <w:u w:val="single"/>
          <w:lang w:eastAsia="es-BO"/>
        </w:rPr>
        <w:t>Cronograma de desembolso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080"/>
        <w:gridCol w:w="858"/>
        <w:gridCol w:w="1204"/>
        <w:gridCol w:w="1204"/>
        <w:gridCol w:w="1054"/>
        <w:gridCol w:w="1170"/>
      </w:tblGrid>
      <w:tr w:rsidR="00FA33C8" w:rsidRPr="004E6455" w14:paraId="533748C2" w14:textId="77777777" w:rsidTr="00FA33C8">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4732E769"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Financiamiento</w:t>
            </w:r>
          </w:p>
        </w:tc>
        <w:tc>
          <w:tcPr>
            <w:tcW w:w="1080" w:type="dxa"/>
            <w:tcBorders>
              <w:top w:val="single" w:sz="4" w:space="0" w:color="auto"/>
              <w:left w:val="single" w:sz="4" w:space="0" w:color="auto"/>
              <w:bottom w:val="single" w:sz="4" w:space="0" w:color="auto"/>
              <w:right w:val="single" w:sz="4" w:space="0" w:color="auto"/>
            </w:tcBorders>
            <w:shd w:val="clear" w:color="auto" w:fill="BFBFBF"/>
            <w:hideMark/>
          </w:tcPr>
          <w:p w14:paraId="06E4754C"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Año 1</w:t>
            </w:r>
          </w:p>
        </w:tc>
        <w:tc>
          <w:tcPr>
            <w:tcW w:w="858" w:type="dxa"/>
            <w:tcBorders>
              <w:top w:val="single" w:sz="4" w:space="0" w:color="auto"/>
              <w:left w:val="single" w:sz="4" w:space="0" w:color="auto"/>
              <w:bottom w:val="single" w:sz="4" w:space="0" w:color="auto"/>
              <w:right w:val="single" w:sz="4" w:space="0" w:color="auto"/>
            </w:tcBorders>
            <w:shd w:val="clear" w:color="auto" w:fill="BFBFBF"/>
            <w:hideMark/>
          </w:tcPr>
          <w:p w14:paraId="0574A966"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Año 2</w:t>
            </w:r>
          </w:p>
        </w:tc>
        <w:tc>
          <w:tcPr>
            <w:tcW w:w="1204" w:type="dxa"/>
            <w:tcBorders>
              <w:top w:val="single" w:sz="4" w:space="0" w:color="auto"/>
              <w:left w:val="single" w:sz="4" w:space="0" w:color="auto"/>
              <w:bottom w:val="single" w:sz="4" w:space="0" w:color="auto"/>
              <w:right w:val="single" w:sz="4" w:space="0" w:color="auto"/>
            </w:tcBorders>
            <w:shd w:val="clear" w:color="auto" w:fill="BFBFBF"/>
            <w:hideMark/>
          </w:tcPr>
          <w:p w14:paraId="679357CA"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Año 3</w:t>
            </w:r>
          </w:p>
        </w:tc>
        <w:tc>
          <w:tcPr>
            <w:tcW w:w="1204" w:type="dxa"/>
            <w:tcBorders>
              <w:top w:val="single" w:sz="4" w:space="0" w:color="auto"/>
              <w:left w:val="single" w:sz="4" w:space="0" w:color="auto"/>
              <w:bottom w:val="single" w:sz="4" w:space="0" w:color="auto"/>
              <w:right w:val="single" w:sz="4" w:space="0" w:color="auto"/>
            </w:tcBorders>
            <w:shd w:val="clear" w:color="auto" w:fill="BFBFBF"/>
            <w:hideMark/>
          </w:tcPr>
          <w:p w14:paraId="1A9BC0E5"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Año 4</w:t>
            </w:r>
          </w:p>
        </w:tc>
        <w:tc>
          <w:tcPr>
            <w:tcW w:w="1054" w:type="dxa"/>
            <w:tcBorders>
              <w:top w:val="single" w:sz="4" w:space="0" w:color="auto"/>
              <w:left w:val="single" w:sz="4" w:space="0" w:color="auto"/>
              <w:bottom w:val="single" w:sz="4" w:space="0" w:color="auto"/>
              <w:right w:val="single" w:sz="4" w:space="0" w:color="auto"/>
            </w:tcBorders>
            <w:shd w:val="clear" w:color="auto" w:fill="BFBFBF"/>
            <w:hideMark/>
          </w:tcPr>
          <w:p w14:paraId="6443C2DE"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Año 5</w:t>
            </w:r>
          </w:p>
        </w:tc>
        <w:tc>
          <w:tcPr>
            <w:tcW w:w="1170" w:type="dxa"/>
            <w:tcBorders>
              <w:top w:val="single" w:sz="4" w:space="0" w:color="auto"/>
              <w:left w:val="single" w:sz="4" w:space="0" w:color="auto"/>
              <w:bottom w:val="single" w:sz="4" w:space="0" w:color="auto"/>
              <w:right w:val="single" w:sz="4" w:space="0" w:color="auto"/>
            </w:tcBorders>
            <w:shd w:val="clear" w:color="auto" w:fill="BFBFBF"/>
            <w:hideMark/>
          </w:tcPr>
          <w:p w14:paraId="1697A8E6"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Total</w:t>
            </w:r>
          </w:p>
        </w:tc>
      </w:tr>
      <w:tr w:rsidR="00FA33C8" w:rsidRPr="00593C9A" w14:paraId="25D4EDFA" w14:textId="77777777" w:rsidTr="00FA33C8">
        <w:tc>
          <w:tcPr>
            <w:tcW w:w="2065" w:type="dxa"/>
            <w:tcBorders>
              <w:top w:val="single" w:sz="4" w:space="0" w:color="auto"/>
              <w:left w:val="single" w:sz="4" w:space="0" w:color="auto"/>
              <w:bottom w:val="single" w:sz="4" w:space="0" w:color="auto"/>
              <w:right w:val="single" w:sz="4" w:space="0" w:color="auto"/>
            </w:tcBorders>
            <w:shd w:val="clear" w:color="auto" w:fill="auto"/>
            <w:hideMark/>
          </w:tcPr>
          <w:p w14:paraId="0AEF2614"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BID</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13947A73"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26,99</w:t>
            </w: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422A558F"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71,58</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14:paraId="6D21293C"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58,39</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14:paraId="2C37DE48"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42,74</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14:paraId="765730D1"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0,30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09F8B8C4"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200,00</w:t>
            </w:r>
          </w:p>
        </w:tc>
      </w:tr>
      <w:tr w:rsidR="00FA33C8" w:rsidRPr="00593C9A" w14:paraId="7FD0EDDC" w14:textId="77777777" w:rsidTr="00FA33C8">
        <w:tc>
          <w:tcPr>
            <w:tcW w:w="2065" w:type="dxa"/>
            <w:tcBorders>
              <w:top w:val="single" w:sz="4" w:space="0" w:color="auto"/>
              <w:left w:val="single" w:sz="4" w:space="0" w:color="auto"/>
              <w:bottom w:val="single" w:sz="4" w:space="0" w:color="auto"/>
              <w:right w:val="single" w:sz="4" w:space="0" w:color="auto"/>
            </w:tcBorders>
            <w:shd w:val="clear" w:color="auto" w:fill="auto"/>
            <w:hideMark/>
          </w:tcPr>
          <w:p w14:paraId="74BA6131"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Contrapartida Local</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2D2F78AF"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9,96</w:t>
            </w: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11358A00"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26,44</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14:paraId="4DFBCCDC"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24,80</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14:paraId="4FEEE9DD"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18,80</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14:paraId="1B8EAA3D"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0,00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4B25AFAA" w14:textId="77777777" w:rsidR="00480639" w:rsidRPr="00117BF8" w:rsidRDefault="00480639" w:rsidP="00FA33C8">
            <w:pPr>
              <w:spacing w:after="0"/>
              <w:rPr>
                <w:rFonts w:ascii="Arial" w:hAnsi="Arial" w:cs="Arial"/>
                <w:sz w:val="22"/>
                <w:szCs w:val="22"/>
                <w:lang w:eastAsia="es-BO"/>
              </w:rPr>
            </w:pPr>
            <w:r w:rsidRPr="00117BF8">
              <w:rPr>
                <w:rFonts w:ascii="Arial" w:hAnsi="Arial" w:cs="Arial"/>
                <w:sz w:val="22"/>
                <w:szCs w:val="22"/>
                <w:lang w:eastAsia="es-BO"/>
              </w:rPr>
              <w:t>80,00</w:t>
            </w:r>
          </w:p>
        </w:tc>
      </w:tr>
      <w:tr w:rsidR="00FA33C8" w:rsidRPr="00593C9A" w14:paraId="7B75B530" w14:textId="77777777" w:rsidTr="00FA33C8">
        <w:tc>
          <w:tcPr>
            <w:tcW w:w="2065" w:type="dxa"/>
            <w:tcBorders>
              <w:top w:val="single" w:sz="4" w:space="0" w:color="auto"/>
              <w:left w:val="single" w:sz="4" w:space="0" w:color="auto"/>
              <w:bottom w:val="single" w:sz="4" w:space="0" w:color="auto"/>
              <w:right w:val="single" w:sz="4" w:space="0" w:color="auto"/>
            </w:tcBorders>
            <w:shd w:val="clear" w:color="auto" w:fill="auto"/>
            <w:hideMark/>
          </w:tcPr>
          <w:p w14:paraId="0D4220B6" w14:textId="77777777" w:rsidR="00480639" w:rsidRPr="00117BF8" w:rsidRDefault="00480639" w:rsidP="00FA33C8">
            <w:pPr>
              <w:spacing w:after="0"/>
              <w:rPr>
                <w:rFonts w:ascii="Arial" w:hAnsi="Arial" w:cs="Arial"/>
                <w:b/>
                <w:sz w:val="22"/>
                <w:szCs w:val="22"/>
                <w:lang w:eastAsia="es-BO"/>
              </w:rPr>
            </w:pPr>
            <w:r w:rsidRPr="00117BF8">
              <w:rPr>
                <w:rFonts w:ascii="Arial" w:hAnsi="Arial" w:cs="Arial"/>
                <w:b/>
                <w:sz w:val="22"/>
                <w:szCs w:val="22"/>
                <w:lang w:eastAsia="es-BO"/>
              </w:rPr>
              <w:t>Total</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3CEDAF79" w14:textId="77777777" w:rsidR="00480639" w:rsidRPr="00117BF8" w:rsidRDefault="00480639" w:rsidP="00FA33C8">
            <w:pPr>
              <w:spacing w:after="0"/>
              <w:rPr>
                <w:rFonts w:ascii="Arial" w:hAnsi="Arial" w:cs="Arial"/>
                <w:b/>
                <w:sz w:val="22"/>
                <w:szCs w:val="22"/>
                <w:lang w:eastAsia="es-BO"/>
              </w:rPr>
            </w:pPr>
            <w:r w:rsidRPr="00117BF8">
              <w:rPr>
                <w:rFonts w:ascii="Arial" w:hAnsi="Arial" w:cs="Arial"/>
                <w:b/>
                <w:sz w:val="22"/>
                <w:szCs w:val="22"/>
                <w:lang w:eastAsia="es-BO"/>
              </w:rPr>
              <w:t>36,95</w:t>
            </w: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14:paraId="05718822" w14:textId="77777777" w:rsidR="00480639" w:rsidRPr="00117BF8" w:rsidRDefault="00480639" w:rsidP="00FA33C8">
            <w:pPr>
              <w:spacing w:after="0"/>
              <w:rPr>
                <w:rFonts w:ascii="Arial" w:hAnsi="Arial" w:cs="Arial"/>
                <w:b/>
                <w:sz w:val="22"/>
                <w:szCs w:val="22"/>
                <w:lang w:eastAsia="es-BO"/>
              </w:rPr>
            </w:pPr>
            <w:r w:rsidRPr="00117BF8">
              <w:rPr>
                <w:rFonts w:ascii="Arial" w:hAnsi="Arial" w:cs="Arial"/>
                <w:b/>
                <w:sz w:val="22"/>
                <w:szCs w:val="22"/>
                <w:lang w:eastAsia="es-BO"/>
              </w:rPr>
              <w:t>98,02</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14:paraId="6F80254A" w14:textId="77777777" w:rsidR="00480639" w:rsidRPr="00117BF8" w:rsidRDefault="00480639" w:rsidP="00FA33C8">
            <w:pPr>
              <w:spacing w:after="0"/>
              <w:rPr>
                <w:rFonts w:ascii="Arial" w:hAnsi="Arial" w:cs="Arial"/>
                <w:b/>
                <w:sz w:val="22"/>
                <w:szCs w:val="22"/>
                <w:lang w:eastAsia="es-BO"/>
              </w:rPr>
            </w:pPr>
            <w:r w:rsidRPr="00117BF8">
              <w:rPr>
                <w:rFonts w:ascii="Arial" w:hAnsi="Arial" w:cs="Arial"/>
                <w:b/>
                <w:sz w:val="22"/>
                <w:szCs w:val="22"/>
                <w:lang w:eastAsia="es-BO"/>
              </w:rPr>
              <w:t>83,19</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14:paraId="222376C7" w14:textId="77777777" w:rsidR="00480639" w:rsidRPr="00117BF8" w:rsidRDefault="00480639" w:rsidP="00FA33C8">
            <w:pPr>
              <w:spacing w:after="0"/>
              <w:rPr>
                <w:rFonts w:ascii="Arial" w:hAnsi="Arial" w:cs="Arial"/>
                <w:b/>
                <w:sz w:val="22"/>
                <w:szCs w:val="22"/>
                <w:lang w:eastAsia="es-BO"/>
              </w:rPr>
            </w:pPr>
            <w:r w:rsidRPr="00117BF8">
              <w:rPr>
                <w:rFonts w:ascii="Arial" w:hAnsi="Arial" w:cs="Arial"/>
                <w:b/>
                <w:sz w:val="22"/>
                <w:szCs w:val="22"/>
                <w:lang w:eastAsia="es-BO"/>
              </w:rPr>
              <w:t>61,54</w:t>
            </w:r>
          </w:p>
        </w:tc>
        <w:tc>
          <w:tcPr>
            <w:tcW w:w="1054" w:type="dxa"/>
            <w:tcBorders>
              <w:top w:val="single" w:sz="4" w:space="0" w:color="auto"/>
              <w:left w:val="single" w:sz="4" w:space="0" w:color="auto"/>
              <w:bottom w:val="single" w:sz="4" w:space="0" w:color="auto"/>
              <w:right w:val="single" w:sz="4" w:space="0" w:color="auto"/>
            </w:tcBorders>
            <w:shd w:val="clear" w:color="auto" w:fill="auto"/>
            <w:hideMark/>
          </w:tcPr>
          <w:p w14:paraId="4590838A" w14:textId="77777777" w:rsidR="00480639" w:rsidRPr="00117BF8" w:rsidRDefault="00480639" w:rsidP="00FA33C8">
            <w:pPr>
              <w:spacing w:after="0"/>
              <w:rPr>
                <w:rFonts w:ascii="Arial" w:hAnsi="Arial" w:cs="Arial"/>
                <w:b/>
                <w:sz w:val="22"/>
                <w:szCs w:val="22"/>
                <w:lang w:eastAsia="es-BO"/>
              </w:rPr>
            </w:pPr>
            <w:r w:rsidRPr="00117BF8">
              <w:rPr>
                <w:rFonts w:ascii="Arial" w:hAnsi="Arial" w:cs="Arial"/>
                <w:b/>
                <w:sz w:val="22"/>
                <w:szCs w:val="22"/>
                <w:lang w:eastAsia="es-BO"/>
              </w:rPr>
              <w:t>0,30</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54131767" w14:textId="77777777" w:rsidR="00480639" w:rsidRPr="00117BF8" w:rsidRDefault="00480639" w:rsidP="00FA33C8">
            <w:pPr>
              <w:spacing w:after="0"/>
              <w:rPr>
                <w:rFonts w:ascii="Arial" w:hAnsi="Arial" w:cs="Arial"/>
                <w:b/>
                <w:sz w:val="22"/>
                <w:szCs w:val="22"/>
                <w:lang w:eastAsia="es-BO"/>
              </w:rPr>
            </w:pPr>
            <w:r w:rsidRPr="00117BF8">
              <w:rPr>
                <w:rFonts w:ascii="Arial" w:hAnsi="Arial" w:cs="Arial"/>
                <w:b/>
                <w:sz w:val="22"/>
                <w:szCs w:val="22"/>
                <w:lang w:eastAsia="es-BO"/>
              </w:rPr>
              <w:t>280,00</w:t>
            </w:r>
          </w:p>
        </w:tc>
      </w:tr>
    </w:tbl>
    <w:p w14:paraId="6DB4EC6B" w14:textId="77777777" w:rsidR="00480639" w:rsidRPr="00117BF8" w:rsidRDefault="00480639" w:rsidP="00480639">
      <w:pPr>
        <w:rPr>
          <w:rFonts w:ascii="Arial" w:hAnsi="Arial" w:cs="Arial"/>
          <w:b/>
          <w:sz w:val="22"/>
          <w:szCs w:val="22"/>
          <w:u w:val="single"/>
          <w:lang w:eastAsia="es-BO"/>
        </w:rPr>
      </w:pPr>
    </w:p>
    <w:p w14:paraId="50DEB9FC" w14:textId="77777777" w:rsidR="00480639" w:rsidRPr="00117BF8" w:rsidRDefault="00480639" w:rsidP="00117BF8">
      <w:pPr>
        <w:spacing w:after="180"/>
        <w:rPr>
          <w:rFonts w:ascii="Arial" w:hAnsi="Arial" w:cs="Arial"/>
          <w:b/>
          <w:sz w:val="22"/>
          <w:szCs w:val="22"/>
          <w:lang w:eastAsia="en-US"/>
        </w:rPr>
      </w:pPr>
      <w:r w:rsidRPr="00117BF8">
        <w:rPr>
          <w:rFonts w:ascii="Arial" w:hAnsi="Arial" w:cs="Arial"/>
          <w:b/>
          <w:sz w:val="22"/>
          <w:szCs w:val="22"/>
        </w:rPr>
        <w:t>Costos Anuales Estimados de la Operación y Mantenimiento de la Infraestructura y otras facilidades a financiar con el préstamo:</w:t>
      </w:r>
    </w:p>
    <w:p w14:paraId="0B91CECB" w14:textId="77777777" w:rsidR="00480639" w:rsidRPr="00117BF8" w:rsidRDefault="00480639" w:rsidP="00480639">
      <w:pPr>
        <w:rPr>
          <w:rFonts w:ascii="Arial" w:hAnsi="Arial" w:cs="Arial"/>
          <w:color w:val="002060"/>
          <w:sz w:val="22"/>
          <w:szCs w:val="22"/>
        </w:rPr>
      </w:pPr>
      <w:r w:rsidRPr="00117BF8">
        <w:rPr>
          <w:rFonts w:ascii="Arial" w:hAnsi="Arial" w:cs="Arial"/>
          <w:b/>
          <w:sz w:val="22"/>
          <w:szCs w:val="22"/>
        </w:rPr>
        <w:t>Mantenimiento de la Infraestructura</w:t>
      </w:r>
      <w:r w:rsidRPr="00117BF8">
        <w:rPr>
          <w:rFonts w:ascii="Arial" w:hAnsi="Arial" w:cs="Arial"/>
          <w:sz w:val="22"/>
          <w:szCs w:val="22"/>
        </w:rPr>
        <w:t>. Para asegurar la sostenibilidad de las inversiones a realizarse bajo el programa, la DVBA informó que los tramos, una vez concluidos, serán traspasados a AUBASA para su operación y mantenimiento, y serán financiadas con sus recursos previstos en el contrato de concesión</w:t>
      </w:r>
      <w:r w:rsidRPr="00117BF8">
        <w:rPr>
          <w:rFonts w:ascii="Arial" w:hAnsi="Arial" w:cs="Arial"/>
          <w:color w:val="002060"/>
          <w:sz w:val="22"/>
          <w:szCs w:val="22"/>
        </w:rPr>
        <w:t>.</w:t>
      </w:r>
    </w:p>
    <w:p w14:paraId="73B6F7D7" w14:textId="77777777" w:rsidR="00480639" w:rsidRPr="00117BF8" w:rsidRDefault="00480639" w:rsidP="00480639">
      <w:pPr>
        <w:rPr>
          <w:rFonts w:ascii="Arial" w:hAnsi="Arial" w:cs="Arial"/>
        </w:rPr>
      </w:pPr>
    </w:p>
    <w:p w14:paraId="69ADA5E0" w14:textId="70A2C4F6" w:rsidR="005A0FEC" w:rsidRPr="00117BF8" w:rsidRDefault="005A0FEC" w:rsidP="00117BF8">
      <w:pPr>
        <w:pStyle w:val="Heading1"/>
        <w:spacing w:before="120" w:after="180"/>
        <w:rPr>
          <w:rFonts w:eastAsia="Calibri" w:cs="Arial"/>
          <w:sz w:val="22"/>
          <w:szCs w:val="22"/>
        </w:rPr>
      </w:pPr>
      <w:r w:rsidRPr="00117BF8">
        <w:rPr>
          <w:rFonts w:ascii="Arial" w:eastAsia="Calibri" w:hAnsi="Arial" w:cs="Arial"/>
          <w:b w:val="0"/>
          <w:caps w:val="0"/>
        </w:rPr>
        <w:br w:type="page"/>
      </w:r>
      <w:bookmarkStart w:id="149" w:name="_Toc494040354"/>
      <w:r w:rsidRPr="00117BF8">
        <w:rPr>
          <w:rFonts w:ascii="Arial" w:eastAsia="Calibri" w:hAnsi="Arial" w:cs="Arial"/>
          <w:b w:val="0"/>
          <w:caps w:val="0"/>
          <w:sz w:val="22"/>
          <w:szCs w:val="22"/>
        </w:rPr>
        <w:t xml:space="preserve">Anexo II – </w:t>
      </w:r>
      <w:r w:rsidR="004548C0" w:rsidRPr="00117BF8">
        <w:rPr>
          <w:rFonts w:ascii="Arial" w:eastAsia="Calibri" w:hAnsi="Arial" w:cs="Arial"/>
          <w:b w:val="0"/>
          <w:caps w:val="0"/>
          <w:sz w:val="22"/>
          <w:szCs w:val="22"/>
        </w:rPr>
        <w:t>Fuentes de Información y Documentación Recibida</w:t>
      </w:r>
      <w:bookmarkEnd w:id="149"/>
    </w:p>
    <w:p w14:paraId="45C164AE" w14:textId="77777777" w:rsidR="004548C0" w:rsidRPr="00117BF8" w:rsidRDefault="004548C0" w:rsidP="004548C0">
      <w:pPr>
        <w:pStyle w:val="hsa"/>
        <w:rPr>
          <w:rFonts w:ascii="Arial" w:hAnsi="Arial" w:cs="Arial"/>
          <w:sz w:val="22"/>
          <w:szCs w:val="22"/>
        </w:rPr>
      </w:pPr>
      <w:r w:rsidRPr="00117BF8">
        <w:rPr>
          <w:rFonts w:ascii="Arial" w:hAnsi="Arial" w:cs="Arial"/>
          <w:sz w:val="22"/>
          <w:szCs w:val="22"/>
        </w:rPr>
        <w:t>Este informe se elaboró utilizando diversas fuentes de información</w:t>
      </w:r>
      <w:r w:rsidR="00BA78F0" w:rsidRPr="00117BF8">
        <w:rPr>
          <w:rFonts w:ascii="Arial" w:hAnsi="Arial" w:cs="Arial"/>
          <w:sz w:val="22"/>
          <w:szCs w:val="22"/>
        </w:rPr>
        <w:t xml:space="preserve">.  Además de los documentos entregados por las autoridades de la Provincia de Buenos que se citan oportunamente, otras fuentes </w:t>
      </w:r>
      <w:r w:rsidRPr="00117BF8">
        <w:rPr>
          <w:rFonts w:ascii="Arial" w:hAnsi="Arial" w:cs="Arial"/>
          <w:sz w:val="22"/>
          <w:szCs w:val="22"/>
        </w:rPr>
        <w:t>se detallan a continuación:</w:t>
      </w:r>
    </w:p>
    <w:p w14:paraId="27404D0A" w14:textId="77777777" w:rsidR="004548C0" w:rsidRPr="00117BF8" w:rsidRDefault="004548C0" w:rsidP="004548C0">
      <w:pPr>
        <w:pStyle w:val="HPUN"/>
        <w:rPr>
          <w:rFonts w:ascii="Arial" w:hAnsi="Arial" w:cs="Arial"/>
          <w:sz w:val="22"/>
          <w:szCs w:val="22"/>
        </w:rPr>
      </w:pPr>
      <w:r w:rsidRPr="00117BF8">
        <w:rPr>
          <w:rFonts w:ascii="Arial" w:hAnsi="Arial" w:cs="Arial"/>
          <w:sz w:val="22"/>
          <w:szCs w:val="22"/>
        </w:rPr>
        <w:t>Ejecución presupuestaria - CGPBA</w:t>
      </w:r>
    </w:p>
    <w:p w14:paraId="68D84CB3" w14:textId="77777777" w:rsidR="004548C0" w:rsidRPr="00117BF8" w:rsidRDefault="00F85C8E" w:rsidP="004548C0">
      <w:pPr>
        <w:rPr>
          <w:rStyle w:val="Hyperlink"/>
          <w:rFonts w:ascii="Arial" w:hAnsi="Arial" w:cs="Arial"/>
          <w:sz w:val="22"/>
          <w:szCs w:val="22"/>
        </w:rPr>
      </w:pPr>
      <w:hyperlink r:id="rId57" w:history="1">
        <w:r w:rsidR="004548C0" w:rsidRPr="00117BF8">
          <w:rPr>
            <w:rStyle w:val="Hyperlink"/>
            <w:rFonts w:ascii="Arial" w:hAnsi="Arial" w:cs="Arial"/>
            <w:sz w:val="22"/>
            <w:szCs w:val="22"/>
          </w:rPr>
          <w:t>http://www.cgp.gba.gov.ar/presupuestaria/descargar-ejecucion.aspx</w:t>
        </w:r>
      </w:hyperlink>
    </w:p>
    <w:p w14:paraId="4D036796" w14:textId="77777777" w:rsidR="004548C0" w:rsidRPr="00117BF8" w:rsidRDefault="004548C0" w:rsidP="004548C0">
      <w:pPr>
        <w:pStyle w:val="HPUN"/>
        <w:rPr>
          <w:rFonts w:ascii="Arial" w:hAnsi="Arial" w:cs="Arial"/>
          <w:sz w:val="22"/>
          <w:szCs w:val="22"/>
        </w:rPr>
      </w:pPr>
      <w:r w:rsidRPr="00117BF8">
        <w:rPr>
          <w:rFonts w:ascii="Arial" w:hAnsi="Arial" w:cs="Arial"/>
          <w:sz w:val="22"/>
          <w:szCs w:val="22"/>
        </w:rPr>
        <w:t>Presupuesto 2017 – Ministerio de Economía PBA</w:t>
      </w:r>
    </w:p>
    <w:p w14:paraId="16A9C94D" w14:textId="77777777" w:rsidR="004548C0" w:rsidRPr="00117BF8" w:rsidRDefault="00F85C8E" w:rsidP="004548C0">
      <w:pPr>
        <w:rPr>
          <w:rStyle w:val="Hyperlink"/>
          <w:rFonts w:ascii="Arial" w:hAnsi="Arial" w:cs="Arial"/>
          <w:sz w:val="22"/>
          <w:szCs w:val="22"/>
        </w:rPr>
      </w:pPr>
      <w:hyperlink r:id="rId58" w:history="1">
        <w:r w:rsidR="004548C0" w:rsidRPr="00117BF8">
          <w:rPr>
            <w:rStyle w:val="Hyperlink"/>
            <w:rFonts w:ascii="Arial" w:hAnsi="Arial" w:cs="Arial"/>
            <w:sz w:val="22"/>
            <w:szCs w:val="22"/>
          </w:rPr>
          <w:t>http://www.ec.gba.gov.ar/areas/hacienda/Presupuesto/Presupuestos/2017/php/PlanillasAnexas2017.php</w:t>
        </w:r>
      </w:hyperlink>
    </w:p>
    <w:p w14:paraId="0A9C405B" w14:textId="2F6B0655" w:rsidR="004548C0" w:rsidRPr="00117BF8" w:rsidRDefault="004548C0" w:rsidP="004548C0">
      <w:pPr>
        <w:pStyle w:val="HPUN"/>
        <w:rPr>
          <w:rFonts w:ascii="Arial" w:hAnsi="Arial" w:cs="Arial"/>
          <w:sz w:val="22"/>
          <w:szCs w:val="22"/>
        </w:rPr>
      </w:pPr>
      <w:r w:rsidRPr="00117BF8">
        <w:rPr>
          <w:rFonts w:ascii="Arial" w:hAnsi="Arial" w:cs="Arial"/>
          <w:sz w:val="22"/>
          <w:szCs w:val="22"/>
        </w:rPr>
        <w:t xml:space="preserve">Informes de Deuda 2015, 2016 </w:t>
      </w:r>
      <w:r w:rsidR="00920FA2" w:rsidRPr="00117BF8">
        <w:rPr>
          <w:rFonts w:ascii="Arial" w:hAnsi="Arial" w:cs="Arial"/>
          <w:sz w:val="22"/>
          <w:szCs w:val="22"/>
        </w:rPr>
        <w:t xml:space="preserve">y primer trimestre 2017 </w:t>
      </w:r>
      <w:r w:rsidRPr="00117BF8">
        <w:rPr>
          <w:rFonts w:ascii="Arial" w:hAnsi="Arial" w:cs="Arial"/>
          <w:sz w:val="22"/>
          <w:szCs w:val="22"/>
        </w:rPr>
        <w:t>– Ministerio de Economía PBA</w:t>
      </w:r>
    </w:p>
    <w:p w14:paraId="275D8B12" w14:textId="77777777" w:rsidR="004548C0" w:rsidRPr="00117BF8" w:rsidRDefault="00F85C8E" w:rsidP="004548C0">
      <w:pPr>
        <w:rPr>
          <w:rFonts w:ascii="Arial" w:hAnsi="Arial" w:cs="Arial"/>
          <w:sz w:val="22"/>
          <w:szCs w:val="22"/>
        </w:rPr>
      </w:pPr>
      <w:hyperlink r:id="rId59" w:history="1">
        <w:r w:rsidR="004548C0" w:rsidRPr="00117BF8">
          <w:rPr>
            <w:rStyle w:val="Hyperlink"/>
            <w:rFonts w:ascii="Arial" w:hAnsi="Arial" w:cs="Arial"/>
            <w:sz w:val="22"/>
            <w:szCs w:val="22"/>
          </w:rPr>
          <w:t>http://www.ec.gba.gov.ar/areas/finanzas/deuda/reporte_trimestral.php</w:t>
        </w:r>
      </w:hyperlink>
    </w:p>
    <w:p w14:paraId="4AAD0B3A" w14:textId="77777777" w:rsidR="004548C0" w:rsidRPr="00117BF8" w:rsidRDefault="004548C0" w:rsidP="004548C0">
      <w:pPr>
        <w:pStyle w:val="HPUN"/>
        <w:rPr>
          <w:rFonts w:ascii="Arial" w:hAnsi="Arial" w:cs="Arial"/>
          <w:sz w:val="22"/>
          <w:szCs w:val="22"/>
        </w:rPr>
      </w:pPr>
      <w:r w:rsidRPr="00117BF8">
        <w:rPr>
          <w:rFonts w:ascii="Arial" w:hAnsi="Arial" w:cs="Arial"/>
          <w:sz w:val="22"/>
          <w:szCs w:val="22"/>
        </w:rPr>
        <w:t>Evolución y Stock de Deuda– Ministerio de Economía PBA</w:t>
      </w:r>
    </w:p>
    <w:p w14:paraId="6B949A2B" w14:textId="77777777" w:rsidR="004548C0" w:rsidRPr="00117BF8" w:rsidRDefault="00F85C8E" w:rsidP="004548C0">
      <w:pPr>
        <w:rPr>
          <w:rFonts w:ascii="Arial" w:hAnsi="Arial" w:cs="Arial"/>
          <w:sz w:val="22"/>
          <w:szCs w:val="22"/>
        </w:rPr>
      </w:pPr>
      <w:hyperlink r:id="rId60" w:history="1">
        <w:r w:rsidR="004548C0" w:rsidRPr="00117BF8">
          <w:rPr>
            <w:rStyle w:val="Hyperlink"/>
            <w:rFonts w:ascii="Arial" w:hAnsi="Arial" w:cs="Arial"/>
            <w:sz w:val="22"/>
            <w:szCs w:val="22"/>
          </w:rPr>
          <w:t>http://www.ec.gba.gov.ar/areas/finanzas/deuda/stock.php</w:t>
        </w:r>
      </w:hyperlink>
    </w:p>
    <w:p w14:paraId="3EEB4541" w14:textId="37DEB32F" w:rsidR="004548C0" w:rsidRPr="00117BF8" w:rsidRDefault="004548C0" w:rsidP="004548C0">
      <w:pPr>
        <w:pStyle w:val="HPUN"/>
        <w:rPr>
          <w:rFonts w:ascii="Arial" w:hAnsi="Arial" w:cs="Arial"/>
          <w:sz w:val="22"/>
          <w:szCs w:val="22"/>
        </w:rPr>
      </w:pPr>
      <w:r w:rsidRPr="00117BF8">
        <w:rPr>
          <w:rFonts w:ascii="Arial" w:hAnsi="Arial" w:cs="Arial"/>
          <w:sz w:val="22"/>
          <w:szCs w:val="22"/>
        </w:rPr>
        <w:t>Prospectos de Deuda y Programas de Emisión – Varias Emisiones – Ministerio de Economía PBA</w:t>
      </w:r>
    </w:p>
    <w:p w14:paraId="62CC9C2A" w14:textId="77777777" w:rsidR="004548C0" w:rsidRPr="00117BF8" w:rsidRDefault="00F85C8E" w:rsidP="004548C0">
      <w:pPr>
        <w:rPr>
          <w:rFonts w:ascii="Arial" w:hAnsi="Arial" w:cs="Arial"/>
          <w:sz w:val="22"/>
          <w:szCs w:val="22"/>
        </w:rPr>
      </w:pPr>
      <w:hyperlink r:id="rId61" w:history="1">
        <w:r w:rsidR="004548C0" w:rsidRPr="00117BF8">
          <w:rPr>
            <w:rStyle w:val="Hyperlink"/>
            <w:rFonts w:ascii="Arial" w:hAnsi="Arial" w:cs="Arial"/>
            <w:sz w:val="22"/>
            <w:szCs w:val="22"/>
          </w:rPr>
          <w:t>http://www.ec.gba.gov.ar/areas/finanzas/deuda/mercado%20de%20capitales/prospectos/</w:t>
        </w:r>
      </w:hyperlink>
    </w:p>
    <w:p w14:paraId="5E8FD105" w14:textId="77777777" w:rsidR="004548C0" w:rsidRPr="00117BF8" w:rsidRDefault="004548C0" w:rsidP="004548C0">
      <w:pPr>
        <w:pStyle w:val="HPUN"/>
        <w:rPr>
          <w:rFonts w:ascii="Arial" w:hAnsi="Arial" w:cs="Arial"/>
          <w:sz w:val="22"/>
          <w:szCs w:val="22"/>
        </w:rPr>
      </w:pPr>
      <w:r w:rsidRPr="00117BF8">
        <w:rPr>
          <w:rFonts w:ascii="Arial" w:hAnsi="Arial" w:cs="Arial"/>
          <w:sz w:val="22"/>
          <w:szCs w:val="22"/>
        </w:rPr>
        <w:t>Varios Informes de Ejecución Presupuestaria de la PBA - Asociación Argentina de Presupuesto y Administración Financiera Pública (ASAP).</w:t>
      </w:r>
    </w:p>
    <w:p w14:paraId="4E529DE2" w14:textId="77777777" w:rsidR="004548C0" w:rsidRPr="00117BF8" w:rsidRDefault="004548C0" w:rsidP="004548C0">
      <w:pPr>
        <w:rPr>
          <w:rStyle w:val="Hyperlink"/>
          <w:rFonts w:ascii="Arial" w:hAnsi="Arial" w:cs="Arial"/>
          <w:sz w:val="22"/>
          <w:szCs w:val="22"/>
        </w:rPr>
      </w:pPr>
      <w:r w:rsidRPr="00117BF8">
        <w:rPr>
          <w:rStyle w:val="Hyperlink"/>
          <w:rFonts w:ascii="Arial" w:hAnsi="Arial" w:cs="Arial"/>
          <w:sz w:val="22"/>
          <w:szCs w:val="22"/>
        </w:rPr>
        <w:t>http://www.asap.org.ar/</w:t>
      </w:r>
    </w:p>
    <w:p w14:paraId="527FC49C" w14:textId="77777777" w:rsidR="004548C0" w:rsidRPr="00117BF8" w:rsidRDefault="004548C0" w:rsidP="004548C0">
      <w:pPr>
        <w:pStyle w:val="HPUN"/>
        <w:rPr>
          <w:rFonts w:ascii="Arial" w:hAnsi="Arial" w:cs="Arial"/>
          <w:sz w:val="22"/>
          <w:szCs w:val="22"/>
        </w:rPr>
      </w:pPr>
      <w:r w:rsidRPr="00117BF8">
        <w:rPr>
          <w:rFonts w:ascii="Arial" w:hAnsi="Arial" w:cs="Arial"/>
          <w:sz w:val="22"/>
          <w:szCs w:val="22"/>
        </w:rPr>
        <w:t>Leyes de Presupuesto Nacional y Provincial varios años.</w:t>
      </w:r>
    </w:p>
    <w:p w14:paraId="0AA688E4" w14:textId="77777777" w:rsidR="00BA78F0" w:rsidRPr="00117BF8" w:rsidRDefault="00BA78F0" w:rsidP="0012519D">
      <w:pPr>
        <w:pStyle w:val="hpun1"/>
        <w:rPr>
          <w:rFonts w:ascii="Arial" w:hAnsi="Arial" w:cs="Arial"/>
          <w:sz w:val="22"/>
          <w:szCs w:val="22"/>
        </w:rPr>
      </w:pPr>
      <w:r w:rsidRPr="00117BF8">
        <w:rPr>
          <w:rFonts w:ascii="Arial" w:hAnsi="Arial" w:cs="Arial"/>
          <w:sz w:val="22"/>
          <w:szCs w:val="22"/>
        </w:rPr>
        <w:t>Proyecto de Ley de Responsabilidad Fiscal</w:t>
      </w:r>
    </w:p>
    <w:p w14:paraId="31DE3BBD" w14:textId="77777777" w:rsidR="00BA78F0" w:rsidRPr="00117BF8" w:rsidRDefault="00F85C8E" w:rsidP="00BA78F0">
      <w:pPr>
        <w:rPr>
          <w:rFonts w:ascii="Arial" w:hAnsi="Arial" w:cs="Arial"/>
          <w:sz w:val="22"/>
          <w:szCs w:val="22"/>
        </w:rPr>
      </w:pPr>
      <w:hyperlink r:id="rId62" w:history="1">
        <w:r w:rsidR="00BA78F0" w:rsidRPr="00117BF8">
          <w:rPr>
            <w:rStyle w:val="Hyperlink"/>
            <w:rFonts w:ascii="Arial" w:hAnsi="Arial" w:cs="Arial"/>
            <w:sz w:val="22"/>
            <w:szCs w:val="22"/>
          </w:rPr>
          <w:t>http://www.iprofesional.com/adjuntos/pdf/2017/09/447888.pdf</w:t>
        </w:r>
      </w:hyperlink>
    </w:p>
    <w:p w14:paraId="35A6A23E" w14:textId="77777777" w:rsidR="00BA78F0" w:rsidRPr="00117BF8" w:rsidRDefault="00BA78F0" w:rsidP="0012519D">
      <w:pPr>
        <w:pStyle w:val="hpun1"/>
        <w:rPr>
          <w:rFonts w:ascii="Arial" w:hAnsi="Arial" w:cs="Arial"/>
          <w:sz w:val="22"/>
          <w:szCs w:val="22"/>
        </w:rPr>
      </w:pPr>
      <w:r w:rsidRPr="00117BF8">
        <w:rPr>
          <w:rFonts w:ascii="Arial" w:hAnsi="Arial" w:cs="Arial"/>
          <w:sz w:val="22"/>
          <w:szCs w:val="22"/>
        </w:rPr>
        <w:t>Dirección Provincial de Política Tributaria</w:t>
      </w:r>
    </w:p>
    <w:p w14:paraId="54AB0388" w14:textId="77777777" w:rsidR="00BA78F0" w:rsidRPr="00117BF8" w:rsidRDefault="00F85C8E" w:rsidP="00BA78F0">
      <w:pPr>
        <w:rPr>
          <w:rFonts w:ascii="Arial" w:hAnsi="Arial" w:cs="Arial"/>
          <w:sz w:val="22"/>
          <w:szCs w:val="22"/>
        </w:rPr>
      </w:pPr>
      <w:hyperlink r:id="rId63" w:history="1">
        <w:r w:rsidR="00BA78F0" w:rsidRPr="00117BF8">
          <w:rPr>
            <w:rStyle w:val="Hyperlink"/>
            <w:rFonts w:ascii="Arial" w:hAnsi="Arial" w:cs="Arial"/>
            <w:sz w:val="22"/>
            <w:szCs w:val="22"/>
          </w:rPr>
          <w:t>http://www.ec.gba.gov.ar/areas/hacienda/PolTributaria/recaudacion_provincial.php</w:t>
        </w:r>
      </w:hyperlink>
    </w:p>
    <w:p w14:paraId="3FB35E89" w14:textId="758CF6C6" w:rsidR="00BA78F0" w:rsidRPr="00117BF8" w:rsidRDefault="00BA78F0" w:rsidP="0012519D">
      <w:pPr>
        <w:pStyle w:val="hpun1"/>
        <w:rPr>
          <w:rFonts w:ascii="Arial" w:hAnsi="Arial" w:cs="Arial"/>
          <w:sz w:val="22"/>
          <w:szCs w:val="22"/>
        </w:rPr>
      </w:pPr>
      <w:r w:rsidRPr="00117BF8">
        <w:rPr>
          <w:rFonts w:ascii="Arial" w:hAnsi="Arial" w:cs="Arial"/>
          <w:sz w:val="22"/>
          <w:szCs w:val="22"/>
        </w:rPr>
        <w:t xml:space="preserve">Monitor Fiscal - IERAL - Año 11 - Edición Nº 27 - 27 de </w:t>
      </w:r>
      <w:r w:rsidR="005A28C7" w:rsidRPr="00593C9A">
        <w:rPr>
          <w:rFonts w:ascii="Arial" w:hAnsi="Arial" w:cs="Arial"/>
          <w:sz w:val="22"/>
          <w:szCs w:val="22"/>
        </w:rPr>
        <w:t>enero</w:t>
      </w:r>
      <w:r w:rsidRPr="00117BF8">
        <w:rPr>
          <w:rFonts w:ascii="Arial" w:hAnsi="Arial" w:cs="Arial"/>
          <w:sz w:val="22"/>
          <w:szCs w:val="22"/>
        </w:rPr>
        <w:t xml:space="preserve"> de 2016</w:t>
      </w:r>
    </w:p>
    <w:p w14:paraId="5F3E7759" w14:textId="77777777" w:rsidR="00BA78F0" w:rsidRPr="00117BF8" w:rsidRDefault="00BA78F0" w:rsidP="0012519D">
      <w:pPr>
        <w:pStyle w:val="hpun1"/>
        <w:rPr>
          <w:rFonts w:ascii="Arial" w:hAnsi="Arial" w:cs="Arial"/>
          <w:sz w:val="22"/>
          <w:szCs w:val="22"/>
        </w:rPr>
      </w:pPr>
      <w:r w:rsidRPr="00117BF8">
        <w:rPr>
          <w:rFonts w:ascii="Arial" w:hAnsi="Arial" w:cs="Arial"/>
          <w:sz w:val="22"/>
          <w:szCs w:val="22"/>
        </w:rPr>
        <w:t>Informes de calificación de deuda de Moody´s (14/7/17)</w:t>
      </w:r>
    </w:p>
    <w:p w14:paraId="7A757967" w14:textId="77777777" w:rsidR="00BA78F0" w:rsidRPr="00117BF8" w:rsidRDefault="00BA78F0" w:rsidP="0012519D">
      <w:pPr>
        <w:pStyle w:val="hpun1"/>
        <w:rPr>
          <w:rFonts w:ascii="Arial" w:hAnsi="Arial" w:cs="Arial"/>
          <w:sz w:val="22"/>
          <w:szCs w:val="22"/>
        </w:rPr>
      </w:pPr>
      <w:r w:rsidRPr="00117BF8">
        <w:rPr>
          <w:rFonts w:ascii="Arial" w:hAnsi="Arial" w:cs="Arial"/>
          <w:sz w:val="22"/>
          <w:szCs w:val="22"/>
        </w:rPr>
        <w:t>Informes de calificación de deuda de Standard &amp; Poor´s (14/7/17)</w:t>
      </w:r>
    </w:p>
    <w:p w14:paraId="07BF7017" w14:textId="77777777" w:rsidR="00BA78F0" w:rsidRPr="00117BF8" w:rsidRDefault="00BA78F0" w:rsidP="0012519D">
      <w:pPr>
        <w:pStyle w:val="hpun1"/>
        <w:rPr>
          <w:rFonts w:ascii="Arial" w:hAnsi="Arial" w:cs="Arial"/>
          <w:sz w:val="22"/>
          <w:szCs w:val="22"/>
        </w:rPr>
      </w:pPr>
      <w:r w:rsidRPr="00117BF8">
        <w:rPr>
          <w:rFonts w:ascii="Arial" w:hAnsi="Arial" w:cs="Arial"/>
          <w:sz w:val="22"/>
          <w:szCs w:val="22"/>
        </w:rPr>
        <w:t>Destino de la Recaudación de los Impuestos, Al 30/06/2017. Dirección Nacional de Investigaciones y Análisis Fiscal - Subsecretaria de Ingresos Públicos - Secretaria de Hacienda Ministerio de Hacienda de la Nación</w:t>
      </w:r>
    </w:p>
    <w:p w14:paraId="563BC5A5" w14:textId="77777777" w:rsidR="00BA78F0" w:rsidRPr="00117BF8" w:rsidRDefault="00BA78F0" w:rsidP="0012519D">
      <w:pPr>
        <w:pStyle w:val="hpun1"/>
        <w:rPr>
          <w:rFonts w:ascii="Arial" w:hAnsi="Arial" w:cs="Arial"/>
          <w:sz w:val="22"/>
          <w:szCs w:val="22"/>
        </w:rPr>
      </w:pPr>
      <w:r w:rsidRPr="00117BF8">
        <w:rPr>
          <w:rFonts w:ascii="Arial" w:hAnsi="Arial" w:cs="Arial"/>
          <w:sz w:val="22"/>
          <w:szCs w:val="22"/>
        </w:rPr>
        <w:t>Resultados del Relevamiento de Expectativas de Mercado (REM) - BCRA</w:t>
      </w:r>
    </w:p>
    <w:p w14:paraId="4E1A39FC" w14:textId="77777777" w:rsidR="00BA78F0" w:rsidRPr="00117BF8" w:rsidRDefault="00BA78F0" w:rsidP="0012519D">
      <w:pPr>
        <w:pStyle w:val="hpun1"/>
        <w:rPr>
          <w:rFonts w:ascii="Arial" w:hAnsi="Arial" w:cs="Arial"/>
          <w:sz w:val="22"/>
          <w:szCs w:val="22"/>
          <w:lang w:val="en-US"/>
        </w:rPr>
      </w:pPr>
      <w:r w:rsidRPr="00117BF8">
        <w:rPr>
          <w:rFonts w:ascii="Arial" w:hAnsi="Arial" w:cs="Arial"/>
          <w:sz w:val="22"/>
          <w:szCs w:val="22"/>
          <w:lang w:val="en-US"/>
        </w:rPr>
        <w:t>Province of Buenos Aires, Building a better future, Ministry of Economy of the Province of Buenos Aires, March 2016</w:t>
      </w:r>
    </w:p>
    <w:p w14:paraId="369224F7" w14:textId="0256F472" w:rsidR="0012519D" w:rsidRPr="00117BF8" w:rsidRDefault="00BA78F0" w:rsidP="00117BF8">
      <w:pPr>
        <w:pStyle w:val="hpun1"/>
        <w:ind w:right="-81"/>
        <w:rPr>
          <w:rFonts w:ascii="Arial" w:hAnsi="Arial" w:cs="Arial"/>
          <w:sz w:val="22"/>
          <w:szCs w:val="22"/>
          <w:lang w:val="en-US"/>
        </w:rPr>
      </w:pPr>
      <w:r w:rsidRPr="00117BF8">
        <w:rPr>
          <w:rFonts w:ascii="Arial" w:hAnsi="Arial" w:cs="Arial"/>
          <w:sz w:val="22"/>
          <w:szCs w:val="22"/>
          <w:lang w:val="en-US"/>
        </w:rPr>
        <w:t>Global Economic Prospects, June 2017, A Fragile Recovery, International Bank for Reconstruction and Development / The World Bank</w:t>
      </w:r>
    </w:p>
    <w:p w14:paraId="1FA0DCE4" w14:textId="77777777" w:rsidR="0012519D" w:rsidRPr="00117BF8" w:rsidRDefault="0012519D" w:rsidP="0012519D">
      <w:pPr>
        <w:pStyle w:val="hsa"/>
        <w:rPr>
          <w:rFonts w:ascii="Arial" w:hAnsi="Arial" w:cs="Arial"/>
          <w:sz w:val="22"/>
          <w:szCs w:val="22"/>
        </w:rPr>
      </w:pPr>
      <w:r w:rsidRPr="00117BF8">
        <w:rPr>
          <w:rFonts w:ascii="Arial" w:hAnsi="Arial" w:cs="Arial"/>
          <w:sz w:val="22"/>
          <w:szCs w:val="22"/>
        </w:rPr>
        <w:t>Fuentes Estadísticas:</w:t>
      </w:r>
    </w:p>
    <w:p w14:paraId="7946E367" w14:textId="77777777" w:rsidR="0012519D" w:rsidRPr="00117BF8" w:rsidRDefault="0012519D" w:rsidP="0012519D">
      <w:pPr>
        <w:pStyle w:val="hpun1"/>
        <w:rPr>
          <w:rFonts w:ascii="Arial" w:hAnsi="Arial" w:cs="Arial"/>
          <w:sz w:val="22"/>
          <w:szCs w:val="22"/>
        </w:rPr>
      </w:pPr>
      <w:r w:rsidRPr="00117BF8">
        <w:rPr>
          <w:rFonts w:ascii="Arial" w:hAnsi="Arial" w:cs="Arial"/>
          <w:sz w:val="22"/>
          <w:szCs w:val="22"/>
        </w:rPr>
        <w:t>Ministerio de Economía de la Provincia de Buenos Aires, Subsecretaría de Coordinación Económica, Dirección Provincial de Estadística</w:t>
      </w:r>
    </w:p>
    <w:p w14:paraId="2F8ED8AF" w14:textId="77777777" w:rsidR="0012519D" w:rsidRPr="00117BF8" w:rsidRDefault="0012519D" w:rsidP="0012519D">
      <w:pPr>
        <w:pStyle w:val="hpun1"/>
        <w:rPr>
          <w:rFonts w:ascii="Arial" w:hAnsi="Arial" w:cs="Arial"/>
          <w:sz w:val="22"/>
          <w:szCs w:val="22"/>
        </w:rPr>
      </w:pPr>
      <w:r w:rsidRPr="00117BF8">
        <w:rPr>
          <w:rFonts w:ascii="Arial" w:hAnsi="Arial" w:cs="Arial"/>
          <w:sz w:val="22"/>
          <w:szCs w:val="22"/>
        </w:rPr>
        <w:t>INDEC</w:t>
      </w:r>
    </w:p>
    <w:p w14:paraId="161B8B91" w14:textId="77777777" w:rsidR="00BA78F0" w:rsidRPr="00117BF8" w:rsidRDefault="00BA78F0" w:rsidP="004548C0">
      <w:pPr>
        <w:rPr>
          <w:rFonts w:ascii="Arial" w:hAnsi="Arial" w:cs="Arial"/>
        </w:rPr>
      </w:pPr>
    </w:p>
    <w:p w14:paraId="7A0518E1" w14:textId="6C37F6DD" w:rsidR="00FF6292" w:rsidRPr="00117BF8" w:rsidRDefault="00FF6292" w:rsidP="00117BF8">
      <w:pPr>
        <w:pStyle w:val="Heading1"/>
        <w:rPr>
          <w:rFonts w:ascii="Arial" w:eastAsia="Calibri" w:hAnsi="Arial" w:cs="Arial"/>
          <w:sz w:val="22"/>
          <w:szCs w:val="22"/>
        </w:rPr>
      </w:pPr>
      <w:r w:rsidRPr="00117BF8">
        <w:rPr>
          <w:rFonts w:ascii="Arial" w:eastAsia="Calibri" w:hAnsi="Arial" w:cs="Arial"/>
          <w:b w:val="0"/>
          <w:caps w:val="0"/>
        </w:rPr>
        <w:br w:type="page"/>
      </w:r>
      <w:bookmarkStart w:id="150" w:name="_Toc494040355"/>
      <w:r w:rsidRPr="00117BF8">
        <w:rPr>
          <w:rFonts w:ascii="Arial" w:eastAsia="Calibri" w:hAnsi="Arial" w:cs="Arial"/>
          <w:b w:val="0"/>
          <w:caps w:val="0"/>
          <w:sz w:val="22"/>
          <w:szCs w:val="22"/>
        </w:rPr>
        <w:t>Anexo III – Tablas de Apoyo al Capítulo 4</w:t>
      </w:r>
      <w:bookmarkEnd w:id="150"/>
    </w:p>
    <w:tbl>
      <w:tblPr>
        <w:tblW w:w="8621" w:type="dxa"/>
        <w:tblInd w:w="55" w:type="dxa"/>
        <w:tblCellMar>
          <w:left w:w="70" w:type="dxa"/>
          <w:right w:w="70" w:type="dxa"/>
        </w:tblCellMar>
        <w:tblLook w:val="04A0" w:firstRow="1" w:lastRow="0" w:firstColumn="1" w:lastColumn="0" w:noHBand="0" w:noVBand="1"/>
      </w:tblPr>
      <w:tblGrid>
        <w:gridCol w:w="4977"/>
        <w:gridCol w:w="941"/>
        <w:gridCol w:w="941"/>
        <w:gridCol w:w="941"/>
        <w:gridCol w:w="941"/>
      </w:tblGrid>
      <w:tr w:rsidR="00FF6292" w:rsidRPr="004E6455" w14:paraId="4C1C23B1" w14:textId="77777777" w:rsidTr="00FF6292">
        <w:trPr>
          <w:trHeight w:val="300"/>
        </w:trPr>
        <w:tc>
          <w:tcPr>
            <w:tcW w:w="8621" w:type="dxa"/>
            <w:gridSpan w:val="5"/>
            <w:tcBorders>
              <w:top w:val="nil"/>
              <w:left w:val="nil"/>
              <w:bottom w:val="nil"/>
              <w:right w:val="nil"/>
            </w:tcBorders>
            <w:shd w:val="clear" w:color="auto" w:fill="0070C0"/>
            <w:noWrap/>
            <w:vAlign w:val="center"/>
            <w:hideMark/>
          </w:tcPr>
          <w:p w14:paraId="30986514" w14:textId="77777777" w:rsidR="00FF6292" w:rsidRPr="00117BF8" w:rsidRDefault="00FF6292" w:rsidP="00FF6292">
            <w:pPr>
              <w:pStyle w:val="TablaT"/>
              <w:rPr>
                <w:rFonts w:ascii="Arial" w:hAnsi="Arial" w:cs="Arial"/>
                <w:bCs/>
                <w:sz w:val="22"/>
                <w:szCs w:val="22"/>
                <w:lang w:val="es-ES_tradnl"/>
              </w:rPr>
            </w:pPr>
            <w:bookmarkStart w:id="151" w:name="_Toc493861157"/>
            <w:r w:rsidRPr="00117BF8">
              <w:rPr>
                <w:rFonts w:ascii="Arial" w:hAnsi="Arial" w:cs="Arial"/>
                <w:bCs/>
                <w:sz w:val="22"/>
                <w:szCs w:val="22"/>
                <w:lang w:val="es-ES_tradnl"/>
              </w:rPr>
              <w:t>Tabla A III - 1 - Resultado Financiero</w:t>
            </w:r>
            <w:bookmarkEnd w:id="151"/>
          </w:p>
          <w:p w14:paraId="616A751F" w14:textId="77777777" w:rsidR="00FF6292" w:rsidRPr="00117BF8" w:rsidRDefault="00FF6292" w:rsidP="00FF6292">
            <w:pPr>
              <w:pStyle w:val="TablaC"/>
              <w:rPr>
                <w:rFonts w:ascii="Arial" w:hAnsi="Arial" w:cs="Arial"/>
                <w:color w:val="FFFFFF"/>
                <w:lang w:val="es-ES_tradnl"/>
              </w:rPr>
            </w:pPr>
            <w:r w:rsidRPr="00117BF8">
              <w:rPr>
                <w:rFonts w:ascii="Arial" w:hAnsi="Arial" w:cs="Arial"/>
                <w:color w:val="FFFFFF"/>
                <w:lang w:val="es-ES_tradnl"/>
              </w:rPr>
              <w:t>millones de pesos</w:t>
            </w:r>
          </w:p>
        </w:tc>
      </w:tr>
      <w:tr w:rsidR="00FF6292" w:rsidRPr="004E6455" w14:paraId="6DED1E0A" w14:textId="77777777" w:rsidTr="00FF6292">
        <w:trPr>
          <w:trHeight w:val="300"/>
        </w:trPr>
        <w:tc>
          <w:tcPr>
            <w:tcW w:w="4977" w:type="dxa"/>
            <w:tcBorders>
              <w:top w:val="single" w:sz="4" w:space="0" w:color="auto"/>
              <w:left w:val="single" w:sz="4" w:space="0" w:color="auto"/>
              <w:bottom w:val="nil"/>
              <w:right w:val="nil"/>
            </w:tcBorders>
            <w:shd w:val="clear" w:color="auto" w:fill="0070C0"/>
            <w:noWrap/>
            <w:vAlign w:val="bottom"/>
            <w:hideMark/>
          </w:tcPr>
          <w:p w14:paraId="6E9219AF" w14:textId="77777777" w:rsidR="00FF6292" w:rsidRPr="00117BF8" w:rsidRDefault="00FF6292" w:rsidP="00FF6292">
            <w:pPr>
              <w:pStyle w:val="TablaE"/>
              <w:rPr>
                <w:rFonts w:ascii="Arial" w:hAnsi="Arial" w:cs="Arial"/>
                <w:bCs/>
                <w:sz w:val="22"/>
                <w:szCs w:val="22"/>
                <w:lang w:val="es-AR" w:eastAsia="es-AR"/>
              </w:rPr>
            </w:pPr>
            <w:r w:rsidRPr="00117BF8">
              <w:rPr>
                <w:rFonts w:ascii="Arial" w:hAnsi="Arial" w:cs="Arial"/>
                <w:bCs/>
                <w:sz w:val="22"/>
                <w:szCs w:val="22"/>
                <w:lang w:val="es-AR" w:eastAsia="es-AR"/>
              </w:rPr>
              <w:t> </w:t>
            </w:r>
          </w:p>
        </w:tc>
        <w:tc>
          <w:tcPr>
            <w:tcW w:w="911" w:type="dxa"/>
            <w:tcBorders>
              <w:top w:val="single" w:sz="4" w:space="0" w:color="auto"/>
              <w:left w:val="nil"/>
              <w:bottom w:val="nil"/>
              <w:right w:val="nil"/>
            </w:tcBorders>
            <w:shd w:val="clear" w:color="auto" w:fill="0070C0"/>
            <w:noWrap/>
            <w:vAlign w:val="bottom"/>
            <w:hideMark/>
          </w:tcPr>
          <w:p w14:paraId="75F04D5A" w14:textId="77777777" w:rsidR="00FF6292" w:rsidRPr="00117BF8" w:rsidRDefault="00FF6292" w:rsidP="00FF6292">
            <w:pPr>
              <w:pStyle w:val="TablaE"/>
              <w:rPr>
                <w:rFonts w:ascii="Arial" w:hAnsi="Arial" w:cs="Arial"/>
                <w:bCs/>
                <w:sz w:val="22"/>
                <w:szCs w:val="22"/>
                <w:lang w:val="es-AR" w:eastAsia="es-AR"/>
              </w:rPr>
            </w:pPr>
            <w:r w:rsidRPr="00117BF8">
              <w:rPr>
                <w:rFonts w:ascii="Arial" w:hAnsi="Arial" w:cs="Arial"/>
                <w:bCs/>
                <w:sz w:val="22"/>
                <w:szCs w:val="22"/>
                <w:lang w:val="es-AR" w:eastAsia="es-AR"/>
              </w:rPr>
              <w:t>2013</w:t>
            </w:r>
          </w:p>
        </w:tc>
        <w:tc>
          <w:tcPr>
            <w:tcW w:w="911" w:type="dxa"/>
            <w:tcBorders>
              <w:top w:val="single" w:sz="4" w:space="0" w:color="auto"/>
              <w:left w:val="nil"/>
              <w:bottom w:val="nil"/>
              <w:right w:val="nil"/>
            </w:tcBorders>
            <w:shd w:val="clear" w:color="auto" w:fill="0070C0"/>
            <w:noWrap/>
            <w:vAlign w:val="bottom"/>
            <w:hideMark/>
          </w:tcPr>
          <w:p w14:paraId="1ED45C6D" w14:textId="77777777" w:rsidR="00FF6292" w:rsidRPr="00117BF8" w:rsidRDefault="00FF6292" w:rsidP="00FF6292">
            <w:pPr>
              <w:pStyle w:val="TablaE"/>
              <w:rPr>
                <w:rFonts w:ascii="Arial" w:hAnsi="Arial" w:cs="Arial"/>
                <w:bCs/>
                <w:sz w:val="22"/>
                <w:szCs w:val="22"/>
                <w:lang w:val="es-AR" w:eastAsia="es-AR"/>
              </w:rPr>
            </w:pPr>
            <w:r w:rsidRPr="00117BF8">
              <w:rPr>
                <w:rFonts w:ascii="Arial" w:hAnsi="Arial" w:cs="Arial"/>
                <w:bCs/>
                <w:sz w:val="22"/>
                <w:szCs w:val="22"/>
                <w:lang w:val="es-AR" w:eastAsia="es-AR"/>
              </w:rPr>
              <w:t>2014</w:t>
            </w:r>
          </w:p>
        </w:tc>
        <w:tc>
          <w:tcPr>
            <w:tcW w:w="911" w:type="dxa"/>
            <w:tcBorders>
              <w:top w:val="single" w:sz="4" w:space="0" w:color="auto"/>
              <w:left w:val="nil"/>
              <w:bottom w:val="nil"/>
              <w:right w:val="nil"/>
            </w:tcBorders>
            <w:shd w:val="clear" w:color="auto" w:fill="0070C0"/>
            <w:noWrap/>
            <w:vAlign w:val="bottom"/>
            <w:hideMark/>
          </w:tcPr>
          <w:p w14:paraId="53EA7645" w14:textId="77777777" w:rsidR="00FF6292" w:rsidRPr="00117BF8" w:rsidRDefault="00FF6292" w:rsidP="00FF6292">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911" w:type="dxa"/>
            <w:tcBorders>
              <w:top w:val="single" w:sz="4" w:space="0" w:color="auto"/>
              <w:left w:val="nil"/>
              <w:bottom w:val="nil"/>
              <w:right w:val="single" w:sz="4" w:space="0" w:color="auto"/>
            </w:tcBorders>
            <w:shd w:val="clear" w:color="auto" w:fill="0070C0"/>
            <w:noWrap/>
            <w:vAlign w:val="bottom"/>
            <w:hideMark/>
          </w:tcPr>
          <w:p w14:paraId="64C82981" w14:textId="77777777" w:rsidR="00FF6292" w:rsidRPr="00117BF8" w:rsidRDefault="00FF6292" w:rsidP="00FF6292">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r>
      <w:tr w:rsidR="00FF6292" w:rsidRPr="00593C9A" w14:paraId="0DAFCA24" w14:textId="77777777" w:rsidTr="00FF6292">
        <w:trPr>
          <w:trHeight w:val="300"/>
        </w:trPr>
        <w:tc>
          <w:tcPr>
            <w:tcW w:w="4977" w:type="dxa"/>
            <w:tcBorders>
              <w:top w:val="single" w:sz="4" w:space="0" w:color="auto"/>
              <w:left w:val="single" w:sz="4" w:space="0" w:color="auto"/>
              <w:bottom w:val="nil"/>
              <w:right w:val="nil"/>
            </w:tcBorders>
            <w:shd w:val="clear" w:color="auto" w:fill="auto"/>
            <w:noWrap/>
            <w:vAlign w:val="bottom"/>
            <w:hideMark/>
          </w:tcPr>
          <w:p w14:paraId="3CA66037"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INGRESOS CORRIENTES</w:t>
            </w:r>
          </w:p>
        </w:tc>
        <w:tc>
          <w:tcPr>
            <w:tcW w:w="911" w:type="dxa"/>
            <w:tcBorders>
              <w:top w:val="single" w:sz="4" w:space="0" w:color="auto"/>
              <w:left w:val="nil"/>
              <w:bottom w:val="nil"/>
              <w:right w:val="nil"/>
            </w:tcBorders>
            <w:shd w:val="clear" w:color="auto" w:fill="auto"/>
            <w:noWrap/>
            <w:vAlign w:val="bottom"/>
            <w:hideMark/>
          </w:tcPr>
          <w:p w14:paraId="55C5FE1D" w14:textId="77777777" w:rsidR="00FF6292" w:rsidRPr="00117BF8" w:rsidRDefault="00FF6292" w:rsidP="00FF6292">
            <w:pPr>
              <w:keepNext/>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911" w:type="dxa"/>
            <w:tcBorders>
              <w:top w:val="single" w:sz="4" w:space="0" w:color="auto"/>
              <w:left w:val="nil"/>
              <w:bottom w:val="nil"/>
              <w:right w:val="nil"/>
            </w:tcBorders>
            <w:shd w:val="clear" w:color="auto" w:fill="auto"/>
            <w:noWrap/>
            <w:vAlign w:val="bottom"/>
            <w:hideMark/>
          </w:tcPr>
          <w:p w14:paraId="27B27A19" w14:textId="77777777" w:rsidR="00FF6292" w:rsidRPr="00117BF8" w:rsidRDefault="00FF6292" w:rsidP="00FF6292">
            <w:pPr>
              <w:keepNext/>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911" w:type="dxa"/>
            <w:tcBorders>
              <w:top w:val="single" w:sz="4" w:space="0" w:color="auto"/>
              <w:left w:val="nil"/>
              <w:bottom w:val="nil"/>
              <w:right w:val="nil"/>
            </w:tcBorders>
            <w:shd w:val="clear" w:color="auto" w:fill="auto"/>
            <w:noWrap/>
            <w:vAlign w:val="bottom"/>
            <w:hideMark/>
          </w:tcPr>
          <w:p w14:paraId="0502E994" w14:textId="77777777" w:rsidR="00FF6292" w:rsidRPr="00117BF8" w:rsidRDefault="00FF6292" w:rsidP="00FF6292">
            <w:pPr>
              <w:keepNext/>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c>
          <w:tcPr>
            <w:tcW w:w="911" w:type="dxa"/>
            <w:tcBorders>
              <w:top w:val="single" w:sz="4" w:space="0" w:color="auto"/>
              <w:left w:val="nil"/>
              <w:bottom w:val="nil"/>
              <w:right w:val="single" w:sz="4" w:space="0" w:color="auto"/>
            </w:tcBorders>
            <w:shd w:val="clear" w:color="auto" w:fill="auto"/>
            <w:noWrap/>
            <w:vAlign w:val="bottom"/>
            <w:hideMark/>
          </w:tcPr>
          <w:p w14:paraId="5BC773BC" w14:textId="77777777" w:rsidR="00FF6292" w:rsidRPr="00117BF8" w:rsidRDefault="00FF6292" w:rsidP="00FF6292">
            <w:pPr>
              <w:keepNext/>
              <w:spacing w:after="0"/>
              <w:jc w:val="left"/>
              <w:rPr>
                <w:rFonts w:ascii="Arial" w:hAnsi="Arial" w:cs="Arial"/>
                <w:sz w:val="18"/>
                <w:szCs w:val="18"/>
                <w:lang w:val="es-AR" w:eastAsia="es-AR"/>
              </w:rPr>
            </w:pPr>
            <w:r w:rsidRPr="00117BF8">
              <w:rPr>
                <w:rFonts w:ascii="Arial" w:hAnsi="Arial" w:cs="Arial"/>
                <w:sz w:val="18"/>
                <w:szCs w:val="18"/>
                <w:lang w:val="es-AR" w:eastAsia="es-AR"/>
              </w:rPr>
              <w:t> </w:t>
            </w:r>
          </w:p>
        </w:tc>
      </w:tr>
      <w:tr w:rsidR="00FF6292" w:rsidRPr="00593C9A" w14:paraId="149B7AA3"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2BEA8E90"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1 - TRANSFERENCIAS FEDERALES</w:t>
            </w:r>
          </w:p>
        </w:tc>
        <w:tc>
          <w:tcPr>
            <w:tcW w:w="911" w:type="dxa"/>
            <w:tcBorders>
              <w:top w:val="nil"/>
              <w:left w:val="nil"/>
              <w:bottom w:val="nil"/>
              <w:right w:val="nil"/>
            </w:tcBorders>
            <w:shd w:val="clear" w:color="auto" w:fill="auto"/>
            <w:noWrap/>
            <w:vAlign w:val="bottom"/>
            <w:hideMark/>
          </w:tcPr>
          <w:p w14:paraId="606BE8BA"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48.218,4</w:t>
            </w:r>
          </w:p>
        </w:tc>
        <w:tc>
          <w:tcPr>
            <w:tcW w:w="911" w:type="dxa"/>
            <w:tcBorders>
              <w:top w:val="nil"/>
              <w:left w:val="nil"/>
              <w:bottom w:val="nil"/>
              <w:right w:val="nil"/>
            </w:tcBorders>
            <w:shd w:val="clear" w:color="auto" w:fill="auto"/>
            <w:noWrap/>
            <w:vAlign w:val="bottom"/>
            <w:hideMark/>
          </w:tcPr>
          <w:p w14:paraId="26CC0D2D"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69.840,9</w:t>
            </w:r>
          </w:p>
        </w:tc>
        <w:tc>
          <w:tcPr>
            <w:tcW w:w="911" w:type="dxa"/>
            <w:tcBorders>
              <w:top w:val="nil"/>
              <w:left w:val="nil"/>
              <w:bottom w:val="nil"/>
              <w:right w:val="nil"/>
            </w:tcBorders>
            <w:shd w:val="clear" w:color="auto" w:fill="auto"/>
            <w:noWrap/>
            <w:vAlign w:val="bottom"/>
            <w:hideMark/>
          </w:tcPr>
          <w:p w14:paraId="7D223682"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94.049,1</w:t>
            </w:r>
          </w:p>
        </w:tc>
        <w:tc>
          <w:tcPr>
            <w:tcW w:w="911" w:type="dxa"/>
            <w:tcBorders>
              <w:top w:val="nil"/>
              <w:left w:val="nil"/>
              <w:bottom w:val="nil"/>
              <w:right w:val="single" w:sz="4" w:space="0" w:color="auto"/>
            </w:tcBorders>
            <w:shd w:val="clear" w:color="auto" w:fill="auto"/>
            <w:noWrap/>
            <w:vAlign w:val="bottom"/>
            <w:hideMark/>
          </w:tcPr>
          <w:p w14:paraId="24921E27"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148.913,2</w:t>
            </w:r>
          </w:p>
        </w:tc>
      </w:tr>
      <w:tr w:rsidR="00FF6292" w:rsidRPr="00593C9A" w14:paraId="33CA43E5"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2BBC8919"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Total Coparticipación de Ingresos Tributarios</w:t>
            </w:r>
          </w:p>
        </w:tc>
        <w:tc>
          <w:tcPr>
            <w:tcW w:w="911" w:type="dxa"/>
            <w:tcBorders>
              <w:top w:val="nil"/>
              <w:left w:val="nil"/>
              <w:bottom w:val="nil"/>
              <w:right w:val="nil"/>
            </w:tcBorders>
            <w:shd w:val="clear" w:color="auto" w:fill="auto"/>
            <w:noWrap/>
            <w:vAlign w:val="bottom"/>
            <w:hideMark/>
          </w:tcPr>
          <w:p w14:paraId="7AE43B4D"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44.065,7</w:t>
            </w:r>
          </w:p>
        </w:tc>
        <w:tc>
          <w:tcPr>
            <w:tcW w:w="911" w:type="dxa"/>
            <w:tcBorders>
              <w:top w:val="nil"/>
              <w:left w:val="nil"/>
              <w:bottom w:val="nil"/>
              <w:right w:val="nil"/>
            </w:tcBorders>
            <w:shd w:val="clear" w:color="auto" w:fill="auto"/>
            <w:noWrap/>
            <w:vAlign w:val="bottom"/>
            <w:hideMark/>
          </w:tcPr>
          <w:p w14:paraId="20C3F428"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59.191,2</w:t>
            </w:r>
          </w:p>
        </w:tc>
        <w:tc>
          <w:tcPr>
            <w:tcW w:w="911" w:type="dxa"/>
            <w:tcBorders>
              <w:top w:val="nil"/>
              <w:left w:val="nil"/>
              <w:bottom w:val="nil"/>
              <w:right w:val="nil"/>
            </w:tcBorders>
            <w:shd w:val="clear" w:color="auto" w:fill="auto"/>
            <w:noWrap/>
            <w:vAlign w:val="bottom"/>
            <w:hideMark/>
          </w:tcPr>
          <w:p w14:paraId="187A6DB0"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80.263,1</w:t>
            </w:r>
          </w:p>
        </w:tc>
        <w:tc>
          <w:tcPr>
            <w:tcW w:w="911" w:type="dxa"/>
            <w:tcBorders>
              <w:top w:val="nil"/>
              <w:left w:val="nil"/>
              <w:bottom w:val="nil"/>
              <w:right w:val="single" w:sz="4" w:space="0" w:color="auto"/>
            </w:tcBorders>
            <w:shd w:val="clear" w:color="auto" w:fill="auto"/>
            <w:noWrap/>
            <w:vAlign w:val="bottom"/>
            <w:hideMark/>
          </w:tcPr>
          <w:p w14:paraId="2BCEB388"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107.819,4</w:t>
            </w:r>
          </w:p>
        </w:tc>
      </w:tr>
      <w:tr w:rsidR="00FF6292" w:rsidRPr="00593C9A" w14:paraId="347CEDE4"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719B79B6"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Aportes Federales - Otros</w:t>
            </w:r>
          </w:p>
        </w:tc>
        <w:tc>
          <w:tcPr>
            <w:tcW w:w="911" w:type="dxa"/>
            <w:tcBorders>
              <w:top w:val="nil"/>
              <w:left w:val="nil"/>
              <w:bottom w:val="nil"/>
              <w:right w:val="nil"/>
            </w:tcBorders>
            <w:shd w:val="clear" w:color="auto" w:fill="auto"/>
            <w:noWrap/>
            <w:vAlign w:val="bottom"/>
            <w:hideMark/>
          </w:tcPr>
          <w:p w14:paraId="74992CEE"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4.152,7</w:t>
            </w:r>
          </w:p>
        </w:tc>
        <w:tc>
          <w:tcPr>
            <w:tcW w:w="911" w:type="dxa"/>
            <w:tcBorders>
              <w:top w:val="nil"/>
              <w:left w:val="nil"/>
              <w:bottom w:val="nil"/>
              <w:right w:val="nil"/>
            </w:tcBorders>
            <w:shd w:val="clear" w:color="auto" w:fill="auto"/>
            <w:noWrap/>
            <w:vAlign w:val="bottom"/>
            <w:hideMark/>
          </w:tcPr>
          <w:p w14:paraId="335DA35E"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10.649,6</w:t>
            </w:r>
          </w:p>
        </w:tc>
        <w:tc>
          <w:tcPr>
            <w:tcW w:w="911" w:type="dxa"/>
            <w:tcBorders>
              <w:top w:val="nil"/>
              <w:left w:val="nil"/>
              <w:bottom w:val="nil"/>
              <w:right w:val="nil"/>
            </w:tcBorders>
            <w:shd w:val="clear" w:color="auto" w:fill="auto"/>
            <w:noWrap/>
            <w:vAlign w:val="bottom"/>
            <w:hideMark/>
          </w:tcPr>
          <w:p w14:paraId="2A511F32"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13.785,9</w:t>
            </w:r>
          </w:p>
        </w:tc>
        <w:tc>
          <w:tcPr>
            <w:tcW w:w="911" w:type="dxa"/>
            <w:tcBorders>
              <w:top w:val="nil"/>
              <w:left w:val="nil"/>
              <w:bottom w:val="nil"/>
              <w:right w:val="single" w:sz="4" w:space="0" w:color="auto"/>
            </w:tcBorders>
            <w:shd w:val="clear" w:color="auto" w:fill="auto"/>
            <w:noWrap/>
            <w:vAlign w:val="bottom"/>
            <w:hideMark/>
          </w:tcPr>
          <w:p w14:paraId="05269709"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41.093,8</w:t>
            </w:r>
          </w:p>
        </w:tc>
      </w:tr>
      <w:tr w:rsidR="00FF6292" w:rsidRPr="00593C9A" w14:paraId="4F34466F"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37BF1174"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2 - INGRESOS DE ORIGEN PROVINCIAL</w:t>
            </w:r>
          </w:p>
        </w:tc>
        <w:tc>
          <w:tcPr>
            <w:tcW w:w="911" w:type="dxa"/>
            <w:tcBorders>
              <w:top w:val="nil"/>
              <w:left w:val="nil"/>
              <w:bottom w:val="nil"/>
              <w:right w:val="nil"/>
            </w:tcBorders>
            <w:shd w:val="clear" w:color="auto" w:fill="auto"/>
            <w:noWrap/>
            <w:vAlign w:val="bottom"/>
            <w:hideMark/>
          </w:tcPr>
          <w:p w14:paraId="380D6FE0"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101.622,3</w:t>
            </w:r>
          </w:p>
        </w:tc>
        <w:tc>
          <w:tcPr>
            <w:tcW w:w="911" w:type="dxa"/>
            <w:tcBorders>
              <w:top w:val="nil"/>
              <w:left w:val="nil"/>
              <w:bottom w:val="nil"/>
              <w:right w:val="nil"/>
            </w:tcBorders>
            <w:shd w:val="clear" w:color="auto" w:fill="auto"/>
            <w:noWrap/>
            <w:vAlign w:val="bottom"/>
            <w:hideMark/>
          </w:tcPr>
          <w:p w14:paraId="7689AAF4"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132.986,8</w:t>
            </w:r>
          </w:p>
        </w:tc>
        <w:tc>
          <w:tcPr>
            <w:tcW w:w="911" w:type="dxa"/>
            <w:tcBorders>
              <w:top w:val="nil"/>
              <w:left w:val="nil"/>
              <w:bottom w:val="nil"/>
              <w:right w:val="nil"/>
            </w:tcBorders>
            <w:shd w:val="clear" w:color="auto" w:fill="auto"/>
            <w:noWrap/>
            <w:vAlign w:val="bottom"/>
            <w:hideMark/>
          </w:tcPr>
          <w:p w14:paraId="1A7056E4"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180.102,1</w:t>
            </w:r>
          </w:p>
        </w:tc>
        <w:tc>
          <w:tcPr>
            <w:tcW w:w="911" w:type="dxa"/>
            <w:tcBorders>
              <w:top w:val="nil"/>
              <w:left w:val="nil"/>
              <w:bottom w:val="nil"/>
              <w:right w:val="single" w:sz="4" w:space="0" w:color="auto"/>
            </w:tcBorders>
            <w:shd w:val="clear" w:color="auto" w:fill="auto"/>
            <w:noWrap/>
            <w:vAlign w:val="bottom"/>
            <w:hideMark/>
          </w:tcPr>
          <w:p w14:paraId="62C2333B"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244.974,1</w:t>
            </w:r>
          </w:p>
        </w:tc>
      </w:tr>
      <w:tr w:rsidR="00FF6292" w:rsidRPr="00593C9A" w14:paraId="3855445A"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237EEEA9"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Total Impuestos Provinciales</w:t>
            </w:r>
          </w:p>
        </w:tc>
        <w:tc>
          <w:tcPr>
            <w:tcW w:w="911" w:type="dxa"/>
            <w:tcBorders>
              <w:top w:val="nil"/>
              <w:left w:val="nil"/>
              <w:bottom w:val="nil"/>
              <w:right w:val="nil"/>
            </w:tcBorders>
            <w:shd w:val="clear" w:color="auto" w:fill="auto"/>
            <w:noWrap/>
            <w:vAlign w:val="bottom"/>
            <w:hideMark/>
          </w:tcPr>
          <w:p w14:paraId="5796972B"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67.538,1</w:t>
            </w:r>
          </w:p>
        </w:tc>
        <w:tc>
          <w:tcPr>
            <w:tcW w:w="911" w:type="dxa"/>
            <w:tcBorders>
              <w:top w:val="nil"/>
              <w:left w:val="nil"/>
              <w:bottom w:val="nil"/>
              <w:right w:val="nil"/>
            </w:tcBorders>
            <w:shd w:val="clear" w:color="auto" w:fill="auto"/>
            <w:noWrap/>
            <w:vAlign w:val="bottom"/>
            <w:hideMark/>
          </w:tcPr>
          <w:p w14:paraId="47323B4A"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89.532,0</w:t>
            </w:r>
          </w:p>
        </w:tc>
        <w:tc>
          <w:tcPr>
            <w:tcW w:w="911" w:type="dxa"/>
            <w:tcBorders>
              <w:top w:val="nil"/>
              <w:left w:val="nil"/>
              <w:bottom w:val="nil"/>
              <w:right w:val="nil"/>
            </w:tcBorders>
            <w:shd w:val="clear" w:color="auto" w:fill="auto"/>
            <w:noWrap/>
            <w:vAlign w:val="bottom"/>
            <w:hideMark/>
          </w:tcPr>
          <w:p w14:paraId="6D196A96"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118.777,7</w:t>
            </w:r>
          </w:p>
        </w:tc>
        <w:tc>
          <w:tcPr>
            <w:tcW w:w="911" w:type="dxa"/>
            <w:tcBorders>
              <w:top w:val="nil"/>
              <w:left w:val="nil"/>
              <w:bottom w:val="nil"/>
              <w:right w:val="single" w:sz="4" w:space="0" w:color="auto"/>
            </w:tcBorders>
            <w:shd w:val="clear" w:color="auto" w:fill="auto"/>
            <w:noWrap/>
            <w:vAlign w:val="bottom"/>
            <w:hideMark/>
          </w:tcPr>
          <w:p w14:paraId="031ADB21"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159.221,4</w:t>
            </w:r>
          </w:p>
        </w:tc>
      </w:tr>
      <w:tr w:rsidR="00FF6292" w:rsidRPr="00593C9A" w14:paraId="5CAA3EE4"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3A2BEF7D"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Ingresos no Tributarios</w:t>
            </w:r>
          </w:p>
        </w:tc>
        <w:tc>
          <w:tcPr>
            <w:tcW w:w="911" w:type="dxa"/>
            <w:tcBorders>
              <w:top w:val="nil"/>
              <w:left w:val="nil"/>
              <w:bottom w:val="nil"/>
              <w:right w:val="nil"/>
            </w:tcBorders>
            <w:shd w:val="clear" w:color="auto" w:fill="auto"/>
            <w:noWrap/>
            <w:vAlign w:val="bottom"/>
            <w:hideMark/>
          </w:tcPr>
          <w:p w14:paraId="428F6122"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34.084,2</w:t>
            </w:r>
          </w:p>
        </w:tc>
        <w:tc>
          <w:tcPr>
            <w:tcW w:w="911" w:type="dxa"/>
            <w:tcBorders>
              <w:top w:val="nil"/>
              <w:left w:val="nil"/>
              <w:bottom w:val="nil"/>
              <w:right w:val="nil"/>
            </w:tcBorders>
            <w:shd w:val="clear" w:color="auto" w:fill="auto"/>
            <w:noWrap/>
            <w:vAlign w:val="bottom"/>
            <w:hideMark/>
          </w:tcPr>
          <w:p w14:paraId="118E1D36"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43.454,8</w:t>
            </w:r>
          </w:p>
        </w:tc>
        <w:tc>
          <w:tcPr>
            <w:tcW w:w="911" w:type="dxa"/>
            <w:tcBorders>
              <w:top w:val="nil"/>
              <w:left w:val="nil"/>
              <w:bottom w:val="nil"/>
              <w:right w:val="nil"/>
            </w:tcBorders>
            <w:shd w:val="clear" w:color="auto" w:fill="auto"/>
            <w:noWrap/>
            <w:vAlign w:val="bottom"/>
            <w:hideMark/>
          </w:tcPr>
          <w:p w14:paraId="14035B84"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61.324,4</w:t>
            </w:r>
          </w:p>
        </w:tc>
        <w:tc>
          <w:tcPr>
            <w:tcW w:w="911" w:type="dxa"/>
            <w:tcBorders>
              <w:top w:val="nil"/>
              <w:left w:val="nil"/>
              <w:bottom w:val="nil"/>
              <w:right w:val="single" w:sz="4" w:space="0" w:color="auto"/>
            </w:tcBorders>
            <w:shd w:val="clear" w:color="auto" w:fill="auto"/>
            <w:noWrap/>
            <w:vAlign w:val="bottom"/>
            <w:hideMark/>
          </w:tcPr>
          <w:p w14:paraId="5FDA8196"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85.752,7</w:t>
            </w:r>
          </w:p>
        </w:tc>
      </w:tr>
      <w:tr w:rsidR="00FF6292" w:rsidRPr="00593C9A" w14:paraId="635BC580" w14:textId="77777777" w:rsidTr="00FF6292">
        <w:trPr>
          <w:trHeight w:val="300"/>
        </w:trPr>
        <w:tc>
          <w:tcPr>
            <w:tcW w:w="4977" w:type="dxa"/>
            <w:tcBorders>
              <w:top w:val="nil"/>
              <w:left w:val="single" w:sz="4" w:space="0" w:color="auto"/>
              <w:bottom w:val="single" w:sz="4" w:space="0" w:color="auto"/>
              <w:right w:val="nil"/>
            </w:tcBorders>
            <w:shd w:val="clear" w:color="auto" w:fill="auto"/>
            <w:noWrap/>
            <w:vAlign w:val="bottom"/>
            <w:hideMark/>
          </w:tcPr>
          <w:p w14:paraId="0A3BA425"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TOTAL DE INGRESOS CORRIENTES</w:t>
            </w:r>
          </w:p>
        </w:tc>
        <w:tc>
          <w:tcPr>
            <w:tcW w:w="911" w:type="dxa"/>
            <w:tcBorders>
              <w:top w:val="nil"/>
              <w:left w:val="nil"/>
              <w:bottom w:val="single" w:sz="4" w:space="0" w:color="auto"/>
              <w:right w:val="nil"/>
            </w:tcBorders>
            <w:shd w:val="clear" w:color="auto" w:fill="auto"/>
            <w:noWrap/>
            <w:vAlign w:val="bottom"/>
            <w:hideMark/>
          </w:tcPr>
          <w:p w14:paraId="2D14E7D3"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149.840,7</w:t>
            </w:r>
          </w:p>
        </w:tc>
        <w:tc>
          <w:tcPr>
            <w:tcW w:w="911" w:type="dxa"/>
            <w:tcBorders>
              <w:top w:val="nil"/>
              <w:left w:val="nil"/>
              <w:bottom w:val="single" w:sz="4" w:space="0" w:color="auto"/>
              <w:right w:val="nil"/>
            </w:tcBorders>
            <w:shd w:val="clear" w:color="auto" w:fill="auto"/>
            <w:noWrap/>
            <w:vAlign w:val="bottom"/>
            <w:hideMark/>
          </w:tcPr>
          <w:p w14:paraId="160E4EF7"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202.827,7</w:t>
            </w:r>
          </w:p>
        </w:tc>
        <w:tc>
          <w:tcPr>
            <w:tcW w:w="911" w:type="dxa"/>
            <w:tcBorders>
              <w:top w:val="nil"/>
              <w:left w:val="nil"/>
              <w:bottom w:val="single" w:sz="4" w:space="0" w:color="auto"/>
              <w:right w:val="nil"/>
            </w:tcBorders>
            <w:shd w:val="clear" w:color="auto" w:fill="auto"/>
            <w:noWrap/>
            <w:vAlign w:val="bottom"/>
            <w:hideMark/>
          </w:tcPr>
          <w:p w14:paraId="3DF80DE2"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274.151,1</w:t>
            </w:r>
          </w:p>
        </w:tc>
        <w:tc>
          <w:tcPr>
            <w:tcW w:w="911" w:type="dxa"/>
            <w:tcBorders>
              <w:top w:val="nil"/>
              <w:left w:val="nil"/>
              <w:bottom w:val="single" w:sz="4" w:space="0" w:color="auto"/>
              <w:right w:val="single" w:sz="4" w:space="0" w:color="auto"/>
            </w:tcBorders>
            <w:shd w:val="clear" w:color="auto" w:fill="auto"/>
            <w:noWrap/>
            <w:vAlign w:val="bottom"/>
            <w:hideMark/>
          </w:tcPr>
          <w:p w14:paraId="70395AC2"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393.887,3</w:t>
            </w:r>
          </w:p>
        </w:tc>
      </w:tr>
      <w:tr w:rsidR="00FF6292" w:rsidRPr="00593C9A" w14:paraId="0EF3CEA5"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52B4B79C"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GASTOS CORRIENTES</w:t>
            </w:r>
          </w:p>
        </w:tc>
        <w:tc>
          <w:tcPr>
            <w:tcW w:w="911" w:type="dxa"/>
            <w:tcBorders>
              <w:top w:val="nil"/>
              <w:left w:val="nil"/>
              <w:bottom w:val="nil"/>
              <w:right w:val="nil"/>
            </w:tcBorders>
            <w:shd w:val="clear" w:color="auto" w:fill="auto"/>
            <w:noWrap/>
            <w:vAlign w:val="bottom"/>
            <w:hideMark/>
          </w:tcPr>
          <w:p w14:paraId="79F4BC07"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911" w:type="dxa"/>
            <w:tcBorders>
              <w:top w:val="nil"/>
              <w:left w:val="nil"/>
              <w:bottom w:val="nil"/>
              <w:right w:val="nil"/>
            </w:tcBorders>
            <w:shd w:val="clear" w:color="auto" w:fill="auto"/>
            <w:noWrap/>
            <w:vAlign w:val="bottom"/>
            <w:hideMark/>
          </w:tcPr>
          <w:p w14:paraId="3CDE4903"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911" w:type="dxa"/>
            <w:tcBorders>
              <w:top w:val="nil"/>
              <w:left w:val="nil"/>
              <w:bottom w:val="nil"/>
              <w:right w:val="nil"/>
            </w:tcBorders>
            <w:shd w:val="clear" w:color="auto" w:fill="auto"/>
            <w:noWrap/>
            <w:vAlign w:val="bottom"/>
            <w:hideMark/>
          </w:tcPr>
          <w:p w14:paraId="36A3C44B"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911" w:type="dxa"/>
            <w:tcBorders>
              <w:top w:val="nil"/>
              <w:left w:val="nil"/>
              <w:bottom w:val="nil"/>
              <w:right w:val="single" w:sz="4" w:space="0" w:color="auto"/>
            </w:tcBorders>
            <w:shd w:val="clear" w:color="auto" w:fill="auto"/>
            <w:noWrap/>
            <w:vAlign w:val="bottom"/>
            <w:hideMark/>
          </w:tcPr>
          <w:p w14:paraId="43AE40AC"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r>
      <w:tr w:rsidR="00FF6292" w:rsidRPr="00593C9A" w14:paraId="7FE53BE5"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3A4B4059"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Personal</w:t>
            </w:r>
          </w:p>
        </w:tc>
        <w:tc>
          <w:tcPr>
            <w:tcW w:w="911" w:type="dxa"/>
            <w:tcBorders>
              <w:top w:val="nil"/>
              <w:left w:val="nil"/>
              <w:bottom w:val="nil"/>
              <w:right w:val="nil"/>
            </w:tcBorders>
            <w:shd w:val="clear" w:color="auto" w:fill="auto"/>
            <w:noWrap/>
            <w:vAlign w:val="bottom"/>
            <w:hideMark/>
          </w:tcPr>
          <w:p w14:paraId="73F056D8"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72.908,3</w:t>
            </w:r>
          </w:p>
        </w:tc>
        <w:tc>
          <w:tcPr>
            <w:tcW w:w="911" w:type="dxa"/>
            <w:tcBorders>
              <w:top w:val="nil"/>
              <w:left w:val="nil"/>
              <w:bottom w:val="nil"/>
              <w:right w:val="nil"/>
            </w:tcBorders>
            <w:shd w:val="clear" w:color="auto" w:fill="auto"/>
            <w:noWrap/>
            <w:vAlign w:val="bottom"/>
            <w:hideMark/>
          </w:tcPr>
          <w:p w14:paraId="6640855E"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98.236,2</w:t>
            </w:r>
          </w:p>
        </w:tc>
        <w:tc>
          <w:tcPr>
            <w:tcW w:w="911" w:type="dxa"/>
            <w:tcBorders>
              <w:top w:val="nil"/>
              <w:left w:val="nil"/>
              <w:bottom w:val="nil"/>
              <w:right w:val="nil"/>
            </w:tcBorders>
            <w:shd w:val="clear" w:color="auto" w:fill="auto"/>
            <w:noWrap/>
            <w:vAlign w:val="bottom"/>
            <w:hideMark/>
          </w:tcPr>
          <w:p w14:paraId="54494C60"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147.830,0</w:t>
            </w:r>
          </w:p>
        </w:tc>
        <w:tc>
          <w:tcPr>
            <w:tcW w:w="911" w:type="dxa"/>
            <w:tcBorders>
              <w:top w:val="nil"/>
              <w:left w:val="nil"/>
              <w:bottom w:val="nil"/>
              <w:right w:val="single" w:sz="4" w:space="0" w:color="auto"/>
            </w:tcBorders>
            <w:shd w:val="clear" w:color="auto" w:fill="auto"/>
            <w:noWrap/>
            <w:vAlign w:val="bottom"/>
            <w:hideMark/>
          </w:tcPr>
          <w:p w14:paraId="1B03E7ED"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198.342,5</w:t>
            </w:r>
          </w:p>
        </w:tc>
      </w:tr>
      <w:tr w:rsidR="00FF6292" w:rsidRPr="00593C9A" w14:paraId="710F8CCE"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1837C75D"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Bienes y Servicios</w:t>
            </w:r>
          </w:p>
        </w:tc>
        <w:tc>
          <w:tcPr>
            <w:tcW w:w="911" w:type="dxa"/>
            <w:tcBorders>
              <w:top w:val="nil"/>
              <w:left w:val="nil"/>
              <w:bottom w:val="nil"/>
              <w:right w:val="nil"/>
            </w:tcBorders>
            <w:shd w:val="clear" w:color="auto" w:fill="auto"/>
            <w:noWrap/>
            <w:vAlign w:val="bottom"/>
            <w:hideMark/>
          </w:tcPr>
          <w:p w14:paraId="2EE80856"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7.009,0</w:t>
            </w:r>
          </w:p>
        </w:tc>
        <w:tc>
          <w:tcPr>
            <w:tcW w:w="911" w:type="dxa"/>
            <w:tcBorders>
              <w:top w:val="nil"/>
              <w:left w:val="nil"/>
              <w:bottom w:val="nil"/>
              <w:right w:val="nil"/>
            </w:tcBorders>
            <w:shd w:val="clear" w:color="auto" w:fill="auto"/>
            <w:noWrap/>
            <w:vAlign w:val="bottom"/>
            <w:hideMark/>
          </w:tcPr>
          <w:p w14:paraId="1694A502"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10.358,6</w:t>
            </w:r>
          </w:p>
        </w:tc>
        <w:tc>
          <w:tcPr>
            <w:tcW w:w="911" w:type="dxa"/>
            <w:tcBorders>
              <w:top w:val="nil"/>
              <w:left w:val="nil"/>
              <w:bottom w:val="nil"/>
              <w:right w:val="nil"/>
            </w:tcBorders>
            <w:shd w:val="clear" w:color="auto" w:fill="auto"/>
            <w:noWrap/>
            <w:vAlign w:val="bottom"/>
            <w:hideMark/>
          </w:tcPr>
          <w:p w14:paraId="5F8B086E"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17.419,4</w:t>
            </w:r>
          </w:p>
        </w:tc>
        <w:tc>
          <w:tcPr>
            <w:tcW w:w="911" w:type="dxa"/>
            <w:tcBorders>
              <w:top w:val="nil"/>
              <w:left w:val="nil"/>
              <w:bottom w:val="nil"/>
              <w:right w:val="single" w:sz="4" w:space="0" w:color="auto"/>
            </w:tcBorders>
            <w:shd w:val="clear" w:color="auto" w:fill="auto"/>
            <w:noWrap/>
            <w:vAlign w:val="bottom"/>
            <w:hideMark/>
          </w:tcPr>
          <w:p w14:paraId="73CF4178"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18.999,2</w:t>
            </w:r>
          </w:p>
        </w:tc>
      </w:tr>
      <w:tr w:rsidR="00FF6292" w:rsidRPr="00593C9A" w14:paraId="39D605EF"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7C99B08B"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Transferencias Corrientes</w:t>
            </w:r>
          </w:p>
        </w:tc>
        <w:tc>
          <w:tcPr>
            <w:tcW w:w="911" w:type="dxa"/>
            <w:tcBorders>
              <w:top w:val="nil"/>
              <w:left w:val="nil"/>
              <w:bottom w:val="nil"/>
              <w:right w:val="nil"/>
            </w:tcBorders>
            <w:shd w:val="clear" w:color="auto" w:fill="auto"/>
            <w:noWrap/>
            <w:vAlign w:val="bottom"/>
            <w:hideMark/>
          </w:tcPr>
          <w:p w14:paraId="2F16D27D"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33.186,9</w:t>
            </w:r>
          </w:p>
        </w:tc>
        <w:tc>
          <w:tcPr>
            <w:tcW w:w="911" w:type="dxa"/>
            <w:tcBorders>
              <w:top w:val="nil"/>
              <w:left w:val="nil"/>
              <w:bottom w:val="nil"/>
              <w:right w:val="nil"/>
            </w:tcBorders>
            <w:shd w:val="clear" w:color="auto" w:fill="auto"/>
            <w:noWrap/>
            <w:vAlign w:val="bottom"/>
            <w:hideMark/>
          </w:tcPr>
          <w:p w14:paraId="1995C0FB"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44.146,9</w:t>
            </w:r>
          </w:p>
        </w:tc>
        <w:tc>
          <w:tcPr>
            <w:tcW w:w="911" w:type="dxa"/>
            <w:tcBorders>
              <w:top w:val="nil"/>
              <w:left w:val="nil"/>
              <w:bottom w:val="nil"/>
              <w:right w:val="nil"/>
            </w:tcBorders>
            <w:shd w:val="clear" w:color="auto" w:fill="auto"/>
            <w:noWrap/>
            <w:vAlign w:val="bottom"/>
            <w:hideMark/>
          </w:tcPr>
          <w:p w14:paraId="2119202C"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59.568,6</w:t>
            </w:r>
          </w:p>
        </w:tc>
        <w:tc>
          <w:tcPr>
            <w:tcW w:w="911" w:type="dxa"/>
            <w:tcBorders>
              <w:top w:val="nil"/>
              <w:left w:val="nil"/>
              <w:bottom w:val="nil"/>
              <w:right w:val="single" w:sz="4" w:space="0" w:color="auto"/>
            </w:tcBorders>
            <w:shd w:val="clear" w:color="auto" w:fill="auto"/>
            <w:noWrap/>
            <w:vAlign w:val="bottom"/>
            <w:hideMark/>
          </w:tcPr>
          <w:p w14:paraId="5BF3FA4B"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95.180,6</w:t>
            </w:r>
          </w:p>
        </w:tc>
      </w:tr>
      <w:tr w:rsidR="00FF6292" w:rsidRPr="00593C9A" w14:paraId="59BBA6DC"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62AE70DF"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Prestaciones a la Seguridad Social</w:t>
            </w:r>
          </w:p>
        </w:tc>
        <w:tc>
          <w:tcPr>
            <w:tcW w:w="911" w:type="dxa"/>
            <w:tcBorders>
              <w:top w:val="nil"/>
              <w:left w:val="nil"/>
              <w:bottom w:val="nil"/>
              <w:right w:val="nil"/>
            </w:tcBorders>
            <w:shd w:val="clear" w:color="auto" w:fill="auto"/>
            <w:noWrap/>
            <w:vAlign w:val="bottom"/>
            <w:hideMark/>
          </w:tcPr>
          <w:p w14:paraId="592D0D0D"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28.776,1</w:t>
            </w:r>
          </w:p>
        </w:tc>
        <w:tc>
          <w:tcPr>
            <w:tcW w:w="911" w:type="dxa"/>
            <w:tcBorders>
              <w:top w:val="nil"/>
              <w:left w:val="nil"/>
              <w:bottom w:val="nil"/>
              <w:right w:val="nil"/>
            </w:tcBorders>
            <w:shd w:val="clear" w:color="auto" w:fill="auto"/>
            <w:noWrap/>
            <w:vAlign w:val="bottom"/>
            <w:hideMark/>
          </w:tcPr>
          <w:p w14:paraId="305A9719"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35.170,3</w:t>
            </w:r>
          </w:p>
        </w:tc>
        <w:tc>
          <w:tcPr>
            <w:tcW w:w="911" w:type="dxa"/>
            <w:tcBorders>
              <w:top w:val="nil"/>
              <w:left w:val="nil"/>
              <w:bottom w:val="nil"/>
              <w:right w:val="nil"/>
            </w:tcBorders>
            <w:shd w:val="clear" w:color="auto" w:fill="auto"/>
            <w:noWrap/>
            <w:vAlign w:val="bottom"/>
            <w:hideMark/>
          </w:tcPr>
          <w:p w14:paraId="1E6358B9"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50.005,8</w:t>
            </w:r>
          </w:p>
        </w:tc>
        <w:tc>
          <w:tcPr>
            <w:tcW w:w="911" w:type="dxa"/>
            <w:tcBorders>
              <w:top w:val="nil"/>
              <w:left w:val="nil"/>
              <w:bottom w:val="nil"/>
              <w:right w:val="single" w:sz="4" w:space="0" w:color="auto"/>
            </w:tcBorders>
            <w:shd w:val="clear" w:color="auto" w:fill="auto"/>
            <w:noWrap/>
            <w:vAlign w:val="bottom"/>
            <w:hideMark/>
          </w:tcPr>
          <w:p w14:paraId="644F855A"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69.834,6</w:t>
            </w:r>
          </w:p>
        </w:tc>
      </w:tr>
      <w:tr w:rsidR="00FF6292" w:rsidRPr="00593C9A" w14:paraId="49B7F33C"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0EFD259C"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Varios</w:t>
            </w:r>
          </w:p>
        </w:tc>
        <w:tc>
          <w:tcPr>
            <w:tcW w:w="911" w:type="dxa"/>
            <w:tcBorders>
              <w:top w:val="nil"/>
              <w:left w:val="nil"/>
              <w:bottom w:val="nil"/>
              <w:right w:val="nil"/>
            </w:tcBorders>
            <w:shd w:val="clear" w:color="auto" w:fill="auto"/>
            <w:noWrap/>
            <w:vAlign w:val="bottom"/>
            <w:hideMark/>
          </w:tcPr>
          <w:p w14:paraId="2098836D"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22,1</w:t>
            </w:r>
          </w:p>
        </w:tc>
        <w:tc>
          <w:tcPr>
            <w:tcW w:w="911" w:type="dxa"/>
            <w:tcBorders>
              <w:top w:val="nil"/>
              <w:left w:val="nil"/>
              <w:bottom w:val="nil"/>
              <w:right w:val="nil"/>
            </w:tcBorders>
            <w:shd w:val="clear" w:color="auto" w:fill="auto"/>
            <w:noWrap/>
            <w:vAlign w:val="bottom"/>
            <w:hideMark/>
          </w:tcPr>
          <w:p w14:paraId="15F6B774"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12,9</w:t>
            </w:r>
          </w:p>
        </w:tc>
        <w:tc>
          <w:tcPr>
            <w:tcW w:w="911" w:type="dxa"/>
            <w:tcBorders>
              <w:top w:val="nil"/>
              <w:left w:val="nil"/>
              <w:bottom w:val="nil"/>
              <w:right w:val="nil"/>
            </w:tcBorders>
            <w:shd w:val="clear" w:color="auto" w:fill="auto"/>
            <w:noWrap/>
            <w:vAlign w:val="bottom"/>
            <w:hideMark/>
          </w:tcPr>
          <w:p w14:paraId="34E8A23A"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52,4</w:t>
            </w:r>
          </w:p>
        </w:tc>
        <w:tc>
          <w:tcPr>
            <w:tcW w:w="911" w:type="dxa"/>
            <w:tcBorders>
              <w:top w:val="nil"/>
              <w:left w:val="nil"/>
              <w:bottom w:val="nil"/>
              <w:right w:val="single" w:sz="4" w:space="0" w:color="auto"/>
            </w:tcBorders>
            <w:shd w:val="clear" w:color="auto" w:fill="auto"/>
            <w:noWrap/>
            <w:vAlign w:val="bottom"/>
            <w:hideMark/>
          </w:tcPr>
          <w:p w14:paraId="5BA450AD"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85,2</w:t>
            </w:r>
          </w:p>
        </w:tc>
      </w:tr>
      <w:tr w:rsidR="00FF6292" w:rsidRPr="00593C9A" w14:paraId="34881149" w14:textId="77777777" w:rsidTr="00FF6292">
        <w:trPr>
          <w:trHeight w:val="300"/>
        </w:trPr>
        <w:tc>
          <w:tcPr>
            <w:tcW w:w="4977" w:type="dxa"/>
            <w:tcBorders>
              <w:top w:val="nil"/>
              <w:left w:val="single" w:sz="4" w:space="0" w:color="auto"/>
              <w:bottom w:val="single" w:sz="4" w:space="0" w:color="auto"/>
              <w:right w:val="nil"/>
            </w:tcBorders>
            <w:shd w:val="clear" w:color="auto" w:fill="auto"/>
            <w:noWrap/>
            <w:vAlign w:val="bottom"/>
            <w:hideMark/>
          </w:tcPr>
          <w:p w14:paraId="30FB1E56"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TOTAL DE GASTOS CORRIENTES</w:t>
            </w:r>
          </w:p>
        </w:tc>
        <w:tc>
          <w:tcPr>
            <w:tcW w:w="911" w:type="dxa"/>
            <w:tcBorders>
              <w:top w:val="nil"/>
              <w:left w:val="nil"/>
              <w:bottom w:val="single" w:sz="4" w:space="0" w:color="auto"/>
              <w:right w:val="nil"/>
            </w:tcBorders>
            <w:shd w:val="clear" w:color="auto" w:fill="auto"/>
            <w:noWrap/>
            <w:vAlign w:val="bottom"/>
            <w:hideMark/>
          </w:tcPr>
          <w:p w14:paraId="2CC7A568"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141.902,4</w:t>
            </w:r>
          </w:p>
        </w:tc>
        <w:tc>
          <w:tcPr>
            <w:tcW w:w="911" w:type="dxa"/>
            <w:tcBorders>
              <w:top w:val="nil"/>
              <w:left w:val="nil"/>
              <w:bottom w:val="single" w:sz="4" w:space="0" w:color="auto"/>
              <w:right w:val="nil"/>
            </w:tcBorders>
            <w:shd w:val="clear" w:color="auto" w:fill="auto"/>
            <w:noWrap/>
            <w:vAlign w:val="bottom"/>
            <w:hideMark/>
          </w:tcPr>
          <w:p w14:paraId="02214A4C"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187.925,0</w:t>
            </w:r>
          </w:p>
        </w:tc>
        <w:tc>
          <w:tcPr>
            <w:tcW w:w="911" w:type="dxa"/>
            <w:tcBorders>
              <w:top w:val="nil"/>
              <w:left w:val="nil"/>
              <w:bottom w:val="single" w:sz="4" w:space="0" w:color="auto"/>
              <w:right w:val="nil"/>
            </w:tcBorders>
            <w:shd w:val="clear" w:color="auto" w:fill="auto"/>
            <w:noWrap/>
            <w:vAlign w:val="bottom"/>
            <w:hideMark/>
          </w:tcPr>
          <w:p w14:paraId="522BEBF9"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274.876,1</w:t>
            </w:r>
          </w:p>
        </w:tc>
        <w:tc>
          <w:tcPr>
            <w:tcW w:w="911" w:type="dxa"/>
            <w:tcBorders>
              <w:top w:val="nil"/>
              <w:left w:val="nil"/>
              <w:bottom w:val="single" w:sz="4" w:space="0" w:color="auto"/>
              <w:right w:val="single" w:sz="4" w:space="0" w:color="auto"/>
            </w:tcBorders>
            <w:shd w:val="clear" w:color="auto" w:fill="auto"/>
            <w:noWrap/>
            <w:vAlign w:val="bottom"/>
            <w:hideMark/>
          </w:tcPr>
          <w:p w14:paraId="7A08894C"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382.442,2</w:t>
            </w:r>
          </w:p>
        </w:tc>
      </w:tr>
      <w:tr w:rsidR="00FF6292" w:rsidRPr="00593C9A" w14:paraId="334AADF8"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630BEDEA"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SUPERAVIT ( DEFICIT ) EN CUENTA CORRIENTE</w:t>
            </w:r>
          </w:p>
        </w:tc>
        <w:tc>
          <w:tcPr>
            <w:tcW w:w="911" w:type="dxa"/>
            <w:tcBorders>
              <w:top w:val="nil"/>
              <w:left w:val="nil"/>
              <w:bottom w:val="nil"/>
              <w:right w:val="nil"/>
            </w:tcBorders>
            <w:shd w:val="clear" w:color="auto" w:fill="auto"/>
            <w:noWrap/>
            <w:vAlign w:val="bottom"/>
            <w:hideMark/>
          </w:tcPr>
          <w:p w14:paraId="5BB32663"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7.938,3</w:t>
            </w:r>
          </w:p>
        </w:tc>
        <w:tc>
          <w:tcPr>
            <w:tcW w:w="911" w:type="dxa"/>
            <w:tcBorders>
              <w:top w:val="nil"/>
              <w:left w:val="nil"/>
              <w:bottom w:val="nil"/>
              <w:right w:val="nil"/>
            </w:tcBorders>
            <w:shd w:val="clear" w:color="auto" w:fill="auto"/>
            <w:noWrap/>
            <w:vAlign w:val="bottom"/>
            <w:hideMark/>
          </w:tcPr>
          <w:p w14:paraId="02D491E4"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14.902,7</w:t>
            </w:r>
          </w:p>
        </w:tc>
        <w:tc>
          <w:tcPr>
            <w:tcW w:w="911" w:type="dxa"/>
            <w:tcBorders>
              <w:top w:val="nil"/>
              <w:left w:val="nil"/>
              <w:bottom w:val="nil"/>
              <w:right w:val="nil"/>
            </w:tcBorders>
            <w:shd w:val="clear" w:color="auto" w:fill="auto"/>
            <w:noWrap/>
            <w:vAlign w:val="bottom"/>
            <w:hideMark/>
          </w:tcPr>
          <w:p w14:paraId="2FED76DA"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-725,0</w:t>
            </w:r>
          </w:p>
        </w:tc>
        <w:tc>
          <w:tcPr>
            <w:tcW w:w="911" w:type="dxa"/>
            <w:tcBorders>
              <w:top w:val="nil"/>
              <w:left w:val="nil"/>
              <w:bottom w:val="nil"/>
              <w:right w:val="single" w:sz="4" w:space="0" w:color="auto"/>
            </w:tcBorders>
            <w:shd w:val="clear" w:color="auto" w:fill="auto"/>
            <w:noWrap/>
            <w:vAlign w:val="bottom"/>
            <w:hideMark/>
          </w:tcPr>
          <w:p w14:paraId="43F54451"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11.445,1</w:t>
            </w:r>
          </w:p>
        </w:tc>
      </w:tr>
      <w:tr w:rsidR="00FF6292" w:rsidRPr="00593C9A" w14:paraId="7EEB70F5"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5300D511"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VENTA DE ACTIVOS Y RECUPERO DE PRESTAMOS</w:t>
            </w:r>
          </w:p>
        </w:tc>
        <w:tc>
          <w:tcPr>
            <w:tcW w:w="911" w:type="dxa"/>
            <w:tcBorders>
              <w:top w:val="nil"/>
              <w:left w:val="nil"/>
              <w:bottom w:val="nil"/>
              <w:right w:val="nil"/>
            </w:tcBorders>
            <w:shd w:val="clear" w:color="auto" w:fill="auto"/>
            <w:noWrap/>
            <w:vAlign w:val="bottom"/>
            <w:hideMark/>
          </w:tcPr>
          <w:p w14:paraId="61FABC13"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117,3</w:t>
            </w:r>
          </w:p>
        </w:tc>
        <w:tc>
          <w:tcPr>
            <w:tcW w:w="911" w:type="dxa"/>
            <w:tcBorders>
              <w:top w:val="nil"/>
              <w:left w:val="nil"/>
              <w:bottom w:val="nil"/>
              <w:right w:val="nil"/>
            </w:tcBorders>
            <w:shd w:val="clear" w:color="auto" w:fill="auto"/>
            <w:noWrap/>
            <w:vAlign w:val="bottom"/>
            <w:hideMark/>
          </w:tcPr>
          <w:p w14:paraId="6B0E0901"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155,6</w:t>
            </w:r>
          </w:p>
        </w:tc>
        <w:tc>
          <w:tcPr>
            <w:tcW w:w="911" w:type="dxa"/>
            <w:tcBorders>
              <w:top w:val="nil"/>
              <w:left w:val="nil"/>
              <w:bottom w:val="nil"/>
              <w:right w:val="nil"/>
            </w:tcBorders>
            <w:shd w:val="clear" w:color="auto" w:fill="auto"/>
            <w:noWrap/>
            <w:vAlign w:val="bottom"/>
            <w:hideMark/>
          </w:tcPr>
          <w:p w14:paraId="147C5EFB"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153,5</w:t>
            </w:r>
          </w:p>
        </w:tc>
        <w:tc>
          <w:tcPr>
            <w:tcW w:w="911" w:type="dxa"/>
            <w:tcBorders>
              <w:top w:val="nil"/>
              <w:left w:val="nil"/>
              <w:bottom w:val="nil"/>
              <w:right w:val="single" w:sz="4" w:space="0" w:color="auto"/>
            </w:tcBorders>
            <w:shd w:val="clear" w:color="auto" w:fill="auto"/>
            <w:noWrap/>
            <w:vAlign w:val="bottom"/>
            <w:hideMark/>
          </w:tcPr>
          <w:p w14:paraId="02548127"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209,6</w:t>
            </w:r>
          </w:p>
        </w:tc>
      </w:tr>
      <w:tr w:rsidR="00FF6292" w:rsidRPr="00593C9A" w14:paraId="0070E7CA"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29596543"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TOTAL DE GASTOS DE CAPITAL</w:t>
            </w:r>
          </w:p>
        </w:tc>
        <w:tc>
          <w:tcPr>
            <w:tcW w:w="911" w:type="dxa"/>
            <w:tcBorders>
              <w:top w:val="nil"/>
              <w:left w:val="nil"/>
              <w:bottom w:val="nil"/>
              <w:right w:val="nil"/>
            </w:tcBorders>
            <w:shd w:val="clear" w:color="auto" w:fill="auto"/>
            <w:noWrap/>
            <w:vAlign w:val="bottom"/>
            <w:hideMark/>
          </w:tcPr>
          <w:p w14:paraId="658E884A"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4.694,4</w:t>
            </w:r>
          </w:p>
        </w:tc>
        <w:tc>
          <w:tcPr>
            <w:tcW w:w="911" w:type="dxa"/>
            <w:tcBorders>
              <w:top w:val="nil"/>
              <w:left w:val="nil"/>
              <w:bottom w:val="nil"/>
              <w:right w:val="nil"/>
            </w:tcBorders>
            <w:shd w:val="clear" w:color="auto" w:fill="auto"/>
            <w:noWrap/>
            <w:vAlign w:val="bottom"/>
            <w:hideMark/>
          </w:tcPr>
          <w:p w14:paraId="280F6DA1"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7.534,4</w:t>
            </w:r>
          </w:p>
        </w:tc>
        <w:tc>
          <w:tcPr>
            <w:tcW w:w="911" w:type="dxa"/>
            <w:tcBorders>
              <w:top w:val="nil"/>
              <w:left w:val="nil"/>
              <w:bottom w:val="nil"/>
              <w:right w:val="nil"/>
            </w:tcBorders>
            <w:shd w:val="clear" w:color="auto" w:fill="auto"/>
            <w:noWrap/>
            <w:vAlign w:val="bottom"/>
            <w:hideMark/>
          </w:tcPr>
          <w:p w14:paraId="72ED7ECB"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11.018,5</w:t>
            </w:r>
          </w:p>
        </w:tc>
        <w:tc>
          <w:tcPr>
            <w:tcW w:w="911" w:type="dxa"/>
            <w:tcBorders>
              <w:top w:val="nil"/>
              <w:left w:val="nil"/>
              <w:bottom w:val="nil"/>
              <w:right w:val="single" w:sz="4" w:space="0" w:color="auto"/>
            </w:tcBorders>
            <w:shd w:val="clear" w:color="auto" w:fill="auto"/>
            <w:noWrap/>
            <w:vAlign w:val="bottom"/>
            <w:hideMark/>
          </w:tcPr>
          <w:p w14:paraId="1C2632A0"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26.494,0</w:t>
            </w:r>
          </w:p>
        </w:tc>
      </w:tr>
      <w:tr w:rsidR="00FF6292" w:rsidRPr="00593C9A" w14:paraId="6F0CAAD9"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0678E4B0"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TOTAL DE INGRESOS</w:t>
            </w:r>
          </w:p>
        </w:tc>
        <w:tc>
          <w:tcPr>
            <w:tcW w:w="911" w:type="dxa"/>
            <w:tcBorders>
              <w:top w:val="nil"/>
              <w:left w:val="nil"/>
              <w:bottom w:val="nil"/>
              <w:right w:val="nil"/>
            </w:tcBorders>
            <w:shd w:val="clear" w:color="auto" w:fill="auto"/>
            <w:noWrap/>
            <w:vAlign w:val="bottom"/>
            <w:hideMark/>
          </w:tcPr>
          <w:p w14:paraId="66E9DF2C"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149.958,0</w:t>
            </w:r>
          </w:p>
        </w:tc>
        <w:tc>
          <w:tcPr>
            <w:tcW w:w="911" w:type="dxa"/>
            <w:tcBorders>
              <w:top w:val="nil"/>
              <w:left w:val="nil"/>
              <w:bottom w:val="nil"/>
              <w:right w:val="nil"/>
            </w:tcBorders>
            <w:shd w:val="clear" w:color="auto" w:fill="auto"/>
            <w:noWrap/>
            <w:vAlign w:val="bottom"/>
            <w:hideMark/>
          </w:tcPr>
          <w:p w14:paraId="352378E7"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202.983,3</w:t>
            </w:r>
          </w:p>
        </w:tc>
        <w:tc>
          <w:tcPr>
            <w:tcW w:w="911" w:type="dxa"/>
            <w:tcBorders>
              <w:top w:val="nil"/>
              <w:left w:val="nil"/>
              <w:bottom w:val="nil"/>
              <w:right w:val="nil"/>
            </w:tcBorders>
            <w:shd w:val="clear" w:color="auto" w:fill="auto"/>
            <w:noWrap/>
            <w:vAlign w:val="bottom"/>
            <w:hideMark/>
          </w:tcPr>
          <w:p w14:paraId="2CE20F4F"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274.304,6</w:t>
            </w:r>
          </w:p>
        </w:tc>
        <w:tc>
          <w:tcPr>
            <w:tcW w:w="911" w:type="dxa"/>
            <w:tcBorders>
              <w:top w:val="nil"/>
              <w:left w:val="nil"/>
              <w:bottom w:val="nil"/>
              <w:right w:val="single" w:sz="4" w:space="0" w:color="auto"/>
            </w:tcBorders>
            <w:shd w:val="clear" w:color="auto" w:fill="auto"/>
            <w:noWrap/>
            <w:vAlign w:val="bottom"/>
            <w:hideMark/>
          </w:tcPr>
          <w:p w14:paraId="777217EC"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394.096,9</w:t>
            </w:r>
          </w:p>
        </w:tc>
      </w:tr>
      <w:tr w:rsidR="00FF6292" w:rsidRPr="00593C9A" w14:paraId="1ACE14EC"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5403393F"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TOTAL DE EGRESOS (SIN INT.-PERDIDAS POR OP. CAMB.)</w:t>
            </w:r>
          </w:p>
        </w:tc>
        <w:tc>
          <w:tcPr>
            <w:tcW w:w="911" w:type="dxa"/>
            <w:tcBorders>
              <w:top w:val="nil"/>
              <w:left w:val="nil"/>
              <w:bottom w:val="nil"/>
              <w:right w:val="nil"/>
            </w:tcBorders>
            <w:shd w:val="clear" w:color="auto" w:fill="auto"/>
            <w:noWrap/>
            <w:vAlign w:val="bottom"/>
            <w:hideMark/>
          </w:tcPr>
          <w:p w14:paraId="1AB80DD1"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146.596,8</w:t>
            </w:r>
          </w:p>
        </w:tc>
        <w:tc>
          <w:tcPr>
            <w:tcW w:w="911" w:type="dxa"/>
            <w:tcBorders>
              <w:top w:val="nil"/>
              <w:left w:val="nil"/>
              <w:bottom w:val="nil"/>
              <w:right w:val="nil"/>
            </w:tcBorders>
            <w:shd w:val="clear" w:color="auto" w:fill="auto"/>
            <w:noWrap/>
            <w:vAlign w:val="bottom"/>
            <w:hideMark/>
          </w:tcPr>
          <w:p w14:paraId="21F6BBEE"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195.459,4</w:t>
            </w:r>
          </w:p>
        </w:tc>
        <w:tc>
          <w:tcPr>
            <w:tcW w:w="911" w:type="dxa"/>
            <w:tcBorders>
              <w:top w:val="nil"/>
              <w:left w:val="nil"/>
              <w:bottom w:val="nil"/>
              <w:right w:val="nil"/>
            </w:tcBorders>
            <w:shd w:val="clear" w:color="auto" w:fill="auto"/>
            <w:noWrap/>
            <w:vAlign w:val="bottom"/>
            <w:hideMark/>
          </w:tcPr>
          <w:p w14:paraId="11946B5C"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285.894,7</w:t>
            </w:r>
          </w:p>
        </w:tc>
        <w:tc>
          <w:tcPr>
            <w:tcW w:w="911" w:type="dxa"/>
            <w:tcBorders>
              <w:top w:val="nil"/>
              <w:left w:val="nil"/>
              <w:bottom w:val="nil"/>
              <w:right w:val="single" w:sz="4" w:space="0" w:color="auto"/>
            </w:tcBorders>
            <w:shd w:val="clear" w:color="auto" w:fill="auto"/>
            <w:noWrap/>
            <w:vAlign w:val="bottom"/>
            <w:hideMark/>
          </w:tcPr>
          <w:p w14:paraId="05E7705B"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408.936,2</w:t>
            </w:r>
          </w:p>
        </w:tc>
      </w:tr>
      <w:tr w:rsidR="00FF6292" w:rsidRPr="00593C9A" w14:paraId="134A697C"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6F056E9C"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SALDO PRIMARIO</w:t>
            </w:r>
          </w:p>
        </w:tc>
        <w:tc>
          <w:tcPr>
            <w:tcW w:w="911" w:type="dxa"/>
            <w:tcBorders>
              <w:top w:val="nil"/>
              <w:left w:val="nil"/>
              <w:bottom w:val="nil"/>
              <w:right w:val="nil"/>
            </w:tcBorders>
            <w:shd w:val="clear" w:color="auto" w:fill="auto"/>
            <w:noWrap/>
            <w:vAlign w:val="bottom"/>
            <w:hideMark/>
          </w:tcPr>
          <w:p w14:paraId="3E713E73"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3.361,2</w:t>
            </w:r>
          </w:p>
        </w:tc>
        <w:tc>
          <w:tcPr>
            <w:tcW w:w="911" w:type="dxa"/>
            <w:tcBorders>
              <w:top w:val="nil"/>
              <w:left w:val="nil"/>
              <w:bottom w:val="nil"/>
              <w:right w:val="nil"/>
            </w:tcBorders>
            <w:shd w:val="clear" w:color="auto" w:fill="auto"/>
            <w:noWrap/>
            <w:vAlign w:val="bottom"/>
            <w:hideMark/>
          </w:tcPr>
          <w:p w14:paraId="19758B49"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7.523,8</w:t>
            </w:r>
          </w:p>
        </w:tc>
        <w:tc>
          <w:tcPr>
            <w:tcW w:w="911" w:type="dxa"/>
            <w:tcBorders>
              <w:top w:val="nil"/>
              <w:left w:val="nil"/>
              <w:bottom w:val="nil"/>
              <w:right w:val="nil"/>
            </w:tcBorders>
            <w:shd w:val="clear" w:color="auto" w:fill="auto"/>
            <w:noWrap/>
            <w:vAlign w:val="bottom"/>
            <w:hideMark/>
          </w:tcPr>
          <w:p w14:paraId="4D6D2A43"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-11.590,0</w:t>
            </w:r>
          </w:p>
        </w:tc>
        <w:tc>
          <w:tcPr>
            <w:tcW w:w="911" w:type="dxa"/>
            <w:tcBorders>
              <w:top w:val="nil"/>
              <w:left w:val="nil"/>
              <w:bottom w:val="nil"/>
              <w:right w:val="single" w:sz="4" w:space="0" w:color="auto"/>
            </w:tcBorders>
            <w:shd w:val="clear" w:color="auto" w:fill="auto"/>
            <w:noWrap/>
            <w:vAlign w:val="bottom"/>
            <w:hideMark/>
          </w:tcPr>
          <w:p w14:paraId="6FFB35C3"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-14.839,3</w:t>
            </w:r>
          </w:p>
        </w:tc>
      </w:tr>
      <w:tr w:rsidR="00FF6292" w:rsidRPr="00593C9A" w14:paraId="0CDB8713"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28BD8667"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Intereses </w:t>
            </w:r>
          </w:p>
        </w:tc>
        <w:tc>
          <w:tcPr>
            <w:tcW w:w="911" w:type="dxa"/>
            <w:tcBorders>
              <w:top w:val="nil"/>
              <w:left w:val="nil"/>
              <w:bottom w:val="nil"/>
              <w:right w:val="nil"/>
            </w:tcBorders>
            <w:shd w:val="clear" w:color="auto" w:fill="auto"/>
            <w:noWrap/>
            <w:vAlign w:val="bottom"/>
            <w:hideMark/>
          </w:tcPr>
          <w:p w14:paraId="09D9D46B"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4.347,1</w:t>
            </w:r>
          </w:p>
        </w:tc>
        <w:tc>
          <w:tcPr>
            <w:tcW w:w="911" w:type="dxa"/>
            <w:tcBorders>
              <w:top w:val="nil"/>
              <w:left w:val="nil"/>
              <w:bottom w:val="nil"/>
              <w:right w:val="nil"/>
            </w:tcBorders>
            <w:shd w:val="clear" w:color="auto" w:fill="auto"/>
            <w:noWrap/>
            <w:vAlign w:val="bottom"/>
            <w:hideMark/>
          </w:tcPr>
          <w:p w14:paraId="04B6CCCA"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6.720,7</w:t>
            </w:r>
          </w:p>
        </w:tc>
        <w:tc>
          <w:tcPr>
            <w:tcW w:w="911" w:type="dxa"/>
            <w:tcBorders>
              <w:top w:val="nil"/>
              <w:left w:val="nil"/>
              <w:bottom w:val="nil"/>
              <w:right w:val="nil"/>
            </w:tcBorders>
            <w:shd w:val="clear" w:color="auto" w:fill="auto"/>
            <w:noWrap/>
            <w:vAlign w:val="bottom"/>
            <w:hideMark/>
          </w:tcPr>
          <w:p w14:paraId="73DB1288"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9.874,0</w:t>
            </w:r>
          </w:p>
        </w:tc>
        <w:tc>
          <w:tcPr>
            <w:tcW w:w="911" w:type="dxa"/>
            <w:tcBorders>
              <w:top w:val="nil"/>
              <w:left w:val="nil"/>
              <w:bottom w:val="nil"/>
              <w:right w:val="single" w:sz="4" w:space="0" w:color="auto"/>
            </w:tcBorders>
            <w:shd w:val="clear" w:color="auto" w:fill="auto"/>
            <w:noWrap/>
            <w:vAlign w:val="bottom"/>
            <w:hideMark/>
          </w:tcPr>
          <w:p w14:paraId="3662F19B"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15.962,5</w:t>
            </w:r>
          </w:p>
        </w:tc>
      </w:tr>
      <w:tr w:rsidR="00FF6292" w:rsidRPr="00593C9A" w14:paraId="10BD6F35"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5CD9AD7B"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Otras Pérdidas Ajenas a la Operación</w:t>
            </w:r>
          </w:p>
        </w:tc>
        <w:tc>
          <w:tcPr>
            <w:tcW w:w="911" w:type="dxa"/>
            <w:tcBorders>
              <w:top w:val="nil"/>
              <w:left w:val="nil"/>
              <w:bottom w:val="nil"/>
              <w:right w:val="nil"/>
            </w:tcBorders>
            <w:shd w:val="clear" w:color="auto" w:fill="auto"/>
            <w:noWrap/>
            <w:vAlign w:val="bottom"/>
            <w:hideMark/>
          </w:tcPr>
          <w:p w14:paraId="25E12FC3"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137,0</w:t>
            </w:r>
          </w:p>
        </w:tc>
        <w:tc>
          <w:tcPr>
            <w:tcW w:w="911" w:type="dxa"/>
            <w:tcBorders>
              <w:top w:val="nil"/>
              <w:left w:val="nil"/>
              <w:bottom w:val="nil"/>
              <w:right w:val="nil"/>
            </w:tcBorders>
            <w:shd w:val="clear" w:color="auto" w:fill="auto"/>
            <w:noWrap/>
            <w:vAlign w:val="bottom"/>
            <w:hideMark/>
          </w:tcPr>
          <w:p w14:paraId="4AF20AC7"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3,2</w:t>
            </w:r>
          </w:p>
        </w:tc>
        <w:tc>
          <w:tcPr>
            <w:tcW w:w="911" w:type="dxa"/>
            <w:tcBorders>
              <w:top w:val="nil"/>
              <w:left w:val="nil"/>
              <w:bottom w:val="nil"/>
              <w:right w:val="nil"/>
            </w:tcBorders>
            <w:shd w:val="clear" w:color="auto" w:fill="auto"/>
            <w:noWrap/>
            <w:vAlign w:val="bottom"/>
            <w:hideMark/>
          </w:tcPr>
          <w:p w14:paraId="42946450"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6,1</w:t>
            </w:r>
          </w:p>
        </w:tc>
        <w:tc>
          <w:tcPr>
            <w:tcW w:w="911" w:type="dxa"/>
            <w:tcBorders>
              <w:top w:val="nil"/>
              <w:left w:val="nil"/>
              <w:bottom w:val="nil"/>
              <w:right w:val="single" w:sz="4" w:space="0" w:color="auto"/>
            </w:tcBorders>
            <w:shd w:val="clear" w:color="auto" w:fill="auto"/>
            <w:noWrap/>
            <w:vAlign w:val="bottom"/>
            <w:hideMark/>
          </w:tcPr>
          <w:p w14:paraId="51D919BE"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15,9</w:t>
            </w:r>
          </w:p>
        </w:tc>
      </w:tr>
      <w:tr w:rsidR="00FF6292" w:rsidRPr="00593C9A" w14:paraId="62784BF6"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4E600E48"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SUPERAVIT ( DEFICIT ) TOTAL</w:t>
            </w:r>
          </w:p>
        </w:tc>
        <w:tc>
          <w:tcPr>
            <w:tcW w:w="911" w:type="dxa"/>
            <w:tcBorders>
              <w:top w:val="nil"/>
              <w:left w:val="nil"/>
              <w:bottom w:val="nil"/>
              <w:right w:val="nil"/>
            </w:tcBorders>
            <w:shd w:val="clear" w:color="auto" w:fill="auto"/>
            <w:noWrap/>
            <w:vAlign w:val="bottom"/>
            <w:hideMark/>
          </w:tcPr>
          <w:p w14:paraId="5610CBAD"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-1.122,9</w:t>
            </w:r>
          </w:p>
        </w:tc>
        <w:tc>
          <w:tcPr>
            <w:tcW w:w="911" w:type="dxa"/>
            <w:tcBorders>
              <w:top w:val="nil"/>
              <w:left w:val="nil"/>
              <w:bottom w:val="nil"/>
              <w:right w:val="nil"/>
            </w:tcBorders>
            <w:shd w:val="clear" w:color="auto" w:fill="auto"/>
            <w:noWrap/>
            <w:vAlign w:val="bottom"/>
            <w:hideMark/>
          </w:tcPr>
          <w:p w14:paraId="5D629EC9"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799,9</w:t>
            </w:r>
          </w:p>
        </w:tc>
        <w:tc>
          <w:tcPr>
            <w:tcW w:w="911" w:type="dxa"/>
            <w:tcBorders>
              <w:top w:val="nil"/>
              <w:left w:val="nil"/>
              <w:bottom w:val="nil"/>
              <w:right w:val="nil"/>
            </w:tcBorders>
            <w:shd w:val="clear" w:color="auto" w:fill="auto"/>
            <w:noWrap/>
            <w:vAlign w:val="bottom"/>
            <w:hideMark/>
          </w:tcPr>
          <w:p w14:paraId="2B727749"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-21.470,1</w:t>
            </w:r>
          </w:p>
        </w:tc>
        <w:tc>
          <w:tcPr>
            <w:tcW w:w="911" w:type="dxa"/>
            <w:tcBorders>
              <w:top w:val="nil"/>
              <w:left w:val="nil"/>
              <w:bottom w:val="nil"/>
              <w:right w:val="single" w:sz="4" w:space="0" w:color="auto"/>
            </w:tcBorders>
            <w:shd w:val="clear" w:color="auto" w:fill="auto"/>
            <w:noWrap/>
            <w:vAlign w:val="bottom"/>
            <w:hideMark/>
          </w:tcPr>
          <w:p w14:paraId="6157056F"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-30.817,6</w:t>
            </w:r>
          </w:p>
        </w:tc>
      </w:tr>
      <w:tr w:rsidR="00FF6292" w:rsidRPr="00593C9A" w14:paraId="65CAAEE0" w14:textId="77777777" w:rsidTr="00FF6292">
        <w:trPr>
          <w:trHeight w:val="300"/>
        </w:trPr>
        <w:tc>
          <w:tcPr>
            <w:tcW w:w="4977" w:type="dxa"/>
            <w:tcBorders>
              <w:top w:val="single" w:sz="4" w:space="0" w:color="auto"/>
              <w:left w:val="single" w:sz="4" w:space="0" w:color="auto"/>
              <w:bottom w:val="nil"/>
              <w:right w:val="nil"/>
            </w:tcBorders>
            <w:shd w:val="clear" w:color="auto" w:fill="auto"/>
            <w:noWrap/>
            <w:vAlign w:val="bottom"/>
            <w:hideMark/>
          </w:tcPr>
          <w:p w14:paraId="3C071800"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Endeudamiento</w:t>
            </w:r>
          </w:p>
        </w:tc>
        <w:tc>
          <w:tcPr>
            <w:tcW w:w="911" w:type="dxa"/>
            <w:tcBorders>
              <w:top w:val="single" w:sz="4" w:space="0" w:color="auto"/>
              <w:left w:val="nil"/>
              <w:bottom w:val="nil"/>
              <w:right w:val="nil"/>
            </w:tcBorders>
            <w:shd w:val="clear" w:color="auto" w:fill="auto"/>
            <w:noWrap/>
            <w:vAlign w:val="bottom"/>
            <w:hideMark/>
          </w:tcPr>
          <w:p w14:paraId="77308699"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6.706,4</w:t>
            </w:r>
          </w:p>
        </w:tc>
        <w:tc>
          <w:tcPr>
            <w:tcW w:w="911" w:type="dxa"/>
            <w:tcBorders>
              <w:top w:val="single" w:sz="4" w:space="0" w:color="auto"/>
              <w:left w:val="nil"/>
              <w:bottom w:val="nil"/>
              <w:right w:val="nil"/>
            </w:tcBorders>
            <w:shd w:val="clear" w:color="auto" w:fill="auto"/>
            <w:noWrap/>
            <w:vAlign w:val="bottom"/>
            <w:hideMark/>
          </w:tcPr>
          <w:p w14:paraId="1BA88A2E"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5.955,7</w:t>
            </w:r>
          </w:p>
        </w:tc>
        <w:tc>
          <w:tcPr>
            <w:tcW w:w="911" w:type="dxa"/>
            <w:tcBorders>
              <w:top w:val="single" w:sz="4" w:space="0" w:color="auto"/>
              <w:left w:val="nil"/>
              <w:bottom w:val="nil"/>
              <w:right w:val="nil"/>
            </w:tcBorders>
            <w:shd w:val="clear" w:color="auto" w:fill="auto"/>
            <w:noWrap/>
            <w:vAlign w:val="bottom"/>
            <w:hideMark/>
          </w:tcPr>
          <w:p w14:paraId="2BC9BE16"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25.462,8</w:t>
            </w:r>
          </w:p>
        </w:tc>
        <w:tc>
          <w:tcPr>
            <w:tcW w:w="911" w:type="dxa"/>
            <w:tcBorders>
              <w:top w:val="single" w:sz="4" w:space="0" w:color="auto"/>
              <w:left w:val="nil"/>
              <w:bottom w:val="nil"/>
              <w:right w:val="single" w:sz="4" w:space="0" w:color="auto"/>
            </w:tcBorders>
            <w:shd w:val="clear" w:color="auto" w:fill="auto"/>
            <w:noWrap/>
            <w:vAlign w:val="bottom"/>
            <w:hideMark/>
          </w:tcPr>
          <w:p w14:paraId="758E0E62"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68.915,4</w:t>
            </w:r>
          </w:p>
        </w:tc>
      </w:tr>
      <w:tr w:rsidR="00FF6292" w:rsidRPr="00593C9A" w14:paraId="72FC0CBE"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2BA3A928"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Amortización de Deuda</w:t>
            </w:r>
          </w:p>
        </w:tc>
        <w:tc>
          <w:tcPr>
            <w:tcW w:w="911" w:type="dxa"/>
            <w:tcBorders>
              <w:top w:val="nil"/>
              <w:left w:val="nil"/>
              <w:bottom w:val="nil"/>
              <w:right w:val="nil"/>
            </w:tcBorders>
            <w:shd w:val="clear" w:color="auto" w:fill="auto"/>
            <w:noWrap/>
            <w:vAlign w:val="bottom"/>
            <w:hideMark/>
          </w:tcPr>
          <w:p w14:paraId="409D3EF2"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9.608,0</w:t>
            </w:r>
          </w:p>
        </w:tc>
        <w:tc>
          <w:tcPr>
            <w:tcW w:w="911" w:type="dxa"/>
            <w:tcBorders>
              <w:top w:val="nil"/>
              <w:left w:val="nil"/>
              <w:bottom w:val="nil"/>
              <w:right w:val="nil"/>
            </w:tcBorders>
            <w:shd w:val="clear" w:color="auto" w:fill="auto"/>
            <w:noWrap/>
            <w:vAlign w:val="bottom"/>
            <w:hideMark/>
          </w:tcPr>
          <w:p w14:paraId="6B849477"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12.364,7</w:t>
            </w:r>
          </w:p>
        </w:tc>
        <w:tc>
          <w:tcPr>
            <w:tcW w:w="911" w:type="dxa"/>
            <w:tcBorders>
              <w:top w:val="nil"/>
              <w:left w:val="nil"/>
              <w:bottom w:val="nil"/>
              <w:right w:val="nil"/>
            </w:tcBorders>
            <w:shd w:val="clear" w:color="auto" w:fill="auto"/>
            <w:noWrap/>
            <w:vAlign w:val="bottom"/>
            <w:hideMark/>
          </w:tcPr>
          <w:p w14:paraId="58408F2B"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22.056,4</w:t>
            </w:r>
          </w:p>
        </w:tc>
        <w:tc>
          <w:tcPr>
            <w:tcW w:w="911" w:type="dxa"/>
            <w:tcBorders>
              <w:top w:val="nil"/>
              <w:left w:val="nil"/>
              <w:bottom w:val="nil"/>
              <w:right w:val="single" w:sz="4" w:space="0" w:color="auto"/>
            </w:tcBorders>
            <w:shd w:val="clear" w:color="auto" w:fill="auto"/>
            <w:noWrap/>
            <w:vAlign w:val="bottom"/>
            <w:hideMark/>
          </w:tcPr>
          <w:p w14:paraId="3FC13ADD"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50.350,8</w:t>
            </w:r>
          </w:p>
        </w:tc>
      </w:tr>
      <w:tr w:rsidR="00FF6292" w:rsidRPr="00593C9A" w14:paraId="4BC12225"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4A81DAC5"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Dism. de Otros Pasivos - Rec. Afectados</w:t>
            </w:r>
          </w:p>
        </w:tc>
        <w:tc>
          <w:tcPr>
            <w:tcW w:w="911" w:type="dxa"/>
            <w:tcBorders>
              <w:top w:val="nil"/>
              <w:left w:val="nil"/>
              <w:bottom w:val="nil"/>
              <w:right w:val="nil"/>
            </w:tcBorders>
            <w:shd w:val="clear" w:color="auto" w:fill="auto"/>
            <w:noWrap/>
            <w:vAlign w:val="bottom"/>
            <w:hideMark/>
          </w:tcPr>
          <w:p w14:paraId="72B29A3F"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7.800,7</w:t>
            </w:r>
          </w:p>
        </w:tc>
        <w:tc>
          <w:tcPr>
            <w:tcW w:w="911" w:type="dxa"/>
            <w:tcBorders>
              <w:top w:val="nil"/>
              <w:left w:val="nil"/>
              <w:bottom w:val="nil"/>
              <w:right w:val="nil"/>
            </w:tcBorders>
            <w:shd w:val="clear" w:color="auto" w:fill="auto"/>
            <w:noWrap/>
            <w:vAlign w:val="bottom"/>
            <w:hideMark/>
          </w:tcPr>
          <w:p w14:paraId="48D44531"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11.087,8</w:t>
            </w:r>
          </w:p>
        </w:tc>
        <w:tc>
          <w:tcPr>
            <w:tcW w:w="911" w:type="dxa"/>
            <w:tcBorders>
              <w:top w:val="nil"/>
              <w:left w:val="nil"/>
              <w:bottom w:val="nil"/>
              <w:right w:val="nil"/>
            </w:tcBorders>
            <w:shd w:val="clear" w:color="auto" w:fill="auto"/>
            <w:noWrap/>
            <w:vAlign w:val="bottom"/>
            <w:hideMark/>
          </w:tcPr>
          <w:p w14:paraId="126F4EA2"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12.559,3</w:t>
            </w:r>
          </w:p>
        </w:tc>
        <w:tc>
          <w:tcPr>
            <w:tcW w:w="911" w:type="dxa"/>
            <w:tcBorders>
              <w:top w:val="nil"/>
              <w:left w:val="nil"/>
              <w:bottom w:val="nil"/>
              <w:right w:val="single" w:sz="4" w:space="0" w:color="auto"/>
            </w:tcBorders>
            <w:shd w:val="clear" w:color="auto" w:fill="auto"/>
            <w:noWrap/>
            <w:vAlign w:val="bottom"/>
            <w:hideMark/>
          </w:tcPr>
          <w:p w14:paraId="53284A8F"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9.956,1</w:t>
            </w:r>
          </w:p>
        </w:tc>
      </w:tr>
      <w:tr w:rsidR="00FF6292" w:rsidRPr="00593C9A" w14:paraId="2751AD38" w14:textId="77777777" w:rsidTr="00FF6292">
        <w:trPr>
          <w:trHeight w:val="300"/>
        </w:trPr>
        <w:tc>
          <w:tcPr>
            <w:tcW w:w="4977" w:type="dxa"/>
            <w:tcBorders>
              <w:top w:val="nil"/>
              <w:left w:val="single" w:sz="4" w:space="0" w:color="auto"/>
              <w:bottom w:val="single" w:sz="4" w:space="0" w:color="auto"/>
              <w:right w:val="nil"/>
            </w:tcBorders>
            <w:shd w:val="clear" w:color="auto" w:fill="auto"/>
            <w:noWrap/>
            <w:vAlign w:val="bottom"/>
            <w:hideMark/>
          </w:tcPr>
          <w:p w14:paraId="4B47C93F"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Endeudamiento Neto</w:t>
            </w:r>
          </w:p>
        </w:tc>
        <w:tc>
          <w:tcPr>
            <w:tcW w:w="911" w:type="dxa"/>
            <w:tcBorders>
              <w:top w:val="nil"/>
              <w:left w:val="nil"/>
              <w:bottom w:val="single" w:sz="4" w:space="0" w:color="auto"/>
              <w:right w:val="nil"/>
            </w:tcBorders>
            <w:shd w:val="clear" w:color="auto" w:fill="auto"/>
            <w:noWrap/>
            <w:vAlign w:val="bottom"/>
            <w:hideMark/>
          </w:tcPr>
          <w:p w14:paraId="1C004DA1"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-10.702,3</w:t>
            </w:r>
          </w:p>
        </w:tc>
        <w:tc>
          <w:tcPr>
            <w:tcW w:w="911" w:type="dxa"/>
            <w:tcBorders>
              <w:top w:val="nil"/>
              <w:left w:val="nil"/>
              <w:bottom w:val="single" w:sz="4" w:space="0" w:color="auto"/>
              <w:right w:val="nil"/>
            </w:tcBorders>
            <w:shd w:val="clear" w:color="auto" w:fill="auto"/>
            <w:noWrap/>
            <w:vAlign w:val="bottom"/>
            <w:hideMark/>
          </w:tcPr>
          <w:p w14:paraId="52AEE7DD"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-17.496,8</w:t>
            </w:r>
          </w:p>
        </w:tc>
        <w:tc>
          <w:tcPr>
            <w:tcW w:w="911" w:type="dxa"/>
            <w:tcBorders>
              <w:top w:val="nil"/>
              <w:left w:val="nil"/>
              <w:bottom w:val="single" w:sz="4" w:space="0" w:color="auto"/>
              <w:right w:val="nil"/>
            </w:tcBorders>
            <w:shd w:val="clear" w:color="auto" w:fill="auto"/>
            <w:noWrap/>
            <w:vAlign w:val="bottom"/>
            <w:hideMark/>
          </w:tcPr>
          <w:p w14:paraId="1B01E2FA"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-9.152,9</w:t>
            </w:r>
          </w:p>
        </w:tc>
        <w:tc>
          <w:tcPr>
            <w:tcW w:w="911" w:type="dxa"/>
            <w:tcBorders>
              <w:top w:val="nil"/>
              <w:left w:val="nil"/>
              <w:bottom w:val="single" w:sz="4" w:space="0" w:color="auto"/>
              <w:right w:val="single" w:sz="4" w:space="0" w:color="auto"/>
            </w:tcBorders>
            <w:shd w:val="clear" w:color="auto" w:fill="auto"/>
            <w:noWrap/>
            <w:vAlign w:val="bottom"/>
            <w:hideMark/>
          </w:tcPr>
          <w:p w14:paraId="326D548F"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8.608,5</w:t>
            </w:r>
          </w:p>
        </w:tc>
      </w:tr>
      <w:tr w:rsidR="00FF6292" w:rsidRPr="00593C9A" w14:paraId="2743CFF5" w14:textId="77777777" w:rsidTr="00FF6292">
        <w:trPr>
          <w:trHeight w:val="300"/>
        </w:trPr>
        <w:tc>
          <w:tcPr>
            <w:tcW w:w="4977" w:type="dxa"/>
            <w:tcBorders>
              <w:top w:val="nil"/>
              <w:left w:val="single" w:sz="4" w:space="0" w:color="auto"/>
              <w:bottom w:val="nil"/>
              <w:right w:val="nil"/>
            </w:tcBorders>
            <w:shd w:val="clear" w:color="auto" w:fill="auto"/>
            <w:noWrap/>
            <w:vAlign w:val="bottom"/>
            <w:hideMark/>
          </w:tcPr>
          <w:p w14:paraId="036F0AD3" w14:textId="77777777" w:rsidR="00FF6292" w:rsidRPr="00117BF8" w:rsidRDefault="00FF6292" w:rsidP="00FF6292">
            <w:pPr>
              <w:keepNext/>
              <w:spacing w:after="0"/>
              <w:ind w:firstLineChars="600" w:firstLine="1080"/>
              <w:jc w:val="left"/>
              <w:rPr>
                <w:rFonts w:ascii="Arial" w:hAnsi="Arial" w:cs="Arial"/>
                <w:sz w:val="18"/>
                <w:szCs w:val="18"/>
                <w:lang w:val="es-AR" w:eastAsia="es-AR"/>
              </w:rPr>
            </w:pPr>
            <w:r w:rsidRPr="00117BF8">
              <w:rPr>
                <w:rFonts w:ascii="Arial" w:hAnsi="Arial" w:cs="Arial"/>
                <w:sz w:val="18"/>
                <w:szCs w:val="18"/>
                <w:lang w:val="es-AR" w:eastAsia="es-AR"/>
              </w:rPr>
              <w:t>Otros</w:t>
            </w:r>
          </w:p>
        </w:tc>
        <w:tc>
          <w:tcPr>
            <w:tcW w:w="911" w:type="dxa"/>
            <w:tcBorders>
              <w:top w:val="nil"/>
              <w:left w:val="nil"/>
              <w:bottom w:val="nil"/>
              <w:right w:val="nil"/>
            </w:tcBorders>
            <w:shd w:val="clear" w:color="auto" w:fill="auto"/>
            <w:noWrap/>
            <w:vAlign w:val="bottom"/>
            <w:hideMark/>
          </w:tcPr>
          <w:p w14:paraId="55FEED15"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911" w:type="dxa"/>
            <w:tcBorders>
              <w:top w:val="nil"/>
              <w:left w:val="nil"/>
              <w:bottom w:val="nil"/>
              <w:right w:val="nil"/>
            </w:tcBorders>
            <w:shd w:val="clear" w:color="auto" w:fill="auto"/>
            <w:noWrap/>
            <w:vAlign w:val="bottom"/>
            <w:hideMark/>
          </w:tcPr>
          <w:p w14:paraId="2FDA33D1"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911" w:type="dxa"/>
            <w:tcBorders>
              <w:top w:val="nil"/>
              <w:left w:val="nil"/>
              <w:bottom w:val="nil"/>
              <w:right w:val="nil"/>
            </w:tcBorders>
            <w:shd w:val="clear" w:color="auto" w:fill="auto"/>
            <w:noWrap/>
            <w:vAlign w:val="bottom"/>
            <w:hideMark/>
          </w:tcPr>
          <w:p w14:paraId="6102B60F"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c>
          <w:tcPr>
            <w:tcW w:w="911" w:type="dxa"/>
            <w:tcBorders>
              <w:top w:val="nil"/>
              <w:left w:val="nil"/>
              <w:bottom w:val="nil"/>
              <w:right w:val="single" w:sz="4" w:space="0" w:color="auto"/>
            </w:tcBorders>
            <w:shd w:val="clear" w:color="auto" w:fill="auto"/>
            <w:noWrap/>
            <w:vAlign w:val="bottom"/>
            <w:hideMark/>
          </w:tcPr>
          <w:p w14:paraId="400F552F" w14:textId="77777777" w:rsidR="00FF6292" w:rsidRPr="00117BF8" w:rsidRDefault="00FF6292" w:rsidP="00FF6292">
            <w:pPr>
              <w:keepNext/>
              <w:spacing w:after="0"/>
              <w:jc w:val="right"/>
              <w:rPr>
                <w:rFonts w:ascii="Arial" w:hAnsi="Arial" w:cs="Arial"/>
                <w:sz w:val="18"/>
                <w:szCs w:val="18"/>
                <w:lang w:val="es-AR" w:eastAsia="es-AR"/>
              </w:rPr>
            </w:pPr>
            <w:r w:rsidRPr="00117BF8">
              <w:rPr>
                <w:rFonts w:ascii="Arial" w:hAnsi="Arial" w:cs="Arial"/>
                <w:sz w:val="18"/>
                <w:szCs w:val="18"/>
                <w:lang w:val="es-AR" w:eastAsia="es-AR"/>
              </w:rPr>
              <w:t>0,0</w:t>
            </w:r>
          </w:p>
        </w:tc>
      </w:tr>
      <w:tr w:rsidR="00FF6292" w:rsidRPr="00593C9A" w14:paraId="4CFA60FF" w14:textId="77777777" w:rsidTr="00FF6292">
        <w:trPr>
          <w:trHeight w:val="300"/>
        </w:trPr>
        <w:tc>
          <w:tcPr>
            <w:tcW w:w="4977" w:type="dxa"/>
            <w:tcBorders>
              <w:top w:val="nil"/>
              <w:left w:val="single" w:sz="4" w:space="0" w:color="auto"/>
              <w:bottom w:val="single" w:sz="4" w:space="0" w:color="auto"/>
              <w:right w:val="nil"/>
            </w:tcBorders>
            <w:shd w:val="clear" w:color="auto" w:fill="auto"/>
            <w:noWrap/>
            <w:vAlign w:val="bottom"/>
            <w:hideMark/>
          </w:tcPr>
          <w:p w14:paraId="6F8DA259" w14:textId="77777777" w:rsidR="00FF6292" w:rsidRPr="00117BF8" w:rsidRDefault="00FF6292" w:rsidP="00FF6292">
            <w:pPr>
              <w:keepNext/>
              <w:spacing w:after="0"/>
              <w:jc w:val="left"/>
              <w:rPr>
                <w:rFonts w:ascii="Arial" w:hAnsi="Arial" w:cs="Arial"/>
                <w:b/>
                <w:bCs/>
                <w:i/>
                <w:iCs/>
                <w:sz w:val="18"/>
                <w:szCs w:val="18"/>
                <w:lang w:val="es-AR" w:eastAsia="es-AR"/>
              </w:rPr>
            </w:pPr>
            <w:r w:rsidRPr="00117BF8">
              <w:rPr>
                <w:rFonts w:ascii="Arial" w:hAnsi="Arial" w:cs="Arial"/>
                <w:b/>
                <w:bCs/>
                <w:i/>
                <w:iCs/>
                <w:sz w:val="18"/>
                <w:szCs w:val="18"/>
                <w:lang w:val="es-AR" w:eastAsia="es-AR"/>
              </w:rPr>
              <w:t>   RESULTADO FINANCIERO</w:t>
            </w:r>
          </w:p>
        </w:tc>
        <w:tc>
          <w:tcPr>
            <w:tcW w:w="911" w:type="dxa"/>
            <w:tcBorders>
              <w:top w:val="nil"/>
              <w:left w:val="nil"/>
              <w:bottom w:val="single" w:sz="4" w:space="0" w:color="auto"/>
              <w:right w:val="nil"/>
            </w:tcBorders>
            <w:shd w:val="clear" w:color="auto" w:fill="auto"/>
            <w:noWrap/>
            <w:vAlign w:val="bottom"/>
            <w:hideMark/>
          </w:tcPr>
          <w:p w14:paraId="279A20F3"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-11.825,2</w:t>
            </w:r>
          </w:p>
        </w:tc>
        <w:tc>
          <w:tcPr>
            <w:tcW w:w="911" w:type="dxa"/>
            <w:tcBorders>
              <w:top w:val="nil"/>
              <w:left w:val="nil"/>
              <w:bottom w:val="single" w:sz="4" w:space="0" w:color="auto"/>
              <w:right w:val="nil"/>
            </w:tcBorders>
            <w:shd w:val="clear" w:color="auto" w:fill="auto"/>
            <w:noWrap/>
            <w:vAlign w:val="bottom"/>
            <w:hideMark/>
          </w:tcPr>
          <w:p w14:paraId="5EEEE46A"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-16.696,8</w:t>
            </w:r>
          </w:p>
        </w:tc>
        <w:tc>
          <w:tcPr>
            <w:tcW w:w="911" w:type="dxa"/>
            <w:tcBorders>
              <w:top w:val="nil"/>
              <w:left w:val="nil"/>
              <w:bottom w:val="single" w:sz="4" w:space="0" w:color="auto"/>
              <w:right w:val="nil"/>
            </w:tcBorders>
            <w:shd w:val="clear" w:color="auto" w:fill="auto"/>
            <w:noWrap/>
            <w:vAlign w:val="bottom"/>
            <w:hideMark/>
          </w:tcPr>
          <w:p w14:paraId="0DBDA40E"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-30.623,0</w:t>
            </w:r>
          </w:p>
        </w:tc>
        <w:tc>
          <w:tcPr>
            <w:tcW w:w="911" w:type="dxa"/>
            <w:tcBorders>
              <w:top w:val="nil"/>
              <w:left w:val="nil"/>
              <w:bottom w:val="single" w:sz="4" w:space="0" w:color="auto"/>
              <w:right w:val="single" w:sz="4" w:space="0" w:color="auto"/>
            </w:tcBorders>
            <w:shd w:val="clear" w:color="auto" w:fill="auto"/>
            <w:noWrap/>
            <w:vAlign w:val="bottom"/>
            <w:hideMark/>
          </w:tcPr>
          <w:p w14:paraId="3F4B75FE" w14:textId="77777777" w:rsidR="00FF6292" w:rsidRPr="00117BF8" w:rsidRDefault="00FF6292" w:rsidP="00FF6292">
            <w:pPr>
              <w:keepNext/>
              <w:spacing w:after="0"/>
              <w:jc w:val="right"/>
              <w:rPr>
                <w:rFonts w:ascii="Arial" w:hAnsi="Arial" w:cs="Arial"/>
                <w:b/>
                <w:bCs/>
                <w:i/>
                <w:iCs/>
                <w:sz w:val="18"/>
                <w:szCs w:val="18"/>
                <w:lang w:val="es-AR" w:eastAsia="es-AR"/>
              </w:rPr>
            </w:pPr>
            <w:r w:rsidRPr="00117BF8">
              <w:rPr>
                <w:rFonts w:ascii="Arial" w:hAnsi="Arial" w:cs="Arial"/>
                <w:b/>
                <w:bCs/>
                <w:i/>
                <w:iCs/>
                <w:sz w:val="18"/>
                <w:szCs w:val="18"/>
                <w:lang w:val="es-AR" w:eastAsia="es-AR"/>
              </w:rPr>
              <w:t>-22.209,1</w:t>
            </w:r>
          </w:p>
        </w:tc>
      </w:tr>
    </w:tbl>
    <w:p w14:paraId="3C67FAAB" w14:textId="77777777" w:rsidR="00FF6292" w:rsidRPr="00117BF8" w:rsidRDefault="00EA1F56" w:rsidP="00225120">
      <w:pPr>
        <w:pStyle w:val="Hfuente"/>
        <w:rPr>
          <w:rFonts w:ascii="Arial" w:eastAsia="Calibri" w:hAnsi="Arial" w:cs="Arial"/>
          <w:sz w:val="18"/>
          <w:szCs w:val="18"/>
        </w:rPr>
      </w:pPr>
      <w:r w:rsidRPr="00117BF8">
        <w:rPr>
          <w:rFonts w:ascii="Arial" w:eastAsia="Calibri" w:hAnsi="Arial" w:cs="Arial"/>
          <w:sz w:val="18"/>
          <w:szCs w:val="18"/>
        </w:rPr>
        <w:t>Fuente: CGPBA</w:t>
      </w:r>
    </w:p>
    <w:p w14:paraId="7C083867" w14:textId="77777777" w:rsidR="00945B22" w:rsidRPr="00117BF8" w:rsidRDefault="00945B22" w:rsidP="00945B22">
      <w:pPr>
        <w:pStyle w:val="TablaT"/>
        <w:rPr>
          <w:rFonts w:ascii="Arial" w:hAnsi="Arial" w:cs="Arial"/>
          <w:bCs/>
          <w:color w:val="auto"/>
          <w:sz w:val="20"/>
          <w:lang w:val="es-ES_tradnl"/>
        </w:rPr>
      </w:pPr>
      <w:bookmarkStart w:id="152" w:name="_Toc493861158"/>
      <w:r w:rsidRPr="00117BF8">
        <w:rPr>
          <w:rFonts w:ascii="Arial" w:hAnsi="Arial" w:cs="Arial"/>
          <w:bCs/>
          <w:color w:val="auto"/>
          <w:sz w:val="20"/>
          <w:lang w:val="es-ES_tradnl"/>
        </w:rPr>
        <w:t>Tabla A III - 2 - Cuenta de Ahorro - Inversion – Financiamiento 2013</w:t>
      </w:r>
      <w:bookmarkEnd w:id="152"/>
    </w:p>
    <w:p w14:paraId="6268AFCB" w14:textId="77777777" w:rsidR="00945B22" w:rsidRPr="00117BF8" w:rsidRDefault="00117BF8" w:rsidP="00945B22">
      <w:pPr>
        <w:pStyle w:val="hsa"/>
        <w:rPr>
          <w:rFonts w:ascii="Arial" w:eastAsia="Calibri" w:hAnsi="Arial" w:cs="Arial"/>
        </w:rPr>
      </w:pPr>
      <w:r w:rsidRPr="00117BF8">
        <w:rPr>
          <w:rFonts w:ascii="Arial" w:eastAsia="Calibri" w:hAnsi="Arial" w:cs="Arial"/>
        </w:rPr>
        <w:pict w14:anchorId="2BBC64EA">
          <v:shape id="_x0000_i1055" type="#_x0000_t75" style="width:413.2pt;height:665.55pt">
            <v:imagedata r:id="rId64" o:title=""/>
          </v:shape>
        </w:pict>
      </w:r>
    </w:p>
    <w:p w14:paraId="1311095F" w14:textId="77777777" w:rsidR="00945B22" w:rsidRPr="00117BF8" w:rsidRDefault="00945B22" w:rsidP="00945B22">
      <w:pPr>
        <w:pStyle w:val="TablaT"/>
        <w:rPr>
          <w:rFonts w:ascii="Arial" w:hAnsi="Arial" w:cs="Arial"/>
          <w:bCs/>
          <w:color w:val="auto"/>
          <w:sz w:val="22"/>
          <w:szCs w:val="22"/>
          <w:lang w:val="es-ES_tradnl"/>
        </w:rPr>
      </w:pPr>
      <w:bookmarkStart w:id="153" w:name="_Toc493861159"/>
      <w:r w:rsidRPr="00117BF8">
        <w:rPr>
          <w:rFonts w:ascii="Arial" w:hAnsi="Arial" w:cs="Arial"/>
          <w:bCs/>
          <w:color w:val="auto"/>
          <w:sz w:val="22"/>
          <w:szCs w:val="22"/>
          <w:lang w:val="es-ES_tradnl"/>
        </w:rPr>
        <w:t>Tabla A III - 3 - Cuenta de Ahorro - Inversion – Financiamiento 2014</w:t>
      </w:r>
      <w:bookmarkEnd w:id="153"/>
    </w:p>
    <w:p w14:paraId="0FA1427A" w14:textId="77777777" w:rsidR="00945B22" w:rsidRPr="00117BF8" w:rsidRDefault="00117BF8" w:rsidP="00945B22">
      <w:pPr>
        <w:pStyle w:val="hsa"/>
        <w:rPr>
          <w:rFonts w:ascii="Arial" w:eastAsia="Calibri" w:hAnsi="Arial" w:cs="Arial"/>
        </w:rPr>
      </w:pPr>
      <w:r w:rsidRPr="00117BF8">
        <w:rPr>
          <w:rFonts w:ascii="Arial" w:eastAsia="Calibri" w:hAnsi="Arial" w:cs="Arial"/>
        </w:rPr>
        <w:pict w14:anchorId="2BBC64EB">
          <v:shape id="_x0000_i1056" type="#_x0000_t75" style="width:413.85pt;height:668.05pt">
            <v:imagedata r:id="rId65" o:title=""/>
          </v:shape>
        </w:pict>
      </w:r>
    </w:p>
    <w:p w14:paraId="3E79CAAB" w14:textId="77777777" w:rsidR="00945B22" w:rsidRPr="00117BF8" w:rsidRDefault="00945B22" w:rsidP="00945B22">
      <w:pPr>
        <w:pStyle w:val="TablaT"/>
        <w:rPr>
          <w:rFonts w:ascii="Arial" w:hAnsi="Arial" w:cs="Arial"/>
          <w:bCs/>
          <w:color w:val="auto"/>
          <w:sz w:val="22"/>
          <w:szCs w:val="22"/>
          <w:lang w:val="es-ES_tradnl"/>
        </w:rPr>
      </w:pPr>
      <w:bookmarkStart w:id="154" w:name="_Toc493861160"/>
      <w:r w:rsidRPr="00117BF8">
        <w:rPr>
          <w:rFonts w:ascii="Arial" w:hAnsi="Arial" w:cs="Arial"/>
          <w:bCs/>
          <w:color w:val="auto"/>
          <w:sz w:val="22"/>
          <w:szCs w:val="22"/>
          <w:lang w:val="es-ES_tradnl"/>
        </w:rPr>
        <w:t>Tabla A III - 4 - Cuenta de Ahorro - Inversion – Financiamiento 2015</w:t>
      </w:r>
      <w:bookmarkEnd w:id="154"/>
    </w:p>
    <w:p w14:paraId="6160DA76" w14:textId="77777777" w:rsidR="00945B22" w:rsidRPr="00117BF8" w:rsidRDefault="00117BF8" w:rsidP="00945B22">
      <w:pPr>
        <w:pStyle w:val="hsa"/>
        <w:rPr>
          <w:rFonts w:ascii="Arial" w:eastAsia="Calibri" w:hAnsi="Arial" w:cs="Arial"/>
        </w:rPr>
      </w:pPr>
      <w:r w:rsidRPr="00117BF8">
        <w:rPr>
          <w:rFonts w:ascii="Arial" w:eastAsia="Calibri" w:hAnsi="Arial" w:cs="Arial"/>
        </w:rPr>
        <w:pict w14:anchorId="2BBC64EC">
          <v:shape id="_x0000_i1057" type="#_x0000_t75" style="width:412.6pt;height:665.55pt">
            <v:imagedata r:id="rId66" o:title=""/>
          </v:shape>
        </w:pict>
      </w:r>
    </w:p>
    <w:p w14:paraId="1E170928" w14:textId="77777777" w:rsidR="00945B22" w:rsidRPr="00117BF8" w:rsidRDefault="00945B22" w:rsidP="00945B22">
      <w:pPr>
        <w:pStyle w:val="TablaT"/>
        <w:rPr>
          <w:rFonts w:ascii="Arial" w:hAnsi="Arial" w:cs="Arial"/>
          <w:bCs/>
          <w:color w:val="auto"/>
          <w:sz w:val="22"/>
          <w:szCs w:val="22"/>
          <w:lang w:val="es-ES_tradnl"/>
        </w:rPr>
      </w:pPr>
      <w:bookmarkStart w:id="155" w:name="_Toc493861161"/>
      <w:r w:rsidRPr="00117BF8">
        <w:rPr>
          <w:rFonts w:ascii="Arial" w:hAnsi="Arial" w:cs="Arial"/>
          <w:bCs/>
          <w:color w:val="auto"/>
          <w:sz w:val="22"/>
          <w:szCs w:val="22"/>
          <w:lang w:val="es-ES_tradnl"/>
        </w:rPr>
        <w:t>Tabla A III - 5 - Cuenta de Ahorro - Inversion – Financiamiento 2016</w:t>
      </w:r>
      <w:bookmarkEnd w:id="155"/>
    </w:p>
    <w:p w14:paraId="74C705B1" w14:textId="77777777" w:rsidR="006122B8" w:rsidRPr="00117BF8" w:rsidRDefault="00117BF8" w:rsidP="006122B8">
      <w:pPr>
        <w:pStyle w:val="hsa"/>
        <w:rPr>
          <w:rFonts w:ascii="Arial" w:hAnsi="Arial" w:cs="Arial"/>
          <w:sz w:val="20"/>
        </w:rPr>
      </w:pPr>
      <w:r w:rsidRPr="00117BF8">
        <w:rPr>
          <w:rFonts w:ascii="Arial" w:eastAsia="Calibri" w:hAnsi="Arial" w:cs="Arial"/>
        </w:rPr>
        <w:pict w14:anchorId="2BBC64ED">
          <v:shape id="_x0000_i1058" type="#_x0000_t75" style="width:412.6pt;height:665.55pt">
            <v:imagedata r:id="rId67" o:title=""/>
          </v:shape>
        </w:pict>
      </w:r>
    </w:p>
    <w:p w14:paraId="425E9FA8" w14:textId="77777777" w:rsidR="006122B8" w:rsidRPr="00117BF8" w:rsidRDefault="006122B8" w:rsidP="006122B8">
      <w:pPr>
        <w:pStyle w:val="hsa"/>
        <w:rPr>
          <w:rFonts w:ascii="Arial" w:eastAsia="Calibri" w:hAnsi="Arial" w:cs="Arial"/>
        </w:rPr>
        <w:sectPr w:rsidR="006122B8" w:rsidRPr="00117BF8" w:rsidSect="00117BF8">
          <w:headerReference w:type="default" r:id="rId68"/>
          <w:footerReference w:type="default" r:id="rId69"/>
          <w:pgSz w:w="11907" w:h="16840"/>
          <w:pgMar w:top="1418" w:right="1377" w:bottom="1418" w:left="1701" w:header="851" w:footer="851" w:gutter="0"/>
          <w:cols w:space="720"/>
          <w:docGrid w:linePitch="326"/>
        </w:sectPr>
      </w:pPr>
    </w:p>
    <w:tbl>
      <w:tblPr>
        <w:tblW w:w="14585" w:type="dxa"/>
        <w:tblInd w:w="5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left w:w="70" w:type="dxa"/>
          <w:right w:w="70" w:type="dxa"/>
        </w:tblCellMar>
        <w:tblLook w:val="04A0" w:firstRow="1" w:lastRow="0" w:firstColumn="1" w:lastColumn="0" w:noHBand="0" w:noVBand="1"/>
      </w:tblPr>
      <w:tblGrid>
        <w:gridCol w:w="3701"/>
        <w:gridCol w:w="907"/>
        <w:gridCol w:w="907"/>
        <w:gridCol w:w="907"/>
        <w:gridCol w:w="907"/>
        <w:gridCol w:w="907"/>
        <w:gridCol w:w="907"/>
        <w:gridCol w:w="907"/>
        <w:gridCol w:w="907"/>
        <w:gridCol w:w="907"/>
        <w:gridCol w:w="907"/>
        <w:gridCol w:w="907"/>
        <w:gridCol w:w="907"/>
      </w:tblGrid>
      <w:tr w:rsidR="006122B8" w:rsidRPr="004E6455" w14:paraId="33C17682" w14:textId="77777777" w:rsidTr="00FD20E8">
        <w:trPr>
          <w:trHeight w:hRule="exact" w:val="340"/>
        </w:trPr>
        <w:tc>
          <w:tcPr>
            <w:tcW w:w="14585" w:type="dxa"/>
            <w:gridSpan w:val="13"/>
            <w:shd w:val="clear" w:color="auto" w:fill="0070C0"/>
            <w:vAlign w:val="center"/>
          </w:tcPr>
          <w:p w14:paraId="431FBDCF" w14:textId="3A066ACE" w:rsidR="006122B8" w:rsidRPr="00117BF8" w:rsidRDefault="006122B8" w:rsidP="00F36A02">
            <w:pPr>
              <w:pStyle w:val="TablaT"/>
              <w:rPr>
                <w:rFonts w:ascii="Arial" w:hAnsi="Arial" w:cs="Arial"/>
                <w:bCs/>
                <w:sz w:val="22"/>
                <w:szCs w:val="22"/>
                <w:lang w:val="es-ES_tradnl"/>
              </w:rPr>
            </w:pPr>
            <w:bookmarkStart w:id="156" w:name="_Toc493861162"/>
            <w:r w:rsidRPr="00117BF8">
              <w:rPr>
                <w:rFonts w:ascii="Arial" w:hAnsi="Arial" w:cs="Arial"/>
                <w:bCs/>
                <w:sz w:val="22"/>
                <w:szCs w:val="22"/>
                <w:lang w:val="es-ES_tradnl"/>
              </w:rPr>
              <w:t xml:space="preserve">Tabla A III </w:t>
            </w:r>
            <w:r w:rsidR="00F674B2" w:rsidRPr="00117BF8">
              <w:rPr>
                <w:rFonts w:ascii="Arial" w:hAnsi="Arial" w:cs="Arial"/>
                <w:bCs/>
                <w:sz w:val="22"/>
                <w:szCs w:val="22"/>
                <w:lang w:val="es-ES_tradnl"/>
              </w:rPr>
              <w:t xml:space="preserve">- </w:t>
            </w:r>
            <w:r w:rsidRPr="00117BF8">
              <w:rPr>
                <w:rFonts w:ascii="Arial" w:hAnsi="Arial" w:cs="Arial"/>
                <w:bCs/>
                <w:sz w:val="22"/>
                <w:szCs w:val="22"/>
                <w:lang w:val="es-ES_tradnl"/>
              </w:rPr>
              <w:t>6 - Presupuesto y Ejecución - Clasificación por Objeto del Gasto</w:t>
            </w:r>
            <w:bookmarkEnd w:id="156"/>
          </w:p>
        </w:tc>
      </w:tr>
      <w:tr w:rsidR="006122B8" w:rsidRPr="004E6455" w14:paraId="3AC11628" w14:textId="77777777" w:rsidTr="00FD20E8">
        <w:trPr>
          <w:trHeight w:hRule="exact" w:val="340"/>
        </w:trPr>
        <w:tc>
          <w:tcPr>
            <w:tcW w:w="3701" w:type="dxa"/>
            <w:shd w:val="clear" w:color="auto" w:fill="0070C0"/>
            <w:vAlign w:val="center"/>
          </w:tcPr>
          <w:p w14:paraId="1FEC1792" w14:textId="77777777" w:rsidR="006122B8" w:rsidRPr="00117BF8" w:rsidRDefault="006122B8" w:rsidP="00F36A02">
            <w:pPr>
              <w:pStyle w:val="TablaE"/>
              <w:rPr>
                <w:rFonts w:ascii="Arial" w:hAnsi="Arial" w:cs="Arial"/>
                <w:bCs/>
                <w:sz w:val="22"/>
                <w:szCs w:val="22"/>
                <w:lang w:val="es-AR" w:eastAsia="es-AR"/>
              </w:rPr>
            </w:pPr>
          </w:p>
        </w:tc>
        <w:tc>
          <w:tcPr>
            <w:tcW w:w="3628" w:type="dxa"/>
            <w:gridSpan w:val="4"/>
            <w:shd w:val="clear" w:color="auto" w:fill="0070C0"/>
            <w:noWrap/>
            <w:vAlign w:val="bottom"/>
          </w:tcPr>
          <w:p w14:paraId="3F50F450"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Crédito Original</w:t>
            </w:r>
          </w:p>
        </w:tc>
        <w:tc>
          <w:tcPr>
            <w:tcW w:w="3628" w:type="dxa"/>
            <w:gridSpan w:val="4"/>
            <w:shd w:val="clear" w:color="auto" w:fill="0070C0"/>
            <w:noWrap/>
            <w:vAlign w:val="bottom"/>
          </w:tcPr>
          <w:p w14:paraId="1FB9645A"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Crédito Modificado</w:t>
            </w:r>
          </w:p>
        </w:tc>
        <w:tc>
          <w:tcPr>
            <w:tcW w:w="3628" w:type="dxa"/>
            <w:gridSpan w:val="4"/>
            <w:shd w:val="clear" w:color="auto" w:fill="0070C0"/>
            <w:noWrap/>
            <w:vAlign w:val="bottom"/>
          </w:tcPr>
          <w:p w14:paraId="264B8885"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Devengado</w:t>
            </w:r>
          </w:p>
        </w:tc>
      </w:tr>
      <w:tr w:rsidR="006122B8" w:rsidRPr="004E6455" w14:paraId="31043D35" w14:textId="77777777" w:rsidTr="00FD20E8">
        <w:trPr>
          <w:trHeight w:hRule="exact" w:val="340"/>
        </w:trPr>
        <w:tc>
          <w:tcPr>
            <w:tcW w:w="3701" w:type="dxa"/>
            <w:shd w:val="clear" w:color="auto" w:fill="0070C0"/>
            <w:vAlign w:val="center"/>
            <w:hideMark/>
          </w:tcPr>
          <w:p w14:paraId="1C7BCD15" w14:textId="77777777" w:rsidR="006122B8" w:rsidRPr="00117BF8" w:rsidRDefault="006122B8" w:rsidP="00F36A02">
            <w:pPr>
              <w:pStyle w:val="TablaE"/>
              <w:rPr>
                <w:rFonts w:ascii="Arial" w:hAnsi="Arial" w:cs="Arial"/>
                <w:bCs/>
                <w:sz w:val="22"/>
                <w:szCs w:val="22"/>
                <w:lang w:val="es-AR" w:eastAsia="es-AR"/>
              </w:rPr>
            </w:pPr>
            <w:r w:rsidRPr="00117BF8">
              <w:rPr>
                <w:rFonts w:ascii="Arial" w:hAnsi="Arial" w:cs="Arial"/>
                <w:bCs/>
                <w:sz w:val="22"/>
                <w:szCs w:val="22"/>
                <w:lang w:val="es-AR" w:eastAsia="es-AR"/>
              </w:rPr>
              <w:t>Concepto</w:t>
            </w:r>
          </w:p>
        </w:tc>
        <w:tc>
          <w:tcPr>
            <w:tcW w:w="907" w:type="dxa"/>
            <w:shd w:val="clear" w:color="auto" w:fill="0070C0"/>
            <w:noWrap/>
            <w:vAlign w:val="bottom"/>
            <w:hideMark/>
          </w:tcPr>
          <w:p w14:paraId="54775C38"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2013</w:t>
            </w:r>
          </w:p>
        </w:tc>
        <w:tc>
          <w:tcPr>
            <w:tcW w:w="907" w:type="dxa"/>
            <w:shd w:val="clear" w:color="auto" w:fill="0070C0"/>
            <w:noWrap/>
            <w:vAlign w:val="bottom"/>
            <w:hideMark/>
          </w:tcPr>
          <w:p w14:paraId="0219B607"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2014</w:t>
            </w:r>
          </w:p>
        </w:tc>
        <w:tc>
          <w:tcPr>
            <w:tcW w:w="907" w:type="dxa"/>
            <w:shd w:val="clear" w:color="auto" w:fill="0070C0"/>
            <w:noWrap/>
            <w:vAlign w:val="bottom"/>
            <w:hideMark/>
          </w:tcPr>
          <w:p w14:paraId="2F68CA50"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2015</w:t>
            </w:r>
          </w:p>
        </w:tc>
        <w:tc>
          <w:tcPr>
            <w:tcW w:w="907" w:type="dxa"/>
            <w:shd w:val="clear" w:color="auto" w:fill="0070C0"/>
            <w:noWrap/>
            <w:vAlign w:val="bottom"/>
            <w:hideMark/>
          </w:tcPr>
          <w:p w14:paraId="62263980"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2016</w:t>
            </w:r>
          </w:p>
        </w:tc>
        <w:tc>
          <w:tcPr>
            <w:tcW w:w="907" w:type="dxa"/>
            <w:shd w:val="clear" w:color="auto" w:fill="0070C0"/>
            <w:noWrap/>
            <w:vAlign w:val="bottom"/>
            <w:hideMark/>
          </w:tcPr>
          <w:p w14:paraId="6F78DD8E"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2013</w:t>
            </w:r>
          </w:p>
        </w:tc>
        <w:tc>
          <w:tcPr>
            <w:tcW w:w="907" w:type="dxa"/>
            <w:shd w:val="clear" w:color="auto" w:fill="0070C0"/>
            <w:noWrap/>
            <w:vAlign w:val="bottom"/>
            <w:hideMark/>
          </w:tcPr>
          <w:p w14:paraId="0AD88CAC"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2014</w:t>
            </w:r>
          </w:p>
        </w:tc>
        <w:tc>
          <w:tcPr>
            <w:tcW w:w="907" w:type="dxa"/>
            <w:shd w:val="clear" w:color="auto" w:fill="0070C0"/>
            <w:noWrap/>
            <w:vAlign w:val="bottom"/>
            <w:hideMark/>
          </w:tcPr>
          <w:p w14:paraId="30994E2B"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2015</w:t>
            </w:r>
          </w:p>
        </w:tc>
        <w:tc>
          <w:tcPr>
            <w:tcW w:w="907" w:type="dxa"/>
            <w:shd w:val="clear" w:color="auto" w:fill="0070C0"/>
            <w:noWrap/>
            <w:vAlign w:val="bottom"/>
            <w:hideMark/>
          </w:tcPr>
          <w:p w14:paraId="04589D7E"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2016</w:t>
            </w:r>
          </w:p>
        </w:tc>
        <w:tc>
          <w:tcPr>
            <w:tcW w:w="907" w:type="dxa"/>
            <w:shd w:val="clear" w:color="auto" w:fill="0070C0"/>
            <w:noWrap/>
            <w:vAlign w:val="bottom"/>
            <w:hideMark/>
          </w:tcPr>
          <w:p w14:paraId="569EA464"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2013</w:t>
            </w:r>
          </w:p>
        </w:tc>
        <w:tc>
          <w:tcPr>
            <w:tcW w:w="907" w:type="dxa"/>
            <w:shd w:val="clear" w:color="auto" w:fill="0070C0"/>
            <w:noWrap/>
            <w:vAlign w:val="bottom"/>
            <w:hideMark/>
          </w:tcPr>
          <w:p w14:paraId="1F158452"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2014</w:t>
            </w:r>
          </w:p>
        </w:tc>
        <w:tc>
          <w:tcPr>
            <w:tcW w:w="907" w:type="dxa"/>
            <w:shd w:val="clear" w:color="auto" w:fill="0070C0"/>
            <w:noWrap/>
            <w:vAlign w:val="bottom"/>
            <w:hideMark/>
          </w:tcPr>
          <w:p w14:paraId="1781F829"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2015</w:t>
            </w:r>
          </w:p>
        </w:tc>
        <w:tc>
          <w:tcPr>
            <w:tcW w:w="907" w:type="dxa"/>
            <w:shd w:val="clear" w:color="auto" w:fill="0070C0"/>
            <w:noWrap/>
            <w:vAlign w:val="bottom"/>
            <w:hideMark/>
          </w:tcPr>
          <w:p w14:paraId="701A0379"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2016</w:t>
            </w:r>
          </w:p>
        </w:tc>
      </w:tr>
      <w:tr w:rsidR="006122B8" w:rsidRPr="00593C9A" w14:paraId="41F4C608" w14:textId="77777777" w:rsidTr="00FD20E8">
        <w:trPr>
          <w:trHeight w:hRule="exact" w:val="301"/>
        </w:trPr>
        <w:tc>
          <w:tcPr>
            <w:tcW w:w="3701" w:type="dxa"/>
            <w:shd w:val="clear" w:color="auto" w:fill="auto"/>
            <w:noWrap/>
            <w:vAlign w:val="bottom"/>
            <w:hideMark/>
          </w:tcPr>
          <w:p w14:paraId="0AACE4A9" w14:textId="77777777" w:rsidR="006122B8" w:rsidRPr="00117BF8" w:rsidRDefault="006122B8" w:rsidP="006122B8">
            <w:pPr>
              <w:pStyle w:val="TablaC"/>
              <w:jc w:val="left"/>
              <w:rPr>
                <w:rFonts w:ascii="Arial" w:hAnsi="Arial" w:cs="Arial"/>
                <w:sz w:val="18"/>
                <w:szCs w:val="18"/>
                <w:lang w:val="es-AR" w:eastAsia="es-AR"/>
              </w:rPr>
            </w:pPr>
            <w:r w:rsidRPr="00117BF8">
              <w:rPr>
                <w:rFonts w:ascii="Arial" w:hAnsi="Arial" w:cs="Arial"/>
                <w:sz w:val="18"/>
                <w:szCs w:val="18"/>
                <w:lang w:val="es-AR" w:eastAsia="es-AR"/>
              </w:rPr>
              <w:t>Gastos en personal</w:t>
            </w:r>
          </w:p>
        </w:tc>
        <w:tc>
          <w:tcPr>
            <w:tcW w:w="907" w:type="dxa"/>
            <w:shd w:val="clear" w:color="auto" w:fill="auto"/>
            <w:noWrap/>
            <w:vAlign w:val="bottom"/>
            <w:hideMark/>
          </w:tcPr>
          <w:p w14:paraId="25CCE909"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64.358</w:t>
            </w:r>
          </w:p>
        </w:tc>
        <w:tc>
          <w:tcPr>
            <w:tcW w:w="907" w:type="dxa"/>
            <w:shd w:val="clear" w:color="auto" w:fill="auto"/>
            <w:noWrap/>
            <w:vAlign w:val="bottom"/>
            <w:hideMark/>
          </w:tcPr>
          <w:p w14:paraId="4114B63E"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83.202</w:t>
            </w:r>
          </w:p>
        </w:tc>
        <w:tc>
          <w:tcPr>
            <w:tcW w:w="907" w:type="dxa"/>
            <w:shd w:val="clear" w:color="auto" w:fill="auto"/>
            <w:noWrap/>
            <w:vAlign w:val="bottom"/>
            <w:hideMark/>
          </w:tcPr>
          <w:p w14:paraId="52A0364C"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115.343</w:t>
            </w:r>
          </w:p>
        </w:tc>
        <w:tc>
          <w:tcPr>
            <w:tcW w:w="907" w:type="dxa"/>
            <w:shd w:val="clear" w:color="auto" w:fill="auto"/>
            <w:noWrap/>
            <w:vAlign w:val="bottom"/>
            <w:hideMark/>
          </w:tcPr>
          <w:p w14:paraId="674FF047"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168.145</w:t>
            </w:r>
          </w:p>
        </w:tc>
        <w:tc>
          <w:tcPr>
            <w:tcW w:w="907" w:type="dxa"/>
            <w:shd w:val="clear" w:color="auto" w:fill="auto"/>
            <w:noWrap/>
            <w:vAlign w:val="bottom"/>
            <w:hideMark/>
          </w:tcPr>
          <w:p w14:paraId="00C1B880"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74.019</w:t>
            </w:r>
          </w:p>
        </w:tc>
        <w:tc>
          <w:tcPr>
            <w:tcW w:w="907" w:type="dxa"/>
            <w:shd w:val="clear" w:color="auto" w:fill="auto"/>
            <w:noWrap/>
            <w:vAlign w:val="bottom"/>
            <w:hideMark/>
          </w:tcPr>
          <w:p w14:paraId="22CFBEC6"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98.755</w:t>
            </w:r>
          </w:p>
        </w:tc>
        <w:tc>
          <w:tcPr>
            <w:tcW w:w="907" w:type="dxa"/>
            <w:shd w:val="clear" w:color="auto" w:fill="auto"/>
            <w:noWrap/>
            <w:vAlign w:val="bottom"/>
            <w:hideMark/>
          </w:tcPr>
          <w:p w14:paraId="16D67538"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133.791</w:t>
            </w:r>
          </w:p>
        </w:tc>
        <w:tc>
          <w:tcPr>
            <w:tcW w:w="907" w:type="dxa"/>
            <w:shd w:val="clear" w:color="auto" w:fill="auto"/>
            <w:noWrap/>
            <w:vAlign w:val="bottom"/>
            <w:hideMark/>
          </w:tcPr>
          <w:p w14:paraId="3C5BA8AB"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199.341</w:t>
            </w:r>
          </w:p>
        </w:tc>
        <w:tc>
          <w:tcPr>
            <w:tcW w:w="907" w:type="dxa"/>
            <w:shd w:val="clear" w:color="auto" w:fill="auto"/>
            <w:noWrap/>
            <w:vAlign w:val="bottom"/>
            <w:hideMark/>
          </w:tcPr>
          <w:p w14:paraId="2362769C"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72.908</w:t>
            </w:r>
          </w:p>
        </w:tc>
        <w:tc>
          <w:tcPr>
            <w:tcW w:w="907" w:type="dxa"/>
            <w:shd w:val="clear" w:color="auto" w:fill="auto"/>
            <w:noWrap/>
            <w:vAlign w:val="bottom"/>
            <w:hideMark/>
          </w:tcPr>
          <w:p w14:paraId="136D0F99"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98.236</w:t>
            </w:r>
          </w:p>
        </w:tc>
        <w:tc>
          <w:tcPr>
            <w:tcW w:w="907" w:type="dxa"/>
            <w:shd w:val="clear" w:color="auto" w:fill="auto"/>
            <w:noWrap/>
            <w:vAlign w:val="bottom"/>
            <w:hideMark/>
          </w:tcPr>
          <w:p w14:paraId="59FC1AA6"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147.830</w:t>
            </w:r>
          </w:p>
        </w:tc>
        <w:tc>
          <w:tcPr>
            <w:tcW w:w="907" w:type="dxa"/>
            <w:shd w:val="clear" w:color="auto" w:fill="auto"/>
            <w:noWrap/>
            <w:vAlign w:val="bottom"/>
            <w:hideMark/>
          </w:tcPr>
          <w:p w14:paraId="379749BE"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198.343</w:t>
            </w:r>
          </w:p>
        </w:tc>
      </w:tr>
      <w:tr w:rsidR="006122B8" w:rsidRPr="00593C9A" w14:paraId="13F942D1" w14:textId="77777777" w:rsidTr="00FD20E8">
        <w:trPr>
          <w:trHeight w:hRule="exact" w:val="301"/>
        </w:trPr>
        <w:tc>
          <w:tcPr>
            <w:tcW w:w="3701" w:type="dxa"/>
            <w:shd w:val="clear" w:color="auto" w:fill="auto"/>
            <w:noWrap/>
            <w:vAlign w:val="bottom"/>
            <w:hideMark/>
          </w:tcPr>
          <w:p w14:paraId="665DE9BC" w14:textId="77777777" w:rsidR="006122B8" w:rsidRPr="00117BF8" w:rsidRDefault="006122B8" w:rsidP="006122B8">
            <w:pPr>
              <w:pStyle w:val="TablaC"/>
              <w:jc w:val="left"/>
              <w:rPr>
                <w:rFonts w:ascii="Arial" w:hAnsi="Arial" w:cs="Arial"/>
                <w:sz w:val="18"/>
                <w:szCs w:val="18"/>
                <w:lang w:val="es-AR" w:eastAsia="es-AR"/>
              </w:rPr>
            </w:pPr>
            <w:r w:rsidRPr="00117BF8">
              <w:rPr>
                <w:rFonts w:ascii="Arial" w:hAnsi="Arial" w:cs="Arial"/>
                <w:sz w:val="18"/>
                <w:szCs w:val="18"/>
                <w:lang w:val="es-AR" w:eastAsia="es-AR"/>
              </w:rPr>
              <w:t>Bienes de consumo</w:t>
            </w:r>
          </w:p>
        </w:tc>
        <w:tc>
          <w:tcPr>
            <w:tcW w:w="907" w:type="dxa"/>
            <w:shd w:val="clear" w:color="auto" w:fill="auto"/>
            <w:noWrap/>
            <w:vAlign w:val="bottom"/>
            <w:hideMark/>
          </w:tcPr>
          <w:p w14:paraId="3BDCC06B"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2.345</w:t>
            </w:r>
          </w:p>
        </w:tc>
        <w:tc>
          <w:tcPr>
            <w:tcW w:w="907" w:type="dxa"/>
            <w:shd w:val="clear" w:color="auto" w:fill="auto"/>
            <w:noWrap/>
            <w:vAlign w:val="bottom"/>
            <w:hideMark/>
          </w:tcPr>
          <w:p w14:paraId="1ECE8AA9"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2.885</w:t>
            </w:r>
          </w:p>
        </w:tc>
        <w:tc>
          <w:tcPr>
            <w:tcW w:w="907" w:type="dxa"/>
            <w:shd w:val="clear" w:color="auto" w:fill="auto"/>
            <w:noWrap/>
            <w:vAlign w:val="bottom"/>
            <w:hideMark/>
          </w:tcPr>
          <w:p w14:paraId="74AA3B4D"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4.251</w:t>
            </w:r>
          </w:p>
        </w:tc>
        <w:tc>
          <w:tcPr>
            <w:tcW w:w="907" w:type="dxa"/>
            <w:shd w:val="clear" w:color="auto" w:fill="auto"/>
            <w:noWrap/>
            <w:vAlign w:val="bottom"/>
            <w:hideMark/>
          </w:tcPr>
          <w:p w14:paraId="41B1E4DF"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5.522</w:t>
            </w:r>
          </w:p>
        </w:tc>
        <w:tc>
          <w:tcPr>
            <w:tcW w:w="907" w:type="dxa"/>
            <w:shd w:val="clear" w:color="auto" w:fill="auto"/>
            <w:noWrap/>
            <w:vAlign w:val="bottom"/>
            <w:hideMark/>
          </w:tcPr>
          <w:p w14:paraId="60A60811"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1.964</w:t>
            </w:r>
          </w:p>
        </w:tc>
        <w:tc>
          <w:tcPr>
            <w:tcW w:w="907" w:type="dxa"/>
            <w:shd w:val="clear" w:color="auto" w:fill="auto"/>
            <w:noWrap/>
            <w:vAlign w:val="bottom"/>
            <w:hideMark/>
          </w:tcPr>
          <w:p w14:paraId="5C9051D6"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2.903</w:t>
            </w:r>
          </w:p>
        </w:tc>
        <w:tc>
          <w:tcPr>
            <w:tcW w:w="907" w:type="dxa"/>
            <w:shd w:val="clear" w:color="auto" w:fill="auto"/>
            <w:noWrap/>
            <w:vAlign w:val="bottom"/>
            <w:hideMark/>
          </w:tcPr>
          <w:p w14:paraId="27A05A88"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4.314</w:t>
            </w:r>
          </w:p>
        </w:tc>
        <w:tc>
          <w:tcPr>
            <w:tcW w:w="907" w:type="dxa"/>
            <w:shd w:val="clear" w:color="auto" w:fill="auto"/>
            <w:noWrap/>
            <w:vAlign w:val="bottom"/>
            <w:hideMark/>
          </w:tcPr>
          <w:p w14:paraId="4DBDDA70"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5.504</w:t>
            </w:r>
          </w:p>
        </w:tc>
        <w:tc>
          <w:tcPr>
            <w:tcW w:w="907" w:type="dxa"/>
            <w:shd w:val="clear" w:color="auto" w:fill="auto"/>
            <w:noWrap/>
            <w:vAlign w:val="bottom"/>
            <w:hideMark/>
          </w:tcPr>
          <w:p w14:paraId="0771DC06"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1.827</w:t>
            </w:r>
          </w:p>
        </w:tc>
        <w:tc>
          <w:tcPr>
            <w:tcW w:w="907" w:type="dxa"/>
            <w:shd w:val="clear" w:color="auto" w:fill="auto"/>
            <w:noWrap/>
            <w:vAlign w:val="bottom"/>
            <w:hideMark/>
          </w:tcPr>
          <w:p w14:paraId="361283C8"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2.643</w:t>
            </w:r>
          </w:p>
        </w:tc>
        <w:tc>
          <w:tcPr>
            <w:tcW w:w="907" w:type="dxa"/>
            <w:shd w:val="clear" w:color="auto" w:fill="auto"/>
            <w:noWrap/>
            <w:vAlign w:val="bottom"/>
            <w:hideMark/>
          </w:tcPr>
          <w:p w14:paraId="7F5672EF"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4.206</w:t>
            </w:r>
          </w:p>
        </w:tc>
        <w:tc>
          <w:tcPr>
            <w:tcW w:w="907" w:type="dxa"/>
            <w:shd w:val="clear" w:color="auto" w:fill="auto"/>
            <w:noWrap/>
            <w:vAlign w:val="bottom"/>
            <w:hideMark/>
          </w:tcPr>
          <w:p w14:paraId="32842E84"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5.226</w:t>
            </w:r>
          </w:p>
        </w:tc>
      </w:tr>
      <w:tr w:rsidR="006122B8" w:rsidRPr="00593C9A" w14:paraId="34732E92" w14:textId="77777777" w:rsidTr="00FD20E8">
        <w:trPr>
          <w:trHeight w:hRule="exact" w:val="301"/>
        </w:trPr>
        <w:tc>
          <w:tcPr>
            <w:tcW w:w="3701" w:type="dxa"/>
            <w:shd w:val="clear" w:color="auto" w:fill="auto"/>
            <w:noWrap/>
            <w:vAlign w:val="bottom"/>
            <w:hideMark/>
          </w:tcPr>
          <w:p w14:paraId="5C84FCA1" w14:textId="77777777" w:rsidR="006122B8" w:rsidRPr="00117BF8" w:rsidRDefault="006122B8" w:rsidP="006122B8">
            <w:pPr>
              <w:pStyle w:val="TablaC"/>
              <w:jc w:val="left"/>
              <w:rPr>
                <w:rFonts w:ascii="Arial" w:hAnsi="Arial" w:cs="Arial"/>
                <w:sz w:val="18"/>
                <w:szCs w:val="18"/>
                <w:lang w:val="es-AR" w:eastAsia="es-AR"/>
              </w:rPr>
            </w:pPr>
            <w:r w:rsidRPr="00117BF8">
              <w:rPr>
                <w:rFonts w:ascii="Arial" w:hAnsi="Arial" w:cs="Arial"/>
                <w:sz w:val="18"/>
                <w:szCs w:val="18"/>
                <w:lang w:val="es-AR" w:eastAsia="es-AR"/>
              </w:rPr>
              <w:t>Servicios no personales</w:t>
            </w:r>
          </w:p>
        </w:tc>
        <w:tc>
          <w:tcPr>
            <w:tcW w:w="907" w:type="dxa"/>
            <w:shd w:val="clear" w:color="auto" w:fill="auto"/>
            <w:noWrap/>
            <w:vAlign w:val="bottom"/>
            <w:hideMark/>
          </w:tcPr>
          <w:p w14:paraId="74DC88DF"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5.962</w:t>
            </w:r>
          </w:p>
        </w:tc>
        <w:tc>
          <w:tcPr>
            <w:tcW w:w="907" w:type="dxa"/>
            <w:shd w:val="clear" w:color="auto" w:fill="auto"/>
            <w:noWrap/>
            <w:vAlign w:val="bottom"/>
            <w:hideMark/>
          </w:tcPr>
          <w:p w14:paraId="4B7BD1CA"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6.690</w:t>
            </w:r>
          </w:p>
        </w:tc>
        <w:tc>
          <w:tcPr>
            <w:tcW w:w="907" w:type="dxa"/>
            <w:shd w:val="clear" w:color="auto" w:fill="auto"/>
            <w:noWrap/>
            <w:vAlign w:val="bottom"/>
            <w:hideMark/>
          </w:tcPr>
          <w:p w14:paraId="682C191B"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10.160</w:t>
            </w:r>
          </w:p>
        </w:tc>
        <w:tc>
          <w:tcPr>
            <w:tcW w:w="907" w:type="dxa"/>
            <w:shd w:val="clear" w:color="auto" w:fill="auto"/>
            <w:noWrap/>
            <w:vAlign w:val="bottom"/>
            <w:hideMark/>
          </w:tcPr>
          <w:p w14:paraId="7ECC2222"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13.585</w:t>
            </w:r>
          </w:p>
        </w:tc>
        <w:tc>
          <w:tcPr>
            <w:tcW w:w="907" w:type="dxa"/>
            <w:shd w:val="clear" w:color="auto" w:fill="auto"/>
            <w:noWrap/>
            <w:vAlign w:val="bottom"/>
            <w:hideMark/>
          </w:tcPr>
          <w:p w14:paraId="78465FD2"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5.699</w:t>
            </w:r>
          </w:p>
        </w:tc>
        <w:tc>
          <w:tcPr>
            <w:tcW w:w="907" w:type="dxa"/>
            <w:shd w:val="clear" w:color="auto" w:fill="auto"/>
            <w:noWrap/>
            <w:vAlign w:val="bottom"/>
            <w:hideMark/>
          </w:tcPr>
          <w:p w14:paraId="3ED6E3AA"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8.128</w:t>
            </w:r>
          </w:p>
        </w:tc>
        <w:tc>
          <w:tcPr>
            <w:tcW w:w="907" w:type="dxa"/>
            <w:shd w:val="clear" w:color="auto" w:fill="auto"/>
            <w:noWrap/>
            <w:vAlign w:val="bottom"/>
            <w:hideMark/>
          </w:tcPr>
          <w:p w14:paraId="54E8CBA5"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13.792</w:t>
            </w:r>
          </w:p>
        </w:tc>
        <w:tc>
          <w:tcPr>
            <w:tcW w:w="907" w:type="dxa"/>
            <w:shd w:val="clear" w:color="auto" w:fill="auto"/>
            <w:noWrap/>
            <w:vAlign w:val="bottom"/>
            <w:hideMark/>
          </w:tcPr>
          <w:p w14:paraId="01D95F73"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14.480</w:t>
            </w:r>
          </w:p>
        </w:tc>
        <w:tc>
          <w:tcPr>
            <w:tcW w:w="907" w:type="dxa"/>
            <w:shd w:val="clear" w:color="auto" w:fill="auto"/>
            <w:noWrap/>
            <w:vAlign w:val="bottom"/>
            <w:hideMark/>
          </w:tcPr>
          <w:p w14:paraId="0B2F5E7A"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5.204</w:t>
            </w:r>
          </w:p>
        </w:tc>
        <w:tc>
          <w:tcPr>
            <w:tcW w:w="907" w:type="dxa"/>
            <w:shd w:val="clear" w:color="auto" w:fill="auto"/>
            <w:noWrap/>
            <w:vAlign w:val="bottom"/>
            <w:hideMark/>
          </w:tcPr>
          <w:p w14:paraId="33481B6E"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7.729</w:t>
            </w:r>
          </w:p>
        </w:tc>
        <w:tc>
          <w:tcPr>
            <w:tcW w:w="907" w:type="dxa"/>
            <w:shd w:val="clear" w:color="auto" w:fill="auto"/>
            <w:noWrap/>
            <w:vAlign w:val="bottom"/>
            <w:hideMark/>
          </w:tcPr>
          <w:p w14:paraId="705122C4"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13.266</w:t>
            </w:r>
          </w:p>
        </w:tc>
        <w:tc>
          <w:tcPr>
            <w:tcW w:w="907" w:type="dxa"/>
            <w:shd w:val="clear" w:color="auto" w:fill="auto"/>
            <w:noWrap/>
            <w:vAlign w:val="bottom"/>
            <w:hideMark/>
          </w:tcPr>
          <w:p w14:paraId="73AFA5A9"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13.859</w:t>
            </w:r>
          </w:p>
        </w:tc>
      </w:tr>
      <w:tr w:rsidR="006122B8" w:rsidRPr="00593C9A" w14:paraId="102CEBC1" w14:textId="77777777" w:rsidTr="00FD20E8">
        <w:trPr>
          <w:trHeight w:hRule="exact" w:val="301"/>
        </w:trPr>
        <w:tc>
          <w:tcPr>
            <w:tcW w:w="3701" w:type="dxa"/>
            <w:shd w:val="clear" w:color="auto" w:fill="auto"/>
            <w:noWrap/>
            <w:vAlign w:val="bottom"/>
            <w:hideMark/>
          </w:tcPr>
          <w:p w14:paraId="41CE595A" w14:textId="77777777" w:rsidR="006122B8" w:rsidRPr="00117BF8" w:rsidRDefault="006122B8" w:rsidP="006122B8">
            <w:pPr>
              <w:pStyle w:val="TablaC"/>
              <w:jc w:val="left"/>
              <w:rPr>
                <w:rFonts w:ascii="Arial" w:hAnsi="Arial" w:cs="Arial"/>
                <w:sz w:val="18"/>
                <w:szCs w:val="18"/>
                <w:lang w:val="es-AR" w:eastAsia="es-AR"/>
              </w:rPr>
            </w:pPr>
            <w:r w:rsidRPr="00117BF8">
              <w:rPr>
                <w:rFonts w:ascii="Arial" w:hAnsi="Arial" w:cs="Arial"/>
                <w:sz w:val="18"/>
                <w:szCs w:val="18"/>
                <w:lang w:val="es-AR" w:eastAsia="es-AR"/>
              </w:rPr>
              <w:t>Bienes de uso</w:t>
            </w:r>
          </w:p>
        </w:tc>
        <w:tc>
          <w:tcPr>
            <w:tcW w:w="907" w:type="dxa"/>
            <w:shd w:val="clear" w:color="auto" w:fill="auto"/>
            <w:noWrap/>
            <w:vAlign w:val="bottom"/>
            <w:hideMark/>
          </w:tcPr>
          <w:p w14:paraId="2446A205"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4.667</w:t>
            </w:r>
          </w:p>
        </w:tc>
        <w:tc>
          <w:tcPr>
            <w:tcW w:w="907" w:type="dxa"/>
            <w:shd w:val="clear" w:color="auto" w:fill="auto"/>
            <w:noWrap/>
            <w:vAlign w:val="bottom"/>
            <w:hideMark/>
          </w:tcPr>
          <w:p w14:paraId="44C268DE"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5.990</w:t>
            </w:r>
          </w:p>
        </w:tc>
        <w:tc>
          <w:tcPr>
            <w:tcW w:w="907" w:type="dxa"/>
            <w:shd w:val="clear" w:color="auto" w:fill="auto"/>
            <w:noWrap/>
            <w:vAlign w:val="bottom"/>
            <w:hideMark/>
          </w:tcPr>
          <w:p w14:paraId="713DD853"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8.265</w:t>
            </w:r>
          </w:p>
        </w:tc>
        <w:tc>
          <w:tcPr>
            <w:tcW w:w="907" w:type="dxa"/>
            <w:shd w:val="clear" w:color="auto" w:fill="auto"/>
            <w:noWrap/>
            <w:vAlign w:val="bottom"/>
            <w:hideMark/>
          </w:tcPr>
          <w:p w14:paraId="6CA0D386"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17.519</w:t>
            </w:r>
          </w:p>
        </w:tc>
        <w:tc>
          <w:tcPr>
            <w:tcW w:w="907" w:type="dxa"/>
            <w:shd w:val="clear" w:color="auto" w:fill="auto"/>
            <w:noWrap/>
            <w:vAlign w:val="bottom"/>
            <w:hideMark/>
          </w:tcPr>
          <w:p w14:paraId="70DFA0C1"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3.571</w:t>
            </w:r>
          </w:p>
        </w:tc>
        <w:tc>
          <w:tcPr>
            <w:tcW w:w="907" w:type="dxa"/>
            <w:shd w:val="clear" w:color="auto" w:fill="auto"/>
            <w:noWrap/>
            <w:vAlign w:val="bottom"/>
            <w:hideMark/>
          </w:tcPr>
          <w:p w14:paraId="4E270DAA"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5.565</w:t>
            </w:r>
          </w:p>
        </w:tc>
        <w:tc>
          <w:tcPr>
            <w:tcW w:w="907" w:type="dxa"/>
            <w:shd w:val="clear" w:color="auto" w:fill="auto"/>
            <w:noWrap/>
            <w:vAlign w:val="bottom"/>
            <w:hideMark/>
          </w:tcPr>
          <w:p w14:paraId="4B440ED8"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7.903</w:t>
            </w:r>
          </w:p>
        </w:tc>
        <w:tc>
          <w:tcPr>
            <w:tcW w:w="907" w:type="dxa"/>
            <w:shd w:val="clear" w:color="auto" w:fill="auto"/>
            <w:noWrap/>
            <w:vAlign w:val="bottom"/>
            <w:hideMark/>
          </w:tcPr>
          <w:p w14:paraId="0CFA5761"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12.092</w:t>
            </w:r>
          </w:p>
        </w:tc>
        <w:tc>
          <w:tcPr>
            <w:tcW w:w="907" w:type="dxa"/>
            <w:shd w:val="clear" w:color="auto" w:fill="auto"/>
            <w:noWrap/>
            <w:vAlign w:val="bottom"/>
            <w:hideMark/>
          </w:tcPr>
          <w:p w14:paraId="7AF6CEB8"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2.002</w:t>
            </w:r>
          </w:p>
        </w:tc>
        <w:tc>
          <w:tcPr>
            <w:tcW w:w="907" w:type="dxa"/>
            <w:shd w:val="clear" w:color="auto" w:fill="auto"/>
            <w:noWrap/>
            <w:vAlign w:val="bottom"/>
            <w:hideMark/>
          </w:tcPr>
          <w:p w14:paraId="696568AB"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3.870</w:t>
            </w:r>
          </w:p>
        </w:tc>
        <w:tc>
          <w:tcPr>
            <w:tcW w:w="907" w:type="dxa"/>
            <w:shd w:val="clear" w:color="auto" w:fill="auto"/>
            <w:noWrap/>
            <w:vAlign w:val="bottom"/>
            <w:hideMark/>
          </w:tcPr>
          <w:p w14:paraId="726D63D3"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5.240</w:t>
            </w:r>
          </w:p>
        </w:tc>
        <w:tc>
          <w:tcPr>
            <w:tcW w:w="907" w:type="dxa"/>
            <w:shd w:val="clear" w:color="auto" w:fill="auto"/>
            <w:noWrap/>
            <w:vAlign w:val="bottom"/>
            <w:hideMark/>
          </w:tcPr>
          <w:p w14:paraId="699B9195"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8.678</w:t>
            </w:r>
          </w:p>
        </w:tc>
      </w:tr>
      <w:tr w:rsidR="006122B8" w:rsidRPr="00593C9A" w14:paraId="196B837A" w14:textId="77777777" w:rsidTr="00FD20E8">
        <w:trPr>
          <w:trHeight w:hRule="exact" w:val="301"/>
        </w:trPr>
        <w:tc>
          <w:tcPr>
            <w:tcW w:w="3701" w:type="dxa"/>
            <w:shd w:val="clear" w:color="auto" w:fill="auto"/>
            <w:noWrap/>
            <w:vAlign w:val="bottom"/>
            <w:hideMark/>
          </w:tcPr>
          <w:p w14:paraId="265D10CC" w14:textId="77777777" w:rsidR="006122B8" w:rsidRPr="00117BF8" w:rsidRDefault="006122B8" w:rsidP="006122B8">
            <w:pPr>
              <w:pStyle w:val="TablaC"/>
              <w:jc w:val="left"/>
              <w:rPr>
                <w:rFonts w:ascii="Arial" w:hAnsi="Arial" w:cs="Arial"/>
                <w:sz w:val="18"/>
                <w:szCs w:val="18"/>
                <w:lang w:val="es-AR" w:eastAsia="es-AR"/>
              </w:rPr>
            </w:pPr>
            <w:r w:rsidRPr="00117BF8">
              <w:rPr>
                <w:rFonts w:ascii="Arial" w:hAnsi="Arial" w:cs="Arial"/>
                <w:sz w:val="18"/>
                <w:szCs w:val="18"/>
                <w:lang w:val="es-AR" w:eastAsia="es-AR"/>
              </w:rPr>
              <w:t>Transferencias</w:t>
            </w:r>
          </w:p>
        </w:tc>
        <w:tc>
          <w:tcPr>
            <w:tcW w:w="907" w:type="dxa"/>
            <w:shd w:val="clear" w:color="auto" w:fill="auto"/>
            <w:noWrap/>
            <w:vAlign w:val="bottom"/>
            <w:hideMark/>
          </w:tcPr>
          <w:p w14:paraId="5B5A391A"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58.218</w:t>
            </w:r>
          </w:p>
        </w:tc>
        <w:tc>
          <w:tcPr>
            <w:tcW w:w="907" w:type="dxa"/>
            <w:shd w:val="clear" w:color="auto" w:fill="auto"/>
            <w:noWrap/>
            <w:vAlign w:val="bottom"/>
            <w:hideMark/>
          </w:tcPr>
          <w:p w14:paraId="2F4D6FDD"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74.966</w:t>
            </w:r>
          </w:p>
        </w:tc>
        <w:tc>
          <w:tcPr>
            <w:tcW w:w="907" w:type="dxa"/>
            <w:shd w:val="clear" w:color="auto" w:fill="auto"/>
            <w:noWrap/>
            <w:vAlign w:val="bottom"/>
            <w:hideMark/>
          </w:tcPr>
          <w:p w14:paraId="48C94DD2"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100.572</w:t>
            </w:r>
          </w:p>
        </w:tc>
        <w:tc>
          <w:tcPr>
            <w:tcW w:w="907" w:type="dxa"/>
            <w:shd w:val="clear" w:color="auto" w:fill="auto"/>
            <w:noWrap/>
            <w:vAlign w:val="bottom"/>
            <w:hideMark/>
          </w:tcPr>
          <w:p w14:paraId="6DBB57A3"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140.320</w:t>
            </w:r>
          </w:p>
        </w:tc>
        <w:tc>
          <w:tcPr>
            <w:tcW w:w="907" w:type="dxa"/>
            <w:shd w:val="clear" w:color="auto" w:fill="auto"/>
            <w:noWrap/>
            <w:vAlign w:val="bottom"/>
            <w:hideMark/>
          </w:tcPr>
          <w:p w14:paraId="471E0D10"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70.791</w:t>
            </w:r>
          </w:p>
        </w:tc>
        <w:tc>
          <w:tcPr>
            <w:tcW w:w="907" w:type="dxa"/>
            <w:shd w:val="clear" w:color="auto" w:fill="auto"/>
            <w:noWrap/>
            <w:vAlign w:val="bottom"/>
            <w:hideMark/>
          </w:tcPr>
          <w:p w14:paraId="66E7FA99"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87.078</w:t>
            </w:r>
          </w:p>
        </w:tc>
        <w:tc>
          <w:tcPr>
            <w:tcW w:w="907" w:type="dxa"/>
            <w:shd w:val="clear" w:color="auto" w:fill="auto"/>
            <w:noWrap/>
            <w:vAlign w:val="bottom"/>
            <w:hideMark/>
          </w:tcPr>
          <w:p w14:paraId="6C85ACFA"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119.391</w:t>
            </w:r>
          </w:p>
        </w:tc>
        <w:tc>
          <w:tcPr>
            <w:tcW w:w="907" w:type="dxa"/>
            <w:shd w:val="clear" w:color="auto" w:fill="auto"/>
            <w:noWrap/>
            <w:vAlign w:val="bottom"/>
            <w:hideMark/>
          </w:tcPr>
          <w:p w14:paraId="5F49D427"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191.076</w:t>
            </w:r>
          </w:p>
        </w:tc>
        <w:tc>
          <w:tcPr>
            <w:tcW w:w="907" w:type="dxa"/>
            <w:shd w:val="clear" w:color="auto" w:fill="auto"/>
            <w:noWrap/>
            <w:vAlign w:val="bottom"/>
            <w:hideMark/>
          </w:tcPr>
          <w:p w14:paraId="2E5CB436"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63.692</w:t>
            </w:r>
          </w:p>
        </w:tc>
        <w:tc>
          <w:tcPr>
            <w:tcW w:w="907" w:type="dxa"/>
            <w:shd w:val="clear" w:color="auto" w:fill="auto"/>
            <w:noWrap/>
            <w:vAlign w:val="bottom"/>
            <w:hideMark/>
          </w:tcPr>
          <w:p w14:paraId="357A3F81"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81.904</w:t>
            </w:r>
          </w:p>
        </w:tc>
        <w:tc>
          <w:tcPr>
            <w:tcW w:w="907" w:type="dxa"/>
            <w:shd w:val="clear" w:color="auto" w:fill="auto"/>
            <w:noWrap/>
            <w:vAlign w:val="bottom"/>
            <w:hideMark/>
          </w:tcPr>
          <w:p w14:paraId="2DE30112"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112.603</w:t>
            </w:r>
          </w:p>
        </w:tc>
        <w:tc>
          <w:tcPr>
            <w:tcW w:w="907" w:type="dxa"/>
            <w:shd w:val="clear" w:color="auto" w:fill="auto"/>
            <w:noWrap/>
            <w:vAlign w:val="bottom"/>
            <w:hideMark/>
          </w:tcPr>
          <w:p w14:paraId="78ACD4C5"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177.856</w:t>
            </w:r>
          </w:p>
        </w:tc>
      </w:tr>
      <w:tr w:rsidR="006122B8" w:rsidRPr="00593C9A" w14:paraId="5CCF9D8F" w14:textId="77777777" w:rsidTr="00FD20E8">
        <w:trPr>
          <w:trHeight w:hRule="exact" w:val="301"/>
        </w:trPr>
        <w:tc>
          <w:tcPr>
            <w:tcW w:w="3701" w:type="dxa"/>
            <w:shd w:val="clear" w:color="auto" w:fill="auto"/>
            <w:noWrap/>
            <w:vAlign w:val="bottom"/>
            <w:hideMark/>
          </w:tcPr>
          <w:p w14:paraId="4C9FA72D" w14:textId="77777777" w:rsidR="006122B8" w:rsidRPr="00117BF8" w:rsidRDefault="006122B8" w:rsidP="006122B8">
            <w:pPr>
              <w:pStyle w:val="TablaC"/>
              <w:jc w:val="left"/>
              <w:rPr>
                <w:rFonts w:ascii="Arial" w:hAnsi="Arial" w:cs="Arial"/>
                <w:sz w:val="18"/>
                <w:szCs w:val="18"/>
                <w:lang w:val="es-AR" w:eastAsia="es-AR"/>
              </w:rPr>
            </w:pPr>
            <w:r w:rsidRPr="00117BF8">
              <w:rPr>
                <w:rFonts w:ascii="Arial" w:hAnsi="Arial" w:cs="Arial"/>
                <w:sz w:val="18"/>
                <w:szCs w:val="18"/>
                <w:lang w:val="es-AR" w:eastAsia="es-AR"/>
              </w:rPr>
              <w:t>Activos financieros</w:t>
            </w:r>
          </w:p>
        </w:tc>
        <w:tc>
          <w:tcPr>
            <w:tcW w:w="907" w:type="dxa"/>
            <w:shd w:val="clear" w:color="auto" w:fill="auto"/>
            <w:noWrap/>
            <w:vAlign w:val="bottom"/>
            <w:hideMark/>
          </w:tcPr>
          <w:p w14:paraId="23DD4A9B"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3.114</w:t>
            </w:r>
          </w:p>
        </w:tc>
        <w:tc>
          <w:tcPr>
            <w:tcW w:w="907" w:type="dxa"/>
            <w:shd w:val="clear" w:color="auto" w:fill="auto"/>
            <w:noWrap/>
            <w:vAlign w:val="bottom"/>
            <w:hideMark/>
          </w:tcPr>
          <w:p w14:paraId="7B83ED4E"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3.824</w:t>
            </w:r>
          </w:p>
        </w:tc>
        <w:tc>
          <w:tcPr>
            <w:tcW w:w="907" w:type="dxa"/>
            <w:shd w:val="clear" w:color="auto" w:fill="auto"/>
            <w:noWrap/>
            <w:vAlign w:val="bottom"/>
            <w:hideMark/>
          </w:tcPr>
          <w:p w14:paraId="0F33B0BE"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5.282</w:t>
            </w:r>
          </w:p>
        </w:tc>
        <w:tc>
          <w:tcPr>
            <w:tcW w:w="907" w:type="dxa"/>
            <w:shd w:val="clear" w:color="auto" w:fill="auto"/>
            <w:noWrap/>
            <w:vAlign w:val="bottom"/>
            <w:hideMark/>
          </w:tcPr>
          <w:p w14:paraId="4D100F9C"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38.310</w:t>
            </w:r>
          </w:p>
        </w:tc>
        <w:tc>
          <w:tcPr>
            <w:tcW w:w="907" w:type="dxa"/>
            <w:shd w:val="clear" w:color="auto" w:fill="auto"/>
            <w:noWrap/>
            <w:vAlign w:val="bottom"/>
            <w:hideMark/>
          </w:tcPr>
          <w:p w14:paraId="7C33C26A"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3.038</w:t>
            </w:r>
          </w:p>
        </w:tc>
        <w:tc>
          <w:tcPr>
            <w:tcW w:w="907" w:type="dxa"/>
            <w:shd w:val="clear" w:color="auto" w:fill="auto"/>
            <w:noWrap/>
            <w:vAlign w:val="bottom"/>
            <w:hideMark/>
          </w:tcPr>
          <w:p w14:paraId="68B6482D"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3.484</w:t>
            </w:r>
          </w:p>
        </w:tc>
        <w:tc>
          <w:tcPr>
            <w:tcW w:w="907" w:type="dxa"/>
            <w:shd w:val="clear" w:color="auto" w:fill="auto"/>
            <w:noWrap/>
            <w:vAlign w:val="bottom"/>
            <w:hideMark/>
          </w:tcPr>
          <w:p w14:paraId="33FBE74D"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5.931</w:t>
            </w:r>
          </w:p>
        </w:tc>
        <w:tc>
          <w:tcPr>
            <w:tcW w:w="907" w:type="dxa"/>
            <w:shd w:val="clear" w:color="auto" w:fill="auto"/>
            <w:noWrap/>
            <w:vAlign w:val="bottom"/>
            <w:hideMark/>
          </w:tcPr>
          <w:p w14:paraId="61E53F99"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16.546</w:t>
            </w:r>
          </w:p>
        </w:tc>
        <w:tc>
          <w:tcPr>
            <w:tcW w:w="907" w:type="dxa"/>
            <w:shd w:val="clear" w:color="auto" w:fill="auto"/>
            <w:noWrap/>
            <w:vAlign w:val="bottom"/>
            <w:hideMark/>
          </w:tcPr>
          <w:p w14:paraId="32C5CD7D"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2.707</w:t>
            </w:r>
          </w:p>
        </w:tc>
        <w:tc>
          <w:tcPr>
            <w:tcW w:w="907" w:type="dxa"/>
            <w:shd w:val="clear" w:color="auto" w:fill="auto"/>
            <w:noWrap/>
            <w:vAlign w:val="bottom"/>
            <w:hideMark/>
          </w:tcPr>
          <w:p w14:paraId="69690661"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2.765</w:t>
            </w:r>
          </w:p>
        </w:tc>
        <w:tc>
          <w:tcPr>
            <w:tcW w:w="907" w:type="dxa"/>
            <w:shd w:val="clear" w:color="auto" w:fill="auto"/>
            <w:noWrap/>
            <w:vAlign w:val="bottom"/>
            <w:hideMark/>
          </w:tcPr>
          <w:p w14:paraId="7D26AC7F"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4.901</w:t>
            </w:r>
          </w:p>
        </w:tc>
        <w:tc>
          <w:tcPr>
            <w:tcW w:w="907" w:type="dxa"/>
            <w:shd w:val="clear" w:color="auto" w:fill="auto"/>
            <w:noWrap/>
            <w:vAlign w:val="bottom"/>
            <w:hideMark/>
          </w:tcPr>
          <w:p w14:paraId="4FB48E9B"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14.233</w:t>
            </w:r>
          </w:p>
        </w:tc>
      </w:tr>
      <w:tr w:rsidR="006122B8" w:rsidRPr="00593C9A" w14:paraId="3B2535E3" w14:textId="77777777" w:rsidTr="00FD20E8">
        <w:trPr>
          <w:trHeight w:hRule="exact" w:val="301"/>
        </w:trPr>
        <w:tc>
          <w:tcPr>
            <w:tcW w:w="3701" w:type="dxa"/>
            <w:shd w:val="clear" w:color="auto" w:fill="auto"/>
            <w:noWrap/>
            <w:vAlign w:val="bottom"/>
            <w:hideMark/>
          </w:tcPr>
          <w:p w14:paraId="23DC5B35" w14:textId="77777777" w:rsidR="006122B8" w:rsidRPr="00117BF8" w:rsidRDefault="006122B8" w:rsidP="006122B8">
            <w:pPr>
              <w:pStyle w:val="TablaC"/>
              <w:jc w:val="left"/>
              <w:rPr>
                <w:rFonts w:ascii="Arial" w:hAnsi="Arial" w:cs="Arial"/>
                <w:sz w:val="18"/>
                <w:szCs w:val="18"/>
                <w:lang w:val="es-AR" w:eastAsia="es-AR"/>
              </w:rPr>
            </w:pPr>
            <w:r w:rsidRPr="00117BF8">
              <w:rPr>
                <w:rFonts w:ascii="Arial" w:hAnsi="Arial" w:cs="Arial"/>
                <w:sz w:val="18"/>
                <w:szCs w:val="18"/>
                <w:lang w:val="es-AR" w:eastAsia="es-AR"/>
              </w:rPr>
              <w:t>Scio. de la deuda y dismin. de otros pasivos</w:t>
            </w:r>
          </w:p>
        </w:tc>
        <w:tc>
          <w:tcPr>
            <w:tcW w:w="907" w:type="dxa"/>
            <w:shd w:val="clear" w:color="auto" w:fill="auto"/>
            <w:noWrap/>
            <w:vAlign w:val="bottom"/>
            <w:hideMark/>
          </w:tcPr>
          <w:p w14:paraId="57A3B514"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12.223</w:t>
            </w:r>
          </w:p>
        </w:tc>
        <w:tc>
          <w:tcPr>
            <w:tcW w:w="907" w:type="dxa"/>
            <w:shd w:val="clear" w:color="auto" w:fill="auto"/>
            <w:noWrap/>
            <w:vAlign w:val="bottom"/>
            <w:hideMark/>
          </w:tcPr>
          <w:p w14:paraId="3E669C47"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17.595</w:t>
            </w:r>
          </w:p>
        </w:tc>
        <w:tc>
          <w:tcPr>
            <w:tcW w:w="907" w:type="dxa"/>
            <w:shd w:val="clear" w:color="auto" w:fill="auto"/>
            <w:noWrap/>
            <w:vAlign w:val="bottom"/>
            <w:hideMark/>
          </w:tcPr>
          <w:p w14:paraId="01862BBC"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28.440</w:t>
            </w:r>
          </w:p>
        </w:tc>
        <w:tc>
          <w:tcPr>
            <w:tcW w:w="907" w:type="dxa"/>
            <w:shd w:val="clear" w:color="auto" w:fill="auto"/>
            <w:noWrap/>
            <w:vAlign w:val="bottom"/>
            <w:hideMark/>
          </w:tcPr>
          <w:p w14:paraId="134879E8"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23.731</w:t>
            </w:r>
          </w:p>
        </w:tc>
        <w:tc>
          <w:tcPr>
            <w:tcW w:w="907" w:type="dxa"/>
            <w:shd w:val="clear" w:color="auto" w:fill="auto"/>
            <w:noWrap/>
            <w:vAlign w:val="bottom"/>
            <w:hideMark/>
          </w:tcPr>
          <w:p w14:paraId="5E796C02"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12.215</w:t>
            </w:r>
          </w:p>
        </w:tc>
        <w:tc>
          <w:tcPr>
            <w:tcW w:w="907" w:type="dxa"/>
            <w:shd w:val="clear" w:color="auto" w:fill="auto"/>
            <w:noWrap/>
            <w:vAlign w:val="bottom"/>
            <w:hideMark/>
          </w:tcPr>
          <w:p w14:paraId="73316CF1"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18.534</w:t>
            </w:r>
          </w:p>
        </w:tc>
        <w:tc>
          <w:tcPr>
            <w:tcW w:w="907" w:type="dxa"/>
            <w:shd w:val="clear" w:color="auto" w:fill="auto"/>
            <w:noWrap/>
            <w:vAlign w:val="bottom"/>
            <w:hideMark/>
          </w:tcPr>
          <w:p w14:paraId="4A2D4466"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29.933</w:t>
            </w:r>
          </w:p>
        </w:tc>
        <w:tc>
          <w:tcPr>
            <w:tcW w:w="907" w:type="dxa"/>
            <w:shd w:val="clear" w:color="auto" w:fill="auto"/>
            <w:noWrap/>
            <w:vAlign w:val="bottom"/>
            <w:hideMark/>
          </w:tcPr>
          <w:p w14:paraId="45A5D7CB"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32.347</w:t>
            </w:r>
          </w:p>
        </w:tc>
        <w:tc>
          <w:tcPr>
            <w:tcW w:w="907" w:type="dxa"/>
            <w:shd w:val="clear" w:color="auto" w:fill="auto"/>
            <w:noWrap/>
            <w:vAlign w:val="bottom"/>
            <w:hideMark/>
          </w:tcPr>
          <w:p w14:paraId="06545F51"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12.182</w:t>
            </w:r>
          </w:p>
        </w:tc>
        <w:tc>
          <w:tcPr>
            <w:tcW w:w="907" w:type="dxa"/>
            <w:shd w:val="clear" w:color="auto" w:fill="auto"/>
            <w:noWrap/>
            <w:vAlign w:val="bottom"/>
            <w:hideMark/>
          </w:tcPr>
          <w:p w14:paraId="6DD94E5C"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17.374</w:t>
            </w:r>
          </w:p>
        </w:tc>
        <w:tc>
          <w:tcPr>
            <w:tcW w:w="907" w:type="dxa"/>
            <w:shd w:val="clear" w:color="auto" w:fill="auto"/>
            <w:noWrap/>
            <w:vAlign w:val="bottom"/>
            <w:hideMark/>
          </w:tcPr>
          <w:p w14:paraId="44A01882"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29.759</w:t>
            </w:r>
          </w:p>
        </w:tc>
        <w:tc>
          <w:tcPr>
            <w:tcW w:w="907" w:type="dxa"/>
            <w:shd w:val="clear" w:color="auto" w:fill="auto"/>
            <w:noWrap/>
            <w:vAlign w:val="bottom"/>
            <w:hideMark/>
          </w:tcPr>
          <w:p w14:paraId="4CD8FB15"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32.288</w:t>
            </w:r>
          </w:p>
        </w:tc>
      </w:tr>
      <w:tr w:rsidR="006122B8" w:rsidRPr="00593C9A" w14:paraId="0A30B835" w14:textId="77777777" w:rsidTr="00FD20E8">
        <w:trPr>
          <w:trHeight w:hRule="exact" w:val="301"/>
        </w:trPr>
        <w:tc>
          <w:tcPr>
            <w:tcW w:w="3701" w:type="dxa"/>
            <w:shd w:val="clear" w:color="auto" w:fill="auto"/>
            <w:noWrap/>
            <w:vAlign w:val="bottom"/>
            <w:hideMark/>
          </w:tcPr>
          <w:p w14:paraId="1D911677" w14:textId="77777777" w:rsidR="006122B8" w:rsidRPr="00117BF8" w:rsidRDefault="006122B8" w:rsidP="006122B8">
            <w:pPr>
              <w:pStyle w:val="TablaC"/>
              <w:jc w:val="left"/>
              <w:rPr>
                <w:rFonts w:ascii="Arial" w:hAnsi="Arial" w:cs="Arial"/>
                <w:sz w:val="18"/>
                <w:szCs w:val="18"/>
                <w:lang w:val="es-AR" w:eastAsia="es-AR"/>
              </w:rPr>
            </w:pPr>
            <w:r w:rsidRPr="00117BF8">
              <w:rPr>
                <w:rFonts w:ascii="Arial" w:hAnsi="Arial" w:cs="Arial"/>
                <w:sz w:val="18"/>
                <w:szCs w:val="18"/>
                <w:lang w:val="es-AR" w:eastAsia="es-AR"/>
              </w:rPr>
              <w:t>Otros gastos</w:t>
            </w:r>
          </w:p>
        </w:tc>
        <w:tc>
          <w:tcPr>
            <w:tcW w:w="907" w:type="dxa"/>
            <w:shd w:val="clear" w:color="auto" w:fill="auto"/>
            <w:noWrap/>
            <w:vAlign w:val="bottom"/>
            <w:hideMark/>
          </w:tcPr>
          <w:p w14:paraId="62179444"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131</w:t>
            </w:r>
          </w:p>
        </w:tc>
        <w:tc>
          <w:tcPr>
            <w:tcW w:w="907" w:type="dxa"/>
            <w:shd w:val="clear" w:color="auto" w:fill="auto"/>
            <w:noWrap/>
            <w:vAlign w:val="bottom"/>
            <w:hideMark/>
          </w:tcPr>
          <w:p w14:paraId="3D9FE805"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74</w:t>
            </w:r>
          </w:p>
        </w:tc>
        <w:tc>
          <w:tcPr>
            <w:tcW w:w="907" w:type="dxa"/>
            <w:shd w:val="clear" w:color="auto" w:fill="auto"/>
            <w:noWrap/>
            <w:vAlign w:val="bottom"/>
            <w:hideMark/>
          </w:tcPr>
          <w:p w14:paraId="3A94D033"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575</w:t>
            </w:r>
          </w:p>
        </w:tc>
        <w:tc>
          <w:tcPr>
            <w:tcW w:w="907" w:type="dxa"/>
            <w:shd w:val="clear" w:color="auto" w:fill="auto"/>
            <w:noWrap/>
            <w:vAlign w:val="bottom"/>
            <w:hideMark/>
          </w:tcPr>
          <w:p w14:paraId="7A03F9D5"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565</w:t>
            </w:r>
          </w:p>
        </w:tc>
        <w:tc>
          <w:tcPr>
            <w:tcW w:w="907" w:type="dxa"/>
            <w:shd w:val="clear" w:color="auto" w:fill="auto"/>
            <w:noWrap/>
            <w:vAlign w:val="bottom"/>
            <w:hideMark/>
          </w:tcPr>
          <w:p w14:paraId="05946142"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176</w:t>
            </w:r>
          </w:p>
        </w:tc>
        <w:tc>
          <w:tcPr>
            <w:tcW w:w="907" w:type="dxa"/>
            <w:shd w:val="clear" w:color="auto" w:fill="auto"/>
            <w:noWrap/>
            <w:vAlign w:val="bottom"/>
            <w:hideMark/>
          </w:tcPr>
          <w:p w14:paraId="2863E4A3"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36</w:t>
            </w:r>
          </w:p>
        </w:tc>
        <w:tc>
          <w:tcPr>
            <w:tcW w:w="907" w:type="dxa"/>
            <w:shd w:val="clear" w:color="auto" w:fill="auto"/>
            <w:noWrap/>
            <w:vAlign w:val="bottom"/>
            <w:hideMark/>
          </w:tcPr>
          <w:p w14:paraId="1B471BE1"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42</w:t>
            </w:r>
          </w:p>
        </w:tc>
        <w:tc>
          <w:tcPr>
            <w:tcW w:w="907" w:type="dxa"/>
            <w:shd w:val="clear" w:color="auto" w:fill="auto"/>
            <w:noWrap/>
            <w:vAlign w:val="bottom"/>
            <w:hideMark/>
          </w:tcPr>
          <w:p w14:paraId="12055857"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96</w:t>
            </w:r>
          </w:p>
        </w:tc>
        <w:tc>
          <w:tcPr>
            <w:tcW w:w="907" w:type="dxa"/>
            <w:shd w:val="clear" w:color="auto" w:fill="auto"/>
            <w:noWrap/>
            <w:vAlign w:val="bottom"/>
            <w:hideMark/>
          </w:tcPr>
          <w:p w14:paraId="721AADA9"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166</w:t>
            </w:r>
          </w:p>
        </w:tc>
        <w:tc>
          <w:tcPr>
            <w:tcW w:w="907" w:type="dxa"/>
            <w:shd w:val="clear" w:color="auto" w:fill="auto"/>
            <w:noWrap/>
            <w:vAlign w:val="bottom"/>
            <w:hideMark/>
          </w:tcPr>
          <w:p w14:paraId="0485251C"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27</w:t>
            </w:r>
          </w:p>
        </w:tc>
        <w:tc>
          <w:tcPr>
            <w:tcW w:w="907" w:type="dxa"/>
            <w:shd w:val="clear" w:color="auto" w:fill="auto"/>
            <w:noWrap/>
            <w:vAlign w:val="bottom"/>
            <w:hideMark/>
          </w:tcPr>
          <w:p w14:paraId="02ED4844"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26</w:t>
            </w:r>
          </w:p>
        </w:tc>
        <w:tc>
          <w:tcPr>
            <w:tcW w:w="907" w:type="dxa"/>
            <w:shd w:val="clear" w:color="auto" w:fill="auto"/>
            <w:noWrap/>
            <w:vAlign w:val="bottom"/>
            <w:hideMark/>
          </w:tcPr>
          <w:p w14:paraId="63FA08CE" w14:textId="77777777" w:rsidR="006122B8" w:rsidRPr="00117BF8" w:rsidRDefault="006122B8" w:rsidP="006122B8">
            <w:pPr>
              <w:pStyle w:val="TablaC"/>
              <w:rPr>
                <w:rFonts w:ascii="Arial" w:hAnsi="Arial" w:cs="Arial"/>
                <w:sz w:val="18"/>
                <w:szCs w:val="18"/>
              </w:rPr>
            </w:pPr>
            <w:r w:rsidRPr="00117BF8">
              <w:rPr>
                <w:rFonts w:ascii="Arial" w:hAnsi="Arial" w:cs="Arial"/>
                <w:sz w:val="18"/>
                <w:szCs w:val="18"/>
              </w:rPr>
              <w:t>67</w:t>
            </w:r>
          </w:p>
        </w:tc>
      </w:tr>
      <w:tr w:rsidR="006122B8" w:rsidRPr="00593C9A" w14:paraId="596D5E72" w14:textId="77777777" w:rsidTr="00FD20E8">
        <w:trPr>
          <w:trHeight w:val="300"/>
        </w:trPr>
        <w:tc>
          <w:tcPr>
            <w:tcW w:w="3701" w:type="dxa"/>
            <w:shd w:val="clear" w:color="auto" w:fill="auto"/>
            <w:noWrap/>
            <w:vAlign w:val="bottom"/>
            <w:hideMark/>
          </w:tcPr>
          <w:p w14:paraId="0A178CEB" w14:textId="77777777" w:rsidR="006122B8" w:rsidRPr="00117BF8" w:rsidRDefault="006122B8" w:rsidP="006122B8">
            <w:pPr>
              <w:pStyle w:val="TablaC"/>
              <w:jc w:val="left"/>
              <w:rPr>
                <w:rFonts w:ascii="Arial" w:hAnsi="Arial" w:cs="Arial"/>
                <w:b/>
                <w:bCs/>
                <w:sz w:val="18"/>
                <w:szCs w:val="18"/>
                <w:lang w:val="es-AR" w:eastAsia="es-AR"/>
              </w:rPr>
            </w:pPr>
            <w:r w:rsidRPr="00117BF8">
              <w:rPr>
                <w:rFonts w:ascii="Arial" w:hAnsi="Arial" w:cs="Arial"/>
                <w:b/>
                <w:bCs/>
                <w:sz w:val="18"/>
                <w:szCs w:val="18"/>
                <w:lang w:val="es-AR" w:eastAsia="es-AR"/>
              </w:rPr>
              <w:t>Total</w:t>
            </w:r>
          </w:p>
        </w:tc>
        <w:tc>
          <w:tcPr>
            <w:tcW w:w="907" w:type="dxa"/>
            <w:shd w:val="clear" w:color="auto" w:fill="auto"/>
            <w:noWrap/>
            <w:vAlign w:val="bottom"/>
            <w:hideMark/>
          </w:tcPr>
          <w:p w14:paraId="4485C7AC"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151.019</w:t>
            </w:r>
          </w:p>
        </w:tc>
        <w:tc>
          <w:tcPr>
            <w:tcW w:w="907" w:type="dxa"/>
            <w:shd w:val="clear" w:color="auto" w:fill="auto"/>
            <w:noWrap/>
            <w:vAlign w:val="bottom"/>
            <w:hideMark/>
          </w:tcPr>
          <w:p w14:paraId="5B49E314" w14:textId="77777777" w:rsidR="006122B8" w:rsidRPr="00117BF8" w:rsidRDefault="006122B8" w:rsidP="006122B8">
            <w:pPr>
              <w:pStyle w:val="TablaC"/>
              <w:rPr>
                <w:rFonts w:ascii="Arial" w:hAnsi="Arial" w:cs="Arial"/>
                <w:b/>
                <w:sz w:val="18"/>
                <w:szCs w:val="18"/>
              </w:rPr>
            </w:pPr>
            <w:r w:rsidRPr="00117BF8">
              <w:rPr>
                <w:rFonts w:ascii="Arial" w:hAnsi="Arial" w:cs="Arial"/>
                <w:b/>
                <w:sz w:val="18"/>
                <w:szCs w:val="18"/>
              </w:rPr>
              <w:t>195.226</w:t>
            </w:r>
          </w:p>
        </w:tc>
        <w:tc>
          <w:tcPr>
            <w:tcW w:w="907" w:type="dxa"/>
            <w:shd w:val="clear" w:color="auto" w:fill="auto"/>
            <w:noWrap/>
            <w:vAlign w:val="bottom"/>
            <w:hideMark/>
          </w:tcPr>
          <w:p w14:paraId="3C996F0D"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272.886</w:t>
            </w:r>
          </w:p>
        </w:tc>
        <w:tc>
          <w:tcPr>
            <w:tcW w:w="907" w:type="dxa"/>
            <w:shd w:val="clear" w:color="auto" w:fill="auto"/>
            <w:noWrap/>
            <w:vAlign w:val="bottom"/>
            <w:hideMark/>
          </w:tcPr>
          <w:p w14:paraId="65461811"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407.697</w:t>
            </w:r>
          </w:p>
        </w:tc>
        <w:tc>
          <w:tcPr>
            <w:tcW w:w="907" w:type="dxa"/>
            <w:shd w:val="clear" w:color="auto" w:fill="auto"/>
            <w:noWrap/>
            <w:vAlign w:val="bottom"/>
            <w:hideMark/>
          </w:tcPr>
          <w:p w14:paraId="4D1635EB"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171.474</w:t>
            </w:r>
          </w:p>
        </w:tc>
        <w:tc>
          <w:tcPr>
            <w:tcW w:w="907" w:type="dxa"/>
            <w:shd w:val="clear" w:color="auto" w:fill="auto"/>
            <w:noWrap/>
            <w:vAlign w:val="bottom"/>
            <w:hideMark/>
          </w:tcPr>
          <w:p w14:paraId="681F47DE"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224.483</w:t>
            </w:r>
          </w:p>
        </w:tc>
        <w:tc>
          <w:tcPr>
            <w:tcW w:w="907" w:type="dxa"/>
            <w:shd w:val="clear" w:color="auto" w:fill="auto"/>
            <w:noWrap/>
            <w:vAlign w:val="bottom"/>
            <w:hideMark/>
          </w:tcPr>
          <w:p w14:paraId="13150524"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315.097</w:t>
            </w:r>
          </w:p>
        </w:tc>
        <w:tc>
          <w:tcPr>
            <w:tcW w:w="907" w:type="dxa"/>
            <w:shd w:val="clear" w:color="auto" w:fill="auto"/>
            <w:noWrap/>
            <w:vAlign w:val="bottom"/>
            <w:hideMark/>
          </w:tcPr>
          <w:p w14:paraId="2872E25D"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471.481</w:t>
            </w:r>
          </w:p>
        </w:tc>
        <w:tc>
          <w:tcPr>
            <w:tcW w:w="907" w:type="dxa"/>
            <w:shd w:val="clear" w:color="auto" w:fill="auto"/>
            <w:noWrap/>
            <w:vAlign w:val="bottom"/>
            <w:hideMark/>
          </w:tcPr>
          <w:p w14:paraId="5A62CAAC"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160.689</w:t>
            </w:r>
          </w:p>
        </w:tc>
        <w:tc>
          <w:tcPr>
            <w:tcW w:w="907" w:type="dxa"/>
            <w:shd w:val="clear" w:color="auto" w:fill="auto"/>
            <w:noWrap/>
            <w:vAlign w:val="bottom"/>
            <w:hideMark/>
          </w:tcPr>
          <w:p w14:paraId="1B060DDD"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214.548</w:t>
            </w:r>
          </w:p>
        </w:tc>
        <w:tc>
          <w:tcPr>
            <w:tcW w:w="907" w:type="dxa"/>
            <w:shd w:val="clear" w:color="auto" w:fill="auto"/>
            <w:noWrap/>
            <w:vAlign w:val="bottom"/>
            <w:hideMark/>
          </w:tcPr>
          <w:p w14:paraId="524EA7E8"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317.831</w:t>
            </w:r>
          </w:p>
        </w:tc>
        <w:tc>
          <w:tcPr>
            <w:tcW w:w="907" w:type="dxa"/>
            <w:shd w:val="clear" w:color="auto" w:fill="auto"/>
            <w:noWrap/>
            <w:vAlign w:val="bottom"/>
            <w:hideMark/>
          </w:tcPr>
          <w:p w14:paraId="2E8C5A35" w14:textId="77777777" w:rsidR="006122B8" w:rsidRPr="00117BF8" w:rsidRDefault="006122B8" w:rsidP="006122B8">
            <w:pPr>
              <w:pStyle w:val="TablaC"/>
              <w:rPr>
                <w:rFonts w:ascii="Arial" w:hAnsi="Arial" w:cs="Arial"/>
                <w:b/>
                <w:bCs/>
                <w:sz w:val="18"/>
                <w:szCs w:val="18"/>
              </w:rPr>
            </w:pPr>
            <w:r w:rsidRPr="00117BF8">
              <w:rPr>
                <w:rFonts w:ascii="Arial" w:hAnsi="Arial" w:cs="Arial"/>
                <w:b/>
                <w:bCs/>
                <w:sz w:val="18"/>
                <w:szCs w:val="18"/>
              </w:rPr>
              <w:t>450.550</w:t>
            </w:r>
          </w:p>
        </w:tc>
      </w:tr>
    </w:tbl>
    <w:p w14:paraId="53CD2849" w14:textId="77777777" w:rsidR="00EA1F56" w:rsidRPr="00117BF8" w:rsidRDefault="00EA1F56" w:rsidP="00EA1F56">
      <w:pPr>
        <w:pStyle w:val="Hfuente"/>
        <w:rPr>
          <w:rFonts w:ascii="Arial" w:hAnsi="Arial" w:cs="Arial"/>
          <w:sz w:val="18"/>
          <w:szCs w:val="18"/>
          <w:lang w:val="es-AR" w:eastAsia="es-AR"/>
        </w:rPr>
      </w:pPr>
      <w:r w:rsidRPr="00117BF8">
        <w:rPr>
          <w:rFonts w:ascii="Arial" w:hAnsi="Arial" w:cs="Arial"/>
          <w:sz w:val="18"/>
          <w:szCs w:val="18"/>
          <w:lang w:val="es-AR" w:eastAsia="es-AR"/>
        </w:rPr>
        <w:t xml:space="preserve">Fuente: Elaboración propia con datos de CGPBA </w:t>
      </w:r>
    </w:p>
    <w:tbl>
      <w:tblPr>
        <w:tblW w:w="1190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021"/>
        <w:gridCol w:w="985"/>
        <w:gridCol w:w="985"/>
        <w:gridCol w:w="986"/>
        <w:gridCol w:w="986"/>
        <w:gridCol w:w="986"/>
        <w:gridCol w:w="986"/>
        <w:gridCol w:w="986"/>
        <w:gridCol w:w="986"/>
      </w:tblGrid>
      <w:tr w:rsidR="006122B8" w:rsidRPr="00593C9A" w14:paraId="14E74A24" w14:textId="77777777" w:rsidTr="00FD20E8">
        <w:trPr>
          <w:trHeight w:hRule="exact" w:val="340"/>
          <w:jc w:val="center"/>
        </w:trPr>
        <w:tc>
          <w:tcPr>
            <w:tcW w:w="11907" w:type="dxa"/>
            <w:gridSpan w:val="9"/>
            <w:tcBorders>
              <w:top w:val="single" w:sz="8" w:space="0" w:color="7BA0CD"/>
              <w:left w:val="single" w:sz="8" w:space="0" w:color="7BA0CD"/>
              <w:bottom w:val="single" w:sz="8" w:space="0" w:color="7BA0CD"/>
              <w:right w:val="single" w:sz="8" w:space="0" w:color="7BA0CD"/>
            </w:tcBorders>
            <w:shd w:val="clear" w:color="auto" w:fill="0070C0"/>
          </w:tcPr>
          <w:p w14:paraId="008F4F71" w14:textId="3CB56493" w:rsidR="006122B8" w:rsidRPr="00117BF8" w:rsidRDefault="006122B8" w:rsidP="00443F74">
            <w:pPr>
              <w:pStyle w:val="TablaT"/>
              <w:rPr>
                <w:rFonts w:ascii="Arial" w:hAnsi="Arial" w:cs="Arial"/>
                <w:sz w:val="22"/>
                <w:szCs w:val="22"/>
                <w:lang w:val="es-ES_tradnl"/>
              </w:rPr>
            </w:pPr>
            <w:bookmarkStart w:id="157" w:name="_Toc493861163"/>
            <w:r w:rsidRPr="00117BF8">
              <w:rPr>
                <w:rFonts w:ascii="Arial" w:hAnsi="Arial" w:cs="Arial"/>
                <w:sz w:val="22"/>
                <w:szCs w:val="22"/>
                <w:lang w:val="es-ES_tradnl"/>
              </w:rPr>
              <w:t xml:space="preserve">Tabla A III </w:t>
            </w:r>
            <w:r w:rsidR="00F674B2" w:rsidRPr="00117BF8">
              <w:rPr>
                <w:rFonts w:ascii="Arial" w:hAnsi="Arial" w:cs="Arial"/>
                <w:sz w:val="22"/>
                <w:szCs w:val="22"/>
                <w:lang w:val="es-ES_tradnl"/>
              </w:rPr>
              <w:t xml:space="preserve">- </w:t>
            </w:r>
            <w:r w:rsidRPr="00117BF8">
              <w:rPr>
                <w:rFonts w:ascii="Arial" w:hAnsi="Arial" w:cs="Arial"/>
                <w:sz w:val="22"/>
                <w:szCs w:val="22"/>
                <w:lang w:val="es-ES_tradnl"/>
              </w:rPr>
              <w:t xml:space="preserve">7 - </w:t>
            </w:r>
            <w:r w:rsidR="00F36A02" w:rsidRPr="00117BF8">
              <w:rPr>
                <w:rFonts w:ascii="Arial" w:hAnsi="Arial" w:cs="Arial"/>
                <w:sz w:val="22"/>
                <w:szCs w:val="22"/>
                <w:lang w:val="es-ES_tradnl"/>
              </w:rPr>
              <w:t>Desvío</w:t>
            </w:r>
            <w:r w:rsidRPr="00117BF8">
              <w:rPr>
                <w:rFonts w:ascii="Arial" w:hAnsi="Arial" w:cs="Arial"/>
                <w:sz w:val="22"/>
                <w:szCs w:val="22"/>
                <w:lang w:val="es-ES_tradnl"/>
              </w:rPr>
              <w:t xml:space="preserve"> Presupuestari</w:t>
            </w:r>
            <w:r w:rsidR="00F36A02" w:rsidRPr="00117BF8">
              <w:rPr>
                <w:rFonts w:ascii="Arial" w:hAnsi="Arial" w:cs="Arial"/>
                <w:sz w:val="22"/>
                <w:szCs w:val="22"/>
                <w:lang w:val="es-ES_tradnl"/>
              </w:rPr>
              <w:t>o</w:t>
            </w:r>
            <w:r w:rsidRPr="00117BF8">
              <w:rPr>
                <w:rFonts w:ascii="Arial" w:hAnsi="Arial" w:cs="Arial"/>
                <w:sz w:val="22"/>
                <w:szCs w:val="22"/>
                <w:lang w:val="es-ES_tradnl"/>
              </w:rPr>
              <w:t xml:space="preserve"> - Clasificación por Objeto del Gasto</w:t>
            </w:r>
            <w:bookmarkEnd w:id="157"/>
          </w:p>
        </w:tc>
      </w:tr>
      <w:tr w:rsidR="00FD20E8" w:rsidRPr="00593C9A" w14:paraId="10B3110C" w14:textId="77777777" w:rsidTr="00FD20E8">
        <w:trPr>
          <w:trHeight w:hRule="exact" w:val="340"/>
          <w:jc w:val="center"/>
        </w:trPr>
        <w:tc>
          <w:tcPr>
            <w:tcW w:w="4021" w:type="dxa"/>
            <w:vMerge w:val="restart"/>
            <w:tcBorders>
              <w:right w:val="single" w:sz="8" w:space="0" w:color="7BA0CD"/>
            </w:tcBorders>
            <w:shd w:val="clear" w:color="auto" w:fill="0070C0"/>
          </w:tcPr>
          <w:p w14:paraId="08140161" w14:textId="77777777" w:rsidR="006122B8" w:rsidRPr="00117BF8" w:rsidRDefault="006122B8" w:rsidP="00443F74">
            <w:pPr>
              <w:pStyle w:val="TablaE"/>
              <w:rPr>
                <w:rFonts w:ascii="Arial" w:hAnsi="Arial" w:cs="Arial"/>
                <w:sz w:val="22"/>
                <w:szCs w:val="22"/>
              </w:rPr>
            </w:pPr>
            <w:r w:rsidRPr="00117BF8">
              <w:rPr>
                <w:rFonts w:ascii="Arial" w:hAnsi="Arial" w:cs="Arial"/>
                <w:sz w:val="22"/>
                <w:szCs w:val="22"/>
              </w:rPr>
              <w:t>Concepto</w:t>
            </w:r>
          </w:p>
        </w:tc>
        <w:tc>
          <w:tcPr>
            <w:tcW w:w="3942" w:type="dxa"/>
            <w:gridSpan w:val="4"/>
            <w:tcBorders>
              <w:top w:val="single" w:sz="8" w:space="0" w:color="7BA0CD"/>
              <w:left w:val="single" w:sz="8" w:space="0" w:color="7BA0CD"/>
              <w:right w:val="single" w:sz="8" w:space="0" w:color="7BA0CD"/>
            </w:tcBorders>
            <w:shd w:val="clear" w:color="auto" w:fill="0070C0"/>
            <w:noWrap/>
          </w:tcPr>
          <w:p w14:paraId="02858AFF" w14:textId="77777777" w:rsidR="006122B8" w:rsidRPr="00117BF8" w:rsidRDefault="006122B8" w:rsidP="00443F74">
            <w:pPr>
              <w:pStyle w:val="TablaE"/>
              <w:rPr>
                <w:rFonts w:ascii="Arial" w:hAnsi="Arial" w:cs="Arial"/>
                <w:sz w:val="22"/>
                <w:szCs w:val="22"/>
              </w:rPr>
            </w:pPr>
            <w:r w:rsidRPr="00117BF8">
              <w:rPr>
                <w:rFonts w:ascii="Arial" w:hAnsi="Arial" w:cs="Arial"/>
                <w:sz w:val="22"/>
                <w:szCs w:val="22"/>
              </w:rPr>
              <w:t>Desvío Devengado / Crédito Original</w:t>
            </w:r>
          </w:p>
        </w:tc>
        <w:tc>
          <w:tcPr>
            <w:tcW w:w="3944" w:type="dxa"/>
            <w:gridSpan w:val="4"/>
            <w:tcBorders>
              <w:left w:val="single" w:sz="8" w:space="0" w:color="7BA0CD"/>
            </w:tcBorders>
            <w:shd w:val="clear" w:color="auto" w:fill="0070C0"/>
            <w:noWrap/>
          </w:tcPr>
          <w:p w14:paraId="5831FC90" w14:textId="77777777" w:rsidR="006122B8" w:rsidRPr="00117BF8" w:rsidRDefault="006122B8" w:rsidP="00443F74">
            <w:pPr>
              <w:pStyle w:val="TablaE"/>
              <w:rPr>
                <w:rFonts w:ascii="Arial" w:hAnsi="Arial" w:cs="Arial"/>
                <w:sz w:val="22"/>
                <w:szCs w:val="22"/>
              </w:rPr>
            </w:pPr>
            <w:r w:rsidRPr="00117BF8">
              <w:rPr>
                <w:rFonts w:ascii="Arial" w:hAnsi="Arial" w:cs="Arial"/>
                <w:sz w:val="22"/>
                <w:szCs w:val="22"/>
              </w:rPr>
              <w:t>Desvío Dev. / Crédito Modificado</w:t>
            </w:r>
          </w:p>
        </w:tc>
      </w:tr>
      <w:tr w:rsidR="00FD20E8" w:rsidRPr="00593C9A" w14:paraId="7818D0CA" w14:textId="77777777" w:rsidTr="00FD20E8">
        <w:trPr>
          <w:trHeight w:hRule="exact" w:val="340"/>
          <w:jc w:val="center"/>
        </w:trPr>
        <w:tc>
          <w:tcPr>
            <w:tcW w:w="4021" w:type="dxa"/>
            <w:vMerge/>
            <w:tcBorders>
              <w:right w:val="single" w:sz="8" w:space="0" w:color="7BA0CD"/>
            </w:tcBorders>
            <w:shd w:val="clear" w:color="auto" w:fill="0070C0"/>
            <w:hideMark/>
          </w:tcPr>
          <w:p w14:paraId="40A1BB4C" w14:textId="77777777" w:rsidR="006122B8" w:rsidRPr="00117BF8" w:rsidRDefault="006122B8" w:rsidP="00F36A02">
            <w:pPr>
              <w:pStyle w:val="TablaE"/>
              <w:rPr>
                <w:rFonts w:ascii="Arial" w:hAnsi="Arial" w:cs="Arial"/>
                <w:b w:val="0"/>
                <w:bCs/>
                <w:sz w:val="22"/>
                <w:szCs w:val="22"/>
                <w:lang w:val="es-AR" w:eastAsia="es-AR"/>
              </w:rPr>
            </w:pPr>
          </w:p>
        </w:tc>
        <w:tc>
          <w:tcPr>
            <w:tcW w:w="985" w:type="dxa"/>
            <w:tcBorders>
              <w:left w:val="single" w:sz="8" w:space="0" w:color="7BA0CD"/>
            </w:tcBorders>
            <w:shd w:val="clear" w:color="auto" w:fill="0070C0"/>
            <w:noWrap/>
            <w:hideMark/>
          </w:tcPr>
          <w:p w14:paraId="179B2675"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2013</w:t>
            </w:r>
          </w:p>
        </w:tc>
        <w:tc>
          <w:tcPr>
            <w:tcW w:w="985" w:type="dxa"/>
            <w:shd w:val="clear" w:color="auto" w:fill="0070C0"/>
            <w:noWrap/>
            <w:hideMark/>
          </w:tcPr>
          <w:p w14:paraId="361F13CC"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2014</w:t>
            </w:r>
          </w:p>
        </w:tc>
        <w:tc>
          <w:tcPr>
            <w:tcW w:w="986" w:type="dxa"/>
            <w:shd w:val="clear" w:color="auto" w:fill="0070C0"/>
            <w:noWrap/>
            <w:hideMark/>
          </w:tcPr>
          <w:p w14:paraId="614742E9"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2015</w:t>
            </w:r>
          </w:p>
        </w:tc>
        <w:tc>
          <w:tcPr>
            <w:tcW w:w="986" w:type="dxa"/>
            <w:tcBorders>
              <w:right w:val="single" w:sz="8" w:space="0" w:color="7BA0CD"/>
            </w:tcBorders>
            <w:shd w:val="clear" w:color="auto" w:fill="0070C0"/>
            <w:noWrap/>
            <w:hideMark/>
          </w:tcPr>
          <w:p w14:paraId="05DEE1A1"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2016</w:t>
            </w:r>
          </w:p>
        </w:tc>
        <w:tc>
          <w:tcPr>
            <w:tcW w:w="986" w:type="dxa"/>
            <w:tcBorders>
              <w:left w:val="single" w:sz="8" w:space="0" w:color="7BA0CD"/>
            </w:tcBorders>
            <w:shd w:val="clear" w:color="auto" w:fill="0070C0"/>
            <w:noWrap/>
            <w:hideMark/>
          </w:tcPr>
          <w:p w14:paraId="52829010"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2013</w:t>
            </w:r>
          </w:p>
        </w:tc>
        <w:tc>
          <w:tcPr>
            <w:tcW w:w="986" w:type="dxa"/>
            <w:shd w:val="clear" w:color="auto" w:fill="0070C0"/>
            <w:noWrap/>
            <w:hideMark/>
          </w:tcPr>
          <w:p w14:paraId="75DDA6F4"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2014</w:t>
            </w:r>
          </w:p>
        </w:tc>
        <w:tc>
          <w:tcPr>
            <w:tcW w:w="986" w:type="dxa"/>
            <w:shd w:val="clear" w:color="auto" w:fill="0070C0"/>
            <w:noWrap/>
            <w:hideMark/>
          </w:tcPr>
          <w:p w14:paraId="535AC31E"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2015</w:t>
            </w:r>
          </w:p>
        </w:tc>
        <w:tc>
          <w:tcPr>
            <w:tcW w:w="986" w:type="dxa"/>
            <w:shd w:val="clear" w:color="auto" w:fill="0070C0"/>
            <w:noWrap/>
            <w:hideMark/>
          </w:tcPr>
          <w:p w14:paraId="5BFC4611" w14:textId="77777777" w:rsidR="006122B8" w:rsidRPr="00117BF8" w:rsidRDefault="006122B8" w:rsidP="00F36A02">
            <w:pPr>
              <w:pStyle w:val="TablaE"/>
              <w:rPr>
                <w:rFonts w:ascii="Arial" w:hAnsi="Arial" w:cs="Arial"/>
                <w:bCs/>
                <w:sz w:val="22"/>
                <w:szCs w:val="22"/>
              </w:rPr>
            </w:pPr>
            <w:r w:rsidRPr="00117BF8">
              <w:rPr>
                <w:rFonts w:ascii="Arial" w:hAnsi="Arial" w:cs="Arial"/>
                <w:bCs/>
                <w:sz w:val="22"/>
                <w:szCs w:val="22"/>
              </w:rPr>
              <w:t>2016</w:t>
            </w:r>
          </w:p>
        </w:tc>
      </w:tr>
      <w:tr w:rsidR="00FD20E8" w:rsidRPr="00593C9A" w14:paraId="4D0B31BF" w14:textId="77777777" w:rsidTr="00FD20E8">
        <w:trPr>
          <w:trHeight w:hRule="exact" w:val="301"/>
          <w:jc w:val="center"/>
        </w:trPr>
        <w:tc>
          <w:tcPr>
            <w:tcW w:w="4021" w:type="dxa"/>
            <w:tcBorders>
              <w:right w:val="single" w:sz="8" w:space="0" w:color="7BA0CD"/>
            </w:tcBorders>
            <w:shd w:val="clear" w:color="auto" w:fill="auto"/>
            <w:noWrap/>
            <w:hideMark/>
          </w:tcPr>
          <w:p w14:paraId="6B0ED4AF" w14:textId="77777777" w:rsidR="006122B8" w:rsidRPr="00117BF8" w:rsidRDefault="006122B8" w:rsidP="00FD20E8">
            <w:pPr>
              <w:pStyle w:val="TablaC"/>
              <w:jc w:val="left"/>
              <w:rPr>
                <w:rFonts w:ascii="Arial" w:hAnsi="Arial" w:cs="Arial"/>
                <w:bCs/>
                <w:sz w:val="18"/>
                <w:szCs w:val="18"/>
                <w:lang w:val="es-AR" w:eastAsia="es-AR"/>
              </w:rPr>
            </w:pPr>
            <w:r w:rsidRPr="00117BF8">
              <w:rPr>
                <w:rFonts w:ascii="Arial" w:hAnsi="Arial" w:cs="Arial"/>
                <w:bCs/>
                <w:sz w:val="18"/>
                <w:szCs w:val="18"/>
                <w:lang w:val="es-AR" w:eastAsia="es-AR"/>
              </w:rPr>
              <w:t>Gastos en personal</w:t>
            </w:r>
          </w:p>
        </w:tc>
        <w:tc>
          <w:tcPr>
            <w:tcW w:w="985" w:type="dxa"/>
            <w:tcBorders>
              <w:left w:val="single" w:sz="8" w:space="0" w:color="7BA0CD"/>
            </w:tcBorders>
            <w:shd w:val="clear" w:color="auto" w:fill="auto"/>
            <w:noWrap/>
            <w:hideMark/>
          </w:tcPr>
          <w:p w14:paraId="33022ECB"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13%</w:t>
            </w:r>
          </w:p>
        </w:tc>
        <w:tc>
          <w:tcPr>
            <w:tcW w:w="985" w:type="dxa"/>
            <w:shd w:val="clear" w:color="auto" w:fill="auto"/>
            <w:noWrap/>
            <w:hideMark/>
          </w:tcPr>
          <w:p w14:paraId="75C9E6E7"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18%</w:t>
            </w:r>
          </w:p>
        </w:tc>
        <w:tc>
          <w:tcPr>
            <w:tcW w:w="986" w:type="dxa"/>
            <w:shd w:val="clear" w:color="auto" w:fill="auto"/>
            <w:noWrap/>
            <w:hideMark/>
          </w:tcPr>
          <w:p w14:paraId="5DAC1EDB"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28%</w:t>
            </w:r>
          </w:p>
        </w:tc>
        <w:tc>
          <w:tcPr>
            <w:tcW w:w="986" w:type="dxa"/>
            <w:tcBorders>
              <w:right w:val="single" w:sz="8" w:space="0" w:color="7BA0CD"/>
            </w:tcBorders>
            <w:shd w:val="clear" w:color="auto" w:fill="auto"/>
            <w:noWrap/>
            <w:hideMark/>
          </w:tcPr>
          <w:p w14:paraId="2F28A9FA"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18%</w:t>
            </w:r>
          </w:p>
        </w:tc>
        <w:tc>
          <w:tcPr>
            <w:tcW w:w="986" w:type="dxa"/>
            <w:tcBorders>
              <w:left w:val="single" w:sz="8" w:space="0" w:color="7BA0CD"/>
            </w:tcBorders>
            <w:shd w:val="clear" w:color="auto" w:fill="auto"/>
            <w:noWrap/>
            <w:hideMark/>
          </w:tcPr>
          <w:p w14:paraId="460D9D4F"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w:t>
            </w:r>
          </w:p>
        </w:tc>
        <w:tc>
          <w:tcPr>
            <w:tcW w:w="986" w:type="dxa"/>
            <w:shd w:val="clear" w:color="auto" w:fill="auto"/>
            <w:noWrap/>
            <w:hideMark/>
          </w:tcPr>
          <w:p w14:paraId="1358B01A"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w:t>
            </w:r>
          </w:p>
        </w:tc>
        <w:tc>
          <w:tcPr>
            <w:tcW w:w="986" w:type="dxa"/>
            <w:shd w:val="clear" w:color="auto" w:fill="auto"/>
            <w:noWrap/>
            <w:hideMark/>
          </w:tcPr>
          <w:p w14:paraId="4C688519"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10%</w:t>
            </w:r>
          </w:p>
        </w:tc>
        <w:tc>
          <w:tcPr>
            <w:tcW w:w="986" w:type="dxa"/>
            <w:shd w:val="clear" w:color="auto" w:fill="auto"/>
            <w:noWrap/>
            <w:hideMark/>
          </w:tcPr>
          <w:p w14:paraId="60C6FE00"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w:t>
            </w:r>
          </w:p>
        </w:tc>
      </w:tr>
      <w:tr w:rsidR="00FD20E8" w:rsidRPr="00593C9A" w14:paraId="68C8D44F" w14:textId="77777777" w:rsidTr="00FD20E8">
        <w:trPr>
          <w:trHeight w:hRule="exact" w:val="301"/>
          <w:jc w:val="center"/>
        </w:trPr>
        <w:tc>
          <w:tcPr>
            <w:tcW w:w="4021" w:type="dxa"/>
            <w:tcBorders>
              <w:right w:val="single" w:sz="8" w:space="0" w:color="7BA0CD"/>
            </w:tcBorders>
            <w:shd w:val="clear" w:color="auto" w:fill="auto"/>
            <w:noWrap/>
            <w:hideMark/>
          </w:tcPr>
          <w:p w14:paraId="41804DDE" w14:textId="77777777" w:rsidR="006122B8" w:rsidRPr="00117BF8" w:rsidRDefault="006122B8" w:rsidP="00FD20E8">
            <w:pPr>
              <w:pStyle w:val="TablaC"/>
              <w:jc w:val="left"/>
              <w:rPr>
                <w:rFonts w:ascii="Arial" w:hAnsi="Arial" w:cs="Arial"/>
                <w:bCs/>
                <w:sz w:val="18"/>
                <w:szCs w:val="18"/>
                <w:lang w:val="es-AR" w:eastAsia="es-AR"/>
              </w:rPr>
            </w:pPr>
            <w:r w:rsidRPr="00117BF8">
              <w:rPr>
                <w:rFonts w:ascii="Arial" w:hAnsi="Arial" w:cs="Arial"/>
                <w:bCs/>
                <w:sz w:val="18"/>
                <w:szCs w:val="18"/>
                <w:lang w:val="es-AR" w:eastAsia="es-AR"/>
              </w:rPr>
              <w:t>Bienes de consumo</w:t>
            </w:r>
          </w:p>
        </w:tc>
        <w:tc>
          <w:tcPr>
            <w:tcW w:w="985" w:type="dxa"/>
            <w:tcBorders>
              <w:left w:val="single" w:sz="8" w:space="0" w:color="7BA0CD"/>
            </w:tcBorders>
            <w:shd w:val="clear" w:color="auto" w:fill="auto"/>
            <w:noWrap/>
            <w:hideMark/>
          </w:tcPr>
          <w:p w14:paraId="7238238C"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-22%</w:t>
            </w:r>
          </w:p>
        </w:tc>
        <w:tc>
          <w:tcPr>
            <w:tcW w:w="985" w:type="dxa"/>
            <w:shd w:val="clear" w:color="auto" w:fill="auto"/>
            <w:noWrap/>
            <w:hideMark/>
          </w:tcPr>
          <w:p w14:paraId="6EB8B342"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-8%</w:t>
            </w:r>
          </w:p>
        </w:tc>
        <w:tc>
          <w:tcPr>
            <w:tcW w:w="986" w:type="dxa"/>
            <w:shd w:val="clear" w:color="auto" w:fill="auto"/>
            <w:noWrap/>
            <w:hideMark/>
          </w:tcPr>
          <w:p w14:paraId="3EC1DF7E"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w:t>
            </w:r>
          </w:p>
        </w:tc>
        <w:tc>
          <w:tcPr>
            <w:tcW w:w="986" w:type="dxa"/>
            <w:tcBorders>
              <w:right w:val="single" w:sz="8" w:space="0" w:color="7BA0CD"/>
            </w:tcBorders>
            <w:shd w:val="clear" w:color="auto" w:fill="auto"/>
            <w:noWrap/>
            <w:hideMark/>
          </w:tcPr>
          <w:p w14:paraId="2EA7A9A2"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-5%</w:t>
            </w:r>
          </w:p>
        </w:tc>
        <w:tc>
          <w:tcPr>
            <w:tcW w:w="986" w:type="dxa"/>
            <w:tcBorders>
              <w:left w:val="single" w:sz="8" w:space="0" w:color="7BA0CD"/>
            </w:tcBorders>
            <w:shd w:val="clear" w:color="auto" w:fill="auto"/>
            <w:noWrap/>
            <w:hideMark/>
          </w:tcPr>
          <w:p w14:paraId="712382EA"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-7%</w:t>
            </w:r>
          </w:p>
        </w:tc>
        <w:tc>
          <w:tcPr>
            <w:tcW w:w="986" w:type="dxa"/>
            <w:shd w:val="clear" w:color="auto" w:fill="auto"/>
            <w:noWrap/>
            <w:hideMark/>
          </w:tcPr>
          <w:p w14:paraId="7A624DC1"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-9%</w:t>
            </w:r>
          </w:p>
        </w:tc>
        <w:tc>
          <w:tcPr>
            <w:tcW w:w="986" w:type="dxa"/>
            <w:shd w:val="clear" w:color="auto" w:fill="auto"/>
            <w:noWrap/>
            <w:hideMark/>
          </w:tcPr>
          <w:p w14:paraId="284DE3F8"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w:t>
            </w:r>
          </w:p>
        </w:tc>
        <w:tc>
          <w:tcPr>
            <w:tcW w:w="986" w:type="dxa"/>
            <w:shd w:val="clear" w:color="auto" w:fill="auto"/>
            <w:noWrap/>
            <w:hideMark/>
          </w:tcPr>
          <w:p w14:paraId="4F2F6880"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-5%</w:t>
            </w:r>
          </w:p>
        </w:tc>
      </w:tr>
      <w:tr w:rsidR="00FD20E8" w:rsidRPr="00593C9A" w14:paraId="0D2C1AB2" w14:textId="77777777" w:rsidTr="00FD20E8">
        <w:trPr>
          <w:trHeight w:hRule="exact" w:val="301"/>
          <w:jc w:val="center"/>
        </w:trPr>
        <w:tc>
          <w:tcPr>
            <w:tcW w:w="4021" w:type="dxa"/>
            <w:tcBorders>
              <w:right w:val="single" w:sz="8" w:space="0" w:color="7BA0CD"/>
            </w:tcBorders>
            <w:shd w:val="clear" w:color="auto" w:fill="auto"/>
            <w:noWrap/>
            <w:hideMark/>
          </w:tcPr>
          <w:p w14:paraId="7B85C46B" w14:textId="77777777" w:rsidR="006122B8" w:rsidRPr="00117BF8" w:rsidRDefault="006122B8" w:rsidP="00FD20E8">
            <w:pPr>
              <w:pStyle w:val="TablaC"/>
              <w:jc w:val="left"/>
              <w:rPr>
                <w:rFonts w:ascii="Arial" w:hAnsi="Arial" w:cs="Arial"/>
                <w:bCs/>
                <w:sz w:val="18"/>
                <w:szCs w:val="18"/>
                <w:lang w:val="es-AR" w:eastAsia="es-AR"/>
              </w:rPr>
            </w:pPr>
            <w:r w:rsidRPr="00117BF8">
              <w:rPr>
                <w:rFonts w:ascii="Arial" w:hAnsi="Arial" w:cs="Arial"/>
                <w:bCs/>
                <w:sz w:val="18"/>
                <w:szCs w:val="18"/>
                <w:lang w:val="es-AR" w:eastAsia="es-AR"/>
              </w:rPr>
              <w:t>Servicios no personales</w:t>
            </w:r>
          </w:p>
        </w:tc>
        <w:tc>
          <w:tcPr>
            <w:tcW w:w="985" w:type="dxa"/>
            <w:tcBorders>
              <w:left w:val="single" w:sz="8" w:space="0" w:color="7BA0CD"/>
            </w:tcBorders>
            <w:shd w:val="clear" w:color="auto" w:fill="auto"/>
            <w:noWrap/>
            <w:hideMark/>
          </w:tcPr>
          <w:p w14:paraId="55CD4863"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-13%</w:t>
            </w:r>
          </w:p>
        </w:tc>
        <w:tc>
          <w:tcPr>
            <w:tcW w:w="985" w:type="dxa"/>
            <w:shd w:val="clear" w:color="auto" w:fill="auto"/>
            <w:noWrap/>
            <w:hideMark/>
          </w:tcPr>
          <w:p w14:paraId="3F5EE032"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16%</w:t>
            </w:r>
          </w:p>
        </w:tc>
        <w:tc>
          <w:tcPr>
            <w:tcW w:w="986" w:type="dxa"/>
            <w:shd w:val="clear" w:color="auto" w:fill="auto"/>
            <w:noWrap/>
            <w:hideMark/>
          </w:tcPr>
          <w:p w14:paraId="35CBBD06"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31%</w:t>
            </w:r>
          </w:p>
        </w:tc>
        <w:tc>
          <w:tcPr>
            <w:tcW w:w="986" w:type="dxa"/>
            <w:tcBorders>
              <w:right w:val="single" w:sz="8" w:space="0" w:color="7BA0CD"/>
            </w:tcBorders>
            <w:shd w:val="clear" w:color="auto" w:fill="auto"/>
            <w:noWrap/>
            <w:hideMark/>
          </w:tcPr>
          <w:p w14:paraId="641F675E"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w:t>
            </w:r>
          </w:p>
        </w:tc>
        <w:tc>
          <w:tcPr>
            <w:tcW w:w="986" w:type="dxa"/>
            <w:tcBorders>
              <w:left w:val="single" w:sz="8" w:space="0" w:color="7BA0CD"/>
            </w:tcBorders>
            <w:shd w:val="clear" w:color="auto" w:fill="auto"/>
            <w:noWrap/>
            <w:hideMark/>
          </w:tcPr>
          <w:p w14:paraId="23CD7956"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-9%</w:t>
            </w:r>
          </w:p>
        </w:tc>
        <w:tc>
          <w:tcPr>
            <w:tcW w:w="986" w:type="dxa"/>
            <w:shd w:val="clear" w:color="auto" w:fill="auto"/>
            <w:noWrap/>
            <w:hideMark/>
          </w:tcPr>
          <w:p w14:paraId="1CB49935"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-5%</w:t>
            </w:r>
          </w:p>
        </w:tc>
        <w:tc>
          <w:tcPr>
            <w:tcW w:w="986" w:type="dxa"/>
            <w:shd w:val="clear" w:color="auto" w:fill="auto"/>
            <w:noWrap/>
            <w:hideMark/>
          </w:tcPr>
          <w:p w14:paraId="57664C3C"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-4%</w:t>
            </w:r>
          </w:p>
        </w:tc>
        <w:tc>
          <w:tcPr>
            <w:tcW w:w="986" w:type="dxa"/>
            <w:shd w:val="clear" w:color="auto" w:fill="auto"/>
            <w:noWrap/>
            <w:hideMark/>
          </w:tcPr>
          <w:p w14:paraId="0A878CAA"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-4%</w:t>
            </w:r>
          </w:p>
        </w:tc>
      </w:tr>
      <w:tr w:rsidR="00FD20E8" w:rsidRPr="00593C9A" w14:paraId="44BEEA89" w14:textId="77777777" w:rsidTr="00FD20E8">
        <w:trPr>
          <w:trHeight w:hRule="exact" w:val="301"/>
          <w:jc w:val="center"/>
        </w:trPr>
        <w:tc>
          <w:tcPr>
            <w:tcW w:w="4021" w:type="dxa"/>
            <w:tcBorders>
              <w:right w:val="single" w:sz="8" w:space="0" w:color="7BA0CD"/>
            </w:tcBorders>
            <w:shd w:val="clear" w:color="auto" w:fill="auto"/>
            <w:noWrap/>
            <w:hideMark/>
          </w:tcPr>
          <w:p w14:paraId="7008D655" w14:textId="77777777" w:rsidR="006122B8" w:rsidRPr="00117BF8" w:rsidRDefault="006122B8" w:rsidP="00FD20E8">
            <w:pPr>
              <w:pStyle w:val="TablaC"/>
              <w:jc w:val="left"/>
              <w:rPr>
                <w:rFonts w:ascii="Arial" w:hAnsi="Arial" w:cs="Arial"/>
                <w:bCs/>
                <w:sz w:val="18"/>
                <w:szCs w:val="18"/>
                <w:lang w:val="es-AR" w:eastAsia="es-AR"/>
              </w:rPr>
            </w:pPr>
            <w:r w:rsidRPr="00117BF8">
              <w:rPr>
                <w:rFonts w:ascii="Arial" w:hAnsi="Arial" w:cs="Arial"/>
                <w:bCs/>
                <w:sz w:val="18"/>
                <w:szCs w:val="18"/>
                <w:lang w:val="es-AR" w:eastAsia="es-AR"/>
              </w:rPr>
              <w:t>Bienes de uso</w:t>
            </w:r>
          </w:p>
        </w:tc>
        <w:tc>
          <w:tcPr>
            <w:tcW w:w="985" w:type="dxa"/>
            <w:tcBorders>
              <w:left w:val="single" w:sz="8" w:space="0" w:color="7BA0CD"/>
            </w:tcBorders>
            <w:shd w:val="clear" w:color="auto" w:fill="auto"/>
            <w:noWrap/>
            <w:hideMark/>
          </w:tcPr>
          <w:p w14:paraId="1E137983"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-57%</w:t>
            </w:r>
          </w:p>
        </w:tc>
        <w:tc>
          <w:tcPr>
            <w:tcW w:w="985" w:type="dxa"/>
            <w:shd w:val="clear" w:color="auto" w:fill="auto"/>
            <w:noWrap/>
            <w:hideMark/>
          </w:tcPr>
          <w:p w14:paraId="6C29492A"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-35%</w:t>
            </w:r>
          </w:p>
        </w:tc>
        <w:tc>
          <w:tcPr>
            <w:tcW w:w="986" w:type="dxa"/>
            <w:shd w:val="clear" w:color="auto" w:fill="auto"/>
            <w:noWrap/>
            <w:hideMark/>
          </w:tcPr>
          <w:p w14:paraId="06E8C167"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-37%</w:t>
            </w:r>
          </w:p>
        </w:tc>
        <w:tc>
          <w:tcPr>
            <w:tcW w:w="986" w:type="dxa"/>
            <w:tcBorders>
              <w:right w:val="single" w:sz="8" w:space="0" w:color="7BA0CD"/>
            </w:tcBorders>
            <w:shd w:val="clear" w:color="auto" w:fill="auto"/>
            <w:noWrap/>
            <w:hideMark/>
          </w:tcPr>
          <w:p w14:paraId="2A504AAF"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-50%</w:t>
            </w:r>
          </w:p>
        </w:tc>
        <w:tc>
          <w:tcPr>
            <w:tcW w:w="986" w:type="dxa"/>
            <w:tcBorders>
              <w:left w:val="single" w:sz="8" w:space="0" w:color="7BA0CD"/>
            </w:tcBorders>
            <w:shd w:val="clear" w:color="auto" w:fill="auto"/>
            <w:noWrap/>
            <w:hideMark/>
          </w:tcPr>
          <w:p w14:paraId="654DF33D"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-44%</w:t>
            </w:r>
          </w:p>
        </w:tc>
        <w:tc>
          <w:tcPr>
            <w:tcW w:w="986" w:type="dxa"/>
            <w:shd w:val="clear" w:color="auto" w:fill="auto"/>
            <w:noWrap/>
            <w:hideMark/>
          </w:tcPr>
          <w:p w14:paraId="7A7958ED"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-30%</w:t>
            </w:r>
          </w:p>
        </w:tc>
        <w:tc>
          <w:tcPr>
            <w:tcW w:w="986" w:type="dxa"/>
            <w:shd w:val="clear" w:color="auto" w:fill="auto"/>
            <w:noWrap/>
            <w:hideMark/>
          </w:tcPr>
          <w:p w14:paraId="1C558046"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-34%</w:t>
            </w:r>
          </w:p>
        </w:tc>
        <w:tc>
          <w:tcPr>
            <w:tcW w:w="986" w:type="dxa"/>
            <w:shd w:val="clear" w:color="auto" w:fill="auto"/>
            <w:noWrap/>
            <w:hideMark/>
          </w:tcPr>
          <w:p w14:paraId="1726C0CB"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-28%</w:t>
            </w:r>
          </w:p>
        </w:tc>
      </w:tr>
      <w:tr w:rsidR="00FD20E8" w:rsidRPr="00593C9A" w14:paraId="2009142C" w14:textId="77777777" w:rsidTr="00FD20E8">
        <w:trPr>
          <w:trHeight w:hRule="exact" w:val="301"/>
          <w:jc w:val="center"/>
        </w:trPr>
        <w:tc>
          <w:tcPr>
            <w:tcW w:w="4021" w:type="dxa"/>
            <w:tcBorders>
              <w:right w:val="single" w:sz="8" w:space="0" w:color="7BA0CD"/>
            </w:tcBorders>
            <w:shd w:val="clear" w:color="auto" w:fill="auto"/>
            <w:noWrap/>
            <w:hideMark/>
          </w:tcPr>
          <w:p w14:paraId="6B386BD9" w14:textId="77777777" w:rsidR="006122B8" w:rsidRPr="00117BF8" w:rsidRDefault="006122B8" w:rsidP="00FD20E8">
            <w:pPr>
              <w:pStyle w:val="TablaC"/>
              <w:jc w:val="left"/>
              <w:rPr>
                <w:rFonts w:ascii="Arial" w:hAnsi="Arial" w:cs="Arial"/>
                <w:bCs/>
                <w:sz w:val="18"/>
                <w:szCs w:val="18"/>
                <w:lang w:val="es-AR" w:eastAsia="es-AR"/>
              </w:rPr>
            </w:pPr>
            <w:r w:rsidRPr="00117BF8">
              <w:rPr>
                <w:rFonts w:ascii="Arial" w:hAnsi="Arial" w:cs="Arial"/>
                <w:bCs/>
                <w:sz w:val="18"/>
                <w:szCs w:val="18"/>
                <w:lang w:val="es-AR" w:eastAsia="es-AR"/>
              </w:rPr>
              <w:t>Transferencias</w:t>
            </w:r>
          </w:p>
        </w:tc>
        <w:tc>
          <w:tcPr>
            <w:tcW w:w="985" w:type="dxa"/>
            <w:tcBorders>
              <w:left w:val="single" w:sz="8" w:space="0" w:color="7BA0CD"/>
            </w:tcBorders>
            <w:shd w:val="clear" w:color="auto" w:fill="auto"/>
            <w:noWrap/>
            <w:hideMark/>
          </w:tcPr>
          <w:p w14:paraId="6E8E5B1E"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9%</w:t>
            </w:r>
          </w:p>
        </w:tc>
        <w:tc>
          <w:tcPr>
            <w:tcW w:w="985" w:type="dxa"/>
            <w:shd w:val="clear" w:color="auto" w:fill="auto"/>
            <w:noWrap/>
            <w:hideMark/>
          </w:tcPr>
          <w:p w14:paraId="664A6E54"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9%</w:t>
            </w:r>
          </w:p>
        </w:tc>
        <w:tc>
          <w:tcPr>
            <w:tcW w:w="986" w:type="dxa"/>
            <w:shd w:val="clear" w:color="auto" w:fill="auto"/>
            <w:noWrap/>
            <w:hideMark/>
          </w:tcPr>
          <w:p w14:paraId="50778407"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12%</w:t>
            </w:r>
          </w:p>
        </w:tc>
        <w:tc>
          <w:tcPr>
            <w:tcW w:w="986" w:type="dxa"/>
            <w:tcBorders>
              <w:right w:val="single" w:sz="8" w:space="0" w:color="7BA0CD"/>
            </w:tcBorders>
            <w:shd w:val="clear" w:color="auto" w:fill="auto"/>
            <w:noWrap/>
            <w:hideMark/>
          </w:tcPr>
          <w:p w14:paraId="1410CF85"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27%</w:t>
            </w:r>
          </w:p>
        </w:tc>
        <w:tc>
          <w:tcPr>
            <w:tcW w:w="986" w:type="dxa"/>
            <w:tcBorders>
              <w:left w:val="single" w:sz="8" w:space="0" w:color="7BA0CD"/>
            </w:tcBorders>
            <w:shd w:val="clear" w:color="auto" w:fill="auto"/>
            <w:noWrap/>
            <w:hideMark/>
          </w:tcPr>
          <w:p w14:paraId="63F5E606"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-10%</w:t>
            </w:r>
          </w:p>
        </w:tc>
        <w:tc>
          <w:tcPr>
            <w:tcW w:w="986" w:type="dxa"/>
            <w:shd w:val="clear" w:color="auto" w:fill="auto"/>
            <w:noWrap/>
            <w:hideMark/>
          </w:tcPr>
          <w:p w14:paraId="6B8663AC"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-6%</w:t>
            </w:r>
          </w:p>
        </w:tc>
        <w:tc>
          <w:tcPr>
            <w:tcW w:w="986" w:type="dxa"/>
            <w:shd w:val="clear" w:color="auto" w:fill="auto"/>
            <w:noWrap/>
            <w:hideMark/>
          </w:tcPr>
          <w:p w14:paraId="1DAAA21E"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-6%</w:t>
            </w:r>
          </w:p>
        </w:tc>
        <w:tc>
          <w:tcPr>
            <w:tcW w:w="986" w:type="dxa"/>
            <w:shd w:val="clear" w:color="auto" w:fill="auto"/>
            <w:noWrap/>
            <w:hideMark/>
          </w:tcPr>
          <w:p w14:paraId="361A0A47"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-7%</w:t>
            </w:r>
          </w:p>
        </w:tc>
      </w:tr>
      <w:tr w:rsidR="00FD20E8" w:rsidRPr="00593C9A" w14:paraId="5888AFB6" w14:textId="77777777" w:rsidTr="00FD20E8">
        <w:trPr>
          <w:trHeight w:hRule="exact" w:val="301"/>
          <w:jc w:val="center"/>
        </w:trPr>
        <w:tc>
          <w:tcPr>
            <w:tcW w:w="4021" w:type="dxa"/>
            <w:tcBorders>
              <w:right w:val="single" w:sz="8" w:space="0" w:color="7BA0CD"/>
            </w:tcBorders>
            <w:shd w:val="clear" w:color="auto" w:fill="auto"/>
            <w:noWrap/>
            <w:hideMark/>
          </w:tcPr>
          <w:p w14:paraId="17578F50" w14:textId="77777777" w:rsidR="006122B8" w:rsidRPr="00117BF8" w:rsidRDefault="006122B8" w:rsidP="00FD20E8">
            <w:pPr>
              <w:pStyle w:val="TablaC"/>
              <w:jc w:val="left"/>
              <w:rPr>
                <w:rFonts w:ascii="Arial" w:hAnsi="Arial" w:cs="Arial"/>
                <w:bCs/>
                <w:sz w:val="18"/>
                <w:szCs w:val="18"/>
                <w:lang w:val="es-AR" w:eastAsia="es-AR"/>
              </w:rPr>
            </w:pPr>
            <w:r w:rsidRPr="00117BF8">
              <w:rPr>
                <w:rFonts w:ascii="Arial" w:hAnsi="Arial" w:cs="Arial"/>
                <w:bCs/>
                <w:sz w:val="18"/>
                <w:szCs w:val="18"/>
                <w:lang w:val="es-AR" w:eastAsia="es-AR"/>
              </w:rPr>
              <w:t>Activos financieros</w:t>
            </w:r>
          </w:p>
        </w:tc>
        <w:tc>
          <w:tcPr>
            <w:tcW w:w="985" w:type="dxa"/>
            <w:tcBorders>
              <w:left w:val="single" w:sz="8" w:space="0" w:color="7BA0CD"/>
            </w:tcBorders>
            <w:shd w:val="clear" w:color="auto" w:fill="auto"/>
            <w:noWrap/>
            <w:hideMark/>
          </w:tcPr>
          <w:p w14:paraId="1521B3CD"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-13%</w:t>
            </w:r>
          </w:p>
        </w:tc>
        <w:tc>
          <w:tcPr>
            <w:tcW w:w="985" w:type="dxa"/>
            <w:shd w:val="clear" w:color="auto" w:fill="auto"/>
            <w:noWrap/>
            <w:hideMark/>
          </w:tcPr>
          <w:p w14:paraId="48FB7ABE"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-28%</w:t>
            </w:r>
          </w:p>
        </w:tc>
        <w:tc>
          <w:tcPr>
            <w:tcW w:w="986" w:type="dxa"/>
            <w:shd w:val="clear" w:color="auto" w:fill="auto"/>
            <w:noWrap/>
            <w:hideMark/>
          </w:tcPr>
          <w:p w14:paraId="72A0987F"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-7%</w:t>
            </w:r>
          </w:p>
        </w:tc>
        <w:tc>
          <w:tcPr>
            <w:tcW w:w="986" w:type="dxa"/>
            <w:tcBorders>
              <w:right w:val="single" w:sz="8" w:space="0" w:color="7BA0CD"/>
            </w:tcBorders>
            <w:shd w:val="clear" w:color="auto" w:fill="auto"/>
            <w:noWrap/>
            <w:hideMark/>
          </w:tcPr>
          <w:p w14:paraId="1607394C"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-63%</w:t>
            </w:r>
          </w:p>
        </w:tc>
        <w:tc>
          <w:tcPr>
            <w:tcW w:w="986" w:type="dxa"/>
            <w:tcBorders>
              <w:left w:val="single" w:sz="8" w:space="0" w:color="7BA0CD"/>
            </w:tcBorders>
            <w:shd w:val="clear" w:color="auto" w:fill="auto"/>
            <w:noWrap/>
            <w:hideMark/>
          </w:tcPr>
          <w:p w14:paraId="2E2DE783"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-11%</w:t>
            </w:r>
          </w:p>
        </w:tc>
        <w:tc>
          <w:tcPr>
            <w:tcW w:w="986" w:type="dxa"/>
            <w:shd w:val="clear" w:color="auto" w:fill="auto"/>
            <w:noWrap/>
            <w:hideMark/>
          </w:tcPr>
          <w:p w14:paraId="32174A55"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-21%</w:t>
            </w:r>
          </w:p>
        </w:tc>
        <w:tc>
          <w:tcPr>
            <w:tcW w:w="986" w:type="dxa"/>
            <w:shd w:val="clear" w:color="auto" w:fill="auto"/>
            <w:noWrap/>
            <w:hideMark/>
          </w:tcPr>
          <w:p w14:paraId="428B6C21"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-17%</w:t>
            </w:r>
          </w:p>
        </w:tc>
        <w:tc>
          <w:tcPr>
            <w:tcW w:w="986" w:type="dxa"/>
            <w:shd w:val="clear" w:color="auto" w:fill="auto"/>
            <w:noWrap/>
            <w:hideMark/>
          </w:tcPr>
          <w:p w14:paraId="79C0123D"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-14%</w:t>
            </w:r>
          </w:p>
        </w:tc>
      </w:tr>
      <w:tr w:rsidR="00FD20E8" w:rsidRPr="00593C9A" w14:paraId="3E8C9ED1" w14:textId="77777777" w:rsidTr="00FD20E8">
        <w:trPr>
          <w:trHeight w:hRule="exact" w:val="301"/>
          <w:jc w:val="center"/>
        </w:trPr>
        <w:tc>
          <w:tcPr>
            <w:tcW w:w="4021" w:type="dxa"/>
            <w:tcBorders>
              <w:right w:val="single" w:sz="8" w:space="0" w:color="7BA0CD"/>
            </w:tcBorders>
            <w:shd w:val="clear" w:color="auto" w:fill="auto"/>
            <w:noWrap/>
            <w:hideMark/>
          </w:tcPr>
          <w:p w14:paraId="0EC9B535" w14:textId="77777777" w:rsidR="006122B8" w:rsidRPr="00117BF8" w:rsidRDefault="006122B8" w:rsidP="00FD20E8">
            <w:pPr>
              <w:pStyle w:val="TablaC"/>
              <w:jc w:val="left"/>
              <w:rPr>
                <w:rFonts w:ascii="Arial" w:hAnsi="Arial" w:cs="Arial"/>
                <w:bCs/>
                <w:sz w:val="18"/>
                <w:szCs w:val="18"/>
                <w:lang w:val="es-AR" w:eastAsia="es-AR"/>
              </w:rPr>
            </w:pPr>
            <w:r w:rsidRPr="00117BF8">
              <w:rPr>
                <w:rFonts w:ascii="Arial" w:hAnsi="Arial" w:cs="Arial"/>
                <w:bCs/>
                <w:sz w:val="18"/>
                <w:szCs w:val="18"/>
                <w:lang w:val="es-AR" w:eastAsia="es-AR"/>
              </w:rPr>
              <w:t>Scio. de la deuda y dismin. de otros pasivos</w:t>
            </w:r>
          </w:p>
        </w:tc>
        <w:tc>
          <w:tcPr>
            <w:tcW w:w="985" w:type="dxa"/>
            <w:tcBorders>
              <w:left w:val="single" w:sz="8" w:space="0" w:color="7BA0CD"/>
            </w:tcBorders>
            <w:shd w:val="clear" w:color="auto" w:fill="auto"/>
            <w:noWrap/>
            <w:hideMark/>
          </w:tcPr>
          <w:p w14:paraId="6B396ECB"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0%</w:t>
            </w:r>
          </w:p>
        </w:tc>
        <w:tc>
          <w:tcPr>
            <w:tcW w:w="985" w:type="dxa"/>
            <w:shd w:val="clear" w:color="auto" w:fill="auto"/>
            <w:noWrap/>
            <w:hideMark/>
          </w:tcPr>
          <w:p w14:paraId="155C58F6"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w:t>
            </w:r>
          </w:p>
        </w:tc>
        <w:tc>
          <w:tcPr>
            <w:tcW w:w="986" w:type="dxa"/>
            <w:shd w:val="clear" w:color="auto" w:fill="auto"/>
            <w:noWrap/>
            <w:hideMark/>
          </w:tcPr>
          <w:p w14:paraId="12CD888C"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5%</w:t>
            </w:r>
          </w:p>
        </w:tc>
        <w:tc>
          <w:tcPr>
            <w:tcW w:w="986" w:type="dxa"/>
            <w:tcBorders>
              <w:right w:val="single" w:sz="8" w:space="0" w:color="7BA0CD"/>
            </w:tcBorders>
            <w:shd w:val="clear" w:color="auto" w:fill="auto"/>
            <w:noWrap/>
            <w:hideMark/>
          </w:tcPr>
          <w:p w14:paraId="71FC18A8"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36%</w:t>
            </w:r>
          </w:p>
        </w:tc>
        <w:tc>
          <w:tcPr>
            <w:tcW w:w="986" w:type="dxa"/>
            <w:tcBorders>
              <w:left w:val="single" w:sz="8" w:space="0" w:color="7BA0CD"/>
            </w:tcBorders>
            <w:shd w:val="clear" w:color="auto" w:fill="auto"/>
            <w:noWrap/>
            <w:hideMark/>
          </w:tcPr>
          <w:p w14:paraId="6F4ACEE7"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0%</w:t>
            </w:r>
          </w:p>
        </w:tc>
        <w:tc>
          <w:tcPr>
            <w:tcW w:w="986" w:type="dxa"/>
            <w:shd w:val="clear" w:color="auto" w:fill="auto"/>
            <w:noWrap/>
            <w:hideMark/>
          </w:tcPr>
          <w:p w14:paraId="23F06716"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-6%</w:t>
            </w:r>
          </w:p>
        </w:tc>
        <w:tc>
          <w:tcPr>
            <w:tcW w:w="986" w:type="dxa"/>
            <w:shd w:val="clear" w:color="auto" w:fill="auto"/>
            <w:noWrap/>
            <w:hideMark/>
          </w:tcPr>
          <w:p w14:paraId="58AF7183"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-1%</w:t>
            </w:r>
          </w:p>
        </w:tc>
        <w:tc>
          <w:tcPr>
            <w:tcW w:w="986" w:type="dxa"/>
            <w:shd w:val="clear" w:color="auto" w:fill="auto"/>
            <w:noWrap/>
            <w:hideMark/>
          </w:tcPr>
          <w:p w14:paraId="5DA2831C"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0%</w:t>
            </w:r>
          </w:p>
        </w:tc>
      </w:tr>
      <w:tr w:rsidR="00FD20E8" w:rsidRPr="00593C9A" w14:paraId="6BDF1668" w14:textId="77777777" w:rsidTr="00FD20E8">
        <w:trPr>
          <w:trHeight w:hRule="exact" w:val="301"/>
          <w:jc w:val="center"/>
        </w:trPr>
        <w:tc>
          <w:tcPr>
            <w:tcW w:w="4021" w:type="dxa"/>
            <w:tcBorders>
              <w:right w:val="single" w:sz="8" w:space="0" w:color="7BA0CD"/>
            </w:tcBorders>
            <w:shd w:val="clear" w:color="auto" w:fill="auto"/>
            <w:noWrap/>
            <w:hideMark/>
          </w:tcPr>
          <w:p w14:paraId="33B58301" w14:textId="77777777" w:rsidR="006122B8" w:rsidRPr="00117BF8" w:rsidRDefault="006122B8" w:rsidP="00FD20E8">
            <w:pPr>
              <w:pStyle w:val="TablaC"/>
              <w:jc w:val="left"/>
              <w:rPr>
                <w:rFonts w:ascii="Arial" w:hAnsi="Arial" w:cs="Arial"/>
                <w:bCs/>
                <w:sz w:val="18"/>
                <w:szCs w:val="18"/>
                <w:lang w:val="es-AR" w:eastAsia="es-AR"/>
              </w:rPr>
            </w:pPr>
            <w:r w:rsidRPr="00117BF8">
              <w:rPr>
                <w:rFonts w:ascii="Arial" w:hAnsi="Arial" w:cs="Arial"/>
                <w:bCs/>
                <w:sz w:val="18"/>
                <w:szCs w:val="18"/>
                <w:lang w:val="es-AR" w:eastAsia="es-AR"/>
              </w:rPr>
              <w:t>Otros gastos</w:t>
            </w:r>
          </w:p>
        </w:tc>
        <w:tc>
          <w:tcPr>
            <w:tcW w:w="985" w:type="dxa"/>
            <w:tcBorders>
              <w:left w:val="single" w:sz="8" w:space="0" w:color="7BA0CD"/>
            </w:tcBorders>
            <w:shd w:val="clear" w:color="auto" w:fill="auto"/>
            <w:noWrap/>
            <w:hideMark/>
          </w:tcPr>
          <w:p w14:paraId="556F975A"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27%</w:t>
            </w:r>
          </w:p>
        </w:tc>
        <w:tc>
          <w:tcPr>
            <w:tcW w:w="985" w:type="dxa"/>
            <w:shd w:val="clear" w:color="auto" w:fill="auto"/>
            <w:noWrap/>
            <w:hideMark/>
          </w:tcPr>
          <w:p w14:paraId="350E374E"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-64%</w:t>
            </w:r>
          </w:p>
        </w:tc>
        <w:tc>
          <w:tcPr>
            <w:tcW w:w="986" w:type="dxa"/>
            <w:shd w:val="clear" w:color="auto" w:fill="auto"/>
            <w:noWrap/>
            <w:hideMark/>
          </w:tcPr>
          <w:p w14:paraId="7D6C7C7B"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-95%</w:t>
            </w:r>
          </w:p>
        </w:tc>
        <w:tc>
          <w:tcPr>
            <w:tcW w:w="986" w:type="dxa"/>
            <w:tcBorders>
              <w:right w:val="single" w:sz="8" w:space="0" w:color="7BA0CD"/>
            </w:tcBorders>
            <w:shd w:val="clear" w:color="auto" w:fill="auto"/>
            <w:noWrap/>
            <w:hideMark/>
          </w:tcPr>
          <w:p w14:paraId="45F07005"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-88%</w:t>
            </w:r>
          </w:p>
        </w:tc>
        <w:tc>
          <w:tcPr>
            <w:tcW w:w="986" w:type="dxa"/>
            <w:tcBorders>
              <w:left w:val="single" w:sz="8" w:space="0" w:color="7BA0CD"/>
            </w:tcBorders>
            <w:shd w:val="clear" w:color="auto" w:fill="auto"/>
            <w:noWrap/>
            <w:hideMark/>
          </w:tcPr>
          <w:p w14:paraId="34065B0A"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-6%</w:t>
            </w:r>
          </w:p>
        </w:tc>
        <w:tc>
          <w:tcPr>
            <w:tcW w:w="986" w:type="dxa"/>
            <w:shd w:val="clear" w:color="auto" w:fill="auto"/>
            <w:noWrap/>
            <w:hideMark/>
          </w:tcPr>
          <w:p w14:paraId="72DF65B2"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-25%</w:t>
            </w:r>
          </w:p>
        </w:tc>
        <w:tc>
          <w:tcPr>
            <w:tcW w:w="986" w:type="dxa"/>
            <w:shd w:val="clear" w:color="auto" w:fill="auto"/>
            <w:noWrap/>
            <w:hideMark/>
          </w:tcPr>
          <w:p w14:paraId="7F4D6069"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-38%</w:t>
            </w:r>
          </w:p>
        </w:tc>
        <w:tc>
          <w:tcPr>
            <w:tcW w:w="986" w:type="dxa"/>
            <w:shd w:val="clear" w:color="auto" w:fill="auto"/>
            <w:noWrap/>
            <w:hideMark/>
          </w:tcPr>
          <w:p w14:paraId="56789AFF" w14:textId="77777777" w:rsidR="006122B8" w:rsidRPr="00117BF8" w:rsidRDefault="006122B8" w:rsidP="006122B8">
            <w:pPr>
              <w:pStyle w:val="TablaC"/>
              <w:rPr>
                <w:rFonts w:ascii="Arial" w:hAnsi="Arial" w:cs="Arial"/>
                <w:sz w:val="18"/>
                <w:szCs w:val="18"/>
                <w:lang w:val="es-AR" w:eastAsia="es-AR"/>
              </w:rPr>
            </w:pPr>
            <w:r w:rsidRPr="00117BF8">
              <w:rPr>
                <w:rFonts w:ascii="Arial" w:hAnsi="Arial" w:cs="Arial"/>
                <w:sz w:val="18"/>
                <w:szCs w:val="18"/>
                <w:lang w:val="es-AR" w:eastAsia="es-AR"/>
              </w:rPr>
              <w:t>-30%</w:t>
            </w:r>
          </w:p>
        </w:tc>
      </w:tr>
      <w:tr w:rsidR="00FD20E8" w:rsidRPr="00593C9A" w14:paraId="2A6918F8" w14:textId="77777777" w:rsidTr="00FD20E8">
        <w:trPr>
          <w:trHeight w:val="300"/>
          <w:jc w:val="center"/>
        </w:trPr>
        <w:tc>
          <w:tcPr>
            <w:tcW w:w="4021" w:type="dxa"/>
            <w:tcBorders>
              <w:right w:val="single" w:sz="8" w:space="0" w:color="7BA0CD"/>
            </w:tcBorders>
            <w:shd w:val="clear" w:color="auto" w:fill="auto"/>
            <w:noWrap/>
            <w:hideMark/>
          </w:tcPr>
          <w:p w14:paraId="686B7197" w14:textId="77777777" w:rsidR="006122B8" w:rsidRPr="00117BF8" w:rsidRDefault="006122B8" w:rsidP="00FD20E8">
            <w:pPr>
              <w:pStyle w:val="TablaC"/>
              <w:jc w:val="left"/>
              <w:rPr>
                <w:rFonts w:ascii="Arial" w:hAnsi="Arial" w:cs="Arial"/>
                <w:b/>
                <w:bCs/>
                <w:sz w:val="18"/>
                <w:szCs w:val="18"/>
                <w:lang w:val="es-AR" w:eastAsia="es-AR"/>
              </w:rPr>
            </w:pPr>
            <w:r w:rsidRPr="00117BF8">
              <w:rPr>
                <w:rFonts w:ascii="Arial" w:hAnsi="Arial" w:cs="Arial"/>
                <w:b/>
                <w:bCs/>
                <w:sz w:val="18"/>
                <w:szCs w:val="18"/>
                <w:lang w:val="es-AR" w:eastAsia="es-AR"/>
              </w:rPr>
              <w:t>Total</w:t>
            </w:r>
          </w:p>
        </w:tc>
        <w:tc>
          <w:tcPr>
            <w:tcW w:w="985" w:type="dxa"/>
            <w:tcBorders>
              <w:left w:val="single" w:sz="8" w:space="0" w:color="7BA0CD"/>
              <w:bottom w:val="single" w:sz="8" w:space="0" w:color="7BA0CD"/>
            </w:tcBorders>
            <w:shd w:val="clear" w:color="auto" w:fill="auto"/>
            <w:noWrap/>
            <w:hideMark/>
          </w:tcPr>
          <w:p w14:paraId="7CF19793" w14:textId="77777777" w:rsidR="006122B8" w:rsidRPr="00117BF8" w:rsidRDefault="006122B8" w:rsidP="006122B8">
            <w:pPr>
              <w:pStyle w:val="TablaC"/>
              <w:rPr>
                <w:rFonts w:ascii="Arial" w:hAnsi="Arial" w:cs="Arial"/>
                <w:b/>
                <w:sz w:val="18"/>
                <w:szCs w:val="18"/>
                <w:lang w:val="es-AR" w:eastAsia="es-AR"/>
              </w:rPr>
            </w:pPr>
            <w:r w:rsidRPr="00117BF8">
              <w:rPr>
                <w:rFonts w:ascii="Arial" w:hAnsi="Arial" w:cs="Arial"/>
                <w:b/>
                <w:sz w:val="18"/>
                <w:szCs w:val="18"/>
                <w:lang w:val="es-AR" w:eastAsia="es-AR"/>
              </w:rPr>
              <w:t>6%</w:t>
            </w:r>
          </w:p>
        </w:tc>
        <w:tc>
          <w:tcPr>
            <w:tcW w:w="985" w:type="dxa"/>
            <w:tcBorders>
              <w:bottom w:val="single" w:sz="8" w:space="0" w:color="7BA0CD"/>
            </w:tcBorders>
            <w:shd w:val="clear" w:color="auto" w:fill="auto"/>
            <w:noWrap/>
            <w:hideMark/>
          </w:tcPr>
          <w:p w14:paraId="5B50EDEB" w14:textId="77777777" w:rsidR="006122B8" w:rsidRPr="00117BF8" w:rsidRDefault="006122B8" w:rsidP="006122B8">
            <w:pPr>
              <w:pStyle w:val="TablaC"/>
              <w:rPr>
                <w:rFonts w:ascii="Arial" w:hAnsi="Arial" w:cs="Arial"/>
                <w:b/>
                <w:sz w:val="18"/>
                <w:szCs w:val="18"/>
                <w:lang w:val="es-AR" w:eastAsia="es-AR"/>
              </w:rPr>
            </w:pPr>
            <w:r w:rsidRPr="00117BF8">
              <w:rPr>
                <w:rFonts w:ascii="Arial" w:hAnsi="Arial" w:cs="Arial"/>
                <w:b/>
                <w:sz w:val="18"/>
                <w:szCs w:val="18"/>
                <w:lang w:val="es-AR" w:eastAsia="es-AR"/>
              </w:rPr>
              <w:t>10%</w:t>
            </w:r>
          </w:p>
        </w:tc>
        <w:tc>
          <w:tcPr>
            <w:tcW w:w="986" w:type="dxa"/>
            <w:tcBorders>
              <w:bottom w:val="single" w:sz="8" w:space="0" w:color="7BA0CD"/>
            </w:tcBorders>
            <w:shd w:val="clear" w:color="auto" w:fill="auto"/>
            <w:noWrap/>
            <w:hideMark/>
          </w:tcPr>
          <w:p w14:paraId="4AC4329A" w14:textId="77777777" w:rsidR="006122B8" w:rsidRPr="00117BF8" w:rsidRDefault="006122B8" w:rsidP="006122B8">
            <w:pPr>
              <w:pStyle w:val="TablaC"/>
              <w:rPr>
                <w:rFonts w:ascii="Arial" w:hAnsi="Arial" w:cs="Arial"/>
                <w:b/>
                <w:sz w:val="18"/>
                <w:szCs w:val="18"/>
                <w:lang w:val="es-AR" w:eastAsia="es-AR"/>
              </w:rPr>
            </w:pPr>
            <w:r w:rsidRPr="00117BF8">
              <w:rPr>
                <w:rFonts w:ascii="Arial" w:hAnsi="Arial" w:cs="Arial"/>
                <w:b/>
                <w:sz w:val="18"/>
                <w:szCs w:val="18"/>
                <w:lang w:val="es-AR" w:eastAsia="es-AR"/>
              </w:rPr>
              <w:t>16%</w:t>
            </w:r>
          </w:p>
        </w:tc>
        <w:tc>
          <w:tcPr>
            <w:tcW w:w="986" w:type="dxa"/>
            <w:tcBorders>
              <w:bottom w:val="single" w:sz="8" w:space="0" w:color="7BA0CD"/>
              <w:right w:val="single" w:sz="8" w:space="0" w:color="7BA0CD"/>
            </w:tcBorders>
            <w:shd w:val="clear" w:color="auto" w:fill="auto"/>
            <w:noWrap/>
            <w:hideMark/>
          </w:tcPr>
          <w:p w14:paraId="63D61CCD" w14:textId="77777777" w:rsidR="006122B8" w:rsidRPr="00117BF8" w:rsidRDefault="006122B8" w:rsidP="006122B8">
            <w:pPr>
              <w:pStyle w:val="TablaC"/>
              <w:rPr>
                <w:rFonts w:ascii="Arial" w:hAnsi="Arial" w:cs="Arial"/>
                <w:b/>
                <w:sz w:val="18"/>
                <w:szCs w:val="18"/>
                <w:lang w:val="es-AR" w:eastAsia="es-AR"/>
              </w:rPr>
            </w:pPr>
            <w:r w:rsidRPr="00117BF8">
              <w:rPr>
                <w:rFonts w:ascii="Arial" w:hAnsi="Arial" w:cs="Arial"/>
                <w:b/>
                <w:sz w:val="18"/>
                <w:szCs w:val="18"/>
                <w:lang w:val="es-AR" w:eastAsia="es-AR"/>
              </w:rPr>
              <w:t>11%</w:t>
            </w:r>
          </w:p>
        </w:tc>
        <w:tc>
          <w:tcPr>
            <w:tcW w:w="986" w:type="dxa"/>
            <w:tcBorders>
              <w:left w:val="single" w:sz="8" w:space="0" w:color="7BA0CD"/>
            </w:tcBorders>
            <w:shd w:val="clear" w:color="auto" w:fill="auto"/>
            <w:noWrap/>
            <w:hideMark/>
          </w:tcPr>
          <w:p w14:paraId="281BE307" w14:textId="77777777" w:rsidR="006122B8" w:rsidRPr="00117BF8" w:rsidRDefault="006122B8" w:rsidP="006122B8">
            <w:pPr>
              <w:pStyle w:val="TablaC"/>
              <w:rPr>
                <w:rFonts w:ascii="Arial" w:hAnsi="Arial" w:cs="Arial"/>
                <w:b/>
                <w:sz w:val="18"/>
                <w:szCs w:val="18"/>
                <w:lang w:val="es-AR" w:eastAsia="es-AR"/>
              </w:rPr>
            </w:pPr>
            <w:r w:rsidRPr="00117BF8">
              <w:rPr>
                <w:rFonts w:ascii="Arial" w:hAnsi="Arial" w:cs="Arial"/>
                <w:b/>
                <w:sz w:val="18"/>
                <w:szCs w:val="18"/>
                <w:lang w:val="es-AR" w:eastAsia="es-AR"/>
              </w:rPr>
              <w:t>-6%</w:t>
            </w:r>
          </w:p>
        </w:tc>
        <w:tc>
          <w:tcPr>
            <w:tcW w:w="986" w:type="dxa"/>
            <w:shd w:val="clear" w:color="auto" w:fill="auto"/>
            <w:noWrap/>
            <w:hideMark/>
          </w:tcPr>
          <w:p w14:paraId="50E1555D" w14:textId="77777777" w:rsidR="006122B8" w:rsidRPr="00117BF8" w:rsidRDefault="006122B8" w:rsidP="006122B8">
            <w:pPr>
              <w:pStyle w:val="TablaC"/>
              <w:rPr>
                <w:rFonts w:ascii="Arial" w:hAnsi="Arial" w:cs="Arial"/>
                <w:b/>
                <w:sz w:val="18"/>
                <w:szCs w:val="18"/>
                <w:lang w:val="es-AR" w:eastAsia="es-AR"/>
              </w:rPr>
            </w:pPr>
            <w:r w:rsidRPr="00117BF8">
              <w:rPr>
                <w:rFonts w:ascii="Arial" w:hAnsi="Arial" w:cs="Arial"/>
                <w:b/>
                <w:sz w:val="18"/>
                <w:szCs w:val="18"/>
                <w:lang w:val="es-AR" w:eastAsia="es-AR"/>
              </w:rPr>
              <w:t>-4%</w:t>
            </w:r>
          </w:p>
        </w:tc>
        <w:tc>
          <w:tcPr>
            <w:tcW w:w="986" w:type="dxa"/>
            <w:shd w:val="clear" w:color="auto" w:fill="auto"/>
            <w:noWrap/>
            <w:hideMark/>
          </w:tcPr>
          <w:p w14:paraId="6F94B81C" w14:textId="77777777" w:rsidR="006122B8" w:rsidRPr="00117BF8" w:rsidRDefault="006122B8" w:rsidP="006122B8">
            <w:pPr>
              <w:pStyle w:val="TablaC"/>
              <w:rPr>
                <w:rFonts w:ascii="Arial" w:hAnsi="Arial" w:cs="Arial"/>
                <w:b/>
                <w:sz w:val="18"/>
                <w:szCs w:val="18"/>
                <w:lang w:val="es-AR" w:eastAsia="es-AR"/>
              </w:rPr>
            </w:pPr>
            <w:r w:rsidRPr="00117BF8">
              <w:rPr>
                <w:rFonts w:ascii="Arial" w:hAnsi="Arial" w:cs="Arial"/>
                <w:b/>
                <w:sz w:val="18"/>
                <w:szCs w:val="18"/>
                <w:lang w:val="es-AR" w:eastAsia="es-AR"/>
              </w:rPr>
              <w:t>1%</w:t>
            </w:r>
          </w:p>
        </w:tc>
        <w:tc>
          <w:tcPr>
            <w:tcW w:w="986" w:type="dxa"/>
            <w:shd w:val="clear" w:color="auto" w:fill="auto"/>
            <w:noWrap/>
            <w:hideMark/>
          </w:tcPr>
          <w:p w14:paraId="3767F685" w14:textId="77777777" w:rsidR="006122B8" w:rsidRPr="00117BF8" w:rsidRDefault="006122B8" w:rsidP="006122B8">
            <w:pPr>
              <w:pStyle w:val="TablaC"/>
              <w:rPr>
                <w:rFonts w:ascii="Arial" w:hAnsi="Arial" w:cs="Arial"/>
                <w:b/>
                <w:sz w:val="18"/>
                <w:szCs w:val="18"/>
                <w:lang w:val="es-AR" w:eastAsia="es-AR"/>
              </w:rPr>
            </w:pPr>
            <w:r w:rsidRPr="00117BF8">
              <w:rPr>
                <w:rFonts w:ascii="Arial" w:hAnsi="Arial" w:cs="Arial"/>
                <w:b/>
                <w:sz w:val="18"/>
                <w:szCs w:val="18"/>
                <w:lang w:val="es-AR" w:eastAsia="es-AR"/>
              </w:rPr>
              <w:t>-4%</w:t>
            </w:r>
          </w:p>
        </w:tc>
      </w:tr>
    </w:tbl>
    <w:p w14:paraId="1CEFB4F8" w14:textId="77777777" w:rsidR="00D2709C" w:rsidRPr="00117BF8" w:rsidRDefault="006122B8" w:rsidP="00B458C1">
      <w:pPr>
        <w:pStyle w:val="Hfuente"/>
        <w:rPr>
          <w:rFonts w:ascii="Arial" w:eastAsia="Calibri" w:hAnsi="Arial" w:cs="Arial"/>
          <w:sz w:val="18"/>
          <w:szCs w:val="18"/>
        </w:rPr>
      </w:pPr>
      <w:r w:rsidRPr="00117BF8">
        <w:rPr>
          <w:rFonts w:ascii="Arial" w:hAnsi="Arial" w:cs="Arial"/>
          <w:sz w:val="18"/>
          <w:szCs w:val="18"/>
          <w:lang w:val="es-AR" w:eastAsia="es-AR"/>
        </w:rPr>
        <w:t xml:space="preserve">Fuente: Elaboración propia con datos de CGPBA </w:t>
      </w:r>
    </w:p>
    <w:p w14:paraId="2704FF64" w14:textId="77777777" w:rsidR="006122B8" w:rsidRPr="00117BF8" w:rsidRDefault="006122B8" w:rsidP="006122B8">
      <w:pPr>
        <w:pStyle w:val="hsa"/>
        <w:rPr>
          <w:rFonts w:ascii="Arial" w:eastAsia="Calibri" w:hAnsi="Arial" w:cs="Arial"/>
        </w:rPr>
        <w:sectPr w:rsidR="006122B8" w:rsidRPr="00117BF8" w:rsidSect="009F594F">
          <w:headerReference w:type="default" r:id="rId70"/>
          <w:footerReference w:type="default" r:id="rId71"/>
          <w:pgSz w:w="16840" w:h="11907" w:orient="landscape"/>
          <w:pgMar w:top="1701" w:right="1418" w:bottom="1701" w:left="1418" w:header="851" w:footer="851" w:gutter="0"/>
          <w:cols w:space="720"/>
          <w:docGrid w:linePitch="326"/>
        </w:sectPr>
      </w:pPr>
    </w:p>
    <w:p w14:paraId="05C65C66" w14:textId="77777777" w:rsidR="00D2709C" w:rsidRPr="00117BF8" w:rsidRDefault="00D2709C" w:rsidP="00D2709C">
      <w:pPr>
        <w:pStyle w:val="TablaT"/>
        <w:rPr>
          <w:rFonts w:ascii="Arial" w:hAnsi="Arial" w:cs="Arial"/>
          <w:bCs/>
          <w:color w:val="auto"/>
          <w:sz w:val="22"/>
          <w:szCs w:val="22"/>
          <w:lang w:val="es-ES_tradnl"/>
        </w:rPr>
      </w:pPr>
      <w:bookmarkStart w:id="158" w:name="_Toc493861164"/>
      <w:r w:rsidRPr="00117BF8">
        <w:rPr>
          <w:rFonts w:ascii="Arial" w:hAnsi="Arial" w:cs="Arial"/>
          <w:bCs/>
          <w:color w:val="auto"/>
          <w:sz w:val="22"/>
          <w:szCs w:val="22"/>
          <w:lang w:val="es-ES_tradnl"/>
        </w:rPr>
        <w:t>Tabla A III - 8 – Clasificación del Gasto por Finalidad / Función – Devengado y Participación en el Total</w:t>
      </w:r>
      <w:bookmarkEnd w:id="158"/>
    </w:p>
    <w:p w14:paraId="23EB59D1" w14:textId="326E6143" w:rsidR="00225120" w:rsidRPr="00117BF8" w:rsidRDefault="00117BF8" w:rsidP="00117BF8">
      <w:pPr>
        <w:pStyle w:val="hsa"/>
        <w:rPr>
          <w:rFonts w:ascii="Arial" w:hAnsi="Arial" w:cs="Arial"/>
          <w:sz w:val="18"/>
          <w:szCs w:val="18"/>
          <w:lang w:val="es-AR" w:eastAsia="es-AR"/>
        </w:rPr>
      </w:pPr>
      <w:r w:rsidRPr="00117BF8">
        <w:rPr>
          <w:rFonts w:ascii="Arial" w:eastAsia="Calibri" w:hAnsi="Arial" w:cs="Arial"/>
        </w:rPr>
        <w:pict w14:anchorId="2BBC64EE">
          <v:shape id="_x0000_i1059" type="#_x0000_t75" style="width:425.1pt;height:442pt">
            <v:imagedata r:id="rId72" o:title=""/>
          </v:shape>
        </w:pict>
      </w:r>
      <w:r w:rsidR="00225120" w:rsidRPr="00117BF8">
        <w:rPr>
          <w:rFonts w:ascii="Arial" w:hAnsi="Arial" w:cs="Arial"/>
          <w:sz w:val="18"/>
          <w:szCs w:val="18"/>
          <w:lang w:val="es-AR" w:eastAsia="es-AR"/>
        </w:rPr>
        <w:t xml:space="preserve">Fuente: Elaboración propia con datos de CGPBA </w:t>
      </w:r>
    </w:p>
    <w:tbl>
      <w:tblPr>
        <w:tblW w:w="7920" w:type="dxa"/>
        <w:tblInd w:w="55" w:type="dxa"/>
        <w:tblBorders>
          <w:top w:val="single" w:sz="8" w:space="0" w:color="7BA0CD"/>
          <w:left w:val="single" w:sz="8" w:space="0" w:color="7BA0CD"/>
          <w:bottom w:val="single" w:sz="8" w:space="0" w:color="7BA0CD"/>
          <w:right w:val="single" w:sz="8" w:space="0" w:color="7BA0CD"/>
        </w:tblBorders>
        <w:tblCellMar>
          <w:left w:w="70" w:type="dxa"/>
          <w:right w:w="70" w:type="dxa"/>
        </w:tblCellMar>
        <w:tblLook w:val="04A0" w:firstRow="1" w:lastRow="0" w:firstColumn="1" w:lastColumn="0" w:noHBand="0" w:noVBand="1"/>
      </w:tblPr>
      <w:tblGrid>
        <w:gridCol w:w="3440"/>
        <w:gridCol w:w="1120"/>
        <w:gridCol w:w="1120"/>
        <w:gridCol w:w="1120"/>
        <w:gridCol w:w="1120"/>
      </w:tblGrid>
      <w:tr w:rsidR="001B357A" w:rsidRPr="004E6455" w14:paraId="52FFDE4E" w14:textId="77777777" w:rsidTr="00FD20E8">
        <w:trPr>
          <w:trHeight w:val="900"/>
        </w:trPr>
        <w:tc>
          <w:tcPr>
            <w:tcW w:w="7920" w:type="dxa"/>
            <w:gridSpan w:val="5"/>
            <w:tcBorders>
              <w:top w:val="single" w:sz="8" w:space="0" w:color="7BA0CD"/>
              <w:bottom w:val="single" w:sz="8" w:space="0" w:color="7BA0CD"/>
            </w:tcBorders>
            <w:shd w:val="clear" w:color="auto" w:fill="0070C0"/>
            <w:noWrap/>
            <w:vAlign w:val="bottom"/>
            <w:hideMark/>
          </w:tcPr>
          <w:p w14:paraId="16E17202" w14:textId="77777777" w:rsidR="001B357A" w:rsidRPr="00117BF8" w:rsidRDefault="001B357A" w:rsidP="00EA1F56">
            <w:pPr>
              <w:pStyle w:val="TablaT"/>
              <w:rPr>
                <w:rFonts w:ascii="Arial" w:hAnsi="Arial" w:cs="Arial"/>
                <w:bCs/>
                <w:sz w:val="22"/>
                <w:szCs w:val="22"/>
                <w:lang w:val="es-ES_tradnl"/>
              </w:rPr>
            </w:pPr>
            <w:bookmarkStart w:id="159" w:name="_Toc493861165"/>
            <w:r w:rsidRPr="00117BF8">
              <w:rPr>
                <w:rFonts w:ascii="Arial" w:hAnsi="Arial" w:cs="Arial"/>
                <w:bCs/>
                <w:sz w:val="22"/>
                <w:szCs w:val="22"/>
                <w:lang w:val="es-ES_tradnl"/>
              </w:rPr>
              <w:t>Tabla A III - 9 - Ejecución Presupuestaria, Principales Objetos del Gasto - Clasificación por Finalidad / Función</w:t>
            </w:r>
            <w:bookmarkEnd w:id="159"/>
            <w:r w:rsidRPr="00117BF8">
              <w:rPr>
                <w:rFonts w:ascii="Arial" w:hAnsi="Arial" w:cs="Arial"/>
                <w:bCs/>
                <w:sz w:val="22"/>
                <w:szCs w:val="22"/>
                <w:lang w:val="es-ES_tradnl"/>
              </w:rPr>
              <w:t xml:space="preserve"> </w:t>
            </w:r>
          </w:p>
          <w:p w14:paraId="61DF6A5A" w14:textId="77777777" w:rsidR="001B357A" w:rsidRPr="00117BF8" w:rsidRDefault="001B357A" w:rsidP="00EA1F56">
            <w:pPr>
              <w:pStyle w:val="TablaC"/>
              <w:rPr>
                <w:rFonts w:ascii="Arial" w:hAnsi="Arial" w:cs="Arial"/>
                <w:color w:val="FFFFFF"/>
                <w:szCs w:val="22"/>
              </w:rPr>
            </w:pPr>
            <w:r w:rsidRPr="00117BF8">
              <w:rPr>
                <w:rFonts w:ascii="Arial" w:hAnsi="Arial" w:cs="Arial"/>
                <w:color w:val="FFFFFF"/>
                <w:szCs w:val="22"/>
              </w:rPr>
              <w:t>Millones de pesos</w:t>
            </w:r>
          </w:p>
        </w:tc>
      </w:tr>
      <w:tr w:rsidR="001B357A" w:rsidRPr="004E6455" w14:paraId="7F53FCF4" w14:textId="77777777" w:rsidTr="00FD20E8">
        <w:trPr>
          <w:trHeight w:val="465"/>
        </w:trPr>
        <w:tc>
          <w:tcPr>
            <w:tcW w:w="3440" w:type="dxa"/>
            <w:tcBorders>
              <w:top w:val="single" w:sz="8" w:space="0" w:color="7BA0CD"/>
              <w:bottom w:val="nil"/>
              <w:right w:val="single" w:sz="8" w:space="0" w:color="7BA0CD"/>
            </w:tcBorders>
            <w:shd w:val="clear" w:color="auto" w:fill="0070C0"/>
            <w:noWrap/>
            <w:vAlign w:val="bottom"/>
            <w:hideMark/>
          </w:tcPr>
          <w:p w14:paraId="3D00277C" w14:textId="77777777" w:rsidR="001B357A" w:rsidRPr="00117BF8" w:rsidRDefault="001B357A" w:rsidP="00EA1F56">
            <w:pPr>
              <w:pStyle w:val="TablaE"/>
              <w:rPr>
                <w:rFonts w:ascii="Arial" w:hAnsi="Arial" w:cs="Arial"/>
                <w:bCs/>
                <w:sz w:val="22"/>
                <w:szCs w:val="22"/>
                <w:lang w:val="es-AR" w:eastAsia="es-AR"/>
              </w:rPr>
            </w:pPr>
          </w:p>
        </w:tc>
        <w:tc>
          <w:tcPr>
            <w:tcW w:w="2240" w:type="dxa"/>
            <w:gridSpan w:val="2"/>
            <w:tcBorders>
              <w:top w:val="single" w:sz="8" w:space="0" w:color="7BA0CD"/>
              <w:left w:val="single" w:sz="8" w:space="0" w:color="7BA0CD"/>
              <w:bottom w:val="nil"/>
              <w:right w:val="single" w:sz="8" w:space="0" w:color="7BA0CD"/>
            </w:tcBorders>
            <w:shd w:val="clear" w:color="auto" w:fill="0070C0"/>
            <w:vAlign w:val="center"/>
            <w:hideMark/>
          </w:tcPr>
          <w:p w14:paraId="49F78F05" w14:textId="77777777" w:rsidR="001B357A" w:rsidRPr="00117BF8" w:rsidRDefault="001B357A" w:rsidP="00EA1F56">
            <w:pPr>
              <w:pStyle w:val="TablaE"/>
              <w:rPr>
                <w:rFonts w:ascii="Arial" w:hAnsi="Arial" w:cs="Arial"/>
                <w:bCs/>
                <w:sz w:val="22"/>
                <w:szCs w:val="22"/>
                <w:lang w:val="es-AR" w:eastAsia="es-AR"/>
              </w:rPr>
            </w:pPr>
            <w:r w:rsidRPr="00117BF8">
              <w:rPr>
                <w:rFonts w:ascii="Arial" w:hAnsi="Arial" w:cs="Arial"/>
                <w:bCs/>
                <w:sz w:val="22"/>
                <w:szCs w:val="22"/>
                <w:lang w:val="es-AR" w:eastAsia="es-AR"/>
              </w:rPr>
              <w:t>Gastos en Personal</w:t>
            </w:r>
          </w:p>
        </w:tc>
        <w:tc>
          <w:tcPr>
            <w:tcW w:w="2240" w:type="dxa"/>
            <w:gridSpan w:val="2"/>
            <w:tcBorders>
              <w:top w:val="single" w:sz="8" w:space="0" w:color="7BA0CD"/>
              <w:left w:val="single" w:sz="8" w:space="0" w:color="7BA0CD"/>
              <w:bottom w:val="nil"/>
            </w:tcBorders>
            <w:shd w:val="clear" w:color="auto" w:fill="0070C0"/>
            <w:vAlign w:val="center"/>
            <w:hideMark/>
          </w:tcPr>
          <w:p w14:paraId="39369DE4" w14:textId="77777777" w:rsidR="001B357A" w:rsidRPr="00117BF8" w:rsidRDefault="001B357A" w:rsidP="00EA1F56">
            <w:pPr>
              <w:pStyle w:val="TablaE"/>
              <w:rPr>
                <w:rFonts w:ascii="Arial" w:hAnsi="Arial" w:cs="Arial"/>
                <w:bCs/>
                <w:sz w:val="22"/>
                <w:szCs w:val="22"/>
                <w:lang w:val="es-AR" w:eastAsia="es-AR"/>
              </w:rPr>
            </w:pPr>
            <w:r w:rsidRPr="00117BF8">
              <w:rPr>
                <w:rFonts w:ascii="Arial" w:hAnsi="Arial" w:cs="Arial"/>
                <w:bCs/>
                <w:sz w:val="22"/>
                <w:szCs w:val="22"/>
                <w:lang w:val="es-AR" w:eastAsia="es-AR"/>
              </w:rPr>
              <w:t>Transferencias</w:t>
            </w:r>
          </w:p>
        </w:tc>
      </w:tr>
      <w:tr w:rsidR="001B357A" w:rsidRPr="004E6455" w14:paraId="1387C2DF" w14:textId="77777777" w:rsidTr="00FD20E8">
        <w:trPr>
          <w:trHeight w:val="465"/>
        </w:trPr>
        <w:tc>
          <w:tcPr>
            <w:tcW w:w="3440" w:type="dxa"/>
            <w:tcBorders>
              <w:top w:val="nil"/>
              <w:bottom w:val="nil"/>
              <w:right w:val="single" w:sz="8" w:space="0" w:color="7BA0CD"/>
            </w:tcBorders>
            <w:shd w:val="clear" w:color="auto" w:fill="0070C0"/>
            <w:vAlign w:val="center"/>
            <w:hideMark/>
          </w:tcPr>
          <w:p w14:paraId="541C27A2" w14:textId="77777777" w:rsidR="001B357A" w:rsidRPr="00117BF8" w:rsidRDefault="001B357A" w:rsidP="00EA1F56">
            <w:pPr>
              <w:pStyle w:val="TablaE"/>
              <w:rPr>
                <w:rFonts w:ascii="Arial" w:hAnsi="Arial" w:cs="Arial"/>
                <w:bCs/>
                <w:sz w:val="22"/>
                <w:szCs w:val="22"/>
                <w:lang w:val="es-AR" w:eastAsia="es-AR"/>
              </w:rPr>
            </w:pPr>
            <w:r w:rsidRPr="00117BF8">
              <w:rPr>
                <w:rFonts w:ascii="Arial" w:hAnsi="Arial" w:cs="Arial"/>
                <w:bCs/>
                <w:sz w:val="22"/>
                <w:szCs w:val="22"/>
                <w:lang w:val="es-AR" w:eastAsia="es-AR"/>
              </w:rPr>
              <w:t>Finalidad/Función</w:t>
            </w:r>
          </w:p>
        </w:tc>
        <w:tc>
          <w:tcPr>
            <w:tcW w:w="1120" w:type="dxa"/>
            <w:tcBorders>
              <w:top w:val="nil"/>
              <w:left w:val="single" w:sz="8" w:space="0" w:color="7BA0CD"/>
              <w:bottom w:val="nil"/>
              <w:right w:val="single" w:sz="8" w:space="0" w:color="7BA0CD"/>
            </w:tcBorders>
            <w:shd w:val="clear" w:color="auto" w:fill="0070C0"/>
            <w:vAlign w:val="center"/>
            <w:hideMark/>
          </w:tcPr>
          <w:p w14:paraId="57294997" w14:textId="77777777" w:rsidR="001B357A" w:rsidRPr="00117BF8" w:rsidRDefault="001B357A" w:rsidP="00EA1F56">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120" w:type="dxa"/>
            <w:tcBorders>
              <w:top w:val="nil"/>
              <w:left w:val="single" w:sz="8" w:space="0" w:color="7BA0CD"/>
              <w:bottom w:val="nil"/>
              <w:right w:val="single" w:sz="8" w:space="0" w:color="7BA0CD"/>
            </w:tcBorders>
            <w:shd w:val="clear" w:color="auto" w:fill="0070C0"/>
            <w:vAlign w:val="center"/>
            <w:hideMark/>
          </w:tcPr>
          <w:p w14:paraId="65F91A97" w14:textId="77777777" w:rsidR="001B357A" w:rsidRPr="00117BF8" w:rsidRDefault="001B357A" w:rsidP="00EA1F56">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c>
          <w:tcPr>
            <w:tcW w:w="1120" w:type="dxa"/>
            <w:tcBorders>
              <w:top w:val="nil"/>
              <w:left w:val="single" w:sz="8" w:space="0" w:color="7BA0CD"/>
              <w:bottom w:val="nil"/>
              <w:right w:val="single" w:sz="8" w:space="0" w:color="7BA0CD"/>
            </w:tcBorders>
            <w:shd w:val="clear" w:color="auto" w:fill="0070C0"/>
            <w:vAlign w:val="center"/>
            <w:hideMark/>
          </w:tcPr>
          <w:p w14:paraId="207E12E9" w14:textId="77777777" w:rsidR="001B357A" w:rsidRPr="00117BF8" w:rsidRDefault="001B357A" w:rsidP="00EA1F56">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120" w:type="dxa"/>
            <w:tcBorders>
              <w:top w:val="nil"/>
              <w:left w:val="single" w:sz="8" w:space="0" w:color="7BA0CD"/>
              <w:bottom w:val="nil"/>
            </w:tcBorders>
            <w:shd w:val="clear" w:color="auto" w:fill="0070C0"/>
            <w:vAlign w:val="center"/>
            <w:hideMark/>
          </w:tcPr>
          <w:p w14:paraId="1FA83862" w14:textId="77777777" w:rsidR="001B357A" w:rsidRPr="00117BF8" w:rsidRDefault="001B357A" w:rsidP="00EA1F56">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r>
      <w:tr w:rsidR="001B357A" w:rsidRPr="00593C9A" w14:paraId="7DE69D42" w14:textId="77777777" w:rsidTr="00FD20E8">
        <w:trPr>
          <w:trHeight w:val="300"/>
        </w:trPr>
        <w:tc>
          <w:tcPr>
            <w:tcW w:w="3440" w:type="dxa"/>
            <w:tcBorders>
              <w:top w:val="nil"/>
              <w:bottom w:val="nil"/>
              <w:right w:val="single" w:sz="8" w:space="0" w:color="7BA0CD"/>
            </w:tcBorders>
            <w:shd w:val="clear" w:color="auto" w:fill="auto"/>
            <w:vAlign w:val="center"/>
            <w:hideMark/>
          </w:tcPr>
          <w:p w14:paraId="5A4BB27C"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Legislativa</w:t>
            </w:r>
          </w:p>
        </w:tc>
        <w:tc>
          <w:tcPr>
            <w:tcW w:w="1120" w:type="dxa"/>
            <w:tcBorders>
              <w:top w:val="nil"/>
              <w:left w:val="single" w:sz="8" w:space="0" w:color="7BA0CD"/>
              <w:bottom w:val="nil"/>
              <w:right w:val="single" w:sz="8" w:space="0" w:color="7BA0CD"/>
            </w:tcBorders>
            <w:shd w:val="clear" w:color="auto" w:fill="auto"/>
            <w:vAlign w:val="center"/>
            <w:hideMark/>
          </w:tcPr>
          <w:p w14:paraId="250B3835"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2.993</w:t>
            </w:r>
          </w:p>
        </w:tc>
        <w:tc>
          <w:tcPr>
            <w:tcW w:w="1120" w:type="dxa"/>
            <w:tcBorders>
              <w:top w:val="nil"/>
              <w:left w:val="single" w:sz="8" w:space="0" w:color="7BA0CD"/>
              <w:bottom w:val="nil"/>
              <w:right w:val="single" w:sz="8" w:space="0" w:color="7BA0CD"/>
            </w:tcBorders>
            <w:shd w:val="clear" w:color="auto" w:fill="auto"/>
            <w:vAlign w:val="center"/>
            <w:hideMark/>
          </w:tcPr>
          <w:p w14:paraId="3A78181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4.034</w:t>
            </w:r>
          </w:p>
        </w:tc>
        <w:tc>
          <w:tcPr>
            <w:tcW w:w="1120" w:type="dxa"/>
            <w:tcBorders>
              <w:top w:val="nil"/>
              <w:left w:val="single" w:sz="8" w:space="0" w:color="7BA0CD"/>
              <w:bottom w:val="nil"/>
              <w:right w:val="single" w:sz="8" w:space="0" w:color="7BA0CD"/>
            </w:tcBorders>
            <w:shd w:val="clear" w:color="auto" w:fill="auto"/>
            <w:vAlign w:val="center"/>
            <w:hideMark/>
          </w:tcPr>
          <w:p w14:paraId="2C40946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328</w:t>
            </w:r>
          </w:p>
        </w:tc>
        <w:tc>
          <w:tcPr>
            <w:tcW w:w="1120" w:type="dxa"/>
            <w:tcBorders>
              <w:top w:val="nil"/>
              <w:left w:val="single" w:sz="8" w:space="0" w:color="7BA0CD"/>
              <w:bottom w:val="nil"/>
            </w:tcBorders>
            <w:shd w:val="clear" w:color="auto" w:fill="auto"/>
            <w:vAlign w:val="center"/>
            <w:hideMark/>
          </w:tcPr>
          <w:p w14:paraId="448A04CA"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526</w:t>
            </w:r>
          </w:p>
        </w:tc>
      </w:tr>
      <w:tr w:rsidR="001B357A" w:rsidRPr="00593C9A" w14:paraId="246F4D83" w14:textId="77777777" w:rsidTr="00FD20E8">
        <w:trPr>
          <w:trHeight w:val="300"/>
        </w:trPr>
        <w:tc>
          <w:tcPr>
            <w:tcW w:w="3440" w:type="dxa"/>
            <w:tcBorders>
              <w:top w:val="nil"/>
              <w:bottom w:val="nil"/>
              <w:right w:val="single" w:sz="8" w:space="0" w:color="7BA0CD"/>
            </w:tcBorders>
            <w:shd w:val="clear" w:color="auto" w:fill="auto"/>
            <w:vAlign w:val="center"/>
            <w:hideMark/>
          </w:tcPr>
          <w:p w14:paraId="132BF20D"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Judicial</w:t>
            </w:r>
          </w:p>
        </w:tc>
        <w:tc>
          <w:tcPr>
            <w:tcW w:w="1120" w:type="dxa"/>
            <w:tcBorders>
              <w:top w:val="nil"/>
              <w:left w:val="single" w:sz="8" w:space="0" w:color="7BA0CD"/>
              <w:bottom w:val="nil"/>
              <w:right w:val="single" w:sz="8" w:space="0" w:color="7BA0CD"/>
            </w:tcBorders>
            <w:shd w:val="clear" w:color="auto" w:fill="auto"/>
            <w:vAlign w:val="center"/>
            <w:hideMark/>
          </w:tcPr>
          <w:p w14:paraId="17F1A6F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13.080</w:t>
            </w:r>
          </w:p>
        </w:tc>
        <w:tc>
          <w:tcPr>
            <w:tcW w:w="1120" w:type="dxa"/>
            <w:tcBorders>
              <w:top w:val="nil"/>
              <w:left w:val="single" w:sz="8" w:space="0" w:color="7BA0CD"/>
              <w:bottom w:val="nil"/>
              <w:right w:val="single" w:sz="8" w:space="0" w:color="7BA0CD"/>
            </w:tcBorders>
            <w:shd w:val="clear" w:color="auto" w:fill="auto"/>
            <w:vAlign w:val="center"/>
            <w:hideMark/>
          </w:tcPr>
          <w:p w14:paraId="2C9F9EE3"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18.141</w:t>
            </w:r>
          </w:p>
        </w:tc>
        <w:tc>
          <w:tcPr>
            <w:tcW w:w="1120" w:type="dxa"/>
            <w:tcBorders>
              <w:top w:val="nil"/>
              <w:left w:val="single" w:sz="8" w:space="0" w:color="7BA0CD"/>
              <w:bottom w:val="nil"/>
              <w:right w:val="single" w:sz="8" w:space="0" w:color="7BA0CD"/>
            </w:tcBorders>
            <w:shd w:val="clear" w:color="auto" w:fill="auto"/>
            <w:vAlign w:val="center"/>
            <w:hideMark/>
          </w:tcPr>
          <w:p w14:paraId="029F2AAF"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53</w:t>
            </w:r>
          </w:p>
        </w:tc>
        <w:tc>
          <w:tcPr>
            <w:tcW w:w="1120" w:type="dxa"/>
            <w:tcBorders>
              <w:top w:val="nil"/>
              <w:left w:val="single" w:sz="8" w:space="0" w:color="7BA0CD"/>
              <w:bottom w:val="nil"/>
            </w:tcBorders>
            <w:shd w:val="clear" w:color="auto" w:fill="auto"/>
            <w:vAlign w:val="center"/>
            <w:hideMark/>
          </w:tcPr>
          <w:p w14:paraId="2F35223D"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65</w:t>
            </w:r>
          </w:p>
        </w:tc>
      </w:tr>
      <w:tr w:rsidR="001B357A" w:rsidRPr="00593C9A" w14:paraId="70EE1134" w14:textId="77777777" w:rsidTr="00FD20E8">
        <w:trPr>
          <w:trHeight w:val="300"/>
        </w:trPr>
        <w:tc>
          <w:tcPr>
            <w:tcW w:w="3440" w:type="dxa"/>
            <w:tcBorders>
              <w:top w:val="nil"/>
              <w:bottom w:val="nil"/>
              <w:right w:val="single" w:sz="8" w:space="0" w:color="7BA0CD"/>
            </w:tcBorders>
            <w:shd w:val="clear" w:color="auto" w:fill="auto"/>
            <w:vAlign w:val="center"/>
            <w:hideMark/>
          </w:tcPr>
          <w:p w14:paraId="5CFD72C7"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Dcción, Superior Ejecutiva</w:t>
            </w:r>
          </w:p>
        </w:tc>
        <w:tc>
          <w:tcPr>
            <w:tcW w:w="1120" w:type="dxa"/>
            <w:tcBorders>
              <w:top w:val="nil"/>
              <w:left w:val="single" w:sz="8" w:space="0" w:color="7BA0CD"/>
              <w:bottom w:val="nil"/>
              <w:right w:val="single" w:sz="8" w:space="0" w:color="7BA0CD"/>
            </w:tcBorders>
            <w:shd w:val="clear" w:color="auto" w:fill="auto"/>
            <w:vAlign w:val="center"/>
            <w:hideMark/>
          </w:tcPr>
          <w:p w14:paraId="0229347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894</w:t>
            </w:r>
          </w:p>
        </w:tc>
        <w:tc>
          <w:tcPr>
            <w:tcW w:w="1120" w:type="dxa"/>
            <w:tcBorders>
              <w:top w:val="nil"/>
              <w:left w:val="single" w:sz="8" w:space="0" w:color="7BA0CD"/>
              <w:bottom w:val="nil"/>
              <w:right w:val="single" w:sz="8" w:space="0" w:color="7BA0CD"/>
            </w:tcBorders>
            <w:shd w:val="clear" w:color="auto" w:fill="auto"/>
            <w:vAlign w:val="center"/>
            <w:hideMark/>
          </w:tcPr>
          <w:p w14:paraId="01CF13A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1.465</w:t>
            </w:r>
          </w:p>
        </w:tc>
        <w:tc>
          <w:tcPr>
            <w:tcW w:w="1120" w:type="dxa"/>
            <w:tcBorders>
              <w:top w:val="nil"/>
              <w:left w:val="single" w:sz="8" w:space="0" w:color="7BA0CD"/>
              <w:bottom w:val="nil"/>
              <w:right w:val="single" w:sz="8" w:space="0" w:color="7BA0CD"/>
            </w:tcBorders>
            <w:shd w:val="clear" w:color="auto" w:fill="auto"/>
            <w:vAlign w:val="center"/>
            <w:hideMark/>
          </w:tcPr>
          <w:p w14:paraId="00318D4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859</w:t>
            </w:r>
          </w:p>
        </w:tc>
        <w:tc>
          <w:tcPr>
            <w:tcW w:w="1120" w:type="dxa"/>
            <w:tcBorders>
              <w:top w:val="nil"/>
              <w:left w:val="single" w:sz="8" w:space="0" w:color="7BA0CD"/>
              <w:bottom w:val="nil"/>
            </w:tcBorders>
            <w:shd w:val="clear" w:color="auto" w:fill="auto"/>
            <w:vAlign w:val="center"/>
            <w:hideMark/>
          </w:tcPr>
          <w:p w14:paraId="08063363"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1.533</w:t>
            </w:r>
          </w:p>
        </w:tc>
      </w:tr>
      <w:tr w:rsidR="001B357A" w:rsidRPr="00593C9A" w14:paraId="1B0BA372" w14:textId="77777777" w:rsidTr="00FD20E8">
        <w:trPr>
          <w:trHeight w:val="300"/>
        </w:trPr>
        <w:tc>
          <w:tcPr>
            <w:tcW w:w="3440" w:type="dxa"/>
            <w:tcBorders>
              <w:top w:val="nil"/>
              <w:bottom w:val="nil"/>
              <w:right w:val="single" w:sz="8" w:space="0" w:color="7BA0CD"/>
            </w:tcBorders>
            <w:shd w:val="clear" w:color="auto" w:fill="auto"/>
            <w:vAlign w:val="center"/>
            <w:hideMark/>
          </w:tcPr>
          <w:p w14:paraId="7816E7C6"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Relaciones Interiores</w:t>
            </w:r>
          </w:p>
        </w:tc>
        <w:tc>
          <w:tcPr>
            <w:tcW w:w="1120" w:type="dxa"/>
            <w:tcBorders>
              <w:top w:val="nil"/>
              <w:left w:val="single" w:sz="8" w:space="0" w:color="7BA0CD"/>
              <w:bottom w:val="nil"/>
              <w:right w:val="single" w:sz="8" w:space="0" w:color="7BA0CD"/>
            </w:tcBorders>
            <w:shd w:val="clear" w:color="auto" w:fill="auto"/>
            <w:vAlign w:val="center"/>
            <w:hideMark/>
          </w:tcPr>
          <w:p w14:paraId="21C696AF"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65</w:t>
            </w:r>
          </w:p>
        </w:tc>
        <w:tc>
          <w:tcPr>
            <w:tcW w:w="1120" w:type="dxa"/>
            <w:tcBorders>
              <w:top w:val="nil"/>
              <w:left w:val="single" w:sz="8" w:space="0" w:color="7BA0CD"/>
              <w:bottom w:val="nil"/>
              <w:right w:val="single" w:sz="8" w:space="0" w:color="7BA0CD"/>
            </w:tcBorders>
            <w:shd w:val="clear" w:color="auto" w:fill="auto"/>
            <w:vAlign w:val="center"/>
            <w:hideMark/>
          </w:tcPr>
          <w:p w14:paraId="5A8F85DF"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278</w:t>
            </w:r>
          </w:p>
        </w:tc>
        <w:tc>
          <w:tcPr>
            <w:tcW w:w="1120" w:type="dxa"/>
            <w:tcBorders>
              <w:top w:val="nil"/>
              <w:left w:val="single" w:sz="8" w:space="0" w:color="7BA0CD"/>
              <w:bottom w:val="nil"/>
              <w:right w:val="single" w:sz="8" w:space="0" w:color="7BA0CD"/>
            </w:tcBorders>
            <w:shd w:val="clear" w:color="auto" w:fill="auto"/>
            <w:vAlign w:val="center"/>
            <w:hideMark/>
          </w:tcPr>
          <w:p w14:paraId="4F0FB51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33.057</w:t>
            </w:r>
          </w:p>
        </w:tc>
        <w:tc>
          <w:tcPr>
            <w:tcW w:w="1120" w:type="dxa"/>
            <w:tcBorders>
              <w:top w:val="nil"/>
              <w:left w:val="single" w:sz="8" w:space="0" w:color="7BA0CD"/>
              <w:bottom w:val="nil"/>
            </w:tcBorders>
            <w:shd w:val="clear" w:color="auto" w:fill="auto"/>
            <w:vAlign w:val="center"/>
            <w:hideMark/>
          </w:tcPr>
          <w:p w14:paraId="28A347F1"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53.906</w:t>
            </w:r>
          </w:p>
        </w:tc>
      </w:tr>
      <w:tr w:rsidR="001B357A" w:rsidRPr="00593C9A" w14:paraId="7B644438" w14:textId="77777777" w:rsidTr="00FD20E8">
        <w:trPr>
          <w:trHeight w:val="300"/>
        </w:trPr>
        <w:tc>
          <w:tcPr>
            <w:tcW w:w="3440" w:type="dxa"/>
            <w:tcBorders>
              <w:top w:val="nil"/>
              <w:bottom w:val="nil"/>
              <w:right w:val="single" w:sz="8" w:space="0" w:color="7BA0CD"/>
            </w:tcBorders>
            <w:shd w:val="clear" w:color="auto" w:fill="auto"/>
            <w:vAlign w:val="center"/>
            <w:hideMark/>
          </w:tcPr>
          <w:p w14:paraId="288A1D6A"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Adm, Financiera</w:t>
            </w:r>
          </w:p>
        </w:tc>
        <w:tc>
          <w:tcPr>
            <w:tcW w:w="1120" w:type="dxa"/>
            <w:tcBorders>
              <w:top w:val="nil"/>
              <w:left w:val="single" w:sz="8" w:space="0" w:color="7BA0CD"/>
              <w:bottom w:val="nil"/>
              <w:right w:val="single" w:sz="8" w:space="0" w:color="7BA0CD"/>
            </w:tcBorders>
            <w:shd w:val="clear" w:color="auto" w:fill="auto"/>
            <w:vAlign w:val="center"/>
            <w:hideMark/>
          </w:tcPr>
          <w:p w14:paraId="55972C8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2.350</w:t>
            </w:r>
          </w:p>
        </w:tc>
        <w:tc>
          <w:tcPr>
            <w:tcW w:w="1120" w:type="dxa"/>
            <w:tcBorders>
              <w:top w:val="nil"/>
              <w:left w:val="single" w:sz="8" w:space="0" w:color="7BA0CD"/>
              <w:bottom w:val="nil"/>
              <w:right w:val="single" w:sz="8" w:space="0" w:color="7BA0CD"/>
            </w:tcBorders>
            <w:shd w:val="clear" w:color="auto" w:fill="auto"/>
            <w:vAlign w:val="center"/>
            <w:hideMark/>
          </w:tcPr>
          <w:p w14:paraId="2394C3D0"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3.133</w:t>
            </w:r>
          </w:p>
        </w:tc>
        <w:tc>
          <w:tcPr>
            <w:tcW w:w="1120" w:type="dxa"/>
            <w:tcBorders>
              <w:top w:val="nil"/>
              <w:left w:val="single" w:sz="8" w:space="0" w:color="7BA0CD"/>
              <w:bottom w:val="nil"/>
              <w:right w:val="single" w:sz="8" w:space="0" w:color="7BA0CD"/>
            </w:tcBorders>
            <w:shd w:val="clear" w:color="auto" w:fill="auto"/>
            <w:vAlign w:val="center"/>
            <w:hideMark/>
          </w:tcPr>
          <w:p w14:paraId="1D28CAF2"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57</w:t>
            </w:r>
          </w:p>
        </w:tc>
        <w:tc>
          <w:tcPr>
            <w:tcW w:w="1120" w:type="dxa"/>
            <w:tcBorders>
              <w:top w:val="nil"/>
              <w:left w:val="single" w:sz="8" w:space="0" w:color="7BA0CD"/>
              <w:bottom w:val="nil"/>
            </w:tcBorders>
            <w:shd w:val="clear" w:color="auto" w:fill="auto"/>
            <w:vAlign w:val="center"/>
            <w:hideMark/>
          </w:tcPr>
          <w:p w14:paraId="40FE6B39"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144</w:t>
            </w:r>
          </w:p>
        </w:tc>
      </w:tr>
      <w:tr w:rsidR="001B357A" w:rsidRPr="00593C9A" w14:paraId="3199D98C" w14:textId="77777777" w:rsidTr="00FD20E8">
        <w:trPr>
          <w:trHeight w:val="300"/>
        </w:trPr>
        <w:tc>
          <w:tcPr>
            <w:tcW w:w="3440" w:type="dxa"/>
            <w:tcBorders>
              <w:top w:val="nil"/>
              <w:bottom w:val="nil"/>
              <w:right w:val="single" w:sz="8" w:space="0" w:color="7BA0CD"/>
            </w:tcBorders>
            <w:shd w:val="clear" w:color="auto" w:fill="auto"/>
            <w:vAlign w:val="center"/>
            <w:hideMark/>
          </w:tcPr>
          <w:p w14:paraId="509A025E" w14:textId="77777777" w:rsidR="001B357A" w:rsidRPr="00117BF8" w:rsidRDefault="001B357A" w:rsidP="001B357A">
            <w:pPr>
              <w:pStyle w:val="TablaC"/>
              <w:jc w:val="left"/>
              <w:rPr>
                <w:rFonts w:ascii="Arial" w:hAnsi="Arial" w:cs="Arial"/>
                <w:sz w:val="18"/>
                <w:szCs w:val="18"/>
                <w:lang w:val="es-ES_tradnl"/>
              </w:rPr>
            </w:pPr>
            <w:r w:rsidRPr="00117BF8">
              <w:rPr>
                <w:rFonts w:ascii="Arial" w:hAnsi="Arial" w:cs="Arial"/>
                <w:sz w:val="18"/>
                <w:szCs w:val="18"/>
                <w:lang w:val="es-ES_tradnl"/>
              </w:rPr>
              <w:t>Control de la Gestión Pública</w:t>
            </w:r>
          </w:p>
        </w:tc>
        <w:tc>
          <w:tcPr>
            <w:tcW w:w="1120" w:type="dxa"/>
            <w:tcBorders>
              <w:top w:val="nil"/>
              <w:left w:val="single" w:sz="8" w:space="0" w:color="7BA0CD"/>
              <w:bottom w:val="nil"/>
              <w:right w:val="single" w:sz="8" w:space="0" w:color="7BA0CD"/>
            </w:tcBorders>
            <w:shd w:val="clear" w:color="auto" w:fill="auto"/>
            <w:vAlign w:val="center"/>
            <w:hideMark/>
          </w:tcPr>
          <w:p w14:paraId="3F59AAE3"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798</w:t>
            </w:r>
          </w:p>
        </w:tc>
        <w:tc>
          <w:tcPr>
            <w:tcW w:w="1120" w:type="dxa"/>
            <w:tcBorders>
              <w:top w:val="nil"/>
              <w:left w:val="single" w:sz="8" w:space="0" w:color="7BA0CD"/>
              <w:bottom w:val="nil"/>
              <w:right w:val="single" w:sz="8" w:space="0" w:color="7BA0CD"/>
            </w:tcBorders>
            <w:shd w:val="clear" w:color="auto" w:fill="auto"/>
            <w:vAlign w:val="center"/>
            <w:hideMark/>
          </w:tcPr>
          <w:p w14:paraId="6DFD9F0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1.103</w:t>
            </w:r>
          </w:p>
        </w:tc>
        <w:tc>
          <w:tcPr>
            <w:tcW w:w="1120" w:type="dxa"/>
            <w:tcBorders>
              <w:top w:val="nil"/>
              <w:left w:val="single" w:sz="8" w:space="0" w:color="7BA0CD"/>
              <w:bottom w:val="nil"/>
              <w:right w:val="single" w:sz="8" w:space="0" w:color="7BA0CD"/>
            </w:tcBorders>
            <w:shd w:val="clear" w:color="auto" w:fill="auto"/>
            <w:vAlign w:val="center"/>
            <w:hideMark/>
          </w:tcPr>
          <w:p w14:paraId="35CAC435"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c>
          <w:tcPr>
            <w:tcW w:w="1120" w:type="dxa"/>
            <w:tcBorders>
              <w:top w:val="nil"/>
              <w:left w:val="single" w:sz="8" w:space="0" w:color="7BA0CD"/>
              <w:bottom w:val="nil"/>
            </w:tcBorders>
            <w:shd w:val="clear" w:color="auto" w:fill="auto"/>
            <w:vAlign w:val="center"/>
            <w:hideMark/>
          </w:tcPr>
          <w:p w14:paraId="3ED5F80D"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r>
      <w:tr w:rsidR="001B357A" w:rsidRPr="00593C9A" w14:paraId="660DA402" w14:textId="77777777" w:rsidTr="00FD20E8">
        <w:trPr>
          <w:trHeight w:val="300"/>
        </w:trPr>
        <w:tc>
          <w:tcPr>
            <w:tcW w:w="3440" w:type="dxa"/>
            <w:tcBorders>
              <w:top w:val="nil"/>
              <w:bottom w:val="nil"/>
              <w:right w:val="single" w:sz="8" w:space="0" w:color="7BA0CD"/>
            </w:tcBorders>
            <w:shd w:val="clear" w:color="auto" w:fill="auto"/>
            <w:vAlign w:val="center"/>
            <w:hideMark/>
          </w:tcPr>
          <w:p w14:paraId="763BACFE"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Información y Estadística Básica</w:t>
            </w:r>
          </w:p>
        </w:tc>
        <w:tc>
          <w:tcPr>
            <w:tcW w:w="1120" w:type="dxa"/>
            <w:tcBorders>
              <w:top w:val="nil"/>
              <w:left w:val="single" w:sz="8" w:space="0" w:color="7BA0CD"/>
              <w:bottom w:val="nil"/>
              <w:right w:val="single" w:sz="8" w:space="0" w:color="7BA0CD"/>
            </w:tcBorders>
            <w:shd w:val="clear" w:color="auto" w:fill="auto"/>
            <w:vAlign w:val="center"/>
            <w:hideMark/>
          </w:tcPr>
          <w:p w14:paraId="6A688402"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514</w:t>
            </w:r>
          </w:p>
        </w:tc>
        <w:tc>
          <w:tcPr>
            <w:tcW w:w="1120" w:type="dxa"/>
            <w:tcBorders>
              <w:top w:val="nil"/>
              <w:left w:val="single" w:sz="8" w:space="0" w:color="7BA0CD"/>
              <w:bottom w:val="nil"/>
              <w:right w:val="single" w:sz="8" w:space="0" w:color="7BA0CD"/>
            </w:tcBorders>
            <w:shd w:val="clear" w:color="auto" w:fill="auto"/>
            <w:vAlign w:val="center"/>
            <w:hideMark/>
          </w:tcPr>
          <w:p w14:paraId="469D24C1"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586</w:t>
            </w:r>
          </w:p>
        </w:tc>
        <w:tc>
          <w:tcPr>
            <w:tcW w:w="1120" w:type="dxa"/>
            <w:tcBorders>
              <w:top w:val="nil"/>
              <w:left w:val="single" w:sz="8" w:space="0" w:color="7BA0CD"/>
              <w:bottom w:val="nil"/>
              <w:right w:val="single" w:sz="8" w:space="0" w:color="7BA0CD"/>
            </w:tcBorders>
            <w:shd w:val="clear" w:color="auto" w:fill="auto"/>
            <w:vAlign w:val="center"/>
            <w:hideMark/>
          </w:tcPr>
          <w:p w14:paraId="1597ECC3"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c>
          <w:tcPr>
            <w:tcW w:w="1120" w:type="dxa"/>
            <w:tcBorders>
              <w:top w:val="nil"/>
              <w:left w:val="single" w:sz="8" w:space="0" w:color="7BA0CD"/>
              <w:bottom w:val="nil"/>
            </w:tcBorders>
            <w:shd w:val="clear" w:color="auto" w:fill="auto"/>
            <w:vAlign w:val="center"/>
            <w:hideMark/>
          </w:tcPr>
          <w:p w14:paraId="0062B6D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r>
      <w:tr w:rsidR="001B357A" w:rsidRPr="00593C9A" w14:paraId="3E44D6BE" w14:textId="77777777" w:rsidTr="00FD20E8">
        <w:trPr>
          <w:trHeight w:val="450"/>
        </w:trPr>
        <w:tc>
          <w:tcPr>
            <w:tcW w:w="3440" w:type="dxa"/>
            <w:tcBorders>
              <w:top w:val="nil"/>
              <w:bottom w:val="nil"/>
              <w:right w:val="single" w:sz="8" w:space="0" w:color="7BA0CD"/>
            </w:tcBorders>
            <w:shd w:val="clear" w:color="auto" w:fill="auto"/>
            <w:vAlign w:val="center"/>
            <w:hideMark/>
          </w:tcPr>
          <w:p w14:paraId="3459C043" w14:textId="77777777" w:rsidR="001B357A" w:rsidRPr="00117BF8" w:rsidRDefault="001B357A" w:rsidP="001B357A">
            <w:pPr>
              <w:pStyle w:val="TablaC"/>
              <w:jc w:val="left"/>
              <w:rPr>
                <w:rFonts w:ascii="Arial" w:hAnsi="Arial" w:cs="Arial"/>
                <w:b/>
                <w:bCs/>
                <w:sz w:val="18"/>
                <w:szCs w:val="18"/>
              </w:rPr>
            </w:pPr>
            <w:r w:rsidRPr="00117BF8">
              <w:rPr>
                <w:rFonts w:ascii="Arial" w:hAnsi="Arial" w:cs="Arial"/>
                <w:b/>
                <w:bCs/>
                <w:sz w:val="18"/>
                <w:szCs w:val="18"/>
              </w:rPr>
              <w:t>TOTAL - Administración Gubernamental</w:t>
            </w:r>
          </w:p>
        </w:tc>
        <w:tc>
          <w:tcPr>
            <w:tcW w:w="1120" w:type="dxa"/>
            <w:tcBorders>
              <w:top w:val="nil"/>
              <w:left w:val="single" w:sz="8" w:space="0" w:color="7BA0CD"/>
              <w:bottom w:val="nil"/>
              <w:right w:val="single" w:sz="8" w:space="0" w:color="7BA0CD"/>
            </w:tcBorders>
            <w:shd w:val="clear" w:color="auto" w:fill="auto"/>
            <w:vAlign w:val="center"/>
            <w:hideMark/>
          </w:tcPr>
          <w:p w14:paraId="7231A2E7"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20.694</w:t>
            </w:r>
          </w:p>
        </w:tc>
        <w:tc>
          <w:tcPr>
            <w:tcW w:w="1120" w:type="dxa"/>
            <w:tcBorders>
              <w:top w:val="nil"/>
              <w:left w:val="single" w:sz="8" w:space="0" w:color="7BA0CD"/>
              <w:bottom w:val="nil"/>
              <w:right w:val="single" w:sz="8" w:space="0" w:color="7BA0CD"/>
            </w:tcBorders>
            <w:shd w:val="clear" w:color="auto" w:fill="auto"/>
            <w:vAlign w:val="center"/>
            <w:hideMark/>
          </w:tcPr>
          <w:p w14:paraId="75436C94"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28.740</w:t>
            </w:r>
          </w:p>
        </w:tc>
        <w:tc>
          <w:tcPr>
            <w:tcW w:w="1120" w:type="dxa"/>
            <w:tcBorders>
              <w:top w:val="nil"/>
              <w:left w:val="single" w:sz="8" w:space="0" w:color="7BA0CD"/>
              <w:bottom w:val="nil"/>
              <w:right w:val="single" w:sz="8" w:space="0" w:color="7BA0CD"/>
            </w:tcBorders>
            <w:shd w:val="clear" w:color="auto" w:fill="auto"/>
            <w:vAlign w:val="center"/>
            <w:hideMark/>
          </w:tcPr>
          <w:p w14:paraId="36A962ED"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34.353</w:t>
            </w:r>
          </w:p>
        </w:tc>
        <w:tc>
          <w:tcPr>
            <w:tcW w:w="1120" w:type="dxa"/>
            <w:tcBorders>
              <w:top w:val="nil"/>
              <w:left w:val="single" w:sz="8" w:space="0" w:color="7BA0CD"/>
              <w:bottom w:val="nil"/>
            </w:tcBorders>
            <w:shd w:val="clear" w:color="auto" w:fill="auto"/>
            <w:vAlign w:val="center"/>
            <w:hideMark/>
          </w:tcPr>
          <w:p w14:paraId="1B44ED00"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56.174</w:t>
            </w:r>
          </w:p>
        </w:tc>
      </w:tr>
      <w:tr w:rsidR="001B357A" w:rsidRPr="00593C9A" w14:paraId="6D09FFC4" w14:textId="77777777" w:rsidTr="00FD20E8">
        <w:trPr>
          <w:trHeight w:val="300"/>
        </w:trPr>
        <w:tc>
          <w:tcPr>
            <w:tcW w:w="3440" w:type="dxa"/>
            <w:tcBorders>
              <w:top w:val="nil"/>
              <w:bottom w:val="nil"/>
              <w:right w:val="single" w:sz="8" w:space="0" w:color="7BA0CD"/>
            </w:tcBorders>
            <w:shd w:val="clear" w:color="auto" w:fill="auto"/>
            <w:vAlign w:val="center"/>
            <w:hideMark/>
          </w:tcPr>
          <w:p w14:paraId="71EF0446"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Seguridad</w:t>
            </w:r>
          </w:p>
        </w:tc>
        <w:tc>
          <w:tcPr>
            <w:tcW w:w="1120" w:type="dxa"/>
            <w:tcBorders>
              <w:top w:val="nil"/>
              <w:left w:val="single" w:sz="8" w:space="0" w:color="7BA0CD"/>
              <w:bottom w:val="nil"/>
              <w:right w:val="single" w:sz="8" w:space="0" w:color="7BA0CD"/>
            </w:tcBorders>
            <w:shd w:val="clear" w:color="auto" w:fill="auto"/>
            <w:vAlign w:val="center"/>
            <w:hideMark/>
          </w:tcPr>
          <w:p w14:paraId="7983D5AE"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26.452</w:t>
            </w:r>
          </w:p>
        </w:tc>
        <w:tc>
          <w:tcPr>
            <w:tcW w:w="1120" w:type="dxa"/>
            <w:tcBorders>
              <w:top w:val="nil"/>
              <w:left w:val="single" w:sz="8" w:space="0" w:color="7BA0CD"/>
              <w:bottom w:val="nil"/>
              <w:right w:val="single" w:sz="8" w:space="0" w:color="7BA0CD"/>
            </w:tcBorders>
            <w:shd w:val="clear" w:color="auto" w:fill="auto"/>
            <w:vAlign w:val="center"/>
            <w:hideMark/>
          </w:tcPr>
          <w:p w14:paraId="51A975E9"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37.299</w:t>
            </w:r>
          </w:p>
        </w:tc>
        <w:tc>
          <w:tcPr>
            <w:tcW w:w="1120" w:type="dxa"/>
            <w:tcBorders>
              <w:top w:val="nil"/>
              <w:left w:val="single" w:sz="8" w:space="0" w:color="7BA0CD"/>
              <w:bottom w:val="nil"/>
              <w:right w:val="single" w:sz="8" w:space="0" w:color="7BA0CD"/>
            </w:tcBorders>
            <w:shd w:val="clear" w:color="auto" w:fill="auto"/>
            <w:vAlign w:val="center"/>
            <w:hideMark/>
          </w:tcPr>
          <w:p w14:paraId="6D1D55AA"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188</w:t>
            </w:r>
          </w:p>
        </w:tc>
        <w:tc>
          <w:tcPr>
            <w:tcW w:w="1120" w:type="dxa"/>
            <w:tcBorders>
              <w:top w:val="nil"/>
              <w:left w:val="single" w:sz="8" w:space="0" w:color="7BA0CD"/>
              <w:bottom w:val="nil"/>
            </w:tcBorders>
            <w:shd w:val="clear" w:color="auto" w:fill="auto"/>
            <w:vAlign w:val="center"/>
            <w:hideMark/>
          </w:tcPr>
          <w:p w14:paraId="196C5BC9"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188</w:t>
            </w:r>
          </w:p>
        </w:tc>
      </w:tr>
      <w:tr w:rsidR="001B357A" w:rsidRPr="00593C9A" w14:paraId="5A89FE91" w14:textId="77777777" w:rsidTr="00FD20E8">
        <w:trPr>
          <w:trHeight w:val="300"/>
        </w:trPr>
        <w:tc>
          <w:tcPr>
            <w:tcW w:w="3440" w:type="dxa"/>
            <w:tcBorders>
              <w:top w:val="nil"/>
              <w:bottom w:val="nil"/>
              <w:right w:val="single" w:sz="8" w:space="0" w:color="7BA0CD"/>
            </w:tcBorders>
            <w:shd w:val="clear" w:color="auto" w:fill="auto"/>
            <w:vAlign w:val="center"/>
            <w:hideMark/>
          </w:tcPr>
          <w:p w14:paraId="33A5E290" w14:textId="77777777" w:rsidR="001B357A" w:rsidRPr="00117BF8" w:rsidRDefault="00280473" w:rsidP="001B357A">
            <w:pPr>
              <w:pStyle w:val="TablaC"/>
              <w:jc w:val="left"/>
              <w:rPr>
                <w:rFonts w:ascii="Arial" w:hAnsi="Arial" w:cs="Arial"/>
                <w:sz w:val="18"/>
                <w:szCs w:val="18"/>
              </w:rPr>
            </w:pPr>
            <w:r w:rsidRPr="00117BF8">
              <w:rPr>
                <w:rFonts w:ascii="Arial" w:hAnsi="Arial" w:cs="Arial"/>
                <w:sz w:val="18"/>
                <w:szCs w:val="18"/>
              </w:rPr>
              <w:t>Sistema</w:t>
            </w:r>
            <w:r w:rsidR="001B357A" w:rsidRPr="00117BF8">
              <w:rPr>
                <w:rFonts w:ascii="Arial" w:hAnsi="Arial" w:cs="Arial"/>
                <w:sz w:val="18"/>
                <w:szCs w:val="18"/>
              </w:rPr>
              <w:t xml:space="preserve"> Penitenciario</w:t>
            </w:r>
          </w:p>
        </w:tc>
        <w:tc>
          <w:tcPr>
            <w:tcW w:w="1120" w:type="dxa"/>
            <w:tcBorders>
              <w:top w:val="nil"/>
              <w:left w:val="single" w:sz="8" w:space="0" w:color="7BA0CD"/>
              <w:bottom w:val="nil"/>
              <w:right w:val="single" w:sz="8" w:space="0" w:color="7BA0CD"/>
            </w:tcBorders>
            <w:shd w:val="clear" w:color="auto" w:fill="auto"/>
            <w:vAlign w:val="center"/>
            <w:hideMark/>
          </w:tcPr>
          <w:p w14:paraId="7DF17890"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6.816</w:t>
            </w:r>
          </w:p>
        </w:tc>
        <w:tc>
          <w:tcPr>
            <w:tcW w:w="1120" w:type="dxa"/>
            <w:tcBorders>
              <w:top w:val="nil"/>
              <w:left w:val="single" w:sz="8" w:space="0" w:color="7BA0CD"/>
              <w:bottom w:val="nil"/>
              <w:right w:val="single" w:sz="8" w:space="0" w:color="7BA0CD"/>
            </w:tcBorders>
            <w:shd w:val="clear" w:color="auto" w:fill="auto"/>
            <w:vAlign w:val="center"/>
            <w:hideMark/>
          </w:tcPr>
          <w:p w14:paraId="33AB2CBE"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9.278</w:t>
            </w:r>
          </w:p>
        </w:tc>
        <w:tc>
          <w:tcPr>
            <w:tcW w:w="1120" w:type="dxa"/>
            <w:tcBorders>
              <w:top w:val="nil"/>
              <w:left w:val="single" w:sz="8" w:space="0" w:color="7BA0CD"/>
              <w:bottom w:val="nil"/>
              <w:right w:val="single" w:sz="8" w:space="0" w:color="7BA0CD"/>
            </w:tcBorders>
            <w:shd w:val="clear" w:color="auto" w:fill="auto"/>
            <w:vAlign w:val="center"/>
            <w:hideMark/>
          </w:tcPr>
          <w:p w14:paraId="48E03563"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20</w:t>
            </w:r>
          </w:p>
        </w:tc>
        <w:tc>
          <w:tcPr>
            <w:tcW w:w="1120" w:type="dxa"/>
            <w:tcBorders>
              <w:top w:val="nil"/>
              <w:left w:val="single" w:sz="8" w:space="0" w:color="7BA0CD"/>
              <w:bottom w:val="nil"/>
            </w:tcBorders>
            <w:shd w:val="clear" w:color="auto" w:fill="auto"/>
            <w:vAlign w:val="center"/>
            <w:hideMark/>
          </w:tcPr>
          <w:p w14:paraId="5C6CF1ED"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28</w:t>
            </w:r>
          </w:p>
        </w:tc>
      </w:tr>
      <w:tr w:rsidR="001B357A" w:rsidRPr="00593C9A" w14:paraId="5B66F25A" w14:textId="77777777" w:rsidTr="00FD20E8">
        <w:trPr>
          <w:trHeight w:val="450"/>
        </w:trPr>
        <w:tc>
          <w:tcPr>
            <w:tcW w:w="3440" w:type="dxa"/>
            <w:tcBorders>
              <w:top w:val="nil"/>
              <w:bottom w:val="nil"/>
              <w:right w:val="single" w:sz="8" w:space="0" w:color="7BA0CD"/>
            </w:tcBorders>
            <w:shd w:val="clear" w:color="auto" w:fill="auto"/>
            <w:vAlign w:val="center"/>
            <w:hideMark/>
          </w:tcPr>
          <w:p w14:paraId="7AF7E8F9" w14:textId="77777777" w:rsidR="001B357A" w:rsidRPr="00117BF8" w:rsidRDefault="001B357A" w:rsidP="001B357A">
            <w:pPr>
              <w:pStyle w:val="TablaC"/>
              <w:jc w:val="left"/>
              <w:rPr>
                <w:rFonts w:ascii="Arial" w:hAnsi="Arial" w:cs="Arial"/>
                <w:b/>
                <w:bCs/>
                <w:sz w:val="18"/>
                <w:szCs w:val="18"/>
              </w:rPr>
            </w:pPr>
            <w:r w:rsidRPr="00117BF8">
              <w:rPr>
                <w:rFonts w:ascii="Arial" w:hAnsi="Arial" w:cs="Arial"/>
                <w:b/>
                <w:bCs/>
                <w:sz w:val="18"/>
                <w:szCs w:val="18"/>
              </w:rPr>
              <w:t>TOTAL - Servicios de Seguridad</w:t>
            </w:r>
          </w:p>
        </w:tc>
        <w:tc>
          <w:tcPr>
            <w:tcW w:w="1120" w:type="dxa"/>
            <w:tcBorders>
              <w:top w:val="nil"/>
              <w:left w:val="single" w:sz="8" w:space="0" w:color="7BA0CD"/>
              <w:bottom w:val="nil"/>
              <w:right w:val="single" w:sz="8" w:space="0" w:color="7BA0CD"/>
            </w:tcBorders>
            <w:shd w:val="clear" w:color="auto" w:fill="auto"/>
            <w:vAlign w:val="center"/>
            <w:hideMark/>
          </w:tcPr>
          <w:p w14:paraId="13B192AB"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33.267</w:t>
            </w:r>
          </w:p>
        </w:tc>
        <w:tc>
          <w:tcPr>
            <w:tcW w:w="1120" w:type="dxa"/>
            <w:tcBorders>
              <w:top w:val="nil"/>
              <w:left w:val="single" w:sz="8" w:space="0" w:color="7BA0CD"/>
              <w:bottom w:val="nil"/>
              <w:right w:val="single" w:sz="8" w:space="0" w:color="7BA0CD"/>
            </w:tcBorders>
            <w:shd w:val="clear" w:color="auto" w:fill="auto"/>
            <w:vAlign w:val="center"/>
            <w:hideMark/>
          </w:tcPr>
          <w:p w14:paraId="1E54677D"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46.576</w:t>
            </w:r>
          </w:p>
        </w:tc>
        <w:tc>
          <w:tcPr>
            <w:tcW w:w="1120" w:type="dxa"/>
            <w:tcBorders>
              <w:top w:val="nil"/>
              <w:left w:val="single" w:sz="8" w:space="0" w:color="7BA0CD"/>
              <w:bottom w:val="nil"/>
              <w:right w:val="single" w:sz="8" w:space="0" w:color="7BA0CD"/>
            </w:tcBorders>
            <w:shd w:val="clear" w:color="auto" w:fill="auto"/>
            <w:vAlign w:val="center"/>
            <w:hideMark/>
          </w:tcPr>
          <w:p w14:paraId="2712F72F"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208</w:t>
            </w:r>
          </w:p>
        </w:tc>
        <w:tc>
          <w:tcPr>
            <w:tcW w:w="1120" w:type="dxa"/>
            <w:tcBorders>
              <w:top w:val="nil"/>
              <w:left w:val="single" w:sz="8" w:space="0" w:color="7BA0CD"/>
              <w:bottom w:val="nil"/>
            </w:tcBorders>
            <w:shd w:val="clear" w:color="auto" w:fill="auto"/>
            <w:vAlign w:val="center"/>
            <w:hideMark/>
          </w:tcPr>
          <w:p w14:paraId="1DA19893"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215</w:t>
            </w:r>
          </w:p>
        </w:tc>
      </w:tr>
      <w:tr w:rsidR="001B357A" w:rsidRPr="00593C9A" w14:paraId="5B8B4F23" w14:textId="77777777" w:rsidTr="00FD20E8">
        <w:trPr>
          <w:trHeight w:val="300"/>
        </w:trPr>
        <w:tc>
          <w:tcPr>
            <w:tcW w:w="3440" w:type="dxa"/>
            <w:tcBorders>
              <w:top w:val="nil"/>
              <w:bottom w:val="nil"/>
              <w:right w:val="single" w:sz="8" w:space="0" w:color="7BA0CD"/>
            </w:tcBorders>
            <w:shd w:val="clear" w:color="auto" w:fill="auto"/>
            <w:vAlign w:val="center"/>
            <w:hideMark/>
          </w:tcPr>
          <w:p w14:paraId="176C5451"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Salud</w:t>
            </w:r>
          </w:p>
        </w:tc>
        <w:tc>
          <w:tcPr>
            <w:tcW w:w="1120" w:type="dxa"/>
            <w:tcBorders>
              <w:top w:val="nil"/>
              <w:left w:val="single" w:sz="8" w:space="0" w:color="7BA0CD"/>
              <w:bottom w:val="nil"/>
              <w:right w:val="single" w:sz="8" w:space="0" w:color="7BA0CD"/>
            </w:tcBorders>
            <w:shd w:val="clear" w:color="auto" w:fill="auto"/>
            <w:vAlign w:val="center"/>
            <w:hideMark/>
          </w:tcPr>
          <w:p w14:paraId="31EB774D"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10.813</w:t>
            </w:r>
          </w:p>
        </w:tc>
        <w:tc>
          <w:tcPr>
            <w:tcW w:w="1120" w:type="dxa"/>
            <w:tcBorders>
              <w:top w:val="nil"/>
              <w:left w:val="single" w:sz="8" w:space="0" w:color="7BA0CD"/>
              <w:bottom w:val="nil"/>
              <w:right w:val="single" w:sz="8" w:space="0" w:color="7BA0CD"/>
            </w:tcBorders>
            <w:shd w:val="clear" w:color="auto" w:fill="auto"/>
            <w:vAlign w:val="center"/>
            <w:hideMark/>
          </w:tcPr>
          <w:p w14:paraId="314C909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15.652</w:t>
            </w:r>
          </w:p>
        </w:tc>
        <w:tc>
          <w:tcPr>
            <w:tcW w:w="1120" w:type="dxa"/>
            <w:tcBorders>
              <w:top w:val="nil"/>
              <w:left w:val="single" w:sz="8" w:space="0" w:color="7BA0CD"/>
              <w:bottom w:val="nil"/>
              <w:right w:val="single" w:sz="8" w:space="0" w:color="7BA0CD"/>
            </w:tcBorders>
            <w:shd w:val="clear" w:color="auto" w:fill="auto"/>
            <w:vAlign w:val="center"/>
            <w:hideMark/>
          </w:tcPr>
          <w:p w14:paraId="61533BCE"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3.682</w:t>
            </w:r>
          </w:p>
        </w:tc>
        <w:tc>
          <w:tcPr>
            <w:tcW w:w="1120" w:type="dxa"/>
            <w:tcBorders>
              <w:top w:val="nil"/>
              <w:left w:val="single" w:sz="8" w:space="0" w:color="7BA0CD"/>
              <w:bottom w:val="nil"/>
            </w:tcBorders>
            <w:shd w:val="clear" w:color="auto" w:fill="auto"/>
            <w:vAlign w:val="center"/>
            <w:hideMark/>
          </w:tcPr>
          <w:p w14:paraId="512A36F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6.648</w:t>
            </w:r>
          </w:p>
        </w:tc>
      </w:tr>
      <w:tr w:rsidR="001B357A" w:rsidRPr="00593C9A" w14:paraId="60A19DE9" w14:textId="77777777" w:rsidTr="00FD20E8">
        <w:trPr>
          <w:trHeight w:val="300"/>
        </w:trPr>
        <w:tc>
          <w:tcPr>
            <w:tcW w:w="3440" w:type="dxa"/>
            <w:tcBorders>
              <w:top w:val="nil"/>
              <w:bottom w:val="nil"/>
              <w:right w:val="single" w:sz="8" w:space="0" w:color="7BA0CD"/>
            </w:tcBorders>
            <w:shd w:val="clear" w:color="auto" w:fill="auto"/>
            <w:vAlign w:val="center"/>
            <w:hideMark/>
          </w:tcPr>
          <w:p w14:paraId="0A67CE68"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lang w:val="es-AR"/>
              </w:rPr>
              <w:t>Promoción</w:t>
            </w:r>
            <w:r w:rsidRPr="00117BF8">
              <w:rPr>
                <w:rFonts w:ascii="Arial" w:hAnsi="Arial" w:cs="Arial"/>
                <w:sz w:val="18"/>
                <w:szCs w:val="18"/>
              </w:rPr>
              <w:t xml:space="preserve"> y Asistencia Social</w:t>
            </w:r>
          </w:p>
        </w:tc>
        <w:tc>
          <w:tcPr>
            <w:tcW w:w="1120" w:type="dxa"/>
            <w:tcBorders>
              <w:top w:val="nil"/>
              <w:left w:val="single" w:sz="8" w:space="0" w:color="7BA0CD"/>
              <w:bottom w:val="nil"/>
              <w:right w:val="single" w:sz="8" w:space="0" w:color="7BA0CD"/>
            </w:tcBorders>
            <w:shd w:val="clear" w:color="auto" w:fill="auto"/>
            <w:vAlign w:val="center"/>
            <w:hideMark/>
          </w:tcPr>
          <w:p w14:paraId="4B66135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1.511</w:t>
            </w:r>
          </w:p>
        </w:tc>
        <w:tc>
          <w:tcPr>
            <w:tcW w:w="1120" w:type="dxa"/>
            <w:tcBorders>
              <w:top w:val="nil"/>
              <w:left w:val="single" w:sz="8" w:space="0" w:color="7BA0CD"/>
              <w:bottom w:val="nil"/>
              <w:right w:val="single" w:sz="8" w:space="0" w:color="7BA0CD"/>
            </w:tcBorders>
            <w:shd w:val="clear" w:color="auto" w:fill="auto"/>
            <w:vAlign w:val="center"/>
            <w:hideMark/>
          </w:tcPr>
          <w:p w14:paraId="2600ED3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1.602</w:t>
            </w:r>
          </w:p>
        </w:tc>
        <w:tc>
          <w:tcPr>
            <w:tcW w:w="1120" w:type="dxa"/>
            <w:tcBorders>
              <w:top w:val="nil"/>
              <w:left w:val="single" w:sz="8" w:space="0" w:color="7BA0CD"/>
              <w:bottom w:val="nil"/>
              <w:right w:val="single" w:sz="8" w:space="0" w:color="7BA0CD"/>
            </w:tcBorders>
            <w:shd w:val="clear" w:color="auto" w:fill="auto"/>
            <w:vAlign w:val="center"/>
            <w:hideMark/>
          </w:tcPr>
          <w:p w14:paraId="0C990D15"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4.160</w:t>
            </w:r>
          </w:p>
        </w:tc>
        <w:tc>
          <w:tcPr>
            <w:tcW w:w="1120" w:type="dxa"/>
            <w:tcBorders>
              <w:top w:val="nil"/>
              <w:left w:val="single" w:sz="8" w:space="0" w:color="7BA0CD"/>
              <w:bottom w:val="nil"/>
            </w:tcBorders>
            <w:shd w:val="clear" w:color="auto" w:fill="auto"/>
            <w:vAlign w:val="center"/>
            <w:hideMark/>
          </w:tcPr>
          <w:p w14:paraId="669797A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6.265</w:t>
            </w:r>
          </w:p>
        </w:tc>
      </w:tr>
      <w:tr w:rsidR="001B357A" w:rsidRPr="00593C9A" w14:paraId="1D7D7AEF" w14:textId="77777777" w:rsidTr="00FD20E8">
        <w:trPr>
          <w:trHeight w:val="300"/>
        </w:trPr>
        <w:tc>
          <w:tcPr>
            <w:tcW w:w="3440" w:type="dxa"/>
            <w:tcBorders>
              <w:top w:val="nil"/>
              <w:bottom w:val="nil"/>
              <w:right w:val="single" w:sz="8" w:space="0" w:color="7BA0CD"/>
            </w:tcBorders>
            <w:shd w:val="clear" w:color="auto" w:fill="auto"/>
            <w:vAlign w:val="center"/>
            <w:hideMark/>
          </w:tcPr>
          <w:p w14:paraId="3333CEFC"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Seguridad Social</w:t>
            </w:r>
          </w:p>
        </w:tc>
        <w:tc>
          <w:tcPr>
            <w:tcW w:w="1120" w:type="dxa"/>
            <w:tcBorders>
              <w:top w:val="nil"/>
              <w:left w:val="single" w:sz="8" w:space="0" w:color="7BA0CD"/>
              <w:bottom w:val="nil"/>
              <w:right w:val="single" w:sz="8" w:space="0" w:color="7BA0CD"/>
            </w:tcBorders>
            <w:shd w:val="clear" w:color="auto" w:fill="auto"/>
            <w:vAlign w:val="center"/>
            <w:hideMark/>
          </w:tcPr>
          <w:p w14:paraId="65985D21"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259</w:t>
            </w:r>
          </w:p>
        </w:tc>
        <w:tc>
          <w:tcPr>
            <w:tcW w:w="1120" w:type="dxa"/>
            <w:tcBorders>
              <w:top w:val="nil"/>
              <w:left w:val="single" w:sz="8" w:space="0" w:color="7BA0CD"/>
              <w:bottom w:val="nil"/>
              <w:right w:val="single" w:sz="8" w:space="0" w:color="7BA0CD"/>
            </w:tcBorders>
            <w:shd w:val="clear" w:color="auto" w:fill="auto"/>
            <w:vAlign w:val="center"/>
            <w:hideMark/>
          </w:tcPr>
          <w:p w14:paraId="2139B50C"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360</w:t>
            </w:r>
          </w:p>
        </w:tc>
        <w:tc>
          <w:tcPr>
            <w:tcW w:w="1120" w:type="dxa"/>
            <w:tcBorders>
              <w:top w:val="nil"/>
              <w:left w:val="single" w:sz="8" w:space="0" w:color="7BA0CD"/>
              <w:bottom w:val="nil"/>
              <w:right w:val="single" w:sz="8" w:space="0" w:color="7BA0CD"/>
            </w:tcBorders>
            <w:shd w:val="clear" w:color="auto" w:fill="auto"/>
            <w:vAlign w:val="center"/>
            <w:hideMark/>
          </w:tcPr>
          <w:p w14:paraId="3DE3631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52.018</w:t>
            </w:r>
          </w:p>
        </w:tc>
        <w:tc>
          <w:tcPr>
            <w:tcW w:w="1120" w:type="dxa"/>
            <w:tcBorders>
              <w:top w:val="nil"/>
              <w:left w:val="single" w:sz="8" w:space="0" w:color="7BA0CD"/>
              <w:bottom w:val="nil"/>
            </w:tcBorders>
            <w:shd w:val="clear" w:color="auto" w:fill="auto"/>
            <w:vAlign w:val="center"/>
            <w:hideMark/>
          </w:tcPr>
          <w:p w14:paraId="575CC850"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72.987</w:t>
            </w:r>
          </w:p>
        </w:tc>
      </w:tr>
      <w:tr w:rsidR="001B357A" w:rsidRPr="00593C9A" w14:paraId="0CA090CF" w14:textId="77777777" w:rsidTr="00FD20E8">
        <w:trPr>
          <w:trHeight w:val="300"/>
        </w:trPr>
        <w:tc>
          <w:tcPr>
            <w:tcW w:w="3440" w:type="dxa"/>
            <w:tcBorders>
              <w:top w:val="nil"/>
              <w:bottom w:val="nil"/>
              <w:right w:val="single" w:sz="8" w:space="0" w:color="7BA0CD"/>
            </w:tcBorders>
            <w:shd w:val="clear" w:color="auto" w:fill="auto"/>
            <w:vAlign w:val="center"/>
            <w:hideMark/>
          </w:tcPr>
          <w:p w14:paraId="71E1DC71"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Educación y Cultura</w:t>
            </w:r>
          </w:p>
        </w:tc>
        <w:tc>
          <w:tcPr>
            <w:tcW w:w="1120" w:type="dxa"/>
            <w:tcBorders>
              <w:top w:val="nil"/>
              <w:left w:val="single" w:sz="8" w:space="0" w:color="7BA0CD"/>
              <w:bottom w:val="nil"/>
              <w:right w:val="single" w:sz="8" w:space="0" w:color="7BA0CD"/>
            </w:tcBorders>
            <w:shd w:val="clear" w:color="auto" w:fill="auto"/>
            <w:vAlign w:val="center"/>
            <w:hideMark/>
          </w:tcPr>
          <w:p w14:paraId="00D2CF0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76.340</w:t>
            </w:r>
          </w:p>
        </w:tc>
        <w:tc>
          <w:tcPr>
            <w:tcW w:w="1120" w:type="dxa"/>
            <w:tcBorders>
              <w:top w:val="nil"/>
              <w:left w:val="single" w:sz="8" w:space="0" w:color="7BA0CD"/>
              <w:bottom w:val="nil"/>
              <w:right w:val="single" w:sz="8" w:space="0" w:color="7BA0CD"/>
            </w:tcBorders>
            <w:shd w:val="clear" w:color="auto" w:fill="auto"/>
            <w:vAlign w:val="center"/>
            <w:hideMark/>
          </w:tcPr>
          <w:p w14:paraId="325D935E"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99.055</w:t>
            </w:r>
          </w:p>
        </w:tc>
        <w:tc>
          <w:tcPr>
            <w:tcW w:w="1120" w:type="dxa"/>
            <w:tcBorders>
              <w:top w:val="nil"/>
              <w:left w:val="single" w:sz="8" w:space="0" w:color="7BA0CD"/>
              <w:bottom w:val="nil"/>
              <w:right w:val="single" w:sz="8" w:space="0" w:color="7BA0CD"/>
            </w:tcBorders>
            <w:shd w:val="clear" w:color="auto" w:fill="auto"/>
            <w:vAlign w:val="center"/>
            <w:hideMark/>
          </w:tcPr>
          <w:p w14:paraId="4AEB43B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15.548</w:t>
            </w:r>
          </w:p>
        </w:tc>
        <w:tc>
          <w:tcPr>
            <w:tcW w:w="1120" w:type="dxa"/>
            <w:tcBorders>
              <w:top w:val="nil"/>
              <w:left w:val="single" w:sz="8" w:space="0" w:color="7BA0CD"/>
              <w:bottom w:val="nil"/>
            </w:tcBorders>
            <w:shd w:val="clear" w:color="auto" w:fill="auto"/>
            <w:vAlign w:val="center"/>
            <w:hideMark/>
          </w:tcPr>
          <w:p w14:paraId="3E924652"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30.997</w:t>
            </w:r>
          </w:p>
        </w:tc>
      </w:tr>
      <w:tr w:rsidR="001B357A" w:rsidRPr="00593C9A" w14:paraId="0894CF46" w14:textId="77777777" w:rsidTr="00FD20E8">
        <w:trPr>
          <w:trHeight w:val="300"/>
        </w:trPr>
        <w:tc>
          <w:tcPr>
            <w:tcW w:w="3440" w:type="dxa"/>
            <w:tcBorders>
              <w:top w:val="nil"/>
              <w:bottom w:val="nil"/>
              <w:right w:val="single" w:sz="8" w:space="0" w:color="7BA0CD"/>
            </w:tcBorders>
            <w:shd w:val="clear" w:color="auto" w:fill="auto"/>
            <w:vAlign w:val="center"/>
            <w:hideMark/>
          </w:tcPr>
          <w:p w14:paraId="06E00096"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Ciencia y Técnica</w:t>
            </w:r>
          </w:p>
        </w:tc>
        <w:tc>
          <w:tcPr>
            <w:tcW w:w="1120" w:type="dxa"/>
            <w:tcBorders>
              <w:top w:val="nil"/>
              <w:left w:val="single" w:sz="8" w:space="0" w:color="7BA0CD"/>
              <w:bottom w:val="nil"/>
              <w:right w:val="single" w:sz="8" w:space="0" w:color="7BA0CD"/>
            </w:tcBorders>
            <w:shd w:val="clear" w:color="auto" w:fill="auto"/>
            <w:vAlign w:val="center"/>
            <w:hideMark/>
          </w:tcPr>
          <w:p w14:paraId="5A83347C"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160</w:t>
            </w:r>
          </w:p>
        </w:tc>
        <w:tc>
          <w:tcPr>
            <w:tcW w:w="1120" w:type="dxa"/>
            <w:tcBorders>
              <w:top w:val="nil"/>
              <w:left w:val="single" w:sz="8" w:space="0" w:color="7BA0CD"/>
              <w:bottom w:val="nil"/>
              <w:right w:val="single" w:sz="8" w:space="0" w:color="7BA0CD"/>
            </w:tcBorders>
            <w:shd w:val="clear" w:color="auto" w:fill="auto"/>
            <w:vAlign w:val="center"/>
            <w:hideMark/>
          </w:tcPr>
          <w:p w14:paraId="76816983"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205</w:t>
            </w:r>
          </w:p>
        </w:tc>
        <w:tc>
          <w:tcPr>
            <w:tcW w:w="1120" w:type="dxa"/>
            <w:tcBorders>
              <w:top w:val="nil"/>
              <w:left w:val="single" w:sz="8" w:space="0" w:color="7BA0CD"/>
              <w:bottom w:val="nil"/>
              <w:right w:val="single" w:sz="8" w:space="0" w:color="7BA0CD"/>
            </w:tcBorders>
            <w:shd w:val="clear" w:color="auto" w:fill="auto"/>
            <w:vAlign w:val="center"/>
            <w:hideMark/>
          </w:tcPr>
          <w:p w14:paraId="5DB9B91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36</w:t>
            </w:r>
          </w:p>
        </w:tc>
        <w:tc>
          <w:tcPr>
            <w:tcW w:w="1120" w:type="dxa"/>
            <w:tcBorders>
              <w:top w:val="nil"/>
              <w:left w:val="single" w:sz="8" w:space="0" w:color="7BA0CD"/>
              <w:bottom w:val="nil"/>
            </w:tcBorders>
            <w:shd w:val="clear" w:color="auto" w:fill="auto"/>
            <w:vAlign w:val="center"/>
            <w:hideMark/>
          </w:tcPr>
          <w:p w14:paraId="38FE231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52</w:t>
            </w:r>
          </w:p>
        </w:tc>
      </w:tr>
      <w:tr w:rsidR="001B357A" w:rsidRPr="00593C9A" w14:paraId="551016DA" w14:textId="77777777" w:rsidTr="00FD20E8">
        <w:trPr>
          <w:trHeight w:val="300"/>
        </w:trPr>
        <w:tc>
          <w:tcPr>
            <w:tcW w:w="3440" w:type="dxa"/>
            <w:tcBorders>
              <w:top w:val="nil"/>
              <w:bottom w:val="nil"/>
              <w:right w:val="single" w:sz="8" w:space="0" w:color="7BA0CD"/>
            </w:tcBorders>
            <w:shd w:val="clear" w:color="auto" w:fill="auto"/>
            <w:vAlign w:val="center"/>
            <w:hideMark/>
          </w:tcPr>
          <w:p w14:paraId="4FE06075"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Asuntos Laborales</w:t>
            </w:r>
          </w:p>
        </w:tc>
        <w:tc>
          <w:tcPr>
            <w:tcW w:w="1120" w:type="dxa"/>
            <w:tcBorders>
              <w:top w:val="nil"/>
              <w:left w:val="single" w:sz="8" w:space="0" w:color="7BA0CD"/>
              <w:bottom w:val="nil"/>
              <w:right w:val="single" w:sz="8" w:space="0" w:color="7BA0CD"/>
            </w:tcBorders>
            <w:shd w:val="clear" w:color="auto" w:fill="auto"/>
            <w:vAlign w:val="center"/>
            <w:hideMark/>
          </w:tcPr>
          <w:p w14:paraId="6DE152E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275</w:t>
            </w:r>
          </w:p>
        </w:tc>
        <w:tc>
          <w:tcPr>
            <w:tcW w:w="1120" w:type="dxa"/>
            <w:tcBorders>
              <w:top w:val="nil"/>
              <w:left w:val="single" w:sz="8" w:space="0" w:color="7BA0CD"/>
              <w:bottom w:val="nil"/>
              <w:right w:val="single" w:sz="8" w:space="0" w:color="7BA0CD"/>
            </w:tcBorders>
            <w:shd w:val="clear" w:color="auto" w:fill="auto"/>
            <w:vAlign w:val="center"/>
            <w:hideMark/>
          </w:tcPr>
          <w:p w14:paraId="78363F0E"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359</w:t>
            </w:r>
          </w:p>
        </w:tc>
        <w:tc>
          <w:tcPr>
            <w:tcW w:w="1120" w:type="dxa"/>
            <w:tcBorders>
              <w:top w:val="nil"/>
              <w:left w:val="single" w:sz="8" w:space="0" w:color="7BA0CD"/>
              <w:bottom w:val="nil"/>
              <w:right w:val="single" w:sz="8" w:space="0" w:color="7BA0CD"/>
            </w:tcBorders>
            <w:shd w:val="clear" w:color="auto" w:fill="auto"/>
            <w:vAlign w:val="center"/>
            <w:hideMark/>
          </w:tcPr>
          <w:p w14:paraId="541E05E1"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286</w:t>
            </w:r>
          </w:p>
        </w:tc>
        <w:tc>
          <w:tcPr>
            <w:tcW w:w="1120" w:type="dxa"/>
            <w:tcBorders>
              <w:top w:val="nil"/>
              <w:left w:val="single" w:sz="8" w:space="0" w:color="7BA0CD"/>
              <w:bottom w:val="nil"/>
            </w:tcBorders>
            <w:shd w:val="clear" w:color="auto" w:fill="auto"/>
            <w:vAlign w:val="center"/>
            <w:hideMark/>
          </w:tcPr>
          <w:p w14:paraId="1ED4641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206</w:t>
            </w:r>
          </w:p>
        </w:tc>
      </w:tr>
      <w:tr w:rsidR="001B357A" w:rsidRPr="00593C9A" w14:paraId="47017202" w14:textId="77777777" w:rsidTr="00FD20E8">
        <w:trPr>
          <w:trHeight w:val="300"/>
        </w:trPr>
        <w:tc>
          <w:tcPr>
            <w:tcW w:w="3440" w:type="dxa"/>
            <w:tcBorders>
              <w:top w:val="nil"/>
              <w:bottom w:val="nil"/>
              <w:right w:val="single" w:sz="8" w:space="0" w:color="7BA0CD"/>
            </w:tcBorders>
            <w:shd w:val="clear" w:color="auto" w:fill="auto"/>
            <w:vAlign w:val="center"/>
            <w:hideMark/>
          </w:tcPr>
          <w:p w14:paraId="65497CE3"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Vivienda y Urbanismo</w:t>
            </w:r>
          </w:p>
        </w:tc>
        <w:tc>
          <w:tcPr>
            <w:tcW w:w="1120" w:type="dxa"/>
            <w:tcBorders>
              <w:top w:val="nil"/>
              <w:left w:val="single" w:sz="8" w:space="0" w:color="7BA0CD"/>
              <w:bottom w:val="nil"/>
              <w:right w:val="single" w:sz="8" w:space="0" w:color="7BA0CD"/>
            </w:tcBorders>
            <w:shd w:val="clear" w:color="auto" w:fill="auto"/>
            <w:vAlign w:val="center"/>
            <w:hideMark/>
          </w:tcPr>
          <w:p w14:paraId="4F490C8C"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165</w:t>
            </w:r>
          </w:p>
        </w:tc>
        <w:tc>
          <w:tcPr>
            <w:tcW w:w="1120" w:type="dxa"/>
            <w:tcBorders>
              <w:top w:val="nil"/>
              <w:left w:val="single" w:sz="8" w:space="0" w:color="7BA0CD"/>
              <w:bottom w:val="nil"/>
              <w:right w:val="single" w:sz="8" w:space="0" w:color="7BA0CD"/>
            </w:tcBorders>
            <w:shd w:val="clear" w:color="auto" w:fill="auto"/>
            <w:vAlign w:val="center"/>
            <w:hideMark/>
          </w:tcPr>
          <w:p w14:paraId="407328E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237</w:t>
            </w:r>
          </w:p>
        </w:tc>
        <w:tc>
          <w:tcPr>
            <w:tcW w:w="1120" w:type="dxa"/>
            <w:tcBorders>
              <w:top w:val="nil"/>
              <w:left w:val="single" w:sz="8" w:space="0" w:color="7BA0CD"/>
              <w:bottom w:val="nil"/>
              <w:right w:val="single" w:sz="8" w:space="0" w:color="7BA0CD"/>
            </w:tcBorders>
            <w:shd w:val="clear" w:color="auto" w:fill="auto"/>
            <w:vAlign w:val="center"/>
            <w:hideMark/>
          </w:tcPr>
          <w:p w14:paraId="1CF5222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848</w:t>
            </w:r>
          </w:p>
        </w:tc>
        <w:tc>
          <w:tcPr>
            <w:tcW w:w="1120" w:type="dxa"/>
            <w:tcBorders>
              <w:top w:val="nil"/>
              <w:left w:val="single" w:sz="8" w:space="0" w:color="7BA0CD"/>
              <w:bottom w:val="nil"/>
            </w:tcBorders>
            <w:shd w:val="clear" w:color="auto" w:fill="auto"/>
            <w:vAlign w:val="center"/>
            <w:hideMark/>
          </w:tcPr>
          <w:p w14:paraId="032BEBC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1.291</w:t>
            </w:r>
          </w:p>
        </w:tc>
      </w:tr>
      <w:tr w:rsidR="001B357A" w:rsidRPr="00593C9A" w14:paraId="65CFAFFE" w14:textId="77777777" w:rsidTr="00FD20E8">
        <w:trPr>
          <w:trHeight w:val="300"/>
        </w:trPr>
        <w:tc>
          <w:tcPr>
            <w:tcW w:w="3440" w:type="dxa"/>
            <w:tcBorders>
              <w:top w:val="nil"/>
              <w:bottom w:val="nil"/>
              <w:right w:val="single" w:sz="8" w:space="0" w:color="7BA0CD"/>
            </w:tcBorders>
            <w:shd w:val="clear" w:color="auto" w:fill="auto"/>
            <w:vAlign w:val="center"/>
            <w:hideMark/>
          </w:tcPr>
          <w:p w14:paraId="1D7F9777"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Ecología y Saneamiento Ambiental</w:t>
            </w:r>
          </w:p>
        </w:tc>
        <w:tc>
          <w:tcPr>
            <w:tcW w:w="1120" w:type="dxa"/>
            <w:tcBorders>
              <w:top w:val="nil"/>
              <w:left w:val="single" w:sz="8" w:space="0" w:color="7BA0CD"/>
              <w:bottom w:val="nil"/>
              <w:right w:val="single" w:sz="8" w:space="0" w:color="7BA0CD"/>
            </w:tcBorders>
            <w:shd w:val="clear" w:color="auto" w:fill="auto"/>
            <w:vAlign w:val="center"/>
            <w:hideMark/>
          </w:tcPr>
          <w:p w14:paraId="42E2677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462</w:t>
            </w:r>
          </w:p>
        </w:tc>
        <w:tc>
          <w:tcPr>
            <w:tcW w:w="1120" w:type="dxa"/>
            <w:tcBorders>
              <w:top w:val="nil"/>
              <w:left w:val="single" w:sz="8" w:space="0" w:color="7BA0CD"/>
              <w:bottom w:val="nil"/>
              <w:right w:val="single" w:sz="8" w:space="0" w:color="7BA0CD"/>
            </w:tcBorders>
            <w:shd w:val="clear" w:color="auto" w:fill="auto"/>
            <w:vAlign w:val="center"/>
            <w:hideMark/>
          </w:tcPr>
          <w:p w14:paraId="02A7A1F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581</w:t>
            </w:r>
          </w:p>
        </w:tc>
        <w:tc>
          <w:tcPr>
            <w:tcW w:w="1120" w:type="dxa"/>
            <w:tcBorders>
              <w:top w:val="nil"/>
              <w:left w:val="single" w:sz="8" w:space="0" w:color="7BA0CD"/>
              <w:bottom w:val="nil"/>
              <w:right w:val="single" w:sz="8" w:space="0" w:color="7BA0CD"/>
            </w:tcBorders>
            <w:shd w:val="clear" w:color="auto" w:fill="auto"/>
            <w:vAlign w:val="center"/>
            <w:hideMark/>
          </w:tcPr>
          <w:p w14:paraId="73FD258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101</w:t>
            </w:r>
          </w:p>
        </w:tc>
        <w:tc>
          <w:tcPr>
            <w:tcW w:w="1120" w:type="dxa"/>
            <w:tcBorders>
              <w:top w:val="nil"/>
              <w:left w:val="single" w:sz="8" w:space="0" w:color="7BA0CD"/>
              <w:bottom w:val="nil"/>
            </w:tcBorders>
            <w:shd w:val="clear" w:color="auto" w:fill="auto"/>
            <w:vAlign w:val="center"/>
            <w:hideMark/>
          </w:tcPr>
          <w:p w14:paraId="5195404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387</w:t>
            </w:r>
          </w:p>
        </w:tc>
      </w:tr>
      <w:tr w:rsidR="001B357A" w:rsidRPr="00593C9A" w14:paraId="06E5E129" w14:textId="77777777" w:rsidTr="00FD20E8">
        <w:trPr>
          <w:trHeight w:val="300"/>
        </w:trPr>
        <w:tc>
          <w:tcPr>
            <w:tcW w:w="3440" w:type="dxa"/>
            <w:tcBorders>
              <w:top w:val="nil"/>
              <w:bottom w:val="nil"/>
              <w:right w:val="single" w:sz="8" w:space="0" w:color="7BA0CD"/>
            </w:tcBorders>
            <w:shd w:val="clear" w:color="auto" w:fill="auto"/>
            <w:vAlign w:val="center"/>
            <w:hideMark/>
          </w:tcPr>
          <w:p w14:paraId="6B9F990F"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Deportes y Recreación</w:t>
            </w:r>
          </w:p>
        </w:tc>
        <w:tc>
          <w:tcPr>
            <w:tcW w:w="1120" w:type="dxa"/>
            <w:tcBorders>
              <w:top w:val="nil"/>
              <w:left w:val="single" w:sz="8" w:space="0" w:color="7BA0CD"/>
              <w:bottom w:val="nil"/>
              <w:right w:val="single" w:sz="8" w:space="0" w:color="7BA0CD"/>
            </w:tcBorders>
            <w:shd w:val="clear" w:color="auto" w:fill="auto"/>
            <w:vAlign w:val="center"/>
            <w:hideMark/>
          </w:tcPr>
          <w:p w14:paraId="64BFC2F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52</w:t>
            </w:r>
          </w:p>
        </w:tc>
        <w:tc>
          <w:tcPr>
            <w:tcW w:w="1120" w:type="dxa"/>
            <w:tcBorders>
              <w:top w:val="nil"/>
              <w:left w:val="single" w:sz="8" w:space="0" w:color="7BA0CD"/>
              <w:bottom w:val="nil"/>
              <w:right w:val="single" w:sz="8" w:space="0" w:color="7BA0CD"/>
            </w:tcBorders>
            <w:shd w:val="clear" w:color="auto" w:fill="auto"/>
            <w:vAlign w:val="center"/>
            <w:hideMark/>
          </w:tcPr>
          <w:p w14:paraId="2BA77AF0"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11</w:t>
            </w:r>
          </w:p>
        </w:tc>
        <w:tc>
          <w:tcPr>
            <w:tcW w:w="1120" w:type="dxa"/>
            <w:tcBorders>
              <w:top w:val="nil"/>
              <w:left w:val="single" w:sz="8" w:space="0" w:color="7BA0CD"/>
              <w:bottom w:val="nil"/>
              <w:right w:val="single" w:sz="8" w:space="0" w:color="7BA0CD"/>
            </w:tcBorders>
            <w:shd w:val="clear" w:color="auto" w:fill="auto"/>
            <w:vAlign w:val="center"/>
            <w:hideMark/>
          </w:tcPr>
          <w:p w14:paraId="532410A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56</w:t>
            </w:r>
          </w:p>
        </w:tc>
        <w:tc>
          <w:tcPr>
            <w:tcW w:w="1120" w:type="dxa"/>
            <w:tcBorders>
              <w:top w:val="nil"/>
              <w:left w:val="single" w:sz="8" w:space="0" w:color="7BA0CD"/>
              <w:bottom w:val="nil"/>
            </w:tcBorders>
            <w:shd w:val="clear" w:color="auto" w:fill="auto"/>
            <w:vAlign w:val="center"/>
            <w:hideMark/>
          </w:tcPr>
          <w:p w14:paraId="29A054E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79</w:t>
            </w:r>
          </w:p>
        </w:tc>
      </w:tr>
      <w:tr w:rsidR="001B357A" w:rsidRPr="00593C9A" w14:paraId="6AD9C75B" w14:textId="77777777" w:rsidTr="00FD20E8">
        <w:trPr>
          <w:trHeight w:val="300"/>
        </w:trPr>
        <w:tc>
          <w:tcPr>
            <w:tcW w:w="3440" w:type="dxa"/>
            <w:tcBorders>
              <w:top w:val="nil"/>
              <w:bottom w:val="nil"/>
              <w:right w:val="single" w:sz="8" w:space="0" w:color="7BA0CD"/>
            </w:tcBorders>
            <w:shd w:val="clear" w:color="auto" w:fill="auto"/>
            <w:vAlign w:val="center"/>
            <w:hideMark/>
          </w:tcPr>
          <w:p w14:paraId="3BFBA10F" w14:textId="77777777" w:rsidR="001B357A" w:rsidRPr="00117BF8" w:rsidRDefault="001B357A" w:rsidP="001B357A">
            <w:pPr>
              <w:pStyle w:val="TablaC"/>
              <w:jc w:val="left"/>
              <w:rPr>
                <w:rFonts w:ascii="Arial" w:hAnsi="Arial" w:cs="Arial"/>
                <w:b/>
                <w:bCs/>
                <w:sz w:val="18"/>
                <w:szCs w:val="18"/>
              </w:rPr>
            </w:pPr>
            <w:r w:rsidRPr="00117BF8">
              <w:rPr>
                <w:rFonts w:ascii="Arial" w:hAnsi="Arial" w:cs="Arial"/>
                <w:b/>
                <w:bCs/>
                <w:sz w:val="18"/>
                <w:szCs w:val="18"/>
              </w:rPr>
              <w:t>TOTAL - Servicios Sociales</w:t>
            </w:r>
          </w:p>
        </w:tc>
        <w:tc>
          <w:tcPr>
            <w:tcW w:w="1120" w:type="dxa"/>
            <w:tcBorders>
              <w:top w:val="nil"/>
              <w:left w:val="single" w:sz="8" w:space="0" w:color="7BA0CD"/>
              <w:bottom w:val="nil"/>
              <w:right w:val="single" w:sz="8" w:space="0" w:color="7BA0CD"/>
            </w:tcBorders>
            <w:shd w:val="clear" w:color="auto" w:fill="auto"/>
            <w:vAlign w:val="center"/>
            <w:hideMark/>
          </w:tcPr>
          <w:p w14:paraId="3F5E9B02"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90.038</w:t>
            </w:r>
          </w:p>
        </w:tc>
        <w:tc>
          <w:tcPr>
            <w:tcW w:w="1120" w:type="dxa"/>
            <w:tcBorders>
              <w:top w:val="nil"/>
              <w:left w:val="single" w:sz="8" w:space="0" w:color="7BA0CD"/>
              <w:bottom w:val="nil"/>
              <w:right w:val="single" w:sz="8" w:space="0" w:color="7BA0CD"/>
            </w:tcBorders>
            <w:shd w:val="clear" w:color="auto" w:fill="auto"/>
            <w:vAlign w:val="center"/>
            <w:hideMark/>
          </w:tcPr>
          <w:p w14:paraId="2B6D7E69"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118.062</w:t>
            </w:r>
          </w:p>
        </w:tc>
        <w:tc>
          <w:tcPr>
            <w:tcW w:w="1120" w:type="dxa"/>
            <w:tcBorders>
              <w:top w:val="nil"/>
              <w:left w:val="single" w:sz="8" w:space="0" w:color="7BA0CD"/>
              <w:bottom w:val="nil"/>
              <w:right w:val="single" w:sz="8" w:space="0" w:color="7BA0CD"/>
            </w:tcBorders>
            <w:shd w:val="clear" w:color="auto" w:fill="auto"/>
            <w:vAlign w:val="center"/>
            <w:hideMark/>
          </w:tcPr>
          <w:p w14:paraId="22973E17"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76.734</w:t>
            </w:r>
          </w:p>
        </w:tc>
        <w:tc>
          <w:tcPr>
            <w:tcW w:w="1120" w:type="dxa"/>
            <w:tcBorders>
              <w:top w:val="nil"/>
              <w:left w:val="single" w:sz="8" w:space="0" w:color="7BA0CD"/>
              <w:bottom w:val="nil"/>
            </w:tcBorders>
            <w:shd w:val="clear" w:color="auto" w:fill="auto"/>
            <w:vAlign w:val="center"/>
            <w:hideMark/>
          </w:tcPr>
          <w:p w14:paraId="1F35B7D2"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118.912</w:t>
            </w:r>
          </w:p>
        </w:tc>
      </w:tr>
      <w:tr w:rsidR="001B357A" w:rsidRPr="00593C9A" w14:paraId="714AEBF1" w14:textId="77777777" w:rsidTr="00FD20E8">
        <w:trPr>
          <w:trHeight w:val="300"/>
        </w:trPr>
        <w:tc>
          <w:tcPr>
            <w:tcW w:w="3440" w:type="dxa"/>
            <w:tcBorders>
              <w:top w:val="nil"/>
              <w:bottom w:val="nil"/>
              <w:right w:val="single" w:sz="8" w:space="0" w:color="7BA0CD"/>
            </w:tcBorders>
            <w:shd w:val="clear" w:color="auto" w:fill="auto"/>
            <w:vAlign w:val="center"/>
            <w:hideMark/>
          </w:tcPr>
          <w:p w14:paraId="3FC1E69E"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Energía Combustible y Minería</w:t>
            </w:r>
          </w:p>
        </w:tc>
        <w:tc>
          <w:tcPr>
            <w:tcW w:w="1120" w:type="dxa"/>
            <w:tcBorders>
              <w:top w:val="nil"/>
              <w:left w:val="single" w:sz="8" w:space="0" w:color="7BA0CD"/>
              <w:bottom w:val="nil"/>
              <w:right w:val="single" w:sz="8" w:space="0" w:color="7BA0CD"/>
            </w:tcBorders>
            <w:shd w:val="clear" w:color="auto" w:fill="auto"/>
            <w:vAlign w:val="center"/>
            <w:hideMark/>
          </w:tcPr>
          <w:p w14:paraId="0CB91F4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179</w:t>
            </w:r>
          </w:p>
        </w:tc>
        <w:tc>
          <w:tcPr>
            <w:tcW w:w="1120" w:type="dxa"/>
            <w:tcBorders>
              <w:top w:val="nil"/>
              <w:left w:val="single" w:sz="8" w:space="0" w:color="7BA0CD"/>
              <w:bottom w:val="nil"/>
              <w:right w:val="single" w:sz="8" w:space="0" w:color="7BA0CD"/>
            </w:tcBorders>
            <w:shd w:val="clear" w:color="auto" w:fill="auto"/>
            <w:vAlign w:val="center"/>
            <w:hideMark/>
          </w:tcPr>
          <w:p w14:paraId="34F1C581"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251</w:t>
            </w:r>
          </w:p>
        </w:tc>
        <w:tc>
          <w:tcPr>
            <w:tcW w:w="1120" w:type="dxa"/>
            <w:tcBorders>
              <w:top w:val="nil"/>
              <w:left w:val="single" w:sz="8" w:space="0" w:color="7BA0CD"/>
              <w:bottom w:val="nil"/>
              <w:right w:val="single" w:sz="8" w:space="0" w:color="7BA0CD"/>
            </w:tcBorders>
            <w:shd w:val="clear" w:color="auto" w:fill="auto"/>
            <w:vAlign w:val="center"/>
            <w:hideMark/>
          </w:tcPr>
          <w:p w14:paraId="3A32B01E"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505</w:t>
            </w:r>
          </w:p>
        </w:tc>
        <w:tc>
          <w:tcPr>
            <w:tcW w:w="1120" w:type="dxa"/>
            <w:tcBorders>
              <w:top w:val="nil"/>
              <w:left w:val="single" w:sz="8" w:space="0" w:color="7BA0CD"/>
              <w:bottom w:val="nil"/>
            </w:tcBorders>
            <w:shd w:val="clear" w:color="auto" w:fill="auto"/>
            <w:vAlign w:val="center"/>
            <w:hideMark/>
          </w:tcPr>
          <w:p w14:paraId="459B48F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861</w:t>
            </w:r>
          </w:p>
        </w:tc>
      </w:tr>
      <w:tr w:rsidR="001B357A" w:rsidRPr="00593C9A" w14:paraId="7FCE7EAD" w14:textId="77777777" w:rsidTr="00FD20E8">
        <w:trPr>
          <w:trHeight w:val="300"/>
        </w:trPr>
        <w:tc>
          <w:tcPr>
            <w:tcW w:w="3440" w:type="dxa"/>
            <w:tcBorders>
              <w:top w:val="nil"/>
              <w:bottom w:val="nil"/>
              <w:right w:val="single" w:sz="8" w:space="0" w:color="7BA0CD"/>
            </w:tcBorders>
            <w:shd w:val="clear" w:color="auto" w:fill="auto"/>
            <w:vAlign w:val="center"/>
            <w:hideMark/>
          </w:tcPr>
          <w:p w14:paraId="624A6FF0"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Comunicaciones</w:t>
            </w:r>
          </w:p>
        </w:tc>
        <w:tc>
          <w:tcPr>
            <w:tcW w:w="1120" w:type="dxa"/>
            <w:tcBorders>
              <w:top w:val="nil"/>
              <w:left w:val="single" w:sz="8" w:space="0" w:color="7BA0CD"/>
              <w:bottom w:val="nil"/>
              <w:right w:val="single" w:sz="8" w:space="0" w:color="7BA0CD"/>
            </w:tcBorders>
            <w:shd w:val="clear" w:color="auto" w:fill="auto"/>
            <w:vAlign w:val="center"/>
            <w:hideMark/>
          </w:tcPr>
          <w:p w14:paraId="5CB53FE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31</w:t>
            </w:r>
          </w:p>
        </w:tc>
        <w:tc>
          <w:tcPr>
            <w:tcW w:w="1120" w:type="dxa"/>
            <w:tcBorders>
              <w:top w:val="nil"/>
              <w:left w:val="single" w:sz="8" w:space="0" w:color="7BA0CD"/>
              <w:bottom w:val="nil"/>
              <w:right w:val="single" w:sz="8" w:space="0" w:color="7BA0CD"/>
            </w:tcBorders>
            <w:shd w:val="clear" w:color="auto" w:fill="auto"/>
            <w:vAlign w:val="center"/>
            <w:hideMark/>
          </w:tcPr>
          <w:p w14:paraId="3061421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29</w:t>
            </w:r>
          </w:p>
        </w:tc>
        <w:tc>
          <w:tcPr>
            <w:tcW w:w="1120" w:type="dxa"/>
            <w:tcBorders>
              <w:top w:val="nil"/>
              <w:left w:val="single" w:sz="8" w:space="0" w:color="7BA0CD"/>
              <w:bottom w:val="nil"/>
              <w:right w:val="single" w:sz="8" w:space="0" w:color="7BA0CD"/>
            </w:tcBorders>
            <w:shd w:val="clear" w:color="auto" w:fill="auto"/>
            <w:vAlign w:val="center"/>
            <w:hideMark/>
          </w:tcPr>
          <w:p w14:paraId="1E31E0B3"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c>
          <w:tcPr>
            <w:tcW w:w="1120" w:type="dxa"/>
            <w:tcBorders>
              <w:top w:val="nil"/>
              <w:left w:val="single" w:sz="8" w:space="0" w:color="7BA0CD"/>
              <w:bottom w:val="nil"/>
            </w:tcBorders>
            <w:shd w:val="clear" w:color="auto" w:fill="auto"/>
            <w:vAlign w:val="center"/>
            <w:hideMark/>
          </w:tcPr>
          <w:p w14:paraId="7A85F32A"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r>
      <w:tr w:rsidR="001B357A" w:rsidRPr="00593C9A" w14:paraId="7EF10723" w14:textId="77777777" w:rsidTr="00FD20E8">
        <w:trPr>
          <w:trHeight w:val="300"/>
        </w:trPr>
        <w:tc>
          <w:tcPr>
            <w:tcW w:w="3440" w:type="dxa"/>
            <w:tcBorders>
              <w:top w:val="nil"/>
              <w:bottom w:val="nil"/>
              <w:right w:val="single" w:sz="8" w:space="0" w:color="7BA0CD"/>
            </w:tcBorders>
            <w:shd w:val="clear" w:color="auto" w:fill="auto"/>
            <w:vAlign w:val="center"/>
            <w:hideMark/>
          </w:tcPr>
          <w:p w14:paraId="2FDEACC2"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Transporte</w:t>
            </w:r>
          </w:p>
        </w:tc>
        <w:tc>
          <w:tcPr>
            <w:tcW w:w="1120" w:type="dxa"/>
            <w:tcBorders>
              <w:top w:val="nil"/>
              <w:left w:val="single" w:sz="8" w:space="0" w:color="7BA0CD"/>
              <w:bottom w:val="nil"/>
              <w:right w:val="single" w:sz="8" w:space="0" w:color="7BA0CD"/>
            </w:tcBorders>
            <w:shd w:val="clear" w:color="auto" w:fill="auto"/>
            <w:vAlign w:val="center"/>
            <w:hideMark/>
          </w:tcPr>
          <w:p w14:paraId="0C96565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1.428</w:t>
            </w:r>
          </w:p>
        </w:tc>
        <w:tc>
          <w:tcPr>
            <w:tcW w:w="1120" w:type="dxa"/>
            <w:tcBorders>
              <w:top w:val="nil"/>
              <w:left w:val="single" w:sz="8" w:space="0" w:color="7BA0CD"/>
              <w:bottom w:val="nil"/>
              <w:right w:val="single" w:sz="8" w:space="0" w:color="7BA0CD"/>
            </w:tcBorders>
            <w:shd w:val="clear" w:color="auto" w:fill="auto"/>
            <w:vAlign w:val="center"/>
            <w:hideMark/>
          </w:tcPr>
          <w:p w14:paraId="7E7ADC22"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1.810</w:t>
            </w:r>
          </w:p>
        </w:tc>
        <w:tc>
          <w:tcPr>
            <w:tcW w:w="1120" w:type="dxa"/>
            <w:tcBorders>
              <w:top w:val="nil"/>
              <w:left w:val="single" w:sz="8" w:space="0" w:color="7BA0CD"/>
              <w:bottom w:val="nil"/>
              <w:right w:val="single" w:sz="8" w:space="0" w:color="7BA0CD"/>
            </w:tcBorders>
            <w:shd w:val="clear" w:color="auto" w:fill="auto"/>
            <w:vAlign w:val="center"/>
            <w:hideMark/>
          </w:tcPr>
          <w:p w14:paraId="4A5BFBB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728</w:t>
            </w:r>
          </w:p>
        </w:tc>
        <w:tc>
          <w:tcPr>
            <w:tcW w:w="1120" w:type="dxa"/>
            <w:tcBorders>
              <w:top w:val="nil"/>
              <w:left w:val="single" w:sz="8" w:space="0" w:color="7BA0CD"/>
              <w:bottom w:val="nil"/>
            </w:tcBorders>
            <w:shd w:val="clear" w:color="auto" w:fill="auto"/>
            <w:vAlign w:val="center"/>
            <w:hideMark/>
          </w:tcPr>
          <w:p w14:paraId="45D45C9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1.351</w:t>
            </w:r>
          </w:p>
        </w:tc>
      </w:tr>
      <w:tr w:rsidR="001B357A" w:rsidRPr="00593C9A" w14:paraId="2590C3F9" w14:textId="77777777" w:rsidTr="00FD20E8">
        <w:trPr>
          <w:trHeight w:val="300"/>
        </w:trPr>
        <w:tc>
          <w:tcPr>
            <w:tcW w:w="3440" w:type="dxa"/>
            <w:tcBorders>
              <w:top w:val="nil"/>
              <w:bottom w:val="nil"/>
              <w:right w:val="single" w:sz="8" w:space="0" w:color="7BA0CD"/>
            </w:tcBorders>
            <w:shd w:val="clear" w:color="auto" w:fill="auto"/>
            <w:vAlign w:val="center"/>
            <w:hideMark/>
          </w:tcPr>
          <w:p w14:paraId="7FABB456" w14:textId="77777777" w:rsidR="001B357A" w:rsidRPr="00117BF8" w:rsidRDefault="001B357A" w:rsidP="001B357A">
            <w:pPr>
              <w:pStyle w:val="TablaC"/>
              <w:jc w:val="left"/>
              <w:rPr>
                <w:rFonts w:ascii="Arial" w:hAnsi="Arial" w:cs="Arial"/>
                <w:sz w:val="18"/>
                <w:szCs w:val="18"/>
                <w:lang w:val="es-ES_tradnl"/>
              </w:rPr>
            </w:pPr>
            <w:r w:rsidRPr="00117BF8">
              <w:rPr>
                <w:rFonts w:ascii="Arial" w:hAnsi="Arial" w:cs="Arial"/>
                <w:sz w:val="18"/>
                <w:szCs w:val="18"/>
                <w:lang w:val="es-ES_tradnl"/>
              </w:rPr>
              <w:t>Suelo Riego Desagües y Drenaje</w:t>
            </w:r>
          </w:p>
        </w:tc>
        <w:tc>
          <w:tcPr>
            <w:tcW w:w="1120" w:type="dxa"/>
            <w:tcBorders>
              <w:top w:val="nil"/>
              <w:left w:val="single" w:sz="8" w:space="0" w:color="7BA0CD"/>
              <w:bottom w:val="nil"/>
              <w:right w:val="single" w:sz="8" w:space="0" w:color="7BA0CD"/>
            </w:tcBorders>
            <w:shd w:val="clear" w:color="auto" w:fill="auto"/>
            <w:vAlign w:val="center"/>
            <w:hideMark/>
          </w:tcPr>
          <w:p w14:paraId="7932335C"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112</w:t>
            </w:r>
          </w:p>
        </w:tc>
        <w:tc>
          <w:tcPr>
            <w:tcW w:w="1120" w:type="dxa"/>
            <w:tcBorders>
              <w:top w:val="nil"/>
              <w:left w:val="single" w:sz="8" w:space="0" w:color="7BA0CD"/>
              <w:bottom w:val="nil"/>
              <w:right w:val="single" w:sz="8" w:space="0" w:color="7BA0CD"/>
            </w:tcBorders>
            <w:shd w:val="clear" w:color="auto" w:fill="auto"/>
            <w:vAlign w:val="center"/>
            <w:hideMark/>
          </w:tcPr>
          <w:p w14:paraId="15E954D3"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148</w:t>
            </w:r>
          </w:p>
        </w:tc>
        <w:tc>
          <w:tcPr>
            <w:tcW w:w="1120" w:type="dxa"/>
            <w:tcBorders>
              <w:top w:val="nil"/>
              <w:left w:val="single" w:sz="8" w:space="0" w:color="7BA0CD"/>
              <w:bottom w:val="nil"/>
              <w:right w:val="single" w:sz="8" w:space="0" w:color="7BA0CD"/>
            </w:tcBorders>
            <w:shd w:val="clear" w:color="auto" w:fill="auto"/>
            <w:vAlign w:val="center"/>
            <w:hideMark/>
          </w:tcPr>
          <w:p w14:paraId="3367D4A1"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40</w:t>
            </w:r>
          </w:p>
        </w:tc>
        <w:tc>
          <w:tcPr>
            <w:tcW w:w="1120" w:type="dxa"/>
            <w:tcBorders>
              <w:top w:val="nil"/>
              <w:left w:val="single" w:sz="8" w:space="0" w:color="7BA0CD"/>
              <w:bottom w:val="nil"/>
            </w:tcBorders>
            <w:shd w:val="clear" w:color="auto" w:fill="auto"/>
            <w:vAlign w:val="center"/>
            <w:hideMark/>
          </w:tcPr>
          <w:p w14:paraId="3155043F"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296</w:t>
            </w:r>
          </w:p>
        </w:tc>
      </w:tr>
      <w:tr w:rsidR="001B357A" w:rsidRPr="00593C9A" w14:paraId="683E332A" w14:textId="77777777" w:rsidTr="00FD20E8">
        <w:trPr>
          <w:trHeight w:val="300"/>
        </w:trPr>
        <w:tc>
          <w:tcPr>
            <w:tcW w:w="3440" w:type="dxa"/>
            <w:tcBorders>
              <w:top w:val="nil"/>
              <w:bottom w:val="nil"/>
              <w:right w:val="single" w:sz="8" w:space="0" w:color="7BA0CD"/>
            </w:tcBorders>
            <w:shd w:val="clear" w:color="auto" w:fill="auto"/>
            <w:vAlign w:val="center"/>
            <w:hideMark/>
          </w:tcPr>
          <w:p w14:paraId="3DBAEE31" w14:textId="77777777" w:rsidR="001B357A" w:rsidRPr="00117BF8" w:rsidRDefault="001B357A" w:rsidP="001B357A">
            <w:pPr>
              <w:pStyle w:val="TablaC"/>
              <w:jc w:val="left"/>
              <w:rPr>
                <w:rFonts w:ascii="Arial" w:hAnsi="Arial" w:cs="Arial"/>
                <w:sz w:val="18"/>
                <w:szCs w:val="18"/>
                <w:lang w:val="es-ES_tradnl"/>
              </w:rPr>
            </w:pPr>
            <w:r w:rsidRPr="00117BF8">
              <w:rPr>
                <w:rFonts w:ascii="Arial" w:hAnsi="Arial" w:cs="Arial"/>
                <w:sz w:val="18"/>
                <w:szCs w:val="18"/>
                <w:lang w:val="es-ES_tradnl"/>
              </w:rPr>
              <w:t>Agric, Ganadería y RR NN Renovables</w:t>
            </w:r>
          </w:p>
        </w:tc>
        <w:tc>
          <w:tcPr>
            <w:tcW w:w="1120" w:type="dxa"/>
            <w:tcBorders>
              <w:top w:val="nil"/>
              <w:left w:val="single" w:sz="8" w:space="0" w:color="7BA0CD"/>
              <w:bottom w:val="nil"/>
              <w:right w:val="single" w:sz="8" w:space="0" w:color="7BA0CD"/>
            </w:tcBorders>
            <w:shd w:val="clear" w:color="auto" w:fill="auto"/>
            <w:vAlign w:val="center"/>
            <w:hideMark/>
          </w:tcPr>
          <w:p w14:paraId="47509342"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224</w:t>
            </w:r>
          </w:p>
        </w:tc>
        <w:tc>
          <w:tcPr>
            <w:tcW w:w="1120" w:type="dxa"/>
            <w:tcBorders>
              <w:top w:val="nil"/>
              <w:left w:val="single" w:sz="8" w:space="0" w:color="7BA0CD"/>
              <w:bottom w:val="nil"/>
              <w:right w:val="single" w:sz="8" w:space="0" w:color="7BA0CD"/>
            </w:tcBorders>
            <w:shd w:val="clear" w:color="auto" w:fill="auto"/>
            <w:vAlign w:val="center"/>
            <w:hideMark/>
          </w:tcPr>
          <w:p w14:paraId="792E336C"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272</w:t>
            </w:r>
          </w:p>
        </w:tc>
        <w:tc>
          <w:tcPr>
            <w:tcW w:w="1120" w:type="dxa"/>
            <w:tcBorders>
              <w:top w:val="nil"/>
              <w:left w:val="single" w:sz="8" w:space="0" w:color="7BA0CD"/>
              <w:bottom w:val="nil"/>
              <w:right w:val="single" w:sz="8" w:space="0" w:color="7BA0CD"/>
            </w:tcBorders>
            <w:shd w:val="clear" w:color="auto" w:fill="auto"/>
            <w:vAlign w:val="center"/>
            <w:hideMark/>
          </w:tcPr>
          <w:p w14:paraId="7C77BE60"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24</w:t>
            </w:r>
          </w:p>
        </w:tc>
        <w:tc>
          <w:tcPr>
            <w:tcW w:w="1120" w:type="dxa"/>
            <w:tcBorders>
              <w:top w:val="nil"/>
              <w:left w:val="single" w:sz="8" w:space="0" w:color="7BA0CD"/>
              <w:bottom w:val="nil"/>
            </w:tcBorders>
            <w:shd w:val="clear" w:color="auto" w:fill="auto"/>
            <w:vAlign w:val="center"/>
            <w:hideMark/>
          </w:tcPr>
          <w:p w14:paraId="18CF6ABA"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25</w:t>
            </w:r>
          </w:p>
        </w:tc>
      </w:tr>
      <w:tr w:rsidR="001B357A" w:rsidRPr="00593C9A" w14:paraId="10D17462" w14:textId="77777777" w:rsidTr="00FD20E8">
        <w:trPr>
          <w:trHeight w:val="300"/>
        </w:trPr>
        <w:tc>
          <w:tcPr>
            <w:tcW w:w="3440" w:type="dxa"/>
            <w:tcBorders>
              <w:top w:val="nil"/>
              <w:bottom w:val="nil"/>
              <w:right w:val="single" w:sz="8" w:space="0" w:color="7BA0CD"/>
            </w:tcBorders>
            <w:shd w:val="clear" w:color="auto" w:fill="auto"/>
            <w:vAlign w:val="center"/>
            <w:hideMark/>
          </w:tcPr>
          <w:p w14:paraId="353DCB0B"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Industria</w:t>
            </w:r>
          </w:p>
        </w:tc>
        <w:tc>
          <w:tcPr>
            <w:tcW w:w="1120" w:type="dxa"/>
            <w:tcBorders>
              <w:top w:val="nil"/>
              <w:left w:val="single" w:sz="8" w:space="0" w:color="7BA0CD"/>
              <w:bottom w:val="nil"/>
              <w:right w:val="single" w:sz="8" w:space="0" w:color="7BA0CD"/>
            </w:tcBorders>
            <w:shd w:val="clear" w:color="auto" w:fill="auto"/>
            <w:vAlign w:val="center"/>
            <w:hideMark/>
          </w:tcPr>
          <w:p w14:paraId="1EA3375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1.782</w:t>
            </w:r>
          </w:p>
        </w:tc>
        <w:tc>
          <w:tcPr>
            <w:tcW w:w="1120" w:type="dxa"/>
            <w:tcBorders>
              <w:top w:val="nil"/>
              <w:left w:val="single" w:sz="8" w:space="0" w:color="7BA0CD"/>
              <w:bottom w:val="nil"/>
              <w:right w:val="single" w:sz="8" w:space="0" w:color="7BA0CD"/>
            </w:tcBorders>
            <w:shd w:val="clear" w:color="auto" w:fill="auto"/>
            <w:vAlign w:val="center"/>
            <w:hideMark/>
          </w:tcPr>
          <w:p w14:paraId="768EF65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2.420</w:t>
            </w:r>
          </w:p>
        </w:tc>
        <w:tc>
          <w:tcPr>
            <w:tcW w:w="1120" w:type="dxa"/>
            <w:tcBorders>
              <w:top w:val="nil"/>
              <w:left w:val="single" w:sz="8" w:space="0" w:color="7BA0CD"/>
              <w:bottom w:val="nil"/>
              <w:right w:val="single" w:sz="8" w:space="0" w:color="7BA0CD"/>
            </w:tcBorders>
            <w:shd w:val="clear" w:color="auto" w:fill="auto"/>
            <w:vAlign w:val="center"/>
            <w:hideMark/>
          </w:tcPr>
          <w:p w14:paraId="658D83D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4</w:t>
            </w:r>
          </w:p>
        </w:tc>
        <w:tc>
          <w:tcPr>
            <w:tcW w:w="1120" w:type="dxa"/>
            <w:tcBorders>
              <w:top w:val="nil"/>
              <w:left w:val="single" w:sz="8" w:space="0" w:color="7BA0CD"/>
              <w:bottom w:val="nil"/>
            </w:tcBorders>
            <w:shd w:val="clear" w:color="auto" w:fill="auto"/>
            <w:vAlign w:val="center"/>
            <w:hideMark/>
          </w:tcPr>
          <w:p w14:paraId="01075195"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15</w:t>
            </w:r>
          </w:p>
        </w:tc>
      </w:tr>
      <w:tr w:rsidR="001B357A" w:rsidRPr="00593C9A" w14:paraId="5E1915F5" w14:textId="77777777" w:rsidTr="00FD20E8">
        <w:trPr>
          <w:trHeight w:val="300"/>
        </w:trPr>
        <w:tc>
          <w:tcPr>
            <w:tcW w:w="3440" w:type="dxa"/>
            <w:tcBorders>
              <w:top w:val="nil"/>
              <w:bottom w:val="nil"/>
              <w:right w:val="single" w:sz="8" w:space="0" w:color="7BA0CD"/>
            </w:tcBorders>
            <w:shd w:val="clear" w:color="auto" w:fill="auto"/>
            <w:vAlign w:val="center"/>
            <w:hideMark/>
          </w:tcPr>
          <w:p w14:paraId="4E6A905E" w14:textId="77777777" w:rsidR="001B357A" w:rsidRPr="00117BF8" w:rsidRDefault="001B357A" w:rsidP="001B357A">
            <w:pPr>
              <w:pStyle w:val="TablaC"/>
              <w:jc w:val="left"/>
              <w:rPr>
                <w:rFonts w:ascii="Arial" w:hAnsi="Arial" w:cs="Arial"/>
                <w:sz w:val="18"/>
                <w:szCs w:val="18"/>
                <w:lang w:val="es-ES_tradnl"/>
              </w:rPr>
            </w:pPr>
            <w:r w:rsidRPr="00117BF8">
              <w:rPr>
                <w:rFonts w:ascii="Arial" w:hAnsi="Arial" w:cs="Arial"/>
                <w:sz w:val="18"/>
                <w:szCs w:val="18"/>
                <w:lang w:val="es-ES_tradnl"/>
              </w:rPr>
              <w:t>Comercio Finanzas Seguro y Almacenaje</w:t>
            </w:r>
          </w:p>
        </w:tc>
        <w:tc>
          <w:tcPr>
            <w:tcW w:w="1120" w:type="dxa"/>
            <w:tcBorders>
              <w:top w:val="nil"/>
              <w:left w:val="single" w:sz="8" w:space="0" w:color="7BA0CD"/>
              <w:bottom w:val="nil"/>
              <w:right w:val="single" w:sz="8" w:space="0" w:color="7BA0CD"/>
            </w:tcBorders>
            <w:shd w:val="clear" w:color="auto" w:fill="auto"/>
            <w:vAlign w:val="center"/>
            <w:hideMark/>
          </w:tcPr>
          <w:p w14:paraId="69315766"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42</w:t>
            </w:r>
          </w:p>
        </w:tc>
        <w:tc>
          <w:tcPr>
            <w:tcW w:w="1120" w:type="dxa"/>
            <w:tcBorders>
              <w:top w:val="nil"/>
              <w:left w:val="single" w:sz="8" w:space="0" w:color="7BA0CD"/>
              <w:bottom w:val="nil"/>
              <w:right w:val="single" w:sz="8" w:space="0" w:color="7BA0CD"/>
            </w:tcBorders>
            <w:shd w:val="clear" w:color="auto" w:fill="auto"/>
            <w:vAlign w:val="center"/>
            <w:hideMark/>
          </w:tcPr>
          <w:p w14:paraId="24F2E622"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35</w:t>
            </w:r>
          </w:p>
        </w:tc>
        <w:tc>
          <w:tcPr>
            <w:tcW w:w="1120" w:type="dxa"/>
            <w:tcBorders>
              <w:top w:val="nil"/>
              <w:left w:val="single" w:sz="8" w:space="0" w:color="7BA0CD"/>
              <w:bottom w:val="nil"/>
              <w:right w:val="single" w:sz="8" w:space="0" w:color="7BA0CD"/>
            </w:tcBorders>
            <w:shd w:val="clear" w:color="auto" w:fill="auto"/>
            <w:vAlign w:val="center"/>
            <w:hideMark/>
          </w:tcPr>
          <w:p w14:paraId="1573666B"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4</w:t>
            </w:r>
          </w:p>
        </w:tc>
        <w:tc>
          <w:tcPr>
            <w:tcW w:w="1120" w:type="dxa"/>
            <w:tcBorders>
              <w:top w:val="nil"/>
              <w:left w:val="single" w:sz="8" w:space="0" w:color="7BA0CD"/>
              <w:bottom w:val="nil"/>
            </w:tcBorders>
            <w:shd w:val="clear" w:color="auto" w:fill="auto"/>
            <w:vAlign w:val="center"/>
            <w:hideMark/>
          </w:tcPr>
          <w:p w14:paraId="072CD5F7"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6</w:t>
            </w:r>
          </w:p>
        </w:tc>
      </w:tr>
      <w:tr w:rsidR="001B357A" w:rsidRPr="00593C9A" w14:paraId="230BF0CA" w14:textId="77777777" w:rsidTr="00FD20E8">
        <w:trPr>
          <w:trHeight w:val="300"/>
        </w:trPr>
        <w:tc>
          <w:tcPr>
            <w:tcW w:w="3440" w:type="dxa"/>
            <w:tcBorders>
              <w:top w:val="nil"/>
              <w:bottom w:val="nil"/>
              <w:right w:val="single" w:sz="8" w:space="0" w:color="7BA0CD"/>
            </w:tcBorders>
            <w:shd w:val="clear" w:color="auto" w:fill="auto"/>
            <w:vAlign w:val="center"/>
            <w:hideMark/>
          </w:tcPr>
          <w:p w14:paraId="036C3ECF" w14:textId="77777777" w:rsidR="001B357A" w:rsidRPr="00117BF8" w:rsidRDefault="001B357A" w:rsidP="001B357A">
            <w:pPr>
              <w:pStyle w:val="TablaC"/>
              <w:jc w:val="left"/>
              <w:rPr>
                <w:rFonts w:ascii="Arial" w:hAnsi="Arial" w:cs="Arial"/>
                <w:sz w:val="18"/>
                <w:szCs w:val="18"/>
              </w:rPr>
            </w:pPr>
            <w:r w:rsidRPr="00117BF8">
              <w:rPr>
                <w:rFonts w:ascii="Arial" w:hAnsi="Arial" w:cs="Arial"/>
                <w:sz w:val="18"/>
                <w:szCs w:val="18"/>
              </w:rPr>
              <w:t>Turismo</w:t>
            </w:r>
          </w:p>
        </w:tc>
        <w:tc>
          <w:tcPr>
            <w:tcW w:w="1120" w:type="dxa"/>
            <w:tcBorders>
              <w:top w:val="nil"/>
              <w:left w:val="single" w:sz="8" w:space="0" w:color="7BA0CD"/>
              <w:bottom w:val="nil"/>
              <w:right w:val="single" w:sz="8" w:space="0" w:color="7BA0CD"/>
            </w:tcBorders>
            <w:shd w:val="clear" w:color="auto" w:fill="auto"/>
            <w:vAlign w:val="center"/>
            <w:hideMark/>
          </w:tcPr>
          <w:p w14:paraId="6AB246C4"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35</w:t>
            </w:r>
          </w:p>
        </w:tc>
        <w:tc>
          <w:tcPr>
            <w:tcW w:w="1120" w:type="dxa"/>
            <w:tcBorders>
              <w:top w:val="nil"/>
              <w:left w:val="single" w:sz="8" w:space="0" w:color="7BA0CD"/>
              <w:bottom w:val="nil"/>
              <w:right w:val="single" w:sz="8" w:space="0" w:color="7BA0CD"/>
            </w:tcBorders>
            <w:shd w:val="clear" w:color="auto" w:fill="auto"/>
            <w:vAlign w:val="center"/>
            <w:hideMark/>
          </w:tcPr>
          <w:p w14:paraId="5451B68D"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c>
          <w:tcPr>
            <w:tcW w:w="1120" w:type="dxa"/>
            <w:tcBorders>
              <w:top w:val="nil"/>
              <w:left w:val="single" w:sz="8" w:space="0" w:color="7BA0CD"/>
              <w:bottom w:val="nil"/>
              <w:right w:val="single" w:sz="8" w:space="0" w:color="7BA0CD"/>
            </w:tcBorders>
            <w:shd w:val="clear" w:color="auto" w:fill="auto"/>
            <w:vAlign w:val="center"/>
            <w:hideMark/>
          </w:tcPr>
          <w:p w14:paraId="5DD527E5"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c>
          <w:tcPr>
            <w:tcW w:w="1120" w:type="dxa"/>
            <w:tcBorders>
              <w:top w:val="nil"/>
              <w:left w:val="single" w:sz="8" w:space="0" w:color="7BA0CD"/>
              <w:bottom w:val="nil"/>
            </w:tcBorders>
            <w:shd w:val="clear" w:color="auto" w:fill="auto"/>
            <w:vAlign w:val="center"/>
            <w:hideMark/>
          </w:tcPr>
          <w:p w14:paraId="556872E0"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r>
      <w:tr w:rsidR="001B357A" w:rsidRPr="00593C9A" w14:paraId="3C9EC39B" w14:textId="77777777" w:rsidTr="00FD20E8">
        <w:trPr>
          <w:trHeight w:val="450"/>
        </w:trPr>
        <w:tc>
          <w:tcPr>
            <w:tcW w:w="3440" w:type="dxa"/>
            <w:tcBorders>
              <w:top w:val="nil"/>
              <w:bottom w:val="nil"/>
              <w:right w:val="single" w:sz="8" w:space="0" w:color="7BA0CD"/>
            </w:tcBorders>
            <w:shd w:val="clear" w:color="auto" w:fill="auto"/>
            <w:vAlign w:val="center"/>
            <w:hideMark/>
          </w:tcPr>
          <w:p w14:paraId="1C214110" w14:textId="77777777" w:rsidR="001B357A" w:rsidRPr="00117BF8" w:rsidRDefault="001B357A" w:rsidP="001B357A">
            <w:pPr>
              <w:pStyle w:val="TablaC"/>
              <w:jc w:val="left"/>
              <w:rPr>
                <w:rFonts w:ascii="Arial" w:hAnsi="Arial" w:cs="Arial"/>
                <w:b/>
                <w:bCs/>
                <w:sz w:val="18"/>
                <w:szCs w:val="18"/>
              </w:rPr>
            </w:pPr>
            <w:r w:rsidRPr="00117BF8">
              <w:rPr>
                <w:rFonts w:ascii="Arial" w:hAnsi="Arial" w:cs="Arial"/>
                <w:b/>
                <w:bCs/>
                <w:sz w:val="18"/>
                <w:szCs w:val="18"/>
              </w:rPr>
              <w:t>TOTAL - Servicios Económicos</w:t>
            </w:r>
          </w:p>
        </w:tc>
        <w:tc>
          <w:tcPr>
            <w:tcW w:w="1120" w:type="dxa"/>
            <w:tcBorders>
              <w:top w:val="nil"/>
              <w:left w:val="single" w:sz="8" w:space="0" w:color="7BA0CD"/>
              <w:bottom w:val="nil"/>
              <w:right w:val="single" w:sz="8" w:space="0" w:color="7BA0CD"/>
            </w:tcBorders>
            <w:shd w:val="clear" w:color="auto" w:fill="auto"/>
            <w:vAlign w:val="center"/>
            <w:hideMark/>
          </w:tcPr>
          <w:p w14:paraId="42C9C7D2"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3.831</w:t>
            </w:r>
          </w:p>
        </w:tc>
        <w:tc>
          <w:tcPr>
            <w:tcW w:w="1120" w:type="dxa"/>
            <w:tcBorders>
              <w:top w:val="nil"/>
              <w:left w:val="single" w:sz="8" w:space="0" w:color="7BA0CD"/>
              <w:bottom w:val="nil"/>
              <w:right w:val="single" w:sz="8" w:space="0" w:color="7BA0CD"/>
            </w:tcBorders>
            <w:shd w:val="clear" w:color="auto" w:fill="auto"/>
            <w:vAlign w:val="center"/>
            <w:hideMark/>
          </w:tcPr>
          <w:p w14:paraId="5203A84B"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4.964</w:t>
            </w:r>
          </w:p>
        </w:tc>
        <w:tc>
          <w:tcPr>
            <w:tcW w:w="1120" w:type="dxa"/>
            <w:tcBorders>
              <w:top w:val="nil"/>
              <w:left w:val="single" w:sz="8" w:space="0" w:color="7BA0CD"/>
              <w:bottom w:val="nil"/>
              <w:right w:val="single" w:sz="8" w:space="0" w:color="7BA0CD"/>
            </w:tcBorders>
            <w:shd w:val="clear" w:color="auto" w:fill="auto"/>
            <w:vAlign w:val="center"/>
            <w:hideMark/>
          </w:tcPr>
          <w:p w14:paraId="715C1963"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1.306</w:t>
            </w:r>
          </w:p>
        </w:tc>
        <w:tc>
          <w:tcPr>
            <w:tcW w:w="1120" w:type="dxa"/>
            <w:tcBorders>
              <w:top w:val="nil"/>
              <w:left w:val="single" w:sz="8" w:space="0" w:color="7BA0CD"/>
              <w:bottom w:val="nil"/>
            </w:tcBorders>
            <w:shd w:val="clear" w:color="auto" w:fill="auto"/>
            <w:vAlign w:val="center"/>
            <w:hideMark/>
          </w:tcPr>
          <w:p w14:paraId="7546EA7D"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2.555</w:t>
            </w:r>
          </w:p>
        </w:tc>
      </w:tr>
      <w:tr w:rsidR="001B357A" w:rsidRPr="00593C9A" w14:paraId="6ED66BD7" w14:textId="77777777" w:rsidTr="00FD20E8">
        <w:trPr>
          <w:trHeight w:val="300"/>
        </w:trPr>
        <w:tc>
          <w:tcPr>
            <w:tcW w:w="3440" w:type="dxa"/>
            <w:tcBorders>
              <w:top w:val="nil"/>
              <w:bottom w:val="nil"/>
              <w:right w:val="single" w:sz="8" w:space="0" w:color="7BA0CD"/>
            </w:tcBorders>
            <w:shd w:val="clear" w:color="auto" w:fill="auto"/>
            <w:vAlign w:val="center"/>
            <w:hideMark/>
          </w:tcPr>
          <w:p w14:paraId="31C2F770" w14:textId="77777777" w:rsidR="001B357A" w:rsidRPr="00117BF8" w:rsidRDefault="001B357A" w:rsidP="001B357A">
            <w:pPr>
              <w:pStyle w:val="TablaC"/>
              <w:jc w:val="left"/>
              <w:rPr>
                <w:rFonts w:ascii="Arial" w:hAnsi="Arial" w:cs="Arial"/>
                <w:sz w:val="18"/>
                <w:szCs w:val="18"/>
                <w:lang w:val="es-ES_tradnl"/>
              </w:rPr>
            </w:pPr>
            <w:r w:rsidRPr="00117BF8">
              <w:rPr>
                <w:rFonts w:ascii="Arial" w:hAnsi="Arial" w:cs="Arial"/>
                <w:sz w:val="18"/>
                <w:szCs w:val="18"/>
                <w:lang w:val="es-ES_tradnl"/>
              </w:rPr>
              <w:t>Servicios de la Deuda Pública</w:t>
            </w:r>
          </w:p>
        </w:tc>
        <w:tc>
          <w:tcPr>
            <w:tcW w:w="1120" w:type="dxa"/>
            <w:tcBorders>
              <w:top w:val="nil"/>
              <w:left w:val="single" w:sz="8" w:space="0" w:color="7BA0CD"/>
              <w:bottom w:val="nil"/>
              <w:right w:val="single" w:sz="8" w:space="0" w:color="7BA0CD"/>
            </w:tcBorders>
            <w:shd w:val="clear" w:color="auto" w:fill="auto"/>
            <w:vAlign w:val="center"/>
            <w:hideMark/>
          </w:tcPr>
          <w:p w14:paraId="1F9B4D45"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c>
          <w:tcPr>
            <w:tcW w:w="1120" w:type="dxa"/>
            <w:tcBorders>
              <w:top w:val="nil"/>
              <w:left w:val="single" w:sz="8" w:space="0" w:color="7BA0CD"/>
              <w:bottom w:val="nil"/>
              <w:right w:val="single" w:sz="8" w:space="0" w:color="7BA0CD"/>
            </w:tcBorders>
            <w:shd w:val="clear" w:color="auto" w:fill="auto"/>
            <w:vAlign w:val="center"/>
            <w:hideMark/>
          </w:tcPr>
          <w:p w14:paraId="23F011C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c>
          <w:tcPr>
            <w:tcW w:w="1120" w:type="dxa"/>
            <w:tcBorders>
              <w:top w:val="nil"/>
              <w:left w:val="single" w:sz="8" w:space="0" w:color="7BA0CD"/>
              <w:bottom w:val="nil"/>
              <w:right w:val="single" w:sz="8" w:space="0" w:color="7BA0CD"/>
            </w:tcBorders>
            <w:shd w:val="clear" w:color="auto" w:fill="auto"/>
            <w:vAlign w:val="center"/>
            <w:hideMark/>
          </w:tcPr>
          <w:p w14:paraId="4BE6E498"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c>
          <w:tcPr>
            <w:tcW w:w="1120" w:type="dxa"/>
            <w:tcBorders>
              <w:top w:val="nil"/>
              <w:left w:val="single" w:sz="8" w:space="0" w:color="7BA0CD"/>
              <w:bottom w:val="nil"/>
            </w:tcBorders>
            <w:shd w:val="clear" w:color="auto" w:fill="auto"/>
            <w:vAlign w:val="center"/>
            <w:hideMark/>
          </w:tcPr>
          <w:p w14:paraId="73DC8B3C" w14:textId="77777777" w:rsidR="001B357A" w:rsidRPr="00117BF8" w:rsidRDefault="001B357A" w:rsidP="001B357A">
            <w:pPr>
              <w:pStyle w:val="TablaC"/>
              <w:rPr>
                <w:rFonts w:ascii="Arial" w:hAnsi="Arial" w:cs="Arial"/>
                <w:sz w:val="18"/>
                <w:szCs w:val="18"/>
              </w:rPr>
            </w:pPr>
            <w:r w:rsidRPr="00117BF8">
              <w:rPr>
                <w:rFonts w:ascii="Arial" w:hAnsi="Arial" w:cs="Arial"/>
                <w:sz w:val="18"/>
                <w:szCs w:val="18"/>
              </w:rPr>
              <w:t>0</w:t>
            </w:r>
          </w:p>
        </w:tc>
      </w:tr>
      <w:tr w:rsidR="001B357A" w:rsidRPr="00593C9A" w14:paraId="3332CE10" w14:textId="77777777" w:rsidTr="00FD20E8">
        <w:trPr>
          <w:trHeight w:val="315"/>
        </w:trPr>
        <w:tc>
          <w:tcPr>
            <w:tcW w:w="3440" w:type="dxa"/>
            <w:tcBorders>
              <w:top w:val="nil"/>
              <w:bottom w:val="nil"/>
              <w:right w:val="single" w:sz="8" w:space="0" w:color="7BA0CD"/>
            </w:tcBorders>
            <w:shd w:val="clear" w:color="auto" w:fill="auto"/>
            <w:vAlign w:val="center"/>
            <w:hideMark/>
          </w:tcPr>
          <w:p w14:paraId="32F3F870" w14:textId="77777777" w:rsidR="001B357A" w:rsidRPr="00117BF8" w:rsidRDefault="001B357A" w:rsidP="001B357A">
            <w:pPr>
              <w:pStyle w:val="TablaC"/>
              <w:jc w:val="left"/>
              <w:rPr>
                <w:rFonts w:ascii="Arial" w:hAnsi="Arial" w:cs="Arial"/>
                <w:b/>
                <w:bCs/>
                <w:sz w:val="18"/>
                <w:szCs w:val="18"/>
              </w:rPr>
            </w:pPr>
            <w:r w:rsidRPr="00117BF8">
              <w:rPr>
                <w:rFonts w:ascii="Arial" w:hAnsi="Arial" w:cs="Arial"/>
                <w:b/>
                <w:bCs/>
                <w:sz w:val="18"/>
                <w:szCs w:val="18"/>
              </w:rPr>
              <w:t>TOTAL - Deuda Pública</w:t>
            </w:r>
          </w:p>
        </w:tc>
        <w:tc>
          <w:tcPr>
            <w:tcW w:w="1120" w:type="dxa"/>
            <w:tcBorders>
              <w:top w:val="nil"/>
              <w:left w:val="single" w:sz="8" w:space="0" w:color="7BA0CD"/>
              <w:bottom w:val="nil"/>
              <w:right w:val="single" w:sz="8" w:space="0" w:color="7BA0CD"/>
            </w:tcBorders>
            <w:shd w:val="clear" w:color="auto" w:fill="auto"/>
            <w:vAlign w:val="center"/>
            <w:hideMark/>
          </w:tcPr>
          <w:p w14:paraId="548EB8BA"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0</w:t>
            </w:r>
          </w:p>
        </w:tc>
        <w:tc>
          <w:tcPr>
            <w:tcW w:w="1120" w:type="dxa"/>
            <w:tcBorders>
              <w:top w:val="nil"/>
              <w:left w:val="single" w:sz="8" w:space="0" w:color="7BA0CD"/>
              <w:bottom w:val="nil"/>
              <w:right w:val="single" w:sz="8" w:space="0" w:color="7BA0CD"/>
            </w:tcBorders>
            <w:shd w:val="clear" w:color="auto" w:fill="auto"/>
            <w:vAlign w:val="center"/>
            <w:hideMark/>
          </w:tcPr>
          <w:p w14:paraId="0251A1D3"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0</w:t>
            </w:r>
          </w:p>
        </w:tc>
        <w:tc>
          <w:tcPr>
            <w:tcW w:w="1120" w:type="dxa"/>
            <w:tcBorders>
              <w:top w:val="nil"/>
              <w:left w:val="single" w:sz="8" w:space="0" w:color="7BA0CD"/>
              <w:bottom w:val="nil"/>
              <w:right w:val="single" w:sz="8" w:space="0" w:color="7BA0CD"/>
            </w:tcBorders>
            <w:shd w:val="clear" w:color="auto" w:fill="auto"/>
            <w:vAlign w:val="center"/>
            <w:hideMark/>
          </w:tcPr>
          <w:p w14:paraId="10B9BE7F"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0</w:t>
            </w:r>
          </w:p>
        </w:tc>
        <w:tc>
          <w:tcPr>
            <w:tcW w:w="1120" w:type="dxa"/>
            <w:tcBorders>
              <w:top w:val="nil"/>
              <w:left w:val="single" w:sz="8" w:space="0" w:color="7BA0CD"/>
              <w:bottom w:val="nil"/>
            </w:tcBorders>
            <w:shd w:val="clear" w:color="auto" w:fill="auto"/>
            <w:vAlign w:val="center"/>
            <w:hideMark/>
          </w:tcPr>
          <w:p w14:paraId="40CDD360"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0</w:t>
            </w:r>
          </w:p>
        </w:tc>
      </w:tr>
      <w:tr w:rsidR="001B357A" w:rsidRPr="00593C9A" w14:paraId="3476087B" w14:textId="77777777" w:rsidTr="00FD20E8">
        <w:trPr>
          <w:trHeight w:val="315"/>
        </w:trPr>
        <w:tc>
          <w:tcPr>
            <w:tcW w:w="3440" w:type="dxa"/>
            <w:tcBorders>
              <w:top w:val="nil"/>
              <w:bottom w:val="single" w:sz="8" w:space="0" w:color="7BA0CD"/>
              <w:right w:val="single" w:sz="8" w:space="0" w:color="7BA0CD"/>
            </w:tcBorders>
            <w:shd w:val="clear" w:color="auto" w:fill="auto"/>
            <w:vAlign w:val="center"/>
            <w:hideMark/>
          </w:tcPr>
          <w:p w14:paraId="3F17FA87" w14:textId="77777777" w:rsidR="001B357A" w:rsidRPr="00117BF8" w:rsidRDefault="001B357A" w:rsidP="001B357A">
            <w:pPr>
              <w:pStyle w:val="TablaC"/>
              <w:jc w:val="left"/>
              <w:rPr>
                <w:rFonts w:ascii="Arial" w:hAnsi="Arial" w:cs="Arial"/>
                <w:b/>
                <w:bCs/>
                <w:sz w:val="18"/>
                <w:szCs w:val="18"/>
              </w:rPr>
            </w:pPr>
            <w:r w:rsidRPr="00117BF8">
              <w:rPr>
                <w:rFonts w:ascii="Arial" w:hAnsi="Arial" w:cs="Arial"/>
                <w:b/>
                <w:bCs/>
                <w:sz w:val="18"/>
                <w:szCs w:val="18"/>
              </w:rPr>
              <w:t>TOTAL - General</w:t>
            </w:r>
          </w:p>
        </w:tc>
        <w:tc>
          <w:tcPr>
            <w:tcW w:w="1120" w:type="dxa"/>
            <w:tcBorders>
              <w:top w:val="nil"/>
              <w:left w:val="single" w:sz="8" w:space="0" w:color="7BA0CD"/>
              <w:bottom w:val="single" w:sz="8" w:space="0" w:color="7BA0CD"/>
              <w:right w:val="single" w:sz="8" w:space="0" w:color="7BA0CD"/>
            </w:tcBorders>
            <w:shd w:val="clear" w:color="auto" w:fill="auto"/>
            <w:vAlign w:val="center"/>
            <w:hideMark/>
          </w:tcPr>
          <w:p w14:paraId="15F2E829"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147.830</w:t>
            </w:r>
          </w:p>
        </w:tc>
        <w:tc>
          <w:tcPr>
            <w:tcW w:w="1120" w:type="dxa"/>
            <w:tcBorders>
              <w:top w:val="nil"/>
              <w:left w:val="single" w:sz="8" w:space="0" w:color="7BA0CD"/>
              <w:bottom w:val="single" w:sz="8" w:space="0" w:color="7BA0CD"/>
              <w:right w:val="single" w:sz="8" w:space="0" w:color="7BA0CD"/>
            </w:tcBorders>
            <w:shd w:val="clear" w:color="auto" w:fill="auto"/>
            <w:vAlign w:val="center"/>
            <w:hideMark/>
          </w:tcPr>
          <w:p w14:paraId="22C11B94"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198.343</w:t>
            </w:r>
          </w:p>
        </w:tc>
        <w:tc>
          <w:tcPr>
            <w:tcW w:w="1120" w:type="dxa"/>
            <w:tcBorders>
              <w:top w:val="nil"/>
              <w:left w:val="single" w:sz="8" w:space="0" w:color="7BA0CD"/>
              <w:bottom w:val="single" w:sz="8" w:space="0" w:color="7BA0CD"/>
              <w:right w:val="single" w:sz="8" w:space="0" w:color="7BA0CD"/>
            </w:tcBorders>
            <w:shd w:val="clear" w:color="auto" w:fill="auto"/>
            <w:vAlign w:val="center"/>
            <w:hideMark/>
          </w:tcPr>
          <w:p w14:paraId="654BB675"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112.603</w:t>
            </w:r>
          </w:p>
        </w:tc>
        <w:tc>
          <w:tcPr>
            <w:tcW w:w="1120" w:type="dxa"/>
            <w:tcBorders>
              <w:top w:val="nil"/>
              <w:left w:val="single" w:sz="8" w:space="0" w:color="7BA0CD"/>
              <w:bottom w:val="single" w:sz="8" w:space="0" w:color="7BA0CD"/>
            </w:tcBorders>
            <w:shd w:val="clear" w:color="auto" w:fill="auto"/>
            <w:vAlign w:val="center"/>
            <w:hideMark/>
          </w:tcPr>
          <w:p w14:paraId="24A3A177" w14:textId="77777777" w:rsidR="001B357A" w:rsidRPr="00117BF8" w:rsidRDefault="001B357A" w:rsidP="001B357A">
            <w:pPr>
              <w:pStyle w:val="TablaC"/>
              <w:rPr>
                <w:rFonts w:ascii="Arial" w:hAnsi="Arial" w:cs="Arial"/>
                <w:b/>
                <w:bCs/>
                <w:sz w:val="18"/>
                <w:szCs w:val="18"/>
              </w:rPr>
            </w:pPr>
            <w:r w:rsidRPr="00117BF8">
              <w:rPr>
                <w:rFonts w:ascii="Arial" w:hAnsi="Arial" w:cs="Arial"/>
                <w:b/>
                <w:bCs/>
                <w:sz w:val="18"/>
                <w:szCs w:val="18"/>
              </w:rPr>
              <w:t>177.856</w:t>
            </w:r>
          </w:p>
        </w:tc>
      </w:tr>
    </w:tbl>
    <w:p w14:paraId="2F301DA4" w14:textId="77777777" w:rsidR="00225120" w:rsidRPr="00117BF8" w:rsidRDefault="00225120" w:rsidP="00225120">
      <w:pPr>
        <w:pStyle w:val="Hfuente"/>
        <w:rPr>
          <w:rFonts w:ascii="Arial" w:hAnsi="Arial" w:cs="Arial"/>
          <w:sz w:val="18"/>
          <w:szCs w:val="18"/>
          <w:lang w:val="es-AR" w:eastAsia="es-AR"/>
        </w:rPr>
      </w:pPr>
      <w:r w:rsidRPr="00117BF8">
        <w:rPr>
          <w:rFonts w:ascii="Arial" w:hAnsi="Arial" w:cs="Arial"/>
          <w:sz w:val="18"/>
          <w:szCs w:val="18"/>
          <w:lang w:val="es-AR" w:eastAsia="es-AR"/>
        </w:rPr>
        <w:t xml:space="preserve">Fuente: Elaboración propia con datos de CGPBA </w:t>
      </w:r>
    </w:p>
    <w:p w14:paraId="63EDF6F1" w14:textId="77777777" w:rsidR="001B357A" w:rsidRPr="00117BF8" w:rsidRDefault="001B357A" w:rsidP="001B357A">
      <w:pPr>
        <w:pStyle w:val="hsa"/>
        <w:rPr>
          <w:rFonts w:ascii="Arial" w:eastAsia="Calibri" w:hAnsi="Arial" w:cs="Arial"/>
          <w:sz w:val="18"/>
          <w:szCs w:val="18"/>
        </w:rPr>
      </w:pPr>
    </w:p>
    <w:p w14:paraId="084757F7" w14:textId="77777777" w:rsidR="00EA1F56" w:rsidRPr="00117BF8" w:rsidRDefault="00EA1F56" w:rsidP="00EA1F56">
      <w:pPr>
        <w:pStyle w:val="hsa"/>
        <w:rPr>
          <w:rFonts w:ascii="Arial" w:eastAsia="Calibri" w:hAnsi="Arial" w:cs="Arial"/>
        </w:rPr>
        <w:sectPr w:rsidR="00EA1F56" w:rsidRPr="00117BF8" w:rsidSect="009F594F">
          <w:headerReference w:type="default" r:id="rId73"/>
          <w:footerReference w:type="default" r:id="rId74"/>
          <w:pgSz w:w="11907" w:h="16840"/>
          <w:pgMar w:top="1418" w:right="1701" w:bottom="1418" w:left="1701" w:header="851" w:footer="851" w:gutter="0"/>
          <w:cols w:space="720"/>
          <w:docGrid w:linePitch="326"/>
        </w:sectPr>
      </w:pPr>
    </w:p>
    <w:tbl>
      <w:tblPr>
        <w:tblW w:w="13990" w:type="dxa"/>
        <w:tblInd w:w="55" w:type="dxa"/>
        <w:tblCellMar>
          <w:left w:w="70" w:type="dxa"/>
          <w:right w:w="70" w:type="dxa"/>
        </w:tblCellMar>
        <w:tblLook w:val="04A0" w:firstRow="1" w:lastRow="0" w:firstColumn="1" w:lastColumn="0" w:noHBand="0" w:noVBand="1"/>
      </w:tblPr>
      <w:tblGrid>
        <w:gridCol w:w="5766"/>
        <w:gridCol w:w="1028"/>
        <w:gridCol w:w="1028"/>
        <w:gridCol w:w="1028"/>
        <w:gridCol w:w="1028"/>
        <w:gridCol w:w="1028"/>
        <w:gridCol w:w="1028"/>
        <w:gridCol w:w="1028"/>
        <w:gridCol w:w="1028"/>
      </w:tblGrid>
      <w:tr w:rsidR="00ED1952" w:rsidRPr="004E6455" w14:paraId="6F70253D" w14:textId="77777777" w:rsidTr="00FD20E8">
        <w:trPr>
          <w:trHeight w:val="330"/>
        </w:trPr>
        <w:tc>
          <w:tcPr>
            <w:tcW w:w="13990" w:type="dxa"/>
            <w:gridSpan w:val="9"/>
            <w:tcBorders>
              <w:top w:val="single" w:sz="8" w:space="0" w:color="7BA0CD"/>
              <w:left w:val="single" w:sz="8" w:space="0" w:color="7BA0CD"/>
              <w:bottom w:val="single" w:sz="8" w:space="0" w:color="7BA0CD"/>
              <w:right w:val="single" w:sz="8" w:space="0" w:color="7BA0CD"/>
            </w:tcBorders>
            <w:shd w:val="clear" w:color="auto" w:fill="0070C0"/>
            <w:noWrap/>
            <w:vAlign w:val="center"/>
          </w:tcPr>
          <w:p w14:paraId="3406441F" w14:textId="77777777" w:rsidR="00ED1952" w:rsidRPr="00117BF8" w:rsidRDefault="00ED1952" w:rsidP="00ED1952">
            <w:pPr>
              <w:pStyle w:val="TablaT"/>
              <w:rPr>
                <w:rFonts w:ascii="Arial" w:hAnsi="Arial" w:cs="Arial"/>
                <w:bCs/>
                <w:sz w:val="22"/>
                <w:szCs w:val="22"/>
                <w:lang w:val="es-AR" w:eastAsia="es-AR"/>
              </w:rPr>
            </w:pPr>
            <w:bookmarkStart w:id="160" w:name="_Toc493861166"/>
            <w:r w:rsidRPr="00117BF8">
              <w:rPr>
                <w:rFonts w:ascii="Arial" w:hAnsi="Arial" w:cs="Arial"/>
                <w:bCs/>
                <w:sz w:val="22"/>
                <w:szCs w:val="22"/>
                <w:lang w:val="es-ES_tradnl"/>
              </w:rPr>
              <w:t>Tabla A III – 10 - Servicio de la Deuda y Disminución De Otros Pasivos</w:t>
            </w:r>
            <w:bookmarkEnd w:id="160"/>
          </w:p>
        </w:tc>
      </w:tr>
      <w:tr w:rsidR="004F3D41" w:rsidRPr="004E6455" w14:paraId="43C8438D" w14:textId="77777777" w:rsidTr="00FD20E8">
        <w:trPr>
          <w:trHeight w:val="330"/>
        </w:trPr>
        <w:tc>
          <w:tcPr>
            <w:tcW w:w="5766" w:type="dxa"/>
            <w:vMerge w:val="restart"/>
            <w:tcBorders>
              <w:top w:val="single" w:sz="8" w:space="0" w:color="7BA0CD"/>
              <w:left w:val="single" w:sz="8" w:space="0" w:color="7BA0CD"/>
              <w:right w:val="single" w:sz="12" w:space="0" w:color="7BA0CD"/>
            </w:tcBorders>
            <w:shd w:val="clear" w:color="auto" w:fill="0070C0"/>
            <w:noWrap/>
            <w:vAlign w:val="center"/>
            <w:hideMark/>
          </w:tcPr>
          <w:p w14:paraId="3C51760B" w14:textId="77777777" w:rsidR="004F3D41" w:rsidRPr="00117BF8" w:rsidRDefault="004F3D41" w:rsidP="004F3D41">
            <w:pPr>
              <w:pStyle w:val="TablaE"/>
              <w:rPr>
                <w:rFonts w:ascii="Arial" w:hAnsi="Arial" w:cs="Arial"/>
                <w:bCs/>
                <w:sz w:val="22"/>
                <w:szCs w:val="22"/>
                <w:lang w:val="es-AR" w:eastAsia="es-AR"/>
              </w:rPr>
            </w:pPr>
            <w:r w:rsidRPr="00117BF8">
              <w:rPr>
                <w:rFonts w:ascii="Arial" w:hAnsi="Arial" w:cs="Arial"/>
                <w:bCs/>
                <w:sz w:val="22"/>
                <w:szCs w:val="22"/>
                <w:lang w:val="es-AR" w:eastAsia="es-AR"/>
              </w:rPr>
              <w:t>Concepto </w:t>
            </w:r>
          </w:p>
        </w:tc>
        <w:tc>
          <w:tcPr>
            <w:tcW w:w="4112" w:type="dxa"/>
            <w:gridSpan w:val="4"/>
            <w:tcBorders>
              <w:top w:val="single" w:sz="12" w:space="0" w:color="7BA0CD"/>
              <w:left w:val="single" w:sz="12" w:space="0" w:color="7BA0CD"/>
              <w:bottom w:val="single" w:sz="12" w:space="0" w:color="7BA0CD"/>
              <w:right w:val="single" w:sz="12" w:space="0" w:color="7BA0CD"/>
            </w:tcBorders>
            <w:shd w:val="clear" w:color="auto" w:fill="0070C0"/>
            <w:noWrap/>
            <w:vAlign w:val="center"/>
            <w:hideMark/>
          </w:tcPr>
          <w:p w14:paraId="1C2A5898"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Millones de Pesos</w:t>
            </w:r>
          </w:p>
        </w:tc>
        <w:tc>
          <w:tcPr>
            <w:tcW w:w="4112" w:type="dxa"/>
            <w:gridSpan w:val="4"/>
            <w:tcBorders>
              <w:top w:val="single" w:sz="12" w:space="0" w:color="7BA0CD"/>
              <w:left w:val="single" w:sz="12" w:space="0" w:color="7BA0CD"/>
              <w:bottom w:val="single" w:sz="8" w:space="0" w:color="7BA0CD"/>
              <w:right w:val="single" w:sz="8" w:space="0" w:color="7BA0CD"/>
            </w:tcBorders>
            <w:shd w:val="clear" w:color="auto" w:fill="0070C0"/>
            <w:vAlign w:val="bottom"/>
            <w:hideMark/>
          </w:tcPr>
          <w:p w14:paraId="1F957578"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%Utilización del Crédito</w:t>
            </w:r>
          </w:p>
        </w:tc>
      </w:tr>
      <w:tr w:rsidR="00FD20E8" w:rsidRPr="004E6455" w14:paraId="39E7021C" w14:textId="77777777" w:rsidTr="00FD20E8">
        <w:trPr>
          <w:trHeight w:val="330"/>
        </w:trPr>
        <w:tc>
          <w:tcPr>
            <w:tcW w:w="5766" w:type="dxa"/>
            <w:vMerge/>
            <w:tcBorders>
              <w:left w:val="single" w:sz="8" w:space="0" w:color="7BA0CD"/>
              <w:bottom w:val="single" w:sz="8" w:space="0" w:color="7BA0CD"/>
              <w:right w:val="single" w:sz="12" w:space="0" w:color="7BA0CD"/>
            </w:tcBorders>
            <w:shd w:val="clear" w:color="auto" w:fill="0070C0"/>
            <w:noWrap/>
            <w:vAlign w:val="bottom"/>
            <w:hideMark/>
          </w:tcPr>
          <w:p w14:paraId="74D45295" w14:textId="77777777" w:rsidR="004F3D41" w:rsidRPr="00117BF8" w:rsidRDefault="004F3D41" w:rsidP="00225120">
            <w:pPr>
              <w:pStyle w:val="TablaE"/>
              <w:rPr>
                <w:rFonts w:ascii="Arial" w:hAnsi="Arial" w:cs="Arial"/>
                <w:bCs/>
                <w:sz w:val="22"/>
                <w:szCs w:val="22"/>
                <w:lang w:val="es-AR" w:eastAsia="es-AR"/>
              </w:rPr>
            </w:pPr>
          </w:p>
        </w:tc>
        <w:tc>
          <w:tcPr>
            <w:tcW w:w="1028" w:type="dxa"/>
            <w:tcBorders>
              <w:top w:val="single" w:sz="12" w:space="0" w:color="7BA0CD"/>
              <w:left w:val="single" w:sz="12" w:space="0" w:color="7BA0CD"/>
              <w:bottom w:val="single" w:sz="8" w:space="0" w:color="7BA0CD"/>
              <w:right w:val="single" w:sz="8" w:space="0" w:color="7BA0CD"/>
            </w:tcBorders>
            <w:shd w:val="clear" w:color="auto" w:fill="0070C0"/>
            <w:vAlign w:val="center"/>
            <w:hideMark/>
          </w:tcPr>
          <w:p w14:paraId="10712095"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2013</w:t>
            </w:r>
          </w:p>
        </w:tc>
        <w:tc>
          <w:tcPr>
            <w:tcW w:w="1028" w:type="dxa"/>
            <w:tcBorders>
              <w:top w:val="single" w:sz="12" w:space="0" w:color="7BA0CD"/>
              <w:left w:val="single" w:sz="8" w:space="0" w:color="7BA0CD"/>
              <w:bottom w:val="single" w:sz="8" w:space="0" w:color="7BA0CD"/>
              <w:right w:val="single" w:sz="8" w:space="0" w:color="7BA0CD"/>
            </w:tcBorders>
            <w:shd w:val="clear" w:color="auto" w:fill="0070C0"/>
            <w:vAlign w:val="center"/>
            <w:hideMark/>
          </w:tcPr>
          <w:p w14:paraId="5EFBB0BF"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2014</w:t>
            </w:r>
          </w:p>
        </w:tc>
        <w:tc>
          <w:tcPr>
            <w:tcW w:w="1028" w:type="dxa"/>
            <w:tcBorders>
              <w:top w:val="single" w:sz="12" w:space="0" w:color="7BA0CD"/>
              <w:left w:val="single" w:sz="8" w:space="0" w:color="7BA0CD"/>
              <w:bottom w:val="single" w:sz="8" w:space="0" w:color="7BA0CD"/>
              <w:right w:val="single" w:sz="8" w:space="0" w:color="7BA0CD"/>
            </w:tcBorders>
            <w:shd w:val="clear" w:color="auto" w:fill="0070C0"/>
            <w:vAlign w:val="center"/>
            <w:hideMark/>
          </w:tcPr>
          <w:p w14:paraId="78B86733"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028" w:type="dxa"/>
            <w:tcBorders>
              <w:top w:val="single" w:sz="12" w:space="0" w:color="7BA0CD"/>
              <w:left w:val="single" w:sz="8" w:space="0" w:color="7BA0CD"/>
              <w:bottom w:val="single" w:sz="8" w:space="0" w:color="7BA0CD"/>
              <w:right w:val="single" w:sz="12" w:space="0" w:color="7BA0CD"/>
            </w:tcBorders>
            <w:shd w:val="clear" w:color="auto" w:fill="0070C0"/>
            <w:vAlign w:val="center"/>
            <w:hideMark/>
          </w:tcPr>
          <w:p w14:paraId="555C0B3C"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c>
          <w:tcPr>
            <w:tcW w:w="1028" w:type="dxa"/>
            <w:tcBorders>
              <w:left w:val="single" w:sz="12" w:space="0" w:color="7BA0CD"/>
              <w:bottom w:val="single" w:sz="8" w:space="0" w:color="7BA0CD"/>
              <w:right w:val="single" w:sz="8" w:space="0" w:color="7BA0CD"/>
            </w:tcBorders>
            <w:shd w:val="clear" w:color="auto" w:fill="0070C0"/>
            <w:vAlign w:val="center"/>
            <w:hideMark/>
          </w:tcPr>
          <w:p w14:paraId="4727D271"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2013</w:t>
            </w:r>
          </w:p>
        </w:tc>
        <w:tc>
          <w:tcPr>
            <w:tcW w:w="1028" w:type="dxa"/>
            <w:tcBorders>
              <w:top w:val="single" w:sz="8" w:space="0" w:color="7BA0CD"/>
              <w:left w:val="single" w:sz="8" w:space="0" w:color="7BA0CD"/>
              <w:bottom w:val="single" w:sz="8" w:space="0" w:color="7BA0CD"/>
              <w:right w:val="single" w:sz="8" w:space="0" w:color="7BA0CD"/>
            </w:tcBorders>
            <w:shd w:val="clear" w:color="auto" w:fill="0070C0"/>
            <w:vAlign w:val="center"/>
            <w:hideMark/>
          </w:tcPr>
          <w:p w14:paraId="5DC10421"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2014</w:t>
            </w:r>
          </w:p>
        </w:tc>
        <w:tc>
          <w:tcPr>
            <w:tcW w:w="1028" w:type="dxa"/>
            <w:tcBorders>
              <w:top w:val="single" w:sz="8" w:space="0" w:color="7BA0CD"/>
              <w:left w:val="single" w:sz="8" w:space="0" w:color="7BA0CD"/>
              <w:bottom w:val="single" w:sz="8" w:space="0" w:color="7BA0CD"/>
              <w:right w:val="single" w:sz="8" w:space="0" w:color="7BA0CD"/>
            </w:tcBorders>
            <w:shd w:val="clear" w:color="auto" w:fill="0070C0"/>
            <w:vAlign w:val="center"/>
            <w:hideMark/>
          </w:tcPr>
          <w:p w14:paraId="50C83FFA"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2015</w:t>
            </w:r>
          </w:p>
        </w:tc>
        <w:tc>
          <w:tcPr>
            <w:tcW w:w="1028" w:type="dxa"/>
            <w:tcBorders>
              <w:top w:val="single" w:sz="8" w:space="0" w:color="7BA0CD"/>
              <w:left w:val="single" w:sz="8" w:space="0" w:color="7BA0CD"/>
              <w:bottom w:val="single" w:sz="8" w:space="0" w:color="7BA0CD"/>
              <w:right w:val="single" w:sz="8" w:space="0" w:color="7BA0CD"/>
            </w:tcBorders>
            <w:shd w:val="clear" w:color="auto" w:fill="0070C0"/>
            <w:vAlign w:val="center"/>
            <w:hideMark/>
          </w:tcPr>
          <w:p w14:paraId="2D4B396E" w14:textId="77777777" w:rsidR="004F3D41" w:rsidRPr="00117BF8" w:rsidRDefault="004F3D41" w:rsidP="00225120">
            <w:pPr>
              <w:pStyle w:val="TablaE"/>
              <w:rPr>
                <w:rFonts w:ascii="Arial" w:hAnsi="Arial" w:cs="Arial"/>
                <w:bCs/>
                <w:sz w:val="22"/>
                <w:szCs w:val="22"/>
                <w:lang w:val="es-AR" w:eastAsia="es-AR"/>
              </w:rPr>
            </w:pPr>
            <w:r w:rsidRPr="00117BF8">
              <w:rPr>
                <w:rFonts w:ascii="Arial" w:hAnsi="Arial" w:cs="Arial"/>
                <w:bCs/>
                <w:sz w:val="22"/>
                <w:szCs w:val="22"/>
                <w:lang w:val="es-AR" w:eastAsia="es-AR"/>
              </w:rPr>
              <w:t>2016</w:t>
            </w:r>
          </w:p>
        </w:tc>
      </w:tr>
      <w:tr w:rsidR="00EA1F56" w:rsidRPr="00593C9A" w14:paraId="2BA5AB31" w14:textId="77777777" w:rsidTr="00FD20E8">
        <w:trPr>
          <w:trHeight w:val="315"/>
        </w:trPr>
        <w:tc>
          <w:tcPr>
            <w:tcW w:w="5766" w:type="dxa"/>
            <w:tcBorders>
              <w:top w:val="single" w:sz="8" w:space="0" w:color="7BA0CD"/>
              <w:left w:val="single" w:sz="8" w:space="0" w:color="7BA0CD"/>
              <w:bottom w:val="nil"/>
              <w:right w:val="single" w:sz="12" w:space="0" w:color="7BA0CD"/>
            </w:tcBorders>
            <w:shd w:val="clear" w:color="auto" w:fill="auto"/>
            <w:noWrap/>
            <w:vAlign w:val="bottom"/>
            <w:hideMark/>
          </w:tcPr>
          <w:p w14:paraId="6E48BB25"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Intereses de la deuda interna a corto plazo</w:t>
            </w:r>
          </w:p>
        </w:tc>
        <w:tc>
          <w:tcPr>
            <w:tcW w:w="1028" w:type="dxa"/>
            <w:tcBorders>
              <w:top w:val="single" w:sz="8" w:space="0" w:color="7BA0CD"/>
              <w:left w:val="single" w:sz="12" w:space="0" w:color="7BA0CD"/>
              <w:bottom w:val="nil"/>
              <w:right w:val="single" w:sz="8" w:space="0" w:color="7BA0CD"/>
            </w:tcBorders>
            <w:shd w:val="clear" w:color="auto" w:fill="auto"/>
            <w:noWrap/>
            <w:vAlign w:val="bottom"/>
            <w:hideMark/>
          </w:tcPr>
          <w:p w14:paraId="7740658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1.662</w:t>
            </w:r>
          </w:p>
        </w:tc>
        <w:tc>
          <w:tcPr>
            <w:tcW w:w="1028" w:type="dxa"/>
            <w:tcBorders>
              <w:top w:val="single" w:sz="8" w:space="0" w:color="7BA0CD"/>
              <w:left w:val="single" w:sz="8" w:space="0" w:color="7BA0CD"/>
              <w:bottom w:val="nil"/>
              <w:right w:val="single" w:sz="8" w:space="0" w:color="7BA0CD"/>
            </w:tcBorders>
            <w:shd w:val="clear" w:color="auto" w:fill="auto"/>
            <w:noWrap/>
            <w:vAlign w:val="bottom"/>
            <w:hideMark/>
          </w:tcPr>
          <w:p w14:paraId="7C83422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8" w:space="0" w:color="7BA0CD"/>
              <w:left w:val="single" w:sz="8" w:space="0" w:color="7BA0CD"/>
              <w:bottom w:val="nil"/>
              <w:right w:val="single" w:sz="8" w:space="0" w:color="7BA0CD"/>
            </w:tcBorders>
            <w:shd w:val="clear" w:color="auto" w:fill="auto"/>
            <w:noWrap/>
            <w:vAlign w:val="bottom"/>
            <w:hideMark/>
          </w:tcPr>
          <w:p w14:paraId="528DE434"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4.250</w:t>
            </w:r>
          </w:p>
        </w:tc>
        <w:tc>
          <w:tcPr>
            <w:tcW w:w="1028" w:type="dxa"/>
            <w:tcBorders>
              <w:top w:val="single" w:sz="8" w:space="0" w:color="7BA0CD"/>
              <w:left w:val="single" w:sz="8" w:space="0" w:color="7BA0CD"/>
              <w:bottom w:val="nil"/>
              <w:right w:val="single" w:sz="12" w:space="0" w:color="7BA0CD"/>
            </w:tcBorders>
            <w:shd w:val="clear" w:color="auto" w:fill="auto"/>
            <w:noWrap/>
            <w:vAlign w:val="bottom"/>
            <w:hideMark/>
          </w:tcPr>
          <w:p w14:paraId="2878797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5.436</w:t>
            </w:r>
          </w:p>
        </w:tc>
        <w:tc>
          <w:tcPr>
            <w:tcW w:w="1028" w:type="dxa"/>
            <w:tcBorders>
              <w:top w:val="single" w:sz="8" w:space="0" w:color="7BA0CD"/>
              <w:left w:val="single" w:sz="12" w:space="0" w:color="7BA0CD"/>
              <w:bottom w:val="nil"/>
              <w:right w:val="single" w:sz="8" w:space="0" w:color="7BA0CD"/>
            </w:tcBorders>
            <w:shd w:val="clear" w:color="auto" w:fill="auto"/>
            <w:noWrap/>
            <w:vAlign w:val="bottom"/>
            <w:hideMark/>
          </w:tcPr>
          <w:p w14:paraId="30D92E50"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single" w:sz="8" w:space="0" w:color="7BA0CD"/>
              <w:left w:val="single" w:sz="8" w:space="0" w:color="7BA0CD"/>
              <w:bottom w:val="nil"/>
              <w:right w:val="single" w:sz="8" w:space="0" w:color="7BA0CD"/>
            </w:tcBorders>
            <w:shd w:val="clear" w:color="auto" w:fill="auto"/>
            <w:noWrap/>
            <w:vAlign w:val="bottom"/>
            <w:hideMark/>
          </w:tcPr>
          <w:p w14:paraId="16D2899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8" w:space="0" w:color="7BA0CD"/>
              <w:left w:val="single" w:sz="8" w:space="0" w:color="7BA0CD"/>
              <w:bottom w:val="nil"/>
              <w:right w:val="single" w:sz="8" w:space="0" w:color="7BA0CD"/>
            </w:tcBorders>
            <w:shd w:val="clear" w:color="auto" w:fill="auto"/>
            <w:noWrap/>
            <w:vAlign w:val="bottom"/>
            <w:hideMark/>
          </w:tcPr>
          <w:p w14:paraId="25F5D14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single" w:sz="8" w:space="0" w:color="7BA0CD"/>
              <w:left w:val="single" w:sz="8" w:space="0" w:color="7BA0CD"/>
              <w:bottom w:val="nil"/>
              <w:right w:val="single" w:sz="8" w:space="0" w:color="7BA0CD"/>
            </w:tcBorders>
            <w:shd w:val="clear" w:color="auto" w:fill="auto"/>
            <w:noWrap/>
            <w:vAlign w:val="bottom"/>
            <w:hideMark/>
          </w:tcPr>
          <w:p w14:paraId="626A860E"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6D85E4E2" w14:textId="77777777" w:rsidTr="00FD20E8">
        <w:trPr>
          <w:trHeight w:val="300"/>
        </w:trPr>
        <w:tc>
          <w:tcPr>
            <w:tcW w:w="5766" w:type="dxa"/>
            <w:tcBorders>
              <w:top w:val="nil"/>
              <w:left w:val="single" w:sz="8" w:space="0" w:color="7BA0CD"/>
              <w:bottom w:val="nil"/>
              <w:right w:val="single" w:sz="12" w:space="0" w:color="7BA0CD"/>
            </w:tcBorders>
            <w:shd w:val="clear" w:color="auto" w:fill="auto"/>
            <w:noWrap/>
            <w:vAlign w:val="bottom"/>
            <w:hideMark/>
          </w:tcPr>
          <w:p w14:paraId="0DA5440E"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Amortización de la deuda interna a corto plazo</w:t>
            </w:r>
          </w:p>
        </w:tc>
        <w:tc>
          <w:tcPr>
            <w:tcW w:w="1028" w:type="dxa"/>
            <w:tcBorders>
              <w:top w:val="nil"/>
              <w:left w:val="single" w:sz="12" w:space="0" w:color="7BA0CD"/>
              <w:bottom w:val="nil"/>
              <w:right w:val="single" w:sz="8" w:space="0" w:color="7BA0CD"/>
            </w:tcBorders>
            <w:shd w:val="clear" w:color="auto" w:fill="auto"/>
            <w:noWrap/>
            <w:vAlign w:val="bottom"/>
            <w:hideMark/>
          </w:tcPr>
          <w:p w14:paraId="18308AF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4.601</w:t>
            </w:r>
          </w:p>
        </w:tc>
        <w:tc>
          <w:tcPr>
            <w:tcW w:w="1028" w:type="dxa"/>
            <w:tcBorders>
              <w:top w:val="nil"/>
              <w:left w:val="single" w:sz="8" w:space="0" w:color="7BA0CD"/>
              <w:bottom w:val="nil"/>
              <w:right w:val="single" w:sz="8" w:space="0" w:color="7BA0CD"/>
            </w:tcBorders>
            <w:shd w:val="clear" w:color="auto" w:fill="auto"/>
            <w:noWrap/>
            <w:vAlign w:val="bottom"/>
            <w:hideMark/>
          </w:tcPr>
          <w:p w14:paraId="1950740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3E7F4CBD"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3.448</w:t>
            </w:r>
          </w:p>
        </w:tc>
        <w:tc>
          <w:tcPr>
            <w:tcW w:w="1028" w:type="dxa"/>
            <w:tcBorders>
              <w:top w:val="nil"/>
              <w:left w:val="single" w:sz="8" w:space="0" w:color="7BA0CD"/>
              <w:bottom w:val="nil"/>
              <w:right w:val="single" w:sz="12" w:space="0" w:color="7BA0CD"/>
            </w:tcBorders>
            <w:shd w:val="clear" w:color="auto" w:fill="auto"/>
            <w:noWrap/>
            <w:vAlign w:val="bottom"/>
            <w:hideMark/>
          </w:tcPr>
          <w:p w14:paraId="34AFCA99"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3.886</w:t>
            </w:r>
          </w:p>
        </w:tc>
        <w:tc>
          <w:tcPr>
            <w:tcW w:w="1028" w:type="dxa"/>
            <w:tcBorders>
              <w:top w:val="nil"/>
              <w:left w:val="single" w:sz="12" w:space="0" w:color="7BA0CD"/>
              <w:bottom w:val="nil"/>
              <w:right w:val="single" w:sz="8" w:space="0" w:color="7BA0CD"/>
            </w:tcBorders>
            <w:shd w:val="clear" w:color="auto" w:fill="auto"/>
            <w:noWrap/>
            <w:vAlign w:val="bottom"/>
            <w:hideMark/>
          </w:tcPr>
          <w:p w14:paraId="56FC248D"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nil"/>
              <w:left w:val="single" w:sz="8" w:space="0" w:color="7BA0CD"/>
              <w:bottom w:val="nil"/>
              <w:right w:val="single" w:sz="8" w:space="0" w:color="7BA0CD"/>
            </w:tcBorders>
            <w:shd w:val="clear" w:color="auto" w:fill="auto"/>
            <w:noWrap/>
            <w:vAlign w:val="bottom"/>
            <w:hideMark/>
          </w:tcPr>
          <w:p w14:paraId="22130E51"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5018EBC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nil"/>
              <w:left w:val="single" w:sz="8" w:space="0" w:color="7BA0CD"/>
              <w:bottom w:val="nil"/>
              <w:right w:val="single" w:sz="8" w:space="0" w:color="7BA0CD"/>
            </w:tcBorders>
            <w:shd w:val="clear" w:color="auto" w:fill="auto"/>
            <w:noWrap/>
            <w:vAlign w:val="bottom"/>
            <w:hideMark/>
          </w:tcPr>
          <w:p w14:paraId="671A0D8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3212E537" w14:textId="77777777" w:rsidTr="00FD20E8">
        <w:trPr>
          <w:trHeight w:val="300"/>
        </w:trPr>
        <w:tc>
          <w:tcPr>
            <w:tcW w:w="5766" w:type="dxa"/>
            <w:tcBorders>
              <w:top w:val="nil"/>
              <w:left w:val="single" w:sz="8" w:space="0" w:color="7BA0CD"/>
              <w:bottom w:val="nil"/>
              <w:right w:val="single" w:sz="12" w:space="0" w:color="7BA0CD"/>
            </w:tcBorders>
            <w:shd w:val="clear" w:color="auto" w:fill="auto"/>
            <w:noWrap/>
            <w:vAlign w:val="bottom"/>
            <w:hideMark/>
          </w:tcPr>
          <w:p w14:paraId="44AAA112"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Intereses de la deuda interna a largo plazo</w:t>
            </w:r>
          </w:p>
        </w:tc>
        <w:tc>
          <w:tcPr>
            <w:tcW w:w="1028" w:type="dxa"/>
            <w:tcBorders>
              <w:top w:val="nil"/>
              <w:left w:val="single" w:sz="12" w:space="0" w:color="7BA0CD"/>
              <w:bottom w:val="nil"/>
              <w:right w:val="single" w:sz="8" w:space="0" w:color="7BA0CD"/>
            </w:tcBorders>
            <w:shd w:val="clear" w:color="auto" w:fill="auto"/>
            <w:noWrap/>
            <w:vAlign w:val="bottom"/>
            <w:hideMark/>
          </w:tcPr>
          <w:p w14:paraId="60F209D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446</w:t>
            </w:r>
          </w:p>
        </w:tc>
        <w:tc>
          <w:tcPr>
            <w:tcW w:w="1028" w:type="dxa"/>
            <w:tcBorders>
              <w:top w:val="nil"/>
              <w:left w:val="single" w:sz="8" w:space="0" w:color="7BA0CD"/>
              <w:bottom w:val="nil"/>
              <w:right w:val="single" w:sz="8" w:space="0" w:color="7BA0CD"/>
            </w:tcBorders>
            <w:shd w:val="clear" w:color="auto" w:fill="auto"/>
            <w:noWrap/>
            <w:vAlign w:val="bottom"/>
            <w:hideMark/>
          </w:tcPr>
          <w:p w14:paraId="406FDF22"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1ED00261"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1.072</w:t>
            </w:r>
          </w:p>
        </w:tc>
        <w:tc>
          <w:tcPr>
            <w:tcW w:w="1028" w:type="dxa"/>
            <w:tcBorders>
              <w:top w:val="nil"/>
              <w:left w:val="single" w:sz="8" w:space="0" w:color="7BA0CD"/>
              <w:bottom w:val="nil"/>
              <w:right w:val="single" w:sz="12" w:space="0" w:color="7BA0CD"/>
            </w:tcBorders>
            <w:shd w:val="clear" w:color="auto" w:fill="auto"/>
            <w:noWrap/>
            <w:vAlign w:val="bottom"/>
            <w:hideMark/>
          </w:tcPr>
          <w:p w14:paraId="2CF813B6"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2.699</w:t>
            </w:r>
          </w:p>
        </w:tc>
        <w:tc>
          <w:tcPr>
            <w:tcW w:w="1028" w:type="dxa"/>
            <w:tcBorders>
              <w:top w:val="nil"/>
              <w:left w:val="single" w:sz="12" w:space="0" w:color="7BA0CD"/>
              <w:bottom w:val="nil"/>
              <w:right w:val="single" w:sz="8" w:space="0" w:color="7BA0CD"/>
            </w:tcBorders>
            <w:shd w:val="clear" w:color="auto" w:fill="auto"/>
            <w:noWrap/>
            <w:vAlign w:val="bottom"/>
            <w:hideMark/>
          </w:tcPr>
          <w:p w14:paraId="44190A1A"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99,85%</w:t>
            </w:r>
          </w:p>
        </w:tc>
        <w:tc>
          <w:tcPr>
            <w:tcW w:w="1028" w:type="dxa"/>
            <w:tcBorders>
              <w:top w:val="nil"/>
              <w:left w:val="single" w:sz="8" w:space="0" w:color="7BA0CD"/>
              <w:bottom w:val="nil"/>
              <w:right w:val="single" w:sz="8" w:space="0" w:color="7BA0CD"/>
            </w:tcBorders>
            <w:shd w:val="clear" w:color="auto" w:fill="auto"/>
            <w:noWrap/>
            <w:vAlign w:val="bottom"/>
            <w:hideMark/>
          </w:tcPr>
          <w:p w14:paraId="0FA5713F"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58F643A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99,72%</w:t>
            </w:r>
          </w:p>
        </w:tc>
        <w:tc>
          <w:tcPr>
            <w:tcW w:w="1028" w:type="dxa"/>
            <w:tcBorders>
              <w:top w:val="nil"/>
              <w:left w:val="single" w:sz="8" w:space="0" w:color="7BA0CD"/>
              <w:bottom w:val="nil"/>
              <w:right w:val="single" w:sz="8" w:space="0" w:color="7BA0CD"/>
            </w:tcBorders>
            <w:shd w:val="clear" w:color="auto" w:fill="auto"/>
            <w:noWrap/>
            <w:vAlign w:val="bottom"/>
            <w:hideMark/>
          </w:tcPr>
          <w:p w14:paraId="7A8DEEE6"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6CE4F6B3" w14:textId="77777777" w:rsidTr="00FD20E8">
        <w:trPr>
          <w:trHeight w:val="315"/>
        </w:trPr>
        <w:tc>
          <w:tcPr>
            <w:tcW w:w="5766" w:type="dxa"/>
            <w:tcBorders>
              <w:top w:val="nil"/>
              <w:left w:val="single" w:sz="8" w:space="0" w:color="7BA0CD"/>
              <w:bottom w:val="single" w:sz="8" w:space="0" w:color="7BA0CD"/>
              <w:right w:val="single" w:sz="12" w:space="0" w:color="7BA0CD"/>
            </w:tcBorders>
            <w:shd w:val="clear" w:color="auto" w:fill="auto"/>
            <w:noWrap/>
            <w:vAlign w:val="bottom"/>
            <w:hideMark/>
          </w:tcPr>
          <w:p w14:paraId="19F04BF8"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Amortización de la deuda interna a largo plazo</w:t>
            </w:r>
          </w:p>
        </w:tc>
        <w:tc>
          <w:tcPr>
            <w:tcW w:w="1028" w:type="dxa"/>
            <w:tcBorders>
              <w:top w:val="nil"/>
              <w:left w:val="single" w:sz="12" w:space="0" w:color="7BA0CD"/>
              <w:bottom w:val="single" w:sz="8" w:space="0" w:color="7BA0CD"/>
              <w:right w:val="single" w:sz="8" w:space="0" w:color="7BA0CD"/>
            </w:tcBorders>
            <w:shd w:val="clear" w:color="auto" w:fill="auto"/>
            <w:noWrap/>
            <w:vAlign w:val="bottom"/>
            <w:hideMark/>
          </w:tcPr>
          <w:p w14:paraId="329F2C8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1.783</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1F7C232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785DE03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3.141</w:t>
            </w:r>
          </w:p>
        </w:tc>
        <w:tc>
          <w:tcPr>
            <w:tcW w:w="1028" w:type="dxa"/>
            <w:tcBorders>
              <w:top w:val="nil"/>
              <w:left w:val="single" w:sz="8" w:space="0" w:color="7BA0CD"/>
              <w:bottom w:val="single" w:sz="8" w:space="0" w:color="7BA0CD"/>
              <w:right w:val="single" w:sz="12" w:space="0" w:color="7BA0CD"/>
            </w:tcBorders>
            <w:shd w:val="clear" w:color="auto" w:fill="auto"/>
            <w:noWrap/>
            <w:vAlign w:val="bottom"/>
            <w:hideMark/>
          </w:tcPr>
          <w:p w14:paraId="446F95A4"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2.567</w:t>
            </w:r>
          </w:p>
        </w:tc>
        <w:tc>
          <w:tcPr>
            <w:tcW w:w="1028" w:type="dxa"/>
            <w:tcBorders>
              <w:top w:val="nil"/>
              <w:left w:val="single" w:sz="12" w:space="0" w:color="7BA0CD"/>
              <w:bottom w:val="single" w:sz="8" w:space="0" w:color="7BA0CD"/>
              <w:right w:val="single" w:sz="8" w:space="0" w:color="7BA0CD"/>
            </w:tcBorders>
            <w:shd w:val="clear" w:color="auto" w:fill="auto"/>
            <w:noWrap/>
            <w:vAlign w:val="bottom"/>
            <w:hideMark/>
          </w:tcPr>
          <w:p w14:paraId="07CC9191"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4DF92B1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6AF7BD4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3D25C43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03600EE7" w14:textId="77777777" w:rsidTr="00FD20E8">
        <w:trPr>
          <w:trHeight w:val="315"/>
        </w:trPr>
        <w:tc>
          <w:tcPr>
            <w:tcW w:w="5766" w:type="dxa"/>
            <w:tcBorders>
              <w:top w:val="single" w:sz="8" w:space="0" w:color="7BA0CD"/>
              <w:left w:val="single" w:sz="8" w:space="0" w:color="7BA0CD"/>
              <w:bottom w:val="single" w:sz="8" w:space="0" w:color="000000"/>
              <w:right w:val="single" w:sz="12" w:space="0" w:color="7BA0CD"/>
            </w:tcBorders>
            <w:shd w:val="clear" w:color="auto" w:fill="auto"/>
            <w:noWrap/>
            <w:vAlign w:val="bottom"/>
            <w:hideMark/>
          </w:tcPr>
          <w:p w14:paraId="26D91BE1" w14:textId="77777777" w:rsidR="00EA1F56" w:rsidRPr="00117BF8" w:rsidRDefault="00EA1F56" w:rsidP="00EA1F56">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Servicio de la deuda interna</w:t>
            </w:r>
          </w:p>
        </w:tc>
        <w:tc>
          <w:tcPr>
            <w:tcW w:w="1028" w:type="dxa"/>
            <w:tcBorders>
              <w:top w:val="single" w:sz="8" w:space="0" w:color="7BA0CD"/>
              <w:left w:val="single" w:sz="12" w:space="0" w:color="7BA0CD"/>
              <w:bottom w:val="single" w:sz="8" w:space="0" w:color="000000"/>
              <w:right w:val="single" w:sz="8" w:space="0" w:color="7BA0CD"/>
            </w:tcBorders>
            <w:shd w:val="clear" w:color="auto" w:fill="auto"/>
            <w:noWrap/>
            <w:vAlign w:val="bottom"/>
            <w:hideMark/>
          </w:tcPr>
          <w:p w14:paraId="720F3B1C"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8.492</w:t>
            </w:r>
          </w:p>
        </w:tc>
        <w:tc>
          <w:tcPr>
            <w:tcW w:w="1028" w:type="dxa"/>
            <w:tcBorders>
              <w:top w:val="single" w:sz="8" w:space="0" w:color="7BA0CD"/>
              <w:left w:val="single" w:sz="8" w:space="0" w:color="7BA0CD"/>
              <w:bottom w:val="single" w:sz="8" w:space="0" w:color="000000"/>
              <w:right w:val="single" w:sz="8" w:space="0" w:color="7BA0CD"/>
            </w:tcBorders>
            <w:shd w:val="clear" w:color="auto" w:fill="auto"/>
            <w:noWrap/>
            <w:vAlign w:val="bottom"/>
            <w:hideMark/>
          </w:tcPr>
          <w:p w14:paraId="4D5BA01A"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7BA0CD"/>
              <w:left w:val="single" w:sz="8" w:space="0" w:color="7BA0CD"/>
              <w:bottom w:val="single" w:sz="8" w:space="0" w:color="000000"/>
              <w:right w:val="single" w:sz="8" w:space="0" w:color="7BA0CD"/>
            </w:tcBorders>
            <w:shd w:val="clear" w:color="auto" w:fill="auto"/>
            <w:noWrap/>
            <w:vAlign w:val="bottom"/>
            <w:hideMark/>
          </w:tcPr>
          <w:p w14:paraId="4F19D3E5"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11.912</w:t>
            </w:r>
          </w:p>
        </w:tc>
        <w:tc>
          <w:tcPr>
            <w:tcW w:w="1028" w:type="dxa"/>
            <w:tcBorders>
              <w:top w:val="single" w:sz="8" w:space="0" w:color="7BA0CD"/>
              <w:left w:val="single" w:sz="8" w:space="0" w:color="7BA0CD"/>
              <w:bottom w:val="single" w:sz="8" w:space="0" w:color="000000"/>
              <w:right w:val="single" w:sz="12" w:space="0" w:color="7BA0CD"/>
            </w:tcBorders>
            <w:shd w:val="clear" w:color="auto" w:fill="auto"/>
            <w:noWrap/>
            <w:vAlign w:val="bottom"/>
            <w:hideMark/>
          </w:tcPr>
          <w:p w14:paraId="2CE2D8DA"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14.588</w:t>
            </w:r>
          </w:p>
        </w:tc>
        <w:tc>
          <w:tcPr>
            <w:tcW w:w="1028" w:type="dxa"/>
            <w:tcBorders>
              <w:top w:val="single" w:sz="8" w:space="0" w:color="7BA0CD"/>
              <w:left w:val="single" w:sz="12" w:space="0" w:color="7BA0CD"/>
              <w:bottom w:val="single" w:sz="8" w:space="0" w:color="000000"/>
              <w:right w:val="single" w:sz="8" w:space="0" w:color="7BA0CD"/>
            </w:tcBorders>
            <w:shd w:val="clear" w:color="auto" w:fill="auto"/>
            <w:noWrap/>
            <w:vAlign w:val="bottom"/>
            <w:hideMark/>
          </w:tcPr>
          <w:p w14:paraId="15A5E2D0"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99,99%</w:t>
            </w:r>
          </w:p>
        </w:tc>
        <w:tc>
          <w:tcPr>
            <w:tcW w:w="1028" w:type="dxa"/>
            <w:tcBorders>
              <w:top w:val="single" w:sz="8" w:space="0" w:color="7BA0CD"/>
              <w:left w:val="single" w:sz="8" w:space="0" w:color="7BA0CD"/>
              <w:bottom w:val="single" w:sz="8" w:space="0" w:color="000000"/>
              <w:right w:val="single" w:sz="8" w:space="0" w:color="7BA0CD"/>
            </w:tcBorders>
            <w:shd w:val="clear" w:color="auto" w:fill="auto"/>
            <w:noWrap/>
            <w:vAlign w:val="bottom"/>
            <w:hideMark/>
          </w:tcPr>
          <w:p w14:paraId="17FB0135"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7BA0CD"/>
              <w:left w:val="single" w:sz="8" w:space="0" w:color="7BA0CD"/>
              <w:bottom w:val="single" w:sz="8" w:space="0" w:color="000000"/>
              <w:right w:val="single" w:sz="8" w:space="0" w:color="7BA0CD"/>
            </w:tcBorders>
            <w:shd w:val="clear" w:color="auto" w:fill="auto"/>
            <w:noWrap/>
            <w:vAlign w:val="bottom"/>
            <w:hideMark/>
          </w:tcPr>
          <w:p w14:paraId="136A1836"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99,97%</w:t>
            </w:r>
          </w:p>
        </w:tc>
        <w:tc>
          <w:tcPr>
            <w:tcW w:w="1028" w:type="dxa"/>
            <w:tcBorders>
              <w:top w:val="single" w:sz="8" w:space="0" w:color="7BA0CD"/>
              <w:left w:val="single" w:sz="8" w:space="0" w:color="7BA0CD"/>
              <w:bottom w:val="single" w:sz="8" w:space="0" w:color="000000"/>
              <w:right w:val="single" w:sz="8" w:space="0" w:color="7BA0CD"/>
            </w:tcBorders>
            <w:shd w:val="clear" w:color="auto" w:fill="auto"/>
            <w:noWrap/>
            <w:vAlign w:val="bottom"/>
            <w:hideMark/>
          </w:tcPr>
          <w:p w14:paraId="682F8DCE"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100.00%</w:t>
            </w:r>
          </w:p>
        </w:tc>
      </w:tr>
      <w:tr w:rsidR="00EA1F56" w:rsidRPr="00593C9A" w14:paraId="0C9116E0" w14:textId="77777777" w:rsidTr="00FD20E8">
        <w:trPr>
          <w:trHeight w:val="300"/>
        </w:trPr>
        <w:tc>
          <w:tcPr>
            <w:tcW w:w="5766" w:type="dxa"/>
            <w:tcBorders>
              <w:top w:val="single" w:sz="4" w:space="0" w:color="000000"/>
              <w:left w:val="single" w:sz="8" w:space="0" w:color="7BA0CD"/>
              <w:bottom w:val="nil"/>
              <w:right w:val="single" w:sz="12" w:space="0" w:color="7BA0CD"/>
            </w:tcBorders>
            <w:shd w:val="clear" w:color="auto" w:fill="auto"/>
            <w:noWrap/>
            <w:vAlign w:val="bottom"/>
            <w:hideMark/>
          </w:tcPr>
          <w:p w14:paraId="17285916"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Intereses de la deuda externa a largo plazo</w:t>
            </w:r>
          </w:p>
        </w:tc>
        <w:tc>
          <w:tcPr>
            <w:tcW w:w="1028" w:type="dxa"/>
            <w:tcBorders>
              <w:top w:val="single" w:sz="4" w:space="0" w:color="000000"/>
              <w:left w:val="single" w:sz="12" w:space="0" w:color="7BA0CD"/>
              <w:bottom w:val="nil"/>
              <w:right w:val="single" w:sz="8" w:space="0" w:color="7BA0CD"/>
            </w:tcBorders>
            <w:shd w:val="clear" w:color="auto" w:fill="auto"/>
            <w:noWrap/>
            <w:vAlign w:val="bottom"/>
            <w:hideMark/>
          </w:tcPr>
          <w:p w14:paraId="01EE5812"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1.944</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2FB54B0F"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590D51D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4.226</w:t>
            </w:r>
          </w:p>
        </w:tc>
        <w:tc>
          <w:tcPr>
            <w:tcW w:w="1028" w:type="dxa"/>
            <w:tcBorders>
              <w:top w:val="single" w:sz="4" w:space="0" w:color="000000"/>
              <w:left w:val="single" w:sz="8" w:space="0" w:color="7BA0CD"/>
              <w:bottom w:val="nil"/>
              <w:right w:val="single" w:sz="12" w:space="0" w:color="7BA0CD"/>
            </w:tcBorders>
            <w:shd w:val="clear" w:color="auto" w:fill="auto"/>
            <w:noWrap/>
            <w:vAlign w:val="bottom"/>
            <w:hideMark/>
          </w:tcPr>
          <w:p w14:paraId="6F09C2AD"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5.906</w:t>
            </w:r>
          </w:p>
        </w:tc>
        <w:tc>
          <w:tcPr>
            <w:tcW w:w="1028" w:type="dxa"/>
            <w:tcBorders>
              <w:top w:val="single" w:sz="4" w:space="0" w:color="000000"/>
              <w:left w:val="single" w:sz="12" w:space="0" w:color="7BA0CD"/>
              <w:bottom w:val="nil"/>
              <w:right w:val="single" w:sz="8" w:space="0" w:color="7BA0CD"/>
            </w:tcBorders>
            <w:shd w:val="clear" w:color="auto" w:fill="auto"/>
            <w:noWrap/>
            <w:vAlign w:val="bottom"/>
            <w:hideMark/>
          </w:tcPr>
          <w:p w14:paraId="647E66A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6035D030"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0B80BD5F"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99,99%</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64EDA99F"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14AAEB5B" w14:textId="77777777" w:rsidTr="00FD20E8">
        <w:trPr>
          <w:trHeight w:val="315"/>
        </w:trPr>
        <w:tc>
          <w:tcPr>
            <w:tcW w:w="5766" w:type="dxa"/>
            <w:tcBorders>
              <w:top w:val="nil"/>
              <w:left w:val="single" w:sz="8" w:space="0" w:color="7BA0CD"/>
              <w:bottom w:val="nil"/>
              <w:right w:val="single" w:sz="12" w:space="0" w:color="7BA0CD"/>
            </w:tcBorders>
            <w:shd w:val="clear" w:color="auto" w:fill="auto"/>
            <w:noWrap/>
            <w:vAlign w:val="bottom"/>
            <w:hideMark/>
          </w:tcPr>
          <w:p w14:paraId="3527483F"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Amortización de la deuda externa a largo plazo</w:t>
            </w:r>
          </w:p>
        </w:tc>
        <w:tc>
          <w:tcPr>
            <w:tcW w:w="1028" w:type="dxa"/>
            <w:tcBorders>
              <w:top w:val="nil"/>
              <w:left w:val="single" w:sz="12" w:space="0" w:color="7BA0CD"/>
              <w:bottom w:val="nil"/>
              <w:right w:val="single" w:sz="8" w:space="0" w:color="7BA0CD"/>
            </w:tcBorders>
            <w:shd w:val="clear" w:color="auto" w:fill="auto"/>
            <w:noWrap/>
            <w:vAlign w:val="bottom"/>
            <w:hideMark/>
          </w:tcPr>
          <w:p w14:paraId="3F0B6D8E"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671</w:t>
            </w:r>
          </w:p>
        </w:tc>
        <w:tc>
          <w:tcPr>
            <w:tcW w:w="1028" w:type="dxa"/>
            <w:tcBorders>
              <w:top w:val="nil"/>
              <w:left w:val="single" w:sz="8" w:space="0" w:color="7BA0CD"/>
              <w:bottom w:val="nil"/>
              <w:right w:val="single" w:sz="8" w:space="0" w:color="7BA0CD"/>
            </w:tcBorders>
            <w:shd w:val="clear" w:color="auto" w:fill="auto"/>
            <w:noWrap/>
            <w:vAlign w:val="bottom"/>
            <w:hideMark/>
          </w:tcPr>
          <w:p w14:paraId="3476C42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4B50687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7.337</w:t>
            </w:r>
          </w:p>
        </w:tc>
        <w:tc>
          <w:tcPr>
            <w:tcW w:w="1028" w:type="dxa"/>
            <w:tcBorders>
              <w:top w:val="nil"/>
              <w:left w:val="single" w:sz="8" w:space="0" w:color="7BA0CD"/>
              <w:bottom w:val="nil"/>
              <w:right w:val="single" w:sz="12" w:space="0" w:color="7BA0CD"/>
            </w:tcBorders>
            <w:shd w:val="clear" w:color="auto" w:fill="auto"/>
            <w:noWrap/>
            <w:vAlign w:val="bottom"/>
            <w:hideMark/>
          </w:tcPr>
          <w:p w14:paraId="66C42B3D"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1.443</w:t>
            </w:r>
          </w:p>
        </w:tc>
        <w:tc>
          <w:tcPr>
            <w:tcW w:w="1028" w:type="dxa"/>
            <w:tcBorders>
              <w:top w:val="nil"/>
              <w:left w:val="single" w:sz="12" w:space="0" w:color="7BA0CD"/>
              <w:bottom w:val="nil"/>
              <w:right w:val="single" w:sz="8" w:space="0" w:color="7BA0CD"/>
            </w:tcBorders>
            <w:shd w:val="clear" w:color="auto" w:fill="auto"/>
            <w:noWrap/>
            <w:vAlign w:val="bottom"/>
            <w:hideMark/>
          </w:tcPr>
          <w:p w14:paraId="0EBBC21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nil"/>
              <w:left w:val="single" w:sz="8" w:space="0" w:color="7BA0CD"/>
              <w:bottom w:val="nil"/>
              <w:right w:val="single" w:sz="8" w:space="0" w:color="7BA0CD"/>
            </w:tcBorders>
            <w:shd w:val="clear" w:color="auto" w:fill="auto"/>
            <w:noWrap/>
            <w:vAlign w:val="bottom"/>
            <w:hideMark/>
          </w:tcPr>
          <w:p w14:paraId="5411BAA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473291C1"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99,89%</w:t>
            </w:r>
          </w:p>
        </w:tc>
        <w:tc>
          <w:tcPr>
            <w:tcW w:w="1028" w:type="dxa"/>
            <w:tcBorders>
              <w:top w:val="nil"/>
              <w:left w:val="single" w:sz="8" w:space="0" w:color="7BA0CD"/>
              <w:bottom w:val="nil"/>
              <w:right w:val="single" w:sz="8" w:space="0" w:color="7BA0CD"/>
            </w:tcBorders>
            <w:shd w:val="clear" w:color="auto" w:fill="auto"/>
            <w:noWrap/>
            <w:vAlign w:val="bottom"/>
            <w:hideMark/>
          </w:tcPr>
          <w:p w14:paraId="7A0E60F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537D8915" w14:textId="77777777" w:rsidTr="00FD20E8">
        <w:trPr>
          <w:trHeight w:val="315"/>
        </w:trPr>
        <w:tc>
          <w:tcPr>
            <w:tcW w:w="5766"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7C13ACD7" w14:textId="77777777" w:rsidR="00EA1F56" w:rsidRPr="00117BF8" w:rsidRDefault="00EA1F56" w:rsidP="00EA1F56">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Servicio de la deuda externa</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19DAA972"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2.615</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74A33F45"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35BF377F"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11.562</w:t>
            </w:r>
          </w:p>
        </w:tc>
        <w:tc>
          <w:tcPr>
            <w:tcW w:w="1028"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03C0DFAD"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7.349</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1951AFD7"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100,00%</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6DD38339"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665E23C8"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99,93%</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448F9615"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100.00%</w:t>
            </w:r>
          </w:p>
        </w:tc>
      </w:tr>
      <w:tr w:rsidR="00EA1F56" w:rsidRPr="00593C9A" w14:paraId="432C6460" w14:textId="77777777" w:rsidTr="00FD20E8">
        <w:trPr>
          <w:trHeight w:val="300"/>
        </w:trPr>
        <w:tc>
          <w:tcPr>
            <w:tcW w:w="5766" w:type="dxa"/>
            <w:tcBorders>
              <w:top w:val="nil"/>
              <w:left w:val="single" w:sz="8" w:space="0" w:color="7BA0CD"/>
              <w:bottom w:val="nil"/>
              <w:right w:val="single" w:sz="12" w:space="0" w:color="7BA0CD"/>
            </w:tcBorders>
            <w:shd w:val="clear" w:color="auto" w:fill="auto"/>
            <w:noWrap/>
            <w:vAlign w:val="bottom"/>
            <w:hideMark/>
          </w:tcPr>
          <w:p w14:paraId="1200C239"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Intereses por préstamos del sector privado</w:t>
            </w:r>
          </w:p>
        </w:tc>
        <w:tc>
          <w:tcPr>
            <w:tcW w:w="1028" w:type="dxa"/>
            <w:tcBorders>
              <w:top w:val="nil"/>
              <w:left w:val="single" w:sz="12" w:space="0" w:color="7BA0CD"/>
              <w:bottom w:val="nil"/>
              <w:right w:val="single" w:sz="8" w:space="0" w:color="7BA0CD"/>
            </w:tcBorders>
            <w:shd w:val="clear" w:color="auto" w:fill="auto"/>
            <w:noWrap/>
            <w:vAlign w:val="bottom"/>
            <w:hideMark/>
          </w:tcPr>
          <w:p w14:paraId="4227C52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0AC2FE60"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75A56BD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028" w:type="dxa"/>
            <w:tcBorders>
              <w:top w:val="nil"/>
              <w:left w:val="single" w:sz="8" w:space="0" w:color="7BA0CD"/>
              <w:bottom w:val="nil"/>
              <w:right w:val="single" w:sz="12" w:space="0" w:color="7BA0CD"/>
            </w:tcBorders>
            <w:shd w:val="clear" w:color="auto" w:fill="auto"/>
            <w:noWrap/>
            <w:vAlign w:val="bottom"/>
            <w:hideMark/>
          </w:tcPr>
          <w:p w14:paraId="6627BF9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12" w:space="0" w:color="7BA0CD"/>
              <w:bottom w:val="nil"/>
              <w:right w:val="single" w:sz="8" w:space="0" w:color="7BA0CD"/>
            </w:tcBorders>
            <w:shd w:val="clear" w:color="auto" w:fill="auto"/>
            <w:noWrap/>
            <w:vAlign w:val="bottom"/>
            <w:hideMark/>
          </w:tcPr>
          <w:p w14:paraId="1DEE20F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5374133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2711797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nil"/>
              <w:left w:val="single" w:sz="8" w:space="0" w:color="7BA0CD"/>
              <w:bottom w:val="nil"/>
              <w:right w:val="single" w:sz="8" w:space="0" w:color="7BA0CD"/>
            </w:tcBorders>
            <w:shd w:val="clear" w:color="auto" w:fill="auto"/>
            <w:noWrap/>
            <w:vAlign w:val="bottom"/>
            <w:hideMark/>
          </w:tcPr>
          <w:p w14:paraId="646CF629"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r>
      <w:tr w:rsidR="00EA1F56" w:rsidRPr="00593C9A" w14:paraId="17F41E72" w14:textId="77777777" w:rsidTr="00FD20E8">
        <w:trPr>
          <w:trHeight w:val="300"/>
        </w:trPr>
        <w:tc>
          <w:tcPr>
            <w:tcW w:w="5766" w:type="dxa"/>
            <w:tcBorders>
              <w:top w:val="nil"/>
              <w:left w:val="single" w:sz="8" w:space="0" w:color="7BA0CD"/>
              <w:bottom w:val="nil"/>
              <w:right w:val="single" w:sz="12" w:space="0" w:color="7BA0CD"/>
            </w:tcBorders>
            <w:shd w:val="clear" w:color="auto" w:fill="auto"/>
            <w:noWrap/>
            <w:vAlign w:val="bottom"/>
            <w:hideMark/>
          </w:tcPr>
          <w:p w14:paraId="19139CC8"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Intereses por préstamos del Gobierno Nacional</w:t>
            </w:r>
          </w:p>
        </w:tc>
        <w:tc>
          <w:tcPr>
            <w:tcW w:w="1028" w:type="dxa"/>
            <w:tcBorders>
              <w:top w:val="nil"/>
              <w:left w:val="single" w:sz="12" w:space="0" w:color="7BA0CD"/>
              <w:bottom w:val="nil"/>
              <w:right w:val="single" w:sz="8" w:space="0" w:color="7BA0CD"/>
            </w:tcBorders>
            <w:shd w:val="clear" w:color="auto" w:fill="auto"/>
            <w:noWrap/>
            <w:vAlign w:val="bottom"/>
            <w:hideMark/>
          </w:tcPr>
          <w:p w14:paraId="2072595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195</w:t>
            </w:r>
          </w:p>
        </w:tc>
        <w:tc>
          <w:tcPr>
            <w:tcW w:w="1028" w:type="dxa"/>
            <w:tcBorders>
              <w:top w:val="nil"/>
              <w:left w:val="single" w:sz="8" w:space="0" w:color="7BA0CD"/>
              <w:bottom w:val="nil"/>
              <w:right w:val="single" w:sz="8" w:space="0" w:color="7BA0CD"/>
            </w:tcBorders>
            <w:shd w:val="clear" w:color="auto" w:fill="auto"/>
            <w:noWrap/>
            <w:vAlign w:val="bottom"/>
            <w:hideMark/>
          </w:tcPr>
          <w:p w14:paraId="5DD9DFF4"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0A7177D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214</w:t>
            </w:r>
          </w:p>
        </w:tc>
        <w:tc>
          <w:tcPr>
            <w:tcW w:w="1028" w:type="dxa"/>
            <w:tcBorders>
              <w:top w:val="nil"/>
              <w:left w:val="single" w:sz="8" w:space="0" w:color="7BA0CD"/>
              <w:bottom w:val="nil"/>
              <w:right w:val="single" w:sz="12" w:space="0" w:color="7BA0CD"/>
            </w:tcBorders>
            <w:shd w:val="clear" w:color="auto" w:fill="auto"/>
            <w:noWrap/>
            <w:vAlign w:val="bottom"/>
            <w:hideMark/>
          </w:tcPr>
          <w:p w14:paraId="3E0E8782"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1.729</w:t>
            </w:r>
          </w:p>
        </w:tc>
        <w:tc>
          <w:tcPr>
            <w:tcW w:w="1028" w:type="dxa"/>
            <w:tcBorders>
              <w:top w:val="nil"/>
              <w:left w:val="single" w:sz="12" w:space="0" w:color="7BA0CD"/>
              <w:bottom w:val="nil"/>
              <w:right w:val="single" w:sz="8" w:space="0" w:color="7BA0CD"/>
            </w:tcBorders>
            <w:shd w:val="clear" w:color="auto" w:fill="auto"/>
            <w:noWrap/>
            <w:vAlign w:val="bottom"/>
            <w:hideMark/>
          </w:tcPr>
          <w:p w14:paraId="4E71665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100,09%</w:t>
            </w:r>
          </w:p>
        </w:tc>
        <w:tc>
          <w:tcPr>
            <w:tcW w:w="1028" w:type="dxa"/>
            <w:tcBorders>
              <w:top w:val="nil"/>
              <w:left w:val="single" w:sz="8" w:space="0" w:color="7BA0CD"/>
              <w:bottom w:val="nil"/>
              <w:right w:val="single" w:sz="8" w:space="0" w:color="7BA0CD"/>
            </w:tcBorders>
            <w:shd w:val="clear" w:color="auto" w:fill="auto"/>
            <w:noWrap/>
            <w:vAlign w:val="bottom"/>
            <w:hideMark/>
          </w:tcPr>
          <w:p w14:paraId="6F70B2F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518F4609"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73,65%</w:t>
            </w:r>
          </w:p>
        </w:tc>
        <w:tc>
          <w:tcPr>
            <w:tcW w:w="1028" w:type="dxa"/>
            <w:tcBorders>
              <w:top w:val="nil"/>
              <w:left w:val="single" w:sz="8" w:space="0" w:color="7BA0CD"/>
              <w:bottom w:val="nil"/>
              <w:right w:val="single" w:sz="8" w:space="0" w:color="7BA0CD"/>
            </w:tcBorders>
            <w:shd w:val="clear" w:color="auto" w:fill="auto"/>
            <w:noWrap/>
            <w:vAlign w:val="bottom"/>
            <w:hideMark/>
          </w:tcPr>
          <w:p w14:paraId="007EB50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12A05894" w14:textId="77777777" w:rsidTr="00FD20E8">
        <w:trPr>
          <w:trHeight w:val="315"/>
        </w:trPr>
        <w:tc>
          <w:tcPr>
            <w:tcW w:w="5766" w:type="dxa"/>
            <w:tcBorders>
              <w:top w:val="nil"/>
              <w:left w:val="single" w:sz="8" w:space="0" w:color="7BA0CD"/>
              <w:bottom w:val="nil"/>
              <w:right w:val="single" w:sz="12" w:space="0" w:color="7BA0CD"/>
            </w:tcBorders>
            <w:shd w:val="clear" w:color="auto" w:fill="auto"/>
            <w:noWrap/>
            <w:vAlign w:val="bottom"/>
            <w:hideMark/>
          </w:tcPr>
          <w:p w14:paraId="0B40BEC8"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Intereses por préstamos del sector externo</w:t>
            </w:r>
          </w:p>
        </w:tc>
        <w:tc>
          <w:tcPr>
            <w:tcW w:w="1028" w:type="dxa"/>
            <w:tcBorders>
              <w:top w:val="nil"/>
              <w:left w:val="single" w:sz="12" w:space="0" w:color="7BA0CD"/>
              <w:bottom w:val="nil"/>
              <w:right w:val="single" w:sz="8" w:space="0" w:color="7BA0CD"/>
            </w:tcBorders>
            <w:shd w:val="clear" w:color="auto" w:fill="auto"/>
            <w:noWrap/>
            <w:vAlign w:val="bottom"/>
            <w:hideMark/>
          </w:tcPr>
          <w:p w14:paraId="4DE3A29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w:t>
            </w:r>
          </w:p>
        </w:tc>
        <w:tc>
          <w:tcPr>
            <w:tcW w:w="1028" w:type="dxa"/>
            <w:tcBorders>
              <w:top w:val="nil"/>
              <w:left w:val="single" w:sz="8" w:space="0" w:color="7BA0CD"/>
              <w:bottom w:val="nil"/>
              <w:right w:val="single" w:sz="8" w:space="0" w:color="7BA0CD"/>
            </w:tcBorders>
            <w:shd w:val="clear" w:color="auto" w:fill="auto"/>
            <w:noWrap/>
            <w:vAlign w:val="bottom"/>
            <w:hideMark/>
          </w:tcPr>
          <w:p w14:paraId="30E11ED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4769AF4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111</w:t>
            </w:r>
          </w:p>
        </w:tc>
        <w:tc>
          <w:tcPr>
            <w:tcW w:w="1028" w:type="dxa"/>
            <w:tcBorders>
              <w:top w:val="nil"/>
              <w:left w:val="single" w:sz="8" w:space="0" w:color="7BA0CD"/>
              <w:bottom w:val="nil"/>
              <w:right w:val="single" w:sz="12" w:space="0" w:color="7BA0CD"/>
            </w:tcBorders>
            <w:shd w:val="clear" w:color="auto" w:fill="auto"/>
            <w:noWrap/>
            <w:vAlign w:val="bottom"/>
            <w:hideMark/>
          </w:tcPr>
          <w:p w14:paraId="3C76B420"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193</w:t>
            </w:r>
          </w:p>
        </w:tc>
        <w:tc>
          <w:tcPr>
            <w:tcW w:w="1028" w:type="dxa"/>
            <w:tcBorders>
              <w:top w:val="nil"/>
              <w:left w:val="single" w:sz="12" w:space="0" w:color="7BA0CD"/>
              <w:bottom w:val="nil"/>
              <w:right w:val="single" w:sz="8" w:space="0" w:color="7BA0CD"/>
            </w:tcBorders>
            <w:shd w:val="clear" w:color="auto" w:fill="auto"/>
            <w:noWrap/>
            <w:vAlign w:val="bottom"/>
            <w:hideMark/>
          </w:tcPr>
          <w:p w14:paraId="30E90E56"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96,06%</w:t>
            </w:r>
          </w:p>
        </w:tc>
        <w:tc>
          <w:tcPr>
            <w:tcW w:w="1028" w:type="dxa"/>
            <w:tcBorders>
              <w:top w:val="nil"/>
              <w:left w:val="single" w:sz="8" w:space="0" w:color="7BA0CD"/>
              <w:bottom w:val="nil"/>
              <w:right w:val="single" w:sz="8" w:space="0" w:color="7BA0CD"/>
            </w:tcBorders>
            <w:shd w:val="clear" w:color="auto" w:fill="auto"/>
            <w:noWrap/>
            <w:vAlign w:val="bottom"/>
            <w:hideMark/>
          </w:tcPr>
          <w:p w14:paraId="77D7C37E"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2B73B934"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98,95%</w:t>
            </w:r>
          </w:p>
        </w:tc>
        <w:tc>
          <w:tcPr>
            <w:tcW w:w="1028" w:type="dxa"/>
            <w:tcBorders>
              <w:top w:val="nil"/>
              <w:left w:val="single" w:sz="8" w:space="0" w:color="7BA0CD"/>
              <w:bottom w:val="nil"/>
              <w:right w:val="single" w:sz="8" w:space="0" w:color="7BA0CD"/>
            </w:tcBorders>
            <w:shd w:val="clear" w:color="auto" w:fill="auto"/>
            <w:noWrap/>
            <w:vAlign w:val="bottom"/>
            <w:hideMark/>
          </w:tcPr>
          <w:p w14:paraId="1194C042"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99.20%</w:t>
            </w:r>
          </w:p>
        </w:tc>
      </w:tr>
      <w:tr w:rsidR="00EA1F56" w:rsidRPr="00593C9A" w14:paraId="584C7C81" w14:textId="77777777" w:rsidTr="00FD20E8">
        <w:trPr>
          <w:trHeight w:val="315"/>
        </w:trPr>
        <w:tc>
          <w:tcPr>
            <w:tcW w:w="5766"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2C72ECE0" w14:textId="77777777" w:rsidR="00EA1F56" w:rsidRPr="00117BF8" w:rsidRDefault="00EA1F56" w:rsidP="00EA1F56">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Intereses por préstamos recibidos</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4FF60F50"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295</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2DB643E9"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4457FEF0"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326</w:t>
            </w:r>
          </w:p>
        </w:tc>
        <w:tc>
          <w:tcPr>
            <w:tcW w:w="1028"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7EDC06FD"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1.922</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5A0514E4"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98,68%</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0FFF47C5"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4F711B58"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80,71%</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4132E373"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99.92%</w:t>
            </w:r>
          </w:p>
        </w:tc>
      </w:tr>
      <w:tr w:rsidR="00EA1F56" w:rsidRPr="00593C9A" w14:paraId="41333152" w14:textId="77777777" w:rsidTr="00FD20E8">
        <w:trPr>
          <w:trHeight w:val="315"/>
        </w:trPr>
        <w:tc>
          <w:tcPr>
            <w:tcW w:w="5766" w:type="dxa"/>
            <w:tcBorders>
              <w:top w:val="single" w:sz="4" w:space="0" w:color="000000"/>
              <w:left w:val="single" w:sz="8" w:space="0" w:color="7BA0CD"/>
              <w:bottom w:val="nil"/>
              <w:right w:val="single" w:sz="12" w:space="0" w:color="7BA0CD"/>
            </w:tcBorders>
            <w:shd w:val="clear" w:color="auto" w:fill="auto"/>
            <w:noWrap/>
            <w:vAlign w:val="bottom"/>
            <w:hideMark/>
          </w:tcPr>
          <w:p w14:paraId="095156E1"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Préstamos recibidos del sector privado</w:t>
            </w:r>
          </w:p>
        </w:tc>
        <w:tc>
          <w:tcPr>
            <w:tcW w:w="1028" w:type="dxa"/>
            <w:tcBorders>
              <w:top w:val="single" w:sz="4" w:space="0" w:color="000000"/>
              <w:left w:val="single" w:sz="12" w:space="0" w:color="7BA0CD"/>
              <w:bottom w:val="nil"/>
              <w:right w:val="single" w:sz="8" w:space="0" w:color="7BA0CD"/>
            </w:tcBorders>
            <w:shd w:val="clear" w:color="auto" w:fill="auto"/>
            <w:noWrap/>
            <w:vAlign w:val="bottom"/>
            <w:hideMark/>
          </w:tcPr>
          <w:p w14:paraId="107EAC70"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3</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66AA0F1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2511CD5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7</w:t>
            </w:r>
          </w:p>
        </w:tc>
        <w:tc>
          <w:tcPr>
            <w:tcW w:w="1028" w:type="dxa"/>
            <w:tcBorders>
              <w:top w:val="nil"/>
              <w:left w:val="single" w:sz="8" w:space="0" w:color="7BA0CD"/>
              <w:bottom w:val="nil"/>
              <w:right w:val="single" w:sz="12" w:space="0" w:color="7BA0CD"/>
            </w:tcBorders>
            <w:shd w:val="clear" w:color="auto" w:fill="auto"/>
            <w:noWrap/>
            <w:vAlign w:val="bottom"/>
            <w:hideMark/>
          </w:tcPr>
          <w:p w14:paraId="36FFFA6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4" w:space="0" w:color="000000"/>
              <w:left w:val="single" w:sz="12" w:space="0" w:color="7BA0CD"/>
              <w:bottom w:val="nil"/>
              <w:right w:val="single" w:sz="8" w:space="0" w:color="7BA0CD"/>
            </w:tcBorders>
            <w:shd w:val="clear" w:color="auto" w:fill="auto"/>
            <w:noWrap/>
            <w:vAlign w:val="bottom"/>
            <w:hideMark/>
          </w:tcPr>
          <w:p w14:paraId="1535C27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4A723DE6"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1BBD854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nil"/>
              <w:left w:val="single" w:sz="8" w:space="0" w:color="7BA0CD"/>
              <w:bottom w:val="nil"/>
              <w:right w:val="single" w:sz="8" w:space="0" w:color="7BA0CD"/>
            </w:tcBorders>
            <w:shd w:val="clear" w:color="auto" w:fill="auto"/>
            <w:noWrap/>
            <w:vAlign w:val="bottom"/>
            <w:hideMark/>
          </w:tcPr>
          <w:p w14:paraId="50AE139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r>
      <w:tr w:rsidR="00EA1F56" w:rsidRPr="00593C9A" w14:paraId="7D85BEDC" w14:textId="77777777" w:rsidTr="00FD20E8">
        <w:trPr>
          <w:trHeight w:val="315"/>
        </w:trPr>
        <w:tc>
          <w:tcPr>
            <w:tcW w:w="5766"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63F7F4F9" w14:textId="77777777" w:rsidR="00EA1F56" w:rsidRPr="00117BF8" w:rsidRDefault="00EA1F56" w:rsidP="00EA1F56">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Disminución de préstamos a corto plazo</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3A7DDAA9"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3</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093A55F2"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1DFFE282"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7</w:t>
            </w:r>
          </w:p>
        </w:tc>
        <w:tc>
          <w:tcPr>
            <w:tcW w:w="1028"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7CA1548A"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54351EA1"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100,00%</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14E4E0EE"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2B95C728"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100,00%</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2C0601F4"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r>
      <w:tr w:rsidR="00EA1F56" w:rsidRPr="00593C9A" w14:paraId="2C14D2C1" w14:textId="77777777" w:rsidTr="00FD20E8">
        <w:trPr>
          <w:trHeight w:val="300"/>
        </w:trPr>
        <w:tc>
          <w:tcPr>
            <w:tcW w:w="5766" w:type="dxa"/>
            <w:tcBorders>
              <w:top w:val="single" w:sz="4" w:space="0" w:color="000000"/>
              <w:left w:val="single" w:sz="8" w:space="0" w:color="7BA0CD"/>
              <w:bottom w:val="nil"/>
              <w:right w:val="single" w:sz="12" w:space="0" w:color="7BA0CD"/>
            </w:tcBorders>
            <w:shd w:val="clear" w:color="auto" w:fill="auto"/>
            <w:noWrap/>
            <w:vAlign w:val="bottom"/>
            <w:hideMark/>
          </w:tcPr>
          <w:p w14:paraId="0EF7FA3B"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Préstamos recibidos del Gobierno nacional</w:t>
            </w:r>
          </w:p>
        </w:tc>
        <w:tc>
          <w:tcPr>
            <w:tcW w:w="1028" w:type="dxa"/>
            <w:tcBorders>
              <w:top w:val="single" w:sz="4" w:space="0" w:color="000000"/>
              <w:left w:val="single" w:sz="12" w:space="0" w:color="7BA0CD"/>
              <w:bottom w:val="nil"/>
              <w:right w:val="single" w:sz="8" w:space="0" w:color="7BA0CD"/>
            </w:tcBorders>
            <w:shd w:val="clear" w:color="auto" w:fill="auto"/>
            <w:noWrap/>
            <w:vAlign w:val="bottom"/>
            <w:hideMark/>
          </w:tcPr>
          <w:p w14:paraId="5A476A1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261</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00BE118F"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16B4519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4.924</w:t>
            </w:r>
          </w:p>
        </w:tc>
        <w:tc>
          <w:tcPr>
            <w:tcW w:w="1028" w:type="dxa"/>
            <w:tcBorders>
              <w:top w:val="single" w:sz="4" w:space="0" w:color="000000"/>
              <w:left w:val="single" w:sz="8" w:space="0" w:color="7BA0CD"/>
              <w:bottom w:val="nil"/>
              <w:right w:val="single" w:sz="12" w:space="0" w:color="7BA0CD"/>
            </w:tcBorders>
            <w:shd w:val="clear" w:color="auto" w:fill="auto"/>
            <w:noWrap/>
            <w:vAlign w:val="bottom"/>
            <w:hideMark/>
          </w:tcPr>
          <w:p w14:paraId="1EAA37D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6.668</w:t>
            </w:r>
          </w:p>
        </w:tc>
        <w:tc>
          <w:tcPr>
            <w:tcW w:w="1028" w:type="dxa"/>
            <w:tcBorders>
              <w:top w:val="single" w:sz="4" w:space="0" w:color="000000"/>
              <w:left w:val="single" w:sz="12" w:space="0" w:color="7BA0CD"/>
              <w:bottom w:val="nil"/>
              <w:right w:val="single" w:sz="8" w:space="0" w:color="7BA0CD"/>
            </w:tcBorders>
            <w:shd w:val="clear" w:color="auto" w:fill="auto"/>
            <w:noWrap/>
            <w:vAlign w:val="bottom"/>
            <w:hideMark/>
          </w:tcPr>
          <w:p w14:paraId="032D045F"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710D5064"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26D2046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98,38%</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61FFC426"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5A7396F8" w14:textId="77777777" w:rsidTr="00FD20E8">
        <w:trPr>
          <w:trHeight w:val="300"/>
        </w:trPr>
        <w:tc>
          <w:tcPr>
            <w:tcW w:w="5766" w:type="dxa"/>
            <w:tcBorders>
              <w:top w:val="nil"/>
              <w:left w:val="single" w:sz="8" w:space="0" w:color="7BA0CD"/>
              <w:bottom w:val="nil"/>
              <w:right w:val="single" w:sz="12" w:space="0" w:color="7BA0CD"/>
            </w:tcBorders>
            <w:shd w:val="clear" w:color="auto" w:fill="auto"/>
            <w:noWrap/>
            <w:vAlign w:val="bottom"/>
            <w:hideMark/>
          </w:tcPr>
          <w:p w14:paraId="35E5EDA3"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 xml:space="preserve">Préstamos recibidos de empresas </w:t>
            </w:r>
            <w:r w:rsidR="00443F74" w:rsidRPr="00117BF8">
              <w:rPr>
                <w:rFonts w:ascii="Arial" w:hAnsi="Arial" w:cs="Arial"/>
                <w:sz w:val="18"/>
                <w:szCs w:val="18"/>
                <w:lang w:val="es-AR" w:eastAsia="es-AR"/>
              </w:rPr>
              <w:t>públicas, financ</w:t>
            </w:r>
            <w:r w:rsidRPr="00117BF8">
              <w:rPr>
                <w:rFonts w:ascii="Arial" w:hAnsi="Arial" w:cs="Arial"/>
                <w:sz w:val="18"/>
                <w:szCs w:val="18"/>
                <w:lang w:val="es-AR" w:eastAsia="es-AR"/>
              </w:rPr>
              <w:t>. y no financ.</w:t>
            </w:r>
          </w:p>
        </w:tc>
        <w:tc>
          <w:tcPr>
            <w:tcW w:w="1028" w:type="dxa"/>
            <w:tcBorders>
              <w:top w:val="nil"/>
              <w:left w:val="single" w:sz="12" w:space="0" w:color="7BA0CD"/>
              <w:bottom w:val="nil"/>
              <w:right w:val="single" w:sz="8" w:space="0" w:color="7BA0CD"/>
            </w:tcBorders>
            <w:shd w:val="clear" w:color="auto" w:fill="auto"/>
            <w:noWrap/>
            <w:vAlign w:val="bottom"/>
            <w:hideMark/>
          </w:tcPr>
          <w:p w14:paraId="50DA508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61</w:t>
            </w:r>
          </w:p>
        </w:tc>
        <w:tc>
          <w:tcPr>
            <w:tcW w:w="1028" w:type="dxa"/>
            <w:tcBorders>
              <w:top w:val="nil"/>
              <w:left w:val="single" w:sz="8" w:space="0" w:color="7BA0CD"/>
              <w:bottom w:val="nil"/>
              <w:right w:val="single" w:sz="8" w:space="0" w:color="7BA0CD"/>
            </w:tcBorders>
            <w:shd w:val="clear" w:color="auto" w:fill="auto"/>
            <w:noWrap/>
            <w:vAlign w:val="bottom"/>
            <w:hideMark/>
          </w:tcPr>
          <w:p w14:paraId="6250C58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4FB6AE80"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56</w:t>
            </w:r>
          </w:p>
        </w:tc>
        <w:tc>
          <w:tcPr>
            <w:tcW w:w="1028" w:type="dxa"/>
            <w:tcBorders>
              <w:top w:val="nil"/>
              <w:left w:val="single" w:sz="8" w:space="0" w:color="7BA0CD"/>
              <w:bottom w:val="nil"/>
              <w:right w:val="single" w:sz="12" w:space="0" w:color="7BA0CD"/>
            </w:tcBorders>
            <w:shd w:val="clear" w:color="auto" w:fill="auto"/>
            <w:noWrap/>
            <w:vAlign w:val="bottom"/>
            <w:hideMark/>
          </w:tcPr>
          <w:p w14:paraId="2E5131E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78</w:t>
            </w:r>
          </w:p>
        </w:tc>
        <w:tc>
          <w:tcPr>
            <w:tcW w:w="1028" w:type="dxa"/>
            <w:tcBorders>
              <w:top w:val="nil"/>
              <w:left w:val="single" w:sz="12" w:space="0" w:color="7BA0CD"/>
              <w:bottom w:val="nil"/>
              <w:right w:val="single" w:sz="8" w:space="0" w:color="7BA0CD"/>
            </w:tcBorders>
            <w:shd w:val="clear" w:color="auto" w:fill="auto"/>
            <w:noWrap/>
            <w:vAlign w:val="bottom"/>
            <w:hideMark/>
          </w:tcPr>
          <w:p w14:paraId="7BF436BE"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97,61%</w:t>
            </w:r>
          </w:p>
        </w:tc>
        <w:tc>
          <w:tcPr>
            <w:tcW w:w="1028" w:type="dxa"/>
            <w:tcBorders>
              <w:top w:val="nil"/>
              <w:left w:val="single" w:sz="8" w:space="0" w:color="7BA0CD"/>
              <w:bottom w:val="nil"/>
              <w:right w:val="single" w:sz="8" w:space="0" w:color="7BA0CD"/>
            </w:tcBorders>
            <w:shd w:val="clear" w:color="auto" w:fill="auto"/>
            <w:noWrap/>
            <w:vAlign w:val="bottom"/>
            <w:hideMark/>
          </w:tcPr>
          <w:p w14:paraId="62E5105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08B069B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100,23%</w:t>
            </w:r>
          </w:p>
        </w:tc>
        <w:tc>
          <w:tcPr>
            <w:tcW w:w="1028" w:type="dxa"/>
            <w:tcBorders>
              <w:top w:val="nil"/>
              <w:left w:val="single" w:sz="8" w:space="0" w:color="7BA0CD"/>
              <w:bottom w:val="nil"/>
              <w:right w:val="single" w:sz="8" w:space="0" w:color="7BA0CD"/>
            </w:tcBorders>
            <w:shd w:val="clear" w:color="auto" w:fill="auto"/>
            <w:noWrap/>
            <w:vAlign w:val="bottom"/>
            <w:hideMark/>
          </w:tcPr>
          <w:p w14:paraId="72D46D57"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100.00%</w:t>
            </w:r>
          </w:p>
        </w:tc>
      </w:tr>
      <w:tr w:rsidR="00EA1F56" w:rsidRPr="00593C9A" w14:paraId="4FAE6C3E" w14:textId="77777777" w:rsidTr="00FD20E8">
        <w:trPr>
          <w:trHeight w:val="315"/>
        </w:trPr>
        <w:tc>
          <w:tcPr>
            <w:tcW w:w="5766" w:type="dxa"/>
            <w:tcBorders>
              <w:top w:val="nil"/>
              <w:left w:val="single" w:sz="8" w:space="0" w:color="7BA0CD"/>
              <w:bottom w:val="nil"/>
              <w:right w:val="single" w:sz="12" w:space="0" w:color="7BA0CD"/>
            </w:tcBorders>
            <w:shd w:val="clear" w:color="auto" w:fill="auto"/>
            <w:noWrap/>
            <w:vAlign w:val="bottom"/>
            <w:hideMark/>
          </w:tcPr>
          <w:p w14:paraId="1F738562"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Préstamos recibidos del sector externo</w:t>
            </w:r>
          </w:p>
        </w:tc>
        <w:tc>
          <w:tcPr>
            <w:tcW w:w="1028" w:type="dxa"/>
            <w:tcBorders>
              <w:top w:val="nil"/>
              <w:left w:val="single" w:sz="12" w:space="0" w:color="7BA0CD"/>
              <w:bottom w:val="nil"/>
              <w:right w:val="single" w:sz="8" w:space="0" w:color="7BA0CD"/>
            </w:tcBorders>
            <w:shd w:val="clear" w:color="auto" w:fill="auto"/>
            <w:noWrap/>
            <w:vAlign w:val="bottom"/>
            <w:hideMark/>
          </w:tcPr>
          <w:p w14:paraId="2DD0B98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454</w:t>
            </w:r>
          </w:p>
        </w:tc>
        <w:tc>
          <w:tcPr>
            <w:tcW w:w="1028" w:type="dxa"/>
            <w:tcBorders>
              <w:top w:val="nil"/>
              <w:left w:val="single" w:sz="8" w:space="0" w:color="7BA0CD"/>
              <w:bottom w:val="nil"/>
              <w:right w:val="single" w:sz="8" w:space="0" w:color="7BA0CD"/>
            </w:tcBorders>
            <w:shd w:val="clear" w:color="auto" w:fill="auto"/>
            <w:noWrap/>
            <w:vAlign w:val="bottom"/>
            <w:hideMark/>
          </w:tcPr>
          <w:p w14:paraId="3B6B0B7F"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14A4E699"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972</w:t>
            </w:r>
          </w:p>
        </w:tc>
        <w:tc>
          <w:tcPr>
            <w:tcW w:w="1028" w:type="dxa"/>
            <w:tcBorders>
              <w:top w:val="nil"/>
              <w:left w:val="single" w:sz="8" w:space="0" w:color="7BA0CD"/>
              <w:bottom w:val="nil"/>
              <w:right w:val="single" w:sz="12" w:space="0" w:color="7BA0CD"/>
            </w:tcBorders>
            <w:shd w:val="clear" w:color="auto" w:fill="auto"/>
            <w:noWrap/>
            <w:vAlign w:val="bottom"/>
            <w:hideMark/>
          </w:tcPr>
          <w:p w14:paraId="152F3ECC"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1.683</w:t>
            </w:r>
          </w:p>
        </w:tc>
        <w:tc>
          <w:tcPr>
            <w:tcW w:w="1028" w:type="dxa"/>
            <w:tcBorders>
              <w:top w:val="nil"/>
              <w:left w:val="single" w:sz="12" w:space="0" w:color="7BA0CD"/>
              <w:bottom w:val="nil"/>
              <w:right w:val="single" w:sz="8" w:space="0" w:color="7BA0CD"/>
            </w:tcBorders>
            <w:shd w:val="clear" w:color="auto" w:fill="auto"/>
            <w:noWrap/>
            <w:vAlign w:val="bottom"/>
            <w:hideMark/>
          </w:tcPr>
          <w:p w14:paraId="5088C8F6"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94,53%</w:t>
            </w:r>
          </w:p>
        </w:tc>
        <w:tc>
          <w:tcPr>
            <w:tcW w:w="1028" w:type="dxa"/>
            <w:tcBorders>
              <w:top w:val="nil"/>
              <w:left w:val="single" w:sz="8" w:space="0" w:color="7BA0CD"/>
              <w:bottom w:val="nil"/>
              <w:right w:val="single" w:sz="8" w:space="0" w:color="7BA0CD"/>
            </w:tcBorders>
            <w:shd w:val="clear" w:color="auto" w:fill="auto"/>
            <w:noWrap/>
            <w:vAlign w:val="bottom"/>
            <w:hideMark/>
          </w:tcPr>
          <w:p w14:paraId="2A926FB1"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4ED3A979"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99,60%</w:t>
            </w:r>
          </w:p>
        </w:tc>
        <w:tc>
          <w:tcPr>
            <w:tcW w:w="1028" w:type="dxa"/>
            <w:tcBorders>
              <w:top w:val="nil"/>
              <w:left w:val="single" w:sz="8" w:space="0" w:color="7BA0CD"/>
              <w:bottom w:val="nil"/>
              <w:right w:val="single" w:sz="8" w:space="0" w:color="7BA0CD"/>
            </w:tcBorders>
            <w:shd w:val="clear" w:color="auto" w:fill="auto"/>
            <w:noWrap/>
            <w:vAlign w:val="bottom"/>
            <w:hideMark/>
          </w:tcPr>
          <w:p w14:paraId="29196E6F"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97.74%</w:t>
            </w:r>
          </w:p>
        </w:tc>
      </w:tr>
      <w:tr w:rsidR="00EA1F56" w:rsidRPr="00593C9A" w14:paraId="6DCA9E2A" w14:textId="77777777" w:rsidTr="00FD20E8">
        <w:trPr>
          <w:trHeight w:val="315"/>
        </w:trPr>
        <w:tc>
          <w:tcPr>
            <w:tcW w:w="5766"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717B7125" w14:textId="77777777" w:rsidR="00EA1F56" w:rsidRPr="00117BF8" w:rsidRDefault="00EA1F56" w:rsidP="00EA1F56">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Disminución de préstamos a Largo plazo</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27B0847D"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777</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39D7868D"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1C51B294"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5.952</w:t>
            </w:r>
          </w:p>
        </w:tc>
        <w:tc>
          <w:tcPr>
            <w:tcW w:w="1028"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053CAC10"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8.429</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03A1A28E"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96,55%</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6AE5D2A9"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0DCF9CA0"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98,60%</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70B86A15"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99.54%</w:t>
            </w:r>
          </w:p>
        </w:tc>
      </w:tr>
      <w:tr w:rsidR="00EA1F56" w:rsidRPr="00593C9A" w14:paraId="40E7759D" w14:textId="77777777" w:rsidTr="00FD20E8">
        <w:trPr>
          <w:trHeight w:val="315"/>
        </w:trPr>
        <w:tc>
          <w:tcPr>
            <w:tcW w:w="5766" w:type="dxa"/>
            <w:tcBorders>
              <w:top w:val="single" w:sz="4" w:space="0" w:color="000000"/>
              <w:left w:val="single" w:sz="8" w:space="0" w:color="7BA0CD"/>
              <w:bottom w:val="nil"/>
              <w:right w:val="single" w:sz="12" w:space="0" w:color="7BA0CD"/>
            </w:tcBorders>
            <w:shd w:val="clear" w:color="auto" w:fill="auto"/>
            <w:noWrap/>
            <w:vAlign w:val="bottom"/>
            <w:hideMark/>
          </w:tcPr>
          <w:p w14:paraId="112298E3" w14:textId="77777777" w:rsidR="00EA1F56" w:rsidRPr="00117BF8" w:rsidRDefault="00EA1F56" w:rsidP="00EA1F56">
            <w:pPr>
              <w:spacing w:after="0"/>
              <w:jc w:val="left"/>
              <w:rPr>
                <w:rFonts w:ascii="Arial" w:hAnsi="Arial" w:cs="Arial"/>
                <w:sz w:val="18"/>
                <w:szCs w:val="18"/>
                <w:lang w:val="es-AR" w:eastAsia="es-AR"/>
              </w:rPr>
            </w:pPr>
            <w:r w:rsidRPr="00117BF8">
              <w:rPr>
                <w:rFonts w:ascii="Arial" w:hAnsi="Arial" w:cs="Arial"/>
                <w:sz w:val="18"/>
                <w:szCs w:val="18"/>
                <w:lang w:val="es-AR" w:eastAsia="es-AR"/>
              </w:rPr>
              <w:t>Disminución de cuentas y documentos a pagar a largo plazo</w:t>
            </w:r>
          </w:p>
        </w:tc>
        <w:tc>
          <w:tcPr>
            <w:tcW w:w="1028" w:type="dxa"/>
            <w:tcBorders>
              <w:top w:val="single" w:sz="4" w:space="0" w:color="000000"/>
              <w:left w:val="single" w:sz="12" w:space="0" w:color="7BA0CD"/>
              <w:bottom w:val="nil"/>
              <w:right w:val="single" w:sz="8" w:space="0" w:color="7BA0CD"/>
            </w:tcBorders>
            <w:shd w:val="clear" w:color="auto" w:fill="auto"/>
            <w:noWrap/>
            <w:vAlign w:val="bottom"/>
            <w:hideMark/>
          </w:tcPr>
          <w:p w14:paraId="774FF808"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51EB3441"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47408A70"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028" w:type="dxa"/>
            <w:tcBorders>
              <w:top w:val="nil"/>
              <w:left w:val="single" w:sz="8" w:space="0" w:color="7BA0CD"/>
              <w:bottom w:val="nil"/>
              <w:right w:val="single" w:sz="12" w:space="0" w:color="7BA0CD"/>
            </w:tcBorders>
            <w:shd w:val="clear" w:color="auto" w:fill="auto"/>
            <w:noWrap/>
            <w:vAlign w:val="bottom"/>
            <w:hideMark/>
          </w:tcPr>
          <w:p w14:paraId="120BC8F3"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0</w:t>
            </w:r>
          </w:p>
        </w:tc>
        <w:tc>
          <w:tcPr>
            <w:tcW w:w="1028" w:type="dxa"/>
            <w:tcBorders>
              <w:top w:val="single" w:sz="4" w:space="0" w:color="000000"/>
              <w:left w:val="single" w:sz="12" w:space="0" w:color="7BA0CD"/>
              <w:bottom w:val="nil"/>
              <w:right w:val="single" w:sz="8" w:space="0" w:color="7BA0CD"/>
            </w:tcBorders>
            <w:shd w:val="clear" w:color="auto" w:fill="auto"/>
            <w:noWrap/>
            <w:vAlign w:val="bottom"/>
            <w:hideMark/>
          </w:tcPr>
          <w:p w14:paraId="6928D915"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single" w:sz="4" w:space="0" w:color="000000"/>
              <w:left w:val="single" w:sz="8" w:space="0" w:color="7BA0CD"/>
              <w:bottom w:val="nil"/>
              <w:right w:val="single" w:sz="8" w:space="0" w:color="7BA0CD"/>
            </w:tcBorders>
            <w:shd w:val="clear" w:color="auto" w:fill="auto"/>
            <w:noWrap/>
            <w:vAlign w:val="bottom"/>
            <w:hideMark/>
          </w:tcPr>
          <w:p w14:paraId="5F1CED6B"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 </w:t>
            </w:r>
          </w:p>
        </w:tc>
        <w:tc>
          <w:tcPr>
            <w:tcW w:w="1028" w:type="dxa"/>
            <w:tcBorders>
              <w:top w:val="nil"/>
              <w:left w:val="single" w:sz="8" w:space="0" w:color="7BA0CD"/>
              <w:bottom w:val="nil"/>
              <w:right w:val="single" w:sz="8" w:space="0" w:color="7BA0CD"/>
            </w:tcBorders>
            <w:shd w:val="clear" w:color="auto" w:fill="auto"/>
            <w:noWrap/>
            <w:vAlign w:val="bottom"/>
            <w:hideMark/>
          </w:tcPr>
          <w:p w14:paraId="73CD0632"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0,00%</w:t>
            </w:r>
          </w:p>
        </w:tc>
        <w:tc>
          <w:tcPr>
            <w:tcW w:w="1028" w:type="dxa"/>
            <w:tcBorders>
              <w:top w:val="nil"/>
              <w:left w:val="single" w:sz="8" w:space="0" w:color="7BA0CD"/>
              <w:bottom w:val="nil"/>
              <w:right w:val="single" w:sz="8" w:space="0" w:color="7BA0CD"/>
            </w:tcBorders>
            <w:shd w:val="clear" w:color="auto" w:fill="auto"/>
            <w:noWrap/>
            <w:vAlign w:val="bottom"/>
            <w:hideMark/>
          </w:tcPr>
          <w:p w14:paraId="1B73B4B0" w14:textId="77777777" w:rsidR="00EA1F56" w:rsidRPr="00117BF8" w:rsidRDefault="00EA1F56" w:rsidP="00EA1F56">
            <w:pPr>
              <w:spacing w:after="0"/>
              <w:jc w:val="right"/>
              <w:rPr>
                <w:rFonts w:ascii="Arial" w:hAnsi="Arial" w:cs="Arial"/>
                <w:sz w:val="18"/>
                <w:szCs w:val="18"/>
                <w:lang w:val="es-AR" w:eastAsia="es-AR"/>
              </w:rPr>
            </w:pPr>
            <w:r w:rsidRPr="00117BF8">
              <w:rPr>
                <w:rFonts w:ascii="Arial" w:hAnsi="Arial" w:cs="Arial"/>
                <w:sz w:val="18"/>
                <w:szCs w:val="18"/>
                <w:lang w:val="es-AR" w:eastAsia="es-AR"/>
              </w:rPr>
              <w:t>0.00%</w:t>
            </w:r>
          </w:p>
        </w:tc>
      </w:tr>
      <w:tr w:rsidR="00EA1F56" w:rsidRPr="00593C9A" w14:paraId="7E1F21F8" w14:textId="77777777" w:rsidTr="00FD20E8">
        <w:trPr>
          <w:trHeight w:val="315"/>
        </w:trPr>
        <w:tc>
          <w:tcPr>
            <w:tcW w:w="5766"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0A97F249" w14:textId="77777777" w:rsidR="00EA1F56" w:rsidRPr="00117BF8" w:rsidRDefault="00EA1F56" w:rsidP="00EA1F56">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Disminución de cuentas y documentos a pagar</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0236A3BB"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0533DBCF"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31844162"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0</w:t>
            </w:r>
          </w:p>
        </w:tc>
        <w:tc>
          <w:tcPr>
            <w:tcW w:w="1028" w:type="dxa"/>
            <w:tcBorders>
              <w:top w:val="single" w:sz="8" w:space="0" w:color="000000"/>
              <w:left w:val="single" w:sz="8" w:space="0" w:color="7BA0CD"/>
              <w:bottom w:val="single" w:sz="8" w:space="0" w:color="000000"/>
              <w:right w:val="single" w:sz="12" w:space="0" w:color="7BA0CD"/>
            </w:tcBorders>
            <w:shd w:val="clear" w:color="auto" w:fill="auto"/>
            <w:noWrap/>
            <w:vAlign w:val="bottom"/>
            <w:hideMark/>
          </w:tcPr>
          <w:p w14:paraId="39CD2B61"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0</w:t>
            </w:r>
          </w:p>
        </w:tc>
        <w:tc>
          <w:tcPr>
            <w:tcW w:w="1028" w:type="dxa"/>
            <w:tcBorders>
              <w:top w:val="single" w:sz="8" w:space="0" w:color="000000"/>
              <w:left w:val="single" w:sz="12" w:space="0" w:color="7BA0CD"/>
              <w:bottom w:val="single" w:sz="8" w:space="0" w:color="000000"/>
              <w:right w:val="single" w:sz="8" w:space="0" w:color="7BA0CD"/>
            </w:tcBorders>
            <w:shd w:val="clear" w:color="auto" w:fill="auto"/>
            <w:noWrap/>
            <w:vAlign w:val="bottom"/>
            <w:hideMark/>
          </w:tcPr>
          <w:p w14:paraId="0F05EA37"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70F7042A"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 </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4F67A456"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0,00%</w:t>
            </w:r>
          </w:p>
        </w:tc>
        <w:tc>
          <w:tcPr>
            <w:tcW w:w="1028" w:type="dxa"/>
            <w:tcBorders>
              <w:top w:val="single" w:sz="8" w:space="0" w:color="000000"/>
              <w:left w:val="single" w:sz="8" w:space="0" w:color="7BA0CD"/>
              <w:bottom w:val="single" w:sz="8" w:space="0" w:color="000000"/>
              <w:right w:val="single" w:sz="8" w:space="0" w:color="7BA0CD"/>
            </w:tcBorders>
            <w:shd w:val="clear" w:color="auto" w:fill="auto"/>
            <w:noWrap/>
            <w:vAlign w:val="bottom"/>
            <w:hideMark/>
          </w:tcPr>
          <w:p w14:paraId="5618526E"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0.00%</w:t>
            </w:r>
          </w:p>
        </w:tc>
      </w:tr>
      <w:tr w:rsidR="00EA1F56" w:rsidRPr="00593C9A" w14:paraId="187CE7E6" w14:textId="77777777" w:rsidTr="00FD20E8">
        <w:trPr>
          <w:trHeight w:val="315"/>
        </w:trPr>
        <w:tc>
          <w:tcPr>
            <w:tcW w:w="5766" w:type="dxa"/>
            <w:tcBorders>
              <w:top w:val="nil"/>
              <w:left w:val="single" w:sz="8" w:space="0" w:color="7BA0CD"/>
              <w:bottom w:val="single" w:sz="8" w:space="0" w:color="7BA0CD"/>
              <w:right w:val="single" w:sz="12" w:space="0" w:color="7BA0CD"/>
            </w:tcBorders>
            <w:shd w:val="clear" w:color="auto" w:fill="auto"/>
            <w:noWrap/>
            <w:vAlign w:val="bottom"/>
            <w:hideMark/>
          </w:tcPr>
          <w:p w14:paraId="0B672966" w14:textId="77777777" w:rsidR="00EA1F56" w:rsidRPr="00117BF8" w:rsidRDefault="00EA1F56" w:rsidP="00EA1F56">
            <w:pPr>
              <w:spacing w:after="0"/>
              <w:jc w:val="left"/>
              <w:rPr>
                <w:rFonts w:ascii="Arial" w:hAnsi="Arial" w:cs="Arial"/>
                <w:b/>
                <w:bCs/>
                <w:sz w:val="18"/>
                <w:szCs w:val="18"/>
                <w:lang w:val="es-AR" w:eastAsia="es-AR"/>
              </w:rPr>
            </w:pPr>
            <w:r w:rsidRPr="00117BF8">
              <w:rPr>
                <w:rFonts w:ascii="Arial" w:hAnsi="Arial" w:cs="Arial"/>
                <w:b/>
                <w:bCs/>
                <w:sz w:val="18"/>
                <w:szCs w:val="18"/>
                <w:lang w:val="es-AR" w:eastAsia="es-AR"/>
              </w:rPr>
              <w:t>Total Partida</w:t>
            </w:r>
          </w:p>
        </w:tc>
        <w:tc>
          <w:tcPr>
            <w:tcW w:w="1028" w:type="dxa"/>
            <w:tcBorders>
              <w:top w:val="nil"/>
              <w:left w:val="single" w:sz="12" w:space="0" w:color="7BA0CD"/>
              <w:bottom w:val="single" w:sz="8" w:space="0" w:color="7BA0CD"/>
              <w:right w:val="single" w:sz="8" w:space="0" w:color="7BA0CD"/>
            </w:tcBorders>
            <w:shd w:val="clear" w:color="auto" w:fill="auto"/>
            <w:noWrap/>
            <w:vAlign w:val="bottom"/>
            <w:hideMark/>
          </w:tcPr>
          <w:p w14:paraId="0FABDCBD"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12.182</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4F3FF85B"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17.374</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64278FA7"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29.759</w:t>
            </w:r>
          </w:p>
        </w:tc>
        <w:tc>
          <w:tcPr>
            <w:tcW w:w="1028" w:type="dxa"/>
            <w:tcBorders>
              <w:top w:val="nil"/>
              <w:left w:val="single" w:sz="8" w:space="0" w:color="7BA0CD"/>
              <w:bottom w:val="single" w:sz="8" w:space="0" w:color="7BA0CD"/>
              <w:right w:val="single" w:sz="12" w:space="0" w:color="7BA0CD"/>
            </w:tcBorders>
            <w:shd w:val="clear" w:color="auto" w:fill="auto"/>
            <w:noWrap/>
            <w:vAlign w:val="bottom"/>
            <w:hideMark/>
          </w:tcPr>
          <w:p w14:paraId="5CBED647"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32.288</w:t>
            </w:r>
          </w:p>
        </w:tc>
        <w:tc>
          <w:tcPr>
            <w:tcW w:w="1028" w:type="dxa"/>
            <w:tcBorders>
              <w:top w:val="nil"/>
              <w:left w:val="single" w:sz="12" w:space="0" w:color="7BA0CD"/>
              <w:bottom w:val="single" w:sz="8" w:space="0" w:color="7BA0CD"/>
              <w:right w:val="single" w:sz="8" w:space="0" w:color="7BA0CD"/>
            </w:tcBorders>
            <w:shd w:val="clear" w:color="auto" w:fill="auto"/>
            <w:noWrap/>
            <w:vAlign w:val="bottom"/>
            <w:hideMark/>
          </w:tcPr>
          <w:p w14:paraId="202F4F1E"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99,73%</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51FAE5E6"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0,00%</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215284A5"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99,42%</w:t>
            </w:r>
          </w:p>
        </w:tc>
        <w:tc>
          <w:tcPr>
            <w:tcW w:w="1028" w:type="dxa"/>
            <w:tcBorders>
              <w:top w:val="nil"/>
              <w:left w:val="single" w:sz="8" w:space="0" w:color="7BA0CD"/>
              <w:bottom w:val="single" w:sz="8" w:space="0" w:color="7BA0CD"/>
              <w:right w:val="single" w:sz="8" w:space="0" w:color="7BA0CD"/>
            </w:tcBorders>
            <w:shd w:val="clear" w:color="auto" w:fill="auto"/>
            <w:noWrap/>
            <w:vAlign w:val="bottom"/>
            <w:hideMark/>
          </w:tcPr>
          <w:p w14:paraId="75B76A7B" w14:textId="77777777" w:rsidR="00EA1F56" w:rsidRPr="00117BF8" w:rsidRDefault="00EA1F56" w:rsidP="00EA1F56">
            <w:pPr>
              <w:spacing w:after="0"/>
              <w:jc w:val="right"/>
              <w:rPr>
                <w:rFonts w:ascii="Arial" w:hAnsi="Arial" w:cs="Arial"/>
                <w:b/>
                <w:bCs/>
                <w:sz w:val="18"/>
                <w:szCs w:val="18"/>
                <w:lang w:val="es-AR" w:eastAsia="es-AR"/>
              </w:rPr>
            </w:pPr>
            <w:r w:rsidRPr="00117BF8">
              <w:rPr>
                <w:rFonts w:ascii="Arial" w:hAnsi="Arial" w:cs="Arial"/>
                <w:b/>
                <w:bCs/>
                <w:sz w:val="18"/>
                <w:szCs w:val="18"/>
                <w:lang w:val="es-AR" w:eastAsia="es-AR"/>
              </w:rPr>
              <w:t>99.82%</w:t>
            </w:r>
          </w:p>
        </w:tc>
      </w:tr>
    </w:tbl>
    <w:p w14:paraId="0AD915BC" w14:textId="77777777" w:rsidR="00DB6C19" w:rsidRPr="00117BF8" w:rsidRDefault="00225120" w:rsidP="00ED1952">
      <w:pPr>
        <w:pStyle w:val="Hfuente"/>
        <w:rPr>
          <w:rFonts w:ascii="Arial" w:hAnsi="Arial" w:cs="Arial"/>
          <w:sz w:val="18"/>
          <w:szCs w:val="18"/>
          <w:lang w:val="es-AR" w:eastAsia="es-AR"/>
        </w:rPr>
      </w:pPr>
      <w:r w:rsidRPr="00117BF8">
        <w:rPr>
          <w:rFonts w:ascii="Arial" w:hAnsi="Arial" w:cs="Arial"/>
          <w:sz w:val="18"/>
          <w:szCs w:val="18"/>
          <w:lang w:val="es-AR" w:eastAsia="es-AR"/>
        </w:rPr>
        <w:t>Fuente: Elaboración propia con datos de CGPBA</w:t>
      </w:r>
      <w:r w:rsidR="008520A1" w:rsidRPr="00117BF8">
        <w:rPr>
          <w:rFonts w:ascii="Arial" w:hAnsi="Arial" w:cs="Arial"/>
          <w:sz w:val="18"/>
          <w:szCs w:val="18"/>
          <w:lang w:val="es-AR" w:eastAsia="es-AR"/>
        </w:rPr>
        <w:t xml:space="preserve"> – Para el año 2014 la apertura no se encuentra disponible.</w:t>
      </w:r>
    </w:p>
    <w:tbl>
      <w:tblPr>
        <w:tblW w:w="13879" w:type="dxa"/>
        <w:tblInd w:w="55" w:type="dxa"/>
        <w:tblCellMar>
          <w:left w:w="70" w:type="dxa"/>
          <w:right w:w="70" w:type="dxa"/>
        </w:tblCellMar>
        <w:tblLook w:val="04A0" w:firstRow="1" w:lastRow="0" w:firstColumn="1" w:lastColumn="0" w:noHBand="0" w:noVBand="1"/>
      </w:tblPr>
      <w:tblGrid>
        <w:gridCol w:w="5402"/>
        <w:gridCol w:w="6237"/>
        <w:gridCol w:w="1120"/>
        <w:gridCol w:w="1120"/>
      </w:tblGrid>
      <w:tr w:rsidR="004F3D41" w:rsidRPr="004E6455" w14:paraId="7E691997" w14:textId="77777777" w:rsidTr="00FD20E8">
        <w:trPr>
          <w:trHeight w:val="300"/>
          <w:tblHeader/>
        </w:trPr>
        <w:tc>
          <w:tcPr>
            <w:tcW w:w="13879" w:type="dxa"/>
            <w:gridSpan w:val="4"/>
            <w:tcBorders>
              <w:top w:val="single" w:sz="12" w:space="0" w:color="000000"/>
              <w:left w:val="single" w:sz="12" w:space="0" w:color="000000"/>
              <w:bottom w:val="single" w:sz="12" w:space="0" w:color="000000"/>
              <w:right w:val="single" w:sz="12" w:space="0" w:color="000000"/>
            </w:tcBorders>
            <w:shd w:val="clear" w:color="auto" w:fill="auto"/>
            <w:noWrap/>
            <w:vAlign w:val="bottom"/>
          </w:tcPr>
          <w:p w14:paraId="45238318" w14:textId="77777777" w:rsidR="004F3D41" w:rsidRPr="00117BF8" w:rsidRDefault="004F3D41" w:rsidP="003B2E3F">
            <w:pPr>
              <w:pStyle w:val="TablaT"/>
              <w:rPr>
                <w:rFonts w:ascii="Arial" w:hAnsi="Arial" w:cs="Arial"/>
                <w:bCs/>
                <w:color w:val="auto"/>
                <w:sz w:val="22"/>
                <w:szCs w:val="22"/>
                <w:lang w:val="es-AR" w:eastAsia="es-AR"/>
              </w:rPr>
            </w:pPr>
            <w:bookmarkStart w:id="161" w:name="_Toc493861167"/>
            <w:r w:rsidRPr="00117BF8">
              <w:rPr>
                <w:rFonts w:ascii="Arial" w:hAnsi="Arial" w:cs="Arial"/>
                <w:bCs/>
                <w:color w:val="auto"/>
                <w:sz w:val="22"/>
                <w:szCs w:val="22"/>
                <w:lang w:val="es-ES_tradnl"/>
              </w:rPr>
              <w:t xml:space="preserve">Tabla A III – 11 - </w:t>
            </w:r>
            <w:r w:rsidR="003B2E3F" w:rsidRPr="00117BF8">
              <w:rPr>
                <w:rFonts w:ascii="Arial" w:hAnsi="Arial" w:cs="Arial"/>
                <w:bCs/>
                <w:color w:val="auto"/>
                <w:sz w:val="22"/>
                <w:szCs w:val="22"/>
                <w:lang w:val="es-ES_tradnl"/>
              </w:rPr>
              <w:t xml:space="preserve">Estado de Deuda a Largo Plazo </w:t>
            </w:r>
            <w:r w:rsidRPr="00117BF8">
              <w:rPr>
                <w:rFonts w:ascii="Arial" w:hAnsi="Arial" w:cs="Arial"/>
                <w:bCs/>
                <w:color w:val="auto"/>
                <w:sz w:val="22"/>
                <w:szCs w:val="22"/>
                <w:lang w:val="es-ES_tradnl"/>
              </w:rPr>
              <w:t>al 31 de diciembre de 2016</w:t>
            </w:r>
            <w:bookmarkEnd w:id="161"/>
          </w:p>
        </w:tc>
      </w:tr>
      <w:tr w:rsidR="004F3D41" w:rsidRPr="004E6455" w14:paraId="5B4CC05E" w14:textId="77777777" w:rsidTr="00FD20E8">
        <w:trPr>
          <w:trHeight w:val="300"/>
          <w:tblHeader/>
        </w:trPr>
        <w:tc>
          <w:tcPr>
            <w:tcW w:w="5402" w:type="dxa"/>
            <w:tcBorders>
              <w:top w:val="single" w:sz="12" w:space="0" w:color="000000"/>
              <w:left w:val="single" w:sz="12" w:space="0" w:color="000000"/>
              <w:bottom w:val="single" w:sz="12" w:space="0" w:color="000000"/>
              <w:right w:val="single" w:sz="12" w:space="0" w:color="000000"/>
            </w:tcBorders>
            <w:shd w:val="clear" w:color="auto" w:fill="auto"/>
            <w:noWrap/>
            <w:vAlign w:val="bottom"/>
          </w:tcPr>
          <w:p w14:paraId="2107A8F3" w14:textId="77777777" w:rsidR="004F3D41" w:rsidRPr="00117BF8" w:rsidRDefault="004F3D41" w:rsidP="004F3D41">
            <w:pPr>
              <w:pStyle w:val="TablaE"/>
              <w:rPr>
                <w:rFonts w:ascii="Arial" w:hAnsi="Arial" w:cs="Arial"/>
                <w:color w:val="auto"/>
                <w:lang w:val="es-AR" w:eastAsia="es-AR"/>
              </w:rPr>
            </w:pPr>
            <w:r w:rsidRPr="00117BF8">
              <w:rPr>
                <w:rFonts w:ascii="Arial" w:hAnsi="Arial" w:cs="Arial"/>
                <w:color w:val="auto"/>
                <w:lang w:val="es-AR" w:eastAsia="es-AR"/>
              </w:rPr>
              <w:t>Institución Origen / Destino</w:t>
            </w:r>
          </w:p>
        </w:tc>
        <w:tc>
          <w:tcPr>
            <w:tcW w:w="6237" w:type="dxa"/>
            <w:tcBorders>
              <w:top w:val="single" w:sz="12" w:space="0" w:color="000000"/>
              <w:left w:val="single" w:sz="12" w:space="0" w:color="000000"/>
              <w:bottom w:val="single" w:sz="12" w:space="0" w:color="000000"/>
              <w:right w:val="single" w:sz="12" w:space="0" w:color="000000"/>
            </w:tcBorders>
            <w:shd w:val="clear" w:color="auto" w:fill="auto"/>
            <w:noWrap/>
            <w:vAlign w:val="bottom"/>
          </w:tcPr>
          <w:p w14:paraId="3DE925C1" w14:textId="77777777" w:rsidR="004F3D41" w:rsidRPr="00117BF8" w:rsidRDefault="004F3D41" w:rsidP="003B2E3F">
            <w:pPr>
              <w:pStyle w:val="TablaE"/>
              <w:rPr>
                <w:rFonts w:ascii="Arial" w:hAnsi="Arial" w:cs="Arial"/>
                <w:color w:val="auto"/>
                <w:lang w:val="es-AR" w:eastAsia="es-AR"/>
              </w:rPr>
            </w:pPr>
            <w:r w:rsidRPr="00117BF8">
              <w:rPr>
                <w:rFonts w:ascii="Arial" w:hAnsi="Arial" w:cs="Arial"/>
                <w:color w:val="auto"/>
                <w:lang w:val="es-AR" w:eastAsia="es-AR"/>
              </w:rPr>
              <w:t>Obj</w:t>
            </w:r>
            <w:r w:rsidR="003B2E3F" w:rsidRPr="00117BF8">
              <w:rPr>
                <w:rFonts w:ascii="Arial" w:hAnsi="Arial" w:cs="Arial"/>
                <w:color w:val="auto"/>
                <w:lang w:val="es-AR" w:eastAsia="es-AR"/>
              </w:rPr>
              <w:t>et</w:t>
            </w:r>
            <w:r w:rsidRPr="00117BF8">
              <w:rPr>
                <w:rFonts w:ascii="Arial" w:hAnsi="Arial" w:cs="Arial"/>
                <w:color w:val="auto"/>
                <w:lang w:val="es-AR" w:eastAsia="es-AR"/>
              </w:rPr>
              <w:t>o</w:t>
            </w:r>
          </w:p>
        </w:tc>
        <w:tc>
          <w:tcPr>
            <w:tcW w:w="1120" w:type="dxa"/>
            <w:tcBorders>
              <w:top w:val="single" w:sz="12" w:space="0" w:color="000000"/>
              <w:left w:val="single" w:sz="12" w:space="0" w:color="000000"/>
              <w:bottom w:val="single" w:sz="12" w:space="0" w:color="000000"/>
              <w:right w:val="single" w:sz="12" w:space="0" w:color="000000"/>
            </w:tcBorders>
            <w:shd w:val="clear" w:color="auto" w:fill="auto"/>
            <w:noWrap/>
            <w:vAlign w:val="bottom"/>
          </w:tcPr>
          <w:p w14:paraId="345A2EC9" w14:textId="77777777" w:rsidR="004F3D41" w:rsidRPr="00117BF8" w:rsidRDefault="004F3D41" w:rsidP="004F3D41">
            <w:pPr>
              <w:pStyle w:val="TablaE"/>
              <w:rPr>
                <w:rFonts w:ascii="Arial" w:hAnsi="Arial" w:cs="Arial"/>
                <w:color w:val="auto"/>
                <w:lang w:val="es-AR" w:eastAsia="es-AR"/>
              </w:rPr>
            </w:pPr>
            <w:r w:rsidRPr="00117BF8">
              <w:rPr>
                <w:rFonts w:ascii="Arial" w:hAnsi="Arial" w:cs="Arial"/>
                <w:color w:val="auto"/>
                <w:lang w:val="es-AR" w:eastAsia="es-AR"/>
              </w:rPr>
              <w:t>Monto</w:t>
            </w:r>
          </w:p>
        </w:tc>
        <w:tc>
          <w:tcPr>
            <w:tcW w:w="1120" w:type="dxa"/>
            <w:tcBorders>
              <w:top w:val="single" w:sz="12" w:space="0" w:color="000000"/>
              <w:left w:val="single" w:sz="12" w:space="0" w:color="000000"/>
              <w:bottom w:val="single" w:sz="12" w:space="0" w:color="000000"/>
              <w:right w:val="single" w:sz="12" w:space="0" w:color="000000"/>
            </w:tcBorders>
            <w:shd w:val="clear" w:color="auto" w:fill="auto"/>
            <w:noWrap/>
            <w:vAlign w:val="bottom"/>
          </w:tcPr>
          <w:p w14:paraId="02C1AE6A" w14:textId="77777777" w:rsidR="004F3D41" w:rsidRPr="00117BF8" w:rsidRDefault="004F3D41" w:rsidP="004F3D41">
            <w:pPr>
              <w:pStyle w:val="TablaE"/>
              <w:rPr>
                <w:rFonts w:ascii="Arial" w:hAnsi="Arial" w:cs="Arial"/>
                <w:color w:val="auto"/>
                <w:lang w:val="es-AR" w:eastAsia="es-AR"/>
              </w:rPr>
            </w:pPr>
            <w:r w:rsidRPr="00117BF8">
              <w:rPr>
                <w:rFonts w:ascii="Arial" w:hAnsi="Arial" w:cs="Arial"/>
                <w:color w:val="auto"/>
                <w:lang w:val="es-AR" w:eastAsia="es-AR"/>
              </w:rPr>
              <w:t>Subtotal</w:t>
            </w:r>
          </w:p>
        </w:tc>
      </w:tr>
      <w:tr w:rsidR="00DB6C19" w:rsidRPr="004E6455" w14:paraId="0923890E" w14:textId="77777777" w:rsidTr="00FD20E8">
        <w:trPr>
          <w:trHeight w:val="300"/>
        </w:trPr>
        <w:tc>
          <w:tcPr>
            <w:tcW w:w="5402" w:type="dxa"/>
            <w:tcBorders>
              <w:top w:val="single" w:sz="12" w:space="0" w:color="000000"/>
              <w:left w:val="single" w:sz="4" w:space="0" w:color="auto"/>
              <w:bottom w:val="single" w:sz="4" w:space="0" w:color="auto"/>
              <w:right w:val="nil"/>
            </w:tcBorders>
            <w:shd w:val="clear" w:color="auto" w:fill="auto"/>
            <w:noWrap/>
            <w:vAlign w:val="bottom"/>
            <w:hideMark/>
          </w:tcPr>
          <w:p w14:paraId="2A7CC845"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MINISTERIO DE SALUD</w:t>
            </w:r>
          </w:p>
        </w:tc>
        <w:tc>
          <w:tcPr>
            <w:tcW w:w="6237" w:type="dxa"/>
            <w:tcBorders>
              <w:top w:val="single" w:sz="12" w:space="0" w:color="000000"/>
              <w:left w:val="nil"/>
              <w:bottom w:val="single" w:sz="4" w:space="0" w:color="auto"/>
              <w:right w:val="nil"/>
            </w:tcBorders>
            <w:shd w:val="clear" w:color="auto" w:fill="auto"/>
            <w:noWrap/>
            <w:vAlign w:val="bottom"/>
            <w:hideMark/>
          </w:tcPr>
          <w:p w14:paraId="101BBBB0"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12" w:space="0" w:color="000000"/>
              <w:left w:val="nil"/>
              <w:bottom w:val="single" w:sz="4" w:space="0" w:color="auto"/>
              <w:right w:val="single" w:sz="4" w:space="0" w:color="000000"/>
            </w:tcBorders>
            <w:shd w:val="clear" w:color="auto" w:fill="auto"/>
            <w:noWrap/>
            <w:vAlign w:val="bottom"/>
            <w:hideMark/>
          </w:tcPr>
          <w:p w14:paraId="12FC0065"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12" w:space="0" w:color="000000"/>
              <w:left w:val="nil"/>
              <w:bottom w:val="single" w:sz="4" w:space="0" w:color="auto"/>
              <w:right w:val="single" w:sz="4" w:space="0" w:color="auto"/>
            </w:tcBorders>
            <w:shd w:val="clear" w:color="auto" w:fill="auto"/>
            <w:noWrap/>
            <w:vAlign w:val="bottom"/>
            <w:hideMark/>
          </w:tcPr>
          <w:p w14:paraId="68A7D1AB"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450</w:t>
            </w:r>
          </w:p>
        </w:tc>
      </w:tr>
      <w:tr w:rsidR="00DB6C19" w:rsidRPr="004E6455" w14:paraId="71B3D953"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34DA232"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Banco Arabe (1) </w:t>
            </w:r>
          </w:p>
        </w:tc>
        <w:tc>
          <w:tcPr>
            <w:tcW w:w="6237" w:type="dxa"/>
            <w:tcBorders>
              <w:top w:val="nil"/>
              <w:left w:val="nil"/>
              <w:bottom w:val="nil"/>
              <w:right w:val="nil"/>
            </w:tcBorders>
            <w:shd w:val="clear" w:color="auto" w:fill="auto"/>
            <w:noWrap/>
            <w:vAlign w:val="bottom"/>
            <w:hideMark/>
          </w:tcPr>
          <w:p w14:paraId="4454364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Equipamiento Hospitalario </w:t>
            </w:r>
          </w:p>
        </w:tc>
        <w:tc>
          <w:tcPr>
            <w:tcW w:w="1120" w:type="dxa"/>
            <w:tcBorders>
              <w:top w:val="nil"/>
              <w:left w:val="nil"/>
              <w:bottom w:val="nil"/>
              <w:right w:val="single" w:sz="4" w:space="0" w:color="auto"/>
            </w:tcBorders>
            <w:shd w:val="clear" w:color="auto" w:fill="auto"/>
            <w:noWrap/>
            <w:vAlign w:val="bottom"/>
            <w:hideMark/>
          </w:tcPr>
          <w:p w14:paraId="6DB2FAA9"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30</w:t>
            </w:r>
          </w:p>
        </w:tc>
        <w:tc>
          <w:tcPr>
            <w:tcW w:w="1120" w:type="dxa"/>
            <w:tcBorders>
              <w:top w:val="nil"/>
              <w:left w:val="nil"/>
              <w:bottom w:val="nil"/>
              <w:right w:val="nil"/>
            </w:tcBorders>
            <w:shd w:val="clear" w:color="auto" w:fill="auto"/>
            <w:noWrap/>
            <w:vAlign w:val="bottom"/>
            <w:hideMark/>
          </w:tcPr>
          <w:p w14:paraId="0647206E"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769C5FD2"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BA53C4A"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I.C.O. (1) </w:t>
            </w:r>
          </w:p>
        </w:tc>
        <w:tc>
          <w:tcPr>
            <w:tcW w:w="6237" w:type="dxa"/>
            <w:tcBorders>
              <w:top w:val="nil"/>
              <w:left w:val="nil"/>
              <w:bottom w:val="single" w:sz="4" w:space="0" w:color="auto"/>
              <w:right w:val="nil"/>
            </w:tcBorders>
            <w:shd w:val="clear" w:color="auto" w:fill="auto"/>
            <w:noWrap/>
            <w:vAlign w:val="bottom"/>
            <w:hideMark/>
          </w:tcPr>
          <w:p w14:paraId="2D06B58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Construcción y Equipamiento Hospitalario </w:t>
            </w:r>
          </w:p>
        </w:tc>
        <w:tc>
          <w:tcPr>
            <w:tcW w:w="1120" w:type="dxa"/>
            <w:tcBorders>
              <w:top w:val="nil"/>
              <w:left w:val="nil"/>
              <w:bottom w:val="nil"/>
              <w:right w:val="single" w:sz="4" w:space="0" w:color="auto"/>
            </w:tcBorders>
            <w:shd w:val="clear" w:color="auto" w:fill="auto"/>
            <w:noWrap/>
            <w:vAlign w:val="bottom"/>
            <w:hideMark/>
          </w:tcPr>
          <w:p w14:paraId="756EE34B"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420</w:t>
            </w:r>
          </w:p>
        </w:tc>
        <w:tc>
          <w:tcPr>
            <w:tcW w:w="1120" w:type="dxa"/>
            <w:tcBorders>
              <w:top w:val="nil"/>
              <w:left w:val="nil"/>
              <w:bottom w:val="nil"/>
              <w:right w:val="nil"/>
            </w:tcBorders>
            <w:shd w:val="clear" w:color="auto" w:fill="auto"/>
            <w:noWrap/>
            <w:vAlign w:val="bottom"/>
            <w:hideMark/>
          </w:tcPr>
          <w:p w14:paraId="3A1299A0"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1764A317"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6814ED2E"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MINISTERIO DE INFRAESTRUCTURA</w:t>
            </w:r>
          </w:p>
        </w:tc>
        <w:tc>
          <w:tcPr>
            <w:tcW w:w="6237" w:type="dxa"/>
            <w:tcBorders>
              <w:top w:val="nil"/>
              <w:left w:val="nil"/>
              <w:bottom w:val="single" w:sz="4" w:space="0" w:color="auto"/>
              <w:right w:val="nil"/>
            </w:tcBorders>
            <w:shd w:val="clear" w:color="auto" w:fill="auto"/>
            <w:noWrap/>
            <w:vAlign w:val="bottom"/>
            <w:hideMark/>
          </w:tcPr>
          <w:p w14:paraId="05DBDB27"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5E7307AF"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DFABE54"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4.248</w:t>
            </w:r>
          </w:p>
        </w:tc>
      </w:tr>
      <w:tr w:rsidR="00DB6C19" w:rsidRPr="004E6455" w14:paraId="2F9C6266"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AD1658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Dirección Provincial de Hidráulica </w:t>
            </w:r>
          </w:p>
        </w:tc>
        <w:tc>
          <w:tcPr>
            <w:tcW w:w="6237" w:type="dxa"/>
            <w:tcBorders>
              <w:top w:val="nil"/>
              <w:left w:val="nil"/>
              <w:bottom w:val="nil"/>
              <w:right w:val="nil"/>
            </w:tcBorders>
            <w:shd w:val="clear" w:color="auto" w:fill="auto"/>
            <w:noWrap/>
            <w:vAlign w:val="bottom"/>
            <w:hideMark/>
          </w:tcPr>
          <w:p w14:paraId="1E309A0D"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w:t>
            </w:r>
          </w:p>
        </w:tc>
        <w:tc>
          <w:tcPr>
            <w:tcW w:w="1120" w:type="dxa"/>
            <w:tcBorders>
              <w:top w:val="nil"/>
              <w:left w:val="nil"/>
              <w:bottom w:val="nil"/>
              <w:right w:val="single" w:sz="4" w:space="0" w:color="auto"/>
            </w:tcBorders>
            <w:shd w:val="clear" w:color="auto" w:fill="auto"/>
            <w:noWrap/>
            <w:vAlign w:val="bottom"/>
            <w:hideMark/>
          </w:tcPr>
          <w:p w14:paraId="4992AC6E"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w:t>
            </w:r>
          </w:p>
        </w:tc>
        <w:tc>
          <w:tcPr>
            <w:tcW w:w="1120" w:type="dxa"/>
            <w:tcBorders>
              <w:top w:val="nil"/>
              <w:left w:val="nil"/>
              <w:bottom w:val="nil"/>
              <w:right w:val="nil"/>
            </w:tcBorders>
            <w:shd w:val="clear" w:color="auto" w:fill="auto"/>
            <w:noWrap/>
            <w:vAlign w:val="bottom"/>
            <w:hideMark/>
          </w:tcPr>
          <w:p w14:paraId="1AEDCB49"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0EF6C7D5"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D77A35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Mediocrédito Centrale (1) </w:t>
            </w:r>
          </w:p>
        </w:tc>
        <w:tc>
          <w:tcPr>
            <w:tcW w:w="6237" w:type="dxa"/>
            <w:tcBorders>
              <w:top w:val="nil"/>
              <w:left w:val="nil"/>
              <w:bottom w:val="nil"/>
              <w:right w:val="nil"/>
            </w:tcBorders>
            <w:shd w:val="clear" w:color="auto" w:fill="auto"/>
            <w:noWrap/>
            <w:vAlign w:val="bottom"/>
            <w:hideMark/>
          </w:tcPr>
          <w:p w14:paraId="11C23AF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Saneamiento de la Cuenca del Río Matanza </w:t>
            </w:r>
          </w:p>
        </w:tc>
        <w:tc>
          <w:tcPr>
            <w:tcW w:w="1120" w:type="dxa"/>
            <w:tcBorders>
              <w:top w:val="nil"/>
              <w:left w:val="nil"/>
              <w:bottom w:val="nil"/>
              <w:right w:val="single" w:sz="4" w:space="0" w:color="auto"/>
            </w:tcBorders>
            <w:shd w:val="clear" w:color="auto" w:fill="auto"/>
            <w:noWrap/>
            <w:vAlign w:val="bottom"/>
            <w:hideMark/>
          </w:tcPr>
          <w:p w14:paraId="635CE0F5"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153</w:t>
            </w:r>
          </w:p>
        </w:tc>
        <w:tc>
          <w:tcPr>
            <w:tcW w:w="1120" w:type="dxa"/>
            <w:tcBorders>
              <w:top w:val="nil"/>
              <w:left w:val="nil"/>
              <w:bottom w:val="nil"/>
              <w:right w:val="nil"/>
            </w:tcBorders>
            <w:shd w:val="clear" w:color="auto" w:fill="auto"/>
            <w:noWrap/>
            <w:vAlign w:val="bottom"/>
            <w:hideMark/>
          </w:tcPr>
          <w:p w14:paraId="7D2EFEED"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39CEF01E"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2C5CE210"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1059/OC-AR (1) </w:t>
            </w:r>
          </w:p>
        </w:tc>
        <w:tc>
          <w:tcPr>
            <w:tcW w:w="6237" w:type="dxa"/>
            <w:tcBorders>
              <w:top w:val="nil"/>
              <w:left w:val="nil"/>
              <w:bottom w:val="nil"/>
              <w:right w:val="nil"/>
            </w:tcBorders>
            <w:shd w:val="clear" w:color="auto" w:fill="auto"/>
            <w:noWrap/>
            <w:vAlign w:val="bottom"/>
            <w:hideMark/>
          </w:tcPr>
          <w:p w14:paraId="025955AF"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Matanza Riachuelo </w:t>
            </w:r>
          </w:p>
        </w:tc>
        <w:tc>
          <w:tcPr>
            <w:tcW w:w="1120" w:type="dxa"/>
            <w:tcBorders>
              <w:top w:val="nil"/>
              <w:left w:val="nil"/>
              <w:bottom w:val="nil"/>
              <w:right w:val="single" w:sz="4" w:space="0" w:color="auto"/>
            </w:tcBorders>
            <w:shd w:val="clear" w:color="auto" w:fill="auto"/>
            <w:noWrap/>
            <w:vAlign w:val="bottom"/>
            <w:hideMark/>
          </w:tcPr>
          <w:p w14:paraId="3838D432"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87</w:t>
            </w:r>
          </w:p>
        </w:tc>
        <w:tc>
          <w:tcPr>
            <w:tcW w:w="1120" w:type="dxa"/>
            <w:tcBorders>
              <w:top w:val="nil"/>
              <w:left w:val="nil"/>
              <w:bottom w:val="nil"/>
              <w:right w:val="nil"/>
            </w:tcBorders>
            <w:shd w:val="clear" w:color="auto" w:fill="auto"/>
            <w:noWrap/>
            <w:vAlign w:val="bottom"/>
            <w:hideMark/>
          </w:tcPr>
          <w:p w14:paraId="77314FCA"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04986630"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52DE92ED"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Dirección Provincial de Energía (ex E.P.R.E.) </w:t>
            </w:r>
          </w:p>
        </w:tc>
        <w:tc>
          <w:tcPr>
            <w:tcW w:w="6237" w:type="dxa"/>
            <w:tcBorders>
              <w:top w:val="nil"/>
              <w:left w:val="nil"/>
              <w:bottom w:val="nil"/>
              <w:right w:val="nil"/>
            </w:tcBorders>
            <w:shd w:val="clear" w:color="auto" w:fill="auto"/>
            <w:noWrap/>
            <w:vAlign w:val="bottom"/>
            <w:hideMark/>
          </w:tcPr>
          <w:p w14:paraId="3FB77ABE"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7CECB365"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 </w:t>
            </w:r>
          </w:p>
        </w:tc>
        <w:tc>
          <w:tcPr>
            <w:tcW w:w="1120" w:type="dxa"/>
            <w:tcBorders>
              <w:top w:val="nil"/>
              <w:left w:val="nil"/>
              <w:bottom w:val="nil"/>
              <w:right w:val="nil"/>
            </w:tcBorders>
            <w:shd w:val="clear" w:color="auto" w:fill="auto"/>
            <w:noWrap/>
            <w:vAlign w:val="bottom"/>
            <w:hideMark/>
          </w:tcPr>
          <w:p w14:paraId="1FAB2ADF"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559AF19E"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6594E340"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1BDF07B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Desendeudamiento de las Provincias Argentinas </w:t>
            </w:r>
          </w:p>
        </w:tc>
        <w:tc>
          <w:tcPr>
            <w:tcW w:w="1120" w:type="dxa"/>
            <w:tcBorders>
              <w:top w:val="nil"/>
              <w:left w:val="nil"/>
              <w:bottom w:val="nil"/>
              <w:right w:val="single" w:sz="4" w:space="0" w:color="auto"/>
            </w:tcBorders>
            <w:shd w:val="clear" w:color="auto" w:fill="auto"/>
            <w:noWrap/>
            <w:vAlign w:val="bottom"/>
            <w:hideMark/>
          </w:tcPr>
          <w:p w14:paraId="56379573"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3.185</w:t>
            </w:r>
          </w:p>
        </w:tc>
        <w:tc>
          <w:tcPr>
            <w:tcW w:w="1120" w:type="dxa"/>
            <w:tcBorders>
              <w:top w:val="nil"/>
              <w:left w:val="nil"/>
              <w:bottom w:val="nil"/>
              <w:right w:val="nil"/>
            </w:tcBorders>
            <w:shd w:val="clear" w:color="auto" w:fill="auto"/>
            <w:noWrap/>
            <w:vAlign w:val="bottom"/>
            <w:hideMark/>
          </w:tcPr>
          <w:p w14:paraId="2D6D4FCB"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2B2FF193"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4341031"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UNIREC </w:t>
            </w:r>
          </w:p>
        </w:tc>
        <w:tc>
          <w:tcPr>
            <w:tcW w:w="6237" w:type="dxa"/>
            <w:tcBorders>
              <w:top w:val="nil"/>
              <w:left w:val="nil"/>
              <w:bottom w:val="nil"/>
              <w:right w:val="nil"/>
            </w:tcBorders>
            <w:shd w:val="clear" w:color="auto" w:fill="auto"/>
            <w:noWrap/>
            <w:vAlign w:val="bottom"/>
            <w:hideMark/>
          </w:tcPr>
          <w:p w14:paraId="4C5E00D1"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4D5223AC"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 </w:t>
            </w:r>
          </w:p>
        </w:tc>
        <w:tc>
          <w:tcPr>
            <w:tcW w:w="1120" w:type="dxa"/>
            <w:tcBorders>
              <w:top w:val="nil"/>
              <w:left w:val="nil"/>
              <w:bottom w:val="nil"/>
              <w:right w:val="nil"/>
            </w:tcBorders>
            <w:shd w:val="clear" w:color="auto" w:fill="auto"/>
            <w:noWrap/>
            <w:vAlign w:val="bottom"/>
            <w:hideMark/>
          </w:tcPr>
          <w:p w14:paraId="632F5DD7"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28924CCA"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6953608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JBIC (1) </w:t>
            </w:r>
          </w:p>
        </w:tc>
        <w:tc>
          <w:tcPr>
            <w:tcW w:w="6237" w:type="dxa"/>
            <w:tcBorders>
              <w:top w:val="nil"/>
              <w:left w:val="nil"/>
              <w:bottom w:val="nil"/>
              <w:right w:val="nil"/>
            </w:tcBorders>
            <w:shd w:val="clear" w:color="auto" w:fill="auto"/>
            <w:noWrap/>
            <w:vAlign w:val="bottom"/>
            <w:hideMark/>
          </w:tcPr>
          <w:p w14:paraId="3EAB09DD" w14:textId="3FCB3EF5"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Saneamiento Cuenca  Rio Reconquista </w:t>
            </w:r>
          </w:p>
        </w:tc>
        <w:tc>
          <w:tcPr>
            <w:tcW w:w="1120" w:type="dxa"/>
            <w:tcBorders>
              <w:top w:val="nil"/>
              <w:left w:val="nil"/>
              <w:bottom w:val="nil"/>
              <w:right w:val="single" w:sz="4" w:space="0" w:color="auto"/>
            </w:tcBorders>
            <w:shd w:val="clear" w:color="auto" w:fill="auto"/>
            <w:noWrap/>
            <w:vAlign w:val="bottom"/>
            <w:hideMark/>
          </w:tcPr>
          <w:p w14:paraId="42A62F90"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644</w:t>
            </w:r>
          </w:p>
        </w:tc>
        <w:tc>
          <w:tcPr>
            <w:tcW w:w="1120" w:type="dxa"/>
            <w:tcBorders>
              <w:top w:val="nil"/>
              <w:left w:val="nil"/>
              <w:bottom w:val="nil"/>
              <w:right w:val="nil"/>
            </w:tcBorders>
            <w:shd w:val="clear" w:color="auto" w:fill="auto"/>
            <w:noWrap/>
            <w:vAlign w:val="bottom"/>
            <w:hideMark/>
          </w:tcPr>
          <w:p w14:paraId="7C7B7DB4"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3C5DADD2"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F98B88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Unidad de Coordinación del Puerto Quequen </w:t>
            </w:r>
          </w:p>
        </w:tc>
        <w:tc>
          <w:tcPr>
            <w:tcW w:w="6237" w:type="dxa"/>
            <w:tcBorders>
              <w:top w:val="nil"/>
              <w:left w:val="nil"/>
              <w:bottom w:val="nil"/>
              <w:right w:val="nil"/>
            </w:tcBorders>
            <w:shd w:val="clear" w:color="auto" w:fill="auto"/>
            <w:noWrap/>
            <w:vAlign w:val="bottom"/>
            <w:hideMark/>
          </w:tcPr>
          <w:p w14:paraId="70EBD008"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2198BD91"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 </w:t>
            </w:r>
          </w:p>
        </w:tc>
        <w:tc>
          <w:tcPr>
            <w:tcW w:w="1120" w:type="dxa"/>
            <w:tcBorders>
              <w:top w:val="nil"/>
              <w:left w:val="nil"/>
              <w:bottom w:val="nil"/>
              <w:right w:val="nil"/>
            </w:tcBorders>
            <w:shd w:val="clear" w:color="auto" w:fill="auto"/>
            <w:noWrap/>
            <w:vAlign w:val="bottom"/>
            <w:hideMark/>
          </w:tcPr>
          <w:p w14:paraId="7BAD247C"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6EC76A7A"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70E2260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962/OC-AR (1) </w:t>
            </w:r>
          </w:p>
        </w:tc>
        <w:tc>
          <w:tcPr>
            <w:tcW w:w="6237" w:type="dxa"/>
            <w:tcBorders>
              <w:top w:val="nil"/>
              <w:left w:val="nil"/>
              <w:bottom w:val="nil"/>
              <w:right w:val="nil"/>
            </w:tcBorders>
            <w:shd w:val="clear" w:color="auto" w:fill="auto"/>
            <w:noWrap/>
            <w:vAlign w:val="bottom"/>
            <w:hideMark/>
          </w:tcPr>
          <w:p w14:paraId="2ED9EB75"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Remodelación y Ampliación </w:t>
            </w:r>
          </w:p>
        </w:tc>
        <w:tc>
          <w:tcPr>
            <w:tcW w:w="1120" w:type="dxa"/>
            <w:tcBorders>
              <w:top w:val="nil"/>
              <w:left w:val="nil"/>
              <w:bottom w:val="nil"/>
              <w:right w:val="single" w:sz="4" w:space="0" w:color="auto"/>
            </w:tcBorders>
            <w:shd w:val="clear" w:color="auto" w:fill="auto"/>
            <w:noWrap/>
            <w:vAlign w:val="bottom"/>
            <w:hideMark/>
          </w:tcPr>
          <w:p w14:paraId="792AA65E"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18</w:t>
            </w:r>
          </w:p>
        </w:tc>
        <w:tc>
          <w:tcPr>
            <w:tcW w:w="1120" w:type="dxa"/>
            <w:tcBorders>
              <w:top w:val="nil"/>
              <w:left w:val="nil"/>
              <w:bottom w:val="nil"/>
              <w:right w:val="nil"/>
            </w:tcBorders>
            <w:shd w:val="clear" w:color="auto" w:fill="auto"/>
            <w:noWrap/>
            <w:vAlign w:val="bottom"/>
            <w:hideMark/>
          </w:tcPr>
          <w:p w14:paraId="743D4D32"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3B111C95"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734CB923"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Federal de Infraestructura Regional (2) </w:t>
            </w:r>
          </w:p>
        </w:tc>
        <w:tc>
          <w:tcPr>
            <w:tcW w:w="6237" w:type="dxa"/>
            <w:tcBorders>
              <w:top w:val="nil"/>
              <w:left w:val="nil"/>
              <w:bottom w:val="single" w:sz="4" w:space="0" w:color="auto"/>
              <w:right w:val="nil"/>
            </w:tcBorders>
            <w:shd w:val="clear" w:color="auto" w:fill="auto"/>
            <w:noWrap/>
            <w:vAlign w:val="bottom"/>
            <w:hideMark/>
          </w:tcPr>
          <w:p w14:paraId="6167666E"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Desagües Pluviales y Recuperación del Espacio Público - Berazategui </w:t>
            </w:r>
          </w:p>
        </w:tc>
        <w:tc>
          <w:tcPr>
            <w:tcW w:w="1120" w:type="dxa"/>
            <w:tcBorders>
              <w:top w:val="nil"/>
              <w:left w:val="nil"/>
              <w:bottom w:val="nil"/>
              <w:right w:val="single" w:sz="4" w:space="0" w:color="auto"/>
            </w:tcBorders>
            <w:shd w:val="clear" w:color="auto" w:fill="auto"/>
            <w:noWrap/>
            <w:vAlign w:val="bottom"/>
            <w:hideMark/>
          </w:tcPr>
          <w:p w14:paraId="56D16765"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161</w:t>
            </w:r>
          </w:p>
        </w:tc>
        <w:tc>
          <w:tcPr>
            <w:tcW w:w="1120" w:type="dxa"/>
            <w:tcBorders>
              <w:top w:val="nil"/>
              <w:left w:val="nil"/>
              <w:bottom w:val="nil"/>
              <w:right w:val="nil"/>
            </w:tcBorders>
            <w:shd w:val="clear" w:color="auto" w:fill="auto"/>
            <w:noWrap/>
            <w:vAlign w:val="bottom"/>
            <w:hideMark/>
          </w:tcPr>
          <w:p w14:paraId="3A787AF0"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655A0C9B"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1A826057"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DIRECCION DE VIALIDAD</w:t>
            </w:r>
          </w:p>
        </w:tc>
        <w:tc>
          <w:tcPr>
            <w:tcW w:w="6237" w:type="dxa"/>
            <w:tcBorders>
              <w:top w:val="nil"/>
              <w:left w:val="nil"/>
              <w:bottom w:val="single" w:sz="4" w:space="0" w:color="auto"/>
              <w:right w:val="nil"/>
            </w:tcBorders>
            <w:shd w:val="clear" w:color="auto" w:fill="auto"/>
            <w:noWrap/>
            <w:vAlign w:val="bottom"/>
            <w:hideMark/>
          </w:tcPr>
          <w:p w14:paraId="16B6A5C7"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7802714C"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0C15EAF"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1.303</w:t>
            </w:r>
          </w:p>
        </w:tc>
      </w:tr>
      <w:tr w:rsidR="00DB6C19" w:rsidRPr="004E6455" w14:paraId="4538AA16"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4AA27684"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single" w:sz="4" w:space="0" w:color="auto"/>
              <w:right w:val="nil"/>
            </w:tcBorders>
            <w:shd w:val="clear" w:color="auto" w:fill="auto"/>
            <w:noWrap/>
            <w:vAlign w:val="bottom"/>
            <w:hideMark/>
          </w:tcPr>
          <w:p w14:paraId="55A9887C"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Desendeudamiento de las Provincias Argentinas </w:t>
            </w:r>
          </w:p>
        </w:tc>
        <w:tc>
          <w:tcPr>
            <w:tcW w:w="1120" w:type="dxa"/>
            <w:tcBorders>
              <w:top w:val="nil"/>
              <w:left w:val="nil"/>
              <w:bottom w:val="nil"/>
              <w:right w:val="single" w:sz="4" w:space="0" w:color="auto"/>
            </w:tcBorders>
            <w:shd w:val="clear" w:color="auto" w:fill="auto"/>
            <w:noWrap/>
            <w:vAlign w:val="bottom"/>
            <w:hideMark/>
          </w:tcPr>
          <w:p w14:paraId="63E5D16A"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1.303</w:t>
            </w:r>
          </w:p>
        </w:tc>
        <w:tc>
          <w:tcPr>
            <w:tcW w:w="1120" w:type="dxa"/>
            <w:tcBorders>
              <w:top w:val="nil"/>
              <w:left w:val="nil"/>
              <w:bottom w:val="nil"/>
              <w:right w:val="nil"/>
            </w:tcBorders>
            <w:shd w:val="clear" w:color="auto" w:fill="auto"/>
            <w:noWrap/>
            <w:vAlign w:val="bottom"/>
            <w:hideMark/>
          </w:tcPr>
          <w:p w14:paraId="029FBD95"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52A6B9E4"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29E1E73C"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INSTITUTO DE LA VIVIENDA</w:t>
            </w:r>
          </w:p>
        </w:tc>
        <w:tc>
          <w:tcPr>
            <w:tcW w:w="6237" w:type="dxa"/>
            <w:tcBorders>
              <w:top w:val="nil"/>
              <w:left w:val="nil"/>
              <w:bottom w:val="single" w:sz="4" w:space="0" w:color="auto"/>
              <w:right w:val="nil"/>
            </w:tcBorders>
            <w:shd w:val="clear" w:color="auto" w:fill="auto"/>
            <w:noWrap/>
            <w:vAlign w:val="bottom"/>
            <w:hideMark/>
          </w:tcPr>
          <w:p w14:paraId="5A70C016"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3285FD49"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952A592"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451</w:t>
            </w:r>
          </w:p>
        </w:tc>
      </w:tr>
      <w:tr w:rsidR="00DB6C19" w:rsidRPr="004E6455" w14:paraId="1E860FAF"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61363039"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76E4F71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Desendeudamiento de las Provincias Argentinas </w:t>
            </w:r>
          </w:p>
        </w:tc>
        <w:tc>
          <w:tcPr>
            <w:tcW w:w="1120" w:type="dxa"/>
            <w:tcBorders>
              <w:top w:val="nil"/>
              <w:left w:val="nil"/>
              <w:bottom w:val="nil"/>
              <w:right w:val="single" w:sz="4" w:space="0" w:color="auto"/>
            </w:tcBorders>
            <w:shd w:val="clear" w:color="auto" w:fill="auto"/>
            <w:noWrap/>
            <w:vAlign w:val="bottom"/>
            <w:hideMark/>
          </w:tcPr>
          <w:p w14:paraId="48E7F4E9"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171</w:t>
            </w:r>
          </w:p>
        </w:tc>
        <w:tc>
          <w:tcPr>
            <w:tcW w:w="1120" w:type="dxa"/>
            <w:tcBorders>
              <w:top w:val="nil"/>
              <w:left w:val="nil"/>
              <w:bottom w:val="nil"/>
              <w:right w:val="nil"/>
            </w:tcBorders>
            <w:shd w:val="clear" w:color="auto" w:fill="auto"/>
            <w:noWrap/>
            <w:vAlign w:val="bottom"/>
            <w:hideMark/>
          </w:tcPr>
          <w:p w14:paraId="05AB7A78"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7A55216C"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81467FF"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Federal Plurianual (2) </w:t>
            </w:r>
          </w:p>
        </w:tc>
        <w:tc>
          <w:tcPr>
            <w:tcW w:w="6237" w:type="dxa"/>
            <w:tcBorders>
              <w:top w:val="nil"/>
              <w:left w:val="nil"/>
              <w:bottom w:val="single" w:sz="4" w:space="0" w:color="auto"/>
              <w:right w:val="nil"/>
            </w:tcBorders>
            <w:shd w:val="clear" w:color="auto" w:fill="auto"/>
            <w:noWrap/>
            <w:vAlign w:val="bottom"/>
            <w:hideMark/>
          </w:tcPr>
          <w:p w14:paraId="61E656AF"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Federal Plurianual de Construcción de Viviendas </w:t>
            </w:r>
          </w:p>
        </w:tc>
        <w:tc>
          <w:tcPr>
            <w:tcW w:w="1120" w:type="dxa"/>
            <w:tcBorders>
              <w:top w:val="nil"/>
              <w:left w:val="nil"/>
              <w:bottom w:val="nil"/>
              <w:right w:val="single" w:sz="4" w:space="0" w:color="auto"/>
            </w:tcBorders>
            <w:shd w:val="clear" w:color="auto" w:fill="auto"/>
            <w:noWrap/>
            <w:vAlign w:val="bottom"/>
            <w:hideMark/>
          </w:tcPr>
          <w:p w14:paraId="5C98687D"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280</w:t>
            </w:r>
          </w:p>
        </w:tc>
        <w:tc>
          <w:tcPr>
            <w:tcW w:w="1120" w:type="dxa"/>
            <w:tcBorders>
              <w:top w:val="nil"/>
              <w:left w:val="nil"/>
              <w:bottom w:val="nil"/>
              <w:right w:val="nil"/>
            </w:tcBorders>
            <w:shd w:val="clear" w:color="auto" w:fill="auto"/>
            <w:noWrap/>
            <w:vAlign w:val="bottom"/>
            <w:hideMark/>
          </w:tcPr>
          <w:p w14:paraId="5DED7959"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716A9D6A"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2EF02120"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MINISTERIO DE DESARROLLO SOCIAL</w:t>
            </w:r>
          </w:p>
        </w:tc>
        <w:tc>
          <w:tcPr>
            <w:tcW w:w="6237" w:type="dxa"/>
            <w:tcBorders>
              <w:top w:val="nil"/>
              <w:left w:val="nil"/>
              <w:bottom w:val="single" w:sz="4" w:space="0" w:color="auto"/>
              <w:right w:val="nil"/>
            </w:tcBorders>
            <w:shd w:val="clear" w:color="auto" w:fill="auto"/>
            <w:noWrap/>
            <w:vAlign w:val="bottom"/>
            <w:hideMark/>
          </w:tcPr>
          <w:p w14:paraId="4D3389E3"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4D3DAB52"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1E24B2B"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64</w:t>
            </w:r>
          </w:p>
        </w:tc>
      </w:tr>
      <w:tr w:rsidR="00DB6C19" w:rsidRPr="004E6455" w14:paraId="3D3D3BC8"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2225E1D2" w14:textId="77777777" w:rsidR="00DB6C19" w:rsidRPr="00117BF8" w:rsidRDefault="00DB6C19" w:rsidP="004F3D41">
            <w:pPr>
              <w:spacing w:after="0"/>
              <w:jc w:val="left"/>
              <w:rPr>
                <w:rFonts w:ascii="Arial" w:hAnsi="Arial" w:cs="Arial"/>
                <w:sz w:val="18"/>
                <w:szCs w:val="18"/>
                <w:lang w:val="pt-BR" w:eastAsia="es-AR"/>
              </w:rPr>
            </w:pPr>
            <w:r w:rsidRPr="00117BF8">
              <w:rPr>
                <w:rFonts w:ascii="Arial" w:hAnsi="Arial" w:cs="Arial"/>
                <w:sz w:val="18"/>
                <w:szCs w:val="18"/>
                <w:lang w:val="pt-BR" w:eastAsia="es-AR"/>
              </w:rPr>
              <w:t> PRO.ME.BA BID 940/OC-AR - 1134/OC-AR (1) </w:t>
            </w:r>
          </w:p>
        </w:tc>
        <w:tc>
          <w:tcPr>
            <w:tcW w:w="6237" w:type="dxa"/>
            <w:tcBorders>
              <w:top w:val="nil"/>
              <w:left w:val="nil"/>
              <w:bottom w:val="single" w:sz="4" w:space="0" w:color="auto"/>
              <w:right w:val="nil"/>
            </w:tcBorders>
            <w:shd w:val="clear" w:color="auto" w:fill="auto"/>
            <w:noWrap/>
            <w:vAlign w:val="bottom"/>
            <w:hideMark/>
          </w:tcPr>
          <w:p w14:paraId="225507F0" w14:textId="77777777" w:rsidR="00DB6C19" w:rsidRPr="004E6455" w:rsidRDefault="00DB6C19" w:rsidP="004F3D41">
            <w:pPr>
              <w:spacing w:after="0"/>
              <w:jc w:val="left"/>
              <w:rPr>
                <w:rFonts w:ascii="Arial" w:hAnsi="Arial" w:cs="Arial"/>
                <w:sz w:val="18"/>
                <w:szCs w:val="18"/>
                <w:lang w:val="es-AR" w:eastAsia="es-AR"/>
              </w:rPr>
            </w:pPr>
            <w:r w:rsidRPr="00117BF8">
              <w:rPr>
                <w:rFonts w:ascii="Arial" w:hAnsi="Arial" w:cs="Arial"/>
                <w:sz w:val="18"/>
                <w:szCs w:val="18"/>
                <w:lang w:val="pt-BR" w:eastAsia="es-AR"/>
              </w:rPr>
              <w:t> </w:t>
            </w:r>
            <w:r w:rsidRPr="004E6455">
              <w:rPr>
                <w:rFonts w:ascii="Arial" w:hAnsi="Arial" w:cs="Arial"/>
                <w:sz w:val="18"/>
                <w:szCs w:val="18"/>
                <w:lang w:val="es-AR" w:eastAsia="es-AR"/>
              </w:rPr>
              <w:t>Construcción de viviendas </w:t>
            </w:r>
          </w:p>
        </w:tc>
        <w:tc>
          <w:tcPr>
            <w:tcW w:w="1120" w:type="dxa"/>
            <w:tcBorders>
              <w:top w:val="nil"/>
              <w:left w:val="nil"/>
              <w:bottom w:val="nil"/>
              <w:right w:val="single" w:sz="4" w:space="0" w:color="auto"/>
            </w:tcBorders>
            <w:shd w:val="clear" w:color="auto" w:fill="auto"/>
            <w:noWrap/>
            <w:vAlign w:val="bottom"/>
            <w:hideMark/>
          </w:tcPr>
          <w:p w14:paraId="331E4314"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64</w:t>
            </w:r>
          </w:p>
        </w:tc>
        <w:tc>
          <w:tcPr>
            <w:tcW w:w="1120" w:type="dxa"/>
            <w:tcBorders>
              <w:top w:val="nil"/>
              <w:left w:val="nil"/>
              <w:bottom w:val="nil"/>
              <w:right w:val="nil"/>
            </w:tcBorders>
            <w:shd w:val="clear" w:color="auto" w:fill="auto"/>
            <w:noWrap/>
            <w:vAlign w:val="bottom"/>
            <w:hideMark/>
          </w:tcPr>
          <w:p w14:paraId="2B001548"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457CC75E"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712B2C37"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S.P.A.R. </w:t>
            </w:r>
          </w:p>
        </w:tc>
        <w:tc>
          <w:tcPr>
            <w:tcW w:w="6237" w:type="dxa"/>
            <w:tcBorders>
              <w:top w:val="nil"/>
              <w:left w:val="nil"/>
              <w:bottom w:val="single" w:sz="4" w:space="0" w:color="auto"/>
              <w:right w:val="nil"/>
            </w:tcBorders>
            <w:shd w:val="clear" w:color="auto" w:fill="auto"/>
            <w:noWrap/>
            <w:vAlign w:val="bottom"/>
            <w:hideMark/>
          </w:tcPr>
          <w:p w14:paraId="204C1B8A"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22C943CB"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E3A813D"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499</w:t>
            </w:r>
          </w:p>
        </w:tc>
      </w:tr>
      <w:tr w:rsidR="00DB6C19" w:rsidRPr="004E6455" w14:paraId="241E3A85"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5EF9428E"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 ENOHSA (1)  </w:t>
            </w:r>
          </w:p>
        </w:tc>
        <w:tc>
          <w:tcPr>
            <w:tcW w:w="6237" w:type="dxa"/>
            <w:tcBorders>
              <w:top w:val="nil"/>
              <w:left w:val="nil"/>
              <w:bottom w:val="nil"/>
              <w:right w:val="nil"/>
            </w:tcBorders>
            <w:shd w:val="clear" w:color="auto" w:fill="auto"/>
            <w:noWrap/>
            <w:vAlign w:val="bottom"/>
            <w:hideMark/>
          </w:tcPr>
          <w:p w14:paraId="1B7B208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Agua Potable y cloacas </w:t>
            </w:r>
          </w:p>
        </w:tc>
        <w:tc>
          <w:tcPr>
            <w:tcW w:w="1120" w:type="dxa"/>
            <w:tcBorders>
              <w:top w:val="nil"/>
              <w:left w:val="nil"/>
              <w:bottom w:val="nil"/>
              <w:right w:val="single" w:sz="4" w:space="0" w:color="auto"/>
            </w:tcBorders>
            <w:shd w:val="clear" w:color="auto" w:fill="auto"/>
            <w:noWrap/>
            <w:vAlign w:val="bottom"/>
            <w:hideMark/>
          </w:tcPr>
          <w:p w14:paraId="5D9B6D79"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455</w:t>
            </w:r>
          </w:p>
        </w:tc>
        <w:tc>
          <w:tcPr>
            <w:tcW w:w="1120" w:type="dxa"/>
            <w:tcBorders>
              <w:top w:val="nil"/>
              <w:left w:val="nil"/>
              <w:bottom w:val="nil"/>
              <w:right w:val="nil"/>
            </w:tcBorders>
            <w:shd w:val="clear" w:color="auto" w:fill="auto"/>
            <w:noWrap/>
            <w:vAlign w:val="bottom"/>
            <w:hideMark/>
          </w:tcPr>
          <w:p w14:paraId="2EC3AF06"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4A2D063A" w14:textId="77777777" w:rsidTr="004F3D41">
        <w:trPr>
          <w:trHeight w:val="300"/>
        </w:trPr>
        <w:tc>
          <w:tcPr>
            <w:tcW w:w="5402" w:type="dxa"/>
            <w:tcBorders>
              <w:top w:val="nil"/>
              <w:left w:val="single" w:sz="4" w:space="0" w:color="auto"/>
              <w:bottom w:val="single" w:sz="4" w:space="0" w:color="auto"/>
              <w:right w:val="nil"/>
            </w:tcBorders>
            <w:shd w:val="clear" w:color="auto" w:fill="auto"/>
            <w:noWrap/>
            <w:vAlign w:val="bottom"/>
            <w:hideMark/>
          </w:tcPr>
          <w:p w14:paraId="36B7C2C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 ENHOSA (PROAS) (1) </w:t>
            </w:r>
          </w:p>
        </w:tc>
        <w:tc>
          <w:tcPr>
            <w:tcW w:w="6237" w:type="dxa"/>
            <w:tcBorders>
              <w:top w:val="nil"/>
              <w:left w:val="nil"/>
              <w:bottom w:val="single" w:sz="4" w:space="0" w:color="auto"/>
              <w:right w:val="nil"/>
            </w:tcBorders>
            <w:shd w:val="clear" w:color="auto" w:fill="auto"/>
            <w:noWrap/>
            <w:vAlign w:val="bottom"/>
            <w:hideMark/>
          </w:tcPr>
          <w:p w14:paraId="42B82A8E"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Agua Potable y cloacas </w:t>
            </w:r>
          </w:p>
        </w:tc>
        <w:tc>
          <w:tcPr>
            <w:tcW w:w="1120" w:type="dxa"/>
            <w:tcBorders>
              <w:top w:val="nil"/>
              <w:left w:val="nil"/>
              <w:bottom w:val="single" w:sz="4" w:space="0" w:color="auto"/>
              <w:right w:val="single" w:sz="4" w:space="0" w:color="auto"/>
            </w:tcBorders>
            <w:shd w:val="clear" w:color="auto" w:fill="auto"/>
            <w:noWrap/>
            <w:vAlign w:val="bottom"/>
            <w:hideMark/>
          </w:tcPr>
          <w:p w14:paraId="2E455065"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45</w:t>
            </w:r>
          </w:p>
        </w:tc>
        <w:tc>
          <w:tcPr>
            <w:tcW w:w="1120" w:type="dxa"/>
            <w:tcBorders>
              <w:top w:val="nil"/>
              <w:left w:val="nil"/>
              <w:bottom w:val="nil"/>
              <w:right w:val="nil"/>
            </w:tcBorders>
            <w:shd w:val="clear" w:color="auto" w:fill="auto"/>
            <w:noWrap/>
            <w:vAlign w:val="bottom"/>
            <w:hideMark/>
          </w:tcPr>
          <w:p w14:paraId="3429FF1F"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414265E1" w14:textId="77777777" w:rsidTr="004F3D41">
        <w:trPr>
          <w:trHeight w:val="300"/>
        </w:trPr>
        <w:tc>
          <w:tcPr>
            <w:tcW w:w="5402" w:type="dxa"/>
            <w:tcBorders>
              <w:top w:val="nil"/>
              <w:left w:val="single" w:sz="4" w:space="0" w:color="auto"/>
              <w:bottom w:val="single" w:sz="4" w:space="0" w:color="auto"/>
              <w:right w:val="nil"/>
            </w:tcBorders>
            <w:shd w:val="clear" w:color="auto" w:fill="auto"/>
            <w:noWrap/>
            <w:vAlign w:val="bottom"/>
            <w:hideMark/>
          </w:tcPr>
          <w:p w14:paraId="3C54C13A"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MINISTERIO DE SEGURIDAD</w:t>
            </w:r>
          </w:p>
        </w:tc>
        <w:tc>
          <w:tcPr>
            <w:tcW w:w="6237" w:type="dxa"/>
            <w:tcBorders>
              <w:top w:val="nil"/>
              <w:left w:val="nil"/>
              <w:bottom w:val="single" w:sz="4" w:space="0" w:color="auto"/>
              <w:right w:val="nil"/>
            </w:tcBorders>
            <w:shd w:val="clear" w:color="auto" w:fill="auto"/>
            <w:noWrap/>
            <w:vAlign w:val="bottom"/>
            <w:hideMark/>
          </w:tcPr>
          <w:p w14:paraId="1A85A5F7"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nil"/>
              <w:left w:val="nil"/>
              <w:bottom w:val="single" w:sz="4" w:space="0" w:color="auto"/>
              <w:right w:val="single" w:sz="4" w:space="0" w:color="000000"/>
            </w:tcBorders>
            <w:shd w:val="clear" w:color="auto" w:fill="auto"/>
            <w:noWrap/>
            <w:vAlign w:val="bottom"/>
            <w:hideMark/>
          </w:tcPr>
          <w:p w14:paraId="143CAAAF"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66CA6A8"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1.015</w:t>
            </w:r>
          </w:p>
        </w:tc>
      </w:tr>
      <w:tr w:rsidR="00DB6C19" w:rsidRPr="004E6455" w14:paraId="0C995975"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2B4B437A"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Calyon (Credit Lyonnais) (1)  </w:t>
            </w:r>
          </w:p>
        </w:tc>
        <w:tc>
          <w:tcPr>
            <w:tcW w:w="6237" w:type="dxa"/>
            <w:tcBorders>
              <w:top w:val="nil"/>
              <w:left w:val="nil"/>
              <w:bottom w:val="nil"/>
              <w:right w:val="nil"/>
            </w:tcBorders>
            <w:shd w:val="clear" w:color="auto" w:fill="auto"/>
            <w:noWrap/>
            <w:vAlign w:val="bottom"/>
            <w:hideMark/>
          </w:tcPr>
          <w:p w14:paraId="016877E4"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Equipamiento Sistema de Comunicación </w:t>
            </w:r>
          </w:p>
        </w:tc>
        <w:tc>
          <w:tcPr>
            <w:tcW w:w="1120" w:type="dxa"/>
            <w:tcBorders>
              <w:top w:val="nil"/>
              <w:left w:val="nil"/>
              <w:bottom w:val="nil"/>
              <w:right w:val="single" w:sz="4" w:space="0" w:color="auto"/>
            </w:tcBorders>
            <w:shd w:val="clear" w:color="auto" w:fill="auto"/>
            <w:noWrap/>
            <w:vAlign w:val="bottom"/>
            <w:hideMark/>
          </w:tcPr>
          <w:p w14:paraId="1FCC0DC4"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837</w:t>
            </w:r>
          </w:p>
        </w:tc>
        <w:tc>
          <w:tcPr>
            <w:tcW w:w="1120" w:type="dxa"/>
            <w:tcBorders>
              <w:top w:val="nil"/>
              <w:left w:val="nil"/>
              <w:bottom w:val="nil"/>
              <w:right w:val="nil"/>
            </w:tcBorders>
            <w:shd w:val="clear" w:color="auto" w:fill="auto"/>
            <w:noWrap/>
            <w:vAlign w:val="bottom"/>
            <w:hideMark/>
          </w:tcPr>
          <w:p w14:paraId="7238EAEC"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3EE1617E"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7209A72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Proveedores (1) </w:t>
            </w:r>
          </w:p>
        </w:tc>
        <w:tc>
          <w:tcPr>
            <w:tcW w:w="6237" w:type="dxa"/>
            <w:tcBorders>
              <w:top w:val="nil"/>
              <w:left w:val="nil"/>
              <w:bottom w:val="nil"/>
              <w:right w:val="nil"/>
            </w:tcBorders>
            <w:shd w:val="clear" w:color="auto" w:fill="auto"/>
            <w:noWrap/>
            <w:vAlign w:val="bottom"/>
            <w:hideMark/>
          </w:tcPr>
          <w:p w14:paraId="775E9892"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Equipamiento Sistema de Comunicación </w:t>
            </w:r>
          </w:p>
        </w:tc>
        <w:tc>
          <w:tcPr>
            <w:tcW w:w="1120" w:type="dxa"/>
            <w:tcBorders>
              <w:top w:val="nil"/>
              <w:left w:val="nil"/>
              <w:bottom w:val="nil"/>
              <w:right w:val="single" w:sz="4" w:space="0" w:color="auto"/>
            </w:tcBorders>
            <w:shd w:val="clear" w:color="auto" w:fill="auto"/>
            <w:noWrap/>
            <w:vAlign w:val="bottom"/>
            <w:hideMark/>
          </w:tcPr>
          <w:p w14:paraId="031020BD"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7</w:t>
            </w:r>
          </w:p>
        </w:tc>
        <w:tc>
          <w:tcPr>
            <w:tcW w:w="1120" w:type="dxa"/>
            <w:tcBorders>
              <w:top w:val="nil"/>
              <w:left w:val="nil"/>
              <w:bottom w:val="nil"/>
              <w:right w:val="nil"/>
            </w:tcBorders>
            <w:shd w:val="clear" w:color="auto" w:fill="auto"/>
            <w:noWrap/>
            <w:vAlign w:val="bottom"/>
            <w:hideMark/>
          </w:tcPr>
          <w:p w14:paraId="1CC4A457"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5F22F450"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6765FEFB"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2210 (1)  </w:t>
            </w:r>
          </w:p>
        </w:tc>
        <w:tc>
          <w:tcPr>
            <w:tcW w:w="6237" w:type="dxa"/>
            <w:tcBorders>
              <w:top w:val="nil"/>
              <w:left w:val="nil"/>
              <w:bottom w:val="single" w:sz="4" w:space="0" w:color="auto"/>
              <w:right w:val="nil"/>
            </w:tcBorders>
            <w:shd w:val="clear" w:color="auto" w:fill="auto"/>
            <w:noWrap/>
            <w:vAlign w:val="bottom"/>
            <w:hideMark/>
          </w:tcPr>
          <w:p w14:paraId="4EF3C5B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Seguridad Ciudadana e Inclusión </w:t>
            </w:r>
          </w:p>
        </w:tc>
        <w:tc>
          <w:tcPr>
            <w:tcW w:w="1120" w:type="dxa"/>
            <w:tcBorders>
              <w:top w:val="nil"/>
              <w:left w:val="nil"/>
              <w:bottom w:val="nil"/>
              <w:right w:val="single" w:sz="4" w:space="0" w:color="auto"/>
            </w:tcBorders>
            <w:shd w:val="clear" w:color="auto" w:fill="auto"/>
            <w:noWrap/>
            <w:vAlign w:val="bottom"/>
            <w:hideMark/>
          </w:tcPr>
          <w:p w14:paraId="78F4D1D9"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172</w:t>
            </w:r>
          </w:p>
        </w:tc>
        <w:tc>
          <w:tcPr>
            <w:tcW w:w="1120" w:type="dxa"/>
            <w:tcBorders>
              <w:top w:val="nil"/>
              <w:left w:val="nil"/>
              <w:bottom w:val="nil"/>
              <w:right w:val="nil"/>
            </w:tcBorders>
            <w:shd w:val="clear" w:color="auto" w:fill="auto"/>
            <w:noWrap/>
            <w:vAlign w:val="bottom"/>
            <w:hideMark/>
          </w:tcPr>
          <w:p w14:paraId="63235FE6"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006618A8"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5B038145"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MINISTERIO DE JUSTICIA</w:t>
            </w:r>
          </w:p>
        </w:tc>
        <w:tc>
          <w:tcPr>
            <w:tcW w:w="6237" w:type="dxa"/>
            <w:tcBorders>
              <w:top w:val="nil"/>
              <w:left w:val="nil"/>
              <w:bottom w:val="single" w:sz="4" w:space="0" w:color="auto"/>
              <w:right w:val="nil"/>
            </w:tcBorders>
            <w:shd w:val="clear" w:color="auto" w:fill="auto"/>
            <w:noWrap/>
            <w:vAlign w:val="bottom"/>
            <w:hideMark/>
          </w:tcPr>
          <w:p w14:paraId="30831699"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3006BFF4"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DFEBB5A"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60</w:t>
            </w:r>
          </w:p>
        </w:tc>
      </w:tr>
      <w:tr w:rsidR="00DB6C19" w:rsidRPr="004E6455" w14:paraId="30C1CEE3" w14:textId="77777777" w:rsidTr="004F3D41">
        <w:trPr>
          <w:trHeight w:val="300"/>
        </w:trPr>
        <w:tc>
          <w:tcPr>
            <w:tcW w:w="5402" w:type="dxa"/>
            <w:tcBorders>
              <w:top w:val="nil"/>
              <w:left w:val="single" w:sz="4" w:space="0" w:color="auto"/>
              <w:bottom w:val="single" w:sz="4" w:space="0" w:color="auto"/>
              <w:right w:val="nil"/>
            </w:tcBorders>
            <w:shd w:val="clear" w:color="auto" w:fill="auto"/>
            <w:noWrap/>
            <w:vAlign w:val="bottom"/>
            <w:hideMark/>
          </w:tcPr>
          <w:p w14:paraId="67CC97E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Federal de Infraestructura Regional (2) </w:t>
            </w:r>
          </w:p>
        </w:tc>
        <w:tc>
          <w:tcPr>
            <w:tcW w:w="6237" w:type="dxa"/>
            <w:tcBorders>
              <w:top w:val="nil"/>
              <w:left w:val="nil"/>
              <w:bottom w:val="single" w:sz="4" w:space="0" w:color="auto"/>
              <w:right w:val="nil"/>
            </w:tcBorders>
            <w:shd w:val="clear" w:color="auto" w:fill="auto"/>
            <w:noWrap/>
            <w:vAlign w:val="bottom"/>
            <w:hideMark/>
          </w:tcPr>
          <w:p w14:paraId="2EEC85F0"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Construcción de Alcaldías </w:t>
            </w:r>
          </w:p>
        </w:tc>
        <w:tc>
          <w:tcPr>
            <w:tcW w:w="1120" w:type="dxa"/>
            <w:tcBorders>
              <w:top w:val="nil"/>
              <w:left w:val="nil"/>
              <w:bottom w:val="single" w:sz="4" w:space="0" w:color="auto"/>
              <w:right w:val="single" w:sz="4" w:space="0" w:color="auto"/>
            </w:tcBorders>
            <w:shd w:val="clear" w:color="auto" w:fill="auto"/>
            <w:noWrap/>
            <w:vAlign w:val="bottom"/>
            <w:hideMark/>
          </w:tcPr>
          <w:p w14:paraId="42DB0435"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60</w:t>
            </w:r>
          </w:p>
        </w:tc>
        <w:tc>
          <w:tcPr>
            <w:tcW w:w="1120" w:type="dxa"/>
            <w:tcBorders>
              <w:top w:val="nil"/>
              <w:left w:val="nil"/>
              <w:bottom w:val="nil"/>
              <w:right w:val="nil"/>
            </w:tcBorders>
            <w:shd w:val="clear" w:color="auto" w:fill="auto"/>
            <w:noWrap/>
            <w:vAlign w:val="bottom"/>
            <w:hideMark/>
          </w:tcPr>
          <w:p w14:paraId="673D2BAF"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263F4D75" w14:textId="77777777" w:rsidTr="004F3D41">
        <w:trPr>
          <w:trHeight w:val="300"/>
        </w:trPr>
        <w:tc>
          <w:tcPr>
            <w:tcW w:w="11639" w:type="dxa"/>
            <w:gridSpan w:val="2"/>
            <w:tcBorders>
              <w:top w:val="single" w:sz="4" w:space="0" w:color="auto"/>
              <w:left w:val="single" w:sz="4" w:space="0" w:color="auto"/>
              <w:bottom w:val="single" w:sz="4" w:space="0" w:color="auto"/>
              <w:right w:val="nil"/>
            </w:tcBorders>
            <w:shd w:val="clear" w:color="auto" w:fill="auto"/>
            <w:noWrap/>
            <w:vAlign w:val="bottom"/>
            <w:hideMark/>
          </w:tcPr>
          <w:p w14:paraId="162AAD0A"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MINISTERIO DE ECONOMIA - SUBSECRETARIA DE FINANZAS</w:t>
            </w:r>
          </w:p>
        </w:tc>
        <w:tc>
          <w:tcPr>
            <w:tcW w:w="1120" w:type="dxa"/>
            <w:tcBorders>
              <w:top w:val="nil"/>
              <w:left w:val="nil"/>
              <w:bottom w:val="single" w:sz="4" w:space="0" w:color="auto"/>
              <w:right w:val="single" w:sz="4" w:space="0" w:color="000000"/>
            </w:tcBorders>
            <w:shd w:val="clear" w:color="auto" w:fill="auto"/>
            <w:noWrap/>
            <w:vAlign w:val="bottom"/>
            <w:hideMark/>
          </w:tcPr>
          <w:p w14:paraId="7E3D128D"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7FD94BA"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9.342</w:t>
            </w:r>
          </w:p>
        </w:tc>
      </w:tr>
      <w:tr w:rsidR="00DB6C19" w:rsidRPr="004E6455" w14:paraId="4CF2E717"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658B4995"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979/OC-AR (1) </w:t>
            </w:r>
          </w:p>
        </w:tc>
        <w:tc>
          <w:tcPr>
            <w:tcW w:w="6237" w:type="dxa"/>
            <w:tcBorders>
              <w:top w:val="nil"/>
              <w:left w:val="nil"/>
              <w:bottom w:val="nil"/>
              <w:right w:val="nil"/>
            </w:tcBorders>
            <w:shd w:val="clear" w:color="auto" w:fill="auto"/>
            <w:noWrap/>
            <w:vAlign w:val="bottom"/>
            <w:hideMark/>
          </w:tcPr>
          <w:p w14:paraId="2B92CF4B"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Modernización del Estado y Fortalecimiento Fiscal </w:t>
            </w:r>
          </w:p>
        </w:tc>
        <w:tc>
          <w:tcPr>
            <w:tcW w:w="1120" w:type="dxa"/>
            <w:tcBorders>
              <w:top w:val="nil"/>
              <w:left w:val="nil"/>
              <w:bottom w:val="nil"/>
              <w:right w:val="single" w:sz="4" w:space="0" w:color="auto"/>
            </w:tcBorders>
            <w:shd w:val="clear" w:color="auto" w:fill="auto"/>
            <w:noWrap/>
            <w:vAlign w:val="bottom"/>
            <w:hideMark/>
          </w:tcPr>
          <w:p w14:paraId="3A2734E2"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380</w:t>
            </w:r>
          </w:p>
        </w:tc>
        <w:tc>
          <w:tcPr>
            <w:tcW w:w="1120" w:type="dxa"/>
            <w:tcBorders>
              <w:top w:val="nil"/>
              <w:left w:val="nil"/>
              <w:bottom w:val="nil"/>
              <w:right w:val="nil"/>
            </w:tcBorders>
            <w:shd w:val="clear" w:color="auto" w:fill="auto"/>
            <w:noWrap/>
            <w:vAlign w:val="bottom"/>
            <w:hideMark/>
          </w:tcPr>
          <w:p w14:paraId="0D248444"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55B4C1EB"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D9834A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BIRF 7268/OC-AR (1) </w:t>
            </w:r>
          </w:p>
        </w:tc>
        <w:tc>
          <w:tcPr>
            <w:tcW w:w="6237" w:type="dxa"/>
            <w:tcBorders>
              <w:top w:val="nil"/>
              <w:left w:val="nil"/>
              <w:bottom w:val="nil"/>
              <w:right w:val="nil"/>
            </w:tcBorders>
            <w:shd w:val="clear" w:color="auto" w:fill="auto"/>
            <w:noWrap/>
            <w:vAlign w:val="bottom"/>
            <w:hideMark/>
          </w:tcPr>
          <w:p w14:paraId="73288F3B"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Desarrollo de Inversión Sustentable en Infraestructura </w:t>
            </w:r>
          </w:p>
        </w:tc>
        <w:tc>
          <w:tcPr>
            <w:tcW w:w="1120" w:type="dxa"/>
            <w:tcBorders>
              <w:top w:val="nil"/>
              <w:left w:val="nil"/>
              <w:bottom w:val="nil"/>
              <w:right w:val="single" w:sz="4" w:space="0" w:color="auto"/>
            </w:tcBorders>
            <w:shd w:val="clear" w:color="auto" w:fill="auto"/>
            <w:noWrap/>
            <w:vAlign w:val="bottom"/>
            <w:hideMark/>
          </w:tcPr>
          <w:p w14:paraId="760BBCD9"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1.522</w:t>
            </w:r>
          </w:p>
        </w:tc>
        <w:tc>
          <w:tcPr>
            <w:tcW w:w="1120" w:type="dxa"/>
            <w:tcBorders>
              <w:top w:val="nil"/>
              <w:left w:val="nil"/>
              <w:bottom w:val="nil"/>
              <w:right w:val="nil"/>
            </w:tcBorders>
            <w:shd w:val="clear" w:color="auto" w:fill="auto"/>
            <w:noWrap/>
            <w:vAlign w:val="bottom"/>
            <w:hideMark/>
          </w:tcPr>
          <w:p w14:paraId="3B58B8C2"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6926D30F"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2802D3D"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BIRF 7472/OC-AR (1) </w:t>
            </w:r>
          </w:p>
        </w:tc>
        <w:tc>
          <w:tcPr>
            <w:tcW w:w="6237" w:type="dxa"/>
            <w:tcBorders>
              <w:top w:val="nil"/>
              <w:left w:val="nil"/>
              <w:bottom w:val="nil"/>
              <w:right w:val="nil"/>
            </w:tcBorders>
            <w:shd w:val="clear" w:color="auto" w:fill="auto"/>
            <w:noWrap/>
            <w:vAlign w:val="bottom"/>
            <w:hideMark/>
          </w:tcPr>
          <w:p w14:paraId="5A5440F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Desarrollo de Inversión Sustentable en Infraestructura </w:t>
            </w:r>
          </w:p>
        </w:tc>
        <w:tc>
          <w:tcPr>
            <w:tcW w:w="1120" w:type="dxa"/>
            <w:tcBorders>
              <w:top w:val="nil"/>
              <w:left w:val="nil"/>
              <w:bottom w:val="nil"/>
              <w:right w:val="single" w:sz="4" w:space="0" w:color="auto"/>
            </w:tcBorders>
            <w:shd w:val="clear" w:color="auto" w:fill="auto"/>
            <w:noWrap/>
            <w:vAlign w:val="bottom"/>
            <w:hideMark/>
          </w:tcPr>
          <w:p w14:paraId="6D4D52B1"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3.197</w:t>
            </w:r>
          </w:p>
        </w:tc>
        <w:tc>
          <w:tcPr>
            <w:tcW w:w="1120" w:type="dxa"/>
            <w:tcBorders>
              <w:top w:val="nil"/>
              <w:left w:val="nil"/>
              <w:bottom w:val="nil"/>
              <w:right w:val="nil"/>
            </w:tcBorders>
            <w:shd w:val="clear" w:color="auto" w:fill="auto"/>
            <w:noWrap/>
            <w:vAlign w:val="bottom"/>
            <w:hideMark/>
          </w:tcPr>
          <w:p w14:paraId="4A6A4005"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7333D5C4"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17BDF1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BIRF 7947/AR (1) </w:t>
            </w:r>
          </w:p>
        </w:tc>
        <w:tc>
          <w:tcPr>
            <w:tcW w:w="6237" w:type="dxa"/>
            <w:tcBorders>
              <w:top w:val="nil"/>
              <w:left w:val="nil"/>
              <w:bottom w:val="nil"/>
              <w:right w:val="nil"/>
            </w:tcBorders>
            <w:shd w:val="clear" w:color="auto" w:fill="auto"/>
            <w:noWrap/>
            <w:vAlign w:val="bottom"/>
            <w:hideMark/>
          </w:tcPr>
          <w:p w14:paraId="582A136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Ampliación BIRF 7268/OC-AR </w:t>
            </w:r>
          </w:p>
        </w:tc>
        <w:tc>
          <w:tcPr>
            <w:tcW w:w="1120" w:type="dxa"/>
            <w:tcBorders>
              <w:top w:val="nil"/>
              <w:left w:val="nil"/>
              <w:bottom w:val="nil"/>
              <w:right w:val="single" w:sz="4" w:space="0" w:color="auto"/>
            </w:tcBorders>
            <w:shd w:val="clear" w:color="auto" w:fill="auto"/>
            <w:noWrap/>
            <w:vAlign w:val="bottom"/>
            <w:hideMark/>
          </w:tcPr>
          <w:p w14:paraId="61372A09"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791</w:t>
            </w:r>
          </w:p>
        </w:tc>
        <w:tc>
          <w:tcPr>
            <w:tcW w:w="1120" w:type="dxa"/>
            <w:tcBorders>
              <w:top w:val="nil"/>
              <w:left w:val="nil"/>
              <w:bottom w:val="nil"/>
              <w:right w:val="nil"/>
            </w:tcBorders>
            <w:shd w:val="clear" w:color="auto" w:fill="auto"/>
            <w:noWrap/>
            <w:vAlign w:val="bottom"/>
            <w:hideMark/>
          </w:tcPr>
          <w:p w14:paraId="1C549063"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3B92C07B"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269CBC10"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1700/OC-AR (1) </w:t>
            </w:r>
          </w:p>
        </w:tc>
        <w:tc>
          <w:tcPr>
            <w:tcW w:w="6237" w:type="dxa"/>
            <w:tcBorders>
              <w:top w:val="nil"/>
              <w:left w:val="nil"/>
              <w:bottom w:val="nil"/>
              <w:right w:val="nil"/>
            </w:tcBorders>
            <w:shd w:val="clear" w:color="auto" w:fill="auto"/>
            <w:noWrap/>
            <w:vAlign w:val="bottom"/>
            <w:hideMark/>
          </w:tcPr>
          <w:p w14:paraId="65E76F0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Apoyo a la Inversión en los Sectores Sociales </w:t>
            </w:r>
          </w:p>
        </w:tc>
        <w:tc>
          <w:tcPr>
            <w:tcW w:w="1120" w:type="dxa"/>
            <w:tcBorders>
              <w:top w:val="nil"/>
              <w:left w:val="nil"/>
              <w:bottom w:val="nil"/>
              <w:right w:val="single" w:sz="4" w:space="0" w:color="auto"/>
            </w:tcBorders>
            <w:shd w:val="clear" w:color="auto" w:fill="auto"/>
            <w:noWrap/>
            <w:vAlign w:val="bottom"/>
            <w:hideMark/>
          </w:tcPr>
          <w:p w14:paraId="7A9B48BD"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2.939</w:t>
            </w:r>
          </w:p>
        </w:tc>
        <w:tc>
          <w:tcPr>
            <w:tcW w:w="1120" w:type="dxa"/>
            <w:tcBorders>
              <w:top w:val="nil"/>
              <w:left w:val="nil"/>
              <w:bottom w:val="nil"/>
              <w:right w:val="nil"/>
            </w:tcBorders>
            <w:shd w:val="clear" w:color="auto" w:fill="auto"/>
            <w:noWrap/>
            <w:vAlign w:val="bottom"/>
            <w:hideMark/>
          </w:tcPr>
          <w:p w14:paraId="32427BC3"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1654DC97"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7EF03F5"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2573 - PROSAP (1) </w:t>
            </w:r>
          </w:p>
        </w:tc>
        <w:tc>
          <w:tcPr>
            <w:tcW w:w="6237" w:type="dxa"/>
            <w:tcBorders>
              <w:top w:val="nil"/>
              <w:left w:val="nil"/>
              <w:bottom w:val="nil"/>
              <w:right w:val="nil"/>
            </w:tcBorders>
            <w:shd w:val="clear" w:color="auto" w:fill="auto"/>
            <w:noWrap/>
            <w:vAlign w:val="bottom"/>
            <w:hideMark/>
          </w:tcPr>
          <w:p w14:paraId="7777763D"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Servicios Agrícolas Provinciales </w:t>
            </w:r>
          </w:p>
        </w:tc>
        <w:tc>
          <w:tcPr>
            <w:tcW w:w="1120" w:type="dxa"/>
            <w:tcBorders>
              <w:top w:val="nil"/>
              <w:left w:val="nil"/>
              <w:bottom w:val="nil"/>
              <w:right w:val="single" w:sz="4" w:space="0" w:color="auto"/>
            </w:tcBorders>
            <w:shd w:val="clear" w:color="auto" w:fill="auto"/>
            <w:noWrap/>
            <w:vAlign w:val="bottom"/>
            <w:hideMark/>
          </w:tcPr>
          <w:p w14:paraId="3CFFF0C1"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75</w:t>
            </w:r>
          </w:p>
        </w:tc>
        <w:tc>
          <w:tcPr>
            <w:tcW w:w="1120" w:type="dxa"/>
            <w:tcBorders>
              <w:top w:val="nil"/>
              <w:left w:val="nil"/>
              <w:bottom w:val="nil"/>
              <w:right w:val="nil"/>
            </w:tcBorders>
            <w:shd w:val="clear" w:color="auto" w:fill="auto"/>
            <w:noWrap/>
            <w:vAlign w:val="bottom"/>
            <w:hideMark/>
          </w:tcPr>
          <w:p w14:paraId="41C3F9D9"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07C7551C"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509F4FC4"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3256/OC-AR (1) </w:t>
            </w:r>
          </w:p>
        </w:tc>
        <w:tc>
          <w:tcPr>
            <w:tcW w:w="6237" w:type="dxa"/>
            <w:tcBorders>
              <w:top w:val="nil"/>
              <w:left w:val="nil"/>
              <w:bottom w:val="nil"/>
              <w:right w:val="nil"/>
            </w:tcBorders>
            <w:shd w:val="clear" w:color="auto" w:fill="auto"/>
            <w:noWrap/>
            <w:vAlign w:val="bottom"/>
            <w:hideMark/>
          </w:tcPr>
          <w:p w14:paraId="0AC3F3EA"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Saneamiento Ambiental de la Cuenca del Rio Reconquista </w:t>
            </w:r>
          </w:p>
        </w:tc>
        <w:tc>
          <w:tcPr>
            <w:tcW w:w="1120" w:type="dxa"/>
            <w:tcBorders>
              <w:top w:val="nil"/>
              <w:left w:val="nil"/>
              <w:bottom w:val="nil"/>
              <w:right w:val="single" w:sz="4" w:space="0" w:color="auto"/>
            </w:tcBorders>
            <w:shd w:val="clear" w:color="auto" w:fill="auto"/>
            <w:noWrap/>
            <w:vAlign w:val="bottom"/>
            <w:hideMark/>
          </w:tcPr>
          <w:p w14:paraId="1A710617"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72</w:t>
            </w:r>
          </w:p>
        </w:tc>
        <w:tc>
          <w:tcPr>
            <w:tcW w:w="1120" w:type="dxa"/>
            <w:tcBorders>
              <w:top w:val="nil"/>
              <w:left w:val="nil"/>
              <w:bottom w:val="nil"/>
              <w:right w:val="nil"/>
            </w:tcBorders>
            <w:shd w:val="clear" w:color="auto" w:fill="auto"/>
            <w:noWrap/>
            <w:vAlign w:val="bottom"/>
            <w:hideMark/>
          </w:tcPr>
          <w:p w14:paraId="7D036F07"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6BF9977B"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518C680"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FONPLATA (1) </w:t>
            </w:r>
          </w:p>
        </w:tc>
        <w:tc>
          <w:tcPr>
            <w:tcW w:w="6237" w:type="dxa"/>
            <w:tcBorders>
              <w:top w:val="nil"/>
              <w:left w:val="nil"/>
              <w:bottom w:val="single" w:sz="4" w:space="0" w:color="auto"/>
              <w:right w:val="nil"/>
            </w:tcBorders>
            <w:shd w:val="clear" w:color="auto" w:fill="auto"/>
            <w:noWrap/>
            <w:vAlign w:val="bottom"/>
            <w:hideMark/>
          </w:tcPr>
          <w:p w14:paraId="2283E03D"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  </w:t>
            </w:r>
          </w:p>
        </w:tc>
        <w:tc>
          <w:tcPr>
            <w:tcW w:w="1120" w:type="dxa"/>
            <w:tcBorders>
              <w:top w:val="nil"/>
              <w:left w:val="nil"/>
              <w:bottom w:val="nil"/>
              <w:right w:val="single" w:sz="4" w:space="0" w:color="auto"/>
            </w:tcBorders>
            <w:shd w:val="clear" w:color="auto" w:fill="auto"/>
            <w:noWrap/>
            <w:vAlign w:val="bottom"/>
            <w:hideMark/>
          </w:tcPr>
          <w:p w14:paraId="383E3F6E"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367</w:t>
            </w:r>
          </w:p>
        </w:tc>
        <w:tc>
          <w:tcPr>
            <w:tcW w:w="1120" w:type="dxa"/>
            <w:tcBorders>
              <w:top w:val="nil"/>
              <w:left w:val="nil"/>
              <w:bottom w:val="nil"/>
              <w:right w:val="nil"/>
            </w:tcBorders>
            <w:shd w:val="clear" w:color="auto" w:fill="auto"/>
            <w:noWrap/>
            <w:vAlign w:val="bottom"/>
            <w:hideMark/>
          </w:tcPr>
          <w:p w14:paraId="47142C70"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15144AC8"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61353EDF" w14:textId="77777777" w:rsidR="00DB6C19" w:rsidRPr="00117BF8" w:rsidRDefault="00DB6C19" w:rsidP="004F3D41">
            <w:pPr>
              <w:spacing w:after="0"/>
              <w:jc w:val="left"/>
              <w:rPr>
                <w:rFonts w:ascii="Arial" w:hAnsi="Arial" w:cs="Arial"/>
                <w:b/>
                <w:bCs/>
                <w:sz w:val="18"/>
                <w:szCs w:val="18"/>
                <w:lang w:val="pt-BR" w:eastAsia="es-AR"/>
              </w:rPr>
            </w:pPr>
            <w:r w:rsidRPr="00117BF8">
              <w:rPr>
                <w:rFonts w:ascii="Arial" w:hAnsi="Arial" w:cs="Arial"/>
                <w:b/>
                <w:bCs/>
                <w:sz w:val="18"/>
                <w:szCs w:val="18"/>
                <w:lang w:val="pt-BR" w:eastAsia="es-AR"/>
              </w:rPr>
              <w:t>MINISTERIO DE ECONOMIA - P.F.M.</w:t>
            </w:r>
          </w:p>
        </w:tc>
        <w:tc>
          <w:tcPr>
            <w:tcW w:w="6237" w:type="dxa"/>
            <w:tcBorders>
              <w:top w:val="nil"/>
              <w:left w:val="nil"/>
              <w:bottom w:val="single" w:sz="4" w:space="0" w:color="auto"/>
              <w:right w:val="nil"/>
            </w:tcBorders>
            <w:shd w:val="clear" w:color="auto" w:fill="auto"/>
            <w:noWrap/>
            <w:vAlign w:val="bottom"/>
            <w:hideMark/>
          </w:tcPr>
          <w:p w14:paraId="52B9CE26" w14:textId="77777777" w:rsidR="00DB6C19" w:rsidRPr="00117BF8" w:rsidRDefault="00DB6C19" w:rsidP="004F3D41">
            <w:pPr>
              <w:spacing w:after="0"/>
              <w:jc w:val="left"/>
              <w:rPr>
                <w:rFonts w:ascii="Arial" w:hAnsi="Arial" w:cs="Arial"/>
                <w:b/>
                <w:bCs/>
                <w:sz w:val="18"/>
                <w:szCs w:val="18"/>
                <w:lang w:val="pt-BR" w:eastAsia="es-AR"/>
              </w:rPr>
            </w:pPr>
            <w:r w:rsidRPr="00117BF8">
              <w:rPr>
                <w:rFonts w:ascii="Arial" w:hAnsi="Arial" w:cs="Arial"/>
                <w:b/>
                <w:bCs/>
                <w:sz w:val="18"/>
                <w:szCs w:val="18"/>
                <w:lang w:val="pt-B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3D26592D" w14:textId="77777777" w:rsidR="00DB6C19" w:rsidRPr="00117BF8" w:rsidRDefault="00DB6C19" w:rsidP="004F3D41">
            <w:pPr>
              <w:spacing w:after="0"/>
              <w:jc w:val="left"/>
              <w:rPr>
                <w:rFonts w:ascii="Arial" w:hAnsi="Arial" w:cs="Arial"/>
                <w:b/>
                <w:bCs/>
                <w:sz w:val="18"/>
                <w:szCs w:val="18"/>
                <w:lang w:val="pt-BR" w:eastAsia="es-AR"/>
              </w:rPr>
            </w:pPr>
            <w:r w:rsidRPr="00117BF8">
              <w:rPr>
                <w:rFonts w:ascii="Arial" w:hAnsi="Arial" w:cs="Arial"/>
                <w:b/>
                <w:bCs/>
                <w:sz w:val="18"/>
                <w:szCs w:val="18"/>
                <w:lang w:val="pt-B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337F73B"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119</w:t>
            </w:r>
          </w:p>
        </w:tc>
      </w:tr>
      <w:tr w:rsidR="00DB6C19" w:rsidRPr="004E6455" w14:paraId="4850F4F4"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4685A4EA"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BID 1855/OC-AR (1) </w:t>
            </w:r>
          </w:p>
        </w:tc>
        <w:tc>
          <w:tcPr>
            <w:tcW w:w="6237" w:type="dxa"/>
            <w:tcBorders>
              <w:top w:val="nil"/>
              <w:left w:val="nil"/>
              <w:bottom w:val="nil"/>
              <w:right w:val="nil"/>
            </w:tcBorders>
            <w:shd w:val="clear" w:color="auto" w:fill="auto"/>
            <w:noWrap/>
            <w:vAlign w:val="bottom"/>
            <w:hideMark/>
          </w:tcPr>
          <w:p w14:paraId="10146FB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Fortalecimiento y Mejora de la Gestión Municipal </w:t>
            </w:r>
          </w:p>
        </w:tc>
        <w:tc>
          <w:tcPr>
            <w:tcW w:w="1120" w:type="dxa"/>
            <w:tcBorders>
              <w:top w:val="nil"/>
              <w:left w:val="nil"/>
              <w:bottom w:val="nil"/>
              <w:right w:val="single" w:sz="4" w:space="0" w:color="auto"/>
            </w:tcBorders>
            <w:shd w:val="clear" w:color="auto" w:fill="auto"/>
            <w:noWrap/>
            <w:vAlign w:val="bottom"/>
            <w:hideMark/>
          </w:tcPr>
          <w:p w14:paraId="7B0E76A0"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52</w:t>
            </w:r>
          </w:p>
        </w:tc>
        <w:tc>
          <w:tcPr>
            <w:tcW w:w="1120" w:type="dxa"/>
            <w:tcBorders>
              <w:top w:val="nil"/>
              <w:left w:val="nil"/>
              <w:bottom w:val="nil"/>
              <w:right w:val="nil"/>
            </w:tcBorders>
            <w:shd w:val="clear" w:color="auto" w:fill="auto"/>
            <w:noWrap/>
            <w:vAlign w:val="bottom"/>
            <w:hideMark/>
          </w:tcPr>
          <w:p w14:paraId="74E9CC56"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4C2349E2"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64D21C44"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BIRF 7385/AR (1) </w:t>
            </w:r>
          </w:p>
        </w:tc>
        <w:tc>
          <w:tcPr>
            <w:tcW w:w="6237" w:type="dxa"/>
            <w:tcBorders>
              <w:top w:val="nil"/>
              <w:left w:val="nil"/>
              <w:bottom w:val="single" w:sz="4" w:space="0" w:color="auto"/>
              <w:right w:val="nil"/>
            </w:tcBorders>
            <w:shd w:val="clear" w:color="auto" w:fill="auto"/>
            <w:noWrap/>
            <w:vAlign w:val="bottom"/>
            <w:hideMark/>
          </w:tcPr>
          <w:p w14:paraId="6B933E8F"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Fortalecimiento y Mejora de la Gestión Municipal </w:t>
            </w:r>
          </w:p>
        </w:tc>
        <w:tc>
          <w:tcPr>
            <w:tcW w:w="1120" w:type="dxa"/>
            <w:tcBorders>
              <w:top w:val="nil"/>
              <w:left w:val="nil"/>
              <w:bottom w:val="nil"/>
              <w:right w:val="single" w:sz="4" w:space="0" w:color="auto"/>
            </w:tcBorders>
            <w:shd w:val="clear" w:color="auto" w:fill="auto"/>
            <w:noWrap/>
            <w:vAlign w:val="bottom"/>
            <w:hideMark/>
          </w:tcPr>
          <w:p w14:paraId="0AD3D655"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67</w:t>
            </w:r>
          </w:p>
        </w:tc>
        <w:tc>
          <w:tcPr>
            <w:tcW w:w="1120" w:type="dxa"/>
            <w:tcBorders>
              <w:top w:val="nil"/>
              <w:left w:val="nil"/>
              <w:bottom w:val="nil"/>
              <w:right w:val="nil"/>
            </w:tcBorders>
            <w:shd w:val="clear" w:color="auto" w:fill="auto"/>
            <w:noWrap/>
            <w:vAlign w:val="bottom"/>
            <w:hideMark/>
          </w:tcPr>
          <w:p w14:paraId="7BD24162"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429A627A"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00D6318E"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MINISTERIO DE ECONOMIA - Ex P.S.F.</w:t>
            </w:r>
          </w:p>
        </w:tc>
        <w:tc>
          <w:tcPr>
            <w:tcW w:w="6237" w:type="dxa"/>
            <w:tcBorders>
              <w:top w:val="nil"/>
              <w:left w:val="nil"/>
              <w:bottom w:val="single" w:sz="4" w:space="0" w:color="auto"/>
              <w:right w:val="nil"/>
            </w:tcBorders>
            <w:shd w:val="clear" w:color="auto" w:fill="auto"/>
            <w:noWrap/>
            <w:vAlign w:val="bottom"/>
            <w:hideMark/>
          </w:tcPr>
          <w:p w14:paraId="3437CEE2"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5C0873B7"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B4C20FD"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44</w:t>
            </w:r>
          </w:p>
        </w:tc>
      </w:tr>
      <w:tr w:rsidR="00DB6C19" w:rsidRPr="004E6455" w14:paraId="2543BC38"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7C0B09F"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JEXIM (1) </w:t>
            </w:r>
          </w:p>
        </w:tc>
        <w:tc>
          <w:tcPr>
            <w:tcW w:w="6237" w:type="dxa"/>
            <w:tcBorders>
              <w:top w:val="nil"/>
              <w:left w:val="nil"/>
              <w:bottom w:val="nil"/>
              <w:right w:val="nil"/>
            </w:tcBorders>
            <w:shd w:val="clear" w:color="auto" w:fill="auto"/>
            <w:noWrap/>
            <w:vAlign w:val="bottom"/>
            <w:hideMark/>
          </w:tcPr>
          <w:p w14:paraId="7644967B"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Saneamiento Financiero </w:t>
            </w:r>
          </w:p>
        </w:tc>
        <w:tc>
          <w:tcPr>
            <w:tcW w:w="1120" w:type="dxa"/>
            <w:tcBorders>
              <w:top w:val="nil"/>
              <w:left w:val="nil"/>
              <w:bottom w:val="nil"/>
              <w:right w:val="single" w:sz="4" w:space="0" w:color="auto"/>
            </w:tcBorders>
            <w:shd w:val="clear" w:color="auto" w:fill="auto"/>
            <w:noWrap/>
            <w:vAlign w:val="bottom"/>
            <w:hideMark/>
          </w:tcPr>
          <w:p w14:paraId="404DDAE7"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44</w:t>
            </w:r>
          </w:p>
        </w:tc>
        <w:tc>
          <w:tcPr>
            <w:tcW w:w="1120" w:type="dxa"/>
            <w:tcBorders>
              <w:top w:val="nil"/>
              <w:left w:val="nil"/>
              <w:bottom w:val="nil"/>
              <w:right w:val="nil"/>
            </w:tcBorders>
            <w:shd w:val="clear" w:color="auto" w:fill="auto"/>
            <w:noWrap/>
            <w:vAlign w:val="bottom"/>
            <w:hideMark/>
          </w:tcPr>
          <w:p w14:paraId="05D3B141" w14:textId="77777777" w:rsidR="00DB6C19" w:rsidRPr="004E6455" w:rsidRDefault="00DB6C19" w:rsidP="004F3D41">
            <w:pPr>
              <w:spacing w:after="0"/>
              <w:jc w:val="left"/>
              <w:rPr>
                <w:rFonts w:ascii="Arial" w:hAnsi="Arial" w:cs="Arial"/>
                <w:b/>
                <w:bCs/>
                <w:sz w:val="18"/>
                <w:szCs w:val="18"/>
                <w:lang w:val="es-AR" w:eastAsia="es-AR"/>
              </w:rPr>
            </w:pPr>
          </w:p>
        </w:tc>
      </w:tr>
      <w:tr w:rsidR="00DB6C19" w:rsidRPr="004E6455" w14:paraId="15514BCA"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32986D43"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MINISTERIO DE ECONOMIA - OBLIGACIONES DEL TESORO</w:t>
            </w:r>
          </w:p>
        </w:tc>
        <w:tc>
          <w:tcPr>
            <w:tcW w:w="6237" w:type="dxa"/>
            <w:tcBorders>
              <w:top w:val="single" w:sz="4" w:space="0" w:color="auto"/>
              <w:left w:val="nil"/>
              <w:bottom w:val="single" w:sz="4" w:space="0" w:color="auto"/>
              <w:right w:val="nil"/>
            </w:tcBorders>
            <w:shd w:val="clear" w:color="auto" w:fill="auto"/>
            <w:noWrap/>
            <w:vAlign w:val="bottom"/>
            <w:hideMark/>
          </w:tcPr>
          <w:p w14:paraId="1CA470AB"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6B8314FA"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EC8B841"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171.744</w:t>
            </w:r>
          </w:p>
        </w:tc>
      </w:tr>
      <w:tr w:rsidR="00DB6C19" w:rsidRPr="004E6455" w14:paraId="6C9355D1" w14:textId="77777777" w:rsidTr="004F3D41">
        <w:trPr>
          <w:trHeight w:val="300"/>
        </w:trPr>
        <w:tc>
          <w:tcPr>
            <w:tcW w:w="5402" w:type="dxa"/>
            <w:tcBorders>
              <w:top w:val="nil"/>
              <w:left w:val="single" w:sz="4" w:space="0" w:color="auto"/>
              <w:bottom w:val="single" w:sz="4" w:space="0" w:color="auto"/>
              <w:right w:val="nil"/>
            </w:tcBorders>
            <w:shd w:val="clear" w:color="auto" w:fill="auto"/>
            <w:noWrap/>
            <w:vAlign w:val="bottom"/>
            <w:hideMark/>
          </w:tcPr>
          <w:p w14:paraId="6AD5445F"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PRESTAMOS</w:t>
            </w:r>
          </w:p>
        </w:tc>
        <w:tc>
          <w:tcPr>
            <w:tcW w:w="6237" w:type="dxa"/>
            <w:tcBorders>
              <w:top w:val="nil"/>
              <w:left w:val="nil"/>
              <w:bottom w:val="single" w:sz="4" w:space="0" w:color="auto"/>
              <w:right w:val="nil"/>
            </w:tcBorders>
            <w:shd w:val="clear" w:color="auto" w:fill="auto"/>
            <w:noWrap/>
            <w:vAlign w:val="bottom"/>
            <w:hideMark/>
          </w:tcPr>
          <w:p w14:paraId="12ACCF00"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nil"/>
              <w:left w:val="nil"/>
              <w:bottom w:val="single" w:sz="4" w:space="0" w:color="auto"/>
              <w:right w:val="single" w:sz="4" w:space="0" w:color="auto"/>
            </w:tcBorders>
            <w:shd w:val="clear" w:color="auto" w:fill="auto"/>
            <w:noWrap/>
            <w:vAlign w:val="bottom"/>
            <w:hideMark/>
          </w:tcPr>
          <w:p w14:paraId="0A8DE86D"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40.198</w:t>
            </w:r>
          </w:p>
        </w:tc>
        <w:tc>
          <w:tcPr>
            <w:tcW w:w="1120" w:type="dxa"/>
            <w:tcBorders>
              <w:top w:val="nil"/>
              <w:left w:val="nil"/>
              <w:bottom w:val="nil"/>
              <w:right w:val="nil"/>
            </w:tcBorders>
            <w:shd w:val="clear" w:color="auto" w:fill="auto"/>
            <w:noWrap/>
            <w:vAlign w:val="bottom"/>
            <w:hideMark/>
          </w:tcPr>
          <w:p w14:paraId="011A64A2"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527CD467"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6B503141"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7E7E796E"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Desendeudamiento de las Provincias Argentinas </w:t>
            </w:r>
          </w:p>
        </w:tc>
        <w:tc>
          <w:tcPr>
            <w:tcW w:w="1120" w:type="dxa"/>
            <w:tcBorders>
              <w:top w:val="nil"/>
              <w:left w:val="nil"/>
              <w:bottom w:val="nil"/>
              <w:right w:val="single" w:sz="4" w:space="0" w:color="auto"/>
            </w:tcBorders>
            <w:shd w:val="clear" w:color="auto" w:fill="auto"/>
            <w:noWrap/>
            <w:vAlign w:val="bottom"/>
            <w:hideMark/>
          </w:tcPr>
          <w:p w14:paraId="550563AD"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20.162</w:t>
            </w:r>
          </w:p>
        </w:tc>
        <w:tc>
          <w:tcPr>
            <w:tcW w:w="1120" w:type="dxa"/>
            <w:tcBorders>
              <w:top w:val="nil"/>
              <w:left w:val="nil"/>
              <w:bottom w:val="nil"/>
              <w:right w:val="nil"/>
            </w:tcBorders>
            <w:shd w:val="clear" w:color="auto" w:fill="auto"/>
            <w:noWrap/>
            <w:vAlign w:val="bottom"/>
            <w:hideMark/>
          </w:tcPr>
          <w:p w14:paraId="4ACDC148"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045D95DA"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9ED46D1"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3EC279C5"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LECOP </w:t>
            </w:r>
          </w:p>
        </w:tc>
        <w:tc>
          <w:tcPr>
            <w:tcW w:w="1120" w:type="dxa"/>
            <w:tcBorders>
              <w:top w:val="nil"/>
              <w:left w:val="nil"/>
              <w:bottom w:val="nil"/>
              <w:right w:val="single" w:sz="4" w:space="0" w:color="auto"/>
            </w:tcBorders>
            <w:shd w:val="clear" w:color="auto" w:fill="auto"/>
            <w:noWrap/>
            <w:vAlign w:val="bottom"/>
            <w:hideMark/>
          </w:tcPr>
          <w:p w14:paraId="45C65D19"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15</w:t>
            </w:r>
          </w:p>
        </w:tc>
        <w:tc>
          <w:tcPr>
            <w:tcW w:w="1120" w:type="dxa"/>
            <w:tcBorders>
              <w:top w:val="nil"/>
              <w:left w:val="nil"/>
              <w:bottom w:val="nil"/>
              <w:right w:val="nil"/>
            </w:tcBorders>
            <w:shd w:val="clear" w:color="auto" w:fill="auto"/>
            <w:noWrap/>
            <w:vAlign w:val="bottom"/>
            <w:hideMark/>
          </w:tcPr>
          <w:p w14:paraId="65EE5C73"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65B8D05"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54A792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6516A66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PRESTAMO 2011 </w:t>
            </w:r>
          </w:p>
        </w:tc>
        <w:tc>
          <w:tcPr>
            <w:tcW w:w="1120" w:type="dxa"/>
            <w:tcBorders>
              <w:top w:val="nil"/>
              <w:left w:val="nil"/>
              <w:bottom w:val="nil"/>
              <w:right w:val="single" w:sz="4" w:space="0" w:color="auto"/>
            </w:tcBorders>
            <w:shd w:val="clear" w:color="auto" w:fill="auto"/>
            <w:noWrap/>
            <w:vAlign w:val="bottom"/>
            <w:hideMark/>
          </w:tcPr>
          <w:p w14:paraId="30FACA6F"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343</w:t>
            </w:r>
          </w:p>
        </w:tc>
        <w:tc>
          <w:tcPr>
            <w:tcW w:w="1120" w:type="dxa"/>
            <w:tcBorders>
              <w:top w:val="nil"/>
              <w:left w:val="nil"/>
              <w:bottom w:val="nil"/>
              <w:right w:val="nil"/>
            </w:tcBorders>
            <w:shd w:val="clear" w:color="auto" w:fill="auto"/>
            <w:noWrap/>
            <w:vAlign w:val="bottom"/>
            <w:hideMark/>
          </w:tcPr>
          <w:p w14:paraId="2034D852"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8FE4E4D"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213DBA62"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5823F29B"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ASISTENCIA FINANCIERA 2014 </w:t>
            </w:r>
          </w:p>
        </w:tc>
        <w:tc>
          <w:tcPr>
            <w:tcW w:w="1120" w:type="dxa"/>
            <w:tcBorders>
              <w:top w:val="nil"/>
              <w:left w:val="nil"/>
              <w:bottom w:val="nil"/>
              <w:right w:val="single" w:sz="4" w:space="0" w:color="auto"/>
            </w:tcBorders>
            <w:shd w:val="clear" w:color="auto" w:fill="auto"/>
            <w:noWrap/>
            <w:vAlign w:val="bottom"/>
            <w:hideMark/>
          </w:tcPr>
          <w:p w14:paraId="761EF634"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1.149</w:t>
            </w:r>
          </w:p>
        </w:tc>
        <w:tc>
          <w:tcPr>
            <w:tcW w:w="1120" w:type="dxa"/>
            <w:tcBorders>
              <w:top w:val="nil"/>
              <w:left w:val="nil"/>
              <w:bottom w:val="nil"/>
              <w:right w:val="nil"/>
            </w:tcBorders>
            <w:shd w:val="clear" w:color="auto" w:fill="auto"/>
            <w:noWrap/>
            <w:vAlign w:val="bottom"/>
            <w:hideMark/>
          </w:tcPr>
          <w:p w14:paraId="1CD81730"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F6B26AD"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F0EACD9"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3109E89C"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ASISTENCIA FINANCIERA 2010 </w:t>
            </w:r>
          </w:p>
        </w:tc>
        <w:tc>
          <w:tcPr>
            <w:tcW w:w="1120" w:type="dxa"/>
            <w:tcBorders>
              <w:top w:val="nil"/>
              <w:left w:val="nil"/>
              <w:bottom w:val="nil"/>
              <w:right w:val="single" w:sz="4" w:space="0" w:color="auto"/>
            </w:tcBorders>
            <w:shd w:val="clear" w:color="auto" w:fill="auto"/>
            <w:noWrap/>
            <w:vAlign w:val="bottom"/>
            <w:hideMark/>
          </w:tcPr>
          <w:p w14:paraId="642D721A"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3.467</w:t>
            </w:r>
          </w:p>
        </w:tc>
        <w:tc>
          <w:tcPr>
            <w:tcW w:w="1120" w:type="dxa"/>
            <w:tcBorders>
              <w:top w:val="nil"/>
              <w:left w:val="nil"/>
              <w:bottom w:val="nil"/>
              <w:right w:val="nil"/>
            </w:tcBorders>
            <w:shd w:val="clear" w:color="auto" w:fill="auto"/>
            <w:noWrap/>
            <w:vAlign w:val="bottom"/>
            <w:hideMark/>
          </w:tcPr>
          <w:p w14:paraId="3E7F2996"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30960FF"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CB783C1"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674652D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ASISTENCIA FINANCIERA 2011 </w:t>
            </w:r>
          </w:p>
        </w:tc>
        <w:tc>
          <w:tcPr>
            <w:tcW w:w="1120" w:type="dxa"/>
            <w:tcBorders>
              <w:top w:val="nil"/>
              <w:left w:val="nil"/>
              <w:bottom w:val="nil"/>
              <w:right w:val="single" w:sz="4" w:space="0" w:color="auto"/>
            </w:tcBorders>
            <w:shd w:val="clear" w:color="auto" w:fill="auto"/>
            <w:noWrap/>
            <w:vAlign w:val="bottom"/>
            <w:hideMark/>
          </w:tcPr>
          <w:p w14:paraId="0FE4BFC6"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439</w:t>
            </w:r>
          </w:p>
        </w:tc>
        <w:tc>
          <w:tcPr>
            <w:tcW w:w="1120" w:type="dxa"/>
            <w:tcBorders>
              <w:top w:val="nil"/>
              <w:left w:val="nil"/>
              <w:bottom w:val="nil"/>
              <w:right w:val="nil"/>
            </w:tcBorders>
            <w:shd w:val="clear" w:color="auto" w:fill="auto"/>
            <w:noWrap/>
            <w:vAlign w:val="bottom"/>
            <w:hideMark/>
          </w:tcPr>
          <w:p w14:paraId="559DD536"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438FEB2C"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9DACB1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19ADEA8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ASISTENCIA FINANCIERA 2012 </w:t>
            </w:r>
          </w:p>
        </w:tc>
        <w:tc>
          <w:tcPr>
            <w:tcW w:w="1120" w:type="dxa"/>
            <w:tcBorders>
              <w:top w:val="nil"/>
              <w:left w:val="nil"/>
              <w:bottom w:val="nil"/>
              <w:right w:val="single" w:sz="4" w:space="0" w:color="auto"/>
            </w:tcBorders>
            <w:shd w:val="clear" w:color="auto" w:fill="auto"/>
            <w:noWrap/>
            <w:vAlign w:val="bottom"/>
            <w:hideMark/>
          </w:tcPr>
          <w:p w14:paraId="400B0739"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1.319</w:t>
            </w:r>
          </w:p>
        </w:tc>
        <w:tc>
          <w:tcPr>
            <w:tcW w:w="1120" w:type="dxa"/>
            <w:tcBorders>
              <w:top w:val="nil"/>
              <w:left w:val="nil"/>
              <w:bottom w:val="nil"/>
              <w:right w:val="nil"/>
            </w:tcBorders>
            <w:shd w:val="clear" w:color="auto" w:fill="auto"/>
            <w:noWrap/>
            <w:vAlign w:val="bottom"/>
            <w:hideMark/>
          </w:tcPr>
          <w:p w14:paraId="0220E8CE"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5A16256F"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33DC3A4"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73872E1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ASISTENCIA FINANCIERA 2015 </w:t>
            </w:r>
          </w:p>
        </w:tc>
        <w:tc>
          <w:tcPr>
            <w:tcW w:w="1120" w:type="dxa"/>
            <w:tcBorders>
              <w:top w:val="nil"/>
              <w:left w:val="nil"/>
              <w:bottom w:val="nil"/>
              <w:right w:val="single" w:sz="4" w:space="0" w:color="auto"/>
            </w:tcBorders>
            <w:shd w:val="clear" w:color="auto" w:fill="auto"/>
            <w:noWrap/>
            <w:vAlign w:val="bottom"/>
            <w:hideMark/>
          </w:tcPr>
          <w:p w14:paraId="23FFF516"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6.279</w:t>
            </w:r>
          </w:p>
        </w:tc>
        <w:tc>
          <w:tcPr>
            <w:tcW w:w="1120" w:type="dxa"/>
            <w:tcBorders>
              <w:top w:val="nil"/>
              <w:left w:val="nil"/>
              <w:bottom w:val="nil"/>
              <w:right w:val="nil"/>
            </w:tcBorders>
            <w:shd w:val="clear" w:color="auto" w:fill="auto"/>
            <w:noWrap/>
            <w:vAlign w:val="bottom"/>
            <w:hideMark/>
          </w:tcPr>
          <w:p w14:paraId="2D6A178C"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EDDC38A"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EA6E96B"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para el Desarrollo Provincial (2) </w:t>
            </w:r>
          </w:p>
        </w:tc>
        <w:tc>
          <w:tcPr>
            <w:tcW w:w="6237" w:type="dxa"/>
            <w:tcBorders>
              <w:top w:val="nil"/>
              <w:left w:val="nil"/>
              <w:bottom w:val="nil"/>
              <w:right w:val="nil"/>
            </w:tcBorders>
            <w:shd w:val="clear" w:color="auto" w:fill="auto"/>
            <w:noWrap/>
            <w:vAlign w:val="bottom"/>
            <w:hideMark/>
          </w:tcPr>
          <w:p w14:paraId="04557C6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ASISTENCIA FINANCIERA 2015 </w:t>
            </w:r>
          </w:p>
        </w:tc>
        <w:tc>
          <w:tcPr>
            <w:tcW w:w="1120" w:type="dxa"/>
            <w:tcBorders>
              <w:top w:val="nil"/>
              <w:left w:val="nil"/>
              <w:bottom w:val="nil"/>
              <w:right w:val="single" w:sz="4" w:space="0" w:color="auto"/>
            </w:tcBorders>
            <w:shd w:val="clear" w:color="auto" w:fill="auto"/>
            <w:noWrap/>
            <w:vAlign w:val="bottom"/>
            <w:hideMark/>
          </w:tcPr>
          <w:p w14:paraId="5E921651"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744</w:t>
            </w:r>
          </w:p>
        </w:tc>
        <w:tc>
          <w:tcPr>
            <w:tcW w:w="1120" w:type="dxa"/>
            <w:tcBorders>
              <w:top w:val="nil"/>
              <w:left w:val="nil"/>
              <w:bottom w:val="nil"/>
              <w:right w:val="nil"/>
            </w:tcBorders>
            <w:shd w:val="clear" w:color="auto" w:fill="auto"/>
            <w:noWrap/>
            <w:vAlign w:val="bottom"/>
            <w:hideMark/>
          </w:tcPr>
          <w:p w14:paraId="256F0349"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BD6E228"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CA34B92"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Fondo Fiduciario Federal de Infraestructura Regional (2) </w:t>
            </w:r>
          </w:p>
        </w:tc>
        <w:tc>
          <w:tcPr>
            <w:tcW w:w="6237" w:type="dxa"/>
            <w:tcBorders>
              <w:top w:val="nil"/>
              <w:left w:val="nil"/>
              <w:bottom w:val="nil"/>
              <w:right w:val="nil"/>
            </w:tcBorders>
            <w:shd w:val="clear" w:color="auto" w:fill="auto"/>
            <w:noWrap/>
            <w:vAlign w:val="bottom"/>
            <w:hideMark/>
          </w:tcPr>
          <w:p w14:paraId="6F96C99F"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Rutas Provinciales </w:t>
            </w:r>
          </w:p>
        </w:tc>
        <w:tc>
          <w:tcPr>
            <w:tcW w:w="1120" w:type="dxa"/>
            <w:tcBorders>
              <w:top w:val="nil"/>
              <w:left w:val="nil"/>
              <w:bottom w:val="nil"/>
              <w:right w:val="single" w:sz="4" w:space="0" w:color="auto"/>
            </w:tcBorders>
            <w:shd w:val="clear" w:color="auto" w:fill="auto"/>
            <w:noWrap/>
            <w:vAlign w:val="bottom"/>
            <w:hideMark/>
          </w:tcPr>
          <w:p w14:paraId="06C1D1B3"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74</w:t>
            </w:r>
          </w:p>
        </w:tc>
        <w:tc>
          <w:tcPr>
            <w:tcW w:w="1120" w:type="dxa"/>
            <w:tcBorders>
              <w:top w:val="nil"/>
              <w:left w:val="nil"/>
              <w:bottom w:val="nil"/>
              <w:right w:val="nil"/>
            </w:tcBorders>
            <w:shd w:val="clear" w:color="auto" w:fill="auto"/>
            <w:noWrap/>
            <w:vAlign w:val="bottom"/>
            <w:hideMark/>
          </w:tcPr>
          <w:p w14:paraId="54967A19"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49842D6F" w14:textId="77777777" w:rsidTr="004F3D41">
        <w:trPr>
          <w:trHeight w:val="300"/>
        </w:trPr>
        <w:tc>
          <w:tcPr>
            <w:tcW w:w="5402" w:type="dxa"/>
            <w:tcBorders>
              <w:top w:val="nil"/>
              <w:left w:val="single" w:sz="4" w:space="0" w:color="auto"/>
              <w:bottom w:val="single" w:sz="4" w:space="0" w:color="auto"/>
              <w:right w:val="nil"/>
            </w:tcBorders>
            <w:shd w:val="clear" w:color="auto" w:fill="auto"/>
            <w:noWrap/>
            <w:vAlign w:val="bottom"/>
            <w:hideMark/>
          </w:tcPr>
          <w:p w14:paraId="6DAEE089"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A.N.S.E.S. (Fondo de Garantía de Sustentabilidad) (2) </w:t>
            </w:r>
          </w:p>
        </w:tc>
        <w:tc>
          <w:tcPr>
            <w:tcW w:w="6237" w:type="dxa"/>
            <w:tcBorders>
              <w:top w:val="nil"/>
              <w:left w:val="nil"/>
              <w:bottom w:val="single" w:sz="4" w:space="0" w:color="auto"/>
              <w:right w:val="nil"/>
            </w:tcBorders>
            <w:shd w:val="clear" w:color="auto" w:fill="auto"/>
            <w:noWrap/>
            <w:vAlign w:val="bottom"/>
            <w:hideMark/>
          </w:tcPr>
          <w:p w14:paraId="68E8D6F6" w14:textId="733B1B90"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Préstamo Acuerdo Nación-Provincia - Ley 14.829 </w:t>
            </w:r>
          </w:p>
        </w:tc>
        <w:tc>
          <w:tcPr>
            <w:tcW w:w="1120" w:type="dxa"/>
            <w:tcBorders>
              <w:top w:val="nil"/>
              <w:left w:val="nil"/>
              <w:bottom w:val="single" w:sz="4" w:space="0" w:color="auto"/>
              <w:right w:val="single" w:sz="4" w:space="0" w:color="auto"/>
            </w:tcBorders>
            <w:shd w:val="clear" w:color="auto" w:fill="auto"/>
            <w:noWrap/>
            <w:vAlign w:val="bottom"/>
            <w:hideMark/>
          </w:tcPr>
          <w:p w14:paraId="478B8A7C"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6.207</w:t>
            </w:r>
          </w:p>
        </w:tc>
        <w:tc>
          <w:tcPr>
            <w:tcW w:w="1120" w:type="dxa"/>
            <w:tcBorders>
              <w:top w:val="nil"/>
              <w:left w:val="nil"/>
              <w:bottom w:val="nil"/>
              <w:right w:val="nil"/>
            </w:tcBorders>
            <w:shd w:val="clear" w:color="auto" w:fill="auto"/>
            <w:noWrap/>
            <w:vAlign w:val="bottom"/>
            <w:hideMark/>
          </w:tcPr>
          <w:p w14:paraId="4F4C9F32"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w:t>
            </w:r>
          </w:p>
        </w:tc>
      </w:tr>
      <w:tr w:rsidR="00DB6C19" w:rsidRPr="004E6455" w14:paraId="0CB665F5" w14:textId="77777777" w:rsidTr="004F3D41">
        <w:trPr>
          <w:trHeight w:val="300"/>
        </w:trPr>
        <w:tc>
          <w:tcPr>
            <w:tcW w:w="5402" w:type="dxa"/>
            <w:tcBorders>
              <w:top w:val="nil"/>
              <w:left w:val="single" w:sz="4" w:space="0" w:color="auto"/>
              <w:bottom w:val="single" w:sz="4" w:space="0" w:color="auto"/>
              <w:right w:val="nil"/>
            </w:tcBorders>
            <w:shd w:val="clear" w:color="auto" w:fill="auto"/>
            <w:noWrap/>
            <w:vAlign w:val="bottom"/>
            <w:hideMark/>
          </w:tcPr>
          <w:p w14:paraId="6ECFE738"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TITULOS</w:t>
            </w:r>
          </w:p>
        </w:tc>
        <w:tc>
          <w:tcPr>
            <w:tcW w:w="6237" w:type="dxa"/>
            <w:tcBorders>
              <w:top w:val="nil"/>
              <w:left w:val="nil"/>
              <w:bottom w:val="single" w:sz="4" w:space="0" w:color="auto"/>
              <w:right w:val="nil"/>
            </w:tcBorders>
            <w:shd w:val="clear" w:color="auto" w:fill="auto"/>
            <w:noWrap/>
            <w:vAlign w:val="bottom"/>
            <w:hideMark/>
          </w:tcPr>
          <w:p w14:paraId="38E63EC3"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4029C93"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131.546</w:t>
            </w:r>
          </w:p>
        </w:tc>
        <w:tc>
          <w:tcPr>
            <w:tcW w:w="1120" w:type="dxa"/>
            <w:tcBorders>
              <w:top w:val="nil"/>
              <w:left w:val="nil"/>
              <w:bottom w:val="nil"/>
              <w:right w:val="nil"/>
            </w:tcBorders>
            <w:shd w:val="clear" w:color="auto" w:fill="auto"/>
            <w:noWrap/>
            <w:vAlign w:val="bottom"/>
            <w:hideMark/>
          </w:tcPr>
          <w:p w14:paraId="233D9629"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w:t>
            </w:r>
          </w:p>
        </w:tc>
      </w:tr>
      <w:tr w:rsidR="00DB6C19" w:rsidRPr="004E6455" w14:paraId="30400B7F"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4C723149" w14:textId="3D9D45FE"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Certificados de Crédito Fiscal Ley 10448 (2) </w:t>
            </w:r>
          </w:p>
        </w:tc>
        <w:tc>
          <w:tcPr>
            <w:tcW w:w="6237" w:type="dxa"/>
            <w:tcBorders>
              <w:top w:val="nil"/>
              <w:left w:val="nil"/>
              <w:bottom w:val="nil"/>
              <w:right w:val="nil"/>
            </w:tcBorders>
            <w:shd w:val="clear" w:color="auto" w:fill="auto"/>
            <w:noWrap/>
            <w:vAlign w:val="bottom"/>
            <w:hideMark/>
          </w:tcPr>
          <w:p w14:paraId="53D989B9"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w:t>
            </w:r>
          </w:p>
        </w:tc>
        <w:tc>
          <w:tcPr>
            <w:tcW w:w="1120" w:type="dxa"/>
            <w:tcBorders>
              <w:top w:val="nil"/>
              <w:left w:val="nil"/>
              <w:bottom w:val="nil"/>
              <w:right w:val="single" w:sz="4" w:space="0" w:color="auto"/>
            </w:tcBorders>
            <w:shd w:val="clear" w:color="auto" w:fill="auto"/>
            <w:noWrap/>
            <w:vAlign w:val="bottom"/>
            <w:hideMark/>
          </w:tcPr>
          <w:p w14:paraId="5B854DA1"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50</w:t>
            </w:r>
          </w:p>
        </w:tc>
        <w:tc>
          <w:tcPr>
            <w:tcW w:w="1120" w:type="dxa"/>
            <w:tcBorders>
              <w:top w:val="nil"/>
              <w:left w:val="nil"/>
              <w:bottom w:val="nil"/>
              <w:right w:val="nil"/>
            </w:tcBorders>
            <w:shd w:val="clear" w:color="auto" w:fill="auto"/>
            <w:noWrap/>
            <w:vAlign w:val="bottom"/>
            <w:hideMark/>
          </w:tcPr>
          <w:p w14:paraId="24000802"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32893614"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2405C7A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Bonos PyMEs Ley 12421 (2) </w:t>
            </w:r>
          </w:p>
        </w:tc>
        <w:tc>
          <w:tcPr>
            <w:tcW w:w="6237" w:type="dxa"/>
            <w:tcBorders>
              <w:top w:val="nil"/>
              <w:left w:val="nil"/>
              <w:bottom w:val="nil"/>
              <w:right w:val="nil"/>
            </w:tcBorders>
            <w:shd w:val="clear" w:color="auto" w:fill="auto"/>
            <w:noWrap/>
            <w:vAlign w:val="bottom"/>
            <w:hideMark/>
          </w:tcPr>
          <w:p w14:paraId="0CC91435"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1918F41F"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520</w:t>
            </w:r>
          </w:p>
        </w:tc>
        <w:tc>
          <w:tcPr>
            <w:tcW w:w="1120" w:type="dxa"/>
            <w:tcBorders>
              <w:top w:val="nil"/>
              <w:left w:val="nil"/>
              <w:bottom w:val="nil"/>
              <w:right w:val="nil"/>
            </w:tcBorders>
            <w:shd w:val="clear" w:color="auto" w:fill="auto"/>
            <w:noWrap/>
            <w:vAlign w:val="bottom"/>
            <w:hideMark/>
          </w:tcPr>
          <w:p w14:paraId="6D5A0BF2"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013C7D95"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54EC7E26"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Ley 14315 - Ruta Provincial 6 - SERIE C (2) </w:t>
            </w:r>
          </w:p>
        </w:tc>
        <w:tc>
          <w:tcPr>
            <w:tcW w:w="6237" w:type="dxa"/>
            <w:tcBorders>
              <w:top w:val="nil"/>
              <w:left w:val="nil"/>
              <w:bottom w:val="nil"/>
              <w:right w:val="nil"/>
            </w:tcBorders>
            <w:shd w:val="clear" w:color="auto" w:fill="auto"/>
            <w:noWrap/>
            <w:vAlign w:val="bottom"/>
            <w:hideMark/>
          </w:tcPr>
          <w:p w14:paraId="0FB04C54"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796CE1CB"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44</w:t>
            </w:r>
          </w:p>
        </w:tc>
        <w:tc>
          <w:tcPr>
            <w:tcW w:w="1120" w:type="dxa"/>
            <w:tcBorders>
              <w:top w:val="nil"/>
              <w:left w:val="nil"/>
              <w:bottom w:val="nil"/>
              <w:right w:val="nil"/>
            </w:tcBorders>
            <w:shd w:val="clear" w:color="auto" w:fill="auto"/>
            <w:noWrap/>
            <w:vAlign w:val="bottom"/>
            <w:hideMark/>
          </w:tcPr>
          <w:p w14:paraId="611F1A30" w14:textId="77777777" w:rsidR="00DB6C19" w:rsidRPr="004E6455" w:rsidRDefault="00DB6C19" w:rsidP="004F3D41">
            <w:pPr>
              <w:spacing w:after="0"/>
              <w:jc w:val="center"/>
              <w:rPr>
                <w:rFonts w:ascii="Arial" w:hAnsi="Arial" w:cs="Arial"/>
                <w:i/>
                <w:iCs/>
                <w:sz w:val="18"/>
                <w:szCs w:val="18"/>
                <w:lang w:val="es-AR" w:eastAsia="es-AR"/>
              </w:rPr>
            </w:pPr>
          </w:p>
        </w:tc>
      </w:tr>
      <w:tr w:rsidR="00DB6C19" w:rsidRPr="004E6455" w14:paraId="5C6F9D9D"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8AA5DF4"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Ley 14315 - Ruta Provincial 6 - SERIE D (2) </w:t>
            </w:r>
          </w:p>
        </w:tc>
        <w:tc>
          <w:tcPr>
            <w:tcW w:w="6237" w:type="dxa"/>
            <w:tcBorders>
              <w:top w:val="nil"/>
              <w:left w:val="nil"/>
              <w:bottom w:val="nil"/>
              <w:right w:val="nil"/>
            </w:tcBorders>
            <w:shd w:val="clear" w:color="auto" w:fill="auto"/>
            <w:noWrap/>
            <w:vAlign w:val="bottom"/>
            <w:hideMark/>
          </w:tcPr>
          <w:p w14:paraId="0AE2FC30"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40F1724D"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210</w:t>
            </w:r>
          </w:p>
        </w:tc>
        <w:tc>
          <w:tcPr>
            <w:tcW w:w="1120" w:type="dxa"/>
            <w:tcBorders>
              <w:top w:val="nil"/>
              <w:left w:val="nil"/>
              <w:bottom w:val="nil"/>
              <w:right w:val="nil"/>
            </w:tcBorders>
            <w:shd w:val="clear" w:color="auto" w:fill="auto"/>
            <w:noWrap/>
            <w:vAlign w:val="bottom"/>
            <w:hideMark/>
          </w:tcPr>
          <w:p w14:paraId="09BAC04A" w14:textId="77777777" w:rsidR="00DB6C19" w:rsidRPr="004E6455" w:rsidRDefault="00DB6C19" w:rsidP="004F3D41">
            <w:pPr>
              <w:spacing w:after="0"/>
              <w:jc w:val="center"/>
              <w:rPr>
                <w:rFonts w:ascii="Arial" w:hAnsi="Arial" w:cs="Arial"/>
                <w:i/>
                <w:iCs/>
                <w:sz w:val="18"/>
                <w:szCs w:val="18"/>
                <w:lang w:val="es-AR" w:eastAsia="es-AR"/>
              </w:rPr>
            </w:pPr>
          </w:p>
        </w:tc>
      </w:tr>
      <w:tr w:rsidR="00DB6C19" w:rsidRPr="004E6455" w14:paraId="6F6EA713"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40FE7BDB"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Ley 14315 - Ruta Provincial 6 - SERIE E (2) </w:t>
            </w:r>
          </w:p>
        </w:tc>
        <w:tc>
          <w:tcPr>
            <w:tcW w:w="6237" w:type="dxa"/>
            <w:tcBorders>
              <w:top w:val="nil"/>
              <w:left w:val="nil"/>
              <w:bottom w:val="nil"/>
              <w:right w:val="nil"/>
            </w:tcBorders>
            <w:shd w:val="clear" w:color="auto" w:fill="auto"/>
            <w:noWrap/>
            <w:vAlign w:val="bottom"/>
            <w:hideMark/>
          </w:tcPr>
          <w:p w14:paraId="7DE26901"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71E35381"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255</w:t>
            </w:r>
          </w:p>
        </w:tc>
        <w:tc>
          <w:tcPr>
            <w:tcW w:w="1120" w:type="dxa"/>
            <w:tcBorders>
              <w:top w:val="nil"/>
              <w:left w:val="nil"/>
              <w:bottom w:val="nil"/>
              <w:right w:val="nil"/>
            </w:tcBorders>
            <w:shd w:val="clear" w:color="auto" w:fill="auto"/>
            <w:noWrap/>
            <w:vAlign w:val="bottom"/>
            <w:hideMark/>
          </w:tcPr>
          <w:p w14:paraId="39077DB7" w14:textId="77777777" w:rsidR="00DB6C19" w:rsidRPr="004E6455" w:rsidRDefault="00DB6C19" w:rsidP="004F3D41">
            <w:pPr>
              <w:spacing w:after="0"/>
              <w:jc w:val="center"/>
              <w:rPr>
                <w:rFonts w:ascii="Arial" w:hAnsi="Arial" w:cs="Arial"/>
                <w:i/>
                <w:iCs/>
                <w:sz w:val="18"/>
                <w:szCs w:val="18"/>
                <w:lang w:val="es-AR" w:eastAsia="es-AR"/>
              </w:rPr>
            </w:pPr>
          </w:p>
        </w:tc>
      </w:tr>
      <w:tr w:rsidR="00DB6C19" w:rsidRPr="004E6455" w14:paraId="32D23482"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30C7CB1"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Bonos Art 45 Ley 14062 (2) </w:t>
            </w:r>
          </w:p>
        </w:tc>
        <w:tc>
          <w:tcPr>
            <w:tcW w:w="6237" w:type="dxa"/>
            <w:tcBorders>
              <w:top w:val="nil"/>
              <w:left w:val="nil"/>
              <w:bottom w:val="nil"/>
              <w:right w:val="nil"/>
            </w:tcBorders>
            <w:shd w:val="clear" w:color="auto" w:fill="auto"/>
            <w:noWrap/>
            <w:vAlign w:val="bottom"/>
            <w:hideMark/>
          </w:tcPr>
          <w:p w14:paraId="11183E49"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6A1A41E6"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50</w:t>
            </w:r>
          </w:p>
        </w:tc>
        <w:tc>
          <w:tcPr>
            <w:tcW w:w="1120" w:type="dxa"/>
            <w:tcBorders>
              <w:top w:val="nil"/>
              <w:left w:val="nil"/>
              <w:bottom w:val="nil"/>
              <w:right w:val="nil"/>
            </w:tcBorders>
            <w:shd w:val="clear" w:color="auto" w:fill="auto"/>
            <w:noWrap/>
            <w:vAlign w:val="bottom"/>
            <w:hideMark/>
          </w:tcPr>
          <w:p w14:paraId="0C5EFB0F"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19F63A37"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453532B2"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de Adecuación Salarial - Ley 10328 (2) </w:t>
            </w:r>
          </w:p>
        </w:tc>
        <w:tc>
          <w:tcPr>
            <w:tcW w:w="6237" w:type="dxa"/>
            <w:tcBorders>
              <w:top w:val="nil"/>
              <w:left w:val="nil"/>
              <w:bottom w:val="nil"/>
              <w:right w:val="nil"/>
            </w:tcBorders>
            <w:shd w:val="clear" w:color="auto" w:fill="auto"/>
            <w:noWrap/>
            <w:vAlign w:val="bottom"/>
            <w:hideMark/>
          </w:tcPr>
          <w:p w14:paraId="24E6BDD8"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430DBF84"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0</w:t>
            </w:r>
          </w:p>
        </w:tc>
        <w:tc>
          <w:tcPr>
            <w:tcW w:w="1120" w:type="dxa"/>
            <w:tcBorders>
              <w:top w:val="nil"/>
              <w:left w:val="nil"/>
              <w:bottom w:val="nil"/>
              <w:right w:val="nil"/>
            </w:tcBorders>
            <w:shd w:val="clear" w:color="auto" w:fill="auto"/>
            <w:noWrap/>
            <w:vAlign w:val="bottom"/>
            <w:hideMark/>
          </w:tcPr>
          <w:p w14:paraId="0178FFB3"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6EBF8B0A"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6240EB3"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Títulos de Cancelación de Deudas - Emisión 5-02-2016 (2) </w:t>
            </w:r>
          </w:p>
        </w:tc>
        <w:tc>
          <w:tcPr>
            <w:tcW w:w="6237" w:type="dxa"/>
            <w:tcBorders>
              <w:top w:val="nil"/>
              <w:left w:val="nil"/>
              <w:bottom w:val="nil"/>
              <w:right w:val="nil"/>
            </w:tcBorders>
            <w:shd w:val="clear" w:color="auto" w:fill="auto"/>
            <w:noWrap/>
            <w:vAlign w:val="bottom"/>
            <w:hideMark/>
          </w:tcPr>
          <w:p w14:paraId="0054A948"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4AEEEC7C"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7.997</w:t>
            </w:r>
          </w:p>
        </w:tc>
        <w:tc>
          <w:tcPr>
            <w:tcW w:w="1120" w:type="dxa"/>
            <w:tcBorders>
              <w:top w:val="nil"/>
              <w:left w:val="nil"/>
              <w:bottom w:val="nil"/>
              <w:right w:val="nil"/>
            </w:tcBorders>
            <w:shd w:val="clear" w:color="auto" w:fill="auto"/>
            <w:noWrap/>
            <w:vAlign w:val="bottom"/>
            <w:hideMark/>
          </w:tcPr>
          <w:p w14:paraId="4AF33185"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0835036F" w14:textId="77777777" w:rsidTr="004F3D41">
        <w:trPr>
          <w:trHeight w:val="300"/>
        </w:trPr>
        <w:tc>
          <w:tcPr>
            <w:tcW w:w="11639" w:type="dxa"/>
            <w:gridSpan w:val="2"/>
            <w:tcBorders>
              <w:top w:val="nil"/>
              <w:left w:val="single" w:sz="4" w:space="0" w:color="auto"/>
              <w:bottom w:val="nil"/>
              <w:right w:val="nil"/>
            </w:tcBorders>
            <w:shd w:val="clear" w:color="auto" w:fill="auto"/>
            <w:noWrap/>
            <w:vAlign w:val="bottom"/>
            <w:hideMark/>
          </w:tcPr>
          <w:p w14:paraId="4545E2A9"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Títulos de Deuda Pública en el mercado local de capitales - SERIE I  (2) </w:t>
            </w:r>
          </w:p>
        </w:tc>
        <w:tc>
          <w:tcPr>
            <w:tcW w:w="1120" w:type="dxa"/>
            <w:tcBorders>
              <w:top w:val="nil"/>
              <w:left w:val="nil"/>
              <w:bottom w:val="nil"/>
              <w:right w:val="single" w:sz="4" w:space="0" w:color="auto"/>
            </w:tcBorders>
            <w:shd w:val="clear" w:color="auto" w:fill="auto"/>
            <w:noWrap/>
            <w:vAlign w:val="bottom"/>
            <w:hideMark/>
          </w:tcPr>
          <w:p w14:paraId="25155A1E"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105</w:t>
            </w:r>
          </w:p>
        </w:tc>
        <w:tc>
          <w:tcPr>
            <w:tcW w:w="1120" w:type="dxa"/>
            <w:tcBorders>
              <w:top w:val="nil"/>
              <w:left w:val="nil"/>
              <w:bottom w:val="nil"/>
              <w:right w:val="nil"/>
            </w:tcBorders>
            <w:shd w:val="clear" w:color="auto" w:fill="auto"/>
            <w:noWrap/>
            <w:vAlign w:val="bottom"/>
            <w:hideMark/>
          </w:tcPr>
          <w:p w14:paraId="3F2EF9E1"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0F63C3E7" w14:textId="77777777" w:rsidTr="004F3D41">
        <w:trPr>
          <w:trHeight w:val="300"/>
        </w:trPr>
        <w:tc>
          <w:tcPr>
            <w:tcW w:w="11639" w:type="dxa"/>
            <w:gridSpan w:val="2"/>
            <w:tcBorders>
              <w:top w:val="nil"/>
              <w:left w:val="single" w:sz="4" w:space="0" w:color="auto"/>
              <w:bottom w:val="nil"/>
              <w:right w:val="nil"/>
            </w:tcBorders>
            <w:shd w:val="clear" w:color="auto" w:fill="auto"/>
            <w:noWrap/>
            <w:vAlign w:val="bottom"/>
            <w:hideMark/>
          </w:tcPr>
          <w:p w14:paraId="74D172DE"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Títulos de Deuda Pública en el mercado local de capitales - SERIE II (2) </w:t>
            </w:r>
          </w:p>
        </w:tc>
        <w:tc>
          <w:tcPr>
            <w:tcW w:w="1120" w:type="dxa"/>
            <w:tcBorders>
              <w:top w:val="nil"/>
              <w:left w:val="nil"/>
              <w:bottom w:val="nil"/>
              <w:right w:val="single" w:sz="4" w:space="0" w:color="auto"/>
            </w:tcBorders>
            <w:shd w:val="clear" w:color="auto" w:fill="auto"/>
            <w:noWrap/>
            <w:vAlign w:val="bottom"/>
            <w:hideMark/>
          </w:tcPr>
          <w:p w14:paraId="22309BAC"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84</w:t>
            </w:r>
          </w:p>
        </w:tc>
        <w:tc>
          <w:tcPr>
            <w:tcW w:w="1120" w:type="dxa"/>
            <w:tcBorders>
              <w:top w:val="nil"/>
              <w:left w:val="nil"/>
              <w:bottom w:val="nil"/>
              <w:right w:val="nil"/>
            </w:tcBorders>
            <w:shd w:val="clear" w:color="auto" w:fill="auto"/>
            <w:noWrap/>
            <w:vAlign w:val="bottom"/>
            <w:hideMark/>
          </w:tcPr>
          <w:p w14:paraId="3DD0D40D"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538D625D" w14:textId="77777777" w:rsidTr="004F3D41">
        <w:trPr>
          <w:trHeight w:val="300"/>
        </w:trPr>
        <w:tc>
          <w:tcPr>
            <w:tcW w:w="11639" w:type="dxa"/>
            <w:gridSpan w:val="2"/>
            <w:tcBorders>
              <w:top w:val="nil"/>
              <w:left w:val="single" w:sz="4" w:space="0" w:color="auto"/>
              <w:bottom w:val="nil"/>
              <w:right w:val="nil"/>
            </w:tcBorders>
            <w:shd w:val="clear" w:color="auto" w:fill="auto"/>
            <w:noWrap/>
            <w:vAlign w:val="bottom"/>
            <w:hideMark/>
          </w:tcPr>
          <w:p w14:paraId="015F2BD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Títulos de Deuda Pública en el mercado local de capitales - SERIE III (2) </w:t>
            </w:r>
          </w:p>
        </w:tc>
        <w:tc>
          <w:tcPr>
            <w:tcW w:w="1120" w:type="dxa"/>
            <w:tcBorders>
              <w:top w:val="nil"/>
              <w:left w:val="nil"/>
              <w:bottom w:val="nil"/>
              <w:right w:val="single" w:sz="4" w:space="0" w:color="auto"/>
            </w:tcBorders>
            <w:shd w:val="clear" w:color="auto" w:fill="auto"/>
            <w:noWrap/>
            <w:vAlign w:val="bottom"/>
            <w:hideMark/>
          </w:tcPr>
          <w:p w14:paraId="3B21B66A"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995</w:t>
            </w:r>
          </w:p>
        </w:tc>
        <w:tc>
          <w:tcPr>
            <w:tcW w:w="1120" w:type="dxa"/>
            <w:tcBorders>
              <w:top w:val="nil"/>
              <w:left w:val="nil"/>
              <w:bottom w:val="nil"/>
              <w:right w:val="nil"/>
            </w:tcBorders>
            <w:shd w:val="clear" w:color="auto" w:fill="auto"/>
            <w:noWrap/>
            <w:vAlign w:val="bottom"/>
            <w:hideMark/>
          </w:tcPr>
          <w:p w14:paraId="175FDC26"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6AA527C" w14:textId="77777777" w:rsidTr="004F3D41">
        <w:trPr>
          <w:trHeight w:val="300"/>
        </w:trPr>
        <w:tc>
          <w:tcPr>
            <w:tcW w:w="11639" w:type="dxa"/>
            <w:gridSpan w:val="2"/>
            <w:tcBorders>
              <w:top w:val="nil"/>
              <w:left w:val="single" w:sz="4" w:space="0" w:color="auto"/>
              <w:bottom w:val="nil"/>
              <w:right w:val="nil"/>
            </w:tcBorders>
            <w:shd w:val="clear" w:color="auto" w:fill="auto"/>
            <w:noWrap/>
            <w:vAlign w:val="bottom"/>
            <w:hideMark/>
          </w:tcPr>
          <w:p w14:paraId="72036B57"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Emisión en el mercado local de capitales 2016 - SERIE I (2) </w:t>
            </w:r>
          </w:p>
        </w:tc>
        <w:tc>
          <w:tcPr>
            <w:tcW w:w="1120" w:type="dxa"/>
            <w:tcBorders>
              <w:top w:val="nil"/>
              <w:left w:val="nil"/>
              <w:bottom w:val="nil"/>
              <w:right w:val="single" w:sz="4" w:space="0" w:color="auto"/>
            </w:tcBorders>
            <w:shd w:val="clear" w:color="auto" w:fill="auto"/>
            <w:noWrap/>
            <w:vAlign w:val="bottom"/>
            <w:hideMark/>
          </w:tcPr>
          <w:p w14:paraId="0839D57B"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3.310</w:t>
            </w:r>
          </w:p>
        </w:tc>
        <w:tc>
          <w:tcPr>
            <w:tcW w:w="1120" w:type="dxa"/>
            <w:tcBorders>
              <w:top w:val="nil"/>
              <w:left w:val="nil"/>
              <w:bottom w:val="nil"/>
              <w:right w:val="nil"/>
            </w:tcBorders>
            <w:shd w:val="clear" w:color="auto" w:fill="auto"/>
            <w:noWrap/>
            <w:vAlign w:val="bottom"/>
            <w:hideMark/>
          </w:tcPr>
          <w:p w14:paraId="2DBF8050"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BB04F43" w14:textId="77777777" w:rsidTr="004F3D41">
        <w:trPr>
          <w:trHeight w:val="300"/>
        </w:trPr>
        <w:tc>
          <w:tcPr>
            <w:tcW w:w="11639" w:type="dxa"/>
            <w:gridSpan w:val="2"/>
            <w:tcBorders>
              <w:top w:val="nil"/>
              <w:left w:val="single" w:sz="4" w:space="0" w:color="auto"/>
              <w:bottom w:val="nil"/>
              <w:right w:val="nil"/>
            </w:tcBorders>
            <w:shd w:val="clear" w:color="auto" w:fill="auto"/>
            <w:noWrap/>
            <w:vAlign w:val="bottom"/>
            <w:hideMark/>
          </w:tcPr>
          <w:p w14:paraId="6F2B1538"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Programa de Emisión en el mercado local de capitales 2016 - SERIE II (2) </w:t>
            </w:r>
          </w:p>
        </w:tc>
        <w:tc>
          <w:tcPr>
            <w:tcW w:w="1120" w:type="dxa"/>
            <w:tcBorders>
              <w:top w:val="nil"/>
              <w:left w:val="nil"/>
              <w:bottom w:val="nil"/>
              <w:right w:val="single" w:sz="4" w:space="0" w:color="auto"/>
            </w:tcBorders>
            <w:shd w:val="clear" w:color="auto" w:fill="auto"/>
            <w:noWrap/>
            <w:vAlign w:val="bottom"/>
            <w:hideMark/>
          </w:tcPr>
          <w:p w14:paraId="62D9EBB2"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431</w:t>
            </w:r>
          </w:p>
        </w:tc>
        <w:tc>
          <w:tcPr>
            <w:tcW w:w="1120" w:type="dxa"/>
            <w:tcBorders>
              <w:top w:val="nil"/>
              <w:left w:val="nil"/>
              <w:bottom w:val="nil"/>
              <w:right w:val="nil"/>
            </w:tcBorders>
            <w:shd w:val="clear" w:color="auto" w:fill="auto"/>
            <w:noWrap/>
            <w:vAlign w:val="bottom"/>
            <w:hideMark/>
          </w:tcPr>
          <w:p w14:paraId="5D33EA4C"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3D924BBB"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25DD752A"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Vto 2018 - Ley 13403 - Ley 13526 (1) </w:t>
            </w:r>
          </w:p>
        </w:tc>
        <w:tc>
          <w:tcPr>
            <w:tcW w:w="6237" w:type="dxa"/>
            <w:tcBorders>
              <w:top w:val="nil"/>
              <w:left w:val="nil"/>
              <w:bottom w:val="nil"/>
              <w:right w:val="nil"/>
            </w:tcBorders>
            <w:shd w:val="clear" w:color="auto" w:fill="auto"/>
            <w:noWrap/>
            <w:vAlign w:val="bottom"/>
            <w:hideMark/>
          </w:tcPr>
          <w:p w14:paraId="3BE48C19"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49DF6BA1"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7.548</w:t>
            </w:r>
          </w:p>
        </w:tc>
        <w:tc>
          <w:tcPr>
            <w:tcW w:w="1120" w:type="dxa"/>
            <w:tcBorders>
              <w:top w:val="nil"/>
              <w:left w:val="nil"/>
              <w:bottom w:val="nil"/>
              <w:right w:val="nil"/>
            </w:tcBorders>
            <w:shd w:val="clear" w:color="auto" w:fill="auto"/>
            <w:noWrap/>
            <w:vAlign w:val="bottom"/>
            <w:hideMark/>
          </w:tcPr>
          <w:p w14:paraId="1B30E372"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44C1D64D"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0700B11"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Vto 2028 - Ley 13612 (1) </w:t>
            </w:r>
          </w:p>
        </w:tc>
        <w:tc>
          <w:tcPr>
            <w:tcW w:w="6237" w:type="dxa"/>
            <w:tcBorders>
              <w:top w:val="nil"/>
              <w:left w:val="nil"/>
              <w:bottom w:val="nil"/>
              <w:right w:val="nil"/>
            </w:tcBorders>
            <w:shd w:val="clear" w:color="auto" w:fill="auto"/>
            <w:noWrap/>
            <w:vAlign w:val="bottom"/>
            <w:hideMark/>
          </w:tcPr>
          <w:p w14:paraId="5565659D"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2DF81B17"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6.356</w:t>
            </w:r>
          </w:p>
        </w:tc>
        <w:tc>
          <w:tcPr>
            <w:tcW w:w="1120" w:type="dxa"/>
            <w:tcBorders>
              <w:top w:val="nil"/>
              <w:left w:val="nil"/>
              <w:bottom w:val="nil"/>
              <w:right w:val="nil"/>
            </w:tcBorders>
            <w:shd w:val="clear" w:color="auto" w:fill="auto"/>
            <w:noWrap/>
            <w:vAlign w:val="bottom"/>
            <w:hideMark/>
          </w:tcPr>
          <w:p w14:paraId="22342024"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0D55DA53"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5B471DEA"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Bonos de Inversión Ley 11376 (1) </w:t>
            </w:r>
          </w:p>
        </w:tc>
        <w:tc>
          <w:tcPr>
            <w:tcW w:w="6237" w:type="dxa"/>
            <w:tcBorders>
              <w:top w:val="nil"/>
              <w:left w:val="nil"/>
              <w:bottom w:val="nil"/>
              <w:right w:val="nil"/>
            </w:tcBorders>
            <w:shd w:val="clear" w:color="auto" w:fill="auto"/>
            <w:noWrap/>
            <w:vAlign w:val="bottom"/>
            <w:hideMark/>
          </w:tcPr>
          <w:p w14:paraId="525380F5"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Deuda no Ingresada al Canje en $ </w:t>
            </w:r>
          </w:p>
        </w:tc>
        <w:tc>
          <w:tcPr>
            <w:tcW w:w="1120" w:type="dxa"/>
            <w:tcBorders>
              <w:top w:val="nil"/>
              <w:left w:val="nil"/>
              <w:bottom w:val="nil"/>
              <w:right w:val="single" w:sz="4" w:space="0" w:color="auto"/>
            </w:tcBorders>
            <w:shd w:val="clear" w:color="auto" w:fill="auto"/>
            <w:noWrap/>
            <w:vAlign w:val="bottom"/>
            <w:hideMark/>
          </w:tcPr>
          <w:p w14:paraId="688726DF"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895</w:t>
            </w:r>
          </w:p>
        </w:tc>
        <w:tc>
          <w:tcPr>
            <w:tcW w:w="1120" w:type="dxa"/>
            <w:tcBorders>
              <w:top w:val="nil"/>
              <w:left w:val="nil"/>
              <w:bottom w:val="nil"/>
              <w:right w:val="nil"/>
            </w:tcBorders>
            <w:shd w:val="clear" w:color="auto" w:fill="auto"/>
            <w:noWrap/>
            <w:vAlign w:val="bottom"/>
            <w:hideMark/>
          </w:tcPr>
          <w:p w14:paraId="23EB1A1F" w14:textId="77777777" w:rsidR="00DB6C19" w:rsidRPr="004E6455" w:rsidRDefault="00DB6C19" w:rsidP="004F3D41">
            <w:pPr>
              <w:spacing w:after="0"/>
              <w:jc w:val="center"/>
              <w:rPr>
                <w:rFonts w:ascii="Arial" w:hAnsi="Arial" w:cs="Arial"/>
                <w:i/>
                <w:iCs/>
                <w:sz w:val="18"/>
                <w:szCs w:val="18"/>
                <w:lang w:val="es-AR" w:eastAsia="es-AR"/>
              </w:rPr>
            </w:pPr>
          </w:p>
        </w:tc>
      </w:tr>
      <w:tr w:rsidR="00DB6C19" w:rsidRPr="004E6455" w14:paraId="5337CE84"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1A56B6F"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Bonos Ley 13401 (1)                           Deuda post Canje </w:t>
            </w:r>
          </w:p>
        </w:tc>
        <w:tc>
          <w:tcPr>
            <w:tcW w:w="6237" w:type="dxa"/>
            <w:tcBorders>
              <w:top w:val="nil"/>
              <w:left w:val="nil"/>
              <w:bottom w:val="nil"/>
              <w:right w:val="nil"/>
            </w:tcBorders>
            <w:shd w:val="clear" w:color="auto" w:fill="auto"/>
            <w:noWrap/>
            <w:vAlign w:val="bottom"/>
            <w:hideMark/>
          </w:tcPr>
          <w:p w14:paraId="32174D87"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 </w:t>
            </w:r>
          </w:p>
        </w:tc>
        <w:tc>
          <w:tcPr>
            <w:tcW w:w="1120" w:type="dxa"/>
            <w:tcBorders>
              <w:top w:val="nil"/>
              <w:left w:val="nil"/>
              <w:bottom w:val="nil"/>
              <w:right w:val="single" w:sz="4" w:space="0" w:color="auto"/>
            </w:tcBorders>
            <w:shd w:val="clear" w:color="auto" w:fill="auto"/>
            <w:noWrap/>
            <w:vAlign w:val="bottom"/>
            <w:hideMark/>
          </w:tcPr>
          <w:p w14:paraId="43060378"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28.816</w:t>
            </w:r>
          </w:p>
        </w:tc>
        <w:tc>
          <w:tcPr>
            <w:tcW w:w="1120" w:type="dxa"/>
            <w:tcBorders>
              <w:top w:val="nil"/>
              <w:left w:val="nil"/>
              <w:bottom w:val="nil"/>
              <w:right w:val="nil"/>
            </w:tcBorders>
            <w:shd w:val="clear" w:color="auto" w:fill="auto"/>
            <w:noWrap/>
            <w:vAlign w:val="bottom"/>
            <w:hideMark/>
          </w:tcPr>
          <w:p w14:paraId="58BFDAC0"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19352AA3"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1EFA84D5"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Vto 2021 - Ley 14199 (1) </w:t>
            </w:r>
          </w:p>
        </w:tc>
        <w:tc>
          <w:tcPr>
            <w:tcW w:w="6237" w:type="dxa"/>
            <w:tcBorders>
              <w:top w:val="nil"/>
              <w:left w:val="nil"/>
              <w:bottom w:val="nil"/>
              <w:right w:val="nil"/>
            </w:tcBorders>
            <w:shd w:val="clear" w:color="auto" w:fill="auto"/>
            <w:noWrap/>
            <w:vAlign w:val="bottom"/>
            <w:hideMark/>
          </w:tcPr>
          <w:p w14:paraId="0BC6A1EB"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5E3E733C"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11.918</w:t>
            </w:r>
          </w:p>
        </w:tc>
        <w:tc>
          <w:tcPr>
            <w:tcW w:w="1120" w:type="dxa"/>
            <w:tcBorders>
              <w:top w:val="nil"/>
              <w:left w:val="nil"/>
              <w:bottom w:val="nil"/>
              <w:right w:val="nil"/>
            </w:tcBorders>
            <w:shd w:val="clear" w:color="auto" w:fill="auto"/>
            <w:noWrap/>
            <w:vAlign w:val="bottom"/>
            <w:hideMark/>
          </w:tcPr>
          <w:p w14:paraId="1CD7ADD9"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15E95585"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27B169A9"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Vto 2024 - al 9,125 % - Ley 14807 (1) </w:t>
            </w:r>
          </w:p>
        </w:tc>
        <w:tc>
          <w:tcPr>
            <w:tcW w:w="6237" w:type="dxa"/>
            <w:tcBorders>
              <w:top w:val="nil"/>
              <w:left w:val="nil"/>
              <w:bottom w:val="nil"/>
              <w:right w:val="nil"/>
            </w:tcBorders>
            <w:shd w:val="clear" w:color="auto" w:fill="auto"/>
            <w:noWrap/>
            <w:vAlign w:val="bottom"/>
            <w:hideMark/>
          </w:tcPr>
          <w:p w14:paraId="5C2F45F2"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1C9B2EAE"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19.863</w:t>
            </w:r>
          </w:p>
        </w:tc>
        <w:tc>
          <w:tcPr>
            <w:tcW w:w="1120" w:type="dxa"/>
            <w:tcBorders>
              <w:top w:val="nil"/>
              <w:left w:val="nil"/>
              <w:bottom w:val="nil"/>
              <w:right w:val="nil"/>
            </w:tcBorders>
            <w:shd w:val="clear" w:color="auto" w:fill="auto"/>
            <w:noWrap/>
            <w:vAlign w:val="bottom"/>
            <w:hideMark/>
          </w:tcPr>
          <w:p w14:paraId="085A93EB" w14:textId="77777777" w:rsidR="00DB6C19" w:rsidRPr="004E6455" w:rsidRDefault="00DB6C19" w:rsidP="004F3D41">
            <w:pPr>
              <w:spacing w:after="0"/>
              <w:jc w:val="left"/>
              <w:rPr>
                <w:rFonts w:ascii="Arial" w:hAnsi="Arial" w:cs="Arial"/>
                <w:sz w:val="18"/>
                <w:szCs w:val="18"/>
                <w:lang w:val="es-AR" w:eastAsia="es-AR"/>
              </w:rPr>
            </w:pPr>
          </w:p>
        </w:tc>
      </w:tr>
      <w:tr w:rsidR="00DB6C19" w:rsidRPr="004E6455" w14:paraId="1488E551"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33829D2B"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Vto 2021 - Ley 14652 - Ley 13767 (Art 64) (1) </w:t>
            </w:r>
          </w:p>
        </w:tc>
        <w:tc>
          <w:tcPr>
            <w:tcW w:w="6237" w:type="dxa"/>
            <w:tcBorders>
              <w:top w:val="nil"/>
              <w:left w:val="nil"/>
              <w:bottom w:val="nil"/>
              <w:right w:val="nil"/>
            </w:tcBorders>
            <w:shd w:val="clear" w:color="auto" w:fill="auto"/>
            <w:noWrap/>
            <w:vAlign w:val="bottom"/>
            <w:hideMark/>
          </w:tcPr>
          <w:p w14:paraId="34D449E5"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4F23B6C6"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14.293</w:t>
            </w:r>
          </w:p>
        </w:tc>
        <w:tc>
          <w:tcPr>
            <w:tcW w:w="1120" w:type="dxa"/>
            <w:tcBorders>
              <w:top w:val="nil"/>
              <w:left w:val="nil"/>
              <w:bottom w:val="nil"/>
              <w:right w:val="nil"/>
            </w:tcBorders>
            <w:shd w:val="clear" w:color="auto" w:fill="auto"/>
            <w:noWrap/>
            <w:vAlign w:val="bottom"/>
            <w:hideMark/>
          </w:tcPr>
          <w:p w14:paraId="2827A8F1"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0AB2E138"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62D21E01" w14:textId="559303A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Vto 2019 - al 5,750% - Ley 14807 (1) </w:t>
            </w:r>
          </w:p>
        </w:tc>
        <w:tc>
          <w:tcPr>
            <w:tcW w:w="6237" w:type="dxa"/>
            <w:tcBorders>
              <w:top w:val="nil"/>
              <w:left w:val="nil"/>
              <w:bottom w:val="nil"/>
              <w:right w:val="nil"/>
            </w:tcBorders>
            <w:shd w:val="clear" w:color="auto" w:fill="auto"/>
            <w:noWrap/>
            <w:vAlign w:val="bottom"/>
            <w:hideMark/>
          </w:tcPr>
          <w:p w14:paraId="31D5F471" w14:textId="77777777" w:rsidR="00DB6C19" w:rsidRPr="004E6455" w:rsidRDefault="00DB6C19" w:rsidP="004F3D41">
            <w:pPr>
              <w:spacing w:after="0"/>
              <w:jc w:val="left"/>
              <w:rPr>
                <w:rFonts w:ascii="Arial" w:hAnsi="Arial" w:cs="Arial"/>
                <w:sz w:val="18"/>
                <w:szCs w:val="18"/>
                <w:lang w:val="es-AR" w:eastAsia="es-AR"/>
              </w:rPr>
            </w:pPr>
          </w:p>
        </w:tc>
        <w:tc>
          <w:tcPr>
            <w:tcW w:w="1120" w:type="dxa"/>
            <w:tcBorders>
              <w:top w:val="nil"/>
              <w:left w:val="nil"/>
              <w:bottom w:val="nil"/>
              <w:right w:val="single" w:sz="4" w:space="0" w:color="auto"/>
            </w:tcBorders>
            <w:shd w:val="clear" w:color="auto" w:fill="auto"/>
            <w:noWrap/>
            <w:vAlign w:val="bottom"/>
            <w:hideMark/>
          </w:tcPr>
          <w:p w14:paraId="780F51FD"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11.918</w:t>
            </w:r>
          </w:p>
        </w:tc>
        <w:tc>
          <w:tcPr>
            <w:tcW w:w="1120" w:type="dxa"/>
            <w:tcBorders>
              <w:top w:val="nil"/>
              <w:left w:val="nil"/>
              <w:bottom w:val="nil"/>
              <w:right w:val="nil"/>
            </w:tcBorders>
            <w:shd w:val="clear" w:color="auto" w:fill="auto"/>
            <w:noWrap/>
            <w:vAlign w:val="bottom"/>
            <w:hideMark/>
          </w:tcPr>
          <w:p w14:paraId="7EC946ED"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77DCF2DC" w14:textId="77777777" w:rsidTr="004F3D41">
        <w:trPr>
          <w:trHeight w:val="300"/>
        </w:trPr>
        <w:tc>
          <w:tcPr>
            <w:tcW w:w="5402" w:type="dxa"/>
            <w:tcBorders>
              <w:top w:val="nil"/>
              <w:left w:val="single" w:sz="4" w:space="0" w:color="auto"/>
              <w:bottom w:val="nil"/>
              <w:right w:val="nil"/>
            </w:tcBorders>
            <w:shd w:val="clear" w:color="auto" w:fill="auto"/>
            <w:noWrap/>
            <w:vAlign w:val="bottom"/>
            <w:hideMark/>
          </w:tcPr>
          <w:p w14:paraId="0B76E336" w14:textId="04000A78"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Bono Vto 2027 - al 7,875% - Ley 14807 (1) </w:t>
            </w:r>
          </w:p>
        </w:tc>
        <w:tc>
          <w:tcPr>
            <w:tcW w:w="6237" w:type="dxa"/>
            <w:tcBorders>
              <w:top w:val="nil"/>
              <w:left w:val="nil"/>
              <w:bottom w:val="single" w:sz="4" w:space="0" w:color="auto"/>
              <w:right w:val="nil"/>
            </w:tcBorders>
            <w:shd w:val="clear" w:color="auto" w:fill="auto"/>
            <w:noWrap/>
            <w:vAlign w:val="bottom"/>
            <w:hideMark/>
          </w:tcPr>
          <w:p w14:paraId="6AF73521" w14:textId="77777777" w:rsidR="00DB6C19" w:rsidRPr="004E6455" w:rsidRDefault="00DB6C19" w:rsidP="004F3D41">
            <w:pPr>
              <w:spacing w:after="0"/>
              <w:jc w:val="left"/>
              <w:rPr>
                <w:rFonts w:ascii="Arial" w:hAnsi="Arial" w:cs="Arial"/>
                <w:sz w:val="18"/>
                <w:szCs w:val="18"/>
                <w:lang w:val="es-AR" w:eastAsia="es-AR"/>
              </w:rPr>
            </w:pPr>
            <w:r w:rsidRPr="004E6455">
              <w:rPr>
                <w:rFonts w:ascii="Arial" w:hAnsi="Arial" w:cs="Arial"/>
                <w:sz w:val="18"/>
                <w:szCs w:val="18"/>
                <w:lang w:val="es-AR" w:eastAsia="es-AR"/>
              </w:rPr>
              <w:t> </w:t>
            </w:r>
          </w:p>
        </w:tc>
        <w:tc>
          <w:tcPr>
            <w:tcW w:w="1120" w:type="dxa"/>
            <w:tcBorders>
              <w:top w:val="nil"/>
              <w:left w:val="nil"/>
              <w:bottom w:val="nil"/>
              <w:right w:val="single" w:sz="4" w:space="0" w:color="auto"/>
            </w:tcBorders>
            <w:shd w:val="clear" w:color="auto" w:fill="auto"/>
            <w:noWrap/>
            <w:vAlign w:val="bottom"/>
            <w:hideMark/>
          </w:tcPr>
          <w:p w14:paraId="28BE1AC4" w14:textId="77777777" w:rsidR="00DB6C19" w:rsidRPr="004E6455" w:rsidRDefault="00DB6C19" w:rsidP="004F3D41">
            <w:pPr>
              <w:spacing w:after="0"/>
              <w:jc w:val="right"/>
              <w:rPr>
                <w:rFonts w:ascii="Arial" w:hAnsi="Arial" w:cs="Arial"/>
                <w:sz w:val="18"/>
                <w:szCs w:val="18"/>
                <w:lang w:val="es-AR" w:eastAsia="es-AR"/>
              </w:rPr>
            </w:pPr>
            <w:r w:rsidRPr="004E6455">
              <w:rPr>
                <w:rFonts w:ascii="Arial" w:hAnsi="Arial" w:cs="Arial"/>
                <w:sz w:val="18"/>
                <w:szCs w:val="18"/>
                <w:lang w:val="es-AR" w:eastAsia="es-AR"/>
              </w:rPr>
              <w:t>15.890</w:t>
            </w:r>
          </w:p>
        </w:tc>
        <w:tc>
          <w:tcPr>
            <w:tcW w:w="1120" w:type="dxa"/>
            <w:tcBorders>
              <w:top w:val="nil"/>
              <w:left w:val="nil"/>
              <w:bottom w:val="nil"/>
              <w:right w:val="nil"/>
            </w:tcBorders>
            <w:shd w:val="clear" w:color="auto" w:fill="auto"/>
            <w:noWrap/>
            <w:vAlign w:val="bottom"/>
            <w:hideMark/>
          </w:tcPr>
          <w:p w14:paraId="20159AB6"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2B87C4BE" w14:textId="77777777" w:rsidTr="004F3D41">
        <w:trPr>
          <w:trHeight w:val="30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14:paraId="725DCB58" w14:textId="109E472F"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TOTAL</w:t>
            </w:r>
            <w:r w:rsidR="00DF60B7">
              <w:rPr>
                <w:rFonts w:ascii="Arial" w:hAnsi="Arial" w:cs="Arial"/>
                <w:b/>
                <w:bCs/>
                <w:sz w:val="18"/>
                <w:szCs w:val="18"/>
                <w:lang w:val="es-AR" w:eastAsia="es-AR"/>
              </w:rPr>
              <w:t xml:space="preserve"> </w:t>
            </w:r>
            <w:r w:rsidRPr="004E6455">
              <w:rPr>
                <w:rFonts w:ascii="Arial" w:hAnsi="Arial" w:cs="Arial"/>
                <w:b/>
                <w:bCs/>
                <w:sz w:val="18"/>
                <w:szCs w:val="18"/>
                <w:lang w:val="es-AR" w:eastAsia="es-AR"/>
              </w:rPr>
              <w:t>GENERAL</w:t>
            </w:r>
          </w:p>
        </w:tc>
        <w:tc>
          <w:tcPr>
            <w:tcW w:w="6237" w:type="dxa"/>
            <w:tcBorders>
              <w:top w:val="nil"/>
              <w:left w:val="nil"/>
              <w:bottom w:val="single" w:sz="4" w:space="0" w:color="auto"/>
              <w:right w:val="nil"/>
            </w:tcBorders>
            <w:shd w:val="clear" w:color="auto" w:fill="auto"/>
            <w:noWrap/>
            <w:vAlign w:val="bottom"/>
            <w:hideMark/>
          </w:tcPr>
          <w:p w14:paraId="134EDEB1"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000000"/>
            </w:tcBorders>
            <w:shd w:val="clear" w:color="auto" w:fill="auto"/>
            <w:noWrap/>
            <w:vAlign w:val="bottom"/>
            <w:hideMark/>
          </w:tcPr>
          <w:p w14:paraId="53C1D92F"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EB5B258" w14:textId="77777777" w:rsidR="00DB6C19" w:rsidRPr="004E6455" w:rsidRDefault="00DB6C19" w:rsidP="004F3D41">
            <w:pPr>
              <w:spacing w:after="0"/>
              <w:jc w:val="right"/>
              <w:rPr>
                <w:rFonts w:ascii="Arial" w:hAnsi="Arial" w:cs="Arial"/>
                <w:b/>
                <w:bCs/>
                <w:i/>
                <w:iCs/>
                <w:sz w:val="18"/>
                <w:szCs w:val="18"/>
                <w:lang w:val="es-AR" w:eastAsia="es-AR"/>
              </w:rPr>
            </w:pPr>
            <w:r w:rsidRPr="004E6455">
              <w:rPr>
                <w:rFonts w:ascii="Arial" w:hAnsi="Arial" w:cs="Arial"/>
                <w:b/>
                <w:bCs/>
                <w:i/>
                <w:iCs/>
                <w:sz w:val="18"/>
                <w:szCs w:val="18"/>
                <w:lang w:val="es-AR" w:eastAsia="es-AR"/>
              </w:rPr>
              <w:t>189.340</w:t>
            </w:r>
          </w:p>
        </w:tc>
      </w:tr>
      <w:tr w:rsidR="00DB6C19" w:rsidRPr="004E6455" w14:paraId="02028080" w14:textId="77777777" w:rsidTr="004F3D41">
        <w:trPr>
          <w:trHeight w:val="300"/>
        </w:trPr>
        <w:tc>
          <w:tcPr>
            <w:tcW w:w="5402" w:type="dxa"/>
            <w:tcBorders>
              <w:top w:val="nil"/>
              <w:left w:val="nil"/>
              <w:bottom w:val="nil"/>
              <w:right w:val="nil"/>
            </w:tcBorders>
            <w:shd w:val="clear" w:color="auto" w:fill="auto"/>
            <w:noWrap/>
            <w:vAlign w:val="bottom"/>
            <w:hideMark/>
          </w:tcPr>
          <w:p w14:paraId="129380A6" w14:textId="77777777" w:rsidR="00DB6C19" w:rsidRPr="004E6455" w:rsidRDefault="00DB6C19" w:rsidP="004F3D41">
            <w:pPr>
              <w:spacing w:after="0"/>
              <w:jc w:val="center"/>
              <w:rPr>
                <w:rFonts w:ascii="Arial" w:hAnsi="Arial" w:cs="Arial"/>
                <w:b/>
                <w:bCs/>
                <w:sz w:val="18"/>
                <w:szCs w:val="18"/>
                <w:lang w:val="es-AR" w:eastAsia="es-AR"/>
              </w:rPr>
            </w:pPr>
          </w:p>
        </w:tc>
        <w:tc>
          <w:tcPr>
            <w:tcW w:w="6237" w:type="dxa"/>
            <w:tcBorders>
              <w:top w:val="nil"/>
              <w:left w:val="nil"/>
              <w:bottom w:val="nil"/>
              <w:right w:val="nil"/>
            </w:tcBorders>
            <w:shd w:val="clear" w:color="auto" w:fill="auto"/>
            <w:noWrap/>
            <w:vAlign w:val="bottom"/>
            <w:hideMark/>
          </w:tcPr>
          <w:p w14:paraId="3FBB08B1" w14:textId="77777777" w:rsidR="00DB6C19" w:rsidRPr="004E6455" w:rsidRDefault="00DB6C19" w:rsidP="004F3D41">
            <w:pPr>
              <w:spacing w:after="0"/>
              <w:jc w:val="center"/>
              <w:rPr>
                <w:rFonts w:ascii="Arial" w:hAnsi="Arial" w:cs="Arial"/>
                <w:b/>
                <w:bCs/>
                <w:sz w:val="18"/>
                <w:szCs w:val="18"/>
                <w:lang w:val="es-AR" w:eastAsia="es-AR"/>
              </w:rPr>
            </w:pPr>
            <w:r w:rsidRPr="004E6455">
              <w:rPr>
                <w:rFonts w:ascii="Arial" w:hAnsi="Arial" w:cs="Arial"/>
                <w:b/>
                <w:bCs/>
                <w:sz w:val="18"/>
                <w:szCs w:val="18"/>
                <w:lang w:val="es-AR" w:eastAsia="es-AR"/>
              </w:rPr>
              <w:t> </w:t>
            </w:r>
          </w:p>
        </w:tc>
        <w:tc>
          <w:tcPr>
            <w:tcW w:w="1120" w:type="dxa"/>
            <w:tcBorders>
              <w:top w:val="nil"/>
              <w:left w:val="nil"/>
              <w:bottom w:val="nil"/>
              <w:right w:val="nil"/>
            </w:tcBorders>
            <w:shd w:val="clear" w:color="auto" w:fill="auto"/>
            <w:noWrap/>
            <w:vAlign w:val="bottom"/>
            <w:hideMark/>
          </w:tcPr>
          <w:p w14:paraId="05494479" w14:textId="77777777" w:rsidR="00DB6C19" w:rsidRPr="004E6455" w:rsidRDefault="00DB6C19" w:rsidP="004F3D41">
            <w:pPr>
              <w:spacing w:after="0"/>
              <w:jc w:val="center"/>
              <w:rPr>
                <w:rFonts w:ascii="Arial" w:hAnsi="Arial" w:cs="Arial"/>
                <w:b/>
                <w:bCs/>
                <w:sz w:val="18"/>
                <w:szCs w:val="18"/>
                <w:lang w:val="es-AR" w:eastAsia="es-AR"/>
              </w:rPr>
            </w:pPr>
          </w:p>
        </w:tc>
        <w:tc>
          <w:tcPr>
            <w:tcW w:w="1120" w:type="dxa"/>
            <w:tcBorders>
              <w:top w:val="nil"/>
              <w:left w:val="nil"/>
              <w:bottom w:val="nil"/>
              <w:right w:val="nil"/>
            </w:tcBorders>
            <w:shd w:val="clear" w:color="auto" w:fill="auto"/>
            <w:noWrap/>
            <w:vAlign w:val="bottom"/>
            <w:hideMark/>
          </w:tcPr>
          <w:p w14:paraId="66D48516" w14:textId="77777777" w:rsidR="00DB6C19" w:rsidRPr="004E6455" w:rsidRDefault="00DB6C19" w:rsidP="004F3D41">
            <w:pPr>
              <w:spacing w:after="0"/>
              <w:jc w:val="left"/>
              <w:rPr>
                <w:rFonts w:ascii="Arial" w:hAnsi="Arial" w:cs="Arial"/>
                <w:i/>
                <w:iCs/>
                <w:sz w:val="18"/>
                <w:szCs w:val="18"/>
                <w:lang w:val="es-AR" w:eastAsia="es-AR"/>
              </w:rPr>
            </w:pPr>
          </w:p>
        </w:tc>
      </w:tr>
      <w:tr w:rsidR="00DB6C19" w:rsidRPr="004E6455" w14:paraId="1CA71790" w14:textId="77777777" w:rsidTr="004F3D41">
        <w:trPr>
          <w:trHeight w:val="300"/>
        </w:trPr>
        <w:tc>
          <w:tcPr>
            <w:tcW w:w="5402" w:type="dxa"/>
            <w:tcBorders>
              <w:top w:val="nil"/>
              <w:left w:val="nil"/>
              <w:bottom w:val="nil"/>
              <w:right w:val="nil"/>
            </w:tcBorders>
            <w:shd w:val="clear" w:color="auto" w:fill="auto"/>
            <w:noWrap/>
            <w:vAlign w:val="bottom"/>
            <w:hideMark/>
          </w:tcPr>
          <w:p w14:paraId="35086A5E" w14:textId="77777777"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 DEUDA EXTERNA (1): </w:t>
            </w:r>
          </w:p>
        </w:tc>
        <w:tc>
          <w:tcPr>
            <w:tcW w:w="6237" w:type="dxa"/>
            <w:tcBorders>
              <w:top w:val="nil"/>
              <w:left w:val="nil"/>
              <w:bottom w:val="nil"/>
              <w:right w:val="nil"/>
            </w:tcBorders>
            <w:shd w:val="clear" w:color="auto" w:fill="auto"/>
            <w:noWrap/>
            <w:vAlign w:val="bottom"/>
            <w:hideMark/>
          </w:tcPr>
          <w:p w14:paraId="1EE57703"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129.931</w:t>
            </w:r>
          </w:p>
        </w:tc>
        <w:tc>
          <w:tcPr>
            <w:tcW w:w="1120" w:type="dxa"/>
            <w:tcBorders>
              <w:top w:val="nil"/>
              <w:left w:val="nil"/>
              <w:bottom w:val="nil"/>
              <w:right w:val="nil"/>
            </w:tcBorders>
            <w:shd w:val="clear" w:color="auto" w:fill="auto"/>
            <w:noWrap/>
            <w:vAlign w:val="bottom"/>
            <w:hideMark/>
          </w:tcPr>
          <w:p w14:paraId="641376EB" w14:textId="77777777" w:rsidR="00DB6C19" w:rsidRPr="004E6455" w:rsidRDefault="00DB6C19" w:rsidP="004F3D41">
            <w:pPr>
              <w:spacing w:after="0"/>
              <w:jc w:val="center"/>
              <w:rPr>
                <w:rFonts w:ascii="Arial" w:hAnsi="Arial" w:cs="Arial"/>
                <w:sz w:val="18"/>
                <w:szCs w:val="18"/>
                <w:lang w:val="es-AR" w:eastAsia="es-AR"/>
              </w:rPr>
            </w:pPr>
          </w:p>
        </w:tc>
        <w:tc>
          <w:tcPr>
            <w:tcW w:w="1120" w:type="dxa"/>
            <w:tcBorders>
              <w:top w:val="nil"/>
              <w:left w:val="nil"/>
              <w:bottom w:val="nil"/>
              <w:right w:val="nil"/>
            </w:tcBorders>
            <w:shd w:val="clear" w:color="auto" w:fill="auto"/>
            <w:noWrap/>
            <w:vAlign w:val="bottom"/>
            <w:hideMark/>
          </w:tcPr>
          <w:p w14:paraId="59C6047D" w14:textId="77777777" w:rsidR="00DB6C19" w:rsidRPr="004E6455" w:rsidRDefault="00DB6C19" w:rsidP="004F3D41">
            <w:pPr>
              <w:spacing w:after="0"/>
              <w:jc w:val="center"/>
              <w:rPr>
                <w:rFonts w:ascii="Arial" w:hAnsi="Arial" w:cs="Arial"/>
                <w:sz w:val="18"/>
                <w:szCs w:val="18"/>
                <w:lang w:val="es-AR" w:eastAsia="es-AR"/>
              </w:rPr>
            </w:pPr>
          </w:p>
        </w:tc>
      </w:tr>
      <w:tr w:rsidR="00DB6C19" w:rsidRPr="004E6455" w14:paraId="1C96708A" w14:textId="77777777" w:rsidTr="004F3D41">
        <w:trPr>
          <w:trHeight w:val="300"/>
        </w:trPr>
        <w:tc>
          <w:tcPr>
            <w:tcW w:w="5402" w:type="dxa"/>
            <w:tcBorders>
              <w:top w:val="nil"/>
              <w:left w:val="nil"/>
              <w:bottom w:val="nil"/>
              <w:right w:val="nil"/>
            </w:tcBorders>
            <w:shd w:val="clear" w:color="auto" w:fill="auto"/>
            <w:noWrap/>
            <w:vAlign w:val="bottom"/>
            <w:hideMark/>
          </w:tcPr>
          <w:p w14:paraId="513FB538" w14:textId="231D8249" w:rsidR="00DB6C19" w:rsidRPr="004E6455" w:rsidRDefault="00DB6C19" w:rsidP="004F3D41">
            <w:pPr>
              <w:spacing w:after="0"/>
              <w:jc w:val="left"/>
              <w:rPr>
                <w:rFonts w:ascii="Arial" w:hAnsi="Arial" w:cs="Arial"/>
                <w:b/>
                <w:bCs/>
                <w:sz w:val="18"/>
                <w:szCs w:val="18"/>
                <w:lang w:val="es-AR" w:eastAsia="es-AR"/>
              </w:rPr>
            </w:pPr>
            <w:r w:rsidRPr="004E6455">
              <w:rPr>
                <w:rFonts w:ascii="Arial" w:hAnsi="Arial" w:cs="Arial"/>
                <w:b/>
                <w:bCs/>
                <w:sz w:val="18"/>
                <w:szCs w:val="18"/>
                <w:lang w:val="es-AR" w:eastAsia="es-AR"/>
              </w:rPr>
              <w:t>DEUDA INTERNA (2):</w:t>
            </w:r>
          </w:p>
        </w:tc>
        <w:tc>
          <w:tcPr>
            <w:tcW w:w="6237" w:type="dxa"/>
            <w:tcBorders>
              <w:top w:val="nil"/>
              <w:left w:val="nil"/>
              <w:bottom w:val="nil"/>
              <w:right w:val="nil"/>
            </w:tcBorders>
            <w:shd w:val="clear" w:color="auto" w:fill="auto"/>
            <w:noWrap/>
            <w:vAlign w:val="bottom"/>
            <w:hideMark/>
          </w:tcPr>
          <w:p w14:paraId="1418113E" w14:textId="77777777" w:rsidR="00DB6C19" w:rsidRPr="004E6455" w:rsidRDefault="00DB6C19" w:rsidP="004F3D41">
            <w:pPr>
              <w:spacing w:after="0"/>
              <w:jc w:val="right"/>
              <w:rPr>
                <w:rFonts w:ascii="Arial" w:hAnsi="Arial" w:cs="Arial"/>
                <w:b/>
                <w:bCs/>
                <w:sz w:val="18"/>
                <w:szCs w:val="18"/>
                <w:lang w:val="es-AR" w:eastAsia="es-AR"/>
              </w:rPr>
            </w:pPr>
            <w:r w:rsidRPr="004E6455">
              <w:rPr>
                <w:rFonts w:ascii="Arial" w:hAnsi="Arial" w:cs="Arial"/>
                <w:b/>
                <w:bCs/>
                <w:sz w:val="18"/>
                <w:szCs w:val="18"/>
                <w:lang w:val="es-AR" w:eastAsia="es-AR"/>
              </w:rPr>
              <w:t>59.409</w:t>
            </w:r>
          </w:p>
        </w:tc>
        <w:tc>
          <w:tcPr>
            <w:tcW w:w="1120" w:type="dxa"/>
            <w:tcBorders>
              <w:top w:val="nil"/>
              <w:left w:val="nil"/>
              <w:bottom w:val="nil"/>
              <w:right w:val="nil"/>
            </w:tcBorders>
            <w:shd w:val="clear" w:color="auto" w:fill="auto"/>
            <w:noWrap/>
            <w:vAlign w:val="bottom"/>
            <w:hideMark/>
          </w:tcPr>
          <w:p w14:paraId="7A5A4093" w14:textId="77777777" w:rsidR="00DB6C19" w:rsidRPr="004E6455" w:rsidRDefault="00DB6C19" w:rsidP="004F3D41">
            <w:pPr>
              <w:spacing w:after="0"/>
              <w:jc w:val="center"/>
              <w:rPr>
                <w:rFonts w:ascii="Arial" w:hAnsi="Arial" w:cs="Arial"/>
                <w:sz w:val="18"/>
                <w:szCs w:val="18"/>
                <w:lang w:val="es-AR" w:eastAsia="es-AR"/>
              </w:rPr>
            </w:pPr>
          </w:p>
        </w:tc>
        <w:tc>
          <w:tcPr>
            <w:tcW w:w="1120" w:type="dxa"/>
            <w:tcBorders>
              <w:top w:val="nil"/>
              <w:left w:val="nil"/>
              <w:bottom w:val="nil"/>
              <w:right w:val="nil"/>
            </w:tcBorders>
            <w:shd w:val="clear" w:color="auto" w:fill="auto"/>
            <w:noWrap/>
            <w:vAlign w:val="bottom"/>
            <w:hideMark/>
          </w:tcPr>
          <w:p w14:paraId="736C4B6C" w14:textId="77777777" w:rsidR="00DB6C19" w:rsidRPr="004E6455" w:rsidRDefault="00DB6C19" w:rsidP="004F3D41">
            <w:pPr>
              <w:spacing w:after="0"/>
              <w:jc w:val="center"/>
              <w:rPr>
                <w:rFonts w:ascii="Arial" w:hAnsi="Arial" w:cs="Arial"/>
                <w:sz w:val="18"/>
                <w:szCs w:val="18"/>
                <w:lang w:val="es-AR" w:eastAsia="es-AR"/>
              </w:rPr>
            </w:pPr>
          </w:p>
        </w:tc>
      </w:tr>
      <w:tr w:rsidR="00DB6C19" w:rsidRPr="004E6455" w14:paraId="3FAD7B63" w14:textId="77777777" w:rsidTr="004F3D41">
        <w:trPr>
          <w:trHeight w:val="300"/>
        </w:trPr>
        <w:tc>
          <w:tcPr>
            <w:tcW w:w="5402" w:type="dxa"/>
            <w:tcBorders>
              <w:top w:val="nil"/>
              <w:left w:val="nil"/>
              <w:bottom w:val="nil"/>
              <w:right w:val="nil"/>
            </w:tcBorders>
            <w:shd w:val="clear" w:color="auto" w:fill="auto"/>
            <w:noWrap/>
            <w:vAlign w:val="bottom"/>
            <w:hideMark/>
          </w:tcPr>
          <w:p w14:paraId="52680CD0" w14:textId="77777777" w:rsidR="00DB6C19" w:rsidRPr="004E6455" w:rsidRDefault="00DB6C19" w:rsidP="004F3D41">
            <w:pPr>
              <w:spacing w:after="0"/>
              <w:jc w:val="right"/>
              <w:rPr>
                <w:rFonts w:ascii="Arial" w:hAnsi="Arial" w:cs="Arial"/>
                <w:b/>
                <w:bCs/>
                <w:sz w:val="18"/>
                <w:szCs w:val="18"/>
                <w:lang w:val="es-AR" w:eastAsia="es-AR"/>
              </w:rPr>
            </w:pPr>
          </w:p>
        </w:tc>
        <w:tc>
          <w:tcPr>
            <w:tcW w:w="6237" w:type="dxa"/>
            <w:tcBorders>
              <w:top w:val="nil"/>
              <w:left w:val="nil"/>
              <w:bottom w:val="nil"/>
              <w:right w:val="nil"/>
            </w:tcBorders>
            <w:shd w:val="clear" w:color="auto" w:fill="auto"/>
            <w:noWrap/>
            <w:vAlign w:val="bottom"/>
            <w:hideMark/>
          </w:tcPr>
          <w:p w14:paraId="7CC0679E" w14:textId="77777777" w:rsidR="00DB6C19" w:rsidRPr="004E6455" w:rsidRDefault="00DB6C19" w:rsidP="004F3D41">
            <w:pPr>
              <w:spacing w:after="0"/>
              <w:jc w:val="left"/>
              <w:rPr>
                <w:rFonts w:ascii="Arial" w:hAnsi="Arial" w:cs="Arial"/>
                <w:b/>
                <w:bCs/>
                <w:sz w:val="18"/>
                <w:szCs w:val="18"/>
                <w:lang w:val="es-AR" w:eastAsia="es-AR"/>
              </w:rPr>
            </w:pPr>
          </w:p>
        </w:tc>
        <w:tc>
          <w:tcPr>
            <w:tcW w:w="1120" w:type="dxa"/>
            <w:tcBorders>
              <w:top w:val="nil"/>
              <w:left w:val="nil"/>
              <w:bottom w:val="nil"/>
              <w:right w:val="nil"/>
            </w:tcBorders>
            <w:shd w:val="clear" w:color="auto" w:fill="auto"/>
            <w:noWrap/>
            <w:vAlign w:val="bottom"/>
            <w:hideMark/>
          </w:tcPr>
          <w:p w14:paraId="7C54135A" w14:textId="77777777" w:rsidR="00DB6C19" w:rsidRPr="004E6455" w:rsidRDefault="00DB6C19" w:rsidP="004F3D41">
            <w:pPr>
              <w:spacing w:after="0"/>
              <w:jc w:val="center"/>
              <w:rPr>
                <w:rFonts w:ascii="Arial" w:hAnsi="Arial" w:cs="Arial"/>
                <w:sz w:val="18"/>
                <w:szCs w:val="18"/>
                <w:lang w:val="es-AR" w:eastAsia="es-AR"/>
              </w:rPr>
            </w:pPr>
          </w:p>
        </w:tc>
        <w:tc>
          <w:tcPr>
            <w:tcW w:w="1120" w:type="dxa"/>
            <w:tcBorders>
              <w:top w:val="nil"/>
              <w:left w:val="nil"/>
              <w:bottom w:val="nil"/>
              <w:right w:val="nil"/>
            </w:tcBorders>
            <w:shd w:val="clear" w:color="auto" w:fill="auto"/>
            <w:noWrap/>
            <w:vAlign w:val="bottom"/>
            <w:hideMark/>
          </w:tcPr>
          <w:p w14:paraId="407766BF" w14:textId="77777777" w:rsidR="00DB6C19" w:rsidRPr="004E6455" w:rsidRDefault="00DB6C19" w:rsidP="004F3D41">
            <w:pPr>
              <w:spacing w:after="0"/>
              <w:jc w:val="center"/>
              <w:rPr>
                <w:rFonts w:ascii="Arial" w:hAnsi="Arial" w:cs="Arial"/>
                <w:sz w:val="18"/>
                <w:szCs w:val="18"/>
                <w:lang w:val="es-AR" w:eastAsia="es-AR"/>
              </w:rPr>
            </w:pPr>
          </w:p>
        </w:tc>
      </w:tr>
      <w:tr w:rsidR="00DB6C19" w:rsidRPr="00DF60B7" w14:paraId="68BA30B0" w14:textId="77777777" w:rsidTr="004F3D41">
        <w:trPr>
          <w:trHeight w:val="510"/>
        </w:trPr>
        <w:tc>
          <w:tcPr>
            <w:tcW w:w="13879" w:type="dxa"/>
            <w:gridSpan w:val="4"/>
            <w:tcBorders>
              <w:top w:val="nil"/>
              <w:left w:val="nil"/>
              <w:bottom w:val="nil"/>
              <w:right w:val="nil"/>
            </w:tcBorders>
            <w:shd w:val="clear" w:color="auto" w:fill="auto"/>
            <w:vAlign w:val="bottom"/>
            <w:hideMark/>
          </w:tcPr>
          <w:p w14:paraId="7D63622C" w14:textId="77777777" w:rsidR="00DB6C19" w:rsidRPr="00DF60B7" w:rsidRDefault="00DB6C19" w:rsidP="004F3D41">
            <w:pPr>
              <w:spacing w:after="0"/>
              <w:jc w:val="left"/>
              <w:rPr>
                <w:rFonts w:ascii="Arial" w:hAnsi="Arial" w:cs="Arial"/>
                <w:sz w:val="18"/>
                <w:szCs w:val="18"/>
                <w:lang w:val="es-AR" w:eastAsia="es-AR"/>
              </w:rPr>
            </w:pPr>
            <w:r w:rsidRPr="00DF60B7">
              <w:rPr>
                <w:rFonts w:ascii="Arial" w:hAnsi="Arial" w:cs="Arial"/>
                <w:sz w:val="18"/>
                <w:szCs w:val="18"/>
                <w:lang w:val="es-AR" w:eastAsia="es-AR"/>
              </w:rPr>
              <w:t>Nota: El pasivo contingente no se ha podido cuantificar debido a que no fue remitida a esta Contaduría General de la Provincia de Buenos Aires la información solicitada sobre el estado de los juicios iniciados contra el Fisco, monto y probabilidad de sentencia condenatorias.</w:t>
            </w:r>
          </w:p>
        </w:tc>
      </w:tr>
    </w:tbl>
    <w:p w14:paraId="49EAAFC5" w14:textId="77777777" w:rsidR="004F3D41" w:rsidRPr="00117BF8" w:rsidRDefault="004F3D41">
      <w:pPr>
        <w:pStyle w:val="Hfuente"/>
        <w:rPr>
          <w:rFonts w:ascii="Arial" w:eastAsia="Calibri" w:hAnsi="Arial" w:cs="Arial"/>
          <w:sz w:val="18"/>
          <w:szCs w:val="18"/>
        </w:rPr>
      </w:pPr>
      <w:r w:rsidRPr="00117BF8">
        <w:rPr>
          <w:rFonts w:ascii="Arial" w:eastAsia="Calibri" w:hAnsi="Arial" w:cs="Arial"/>
          <w:sz w:val="18"/>
          <w:szCs w:val="18"/>
        </w:rPr>
        <w:t>Fuente: CGPBA</w:t>
      </w:r>
    </w:p>
    <w:p w14:paraId="49FE1B7E" w14:textId="77777777" w:rsidR="00DE5CB1" w:rsidRPr="00117BF8" w:rsidRDefault="00DE5CB1" w:rsidP="00DE5CB1">
      <w:pPr>
        <w:pStyle w:val="Heading1"/>
        <w:rPr>
          <w:rFonts w:ascii="Arial" w:eastAsia="Calibri" w:hAnsi="Arial" w:cs="Arial"/>
        </w:rPr>
        <w:sectPr w:rsidR="00DE5CB1" w:rsidRPr="00117BF8" w:rsidSect="00443F74">
          <w:headerReference w:type="default" r:id="rId75"/>
          <w:footerReference w:type="default" r:id="rId76"/>
          <w:pgSz w:w="16840" w:h="11907" w:orient="landscape"/>
          <w:pgMar w:top="1701" w:right="1418" w:bottom="1701" w:left="1418" w:header="851" w:footer="851" w:gutter="0"/>
          <w:cols w:space="720"/>
          <w:docGrid w:linePitch="326"/>
        </w:sectPr>
      </w:pPr>
    </w:p>
    <w:p w14:paraId="0557DE42" w14:textId="6AF7A5E4" w:rsidR="004206A5" w:rsidRPr="00117BF8" w:rsidRDefault="004206A5" w:rsidP="00117BF8">
      <w:pPr>
        <w:pStyle w:val="Heading1"/>
        <w:rPr>
          <w:rFonts w:ascii="Arial" w:eastAsia="Calibri" w:hAnsi="Arial" w:cs="Arial"/>
        </w:rPr>
      </w:pPr>
      <w:bookmarkStart w:id="162" w:name="_Toc494040356"/>
      <w:r w:rsidRPr="00117BF8">
        <w:rPr>
          <w:rFonts w:ascii="Arial" w:eastAsia="Calibri" w:hAnsi="Arial" w:cs="Arial"/>
          <w:b w:val="0"/>
          <w:caps w:val="0"/>
          <w:sz w:val="22"/>
          <w:szCs w:val="22"/>
        </w:rPr>
        <w:t xml:space="preserve">Anexo IV – </w:t>
      </w:r>
      <w:r w:rsidR="00DE5CB1" w:rsidRPr="00117BF8">
        <w:rPr>
          <w:rFonts w:ascii="Arial" w:hAnsi="Arial" w:cs="Arial"/>
          <w:b w:val="0"/>
          <w:caps w:val="0"/>
          <w:sz w:val="22"/>
          <w:szCs w:val="22"/>
        </w:rPr>
        <w:t xml:space="preserve"> </w:t>
      </w:r>
      <w:r w:rsidR="00DD5925" w:rsidRPr="00117BF8">
        <w:rPr>
          <w:rFonts w:ascii="Arial" w:hAnsi="Arial" w:cs="Arial"/>
          <w:b w:val="0"/>
          <w:caps w:val="0"/>
          <w:sz w:val="22"/>
          <w:szCs w:val="22"/>
        </w:rPr>
        <w:t xml:space="preserve">Ministerio de Infraestructura y Servicios Públicos -Política Presupuestaria </w:t>
      </w:r>
      <w:r w:rsidR="00DE5CB1" w:rsidRPr="00117BF8">
        <w:rPr>
          <w:rFonts w:ascii="Arial" w:hAnsi="Arial" w:cs="Arial"/>
          <w:b w:val="0"/>
          <w:caps w:val="0"/>
          <w:sz w:val="22"/>
          <w:szCs w:val="22"/>
        </w:rPr>
        <w:t>- 2016</w:t>
      </w:r>
      <w:bookmarkEnd w:id="162"/>
    </w:p>
    <w:p w14:paraId="16F64B18" w14:textId="77777777" w:rsidR="00DE5CB1" w:rsidRPr="00117BF8" w:rsidRDefault="0019642E" w:rsidP="004F3D41">
      <w:pPr>
        <w:pStyle w:val="Hfuente"/>
        <w:rPr>
          <w:rFonts w:ascii="Arial" w:eastAsia="Calibri" w:hAnsi="Arial" w:cs="Arial"/>
          <w:sz w:val="18"/>
          <w:szCs w:val="18"/>
        </w:rPr>
      </w:pPr>
      <w:r w:rsidRPr="00117BF8">
        <w:rPr>
          <w:rFonts w:ascii="Arial" w:eastAsia="Calibri" w:hAnsi="Arial" w:cs="Arial"/>
          <w:sz w:val="18"/>
          <w:szCs w:val="18"/>
        </w:rPr>
        <w:t>Fuente: Ministerio de Economía de la Provincia de Buenos Aires</w:t>
      </w:r>
    </w:p>
    <w:p w14:paraId="01AB8547" w14:textId="77777777" w:rsidR="00DE5CB1" w:rsidRPr="00117BF8" w:rsidRDefault="00117BF8" w:rsidP="004F3D41">
      <w:pPr>
        <w:pStyle w:val="Hfuente"/>
        <w:rPr>
          <w:rFonts w:ascii="Arial" w:eastAsia="Calibri" w:hAnsi="Arial" w:cs="Arial"/>
        </w:rPr>
      </w:pPr>
      <w:r w:rsidRPr="00117BF8">
        <w:rPr>
          <w:rFonts w:ascii="Arial" w:eastAsia="Calibri" w:hAnsi="Arial" w:cs="Arial"/>
        </w:rPr>
        <w:pict w14:anchorId="2BBC64EF">
          <v:shape id="_x0000_i1060" type="#_x0000_t75" style="width:423.85pt;height:151.5pt">
            <v:imagedata r:id="rId77" o:title=""/>
          </v:shape>
        </w:pict>
      </w:r>
    </w:p>
    <w:p w14:paraId="297212AB" w14:textId="77777777" w:rsidR="00DE5CB1" w:rsidRPr="00117BF8" w:rsidRDefault="00DE5CB1" w:rsidP="004F3D41">
      <w:pPr>
        <w:pStyle w:val="Hfuente"/>
        <w:rPr>
          <w:rFonts w:ascii="Arial" w:eastAsia="Calibri" w:hAnsi="Arial" w:cs="Arial"/>
        </w:rPr>
      </w:pPr>
    </w:p>
    <w:p w14:paraId="1842E132" w14:textId="77777777" w:rsidR="00DE5CB1" w:rsidRPr="00117BF8" w:rsidRDefault="00117BF8" w:rsidP="004F3D41">
      <w:pPr>
        <w:pStyle w:val="Hfuente"/>
        <w:rPr>
          <w:rFonts w:ascii="Arial" w:eastAsia="Calibri" w:hAnsi="Arial" w:cs="Arial"/>
        </w:rPr>
      </w:pPr>
      <w:r w:rsidRPr="00117BF8">
        <w:rPr>
          <w:rFonts w:ascii="Arial" w:eastAsia="Calibri" w:hAnsi="Arial" w:cs="Arial"/>
        </w:rPr>
        <w:pict w14:anchorId="2BBC64F0">
          <v:shape id="_x0000_i1061" type="#_x0000_t75" style="width:425.75pt;height:101.45pt">
            <v:imagedata r:id="rId78" o:title=""/>
          </v:shape>
        </w:pict>
      </w:r>
    </w:p>
    <w:p w14:paraId="6BDC2951" w14:textId="77777777" w:rsidR="00DE5CB1" w:rsidRPr="00117BF8" w:rsidRDefault="00117BF8" w:rsidP="004F3D41">
      <w:pPr>
        <w:pStyle w:val="Hfuente"/>
        <w:rPr>
          <w:rFonts w:ascii="Arial" w:eastAsia="Calibri" w:hAnsi="Arial" w:cs="Arial"/>
        </w:rPr>
      </w:pPr>
      <w:r w:rsidRPr="00117BF8">
        <w:rPr>
          <w:rFonts w:ascii="Arial" w:eastAsia="Calibri" w:hAnsi="Arial" w:cs="Arial"/>
        </w:rPr>
        <w:pict w14:anchorId="2BBC64F1">
          <v:shape id="_x0000_i1062" type="#_x0000_t75" style="width:424.5pt;height:35.7pt">
            <v:imagedata r:id="rId79" o:title=""/>
          </v:shape>
        </w:pict>
      </w:r>
    </w:p>
    <w:p w14:paraId="2F42E9FC" w14:textId="77777777" w:rsidR="00DE5CB1" w:rsidRPr="00117BF8" w:rsidRDefault="00DE5CB1" w:rsidP="004F3D41">
      <w:pPr>
        <w:pStyle w:val="Hfuente"/>
        <w:rPr>
          <w:rFonts w:ascii="Arial" w:eastAsia="Calibri" w:hAnsi="Arial" w:cs="Arial"/>
        </w:rPr>
      </w:pPr>
    </w:p>
    <w:p w14:paraId="35172889" w14:textId="77777777" w:rsidR="00DE5CB1" w:rsidRPr="00117BF8" w:rsidRDefault="00117BF8" w:rsidP="004F3D41">
      <w:pPr>
        <w:pStyle w:val="Hfuente"/>
        <w:rPr>
          <w:rFonts w:ascii="Arial" w:eastAsia="Calibri" w:hAnsi="Arial" w:cs="Arial"/>
        </w:rPr>
      </w:pPr>
      <w:r w:rsidRPr="00117BF8">
        <w:rPr>
          <w:rFonts w:ascii="Arial" w:eastAsia="Calibri" w:hAnsi="Arial" w:cs="Arial"/>
        </w:rPr>
        <w:pict w14:anchorId="2BBC64F2">
          <v:shape id="_x0000_i1063" type="#_x0000_t75" style="width:425.1pt;height:192.85pt">
            <v:imagedata r:id="rId80" o:title=""/>
          </v:shape>
        </w:pict>
      </w:r>
    </w:p>
    <w:p w14:paraId="2B251838" w14:textId="77777777" w:rsidR="00DE5CB1" w:rsidRPr="00117BF8" w:rsidRDefault="00DE5CB1" w:rsidP="004F3D41">
      <w:pPr>
        <w:pStyle w:val="Hfuente"/>
        <w:rPr>
          <w:rFonts w:ascii="Arial" w:eastAsia="Calibri" w:hAnsi="Arial" w:cs="Arial"/>
        </w:rPr>
      </w:pPr>
    </w:p>
    <w:p w14:paraId="491EF416" w14:textId="77777777" w:rsidR="00DE5CB1" w:rsidRPr="00117BF8" w:rsidRDefault="00117BF8" w:rsidP="004F3D41">
      <w:pPr>
        <w:pStyle w:val="Hfuente"/>
        <w:rPr>
          <w:rFonts w:ascii="Arial" w:eastAsia="Calibri" w:hAnsi="Arial" w:cs="Arial"/>
        </w:rPr>
      </w:pPr>
      <w:r w:rsidRPr="00117BF8">
        <w:rPr>
          <w:rFonts w:ascii="Arial" w:eastAsia="Calibri" w:hAnsi="Arial" w:cs="Arial"/>
        </w:rPr>
        <w:pict w14:anchorId="2BBC64F3">
          <v:shape id="_x0000_i1064" type="#_x0000_t75" style="width:425.75pt;height:113.95pt">
            <v:imagedata r:id="rId81" o:title=""/>
          </v:shape>
        </w:pict>
      </w:r>
    </w:p>
    <w:p w14:paraId="5370A5BC" w14:textId="77777777" w:rsidR="00DE5CB1" w:rsidRPr="00117BF8" w:rsidRDefault="00DE5CB1" w:rsidP="004F3D41">
      <w:pPr>
        <w:pStyle w:val="Hfuente"/>
        <w:rPr>
          <w:rFonts w:ascii="Arial" w:eastAsia="Calibri" w:hAnsi="Arial" w:cs="Arial"/>
        </w:rPr>
      </w:pPr>
    </w:p>
    <w:p w14:paraId="23931123" w14:textId="77777777" w:rsidR="00C372B7" w:rsidRPr="00117BF8" w:rsidRDefault="00117BF8" w:rsidP="004F3D41">
      <w:pPr>
        <w:pStyle w:val="Hfuente"/>
        <w:rPr>
          <w:rFonts w:ascii="Arial" w:eastAsia="Calibri" w:hAnsi="Arial" w:cs="Arial"/>
        </w:rPr>
      </w:pPr>
      <w:r w:rsidRPr="00117BF8">
        <w:rPr>
          <w:rFonts w:ascii="Arial" w:eastAsia="Calibri" w:hAnsi="Arial" w:cs="Arial"/>
        </w:rPr>
        <w:pict w14:anchorId="2BBC64F4">
          <v:shape id="_x0000_i1065" type="#_x0000_t75" style="width:423.85pt;height:135.85pt">
            <v:imagedata r:id="rId82" o:title=""/>
          </v:shape>
        </w:pict>
      </w:r>
      <w:r w:rsidRPr="00117BF8">
        <w:rPr>
          <w:rFonts w:ascii="Arial" w:eastAsia="Calibri" w:hAnsi="Arial" w:cs="Arial"/>
        </w:rPr>
        <w:pict w14:anchorId="2BBC64F5">
          <v:shape id="_x0000_i1066" type="#_x0000_t75" style="width:424.5pt;height:68.85pt">
            <v:imagedata r:id="rId83" o:title=""/>
          </v:shape>
        </w:pict>
      </w:r>
    </w:p>
    <w:p w14:paraId="0A01A499" w14:textId="77777777" w:rsidR="002009BF" w:rsidRPr="00117BF8" w:rsidRDefault="00DE6A7C" w:rsidP="002009BF">
      <w:pPr>
        <w:pStyle w:val="Heading1"/>
        <w:rPr>
          <w:rFonts w:ascii="Arial" w:eastAsia="Calibri" w:hAnsi="Arial" w:cs="Arial"/>
          <w:sz w:val="22"/>
          <w:szCs w:val="22"/>
        </w:rPr>
      </w:pPr>
      <w:r w:rsidRPr="00117BF8">
        <w:rPr>
          <w:rFonts w:ascii="Arial" w:eastAsia="Calibri" w:hAnsi="Arial" w:cs="Arial"/>
        </w:rPr>
        <w:br w:type="page"/>
      </w:r>
      <w:bookmarkStart w:id="163" w:name="_Toc494040357"/>
      <w:r w:rsidR="002009BF" w:rsidRPr="00117BF8">
        <w:rPr>
          <w:rFonts w:ascii="Arial" w:eastAsia="Calibri" w:hAnsi="Arial" w:cs="Arial"/>
          <w:sz w:val="22"/>
          <w:szCs w:val="22"/>
        </w:rPr>
        <w:t xml:space="preserve">Anexo V – </w:t>
      </w:r>
      <w:r w:rsidR="002009BF" w:rsidRPr="00117BF8">
        <w:rPr>
          <w:rFonts w:ascii="Arial" w:hAnsi="Arial" w:cs="Arial"/>
          <w:sz w:val="22"/>
          <w:szCs w:val="22"/>
        </w:rPr>
        <w:t xml:space="preserve"> </w:t>
      </w:r>
      <w:r w:rsidR="001043B7" w:rsidRPr="00117BF8">
        <w:rPr>
          <w:rFonts w:ascii="Arial" w:hAnsi="Arial" w:cs="Arial"/>
          <w:sz w:val="22"/>
          <w:szCs w:val="22"/>
        </w:rPr>
        <w:t>Proyecciones Fiscales Elaboradas por la Provincia de Buenos Aires- Tablas Complementarias</w:t>
      </w:r>
      <w:bookmarkEnd w:id="163"/>
    </w:p>
    <w:p w14:paraId="43E82BF2" w14:textId="77777777" w:rsidR="002009BF" w:rsidRPr="00117BF8" w:rsidRDefault="002009BF" w:rsidP="002009BF">
      <w:pPr>
        <w:pStyle w:val="Hfuente"/>
        <w:rPr>
          <w:rFonts w:ascii="Arial" w:eastAsia="Calibri" w:hAnsi="Arial" w:cs="Arial"/>
        </w:rPr>
        <w:sectPr w:rsidR="002009BF" w:rsidRPr="00117BF8" w:rsidSect="00DE5CB1">
          <w:headerReference w:type="default" r:id="rId84"/>
          <w:footerReference w:type="default" r:id="rId85"/>
          <w:pgSz w:w="11907" w:h="16840"/>
          <w:pgMar w:top="1418" w:right="1701" w:bottom="1418" w:left="1701" w:header="851" w:footer="851" w:gutter="0"/>
          <w:cols w:space="720"/>
          <w:docGrid w:linePitch="326"/>
        </w:sectPr>
      </w:pPr>
    </w:p>
    <w:tbl>
      <w:tblPr>
        <w:tblW w:w="14197" w:type="dxa"/>
        <w:tblInd w:w="70" w:type="dxa"/>
        <w:tblCellMar>
          <w:left w:w="70" w:type="dxa"/>
          <w:right w:w="70" w:type="dxa"/>
        </w:tblCellMar>
        <w:tblLook w:val="04A0" w:firstRow="1" w:lastRow="0" w:firstColumn="1" w:lastColumn="0" w:noHBand="0" w:noVBand="1"/>
      </w:tblPr>
      <w:tblGrid>
        <w:gridCol w:w="2835"/>
        <w:gridCol w:w="874"/>
        <w:gridCol w:w="874"/>
        <w:gridCol w:w="874"/>
        <w:gridCol w:w="874"/>
        <w:gridCol w:w="874"/>
        <w:gridCol w:w="874"/>
        <w:gridCol w:w="874"/>
        <w:gridCol w:w="874"/>
        <w:gridCol w:w="874"/>
        <w:gridCol w:w="874"/>
        <w:gridCol w:w="874"/>
        <w:gridCol w:w="874"/>
        <w:gridCol w:w="874"/>
      </w:tblGrid>
      <w:tr w:rsidR="002009BF" w:rsidRPr="004E6455" w14:paraId="1527007A" w14:textId="77777777" w:rsidTr="001D3315">
        <w:trPr>
          <w:trHeight w:val="364"/>
        </w:trPr>
        <w:tc>
          <w:tcPr>
            <w:tcW w:w="14197" w:type="dxa"/>
            <w:gridSpan w:val="14"/>
            <w:tcBorders>
              <w:top w:val="single" w:sz="8" w:space="0" w:color="auto"/>
              <w:left w:val="single" w:sz="8" w:space="0" w:color="auto"/>
              <w:bottom w:val="single" w:sz="8" w:space="0" w:color="000000"/>
              <w:right w:val="single" w:sz="8" w:space="0" w:color="auto"/>
            </w:tcBorders>
            <w:shd w:val="clear" w:color="auto" w:fill="0070C0"/>
            <w:noWrap/>
          </w:tcPr>
          <w:p w14:paraId="3CEAC226" w14:textId="77777777" w:rsidR="002009BF" w:rsidRPr="00117BF8" w:rsidRDefault="002009BF" w:rsidP="002009BF">
            <w:pPr>
              <w:pStyle w:val="TablaT"/>
              <w:rPr>
                <w:rFonts w:ascii="Arial" w:hAnsi="Arial" w:cs="Arial"/>
                <w:sz w:val="22"/>
                <w:szCs w:val="22"/>
                <w:lang w:val="es-ES_tradnl"/>
              </w:rPr>
            </w:pPr>
            <w:bookmarkStart w:id="164" w:name="_Toc493861168"/>
            <w:r w:rsidRPr="00117BF8">
              <w:rPr>
                <w:rFonts w:ascii="Arial" w:hAnsi="Arial" w:cs="Arial"/>
                <w:sz w:val="22"/>
                <w:szCs w:val="22"/>
                <w:lang w:val="es-ES_tradnl"/>
              </w:rPr>
              <w:t>Tabla A V - 1 - Provincia de Buenos Aires - Administración Pública no Financiera - Proyección 2017-2028 (2016 valores Estimados) – Porcentaje del PGB</w:t>
            </w:r>
            <w:bookmarkEnd w:id="164"/>
          </w:p>
        </w:tc>
      </w:tr>
      <w:tr w:rsidR="002009BF" w:rsidRPr="00DF60B7" w14:paraId="5DF9FA66" w14:textId="77777777" w:rsidTr="001D3315">
        <w:trPr>
          <w:trHeight w:val="373"/>
        </w:trPr>
        <w:tc>
          <w:tcPr>
            <w:tcW w:w="2835"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44A058A" w14:textId="77777777" w:rsidR="002009BF" w:rsidRPr="00117BF8" w:rsidRDefault="002009BF" w:rsidP="001D3315">
            <w:pPr>
              <w:pStyle w:val="TablaE"/>
              <w:rPr>
                <w:rFonts w:ascii="Arial" w:hAnsi="Arial" w:cs="Arial"/>
                <w:sz w:val="20"/>
              </w:rPr>
            </w:pPr>
            <w:r w:rsidRPr="00117BF8">
              <w:rPr>
                <w:rFonts w:ascii="Arial" w:hAnsi="Arial" w:cs="Arial"/>
                <w:sz w:val="20"/>
              </w:rPr>
              <w:t>CONCEPTO</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6C341F7" w14:textId="77777777" w:rsidR="002009BF" w:rsidRPr="00117BF8" w:rsidRDefault="002009BF" w:rsidP="001D3315">
            <w:pPr>
              <w:pStyle w:val="TablaE"/>
              <w:rPr>
                <w:rFonts w:ascii="Arial" w:hAnsi="Arial" w:cs="Arial"/>
                <w:sz w:val="20"/>
              </w:rPr>
            </w:pPr>
            <w:r w:rsidRPr="00117BF8">
              <w:rPr>
                <w:rFonts w:ascii="Arial" w:hAnsi="Arial" w:cs="Arial"/>
                <w:sz w:val="20"/>
              </w:rPr>
              <w:t>2016</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BC6A1D5" w14:textId="77777777" w:rsidR="002009BF" w:rsidRPr="00117BF8" w:rsidRDefault="002009BF" w:rsidP="001D3315">
            <w:pPr>
              <w:pStyle w:val="TablaE"/>
              <w:rPr>
                <w:rFonts w:ascii="Arial" w:hAnsi="Arial" w:cs="Arial"/>
                <w:sz w:val="20"/>
              </w:rPr>
            </w:pPr>
            <w:r w:rsidRPr="00117BF8">
              <w:rPr>
                <w:rFonts w:ascii="Arial" w:hAnsi="Arial" w:cs="Arial"/>
                <w:sz w:val="20"/>
              </w:rPr>
              <w:t>2017</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E3B4105" w14:textId="77777777" w:rsidR="002009BF" w:rsidRPr="00117BF8" w:rsidRDefault="002009BF" w:rsidP="001D3315">
            <w:pPr>
              <w:pStyle w:val="TablaE"/>
              <w:rPr>
                <w:rFonts w:ascii="Arial" w:hAnsi="Arial" w:cs="Arial"/>
                <w:sz w:val="20"/>
              </w:rPr>
            </w:pPr>
            <w:r w:rsidRPr="00117BF8">
              <w:rPr>
                <w:rFonts w:ascii="Arial" w:hAnsi="Arial" w:cs="Arial"/>
                <w:sz w:val="20"/>
              </w:rPr>
              <w:t>2018</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23A3216" w14:textId="77777777" w:rsidR="002009BF" w:rsidRPr="00117BF8" w:rsidRDefault="002009BF" w:rsidP="001D3315">
            <w:pPr>
              <w:pStyle w:val="TablaE"/>
              <w:rPr>
                <w:rFonts w:ascii="Arial" w:hAnsi="Arial" w:cs="Arial"/>
                <w:sz w:val="20"/>
              </w:rPr>
            </w:pPr>
            <w:r w:rsidRPr="00117BF8">
              <w:rPr>
                <w:rFonts w:ascii="Arial" w:hAnsi="Arial" w:cs="Arial"/>
                <w:sz w:val="20"/>
              </w:rPr>
              <w:t>2019</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DA04498" w14:textId="77777777" w:rsidR="002009BF" w:rsidRPr="00117BF8" w:rsidRDefault="002009BF" w:rsidP="001D3315">
            <w:pPr>
              <w:pStyle w:val="TablaE"/>
              <w:rPr>
                <w:rFonts w:ascii="Arial" w:hAnsi="Arial" w:cs="Arial"/>
                <w:sz w:val="20"/>
              </w:rPr>
            </w:pPr>
            <w:r w:rsidRPr="00117BF8">
              <w:rPr>
                <w:rFonts w:ascii="Arial" w:hAnsi="Arial" w:cs="Arial"/>
                <w:sz w:val="20"/>
              </w:rPr>
              <w:t>2020</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8744374" w14:textId="77777777" w:rsidR="002009BF" w:rsidRPr="00117BF8" w:rsidRDefault="002009BF" w:rsidP="001D3315">
            <w:pPr>
              <w:pStyle w:val="TablaE"/>
              <w:rPr>
                <w:rFonts w:ascii="Arial" w:hAnsi="Arial" w:cs="Arial"/>
                <w:sz w:val="20"/>
              </w:rPr>
            </w:pPr>
            <w:r w:rsidRPr="00117BF8">
              <w:rPr>
                <w:rFonts w:ascii="Arial" w:hAnsi="Arial" w:cs="Arial"/>
                <w:sz w:val="20"/>
              </w:rPr>
              <w:t>2021</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F4C7084" w14:textId="77777777" w:rsidR="002009BF" w:rsidRPr="00117BF8" w:rsidRDefault="002009BF" w:rsidP="001D3315">
            <w:pPr>
              <w:pStyle w:val="TablaE"/>
              <w:rPr>
                <w:rFonts w:ascii="Arial" w:hAnsi="Arial" w:cs="Arial"/>
                <w:sz w:val="20"/>
              </w:rPr>
            </w:pPr>
            <w:r w:rsidRPr="00117BF8">
              <w:rPr>
                <w:rFonts w:ascii="Arial" w:hAnsi="Arial" w:cs="Arial"/>
                <w:sz w:val="20"/>
              </w:rPr>
              <w:t>2022</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2853459" w14:textId="77777777" w:rsidR="002009BF" w:rsidRPr="00117BF8" w:rsidRDefault="002009BF" w:rsidP="001D3315">
            <w:pPr>
              <w:pStyle w:val="TablaE"/>
              <w:rPr>
                <w:rFonts w:ascii="Arial" w:hAnsi="Arial" w:cs="Arial"/>
                <w:sz w:val="20"/>
              </w:rPr>
            </w:pPr>
            <w:r w:rsidRPr="00117BF8">
              <w:rPr>
                <w:rFonts w:ascii="Arial" w:hAnsi="Arial" w:cs="Arial"/>
                <w:sz w:val="20"/>
              </w:rPr>
              <w:t>2023</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B35FD3E" w14:textId="77777777" w:rsidR="002009BF" w:rsidRPr="00117BF8" w:rsidRDefault="002009BF" w:rsidP="001D3315">
            <w:pPr>
              <w:pStyle w:val="TablaE"/>
              <w:rPr>
                <w:rFonts w:ascii="Arial" w:hAnsi="Arial" w:cs="Arial"/>
                <w:sz w:val="20"/>
              </w:rPr>
            </w:pPr>
            <w:r w:rsidRPr="00117BF8">
              <w:rPr>
                <w:rFonts w:ascii="Arial" w:hAnsi="Arial" w:cs="Arial"/>
                <w:sz w:val="20"/>
              </w:rPr>
              <w:t>2024</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141153B" w14:textId="77777777" w:rsidR="002009BF" w:rsidRPr="00117BF8" w:rsidRDefault="002009BF" w:rsidP="001D3315">
            <w:pPr>
              <w:pStyle w:val="TablaE"/>
              <w:rPr>
                <w:rFonts w:ascii="Arial" w:hAnsi="Arial" w:cs="Arial"/>
                <w:sz w:val="20"/>
              </w:rPr>
            </w:pPr>
            <w:r w:rsidRPr="00117BF8">
              <w:rPr>
                <w:rFonts w:ascii="Arial" w:hAnsi="Arial" w:cs="Arial"/>
                <w:sz w:val="20"/>
              </w:rPr>
              <w:t>2025</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8D863E1" w14:textId="77777777" w:rsidR="002009BF" w:rsidRPr="00117BF8" w:rsidRDefault="002009BF" w:rsidP="001D3315">
            <w:pPr>
              <w:pStyle w:val="TablaE"/>
              <w:rPr>
                <w:rFonts w:ascii="Arial" w:hAnsi="Arial" w:cs="Arial"/>
                <w:sz w:val="20"/>
              </w:rPr>
            </w:pPr>
            <w:r w:rsidRPr="00117BF8">
              <w:rPr>
                <w:rFonts w:ascii="Arial" w:hAnsi="Arial" w:cs="Arial"/>
                <w:sz w:val="20"/>
              </w:rPr>
              <w:t>2026</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07C9ADC" w14:textId="77777777" w:rsidR="002009BF" w:rsidRPr="00117BF8" w:rsidRDefault="002009BF" w:rsidP="001D3315">
            <w:pPr>
              <w:pStyle w:val="TablaE"/>
              <w:rPr>
                <w:rFonts w:ascii="Arial" w:hAnsi="Arial" w:cs="Arial"/>
                <w:sz w:val="20"/>
              </w:rPr>
            </w:pPr>
            <w:r w:rsidRPr="00117BF8">
              <w:rPr>
                <w:rFonts w:ascii="Arial" w:hAnsi="Arial" w:cs="Arial"/>
                <w:sz w:val="20"/>
              </w:rPr>
              <w:t>2027</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74DC7E1" w14:textId="77777777" w:rsidR="002009BF" w:rsidRPr="00117BF8" w:rsidRDefault="002009BF" w:rsidP="001D3315">
            <w:pPr>
              <w:pStyle w:val="TablaE"/>
              <w:rPr>
                <w:rFonts w:ascii="Arial" w:hAnsi="Arial" w:cs="Arial"/>
                <w:sz w:val="20"/>
              </w:rPr>
            </w:pPr>
            <w:r w:rsidRPr="00117BF8">
              <w:rPr>
                <w:rFonts w:ascii="Arial" w:hAnsi="Arial" w:cs="Arial"/>
                <w:sz w:val="20"/>
              </w:rPr>
              <w:t>2028</w:t>
            </w:r>
          </w:p>
        </w:tc>
      </w:tr>
      <w:tr w:rsidR="002009BF" w:rsidRPr="004E6455" w14:paraId="73F47A2B" w14:textId="77777777" w:rsidTr="001D3315">
        <w:trPr>
          <w:trHeight w:val="255"/>
        </w:trPr>
        <w:tc>
          <w:tcPr>
            <w:tcW w:w="2835" w:type="dxa"/>
            <w:vMerge/>
            <w:tcBorders>
              <w:top w:val="single" w:sz="8" w:space="0" w:color="auto"/>
              <w:left w:val="single" w:sz="8" w:space="0" w:color="auto"/>
              <w:bottom w:val="single" w:sz="8" w:space="0" w:color="000000"/>
              <w:right w:val="single" w:sz="8" w:space="0" w:color="auto"/>
            </w:tcBorders>
            <w:shd w:val="clear" w:color="auto" w:fill="0070C0"/>
            <w:hideMark/>
          </w:tcPr>
          <w:p w14:paraId="5A07F7F7"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7EC0A18F"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3F02DB31"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6B9FC489"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6B439E86"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1C25641B"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617E2929"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3FFE036E"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0ED65E44"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50EB1F3C"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671A140A"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6E7FBC44"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3566677A"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349C8704" w14:textId="77777777" w:rsidR="002009BF" w:rsidRPr="004E6455" w:rsidRDefault="002009BF" w:rsidP="001D3315">
            <w:pPr>
              <w:spacing w:after="0"/>
              <w:jc w:val="left"/>
              <w:rPr>
                <w:rFonts w:ascii="Arial" w:hAnsi="Arial" w:cs="Arial"/>
                <w:b/>
                <w:bCs/>
                <w:i/>
                <w:iCs/>
                <w:sz w:val="22"/>
                <w:szCs w:val="22"/>
                <w:lang w:val="es-AR" w:eastAsia="es-AR"/>
              </w:rPr>
            </w:pPr>
          </w:p>
        </w:tc>
      </w:tr>
      <w:tr w:rsidR="002009BF" w:rsidRPr="00DF60B7" w14:paraId="507234CE" w14:textId="77777777" w:rsidTr="001D3315">
        <w:tc>
          <w:tcPr>
            <w:tcW w:w="2835" w:type="dxa"/>
            <w:tcBorders>
              <w:top w:val="nil"/>
              <w:left w:val="single" w:sz="8" w:space="0" w:color="auto"/>
              <w:bottom w:val="single" w:sz="8" w:space="0" w:color="auto"/>
              <w:right w:val="nil"/>
            </w:tcBorders>
            <w:shd w:val="clear" w:color="000000" w:fill="FFFFFF"/>
            <w:noWrap/>
            <w:hideMark/>
          </w:tcPr>
          <w:p w14:paraId="04FFBC09"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I. INGRESOS CORRIENTES</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61DD54D9"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13,34%</w:t>
            </w:r>
          </w:p>
        </w:tc>
        <w:tc>
          <w:tcPr>
            <w:tcW w:w="874" w:type="dxa"/>
            <w:tcBorders>
              <w:top w:val="nil"/>
              <w:left w:val="nil"/>
              <w:bottom w:val="single" w:sz="8" w:space="0" w:color="auto"/>
              <w:right w:val="single" w:sz="8" w:space="0" w:color="auto"/>
            </w:tcBorders>
            <w:shd w:val="clear" w:color="000000" w:fill="FFFFFF"/>
            <w:noWrap/>
            <w:vAlign w:val="center"/>
            <w:hideMark/>
          </w:tcPr>
          <w:p w14:paraId="030CEFC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13,72%</w:t>
            </w:r>
          </w:p>
        </w:tc>
        <w:tc>
          <w:tcPr>
            <w:tcW w:w="874" w:type="dxa"/>
            <w:tcBorders>
              <w:top w:val="nil"/>
              <w:left w:val="nil"/>
              <w:bottom w:val="single" w:sz="8" w:space="0" w:color="auto"/>
              <w:right w:val="single" w:sz="8" w:space="0" w:color="auto"/>
            </w:tcBorders>
            <w:shd w:val="clear" w:color="000000" w:fill="FFFFFF"/>
            <w:noWrap/>
            <w:vAlign w:val="center"/>
            <w:hideMark/>
          </w:tcPr>
          <w:p w14:paraId="2257BB8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13,58%</w:t>
            </w:r>
          </w:p>
        </w:tc>
        <w:tc>
          <w:tcPr>
            <w:tcW w:w="874" w:type="dxa"/>
            <w:tcBorders>
              <w:top w:val="nil"/>
              <w:left w:val="nil"/>
              <w:bottom w:val="single" w:sz="8" w:space="0" w:color="auto"/>
              <w:right w:val="single" w:sz="8" w:space="0" w:color="auto"/>
            </w:tcBorders>
            <w:shd w:val="clear" w:color="000000" w:fill="FFFFFF"/>
            <w:noWrap/>
            <w:vAlign w:val="center"/>
            <w:hideMark/>
          </w:tcPr>
          <w:p w14:paraId="1AC1E4CB"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13,76%</w:t>
            </w:r>
          </w:p>
        </w:tc>
        <w:tc>
          <w:tcPr>
            <w:tcW w:w="874" w:type="dxa"/>
            <w:tcBorders>
              <w:top w:val="nil"/>
              <w:left w:val="nil"/>
              <w:bottom w:val="single" w:sz="8" w:space="0" w:color="auto"/>
              <w:right w:val="single" w:sz="8" w:space="0" w:color="auto"/>
            </w:tcBorders>
            <w:shd w:val="clear" w:color="000000" w:fill="FFFFFF"/>
            <w:noWrap/>
            <w:vAlign w:val="center"/>
            <w:hideMark/>
          </w:tcPr>
          <w:p w14:paraId="1B72F37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13,58%</w:t>
            </w:r>
          </w:p>
        </w:tc>
        <w:tc>
          <w:tcPr>
            <w:tcW w:w="874" w:type="dxa"/>
            <w:tcBorders>
              <w:top w:val="nil"/>
              <w:left w:val="nil"/>
              <w:bottom w:val="single" w:sz="8" w:space="0" w:color="auto"/>
              <w:right w:val="single" w:sz="8" w:space="0" w:color="auto"/>
            </w:tcBorders>
            <w:shd w:val="clear" w:color="000000" w:fill="FFFFFF"/>
            <w:noWrap/>
            <w:vAlign w:val="center"/>
            <w:hideMark/>
          </w:tcPr>
          <w:p w14:paraId="23F242F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13,43%</w:t>
            </w:r>
          </w:p>
        </w:tc>
        <w:tc>
          <w:tcPr>
            <w:tcW w:w="874" w:type="dxa"/>
            <w:tcBorders>
              <w:top w:val="nil"/>
              <w:left w:val="nil"/>
              <w:bottom w:val="single" w:sz="8" w:space="0" w:color="auto"/>
              <w:right w:val="single" w:sz="8" w:space="0" w:color="auto"/>
            </w:tcBorders>
            <w:shd w:val="clear" w:color="000000" w:fill="FFFFFF"/>
            <w:noWrap/>
            <w:vAlign w:val="center"/>
            <w:hideMark/>
          </w:tcPr>
          <w:p w14:paraId="2000D74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13,30%</w:t>
            </w:r>
          </w:p>
        </w:tc>
        <w:tc>
          <w:tcPr>
            <w:tcW w:w="874" w:type="dxa"/>
            <w:tcBorders>
              <w:top w:val="nil"/>
              <w:left w:val="nil"/>
              <w:bottom w:val="single" w:sz="8" w:space="0" w:color="auto"/>
              <w:right w:val="single" w:sz="8" w:space="0" w:color="auto"/>
            </w:tcBorders>
            <w:shd w:val="clear" w:color="000000" w:fill="FFFFFF"/>
            <w:noWrap/>
            <w:vAlign w:val="center"/>
            <w:hideMark/>
          </w:tcPr>
          <w:p w14:paraId="5B50745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13,17%</w:t>
            </w:r>
          </w:p>
        </w:tc>
        <w:tc>
          <w:tcPr>
            <w:tcW w:w="874" w:type="dxa"/>
            <w:tcBorders>
              <w:top w:val="nil"/>
              <w:left w:val="nil"/>
              <w:bottom w:val="single" w:sz="8" w:space="0" w:color="auto"/>
              <w:right w:val="single" w:sz="8" w:space="0" w:color="auto"/>
            </w:tcBorders>
            <w:shd w:val="clear" w:color="000000" w:fill="FFFFFF"/>
            <w:noWrap/>
            <w:vAlign w:val="center"/>
            <w:hideMark/>
          </w:tcPr>
          <w:p w14:paraId="388B555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13,05%</w:t>
            </w:r>
          </w:p>
        </w:tc>
        <w:tc>
          <w:tcPr>
            <w:tcW w:w="874" w:type="dxa"/>
            <w:tcBorders>
              <w:top w:val="nil"/>
              <w:left w:val="nil"/>
              <w:bottom w:val="single" w:sz="8" w:space="0" w:color="auto"/>
              <w:right w:val="single" w:sz="8" w:space="0" w:color="auto"/>
            </w:tcBorders>
            <w:shd w:val="clear" w:color="000000" w:fill="FFFFFF"/>
            <w:noWrap/>
            <w:vAlign w:val="center"/>
            <w:hideMark/>
          </w:tcPr>
          <w:p w14:paraId="5455C57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12,93%</w:t>
            </w:r>
          </w:p>
        </w:tc>
        <w:tc>
          <w:tcPr>
            <w:tcW w:w="874" w:type="dxa"/>
            <w:tcBorders>
              <w:top w:val="nil"/>
              <w:left w:val="nil"/>
              <w:bottom w:val="single" w:sz="8" w:space="0" w:color="auto"/>
              <w:right w:val="single" w:sz="8" w:space="0" w:color="auto"/>
            </w:tcBorders>
            <w:shd w:val="clear" w:color="000000" w:fill="FFFFFF"/>
            <w:noWrap/>
            <w:vAlign w:val="center"/>
            <w:hideMark/>
          </w:tcPr>
          <w:p w14:paraId="79865946"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12,82%</w:t>
            </w:r>
          </w:p>
        </w:tc>
        <w:tc>
          <w:tcPr>
            <w:tcW w:w="874" w:type="dxa"/>
            <w:tcBorders>
              <w:top w:val="nil"/>
              <w:left w:val="nil"/>
              <w:bottom w:val="single" w:sz="8" w:space="0" w:color="auto"/>
              <w:right w:val="single" w:sz="8" w:space="0" w:color="auto"/>
            </w:tcBorders>
            <w:shd w:val="clear" w:color="000000" w:fill="FFFFFF"/>
            <w:noWrap/>
            <w:vAlign w:val="center"/>
            <w:hideMark/>
          </w:tcPr>
          <w:p w14:paraId="321BBED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12,71%</w:t>
            </w:r>
          </w:p>
        </w:tc>
        <w:tc>
          <w:tcPr>
            <w:tcW w:w="874" w:type="dxa"/>
            <w:tcBorders>
              <w:top w:val="nil"/>
              <w:left w:val="nil"/>
              <w:bottom w:val="single" w:sz="8" w:space="0" w:color="auto"/>
              <w:right w:val="single" w:sz="8" w:space="0" w:color="auto"/>
            </w:tcBorders>
            <w:shd w:val="clear" w:color="000000" w:fill="FFFFFF"/>
            <w:noWrap/>
            <w:vAlign w:val="center"/>
            <w:hideMark/>
          </w:tcPr>
          <w:p w14:paraId="6D7584B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12,61%</w:t>
            </w:r>
          </w:p>
        </w:tc>
      </w:tr>
      <w:tr w:rsidR="002009BF" w:rsidRPr="00DF60B7" w14:paraId="5060BA50" w14:textId="77777777" w:rsidTr="001D3315">
        <w:tc>
          <w:tcPr>
            <w:tcW w:w="2835" w:type="dxa"/>
            <w:tcBorders>
              <w:top w:val="nil"/>
              <w:left w:val="single" w:sz="8" w:space="0" w:color="auto"/>
              <w:bottom w:val="nil"/>
              <w:right w:val="nil"/>
            </w:tcBorders>
            <w:shd w:val="clear" w:color="000000" w:fill="FFFFFF"/>
            <w:noWrap/>
            <w:hideMark/>
          </w:tcPr>
          <w:p w14:paraId="48609D46"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Tributarios</w:t>
            </w:r>
          </w:p>
        </w:tc>
        <w:tc>
          <w:tcPr>
            <w:tcW w:w="874" w:type="dxa"/>
            <w:tcBorders>
              <w:top w:val="nil"/>
              <w:left w:val="single" w:sz="8" w:space="0" w:color="auto"/>
              <w:bottom w:val="nil"/>
              <w:right w:val="single" w:sz="8" w:space="0" w:color="auto"/>
            </w:tcBorders>
            <w:shd w:val="clear" w:color="000000" w:fill="FFFFFF"/>
            <w:noWrap/>
            <w:vAlign w:val="center"/>
            <w:hideMark/>
          </w:tcPr>
          <w:p w14:paraId="3D7E697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9,13%</w:t>
            </w:r>
          </w:p>
        </w:tc>
        <w:tc>
          <w:tcPr>
            <w:tcW w:w="874" w:type="dxa"/>
            <w:tcBorders>
              <w:top w:val="nil"/>
              <w:left w:val="nil"/>
              <w:bottom w:val="nil"/>
              <w:right w:val="single" w:sz="8" w:space="0" w:color="auto"/>
            </w:tcBorders>
            <w:shd w:val="clear" w:color="000000" w:fill="FFFFFF"/>
            <w:noWrap/>
            <w:vAlign w:val="center"/>
            <w:hideMark/>
          </w:tcPr>
          <w:p w14:paraId="35A198D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9,53%</w:t>
            </w:r>
          </w:p>
        </w:tc>
        <w:tc>
          <w:tcPr>
            <w:tcW w:w="874" w:type="dxa"/>
            <w:tcBorders>
              <w:top w:val="nil"/>
              <w:left w:val="nil"/>
              <w:bottom w:val="nil"/>
              <w:right w:val="single" w:sz="8" w:space="0" w:color="auto"/>
            </w:tcBorders>
            <w:shd w:val="clear" w:color="000000" w:fill="FFFFFF"/>
            <w:noWrap/>
            <w:vAlign w:val="center"/>
            <w:hideMark/>
          </w:tcPr>
          <w:p w14:paraId="1370F49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9,69%</w:t>
            </w:r>
          </w:p>
        </w:tc>
        <w:tc>
          <w:tcPr>
            <w:tcW w:w="874" w:type="dxa"/>
            <w:tcBorders>
              <w:top w:val="nil"/>
              <w:left w:val="nil"/>
              <w:bottom w:val="nil"/>
              <w:right w:val="single" w:sz="8" w:space="0" w:color="auto"/>
            </w:tcBorders>
            <w:shd w:val="clear" w:color="000000" w:fill="FFFFFF"/>
            <w:noWrap/>
            <w:vAlign w:val="center"/>
            <w:hideMark/>
          </w:tcPr>
          <w:p w14:paraId="6F648DE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10,04%</w:t>
            </w:r>
          </w:p>
        </w:tc>
        <w:tc>
          <w:tcPr>
            <w:tcW w:w="874" w:type="dxa"/>
            <w:tcBorders>
              <w:top w:val="nil"/>
              <w:left w:val="nil"/>
              <w:bottom w:val="nil"/>
              <w:right w:val="single" w:sz="8" w:space="0" w:color="auto"/>
            </w:tcBorders>
            <w:shd w:val="clear" w:color="000000" w:fill="FFFFFF"/>
            <w:noWrap/>
            <w:vAlign w:val="center"/>
            <w:hideMark/>
          </w:tcPr>
          <w:p w14:paraId="7FA4246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10,01%</w:t>
            </w:r>
          </w:p>
        </w:tc>
        <w:tc>
          <w:tcPr>
            <w:tcW w:w="874" w:type="dxa"/>
            <w:tcBorders>
              <w:top w:val="nil"/>
              <w:left w:val="nil"/>
              <w:bottom w:val="nil"/>
              <w:right w:val="single" w:sz="8" w:space="0" w:color="auto"/>
            </w:tcBorders>
            <w:shd w:val="clear" w:color="000000" w:fill="FFFFFF"/>
            <w:noWrap/>
            <w:vAlign w:val="center"/>
            <w:hideMark/>
          </w:tcPr>
          <w:p w14:paraId="5715E68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9,99%</w:t>
            </w:r>
          </w:p>
        </w:tc>
        <w:tc>
          <w:tcPr>
            <w:tcW w:w="874" w:type="dxa"/>
            <w:tcBorders>
              <w:top w:val="nil"/>
              <w:left w:val="nil"/>
              <w:bottom w:val="nil"/>
              <w:right w:val="single" w:sz="8" w:space="0" w:color="auto"/>
            </w:tcBorders>
            <w:shd w:val="clear" w:color="000000" w:fill="FFFFFF"/>
            <w:noWrap/>
            <w:vAlign w:val="center"/>
            <w:hideMark/>
          </w:tcPr>
          <w:p w14:paraId="7E3991C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9,96%</w:t>
            </w:r>
          </w:p>
        </w:tc>
        <w:tc>
          <w:tcPr>
            <w:tcW w:w="874" w:type="dxa"/>
            <w:tcBorders>
              <w:top w:val="nil"/>
              <w:left w:val="nil"/>
              <w:bottom w:val="nil"/>
              <w:right w:val="single" w:sz="8" w:space="0" w:color="auto"/>
            </w:tcBorders>
            <w:shd w:val="clear" w:color="000000" w:fill="FFFFFF"/>
            <w:noWrap/>
            <w:vAlign w:val="center"/>
            <w:hideMark/>
          </w:tcPr>
          <w:p w14:paraId="019B274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9,94%</w:t>
            </w:r>
          </w:p>
        </w:tc>
        <w:tc>
          <w:tcPr>
            <w:tcW w:w="874" w:type="dxa"/>
            <w:tcBorders>
              <w:top w:val="nil"/>
              <w:left w:val="nil"/>
              <w:bottom w:val="nil"/>
              <w:right w:val="single" w:sz="8" w:space="0" w:color="auto"/>
            </w:tcBorders>
            <w:shd w:val="clear" w:color="000000" w:fill="FFFFFF"/>
            <w:noWrap/>
            <w:vAlign w:val="center"/>
            <w:hideMark/>
          </w:tcPr>
          <w:p w14:paraId="383DFB6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9,91%</w:t>
            </w:r>
          </w:p>
        </w:tc>
        <w:tc>
          <w:tcPr>
            <w:tcW w:w="874" w:type="dxa"/>
            <w:tcBorders>
              <w:top w:val="nil"/>
              <w:left w:val="nil"/>
              <w:bottom w:val="nil"/>
              <w:right w:val="single" w:sz="8" w:space="0" w:color="auto"/>
            </w:tcBorders>
            <w:shd w:val="clear" w:color="000000" w:fill="FFFFFF"/>
            <w:noWrap/>
            <w:vAlign w:val="center"/>
            <w:hideMark/>
          </w:tcPr>
          <w:p w14:paraId="3CE24B8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9,89%</w:t>
            </w:r>
          </w:p>
        </w:tc>
        <w:tc>
          <w:tcPr>
            <w:tcW w:w="874" w:type="dxa"/>
            <w:tcBorders>
              <w:top w:val="nil"/>
              <w:left w:val="nil"/>
              <w:bottom w:val="nil"/>
              <w:right w:val="single" w:sz="8" w:space="0" w:color="auto"/>
            </w:tcBorders>
            <w:shd w:val="clear" w:color="000000" w:fill="FFFFFF"/>
            <w:noWrap/>
            <w:vAlign w:val="center"/>
            <w:hideMark/>
          </w:tcPr>
          <w:p w14:paraId="5078465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9,87%</w:t>
            </w:r>
          </w:p>
        </w:tc>
        <w:tc>
          <w:tcPr>
            <w:tcW w:w="874" w:type="dxa"/>
            <w:tcBorders>
              <w:top w:val="nil"/>
              <w:left w:val="nil"/>
              <w:bottom w:val="nil"/>
              <w:right w:val="single" w:sz="8" w:space="0" w:color="auto"/>
            </w:tcBorders>
            <w:shd w:val="clear" w:color="000000" w:fill="FFFFFF"/>
            <w:noWrap/>
            <w:vAlign w:val="center"/>
            <w:hideMark/>
          </w:tcPr>
          <w:p w14:paraId="312E8E2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9,84%</w:t>
            </w:r>
          </w:p>
        </w:tc>
        <w:tc>
          <w:tcPr>
            <w:tcW w:w="874" w:type="dxa"/>
            <w:tcBorders>
              <w:top w:val="nil"/>
              <w:left w:val="nil"/>
              <w:bottom w:val="nil"/>
              <w:right w:val="single" w:sz="8" w:space="0" w:color="auto"/>
            </w:tcBorders>
            <w:shd w:val="clear" w:color="000000" w:fill="FFFFFF"/>
            <w:noWrap/>
            <w:vAlign w:val="center"/>
            <w:hideMark/>
          </w:tcPr>
          <w:p w14:paraId="6211651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9,82%</w:t>
            </w:r>
          </w:p>
        </w:tc>
      </w:tr>
      <w:tr w:rsidR="002009BF" w:rsidRPr="00DF60B7" w14:paraId="2DD9F0C3" w14:textId="77777777" w:rsidTr="001D3315">
        <w:tc>
          <w:tcPr>
            <w:tcW w:w="2835" w:type="dxa"/>
            <w:tcBorders>
              <w:top w:val="nil"/>
              <w:left w:val="single" w:sz="8" w:space="0" w:color="auto"/>
              <w:bottom w:val="nil"/>
              <w:right w:val="nil"/>
            </w:tcBorders>
            <w:shd w:val="clear" w:color="000000" w:fill="FFFFFF"/>
            <w:noWrap/>
            <w:hideMark/>
          </w:tcPr>
          <w:p w14:paraId="29D8726B" w14:textId="77777777" w:rsidR="002009BF" w:rsidRPr="00117BF8" w:rsidRDefault="002009BF"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Contrib. a la Seguridad Social</w:t>
            </w:r>
          </w:p>
        </w:tc>
        <w:tc>
          <w:tcPr>
            <w:tcW w:w="874" w:type="dxa"/>
            <w:tcBorders>
              <w:top w:val="nil"/>
              <w:left w:val="single" w:sz="8" w:space="0" w:color="auto"/>
              <w:bottom w:val="nil"/>
              <w:right w:val="single" w:sz="8" w:space="0" w:color="auto"/>
            </w:tcBorders>
            <w:shd w:val="clear" w:color="000000" w:fill="FFFFFF"/>
            <w:noWrap/>
            <w:vAlign w:val="center"/>
            <w:hideMark/>
          </w:tcPr>
          <w:p w14:paraId="6FAA472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2,33%</w:t>
            </w:r>
          </w:p>
        </w:tc>
        <w:tc>
          <w:tcPr>
            <w:tcW w:w="874" w:type="dxa"/>
            <w:tcBorders>
              <w:top w:val="nil"/>
              <w:left w:val="nil"/>
              <w:bottom w:val="nil"/>
              <w:right w:val="single" w:sz="8" w:space="0" w:color="auto"/>
            </w:tcBorders>
            <w:shd w:val="clear" w:color="000000" w:fill="FFFFFF"/>
            <w:noWrap/>
            <w:vAlign w:val="center"/>
            <w:hideMark/>
          </w:tcPr>
          <w:p w14:paraId="7278FD5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2,27%</w:t>
            </w:r>
          </w:p>
        </w:tc>
        <w:tc>
          <w:tcPr>
            <w:tcW w:w="874" w:type="dxa"/>
            <w:tcBorders>
              <w:top w:val="nil"/>
              <w:left w:val="nil"/>
              <w:bottom w:val="nil"/>
              <w:right w:val="single" w:sz="8" w:space="0" w:color="auto"/>
            </w:tcBorders>
            <w:shd w:val="clear" w:color="000000" w:fill="FFFFFF"/>
            <w:noWrap/>
            <w:vAlign w:val="center"/>
            <w:hideMark/>
          </w:tcPr>
          <w:p w14:paraId="269C89D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2,15%</w:t>
            </w:r>
          </w:p>
        </w:tc>
        <w:tc>
          <w:tcPr>
            <w:tcW w:w="874" w:type="dxa"/>
            <w:tcBorders>
              <w:top w:val="nil"/>
              <w:left w:val="nil"/>
              <w:bottom w:val="nil"/>
              <w:right w:val="single" w:sz="8" w:space="0" w:color="auto"/>
            </w:tcBorders>
            <w:shd w:val="clear" w:color="000000" w:fill="FFFFFF"/>
            <w:noWrap/>
            <w:vAlign w:val="center"/>
            <w:hideMark/>
          </w:tcPr>
          <w:p w14:paraId="5E61BC3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2,09%</w:t>
            </w:r>
          </w:p>
        </w:tc>
        <w:tc>
          <w:tcPr>
            <w:tcW w:w="874" w:type="dxa"/>
            <w:tcBorders>
              <w:top w:val="nil"/>
              <w:left w:val="nil"/>
              <w:bottom w:val="nil"/>
              <w:right w:val="single" w:sz="8" w:space="0" w:color="auto"/>
            </w:tcBorders>
            <w:shd w:val="clear" w:color="000000" w:fill="FFFFFF"/>
            <w:noWrap/>
            <w:vAlign w:val="center"/>
            <w:hideMark/>
          </w:tcPr>
          <w:p w14:paraId="667EC7D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2,02%</w:t>
            </w:r>
          </w:p>
        </w:tc>
        <w:tc>
          <w:tcPr>
            <w:tcW w:w="874" w:type="dxa"/>
            <w:tcBorders>
              <w:top w:val="nil"/>
              <w:left w:val="nil"/>
              <w:bottom w:val="nil"/>
              <w:right w:val="single" w:sz="8" w:space="0" w:color="auto"/>
            </w:tcBorders>
            <w:shd w:val="clear" w:color="000000" w:fill="FFFFFF"/>
            <w:noWrap/>
            <w:vAlign w:val="center"/>
            <w:hideMark/>
          </w:tcPr>
          <w:p w14:paraId="28C5B45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1,97%</w:t>
            </w:r>
          </w:p>
        </w:tc>
        <w:tc>
          <w:tcPr>
            <w:tcW w:w="874" w:type="dxa"/>
            <w:tcBorders>
              <w:top w:val="nil"/>
              <w:left w:val="nil"/>
              <w:bottom w:val="nil"/>
              <w:right w:val="single" w:sz="8" w:space="0" w:color="auto"/>
            </w:tcBorders>
            <w:shd w:val="clear" w:color="000000" w:fill="FFFFFF"/>
            <w:noWrap/>
            <w:vAlign w:val="center"/>
            <w:hideMark/>
          </w:tcPr>
          <w:p w14:paraId="43A32AC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1,94%</w:t>
            </w:r>
          </w:p>
        </w:tc>
        <w:tc>
          <w:tcPr>
            <w:tcW w:w="874" w:type="dxa"/>
            <w:tcBorders>
              <w:top w:val="nil"/>
              <w:left w:val="nil"/>
              <w:bottom w:val="nil"/>
              <w:right w:val="single" w:sz="8" w:space="0" w:color="auto"/>
            </w:tcBorders>
            <w:shd w:val="clear" w:color="000000" w:fill="FFFFFF"/>
            <w:noWrap/>
            <w:vAlign w:val="center"/>
            <w:hideMark/>
          </w:tcPr>
          <w:p w14:paraId="65AD7D6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1,90%</w:t>
            </w:r>
          </w:p>
        </w:tc>
        <w:tc>
          <w:tcPr>
            <w:tcW w:w="874" w:type="dxa"/>
            <w:tcBorders>
              <w:top w:val="nil"/>
              <w:left w:val="nil"/>
              <w:bottom w:val="nil"/>
              <w:right w:val="single" w:sz="8" w:space="0" w:color="auto"/>
            </w:tcBorders>
            <w:shd w:val="clear" w:color="000000" w:fill="FFFFFF"/>
            <w:noWrap/>
            <w:vAlign w:val="center"/>
            <w:hideMark/>
          </w:tcPr>
          <w:p w14:paraId="4BB068C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1,87%</w:t>
            </w:r>
          </w:p>
        </w:tc>
        <w:tc>
          <w:tcPr>
            <w:tcW w:w="874" w:type="dxa"/>
            <w:tcBorders>
              <w:top w:val="nil"/>
              <w:left w:val="nil"/>
              <w:bottom w:val="nil"/>
              <w:right w:val="single" w:sz="8" w:space="0" w:color="auto"/>
            </w:tcBorders>
            <w:shd w:val="clear" w:color="000000" w:fill="FFFFFF"/>
            <w:noWrap/>
            <w:vAlign w:val="center"/>
            <w:hideMark/>
          </w:tcPr>
          <w:p w14:paraId="49AF7E8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1,84%</w:t>
            </w:r>
          </w:p>
        </w:tc>
        <w:tc>
          <w:tcPr>
            <w:tcW w:w="874" w:type="dxa"/>
            <w:tcBorders>
              <w:top w:val="nil"/>
              <w:left w:val="nil"/>
              <w:bottom w:val="nil"/>
              <w:right w:val="single" w:sz="8" w:space="0" w:color="auto"/>
            </w:tcBorders>
            <w:shd w:val="clear" w:color="000000" w:fill="FFFFFF"/>
            <w:noWrap/>
            <w:vAlign w:val="center"/>
            <w:hideMark/>
          </w:tcPr>
          <w:p w14:paraId="6C9575F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1,80%</w:t>
            </w:r>
          </w:p>
        </w:tc>
        <w:tc>
          <w:tcPr>
            <w:tcW w:w="874" w:type="dxa"/>
            <w:tcBorders>
              <w:top w:val="nil"/>
              <w:left w:val="nil"/>
              <w:bottom w:val="nil"/>
              <w:right w:val="single" w:sz="8" w:space="0" w:color="auto"/>
            </w:tcBorders>
            <w:shd w:val="clear" w:color="000000" w:fill="FFFFFF"/>
            <w:noWrap/>
            <w:vAlign w:val="center"/>
            <w:hideMark/>
          </w:tcPr>
          <w:p w14:paraId="3CDAEFF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1,77%</w:t>
            </w:r>
          </w:p>
        </w:tc>
        <w:tc>
          <w:tcPr>
            <w:tcW w:w="874" w:type="dxa"/>
            <w:tcBorders>
              <w:top w:val="nil"/>
              <w:left w:val="nil"/>
              <w:bottom w:val="nil"/>
              <w:right w:val="single" w:sz="8" w:space="0" w:color="auto"/>
            </w:tcBorders>
            <w:shd w:val="clear" w:color="000000" w:fill="FFFFFF"/>
            <w:noWrap/>
            <w:vAlign w:val="center"/>
            <w:hideMark/>
          </w:tcPr>
          <w:p w14:paraId="363517A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1,74%</w:t>
            </w:r>
          </w:p>
        </w:tc>
      </w:tr>
      <w:tr w:rsidR="002009BF" w:rsidRPr="00DF60B7" w14:paraId="266E5DB8" w14:textId="77777777" w:rsidTr="001D3315">
        <w:tc>
          <w:tcPr>
            <w:tcW w:w="2835" w:type="dxa"/>
            <w:tcBorders>
              <w:top w:val="nil"/>
              <w:left w:val="single" w:sz="8" w:space="0" w:color="auto"/>
              <w:bottom w:val="nil"/>
              <w:right w:val="nil"/>
            </w:tcBorders>
            <w:shd w:val="clear" w:color="000000" w:fill="FFFFFF"/>
            <w:noWrap/>
            <w:hideMark/>
          </w:tcPr>
          <w:p w14:paraId="1CF62310"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No Tributarios</w:t>
            </w:r>
          </w:p>
        </w:tc>
        <w:tc>
          <w:tcPr>
            <w:tcW w:w="874" w:type="dxa"/>
            <w:tcBorders>
              <w:top w:val="nil"/>
              <w:left w:val="single" w:sz="8" w:space="0" w:color="auto"/>
              <w:bottom w:val="nil"/>
              <w:right w:val="single" w:sz="8" w:space="0" w:color="auto"/>
            </w:tcBorders>
            <w:shd w:val="clear" w:color="000000" w:fill="FFFFFF"/>
            <w:noWrap/>
            <w:vAlign w:val="center"/>
            <w:hideMark/>
          </w:tcPr>
          <w:p w14:paraId="29ABD57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1,88%</w:t>
            </w:r>
          </w:p>
        </w:tc>
        <w:tc>
          <w:tcPr>
            <w:tcW w:w="874" w:type="dxa"/>
            <w:tcBorders>
              <w:top w:val="nil"/>
              <w:left w:val="nil"/>
              <w:bottom w:val="nil"/>
              <w:right w:val="single" w:sz="8" w:space="0" w:color="auto"/>
            </w:tcBorders>
            <w:shd w:val="clear" w:color="000000" w:fill="FFFFFF"/>
            <w:noWrap/>
            <w:vAlign w:val="center"/>
            <w:hideMark/>
          </w:tcPr>
          <w:p w14:paraId="4028CFA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1,92%</w:t>
            </w:r>
          </w:p>
        </w:tc>
        <w:tc>
          <w:tcPr>
            <w:tcW w:w="874" w:type="dxa"/>
            <w:tcBorders>
              <w:top w:val="nil"/>
              <w:left w:val="nil"/>
              <w:bottom w:val="nil"/>
              <w:right w:val="single" w:sz="8" w:space="0" w:color="auto"/>
            </w:tcBorders>
            <w:shd w:val="clear" w:color="000000" w:fill="FFFFFF"/>
            <w:noWrap/>
            <w:vAlign w:val="center"/>
            <w:hideMark/>
          </w:tcPr>
          <w:p w14:paraId="78B2436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1,74%</w:t>
            </w:r>
          </w:p>
        </w:tc>
        <w:tc>
          <w:tcPr>
            <w:tcW w:w="874" w:type="dxa"/>
            <w:tcBorders>
              <w:top w:val="nil"/>
              <w:left w:val="nil"/>
              <w:bottom w:val="nil"/>
              <w:right w:val="single" w:sz="8" w:space="0" w:color="auto"/>
            </w:tcBorders>
            <w:shd w:val="clear" w:color="000000" w:fill="FFFFFF"/>
            <w:noWrap/>
            <w:vAlign w:val="center"/>
            <w:hideMark/>
          </w:tcPr>
          <w:p w14:paraId="69D1BB0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1,63%</w:t>
            </w:r>
          </w:p>
        </w:tc>
        <w:tc>
          <w:tcPr>
            <w:tcW w:w="874" w:type="dxa"/>
            <w:tcBorders>
              <w:top w:val="nil"/>
              <w:left w:val="nil"/>
              <w:bottom w:val="nil"/>
              <w:right w:val="single" w:sz="8" w:space="0" w:color="auto"/>
            </w:tcBorders>
            <w:shd w:val="clear" w:color="000000" w:fill="FFFFFF"/>
            <w:noWrap/>
            <w:vAlign w:val="center"/>
            <w:hideMark/>
          </w:tcPr>
          <w:p w14:paraId="2E012DA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1,55%</w:t>
            </w:r>
          </w:p>
        </w:tc>
        <w:tc>
          <w:tcPr>
            <w:tcW w:w="874" w:type="dxa"/>
            <w:tcBorders>
              <w:top w:val="nil"/>
              <w:left w:val="nil"/>
              <w:bottom w:val="nil"/>
              <w:right w:val="single" w:sz="8" w:space="0" w:color="auto"/>
            </w:tcBorders>
            <w:shd w:val="clear" w:color="000000" w:fill="FFFFFF"/>
            <w:noWrap/>
            <w:vAlign w:val="center"/>
            <w:hideMark/>
          </w:tcPr>
          <w:p w14:paraId="7E4109E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1,47%</w:t>
            </w:r>
          </w:p>
        </w:tc>
        <w:tc>
          <w:tcPr>
            <w:tcW w:w="874" w:type="dxa"/>
            <w:tcBorders>
              <w:top w:val="nil"/>
              <w:left w:val="nil"/>
              <w:bottom w:val="nil"/>
              <w:right w:val="single" w:sz="8" w:space="0" w:color="auto"/>
            </w:tcBorders>
            <w:shd w:val="clear" w:color="000000" w:fill="FFFFFF"/>
            <w:noWrap/>
            <w:vAlign w:val="center"/>
            <w:hideMark/>
          </w:tcPr>
          <w:p w14:paraId="2026B40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1,40%</w:t>
            </w:r>
          </w:p>
        </w:tc>
        <w:tc>
          <w:tcPr>
            <w:tcW w:w="874" w:type="dxa"/>
            <w:tcBorders>
              <w:top w:val="nil"/>
              <w:left w:val="nil"/>
              <w:bottom w:val="nil"/>
              <w:right w:val="single" w:sz="8" w:space="0" w:color="auto"/>
            </w:tcBorders>
            <w:shd w:val="clear" w:color="000000" w:fill="FFFFFF"/>
            <w:noWrap/>
            <w:vAlign w:val="center"/>
            <w:hideMark/>
          </w:tcPr>
          <w:p w14:paraId="07D5057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1,33%</w:t>
            </w:r>
          </w:p>
        </w:tc>
        <w:tc>
          <w:tcPr>
            <w:tcW w:w="874" w:type="dxa"/>
            <w:tcBorders>
              <w:top w:val="nil"/>
              <w:left w:val="nil"/>
              <w:bottom w:val="nil"/>
              <w:right w:val="single" w:sz="8" w:space="0" w:color="auto"/>
            </w:tcBorders>
            <w:shd w:val="clear" w:color="000000" w:fill="FFFFFF"/>
            <w:noWrap/>
            <w:vAlign w:val="center"/>
            <w:hideMark/>
          </w:tcPr>
          <w:p w14:paraId="123EDA4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1,27%</w:t>
            </w:r>
          </w:p>
        </w:tc>
        <w:tc>
          <w:tcPr>
            <w:tcW w:w="874" w:type="dxa"/>
            <w:tcBorders>
              <w:top w:val="nil"/>
              <w:left w:val="nil"/>
              <w:bottom w:val="nil"/>
              <w:right w:val="single" w:sz="8" w:space="0" w:color="auto"/>
            </w:tcBorders>
            <w:shd w:val="clear" w:color="000000" w:fill="FFFFFF"/>
            <w:noWrap/>
            <w:vAlign w:val="center"/>
            <w:hideMark/>
          </w:tcPr>
          <w:p w14:paraId="1047C26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1,21%</w:t>
            </w:r>
          </w:p>
        </w:tc>
        <w:tc>
          <w:tcPr>
            <w:tcW w:w="874" w:type="dxa"/>
            <w:tcBorders>
              <w:top w:val="nil"/>
              <w:left w:val="nil"/>
              <w:bottom w:val="nil"/>
              <w:right w:val="single" w:sz="8" w:space="0" w:color="auto"/>
            </w:tcBorders>
            <w:shd w:val="clear" w:color="000000" w:fill="FFFFFF"/>
            <w:noWrap/>
            <w:vAlign w:val="center"/>
            <w:hideMark/>
          </w:tcPr>
          <w:p w14:paraId="2BFA04F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1,15%</w:t>
            </w:r>
          </w:p>
        </w:tc>
        <w:tc>
          <w:tcPr>
            <w:tcW w:w="874" w:type="dxa"/>
            <w:tcBorders>
              <w:top w:val="nil"/>
              <w:left w:val="nil"/>
              <w:bottom w:val="nil"/>
              <w:right w:val="single" w:sz="8" w:space="0" w:color="auto"/>
            </w:tcBorders>
            <w:shd w:val="clear" w:color="000000" w:fill="FFFFFF"/>
            <w:noWrap/>
            <w:vAlign w:val="center"/>
            <w:hideMark/>
          </w:tcPr>
          <w:p w14:paraId="319D7B3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1,09%</w:t>
            </w:r>
          </w:p>
        </w:tc>
        <w:tc>
          <w:tcPr>
            <w:tcW w:w="874" w:type="dxa"/>
            <w:tcBorders>
              <w:top w:val="nil"/>
              <w:left w:val="nil"/>
              <w:bottom w:val="nil"/>
              <w:right w:val="single" w:sz="8" w:space="0" w:color="auto"/>
            </w:tcBorders>
            <w:shd w:val="clear" w:color="000000" w:fill="FFFFFF"/>
            <w:noWrap/>
            <w:vAlign w:val="center"/>
            <w:hideMark/>
          </w:tcPr>
          <w:p w14:paraId="018D57C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1,04%</w:t>
            </w:r>
          </w:p>
        </w:tc>
      </w:tr>
      <w:tr w:rsidR="002009BF" w:rsidRPr="00DF60B7" w14:paraId="22A6639C" w14:textId="77777777" w:rsidTr="001D3315">
        <w:tc>
          <w:tcPr>
            <w:tcW w:w="2835" w:type="dxa"/>
            <w:tcBorders>
              <w:top w:val="single" w:sz="8" w:space="0" w:color="auto"/>
              <w:left w:val="single" w:sz="8" w:space="0" w:color="auto"/>
              <w:bottom w:val="single" w:sz="8" w:space="0" w:color="auto"/>
              <w:right w:val="nil"/>
            </w:tcBorders>
            <w:shd w:val="clear" w:color="000000" w:fill="FFFFFF"/>
            <w:noWrap/>
            <w:hideMark/>
          </w:tcPr>
          <w:p w14:paraId="730E1430"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II. GASTOS CORRIENTES</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E29718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13,73%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6F63D6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13,72%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F9EC37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13,23%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8BE1376"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13,00%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EFD5E5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12,85%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918626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12,58%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784EC8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12,36%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171E2D5"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12,16%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917FAA4"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11,99%</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7F749A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11,80%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44D28BD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11,62%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C4B01E8"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11,44%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4494FC78"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11,27%</w:t>
            </w:r>
          </w:p>
        </w:tc>
      </w:tr>
      <w:tr w:rsidR="002009BF" w:rsidRPr="00DF60B7" w14:paraId="11511876" w14:textId="77777777" w:rsidTr="001D3315">
        <w:tc>
          <w:tcPr>
            <w:tcW w:w="2835" w:type="dxa"/>
            <w:tcBorders>
              <w:top w:val="nil"/>
              <w:left w:val="single" w:sz="8" w:space="0" w:color="auto"/>
              <w:bottom w:val="nil"/>
              <w:right w:val="nil"/>
            </w:tcBorders>
            <w:shd w:val="clear" w:color="000000" w:fill="FFFFFF"/>
            <w:noWrap/>
            <w:hideMark/>
          </w:tcPr>
          <w:p w14:paraId="64480D3E"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Personal</w:t>
            </w:r>
          </w:p>
        </w:tc>
        <w:tc>
          <w:tcPr>
            <w:tcW w:w="874" w:type="dxa"/>
            <w:tcBorders>
              <w:top w:val="nil"/>
              <w:left w:val="single" w:sz="8" w:space="0" w:color="auto"/>
              <w:bottom w:val="nil"/>
              <w:right w:val="single" w:sz="8" w:space="0" w:color="auto"/>
            </w:tcBorders>
            <w:shd w:val="clear" w:color="000000" w:fill="FFFFFF"/>
            <w:noWrap/>
            <w:vAlign w:val="center"/>
            <w:hideMark/>
          </w:tcPr>
          <w:p w14:paraId="3B30FED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6,93%</w:t>
            </w:r>
          </w:p>
        </w:tc>
        <w:tc>
          <w:tcPr>
            <w:tcW w:w="874" w:type="dxa"/>
            <w:tcBorders>
              <w:top w:val="nil"/>
              <w:left w:val="nil"/>
              <w:bottom w:val="nil"/>
              <w:right w:val="single" w:sz="8" w:space="0" w:color="auto"/>
            </w:tcBorders>
            <w:shd w:val="clear" w:color="000000" w:fill="FFFFFF"/>
            <w:noWrap/>
            <w:vAlign w:val="center"/>
            <w:hideMark/>
          </w:tcPr>
          <w:p w14:paraId="61ADF0A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6,99%</w:t>
            </w:r>
          </w:p>
        </w:tc>
        <w:tc>
          <w:tcPr>
            <w:tcW w:w="874" w:type="dxa"/>
            <w:tcBorders>
              <w:top w:val="nil"/>
              <w:left w:val="nil"/>
              <w:bottom w:val="nil"/>
              <w:right w:val="single" w:sz="8" w:space="0" w:color="auto"/>
            </w:tcBorders>
            <w:shd w:val="clear" w:color="000000" w:fill="FFFFFF"/>
            <w:noWrap/>
            <w:vAlign w:val="center"/>
            <w:hideMark/>
          </w:tcPr>
          <w:p w14:paraId="68F5E90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6,62%</w:t>
            </w:r>
          </w:p>
        </w:tc>
        <w:tc>
          <w:tcPr>
            <w:tcW w:w="874" w:type="dxa"/>
            <w:tcBorders>
              <w:top w:val="nil"/>
              <w:left w:val="nil"/>
              <w:bottom w:val="nil"/>
              <w:right w:val="single" w:sz="8" w:space="0" w:color="auto"/>
            </w:tcBorders>
            <w:shd w:val="clear" w:color="000000" w:fill="FFFFFF"/>
            <w:noWrap/>
            <w:vAlign w:val="center"/>
            <w:hideMark/>
          </w:tcPr>
          <w:p w14:paraId="3CF9410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6,42%</w:t>
            </w:r>
          </w:p>
        </w:tc>
        <w:tc>
          <w:tcPr>
            <w:tcW w:w="874" w:type="dxa"/>
            <w:tcBorders>
              <w:top w:val="nil"/>
              <w:left w:val="nil"/>
              <w:bottom w:val="nil"/>
              <w:right w:val="single" w:sz="8" w:space="0" w:color="auto"/>
            </w:tcBorders>
            <w:shd w:val="clear" w:color="000000" w:fill="FFFFFF"/>
            <w:noWrap/>
            <w:vAlign w:val="center"/>
            <w:hideMark/>
          </w:tcPr>
          <w:p w14:paraId="4141809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6,32%</w:t>
            </w:r>
          </w:p>
        </w:tc>
        <w:tc>
          <w:tcPr>
            <w:tcW w:w="874" w:type="dxa"/>
            <w:tcBorders>
              <w:top w:val="nil"/>
              <w:left w:val="nil"/>
              <w:bottom w:val="nil"/>
              <w:right w:val="single" w:sz="8" w:space="0" w:color="auto"/>
            </w:tcBorders>
            <w:shd w:val="clear" w:color="000000" w:fill="FFFFFF"/>
            <w:noWrap/>
            <w:vAlign w:val="center"/>
            <w:hideMark/>
          </w:tcPr>
          <w:p w14:paraId="08EE034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6,18%</w:t>
            </w:r>
          </w:p>
        </w:tc>
        <w:tc>
          <w:tcPr>
            <w:tcW w:w="874" w:type="dxa"/>
            <w:tcBorders>
              <w:top w:val="nil"/>
              <w:left w:val="nil"/>
              <w:bottom w:val="nil"/>
              <w:right w:val="single" w:sz="8" w:space="0" w:color="auto"/>
            </w:tcBorders>
            <w:shd w:val="clear" w:color="000000" w:fill="FFFFFF"/>
            <w:noWrap/>
            <w:vAlign w:val="center"/>
            <w:hideMark/>
          </w:tcPr>
          <w:p w14:paraId="2E00BB5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6,07%</w:t>
            </w:r>
          </w:p>
        </w:tc>
        <w:tc>
          <w:tcPr>
            <w:tcW w:w="874" w:type="dxa"/>
            <w:tcBorders>
              <w:top w:val="nil"/>
              <w:left w:val="nil"/>
              <w:bottom w:val="nil"/>
              <w:right w:val="single" w:sz="8" w:space="0" w:color="auto"/>
            </w:tcBorders>
            <w:shd w:val="clear" w:color="000000" w:fill="FFFFFF"/>
            <w:noWrap/>
            <w:vAlign w:val="center"/>
            <w:hideMark/>
          </w:tcPr>
          <w:p w14:paraId="6D20F9A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5,96%</w:t>
            </w:r>
          </w:p>
        </w:tc>
        <w:tc>
          <w:tcPr>
            <w:tcW w:w="874" w:type="dxa"/>
            <w:tcBorders>
              <w:top w:val="nil"/>
              <w:left w:val="nil"/>
              <w:bottom w:val="nil"/>
              <w:right w:val="single" w:sz="8" w:space="0" w:color="auto"/>
            </w:tcBorders>
            <w:shd w:val="clear" w:color="000000" w:fill="FFFFFF"/>
            <w:noWrap/>
            <w:vAlign w:val="center"/>
            <w:hideMark/>
          </w:tcPr>
          <w:p w14:paraId="2516B38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5,86%</w:t>
            </w:r>
          </w:p>
        </w:tc>
        <w:tc>
          <w:tcPr>
            <w:tcW w:w="874" w:type="dxa"/>
            <w:tcBorders>
              <w:top w:val="nil"/>
              <w:left w:val="nil"/>
              <w:bottom w:val="nil"/>
              <w:right w:val="single" w:sz="8" w:space="0" w:color="auto"/>
            </w:tcBorders>
            <w:shd w:val="clear" w:color="000000" w:fill="FFFFFF"/>
            <w:noWrap/>
            <w:vAlign w:val="center"/>
            <w:hideMark/>
          </w:tcPr>
          <w:p w14:paraId="72F2ABB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5,76%</w:t>
            </w:r>
          </w:p>
        </w:tc>
        <w:tc>
          <w:tcPr>
            <w:tcW w:w="874" w:type="dxa"/>
            <w:tcBorders>
              <w:top w:val="nil"/>
              <w:left w:val="nil"/>
              <w:bottom w:val="nil"/>
              <w:right w:val="single" w:sz="8" w:space="0" w:color="auto"/>
            </w:tcBorders>
            <w:shd w:val="clear" w:color="000000" w:fill="FFFFFF"/>
            <w:noWrap/>
            <w:vAlign w:val="center"/>
            <w:hideMark/>
          </w:tcPr>
          <w:p w14:paraId="62B3867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5,66%</w:t>
            </w:r>
          </w:p>
        </w:tc>
        <w:tc>
          <w:tcPr>
            <w:tcW w:w="874" w:type="dxa"/>
            <w:tcBorders>
              <w:top w:val="nil"/>
              <w:left w:val="nil"/>
              <w:bottom w:val="nil"/>
              <w:right w:val="single" w:sz="8" w:space="0" w:color="auto"/>
            </w:tcBorders>
            <w:shd w:val="clear" w:color="000000" w:fill="FFFFFF"/>
            <w:noWrap/>
            <w:vAlign w:val="center"/>
            <w:hideMark/>
          </w:tcPr>
          <w:p w14:paraId="1C3A798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5,56%</w:t>
            </w:r>
          </w:p>
        </w:tc>
        <w:tc>
          <w:tcPr>
            <w:tcW w:w="874" w:type="dxa"/>
            <w:tcBorders>
              <w:top w:val="nil"/>
              <w:left w:val="nil"/>
              <w:bottom w:val="nil"/>
              <w:right w:val="single" w:sz="8" w:space="0" w:color="auto"/>
            </w:tcBorders>
            <w:shd w:val="clear" w:color="000000" w:fill="FFFFFF"/>
            <w:noWrap/>
            <w:vAlign w:val="center"/>
            <w:hideMark/>
          </w:tcPr>
          <w:p w14:paraId="0A559C1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5,47%</w:t>
            </w:r>
          </w:p>
        </w:tc>
      </w:tr>
      <w:tr w:rsidR="002009BF" w:rsidRPr="00DF60B7" w14:paraId="2255C787" w14:textId="77777777" w:rsidTr="001D3315">
        <w:tc>
          <w:tcPr>
            <w:tcW w:w="2835" w:type="dxa"/>
            <w:tcBorders>
              <w:top w:val="nil"/>
              <w:left w:val="single" w:sz="8" w:space="0" w:color="auto"/>
              <w:bottom w:val="nil"/>
              <w:right w:val="nil"/>
            </w:tcBorders>
            <w:shd w:val="clear" w:color="000000" w:fill="FFFFFF"/>
            <w:noWrap/>
            <w:hideMark/>
          </w:tcPr>
          <w:p w14:paraId="6F242A00"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Bienes y Servicios</w:t>
            </w:r>
          </w:p>
        </w:tc>
        <w:tc>
          <w:tcPr>
            <w:tcW w:w="874" w:type="dxa"/>
            <w:tcBorders>
              <w:top w:val="nil"/>
              <w:left w:val="single" w:sz="8" w:space="0" w:color="auto"/>
              <w:bottom w:val="nil"/>
              <w:right w:val="single" w:sz="8" w:space="0" w:color="auto"/>
            </w:tcBorders>
            <w:shd w:val="clear" w:color="000000" w:fill="FFFFFF"/>
            <w:noWrap/>
            <w:vAlign w:val="center"/>
            <w:hideMark/>
          </w:tcPr>
          <w:p w14:paraId="596C389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27C4A73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3E4ED99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71FD768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23B9E82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2E0AD27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7039EE7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797DF1A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6FAD0E0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0,74%</w:t>
            </w:r>
          </w:p>
        </w:tc>
        <w:tc>
          <w:tcPr>
            <w:tcW w:w="874" w:type="dxa"/>
            <w:tcBorders>
              <w:top w:val="nil"/>
              <w:left w:val="nil"/>
              <w:bottom w:val="nil"/>
              <w:right w:val="single" w:sz="8" w:space="0" w:color="auto"/>
            </w:tcBorders>
            <w:shd w:val="clear" w:color="000000" w:fill="FFFFFF"/>
            <w:noWrap/>
            <w:vAlign w:val="center"/>
            <w:hideMark/>
          </w:tcPr>
          <w:p w14:paraId="5CFF10F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0,73%</w:t>
            </w:r>
          </w:p>
        </w:tc>
        <w:tc>
          <w:tcPr>
            <w:tcW w:w="874" w:type="dxa"/>
            <w:tcBorders>
              <w:top w:val="nil"/>
              <w:left w:val="nil"/>
              <w:bottom w:val="nil"/>
              <w:right w:val="single" w:sz="8" w:space="0" w:color="auto"/>
            </w:tcBorders>
            <w:shd w:val="clear" w:color="000000" w:fill="FFFFFF"/>
            <w:noWrap/>
            <w:vAlign w:val="center"/>
            <w:hideMark/>
          </w:tcPr>
          <w:p w14:paraId="403A63B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0,73%</w:t>
            </w:r>
          </w:p>
        </w:tc>
        <w:tc>
          <w:tcPr>
            <w:tcW w:w="874" w:type="dxa"/>
            <w:tcBorders>
              <w:top w:val="nil"/>
              <w:left w:val="nil"/>
              <w:bottom w:val="nil"/>
              <w:right w:val="single" w:sz="8" w:space="0" w:color="auto"/>
            </w:tcBorders>
            <w:shd w:val="clear" w:color="000000" w:fill="FFFFFF"/>
            <w:noWrap/>
            <w:vAlign w:val="center"/>
            <w:hideMark/>
          </w:tcPr>
          <w:p w14:paraId="1B0F4B3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0,73%</w:t>
            </w:r>
          </w:p>
        </w:tc>
        <w:tc>
          <w:tcPr>
            <w:tcW w:w="874" w:type="dxa"/>
            <w:tcBorders>
              <w:top w:val="nil"/>
              <w:left w:val="nil"/>
              <w:bottom w:val="nil"/>
              <w:right w:val="single" w:sz="8" w:space="0" w:color="auto"/>
            </w:tcBorders>
            <w:shd w:val="clear" w:color="000000" w:fill="FFFFFF"/>
            <w:noWrap/>
            <w:vAlign w:val="center"/>
            <w:hideMark/>
          </w:tcPr>
          <w:p w14:paraId="34C5C65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0,73%</w:t>
            </w:r>
          </w:p>
        </w:tc>
      </w:tr>
      <w:tr w:rsidR="002009BF" w:rsidRPr="00DF60B7" w14:paraId="68245408" w14:textId="77777777" w:rsidTr="001D3315">
        <w:tc>
          <w:tcPr>
            <w:tcW w:w="2835" w:type="dxa"/>
            <w:tcBorders>
              <w:top w:val="nil"/>
              <w:left w:val="single" w:sz="8" w:space="0" w:color="auto"/>
              <w:bottom w:val="nil"/>
              <w:right w:val="nil"/>
            </w:tcBorders>
            <w:shd w:val="clear" w:color="000000" w:fill="FFFFFF"/>
            <w:noWrap/>
            <w:hideMark/>
          </w:tcPr>
          <w:p w14:paraId="4FD43F10"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Intereses</w:t>
            </w:r>
          </w:p>
        </w:tc>
        <w:tc>
          <w:tcPr>
            <w:tcW w:w="874" w:type="dxa"/>
            <w:tcBorders>
              <w:top w:val="nil"/>
              <w:left w:val="single" w:sz="8" w:space="0" w:color="auto"/>
              <w:bottom w:val="nil"/>
              <w:right w:val="single" w:sz="8" w:space="0" w:color="auto"/>
            </w:tcBorders>
            <w:shd w:val="clear" w:color="000000" w:fill="FFFFFF"/>
            <w:noWrap/>
            <w:vAlign w:val="center"/>
            <w:hideMark/>
          </w:tcPr>
          <w:p w14:paraId="1C842B6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0,51%</w:t>
            </w:r>
          </w:p>
        </w:tc>
        <w:tc>
          <w:tcPr>
            <w:tcW w:w="874" w:type="dxa"/>
            <w:tcBorders>
              <w:top w:val="nil"/>
              <w:left w:val="nil"/>
              <w:bottom w:val="nil"/>
              <w:right w:val="single" w:sz="8" w:space="0" w:color="auto"/>
            </w:tcBorders>
            <w:shd w:val="clear" w:color="000000" w:fill="FFFFFF"/>
            <w:noWrap/>
            <w:vAlign w:val="center"/>
            <w:hideMark/>
          </w:tcPr>
          <w:p w14:paraId="1582833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0,66%</w:t>
            </w:r>
          </w:p>
        </w:tc>
        <w:tc>
          <w:tcPr>
            <w:tcW w:w="874" w:type="dxa"/>
            <w:tcBorders>
              <w:top w:val="nil"/>
              <w:left w:val="nil"/>
              <w:bottom w:val="nil"/>
              <w:right w:val="single" w:sz="8" w:space="0" w:color="auto"/>
            </w:tcBorders>
            <w:shd w:val="clear" w:color="000000" w:fill="FFFFFF"/>
            <w:noWrap/>
            <w:vAlign w:val="center"/>
            <w:hideMark/>
          </w:tcPr>
          <w:p w14:paraId="4AF0723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0,65%</w:t>
            </w:r>
          </w:p>
        </w:tc>
        <w:tc>
          <w:tcPr>
            <w:tcW w:w="874" w:type="dxa"/>
            <w:tcBorders>
              <w:top w:val="nil"/>
              <w:left w:val="nil"/>
              <w:bottom w:val="nil"/>
              <w:right w:val="single" w:sz="8" w:space="0" w:color="auto"/>
            </w:tcBorders>
            <w:shd w:val="clear" w:color="000000" w:fill="FFFFFF"/>
            <w:noWrap/>
            <w:vAlign w:val="center"/>
            <w:hideMark/>
          </w:tcPr>
          <w:p w14:paraId="055A089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0,69%</w:t>
            </w:r>
          </w:p>
        </w:tc>
        <w:tc>
          <w:tcPr>
            <w:tcW w:w="874" w:type="dxa"/>
            <w:tcBorders>
              <w:top w:val="nil"/>
              <w:left w:val="nil"/>
              <w:bottom w:val="nil"/>
              <w:right w:val="single" w:sz="8" w:space="0" w:color="auto"/>
            </w:tcBorders>
            <w:shd w:val="clear" w:color="000000" w:fill="FFFFFF"/>
            <w:noWrap/>
            <w:vAlign w:val="center"/>
            <w:hideMark/>
          </w:tcPr>
          <w:p w14:paraId="6A08383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0,65%</w:t>
            </w:r>
          </w:p>
        </w:tc>
        <w:tc>
          <w:tcPr>
            <w:tcW w:w="874" w:type="dxa"/>
            <w:tcBorders>
              <w:top w:val="nil"/>
              <w:left w:val="nil"/>
              <w:bottom w:val="nil"/>
              <w:right w:val="single" w:sz="8" w:space="0" w:color="auto"/>
            </w:tcBorders>
            <w:shd w:val="clear" w:color="000000" w:fill="FFFFFF"/>
            <w:noWrap/>
            <w:vAlign w:val="center"/>
            <w:hideMark/>
          </w:tcPr>
          <w:p w14:paraId="586141A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0,61%</w:t>
            </w:r>
          </w:p>
        </w:tc>
        <w:tc>
          <w:tcPr>
            <w:tcW w:w="874" w:type="dxa"/>
            <w:tcBorders>
              <w:top w:val="nil"/>
              <w:left w:val="nil"/>
              <w:bottom w:val="nil"/>
              <w:right w:val="single" w:sz="8" w:space="0" w:color="auto"/>
            </w:tcBorders>
            <w:shd w:val="clear" w:color="000000" w:fill="FFFFFF"/>
            <w:noWrap/>
            <w:vAlign w:val="center"/>
            <w:hideMark/>
          </w:tcPr>
          <w:p w14:paraId="2620ECA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0,56%</w:t>
            </w:r>
          </w:p>
        </w:tc>
        <w:tc>
          <w:tcPr>
            <w:tcW w:w="874" w:type="dxa"/>
            <w:tcBorders>
              <w:top w:val="nil"/>
              <w:left w:val="nil"/>
              <w:bottom w:val="nil"/>
              <w:right w:val="single" w:sz="8" w:space="0" w:color="auto"/>
            </w:tcBorders>
            <w:shd w:val="clear" w:color="000000" w:fill="FFFFFF"/>
            <w:noWrap/>
            <w:vAlign w:val="center"/>
            <w:hideMark/>
          </w:tcPr>
          <w:p w14:paraId="5822961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0,53%</w:t>
            </w:r>
          </w:p>
        </w:tc>
        <w:tc>
          <w:tcPr>
            <w:tcW w:w="874" w:type="dxa"/>
            <w:tcBorders>
              <w:top w:val="nil"/>
              <w:left w:val="nil"/>
              <w:bottom w:val="nil"/>
              <w:right w:val="single" w:sz="8" w:space="0" w:color="auto"/>
            </w:tcBorders>
            <w:shd w:val="clear" w:color="000000" w:fill="FFFFFF"/>
            <w:noWrap/>
            <w:vAlign w:val="center"/>
            <w:hideMark/>
          </w:tcPr>
          <w:p w14:paraId="41E57DC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0,52%</w:t>
            </w:r>
          </w:p>
        </w:tc>
        <w:tc>
          <w:tcPr>
            <w:tcW w:w="874" w:type="dxa"/>
            <w:tcBorders>
              <w:top w:val="nil"/>
              <w:left w:val="nil"/>
              <w:bottom w:val="nil"/>
              <w:right w:val="single" w:sz="8" w:space="0" w:color="auto"/>
            </w:tcBorders>
            <w:shd w:val="clear" w:color="000000" w:fill="FFFFFF"/>
            <w:noWrap/>
            <w:vAlign w:val="center"/>
            <w:hideMark/>
          </w:tcPr>
          <w:p w14:paraId="1C17DBD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0,49%</w:t>
            </w:r>
          </w:p>
        </w:tc>
        <w:tc>
          <w:tcPr>
            <w:tcW w:w="874" w:type="dxa"/>
            <w:tcBorders>
              <w:top w:val="nil"/>
              <w:left w:val="nil"/>
              <w:bottom w:val="nil"/>
              <w:right w:val="single" w:sz="8" w:space="0" w:color="auto"/>
            </w:tcBorders>
            <w:shd w:val="clear" w:color="000000" w:fill="FFFFFF"/>
            <w:noWrap/>
            <w:vAlign w:val="center"/>
            <w:hideMark/>
          </w:tcPr>
          <w:p w14:paraId="5A59B40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0,47%</w:t>
            </w:r>
          </w:p>
        </w:tc>
        <w:tc>
          <w:tcPr>
            <w:tcW w:w="874" w:type="dxa"/>
            <w:tcBorders>
              <w:top w:val="nil"/>
              <w:left w:val="nil"/>
              <w:bottom w:val="nil"/>
              <w:right w:val="single" w:sz="8" w:space="0" w:color="auto"/>
            </w:tcBorders>
            <w:shd w:val="clear" w:color="000000" w:fill="FFFFFF"/>
            <w:noWrap/>
            <w:vAlign w:val="center"/>
            <w:hideMark/>
          </w:tcPr>
          <w:p w14:paraId="3E5D349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0,45%</w:t>
            </w:r>
          </w:p>
        </w:tc>
        <w:tc>
          <w:tcPr>
            <w:tcW w:w="874" w:type="dxa"/>
            <w:tcBorders>
              <w:top w:val="nil"/>
              <w:left w:val="nil"/>
              <w:bottom w:val="nil"/>
              <w:right w:val="single" w:sz="8" w:space="0" w:color="auto"/>
            </w:tcBorders>
            <w:shd w:val="clear" w:color="000000" w:fill="FFFFFF"/>
            <w:noWrap/>
            <w:vAlign w:val="center"/>
            <w:hideMark/>
          </w:tcPr>
          <w:p w14:paraId="18B80F0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0,43%</w:t>
            </w:r>
          </w:p>
        </w:tc>
      </w:tr>
      <w:tr w:rsidR="002009BF" w:rsidRPr="00DF60B7" w14:paraId="75A59B17" w14:textId="77777777" w:rsidTr="001D3315">
        <w:tc>
          <w:tcPr>
            <w:tcW w:w="2835" w:type="dxa"/>
            <w:tcBorders>
              <w:top w:val="nil"/>
              <w:left w:val="single" w:sz="8" w:space="0" w:color="auto"/>
              <w:bottom w:val="nil"/>
              <w:right w:val="nil"/>
            </w:tcBorders>
            <w:shd w:val="clear" w:color="000000" w:fill="FFFFFF"/>
            <w:noWrap/>
            <w:hideMark/>
          </w:tcPr>
          <w:p w14:paraId="54B8995C" w14:textId="77777777" w:rsidR="002009BF" w:rsidRPr="00117BF8" w:rsidRDefault="002009BF"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Prestaciones de la Seguridad Social</w:t>
            </w:r>
          </w:p>
        </w:tc>
        <w:tc>
          <w:tcPr>
            <w:tcW w:w="874" w:type="dxa"/>
            <w:tcBorders>
              <w:top w:val="nil"/>
              <w:left w:val="single" w:sz="8" w:space="0" w:color="auto"/>
              <w:bottom w:val="nil"/>
              <w:right w:val="single" w:sz="8" w:space="0" w:color="auto"/>
            </w:tcBorders>
            <w:shd w:val="clear" w:color="000000" w:fill="FFFFFF"/>
            <w:noWrap/>
            <w:vAlign w:val="center"/>
            <w:hideMark/>
          </w:tcPr>
          <w:p w14:paraId="48E0523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2,43%</w:t>
            </w:r>
          </w:p>
        </w:tc>
        <w:tc>
          <w:tcPr>
            <w:tcW w:w="874" w:type="dxa"/>
            <w:tcBorders>
              <w:top w:val="nil"/>
              <w:left w:val="nil"/>
              <w:bottom w:val="nil"/>
              <w:right w:val="single" w:sz="8" w:space="0" w:color="auto"/>
            </w:tcBorders>
            <w:shd w:val="clear" w:color="000000" w:fill="FFFFFF"/>
            <w:noWrap/>
            <w:vAlign w:val="center"/>
            <w:hideMark/>
          </w:tcPr>
          <w:p w14:paraId="60BDC74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2,36%</w:t>
            </w:r>
          </w:p>
        </w:tc>
        <w:tc>
          <w:tcPr>
            <w:tcW w:w="874" w:type="dxa"/>
            <w:tcBorders>
              <w:top w:val="nil"/>
              <w:left w:val="nil"/>
              <w:bottom w:val="nil"/>
              <w:right w:val="single" w:sz="8" w:space="0" w:color="auto"/>
            </w:tcBorders>
            <w:shd w:val="clear" w:color="000000" w:fill="FFFFFF"/>
            <w:noWrap/>
            <w:vAlign w:val="center"/>
            <w:hideMark/>
          </w:tcPr>
          <w:p w14:paraId="6B924EA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2,23%</w:t>
            </w:r>
          </w:p>
        </w:tc>
        <w:tc>
          <w:tcPr>
            <w:tcW w:w="874" w:type="dxa"/>
            <w:tcBorders>
              <w:top w:val="nil"/>
              <w:left w:val="nil"/>
              <w:bottom w:val="nil"/>
              <w:right w:val="single" w:sz="8" w:space="0" w:color="auto"/>
            </w:tcBorders>
            <w:shd w:val="clear" w:color="000000" w:fill="FFFFFF"/>
            <w:noWrap/>
            <w:vAlign w:val="center"/>
            <w:hideMark/>
          </w:tcPr>
          <w:p w14:paraId="66E0131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2,17%</w:t>
            </w:r>
          </w:p>
        </w:tc>
        <w:tc>
          <w:tcPr>
            <w:tcW w:w="874" w:type="dxa"/>
            <w:tcBorders>
              <w:top w:val="nil"/>
              <w:left w:val="nil"/>
              <w:bottom w:val="nil"/>
              <w:right w:val="single" w:sz="8" w:space="0" w:color="auto"/>
            </w:tcBorders>
            <w:shd w:val="clear" w:color="000000" w:fill="FFFFFF"/>
            <w:noWrap/>
            <w:vAlign w:val="center"/>
            <w:hideMark/>
          </w:tcPr>
          <w:p w14:paraId="3D48483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2,13%</w:t>
            </w:r>
          </w:p>
        </w:tc>
        <w:tc>
          <w:tcPr>
            <w:tcW w:w="874" w:type="dxa"/>
            <w:tcBorders>
              <w:top w:val="nil"/>
              <w:left w:val="nil"/>
              <w:bottom w:val="nil"/>
              <w:right w:val="single" w:sz="8" w:space="0" w:color="auto"/>
            </w:tcBorders>
            <w:shd w:val="clear" w:color="000000" w:fill="FFFFFF"/>
            <w:noWrap/>
            <w:vAlign w:val="center"/>
            <w:hideMark/>
          </w:tcPr>
          <w:p w14:paraId="19076C6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2,08%</w:t>
            </w:r>
          </w:p>
        </w:tc>
        <w:tc>
          <w:tcPr>
            <w:tcW w:w="874" w:type="dxa"/>
            <w:tcBorders>
              <w:top w:val="nil"/>
              <w:left w:val="nil"/>
              <w:bottom w:val="nil"/>
              <w:right w:val="single" w:sz="8" w:space="0" w:color="auto"/>
            </w:tcBorders>
            <w:shd w:val="clear" w:color="000000" w:fill="FFFFFF"/>
            <w:noWrap/>
            <w:vAlign w:val="center"/>
            <w:hideMark/>
          </w:tcPr>
          <w:p w14:paraId="4CD6800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2,05%</w:t>
            </w:r>
          </w:p>
        </w:tc>
        <w:tc>
          <w:tcPr>
            <w:tcW w:w="874" w:type="dxa"/>
            <w:tcBorders>
              <w:top w:val="nil"/>
              <w:left w:val="nil"/>
              <w:bottom w:val="nil"/>
              <w:right w:val="single" w:sz="8" w:space="0" w:color="auto"/>
            </w:tcBorders>
            <w:shd w:val="clear" w:color="000000" w:fill="FFFFFF"/>
            <w:noWrap/>
            <w:vAlign w:val="center"/>
            <w:hideMark/>
          </w:tcPr>
          <w:p w14:paraId="5BF9CFB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2,01%</w:t>
            </w:r>
          </w:p>
        </w:tc>
        <w:tc>
          <w:tcPr>
            <w:tcW w:w="874" w:type="dxa"/>
            <w:tcBorders>
              <w:top w:val="nil"/>
              <w:left w:val="nil"/>
              <w:bottom w:val="nil"/>
              <w:right w:val="single" w:sz="8" w:space="0" w:color="auto"/>
            </w:tcBorders>
            <w:shd w:val="clear" w:color="000000" w:fill="FFFFFF"/>
            <w:noWrap/>
            <w:vAlign w:val="center"/>
            <w:hideMark/>
          </w:tcPr>
          <w:p w14:paraId="19A1F35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1,98%</w:t>
            </w:r>
          </w:p>
        </w:tc>
        <w:tc>
          <w:tcPr>
            <w:tcW w:w="874" w:type="dxa"/>
            <w:tcBorders>
              <w:top w:val="nil"/>
              <w:left w:val="nil"/>
              <w:bottom w:val="nil"/>
              <w:right w:val="single" w:sz="8" w:space="0" w:color="auto"/>
            </w:tcBorders>
            <w:shd w:val="clear" w:color="000000" w:fill="FFFFFF"/>
            <w:noWrap/>
            <w:vAlign w:val="center"/>
            <w:hideMark/>
          </w:tcPr>
          <w:p w14:paraId="750177B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1,94%</w:t>
            </w:r>
          </w:p>
        </w:tc>
        <w:tc>
          <w:tcPr>
            <w:tcW w:w="874" w:type="dxa"/>
            <w:tcBorders>
              <w:top w:val="nil"/>
              <w:left w:val="nil"/>
              <w:bottom w:val="nil"/>
              <w:right w:val="single" w:sz="8" w:space="0" w:color="auto"/>
            </w:tcBorders>
            <w:shd w:val="clear" w:color="000000" w:fill="FFFFFF"/>
            <w:noWrap/>
            <w:vAlign w:val="center"/>
            <w:hideMark/>
          </w:tcPr>
          <w:p w14:paraId="5459C3C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1,91%</w:t>
            </w:r>
          </w:p>
        </w:tc>
        <w:tc>
          <w:tcPr>
            <w:tcW w:w="874" w:type="dxa"/>
            <w:tcBorders>
              <w:top w:val="nil"/>
              <w:left w:val="nil"/>
              <w:bottom w:val="nil"/>
              <w:right w:val="single" w:sz="8" w:space="0" w:color="auto"/>
            </w:tcBorders>
            <w:shd w:val="clear" w:color="000000" w:fill="FFFFFF"/>
            <w:noWrap/>
            <w:vAlign w:val="center"/>
            <w:hideMark/>
          </w:tcPr>
          <w:p w14:paraId="12B77FB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1,88%</w:t>
            </w:r>
          </w:p>
        </w:tc>
        <w:tc>
          <w:tcPr>
            <w:tcW w:w="874" w:type="dxa"/>
            <w:tcBorders>
              <w:top w:val="nil"/>
              <w:left w:val="nil"/>
              <w:bottom w:val="nil"/>
              <w:right w:val="single" w:sz="8" w:space="0" w:color="auto"/>
            </w:tcBorders>
            <w:shd w:val="clear" w:color="000000" w:fill="FFFFFF"/>
            <w:noWrap/>
            <w:vAlign w:val="center"/>
            <w:hideMark/>
          </w:tcPr>
          <w:p w14:paraId="24AC00C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1,84%</w:t>
            </w:r>
          </w:p>
        </w:tc>
      </w:tr>
      <w:tr w:rsidR="002009BF" w:rsidRPr="00DF60B7" w14:paraId="1350214C" w14:textId="77777777" w:rsidTr="001D3315">
        <w:tc>
          <w:tcPr>
            <w:tcW w:w="2835" w:type="dxa"/>
            <w:tcBorders>
              <w:top w:val="nil"/>
              <w:left w:val="single" w:sz="8" w:space="0" w:color="auto"/>
              <w:bottom w:val="nil"/>
              <w:right w:val="nil"/>
            </w:tcBorders>
            <w:shd w:val="clear" w:color="000000" w:fill="FFFFFF"/>
            <w:noWrap/>
            <w:hideMark/>
          </w:tcPr>
          <w:p w14:paraId="6D3BBD49" w14:textId="77777777" w:rsidR="002009BF" w:rsidRPr="00117BF8" w:rsidRDefault="002009BF"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Transf. Corrientes y Otros Gastos</w:t>
            </w:r>
          </w:p>
        </w:tc>
        <w:tc>
          <w:tcPr>
            <w:tcW w:w="874" w:type="dxa"/>
            <w:tcBorders>
              <w:top w:val="nil"/>
              <w:left w:val="single" w:sz="8" w:space="0" w:color="auto"/>
              <w:bottom w:val="nil"/>
              <w:right w:val="single" w:sz="8" w:space="0" w:color="auto"/>
            </w:tcBorders>
            <w:shd w:val="clear" w:color="000000" w:fill="FFFFFF"/>
            <w:noWrap/>
            <w:vAlign w:val="center"/>
            <w:hideMark/>
          </w:tcPr>
          <w:p w14:paraId="27D9842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3,12%</w:t>
            </w:r>
          </w:p>
        </w:tc>
        <w:tc>
          <w:tcPr>
            <w:tcW w:w="874" w:type="dxa"/>
            <w:tcBorders>
              <w:top w:val="nil"/>
              <w:left w:val="nil"/>
              <w:bottom w:val="nil"/>
              <w:right w:val="single" w:sz="8" w:space="0" w:color="auto"/>
            </w:tcBorders>
            <w:shd w:val="clear" w:color="000000" w:fill="FFFFFF"/>
            <w:noWrap/>
            <w:vAlign w:val="center"/>
            <w:hideMark/>
          </w:tcPr>
          <w:p w14:paraId="5EAF453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2,98%</w:t>
            </w:r>
          </w:p>
        </w:tc>
        <w:tc>
          <w:tcPr>
            <w:tcW w:w="874" w:type="dxa"/>
            <w:tcBorders>
              <w:top w:val="nil"/>
              <w:left w:val="nil"/>
              <w:bottom w:val="nil"/>
              <w:right w:val="single" w:sz="8" w:space="0" w:color="auto"/>
            </w:tcBorders>
            <w:shd w:val="clear" w:color="000000" w:fill="FFFFFF"/>
            <w:noWrap/>
            <w:vAlign w:val="center"/>
            <w:hideMark/>
          </w:tcPr>
          <w:p w14:paraId="04FE937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2,99%</w:t>
            </w:r>
          </w:p>
        </w:tc>
        <w:tc>
          <w:tcPr>
            <w:tcW w:w="874" w:type="dxa"/>
            <w:tcBorders>
              <w:top w:val="nil"/>
              <w:left w:val="nil"/>
              <w:bottom w:val="nil"/>
              <w:right w:val="single" w:sz="8" w:space="0" w:color="auto"/>
            </w:tcBorders>
            <w:shd w:val="clear" w:color="000000" w:fill="FFFFFF"/>
            <w:noWrap/>
            <w:vAlign w:val="center"/>
            <w:hideMark/>
          </w:tcPr>
          <w:p w14:paraId="356CF3B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3,00%</w:t>
            </w:r>
          </w:p>
        </w:tc>
        <w:tc>
          <w:tcPr>
            <w:tcW w:w="874" w:type="dxa"/>
            <w:tcBorders>
              <w:top w:val="nil"/>
              <w:left w:val="nil"/>
              <w:bottom w:val="nil"/>
              <w:right w:val="single" w:sz="8" w:space="0" w:color="auto"/>
            </w:tcBorders>
            <w:shd w:val="clear" w:color="000000" w:fill="FFFFFF"/>
            <w:noWrap/>
            <w:vAlign w:val="center"/>
            <w:hideMark/>
          </w:tcPr>
          <w:p w14:paraId="2FCE43A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3,01%</w:t>
            </w:r>
          </w:p>
        </w:tc>
        <w:tc>
          <w:tcPr>
            <w:tcW w:w="874" w:type="dxa"/>
            <w:tcBorders>
              <w:top w:val="nil"/>
              <w:left w:val="nil"/>
              <w:bottom w:val="nil"/>
              <w:right w:val="single" w:sz="8" w:space="0" w:color="auto"/>
            </w:tcBorders>
            <w:shd w:val="clear" w:color="000000" w:fill="FFFFFF"/>
            <w:noWrap/>
            <w:vAlign w:val="center"/>
            <w:hideMark/>
          </w:tcPr>
          <w:p w14:paraId="1706B39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2,97%</w:t>
            </w:r>
          </w:p>
        </w:tc>
        <w:tc>
          <w:tcPr>
            <w:tcW w:w="874" w:type="dxa"/>
            <w:tcBorders>
              <w:top w:val="nil"/>
              <w:left w:val="nil"/>
              <w:bottom w:val="nil"/>
              <w:right w:val="single" w:sz="8" w:space="0" w:color="auto"/>
            </w:tcBorders>
            <w:shd w:val="clear" w:color="000000" w:fill="FFFFFF"/>
            <w:noWrap/>
            <w:vAlign w:val="center"/>
            <w:hideMark/>
          </w:tcPr>
          <w:p w14:paraId="772471B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2,95%</w:t>
            </w:r>
          </w:p>
        </w:tc>
        <w:tc>
          <w:tcPr>
            <w:tcW w:w="874" w:type="dxa"/>
            <w:tcBorders>
              <w:top w:val="nil"/>
              <w:left w:val="nil"/>
              <w:bottom w:val="nil"/>
              <w:right w:val="single" w:sz="8" w:space="0" w:color="auto"/>
            </w:tcBorders>
            <w:shd w:val="clear" w:color="000000" w:fill="FFFFFF"/>
            <w:noWrap/>
            <w:vAlign w:val="center"/>
            <w:hideMark/>
          </w:tcPr>
          <w:p w14:paraId="4C2C16E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2,92%</w:t>
            </w:r>
          </w:p>
        </w:tc>
        <w:tc>
          <w:tcPr>
            <w:tcW w:w="874" w:type="dxa"/>
            <w:tcBorders>
              <w:top w:val="nil"/>
              <w:left w:val="nil"/>
              <w:bottom w:val="nil"/>
              <w:right w:val="single" w:sz="8" w:space="0" w:color="auto"/>
            </w:tcBorders>
            <w:shd w:val="clear" w:color="000000" w:fill="FFFFFF"/>
            <w:noWrap/>
            <w:vAlign w:val="center"/>
            <w:hideMark/>
          </w:tcPr>
          <w:p w14:paraId="5276B0F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2,89%</w:t>
            </w:r>
          </w:p>
        </w:tc>
        <w:tc>
          <w:tcPr>
            <w:tcW w:w="874" w:type="dxa"/>
            <w:tcBorders>
              <w:top w:val="nil"/>
              <w:left w:val="nil"/>
              <w:bottom w:val="nil"/>
              <w:right w:val="single" w:sz="8" w:space="0" w:color="auto"/>
            </w:tcBorders>
            <w:shd w:val="clear" w:color="000000" w:fill="FFFFFF"/>
            <w:noWrap/>
            <w:vAlign w:val="center"/>
            <w:hideMark/>
          </w:tcPr>
          <w:p w14:paraId="2E70F8C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2,87%</w:t>
            </w:r>
          </w:p>
        </w:tc>
        <w:tc>
          <w:tcPr>
            <w:tcW w:w="874" w:type="dxa"/>
            <w:tcBorders>
              <w:top w:val="nil"/>
              <w:left w:val="nil"/>
              <w:bottom w:val="nil"/>
              <w:right w:val="single" w:sz="8" w:space="0" w:color="auto"/>
            </w:tcBorders>
            <w:shd w:val="clear" w:color="000000" w:fill="FFFFFF"/>
            <w:noWrap/>
            <w:vAlign w:val="center"/>
            <w:hideMark/>
          </w:tcPr>
          <w:p w14:paraId="3F04075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2,84%</w:t>
            </w:r>
          </w:p>
        </w:tc>
        <w:tc>
          <w:tcPr>
            <w:tcW w:w="874" w:type="dxa"/>
            <w:tcBorders>
              <w:top w:val="nil"/>
              <w:left w:val="nil"/>
              <w:bottom w:val="nil"/>
              <w:right w:val="single" w:sz="8" w:space="0" w:color="auto"/>
            </w:tcBorders>
            <w:shd w:val="clear" w:color="000000" w:fill="FFFFFF"/>
            <w:noWrap/>
            <w:vAlign w:val="center"/>
            <w:hideMark/>
          </w:tcPr>
          <w:p w14:paraId="189963E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2,82%</w:t>
            </w:r>
          </w:p>
        </w:tc>
        <w:tc>
          <w:tcPr>
            <w:tcW w:w="874" w:type="dxa"/>
            <w:tcBorders>
              <w:top w:val="nil"/>
              <w:left w:val="nil"/>
              <w:bottom w:val="nil"/>
              <w:right w:val="single" w:sz="8" w:space="0" w:color="auto"/>
            </w:tcBorders>
            <w:shd w:val="clear" w:color="000000" w:fill="FFFFFF"/>
            <w:noWrap/>
            <w:vAlign w:val="center"/>
            <w:hideMark/>
          </w:tcPr>
          <w:p w14:paraId="4F9B491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2,80%</w:t>
            </w:r>
          </w:p>
        </w:tc>
      </w:tr>
      <w:tr w:rsidR="002009BF" w:rsidRPr="00DF60B7" w14:paraId="666EE1CC" w14:textId="77777777" w:rsidTr="001D3315">
        <w:tc>
          <w:tcPr>
            <w:tcW w:w="2835" w:type="dxa"/>
            <w:tcBorders>
              <w:top w:val="single" w:sz="8" w:space="0" w:color="auto"/>
              <w:left w:val="single" w:sz="8" w:space="0" w:color="auto"/>
              <w:bottom w:val="single" w:sz="8" w:space="0" w:color="auto"/>
              <w:right w:val="nil"/>
            </w:tcBorders>
            <w:shd w:val="clear" w:color="000000" w:fill="FFFFFF"/>
            <w:noWrap/>
            <w:hideMark/>
          </w:tcPr>
          <w:p w14:paraId="041A1297"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III. RESULTADO ECONOMICO</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747E43F"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-0,39%</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C0C4A56"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0,00%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E8C8C0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0,35%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0E59B2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0,75%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37DE52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0,73%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FCC2B8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0,85%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6ADF21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0,94%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A2E453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1,01%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C21FA11"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1,06%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E8322A9"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1,13%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7D587FB"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5CE992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1,27%</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1D729E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1,34%</w:t>
            </w:r>
          </w:p>
        </w:tc>
      </w:tr>
      <w:tr w:rsidR="002009BF" w:rsidRPr="00DF60B7" w14:paraId="55A421B0" w14:textId="77777777" w:rsidTr="001D3315">
        <w:tc>
          <w:tcPr>
            <w:tcW w:w="2835" w:type="dxa"/>
            <w:tcBorders>
              <w:top w:val="nil"/>
              <w:left w:val="single" w:sz="8" w:space="0" w:color="auto"/>
              <w:bottom w:val="single" w:sz="8" w:space="0" w:color="auto"/>
              <w:right w:val="nil"/>
            </w:tcBorders>
            <w:shd w:val="clear" w:color="000000" w:fill="FFFFFF"/>
            <w:noWrap/>
            <w:hideMark/>
          </w:tcPr>
          <w:p w14:paraId="46D94486"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IV. INGRESOS DE CAPITAL</w:t>
            </w:r>
          </w:p>
        </w:tc>
        <w:tc>
          <w:tcPr>
            <w:tcW w:w="874" w:type="dxa"/>
            <w:tcBorders>
              <w:top w:val="nil"/>
              <w:left w:val="single" w:sz="8" w:space="0" w:color="auto"/>
              <w:bottom w:val="nil"/>
              <w:right w:val="single" w:sz="8" w:space="0" w:color="auto"/>
            </w:tcBorders>
            <w:shd w:val="clear" w:color="000000" w:fill="FFFFFF"/>
            <w:noWrap/>
            <w:vAlign w:val="center"/>
            <w:hideMark/>
          </w:tcPr>
          <w:p w14:paraId="1826945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0,26%</w:t>
            </w:r>
          </w:p>
        </w:tc>
        <w:tc>
          <w:tcPr>
            <w:tcW w:w="874" w:type="dxa"/>
            <w:tcBorders>
              <w:top w:val="nil"/>
              <w:left w:val="nil"/>
              <w:bottom w:val="nil"/>
              <w:right w:val="single" w:sz="8" w:space="0" w:color="auto"/>
            </w:tcBorders>
            <w:shd w:val="clear" w:color="000000" w:fill="FFFFFF"/>
            <w:noWrap/>
            <w:vAlign w:val="center"/>
            <w:hideMark/>
          </w:tcPr>
          <w:p w14:paraId="1B16526F"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0,26%</w:t>
            </w:r>
          </w:p>
        </w:tc>
        <w:tc>
          <w:tcPr>
            <w:tcW w:w="874" w:type="dxa"/>
            <w:tcBorders>
              <w:top w:val="nil"/>
              <w:left w:val="nil"/>
              <w:bottom w:val="nil"/>
              <w:right w:val="single" w:sz="8" w:space="0" w:color="auto"/>
            </w:tcBorders>
            <w:shd w:val="clear" w:color="000000" w:fill="FFFFFF"/>
            <w:noWrap/>
            <w:vAlign w:val="center"/>
            <w:hideMark/>
          </w:tcPr>
          <w:p w14:paraId="42652AF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0,26%</w:t>
            </w:r>
          </w:p>
        </w:tc>
        <w:tc>
          <w:tcPr>
            <w:tcW w:w="874" w:type="dxa"/>
            <w:tcBorders>
              <w:top w:val="nil"/>
              <w:left w:val="nil"/>
              <w:bottom w:val="nil"/>
              <w:right w:val="single" w:sz="8" w:space="0" w:color="auto"/>
            </w:tcBorders>
            <w:shd w:val="clear" w:color="000000" w:fill="FFFFFF"/>
            <w:noWrap/>
            <w:vAlign w:val="center"/>
            <w:hideMark/>
          </w:tcPr>
          <w:p w14:paraId="3E2E19E0"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0,29%</w:t>
            </w:r>
          </w:p>
        </w:tc>
        <w:tc>
          <w:tcPr>
            <w:tcW w:w="874" w:type="dxa"/>
            <w:tcBorders>
              <w:top w:val="nil"/>
              <w:left w:val="nil"/>
              <w:bottom w:val="nil"/>
              <w:right w:val="single" w:sz="8" w:space="0" w:color="auto"/>
            </w:tcBorders>
            <w:shd w:val="clear" w:color="000000" w:fill="FFFFFF"/>
            <w:noWrap/>
            <w:vAlign w:val="center"/>
            <w:hideMark/>
          </w:tcPr>
          <w:p w14:paraId="09A37F8B"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0,28%</w:t>
            </w:r>
          </w:p>
        </w:tc>
        <w:tc>
          <w:tcPr>
            <w:tcW w:w="874" w:type="dxa"/>
            <w:tcBorders>
              <w:top w:val="nil"/>
              <w:left w:val="nil"/>
              <w:bottom w:val="nil"/>
              <w:right w:val="single" w:sz="8" w:space="0" w:color="auto"/>
            </w:tcBorders>
            <w:shd w:val="clear" w:color="000000" w:fill="FFFFFF"/>
            <w:noWrap/>
            <w:vAlign w:val="center"/>
            <w:hideMark/>
          </w:tcPr>
          <w:p w14:paraId="6060B0D1"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0,28%</w:t>
            </w:r>
          </w:p>
        </w:tc>
        <w:tc>
          <w:tcPr>
            <w:tcW w:w="874" w:type="dxa"/>
            <w:tcBorders>
              <w:top w:val="nil"/>
              <w:left w:val="nil"/>
              <w:bottom w:val="nil"/>
              <w:right w:val="single" w:sz="8" w:space="0" w:color="auto"/>
            </w:tcBorders>
            <w:shd w:val="clear" w:color="000000" w:fill="FFFFFF"/>
            <w:noWrap/>
            <w:vAlign w:val="center"/>
            <w:hideMark/>
          </w:tcPr>
          <w:p w14:paraId="786C1A0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0,27%</w:t>
            </w:r>
          </w:p>
        </w:tc>
        <w:tc>
          <w:tcPr>
            <w:tcW w:w="874" w:type="dxa"/>
            <w:tcBorders>
              <w:top w:val="nil"/>
              <w:left w:val="nil"/>
              <w:bottom w:val="nil"/>
              <w:right w:val="single" w:sz="8" w:space="0" w:color="auto"/>
            </w:tcBorders>
            <w:shd w:val="clear" w:color="000000" w:fill="FFFFFF"/>
            <w:noWrap/>
            <w:vAlign w:val="center"/>
            <w:hideMark/>
          </w:tcPr>
          <w:p w14:paraId="662FE2D9"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0,26%</w:t>
            </w:r>
          </w:p>
        </w:tc>
        <w:tc>
          <w:tcPr>
            <w:tcW w:w="874" w:type="dxa"/>
            <w:tcBorders>
              <w:top w:val="nil"/>
              <w:left w:val="nil"/>
              <w:bottom w:val="nil"/>
              <w:right w:val="single" w:sz="8" w:space="0" w:color="auto"/>
            </w:tcBorders>
            <w:shd w:val="clear" w:color="000000" w:fill="FFFFFF"/>
            <w:noWrap/>
            <w:vAlign w:val="center"/>
            <w:hideMark/>
          </w:tcPr>
          <w:p w14:paraId="561E8A5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0,25%</w:t>
            </w:r>
          </w:p>
        </w:tc>
        <w:tc>
          <w:tcPr>
            <w:tcW w:w="874" w:type="dxa"/>
            <w:tcBorders>
              <w:top w:val="nil"/>
              <w:left w:val="nil"/>
              <w:bottom w:val="nil"/>
              <w:right w:val="single" w:sz="8" w:space="0" w:color="auto"/>
            </w:tcBorders>
            <w:shd w:val="clear" w:color="000000" w:fill="FFFFFF"/>
            <w:noWrap/>
            <w:vAlign w:val="center"/>
            <w:hideMark/>
          </w:tcPr>
          <w:p w14:paraId="6CAE91A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0,24%</w:t>
            </w:r>
          </w:p>
        </w:tc>
        <w:tc>
          <w:tcPr>
            <w:tcW w:w="874" w:type="dxa"/>
            <w:tcBorders>
              <w:top w:val="nil"/>
              <w:left w:val="nil"/>
              <w:bottom w:val="nil"/>
              <w:right w:val="single" w:sz="8" w:space="0" w:color="auto"/>
            </w:tcBorders>
            <w:shd w:val="clear" w:color="000000" w:fill="FFFFFF"/>
            <w:noWrap/>
            <w:vAlign w:val="center"/>
            <w:hideMark/>
          </w:tcPr>
          <w:p w14:paraId="0015E61F"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0,23%</w:t>
            </w:r>
          </w:p>
        </w:tc>
        <w:tc>
          <w:tcPr>
            <w:tcW w:w="874" w:type="dxa"/>
            <w:tcBorders>
              <w:top w:val="nil"/>
              <w:left w:val="nil"/>
              <w:bottom w:val="nil"/>
              <w:right w:val="single" w:sz="8" w:space="0" w:color="auto"/>
            </w:tcBorders>
            <w:shd w:val="clear" w:color="000000" w:fill="FFFFFF"/>
            <w:noWrap/>
            <w:vAlign w:val="center"/>
            <w:hideMark/>
          </w:tcPr>
          <w:p w14:paraId="6329E6E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0,22%</w:t>
            </w:r>
          </w:p>
        </w:tc>
        <w:tc>
          <w:tcPr>
            <w:tcW w:w="874" w:type="dxa"/>
            <w:tcBorders>
              <w:top w:val="nil"/>
              <w:left w:val="nil"/>
              <w:bottom w:val="nil"/>
              <w:right w:val="single" w:sz="8" w:space="0" w:color="auto"/>
            </w:tcBorders>
            <w:shd w:val="clear" w:color="000000" w:fill="FFFFFF"/>
            <w:noWrap/>
            <w:vAlign w:val="center"/>
            <w:hideMark/>
          </w:tcPr>
          <w:p w14:paraId="598B721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0,22%</w:t>
            </w:r>
          </w:p>
        </w:tc>
      </w:tr>
      <w:tr w:rsidR="002009BF" w:rsidRPr="00DF60B7" w14:paraId="60C13391" w14:textId="77777777" w:rsidTr="001D3315">
        <w:tc>
          <w:tcPr>
            <w:tcW w:w="2835" w:type="dxa"/>
            <w:tcBorders>
              <w:top w:val="nil"/>
              <w:left w:val="single" w:sz="8" w:space="0" w:color="auto"/>
              <w:bottom w:val="single" w:sz="8" w:space="0" w:color="auto"/>
              <w:right w:val="nil"/>
            </w:tcBorders>
            <w:shd w:val="clear" w:color="000000" w:fill="FFFFFF"/>
            <w:noWrap/>
            <w:hideMark/>
          </w:tcPr>
          <w:p w14:paraId="14AD2E2A"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 xml:space="preserve"> V. GASTOS DE CAPITAL</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2D0B0D6"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0,92%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B1CE8B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1,27%</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F17BE2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CE758BB"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243C0F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C4FBFEB"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A8266B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47ABA491"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ED534F5"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45D4C2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3A3F7A5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304627E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1,40%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E76059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1,42%</w:t>
            </w:r>
          </w:p>
        </w:tc>
      </w:tr>
      <w:tr w:rsidR="002009BF" w:rsidRPr="00DF60B7" w14:paraId="2F807D22" w14:textId="77777777" w:rsidTr="001D3315">
        <w:tc>
          <w:tcPr>
            <w:tcW w:w="2835" w:type="dxa"/>
            <w:tcBorders>
              <w:top w:val="nil"/>
              <w:left w:val="single" w:sz="8" w:space="0" w:color="auto"/>
              <w:bottom w:val="single" w:sz="8" w:space="0" w:color="auto"/>
              <w:right w:val="nil"/>
            </w:tcBorders>
            <w:shd w:val="clear" w:color="000000" w:fill="FFFFFF"/>
            <w:noWrap/>
            <w:hideMark/>
          </w:tcPr>
          <w:p w14:paraId="6EE426FA"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 xml:space="preserve"> VI. INGRESOS TOTALES (I+IV)</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41B834D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13,60%</w:t>
            </w:r>
          </w:p>
        </w:tc>
        <w:tc>
          <w:tcPr>
            <w:tcW w:w="874" w:type="dxa"/>
            <w:tcBorders>
              <w:top w:val="nil"/>
              <w:left w:val="nil"/>
              <w:bottom w:val="single" w:sz="8" w:space="0" w:color="auto"/>
              <w:right w:val="single" w:sz="8" w:space="0" w:color="auto"/>
            </w:tcBorders>
            <w:shd w:val="clear" w:color="000000" w:fill="FFFFFF"/>
            <w:noWrap/>
            <w:vAlign w:val="center"/>
            <w:hideMark/>
          </w:tcPr>
          <w:p w14:paraId="52CFE4D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13,98%</w:t>
            </w:r>
          </w:p>
        </w:tc>
        <w:tc>
          <w:tcPr>
            <w:tcW w:w="874" w:type="dxa"/>
            <w:tcBorders>
              <w:top w:val="nil"/>
              <w:left w:val="nil"/>
              <w:bottom w:val="single" w:sz="8" w:space="0" w:color="auto"/>
              <w:right w:val="single" w:sz="8" w:space="0" w:color="auto"/>
            </w:tcBorders>
            <w:shd w:val="clear" w:color="000000" w:fill="FFFFFF"/>
            <w:noWrap/>
            <w:vAlign w:val="center"/>
            <w:hideMark/>
          </w:tcPr>
          <w:p w14:paraId="0C8BB41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13,84%</w:t>
            </w:r>
          </w:p>
        </w:tc>
        <w:tc>
          <w:tcPr>
            <w:tcW w:w="874" w:type="dxa"/>
            <w:tcBorders>
              <w:top w:val="nil"/>
              <w:left w:val="nil"/>
              <w:bottom w:val="single" w:sz="8" w:space="0" w:color="auto"/>
              <w:right w:val="single" w:sz="8" w:space="0" w:color="auto"/>
            </w:tcBorders>
            <w:shd w:val="clear" w:color="000000" w:fill="FFFFFF"/>
            <w:noWrap/>
            <w:vAlign w:val="center"/>
            <w:hideMark/>
          </w:tcPr>
          <w:p w14:paraId="668802CF"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14,05%</w:t>
            </w:r>
          </w:p>
        </w:tc>
        <w:tc>
          <w:tcPr>
            <w:tcW w:w="874" w:type="dxa"/>
            <w:tcBorders>
              <w:top w:val="nil"/>
              <w:left w:val="nil"/>
              <w:bottom w:val="single" w:sz="8" w:space="0" w:color="auto"/>
              <w:right w:val="single" w:sz="8" w:space="0" w:color="auto"/>
            </w:tcBorders>
            <w:shd w:val="clear" w:color="000000" w:fill="FFFFFF"/>
            <w:noWrap/>
            <w:vAlign w:val="center"/>
            <w:hideMark/>
          </w:tcPr>
          <w:p w14:paraId="0AE0AB19"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13,87%</w:t>
            </w:r>
          </w:p>
        </w:tc>
        <w:tc>
          <w:tcPr>
            <w:tcW w:w="874" w:type="dxa"/>
            <w:tcBorders>
              <w:top w:val="nil"/>
              <w:left w:val="nil"/>
              <w:bottom w:val="single" w:sz="8" w:space="0" w:color="auto"/>
              <w:right w:val="single" w:sz="8" w:space="0" w:color="auto"/>
            </w:tcBorders>
            <w:shd w:val="clear" w:color="000000" w:fill="FFFFFF"/>
            <w:noWrap/>
            <w:vAlign w:val="center"/>
            <w:hideMark/>
          </w:tcPr>
          <w:p w14:paraId="6810A72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13,71%</w:t>
            </w:r>
          </w:p>
        </w:tc>
        <w:tc>
          <w:tcPr>
            <w:tcW w:w="874" w:type="dxa"/>
            <w:tcBorders>
              <w:top w:val="nil"/>
              <w:left w:val="nil"/>
              <w:bottom w:val="single" w:sz="8" w:space="0" w:color="auto"/>
              <w:right w:val="single" w:sz="8" w:space="0" w:color="auto"/>
            </w:tcBorders>
            <w:shd w:val="clear" w:color="000000" w:fill="FFFFFF"/>
            <w:noWrap/>
            <w:vAlign w:val="center"/>
            <w:hideMark/>
          </w:tcPr>
          <w:p w14:paraId="61E8C760"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13,56%</w:t>
            </w:r>
          </w:p>
        </w:tc>
        <w:tc>
          <w:tcPr>
            <w:tcW w:w="874" w:type="dxa"/>
            <w:tcBorders>
              <w:top w:val="nil"/>
              <w:left w:val="nil"/>
              <w:bottom w:val="single" w:sz="8" w:space="0" w:color="auto"/>
              <w:right w:val="single" w:sz="8" w:space="0" w:color="auto"/>
            </w:tcBorders>
            <w:shd w:val="clear" w:color="000000" w:fill="FFFFFF"/>
            <w:noWrap/>
            <w:vAlign w:val="center"/>
            <w:hideMark/>
          </w:tcPr>
          <w:p w14:paraId="3A3589A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13,43%</w:t>
            </w:r>
          </w:p>
        </w:tc>
        <w:tc>
          <w:tcPr>
            <w:tcW w:w="874" w:type="dxa"/>
            <w:tcBorders>
              <w:top w:val="nil"/>
              <w:left w:val="nil"/>
              <w:bottom w:val="single" w:sz="8" w:space="0" w:color="auto"/>
              <w:right w:val="single" w:sz="8" w:space="0" w:color="auto"/>
            </w:tcBorders>
            <w:shd w:val="clear" w:color="000000" w:fill="FFFFFF"/>
            <w:noWrap/>
            <w:vAlign w:val="center"/>
            <w:hideMark/>
          </w:tcPr>
          <w:p w14:paraId="32EF05C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13,30%</w:t>
            </w:r>
          </w:p>
        </w:tc>
        <w:tc>
          <w:tcPr>
            <w:tcW w:w="874" w:type="dxa"/>
            <w:tcBorders>
              <w:top w:val="nil"/>
              <w:left w:val="nil"/>
              <w:bottom w:val="single" w:sz="8" w:space="0" w:color="auto"/>
              <w:right w:val="single" w:sz="8" w:space="0" w:color="auto"/>
            </w:tcBorders>
            <w:shd w:val="clear" w:color="000000" w:fill="FFFFFF"/>
            <w:noWrap/>
            <w:vAlign w:val="center"/>
            <w:hideMark/>
          </w:tcPr>
          <w:p w14:paraId="16BDF7B8"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13,17%</w:t>
            </w:r>
          </w:p>
        </w:tc>
        <w:tc>
          <w:tcPr>
            <w:tcW w:w="874" w:type="dxa"/>
            <w:tcBorders>
              <w:top w:val="nil"/>
              <w:left w:val="nil"/>
              <w:bottom w:val="single" w:sz="8" w:space="0" w:color="auto"/>
              <w:right w:val="single" w:sz="8" w:space="0" w:color="auto"/>
            </w:tcBorders>
            <w:shd w:val="clear" w:color="000000" w:fill="FFFFFF"/>
            <w:noWrap/>
            <w:vAlign w:val="center"/>
            <w:hideMark/>
          </w:tcPr>
          <w:p w14:paraId="10D4FF7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13,05%</w:t>
            </w:r>
          </w:p>
        </w:tc>
        <w:tc>
          <w:tcPr>
            <w:tcW w:w="874" w:type="dxa"/>
            <w:tcBorders>
              <w:top w:val="nil"/>
              <w:left w:val="nil"/>
              <w:bottom w:val="single" w:sz="8" w:space="0" w:color="auto"/>
              <w:right w:val="single" w:sz="8" w:space="0" w:color="auto"/>
            </w:tcBorders>
            <w:shd w:val="clear" w:color="000000" w:fill="FFFFFF"/>
            <w:noWrap/>
            <w:vAlign w:val="center"/>
            <w:hideMark/>
          </w:tcPr>
          <w:p w14:paraId="56589BB1"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12,93%</w:t>
            </w:r>
          </w:p>
        </w:tc>
        <w:tc>
          <w:tcPr>
            <w:tcW w:w="874" w:type="dxa"/>
            <w:tcBorders>
              <w:top w:val="nil"/>
              <w:left w:val="nil"/>
              <w:bottom w:val="single" w:sz="8" w:space="0" w:color="auto"/>
              <w:right w:val="single" w:sz="8" w:space="0" w:color="auto"/>
            </w:tcBorders>
            <w:shd w:val="clear" w:color="000000" w:fill="FFFFFF"/>
            <w:noWrap/>
            <w:vAlign w:val="center"/>
            <w:hideMark/>
          </w:tcPr>
          <w:p w14:paraId="2059C8F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12,82%</w:t>
            </w:r>
          </w:p>
        </w:tc>
      </w:tr>
      <w:tr w:rsidR="002009BF" w:rsidRPr="00DF60B7" w14:paraId="2EC4C595" w14:textId="77777777" w:rsidTr="001D3315">
        <w:tc>
          <w:tcPr>
            <w:tcW w:w="2835" w:type="dxa"/>
            <w:tcBorders>
              <w:top w:val="nil"/>
              <w:left w:val="single" w:sz="8" w:space="0" w:color="auto"/>
              <w:bottom w:val="single" w:sz="8" w:space="0" w:color="auto"/>
              <w:right w:val="nil"/>
            </w:tcBorders>
            <w:shd w:val="clear" w:color="000000" w:fill="FFFFFF"/>
            <w:noWrap/>
            <w:hideMark/>
          </w:tcPr>
          <w:p w14:paraId="6F4D586A" w14:textId="77777777" w:rsidR="002009BF" w:rsidRPr="00117BF8" w:rsidRDefault="002009BF" w:rsidP="001D3315">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VII. GASTOS TOTALES (II+V)</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0545DD4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14,65%</w:t>
            </w:r>
          </w:p>
        </w:tc>
        <w:tc>
          <w:tcPr>
            <w:tcW w:w="874" w:type="dxa"/>
            <w:tcBorders>
              <w:top w:val="nil"/>
              <w:left w:val="nil"/>
              <w:bottom w:val="single" w:sz="8" w:space="0" w:color="auto"/>
              <w:right w:val="single" w:sz="8" w:space="0" w:color="auto"/>
            </w:tcBorders>
            <w:shd w:val="clear" w:color="000000" w:fill="FFFFFF"/>
            <w:noWrap/>
            <w:vAlign w:val="center"/>
            <w:hideMark/>
          </w:tcPr>
          <w:p w14:paraId="6446057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14,99%</w:t>
            </w:r>
          </w:p>
        </w:tc>
        <w:tc>
          <w:tcPr>
            <w:tcW w:w="874" w:type="dxa"/>
            <w:tcBorders>
              <w:top w:val="nil"/>
              <w:left w:val="nil"/>
              <w:bottom w:val="single" w:sz="8" w:space="0" w:color="auto"/>
              <w:right w:val="single" w:sz="8" w:space="0" w:color="auto"/>
            </w:tcBorders>
            <w:shd w:val="clear" w:color="000000" w:fill="FFFFFF"/>
            <w:noWrap/>
            <w:vAlign w:val="center"/>
            <w:hideMark/>
          </w:tcPr>
          <w:p w14:paraId="6D4C93E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14,48%</w:t>
            </w:r>
          </w:p>
        </w:tc>
        <w:tc>
          <w:tcPr>
            <w:tcW w:w="874" w:type="dxa"/>
            <w:tcBorders>
              <w:top w:val="nil"/>
              <w:left w:val="nil"/>
              <w:bottom w:val="single" w:sz="8" w:space="0" w:color="auto"/>
              <w:right w:val="single" w:sz="8" w:space="0" w:color="auto"/>
            </w:tcBorders>
            <w:shd w:val="clear" w:color="000000" w:fill="FFFFFF"/>
            <w:noWrap/>
            <w:vAlign w:val="center"/>
            <w:hideMark/>
          </w:tcPr>
          <w:p w14:paraId="2DD3C1F1"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14,29%</w:t>
            </w:r>
          </w:p>
        </w:tc>
        <w:tc>
          <w:tcPr>
            <w:tcW w:w="874" w:type="dxa"/>
            <w:tcBorders>
              <w:top w:val="nil"/>
              <w:left w:val="nil"/>
              <w:bottom w:val="single" w:sz="8" w:space="0" w:color="auto"/>
              <w:right w:val="single" w:sz="8" w:space="0" w:color="auto"/>
            </w:tcBorders>
            <w:shd w:val="clear" w:color="000000" w:fill="FFFFFF"/>
            <w:noWrap/>
            <w:vAlign w:val="center"/>
            <w:hideMark/>
          </w:tcPr>
          <w:p w14:paraId="2FC4021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14,16%</w:t>
            </w:r>
          </w:p>
        </w:tc>
        <w:tc>
          <w:tcPr>
            <w:tcW w:w="874" w:type="dxa"/>
            <w:tcBorders>
              <w:top w:val="nil"/>
              <w:left w:val="nil"/>
              <w:bottom w:val="single" w:sz="8" w:space="0" w:color="auto"/>
              <w:right w:val="single" w:sz="8" w:space="0" w:color="auto"/>
            </w:tcBorders>
            <w:shd w:val="clear" w:color="000000" w:fill="FFFFFF"/>
            <w:noWrap/>
            <w:vAlign w:val="center"/>
            <w:hideMark/>
          </w:tcPr>
          <w:p w14:paraId="0D91B18F"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13,90%</w:t>
            </w:r>
          </w:p>
        </w:tc>
        <w:tc>
          <w:tcPr>
            <w:tcW w:w="874" w:type="dxa"/>
            <w:tcBorders>
              <w:top w:val="nil"/>
              <w:left w:val="nil"/>
              <w:bottom w:val="single" w:sz="8" w:space="0" w:color="auto"/>
              <w:right w:val="single" w:sz="8" w:space="0" w:color="auto"/>
            </w:tcBorders>
            <w:shd w:val="clear" w:color="000000" w:fill="FFFFFF"/>
            <w:noWrap/>
            <w:vAlign w:val="center"/>
            <w:hideMark/>
          </w:tcPr>
          <w:p w14:paraId="2955761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13,68%</w:t>
            </w:r>
          </w:p>
        </w:tc>
        <w:tc>
          <w:tcPr>
            <w:tcW w:w="874" w:type="dxa"/>
            <w:tcBorders>
              <w:top w:val="nil"/>
              <w:left w:val="nil"/>
              <w:bottom w:val="single" w:sz="8" w:space="0" w:color="auto"/>
              <w:right w:val="single" w:sz="8" w:space="0" w:color="auto"/>
            </w:tcBorders>
            <w:shd w:val="clear" w:color="000000" w:fill="FFFFFF"/>
            <w:noWrap/>
            <w:vAlign w:val="center"/>
            <w:hideMark/>
          </w:tcPr>
          <w:p w14:paraId="4E9F5014"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13,50%</w:t>
            </w:r>
          </w:p>
        </w:tc>
        <w:tc>
          <w:tcPr>
            <w:tcW w:w="874" w:type="dxa"/>
            <w:tcBorders>
              <w:top w:val="nil"/>
              <w:left w:val="nil"/>
              <w:bottom w:val="single" w:sz="8" w:space="0" w:color="auto"/>
              <w:right w:val="single" w:sz="8" w:space="0" w:color="auto"/>
            </w:tcBorders>
            <w:shd w:val="clear" w:color="000000" w:fill="FFFFFF"/>
            <w:noWrap/>
            <w:vAlign w:val="center"/>
            <w:hideMark/>
          </w:tcPr>
          <w:p w14:paraId="50CFEA4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13,34%</w:t>
            </w:r>
          </w:p>
        </w:tc>
        <w:tc>
          <w:tcPr>
            <w:tcW w:w="874" w:type="dxa"/>
            <w:tcBorders>
              <w:top w:val="nil"/>
              <w:left w:val="nil"/>
              <w:bottom w:val="single" w:sz="8" w:space="0" w:color="auto"/>
              <w:right w:val="single" w:sz="8" w:space="0" w:color="auto"/>
            </w:tcBorders>
            <w:shd w:val="clear" w:color="000000" w:fill="FFFFFF"/>
            <w:noWrap/>
            <w:vAlign w:val="center"/>
            <w:hideMark/>
          </w:tcPr>
          <w:p w14:paraId="535C8069"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13,16%</w:t>
            </w:r>
          </w:p>
        </w:tc>
        <w:tc>
          <w:tcPr>
            <w:tcW w:w="874" w:type="dxa"/>
            <w:tcBorders>
              <w:top w:val="nil"/>
              <w:left w:val="nil"/>
              <w:bottom w:val="single" w:sz="8" w:space="0" w:color="auto"/>
              <w:right w:val="single" w:sz="8" w:space="0" w:color="auto"/>
            </w:tcBorders>
            <w:shd w:val="clear" w:color="000000" w:fill="FFFFFF"/>
            <w:noWrap/>
            <w:vAlign w:val="center"/>
            <w:hideMark/>
          </w:tcPr>
          <w:p w14:paraId="1EB7205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13,00%</w:t>
            </w:r>
          </w:p>
        </w:tc>
        <w:tc>
          <w:tcPr>
            <w:tcW w:w="874" w:type="dxa"/>
            <w:tcBorders>
              <w:top w:val="nil"/>
              <w:left w:val="nil"/>
              <w:bottom w:val="single" w:sz="8" w:space="0" w:color="auto"/>
              <w:right w:val="single" w:sz="8" w:space="0" w:color="auto"/>
            </w:tcBorders>
            <w:shd w:val="clear" w:color="000000" w:fill="FFFFFF"/>
            <w:noWrap/>
            <w:vAlign w:val="center"/>
            <w:hideMark/>
          </w:tcPr>
          <w:p w14:paraId="725FE45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12,84%</w:t>
            </w:r>
          </w:p>
        </w:tc>
        <w:tc>
          <w:tcPr>
            <w:tcW w:w="874" w:type="dxa"/>
            <w:tcBorders>
              <w:top w:val="nil"/>
              <w:left w:val="nil"/>
              <w:bottom w:val="single" w:sz="8" w:space="0" w:color="auto"/>
              <w:right w:val="single" w:sz="8" w:space="0" w:color="auto"/>
            </w:tcBorders>
            <w:shd w:val="clear" w:color="000000" w:fill="FFFFFF"/>
            <w:noWrap/>
            <w:vAlign w:val="center"/>
            <w:hideMark/>
          </w:tcPr>
          <w:p w14:paraId="63C8F0A5"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12,69%</w:t>
            </w:r>
          </w:p>
        </w:tc>
      </w:tr>
      <w:tr w:rsidR="002009BF" w:rsidRPr="00DF60B7" w14:paraId="266D7E57" w14:textId="77777777" w:rsidTr="001D3315">
        <w:tc>
          <w:tcPr>
            <w:tcW w:w="2835" w:type="dxa"/>
            <w:tcBorders>
              <w:top w:val="nil"/>
              <w:left w:val="single" w:sz="8" w:space="0" w:color="auto"/>
              <w:bottom w:val="single" w:sz="8" w:space="0" w:color="auto"/>
              <w:right w:val="nil"/>
            </w:tcBorders>
            <w:shd w:val="clear" w:color="000000" w:fill="FFFFFF"/>
            <w:noWrap/>
            <w:hideMark/>
          </w:tcPr>
          <w:p w14:paraId="4DDC9E39"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 xml:space="preserve"> IX. RESULTADO PRIMARIO (VI-VIII)</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23AEDA48"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-0,54%</w:t>
            </w:r>
          </w:p>
        </w:tc>
        <w:tc>
          <w:tcPr>
            <w:tcW w:w="874" w:type="dxa"/>
            <w:tcBorders>
              <w:top w:val="nil"/>
              <w:left w:val="nil"/>
              <w:bottom w:val="single" w:sz="8" w:space="0" w:color="auto"/>
              <w:right w:val="single" w:sz="8" w:space="0" w:color="auto"/>
            </w:tcBorders>
            <w:shd w:val="clear" w:color="000000" w:fill="FFFFFF"/>
            <w:noWrap/>
            <w:vAlign w:val="center"/>
            <w:hideMark/>
          </w:tcPr>
          <w:p w14:paraId="05F8D360"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-0,35%</w:t>
            </w:r>
          </w:p>
        </w:tc>
        <w:tc>
          <w:tcPr>
            <w:tcW w:w="874" w:type="dxa"/>
            <w:tcBorders>
              <w:top w:val="nil"/>
              <w:left w:val="nil"/>
              <w:bottom w:val="single" w:sz="8" w:space="0" w:color="auto"/>
              <w:right w:val="single" w:sz="8" w:space="0" w:color="auto"/>
            </w:tcBorders>
            <w:shd w:val="clear" w:color="000000" w:fill="FFFFFF"/>
            <w:noWrap/>
            <w:vAlign w:val="center"/>
            <w:hideMark/>
          </w:tcPr>
          <w:p w14:paraId="35D1CDD6"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0,01%</w:t>
            </w:r>
          </w:p>
        </w:tc>
        <w:tc>
          <w:tcPr>
            <w:tcW w:w="874" w:type="dxa"/>
            <w:tcBorders>
              <w:top w:val="nil"/>
              <w:left w:val="nil"/>
              <w:bottom w:val="single" w:sz="8" w:space="0" w:color="auto"/>
              <w:right w:val="single" w:sz="8" w:space="0" w:color="auto"/>
            </w:tcBorders>
            <w:shd w:val="clear" w:color="000000" w:fill="FFFFFF"/>
            <w:noWrap/>
            <w:vAlign w:val="center"/>
            <w:hideMark/>
          </w:tcPr>
          <w:p w14:paraId="4CD25AE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0,45%</w:t>
            </w:r>
          </w:p>
        </w:tc>
        <w:tc>
          <w:tcPr>
            <w:tcW w:w="874" w:type="dxa"/>
            <w:tcBorders>
              <w:top w:val="nil"/>
              <w:left w:val="nil"/>
              <w:bottom w:val="single" w:sz="8" w:space="0" w:color="auto"/>
              <w:right w:val="single" w:sz="8" w:space="0" w:color="auto"/>
            </w:tcBorders>
            <w:shd w:val="clear" w:color="000000" w:fill="FFFFFF"/>
            <w:noWrap/>
            <w:vAlign w:val="center"/>
            <w:hideMark/>
          </w:tcPr>
          <w:p w14:paraId="3CF6AA7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0,36%</w:t>
            </w:r>
          </w:p>
        </w:tc>
        <w:tc>
          <w:tcPr>
            <w:tcW w:w="874" w:type="dxa"/>
            <w:tcBorders>
              <w:top w:val="nil"/>
              <w:left w:val="nil"/>
              <w:bottom w:val="single" w:sz="8" w:space="0" w:color="auto"/>
              <w:right w:val="single" w:sz="8" w:space="0" w:color="auto"/>
            </w:tcBorders>
            <w:shd w:val="clear" w:color="000000" w:fill="FFFFFF"/>
            <w:noWrap/>
            <w:vAlign w:val="center"/>
            <w:hideMark/>
          </w:tcPr>
          <w:p w14:paraId="5DF72AF7"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0,42%</w:t>
            </w:r>
          </w:p>
        </w:tc>
        <w:tc>
          <w:tcPr>
            <w:tcW w:w="874" w:type="dxa"/>
            <w:tcBorders>
              <w:top w:val="nil"/>
              <w:left w:val="nil"/>
              <w:bottom w:val="single" w:sz="8" w:space="0" w:color="auto"/>
              <w:right w:val="single" w:sz="8" w:space="0" w:color="auto"/>
            </w:tcBorders>
            <w:shd w:val="clear" w:color="000000" w:fill="FFFFFF"/>
            <w:noWrap/>
            <w:vAlign w:val="center"/>
            <w:hideMark/>
          </w:tcPr>
          <w:p w14:paraId="6E38305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0,44%</w:t>
            </w:r>
          </w:p>
        </w:tc>
        <w:tc>
          <w:tcPr>
            <w:tcW w:w="874" w:type="dxa"/>
            <w:tcBorders>
              <w:top w:val="nil"/>
              <w:left w:val="nil"/>
              <w:bottom w:val="single" w:sz="8" w:space="0" w:color="auto"/>
              <w:right w:val="single" w:sz="8" w:space="0" w:color="auto"/>
            </w:tcBorders>
            <w:shd w:val="clear" w:color="000000" w:fill="FFFFFF"/>
            <w:noWrap/>
            <w:vAlign w:val="center"/>
            <w:hideMark/>
          </w:tcPr>
          <w:p w14:paraId="7CA3D8B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0,46%</w:t>
            </w:r>
          </w:p>
        </w:tc>
        <w:tc>
          <w:tcPr>
            <w:tcW w:w="874" w:type="dxa"/>
            <w:tcBorders>
              <w:top w:val="nil"/>
              <w:left w:val="nil"/>
              <w:bottom w:val="single" w:sz="8" w:space="0" w:color="auto"/>
              <w:right w:val="single" w:sz="8" w:space="0" w:color="auto"/>
            </w:tcBorders>
            <w:shd w:val="clear" w:color="000000" w:fill="FFFFFF"/>
            <w:noWrap/>
            <w:vAlign w:val="center"/>
            <w:hideMark/>
          </w:tcPr>
          <w:p w14:paraId="34BEC82B"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0,48%</w:t>
            </w:r>
          </w:p>
        </w:tc>
        <w:tc>
          <w:tcPr>
            <w:tcW w:w="874" w:type="dxa"/>
            <w:tcBorders>
              <w:top w:val="nil"/>
              <w:left w:val="nil"/>
              <w:bottom w:val="single" w:sz="8" w:space="0" w:color="auto"/>
              <w:right w:val="single" w:sz="8" w:space="0" w:color="auto"/>
            </w:tcBorders>
            <w:shd w:val="clear" w:color="000000" w:fill="FFFFFF"/>
            <w:noWrap/>
            <w:vAlign w:val="center"/>
            <w:hideMark/>
          </w:tcPr>
          <w:p w14:paraId="1611D6B1"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0,50%</w:t>
            </w:r>
          </w:p>
        </w:tc>
        <w:tc>
          <w:tcPr>
            <w:tcW w:w="874" w:type="dxa"/>
            <w:tcBorders>
              <w:top w:val="nil"/>
              <w:left w:val="nil"/>
              <w:bottom w:val="single" w:sz="8" w:space="0" w:color="auto"/>
              <w:right w:val="single" w:sz="8" w:space="0" w:color="auto"/>
            </w:tcBorders>
            <w:shd w:val="clear" w:color="000000" w:fill="FFFFFF"/>
            <w:noWrap/>
            <w:vAlign w:val="center"/>
            <w:hideMark/>
          </w:tcPr>
          <w:p w14:paraId="4565F93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0,52%</w:t>
            </w:r>
          </w:p>
        </w:tc>
        <w:tc>
          <w:tcPr>
            <w:tcW w:w="874" w:type="dxa"/>
            <w:tcBorders>
              <w:top w:val="nil"/>
              <w:left w:val="nil"/>
              <w:bottom w:val="single" w:sz="8" w:space="0" w:color="auto"/>
              <w:right w:val="single" w:sz="8" w:space="0" w:color="auto"/>
            </w:tcBorders>
            <w:shd w:val="clear" w:color="000000" w:fill="FFFFFF"/>
            <w:noWrap/>
            <w:vAlign w:val="center"/>
            <w:hideMark/>
          </w:tcPr>
          <w:p w14:paraId="7415FC81"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0,54%</w:t>
            </w:r>
          </w:p>
        </w:tc>
        <w:tc>
          <w:tcPr>
            <w:tcW w:w="874" w:type="dxa"/>
            <w:tcBorders>
              <w:top w:val="nil"/>
              <w:left w:val="nil"/>
              <w:bottom w:val="single" w:sz="8" w:space="0" w:color="auto"/>
              <w:right w:val="single" w:sz="8" w:space="0" w:color="auto"/>
            </w:tcBorders>
            <w:shd w:val="clear" w:color="000000" w:fill="FFFFFF"/>
            <w:noWrap/>
            <w:vAlign w:val="center"/>
            <w:hideMark/>
          </w:tcPr>
          <w:p w14:paraId="0A84DF0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0,56%</w:t>
            </w:r>
          </w:p>
        </w:tc>
      </w:tr>
      <w:tr w:rsidR="002009BF" w:rsidRPr="00DF60B7" w14:paraId="0E3606F1" w14:textId="77777777" w:rsidTr="001D3315">
        <w:tc>
          <w:tcPr>
            <w:tcW w:w="2835" w:type="dxa"/>
            <w:tcBorders>
              <w:top w:val="nil"/>
              <w:left w:val="single" w:sz="8" w:space="0" w:color="auto"/>
              <w:bottom w:val="nil"/>
              <w:right w:val="nil"/>
            </w:tcBorders>
            <w:shd w:val="clear" w:color="000000" w:fill="C0C0C0"/>
            <w:noWrap/>
            <w:hideMark/>
          </w:tcPr>
          <w:p w14:paraId="5194A52C" w14:textId="77777777" w:rsidR="002009BF" w:rsidRPr="00117BF8" w:rsidRDefault="002009BF" w:rsidP="001D3315">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X. RESULTADO FINANCIERO (VI-VII)</w:t>
            </w:r>
          </w:p>
        </w:tc>
        <w:tc>
          <w:tcPr>
            <w:tcW w:w="874" w:type="dxa"/>
            <w:tcBorders>
              <w:top w:val="nil"/>
              <w:left w:val="single" w:sz="8" w:space="0" w:color="auto"/>
              <w:bottom w:val="nil"/>
              <w:right w:val="single" w:sz="8" w:space="0" w:color="auto"/>
            </w:tcBorders>
            <w:shd w:val="clear" w:color="000000" w:fill="BFBFBF"/>
            <w:noWrap/>
            <w:vAlign w:val="center"/>
            <w:hideMark/>
          </w:tcPr>
          <w:p w14:paraId="4E917375"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-1,05%</w:t>
            </w:r>
          </w:p>
        </w:tc>
        <w:tc>
          <w:tcPr>
            <w:tcW w:w="874" w:type="dxa"/>
            <w:tcBorders>
              <w:top w:val="nil"/>
              <w:left w:val="nil"/>
              <w:bottom w:val="nil"/>
              <w:right w:val="single" w:sz="8" w:space="0" w:color="auto"/>
            </w:tcBorders>
            <w:shd w:val="clear" w:color="000000" w:fill="BFBFBF"/>
            <w:noWrap/>
            <w:vAlign w:val="center"/>
            <w:hideMark/>
          </w:tcPr>
          <w:p w14:paraId="3D072D9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-1,01%</w:t>
            </w:r>
          </w:p>
        </w:tc>
        <w:tc>
          <w:tcPr>
            <w:tcW w:w="874" w:type="dxa"/>
            <w:tcBorders>
              <w:top w:val="nil"/>
              <w:left w:val="nil"/>
              <w:bottom w:val="nil"/>
              <w:right w:val="single" w:sz="8" w:space="0" w:color="auto"/>
            </w:tcBorders>
            <w:shd w:val="clear" w:color="000000" w:fill="BFBFBF"/>
            <w:noWrap/>
            <w:vAlign w:val="center"/>
            <w:hideMark/>
          </w:tcPr>
          <w:p w14:paraId="576DBF45"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-0,64%</w:t>
            </w:r>
          </w:p>
        </w:tc>
        <w:tc>
          <w:tcPr>
            <w:tcW w:w="874" w:type="dxa"/>
            <w:tcBorders>
              <w:top w:val="nil"/>
              <w:left w:val="nil"/>
              <w:bottom w:val="nil"/>
              <w:right w:val="single" w:sz="8" w:space="0" w:color="auto"/>
            </w:tcBorders>
            <w:shd w:val="clear" w:color="000000" w:fill="BFBFBF"/>
            <w:noWrap/>
            <w:vAlign w:val="center"/>
            <w:hideMark/>
          </w:tcPr>
          <w:p w14:paraId="284F8EB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-0,23%</w:t>
            </w:r>
          </w:p>
        </w:tc>
        <w:tc>
          <w:tcPr>
            <w:tcW w:w="874" w:type="dxa"/>
            <w:tcBorders>
              <w:top w:val="nil"/>
              <w:left w:val="nil"/>
              <w:bottom w:val="nil"/>
              <w:right w:val="single" w:sz="8" w:space="0" w:color="auto"/>
            </w:tcBorders>
            <w:shd w:val="clear" w:color="000000" w:fill="BFBFBF"/>
            <w:noWrap/>
            <w:vAlign w:val="center"/>
            <w:hideMark/>
          </w:tcPr>
          <w:p w14:paraId="0F23A5E1"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-0,29%</w:t>
            </w:r>
          </w:p>
        </w:tc>
        <w:tc>
          <w:tcPr>
            <w:tcW w:w="874" w:type="dxa"/>
            <w:tcBorders>
              <w:top w:val="nil"/>
              <w:left w:val="nil"/>
              <w:bottom w:val="nil"/>
              <w:right w:val="single" w:sz="8" w:space="0" w:color="auto"/>
            </w:tcBorders>
            <w:shd w:val="clear" w:color="000000" w:fill="BFBFBF"/>
            <w:noWrap/>
            <w:vAlign w:val="center"/>
            <w:hideMark/>
          </w:tcPr>
          <w:p w14:paraId="659F6B93"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-0,19%</w:t>
            </w:r>
          </w:p>
        </w:tc>
        <w:tc>
          <w:tcPr>
            <w:tcW w:w="874" w:type="dxa"/>
            <w:tcBorders>
              <w:top w:val="nil"/>
              <w:left w:val="nil"/>
              <w:bottom w:val="nil"/>
              <w:right w:val="single" w:sz="8" w:space="0" w:color="auto"/>
            </w:tcBorders>
            <w:shd w:val="clear" w:color="000000" w:fill="BFBFBF"/>
            <w:noWrap/>
            <w:vAlign w:val="center"/>
            <w:hideMark/>
          </w:tcPr>
          <w:p w14:paraId="2FEEC124"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-0,12%</w:t>
            </w:r>
          </w:p>
        </w:tc>
        <w:tc>
          <w:tcPr>
            <w:tcW w:w="874" w:type="dxa"/>
            <w:tcBorders>
              <w:top w:val="nil"/>
              <w:left w:val="nil"/>
              <w:bottom w:val="nil"/>
              <w:right w:val="single" w:sz="8" w:space="0" w:color="auto"/>
            </w:tcBorders>
            <w:shd w:val="clear" w:color="000000" w:fill="BFBFBF"/>
            <w:noWrap/>
            <w:vAlign w:val="center"/>
            <w:hideMark/>
          </w:tcPr>
          <w:p w14:paraId="75745AA4"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-0,07%</w:t>
            </w:r>
          </w:p>
        </w:tc>
        <w:tc>
          <w:tcPr>
            <w:tcW w:w="874" w:type="dxa"/>
            <w:tcBorders>
              <w:top w:val="nil"/>
              <w:left w:val="nil"/>
              <w:bottom w:val="nil"/>
              <w:right w:val="single" w:sz="8" w:space="0" w:color="auto"/>
            </w:tcBorders>
            <w:shd w:val="clear" w:color="000000" w:fill="BFBFBF"/>
            <w:noWrap/>
            <w:vAlign w:val="center"/>
            <w:hideMark/>
          </w:tcPr>
          <w:p w14:paraId="0BC63A3F"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-0,04%</w:t>
            </w:r>
          </w:p>
        </w:tc>
        <w:tc>
          <w:tcPr>
            <w:tcW w:w="874" w:type="dxa"/>
            <w:tcBorders>
              <w:top w:val="nil"/>
              <w:left w:val="nil"/>
              <w:bottom w:val="nil"/>
              <w:right w:val="single" w:sz="8" w:space="0" w:color="auto"/>
            </w:tcBorders>
            <w:shd w:val="clear" w:color="000000" w:fill="BFBFBF"/>
            <w:noWrap/>
            <w:vAlign w:val="center"/>
            <w:hideMark/>
          </w:tcPr>
          <w:p w14:paraId="4EB52F5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0,01%</w:t>
            </w:r>
          </w:p>
        </w:tc>
        <w:tc>
          <w:tcPr>
            <w:tcW w:w="874" w:type="dxa"/>
            <w:tcBorders>
              <w:top w:val="nil"/>
              <w:left w:val="nil"/>
              <w:bottom w:val="nil"/>
              <w:right w:val="single" w:sz="8" w:space="0" w:color="auto"/>
            </w:tcBorders>
            <w:shd w:val="clear" w:color="000000" w:fill="BFBFBF"/>
            <w:noWrap/>
            <w:vAlign w:val="center"/>
            <w:hideMark/>
          </w:tcPr>
          <w:p w14:paraId="17E52B9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0,05%</w:t>
            </w:r>
          </w:p>
        </w:tc>
        <w:tc>
          <w:tcPr>
            <w:tcW w:w="874" w:type="dxa"/>
            <w:tcBorders>
              <w:top w:val="nil"/>
              <w:left w:val="nil"/>
              <w:bottom w:val="nil"/>
              <w:right w:val="single" w:sz="8" w:space="0" w:color="auto"/>
            </w:tcBorders>
            <w:shd w:val="clear" w:color="000000" w:fill="BFBFBF"/>
            <w:noWrap/>
            <w:vAlign w:val="center"/>
            <w:hideMark/>
          </w:tcPr>
          <w:p w14:paraId="4DC7032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0,10%</w:t>
            </w:r>
          </w:p>
        </w:tc>
        <w:tc>
          <w:tcPr>
            <w:tcW w:w="874" w:type="dxa"/>
            <w:tcBorders>
              <w:top w:val="nil"/>
              <w:left w:val="nil"/>
              <w:bottom w:val="nil"/>
              <w:right w:val="single" w:sz="8" w:space="0" w:color="auto"/>
            </w:tcBorders>
            <w:shd w:val="clear" w:color="000000" w:fill="BFBFBF"/>
            <w:noWrap/>
            <w:vAlign w:val="center"/>
            <w:hideMark/>
          </w:tcPr>
          <w:p w14:paraId="66D1805B"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0,13%</w:t>
            </w:r>
          </w:p>
        </w:tc>
      </w:tr>
    </w:tbl>
    <w:p w14:paraId="49B503E6" w14:textId="77777777" w:rsidR="002009BF" w:rsidRPr="00117BF8" w:rsidRDefault="002009BF" w:rsidP="002009BF">
      <w:pPr>
        <w:pStyle w:val="Hfuente"/>
        <w:rPr>
          <w:rFonts w:ascii="Arial" w:hAnsi="Arial" w:cs="Arial"/>
          <w:sz w:val="18"/>
          <w:szCs w:val="18"/>
        </w:rPr>
      </w:pPr>
      <w:r w:rsidRPr="00117BF8">
        <w:rPr>
          <w:rFonts w:ascii="Arial" w:hAnsi="Arial" w:cs="Arial"/>
          <w:sz w:val="18"/>
          <w:szCs w:val="18"/>
        </w:rPr>
        <w:t>Fuente: Elaboración Propia sobre datos suministrados por la Provincia</w:t>
      </w:r>
    </w:p>
    <w:p w14:paraId="406358CF" w14:textId="77777777" w:rsidR="002009BF" w:rsidRPr="00117BF8" w:rsidRDefault="002009BF" w:rsidP="002009BF">
      <w:pPr>
        <w:pStyle w:val="Hfuente"/>
        <w:rPr>
          <w:rFonts w:ascii="Arial" w:eastAsia="Calibri" w:hAnsi="Arial" w:cs="Arial"/>
        </w:rPr>
      </w:pPr>
    </w:p>
    <w:tbl>
      <w:tblPr>
        <w:tblW w:w="13467" w:type="dxa"/>
        <w:tblInd w:w="70" w:type="dxa"/>
        <w:tblLayout w:type="fixed"/>
        <w:tblCellMar>
          <w:left w:w="70" w:type="dxa"/>
          <w:right w:w="70" w:type="dxa"/>
        </w:tblCellMar>
        <w:tblLook w:val="04A0" w:firstRow="1" w:lastRow="0" w:firstColumn="1" w:lastColumn="0" w:noHBand="0" w:noVBand="1"/>
      </w:tblPr>
      <w:tblGrid>
        <w:gridCol w:w="2835"/>
        <w:gridCol w:w="874"/>
        <w:gridCol w:w="953"/>
        <w:gridCol w:w="874"/>
        <w:gridCol w:w="874"/>
        <w:gridCol w:w="874"/>
        <w:gridCol w:w="874"/>
        <w:gridCol w:w="874"/>
        <w:gridCol w:w="874"/>
        <w:gridCol w:w="874"/>
        <w:gridCol w:w="874"/>
        <w:gridCol w:w="874"/>
        <w:gridCol w:w="874"/>
        <w:gridCol w:w="65"/>
      </w:tblGrid>
      <w:tr w:rsidR="002009BF" w:rsidRPr="004E6455" w14:paraId="0B190BEC" w14:textId="77777777" w:rsidTr="001D3315">
        <w:trPr>
          <w:trHeight w:val="364"/>
        </w:trPr>
        <w:tc>
          <w:tcPr>
            <w:tcW w:w="13467" w:type="dxa"/>
            <w:gridSpan w:val="14"/>
            <w:tcBorders>
              <w:top w:val="single" w:sz="8" w:space="0" w:color="auto"/>
              <w:left w:val="single" w:sz="8" w:space="0" w:color="auto"/>
              <w:bottom w:val="single" w:sz="8" w:space="0" w:color="000000"/>
              <w:right w:val="single" w:sz="8" w:space="0" w:color="auto"/>
            </w:tcBorders>
            <w:shd w:val="clear" w:color="auto" w:fill="0070C0"/>
            <w:noWrap/>
          </w:tcPr>
          <w:p w14:paraId="3E52D743" w14:textId="77777777" w:rsidR="002009BF" w:rsidRPr="00117BF8" w:rsidRDefault="002009BF" w:rsidP="002009BF">
            <w:pPr>
              <w:pStyle w:val="TablaT"/>
              <w:rPr>
                <w:rFonts w:ascii="Arial" w:hAnsi="Arial" w:cs="Arial"/>
                <w:sz w:val="22"/>
                <w:szCs w:val="22"/>
                <w:lang w:val="es-ES_tradnl"/>
              </w:rPr>
            </w:pPr>
            <w:bookmarkStart w:id="165" w:name="_Toc493861169"/>
            <w:r w:rsidRPr="00117BF8">
              <w:rPr>
                <w:rFonts w:ascii="Arial" w:hAnsi="Arial" w:cs="Arial"/>
                <w:sz w:val="22"/>
                <w:szCs w:val="22"/>
                <w:lang w:val="es-ES_tradnl"/>
              </w:rPr>
              <w:t>Tabla A V - 2 - Provincia de Buenos Aires - Administración Pública no Financiera - Proyección 2017-2028 (2016 valores Estimados) – Variación Anual a Precios Constantes</w:t>
            </w:r>
            <w:bookmarkEnd w:id="165"/>
          </w:p>
        </w:tc>
      </w:tr>
      <w:tr w:rsidR="002009BF" w:rsidRPr="004E6455" w14:paraId="0294CFF4" w14:textId="77777777" w:rsidTr="001D3315">
        <w:trPr>
          <w:gridAfter w:val="1"/>
          <w:wAfter w:w="65" w:type="dxa"/>
          <w:trHeight w:val="364"/>
        </w:trPr>
        <w:tc>
          <w:tcPr>
            <w:tcW w:w="2835"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AEB0365" w14:textId="77777777" w:rsidR="002009BF" w:rsidRPr="00117BF8" w:rsidRDefault="002009BF" w:rsidP="001D3315">
            <w:pPr>
              <w:pStyle w:val="TablaE"/>
              <w:rPr>
                <w:rFonts w:ascii="Arial" w:hAnsi="Arial" w:cs="Arial"/>
                <w:sz w:val="20"/>
              </w:rPr>
            </w:pPr>
            <w:r w:rsidRPr="00117BF8">
              <w:rPr>
                <w:rFonts w:ascii="Arial" w:hAnsi="Arial" w:cs="Arial"/>
                <w:sz w:val="20"/>
              </w:rPr>
              <w:t>CONCEPTO</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4EE2F68" w14:textId="77777777" w:rsidR="002009BF" w:rsidRPr="00117BF8" w:rsidRDefault="002009BF" w:rsidP="001D3315">
            <w:pPr>
              <w:pStyle w:val="TablaE"/>
              <w:rPr>
                <w:rFonts w:ascii="Arial" w:hAnsi="Arial" w:cs="Arial"/>
                <w:sz w:val="20"/>
              </w:rPr>
            </w:pPr>
            <w:r w:rsidRPr="00117BF8">
              <w:rPr>
                <w:rFonts w:ascii="Arial" w:hAnsi="Arial" w:cs="Arial"/>
                <w:sz w:val="20"/>
              </w:rPr>
              <w:t>2017</w:t>
            </w:r>
          </w:p>
        </w:tc>
        <w:tc>
          <w:tcPr>
            <w:tcW w:w="95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09D69F8" w14:textId="77777777" w:rsidR="002009BF" w:rsidRPr="00117BF8" w:rsidRDefault="002009BF" w:rsidP="001D3315">
            <w:pPr>
              <w:pStyle w:val="TablaE"/>
              <w:rPr>
                <w:rFonts w:ascii="Arial" w:hAnsi="Arial" w:cs="Arial"/>
                <w:sz w:val="20"/>
              </w:rPr>
            </w:pPr>
            <w:r w:rsidRPr="00117BF8">
              <w:rPr>
                <w:rFonts w:ascii="Arial" w:hAnsi="Arial" w:cs="Arial"/>
                <w:sz w:val="20"/>
              </w:rPr>
              <w:t>2018</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1F729FB" w14:textId="77777777" w:rsidR="002009BF" w:rsidRPr="00117BF8" w:rsidRDefault="002009BF" w:rsidP="001D3315">
            <w:pPr>
              <w:pStyle w:val="TablaE"/>
              <w:rPr>
                <w:rFonts w:ascii="Arial" w:hAnsi="Arial" w:cs="Arial"/>
                <w:sz w:val="20"/>
              </w:rPr>
            </w:pPr>
            <w:r w:rsidRPr="00117BF8">
              <w:rPr>
                <w:rFonts w:ascii="Arial" w:hAnsi="Arial" w:cs="Arial"/>
                <w:sz w:val="20"/>
              </w:rPr>
              <w:t>2019</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21268B0" w14:textId="77777777" w:rsidR="002009BF" w:rsidRPr="00117BF8" w:rsidRDefault="002009BF" w:rsidP="001D3315">
            <w:pPr>
              <w:pStyle w:val="TablaE"/>
              <w:rPr>
                <w:rFonts w:ascii="Arial" w:hAnsi="Arial" w:cs="Arial"/>
                <w:sz w:val="20"/>
              </w:rPr>
            </w:pPr>
            <w:r w:rsidRPr="00117BF8">
              <w:rPr>
                <w:rFonts w:ascii="Arial" w:hAnsi="Arial" w:cs="Arial"/>
                <w:sz w:val="20"/>
              </w:rPr>
              <w:t>2020</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746EE00" w14:textId="77777777" w:rsidR="002009BF" w:rsidRPr="00117BF8" w:rsidRDefault="002009BF" w:rsidP="001D3315">
            <w:pPr>
              <w:pStyle w:val="TablaE"/>
              <w:rPr>
                <w:rFonts w:ascii="Arial" w:hAnsi="Arial" w:cs="Arial"/>
                <w:sz w:val="20"/>
              </w:rPr>
            </w:pPr>
            <w:r w:rsidRPr="00117BF8">
              <w:rPr>
                <w:rFonts w:ascii="Arial" w:hAnsi="Arial" w:cs="Arial"/>
                <w:sz w:val="20"/>
              </w:rPr>
              <w:t>2021</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725231B" w14:textId="77777777" w:rsidR="002009BF" w:rsidRPr="00117BF8" w:rsidRDefault="002009BF" w:rsidP="001D3315">
            <w:pPr>
              <w:pStyle w:val="TablaE"/>
              <w:rPr>
                <w:rFonts w:ascii="Arial" w:hAnsi="Arial" w:cs="Arial"/>
                <w:sz w:val="20"/>
              </w:rPr>
            </w:pPr>
            <w:r w:rsidRPr="00117BF8">
              <w:rPr>
                <w:rFonts w:ascii="Arial" w:hAnsi="Arial" w:cs="Arial"/>
                <w:sz w:val="20"/>
              </w:rPr>
              <w:t>2022</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6C0A9FB" w14:textId="77777777" w:rsidR="002009BF" w:rsidRPr="00117BF8" w:rsidRDefault="002009BF" w:rsidP="001D3315">
            <w:pPr>
              <w:pStyle w:val="TablaE"/>
              <w:rPr>
                <w:rFonts w:ascii="Arial" w:hAnsi="Arial" w:cs="Arial"/>
                <w:sz w:val="20"/>
              </w:rPr>
            </w:pPr>
            <w:r w:rsidRPr="00117BF8">
              <w:rPr>
                <w:rFonts w:ascii="Arial" w:hAnsi="Arial" w:cs="Arial"/>
                <w:sz w:val="20"/>
              </w:rPr>
              <w:t>2023</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84606F5" w14:textId="77777777" w:rsidR="002009BF" w:rsidRPr="00117BF8" w:rsidRDefault="002009BF" w:rsidP="001D3315">
            <w:pPr>
              <w:pStyle w:val="TablaE"/>
              <w:rPr>
                <w:rFonts w:ascii="Arial" w:hAnsi="Arial" w:cs="Arial"/>
                <w:sz w:val="20"/>
              </w:rPr>
            </w:pPr>
            <w:r w:rsidRPr="00117BF8">
              <w:rPr>
                <w:rFonts w:ascii="Arial" w:hAnsi="Arial" w:cs="Arial"/>
                <w:sz w:val="20"/>
              </w:rPr>
              <w:t>2024</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185B9C0" w14:textId="77777777" w:rsidR="002009BF" w:rsidRPr="00117BF8" w:rsidRDefault="002009BF" w:rsidP="001D3315">
            <w:pPr>
              <w:pStyle w:val="TablaE"/>
              <w:rPr>
                <w:rFonts w:ascii="Arial" w:hAnsi="Arial" w:cs="Arial"/>
                <w:sz w:val="20"/>
              </w:rPr>
            </w:pPr>
            <w:r w:rsidRPr="00117BF8">
              <w:rPr>
                <w:rFonts w:ascii="Arial" w:hAnsi="Arial" w:cs="Arial"/>
                <w:sz w:val="20"/>
              </w:rPr>
              <w:t>2025</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233BEEF" w14:textId="77777777" w:rsidR="002009BF" w:rsidRPr="00117BF8" w:rsidRDefault="002009BF" w:rsidP="001D3315">
            <w:pPr>
              <w:pStyle w:val="TablaE"/>
              <w:rPr>
                <w:rFonts w:ascii="Arial" w:hAnsi="Arial" w:cs="Arial"/>
                <w:sz w:val="20"/>
              </w:rPr>
            </w:pPr>
            <w:r w:rsidRPr="00117BF8">
              <w:rPr>
                <w:rFonts w:ascii="Arial" w:hAnsi="Arial" w:cs="Arial"/>
                <w:sz w:val="20"/>
              </w:rPr>
              <w:t>2026</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630BBE8" w14:textId="77777777" w:rsidR="002009BF" w:rsidRPr="00117BF8" w:rsidRDefault="002009BF" w:rsidP="001D3315">
            <w:pPr>
              <w:pStyle w:val="TablaE"/>
              <w:rPr>
                <w:rFonts w:ascii="Arial" w:hAnsi="Arial" w:cs="Arial"/>
                <w:sz w:val="20"/>
              </w:rPr>
            </w:pPr>
            <w:r w:rsidRPr="00117BF8">
              <w:rPr>
                <w:rFonts w:ascii="Arial" w:hAnsi="Arial" w:cs="Arial"/>
                <w:sz w:val="20"/>
              </w:rPr>
              <w:t>2027</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6A56808" w14:textId="77777777" w:rsidR="002009BF" w:rsidRPr="00117BF8" w:rsidRDefault="002009BF" w:rsidP="001D3315">
            <w:pPr>
              <w:pStyle w:val="TablaE"/>
              <w:rPr>
                <w:rFonts w:ascii="Arial" w:hAnsi="Arial" w:cs="Arial"/>
                <w:sz w:val="20"/>
              </w:rPr>
            </w:pPr>
            <w:r w:rsidRPr="00117BF8">
              <w:rPr>
                <w:rFonts w:ascii="Arial" w:hAnsi="Arial" w:cs="Arial"/>
                <w:sz w:val="20"/>
              </w:rPr>
              <w:t>2028</w:t>
            </w:r>
          </w:p>
        </w:tc>
      </w:tr>
      <w:tr w:rsidR="002009BF" w:rsidRPr="004E6455" w14:paraId="4CB6DB65" w14:textId="77777777" w:rsidTr="001D3315">
        <w:trPr>
          <w:gridAfter w:val="1"/>
          <w:wAfter w:w="65" w:type="dxa"/>
          <w:trHeight w:val="255"/>
        </w:trPr>
        <w:tc>
          <w:tcPr>
            <w:tcW w:w="2835" w:type="dxa"/>
            <w:vMerge/>
            <w:tcBorders>
              <w:top w:val="single" w:sz="8" w:space="0" w:color="auto"/>
              <w:left w:val="single" w:sz="8" w:space="0" w:color="auto"/>
              <w:bottom w:val="single" w:sz="8" w:space="0" w:color="000000"/>
              <w:right w:val="single" w:sz="8" w:space="0" w:color="auto"/>
            </w:tcBorders>
            <w:shd w:val="clear" w:color="auto" w:fill="0070C0"/>
            <w:hideMark/>
          </w:tcPr>
          <w:p w14:paraId="21FA7D56"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21A720D7" w14:textId="77777777" w:rsidR="002009BF" w:rsidRPr="004E6455" w:rsidRDefault="002009BF" w:rsidP="001D3315">
            <w:pPr>
              <w:spacing w:after="0"/>
              <w:jc w:val="left"/>
              <w:rPr>
                <w:rFonts w:ascii="Arial" w:hAnsi="Arial" w:cs="Arial"/>
                <w:b/>
                <w:bCs/>
                <w:i/>
                <w:iCs/>
                <w:sz w:val="22"/>
                <w:szCs w:val="22"/>
                <w:lang w:val="es-AR" w:eastAsia="es-AR"/>
              </w:rPr>
            </w:pPr>
          </w:p>
        </w:tc>
        <w:tc>
          <w:tcPr>
            <w:tcW w:w="953" w:type="dxa"/>
            <w:vMerge/>
            <w:tcBorders>
              <w:top w:val="single" w:sz="8" w:space="0" w:color="auto"/>
              <w:left w:val="single" w:sz="8" w:space="0" w:color="auto"/>
              <w:bottom w:val="single" w:sz="8" w:space="0" w:color="000000"/>
              <w:right w:val="single" w:sz="8" w:space="0" w:color="auto"/>
            </w:tcBorders>
            <w:shd w:val="clear" w:color="auto" w:fill="0070C0"/>
            <w:hideMark/>
          </w:tcPr>
          <w:p w14:paraId="23A3A55C"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580B7850"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4B137040"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43C62343"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23439D47"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73F581C2"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2C7FEEEE"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42FDF940"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244FEF75"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29A221DD" w14:textId="77777777" w:rsidR="002009BF" w:rsidRPr="004E6455" w:rsidRDefault="002009BF" w:rsidP="001D3315">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4BF9E444" w14:textId="77777777" w:rsidR="002009BF" w:rsidRPr="004E6455" w:rsidRDefault="002009BF" w:rsidP="001D3315">
            <w:pPr>
              <w:spacing w:after="0"/>
              <w:jc w:val="left"/>
              <w:rPr>
                <w:rFonts w:ascii="Arial" w:hAnsi="Arial" w:cs="Arial"/>
                <w:b/>
                <w:bCs/>
                <w:i/>
                <w:iCs/>
                <w:sz w:val="22"/>
                <w:szCs w:val="22"/>
                <w:lang w:val="es-AR" w:eastAsia="es-AR"/>
              </w:rPr>
            </w:pPr>
          </w:p>
        </w:tc>
      </w:tr>
      <w:tr w:rsidR="002009BF" w:rsidRPr="00DF60B7" w14:paraId="07D2155A" w14:textId="77777777" w:rsidTr="001D3315">
        <w:trPr>
          <w:gridAfter w:val="1"/>
          <w:wAfter w:w="65" w:type="dxa"/>
        </w:trPr>
        <w:tc>
          <w:tcPr>
            <w:tcW w:w="2835" w:type="dxa"/>
            <w:tcBorders>
              <w:top w:val="single" w:sz="8" w:space="0" w:color="000000"/>
              <w:left w:val="single" w:sz="8" w:space="0" w:color="auto"/>
              <w:bottom w:val="single" w:sz="8" w:space="0" w:color="auto"/>
              <w:right w:val="single" w:sz="4" w:space="0" w:color="auto"/>
            </w:tcBorders>
            <w:shd w:val="clear" w:color="000000" w:fill="FFFFFF"/>
            <w:noWrap/>
            <w:hideMark/>
          </w:tcPr>
          <w:p w14:paraId="1E0B919A"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I. INGRESOS CORRIENTES</w:t>
            </w:r>
          </w:p>
        </w:tc>
        <w:tc>
          <w:tcPr>
            <w:tcW w:w="874" w:type="dxa"/>
            <w:tcBorders>
              <w:top w:val="single" w:sz="8" w:space="0" w:color="000000"/>
              <w:left w:val="single" w:sz="4" w:space="0" w:color="auto"/>
              <w:bottom w:val="single" w:sz="8" w:space="0" w:color="auto"/>
              <w:right w:val="single" w:sz="8" w:space="0" w:color="auto"/>
            </w:tcBorders>
            <w:shd w:val="clear" w:color="000000" w:fill="FFFFFF"/>
            <w:noWrap/>
            <w:vAlign w:val="center"/>
            <w:hideMark/>
          </w:tcPr>
          <w:p w14:paraId="3CDD879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6,48%</w:t>
            </w:r>
          </w:p>
        </w:tc>
        <w:tc>
          <w:tcPr>
            <w:tcW w:w="953" w:type="dxa"/>
            <w:tcBorders>
              <w:top w:val="nil"/>
              <w:left w:val="nil"/>
              <w:bottom w:val="single" w:sz="8" w:space="0" w:color="auto"/>
              <w:right w:val="single" w:sz="8" w:space="0" w:color="auto"/>
            </w:tcBorders>
            <w:shd w:val="clear" w:color="000000" w:fill="FFFFFF"/>
            <w:noWrap/>
            <w:vAlign w:val="center"/>
            <w:hideMark/>
          </w:tcPr>
          <w:p w14:paraId="19A803CD"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2,42%</w:t>
            </w:r>
          </w:p>
        </w:tc>
        <w:tc>
          <w:tcPr>
            <w:tcW w:w="874" w:type="dxa"/>
            <w:tcBorders>
              <w:top w:val="nil"/>
              <w:left w:val="nil"/>
              <w:bottom w:val="single" w:sz="8" w:space="0" w:color="auto"/>
              <w:right w:val="single" w:sz="8" w:space="0" w:color="auto"/>
            </w:tcBorders>
            <w:shd w:val="clear" w:color="000000" w:fill="FFFFFF"/>
            <w:noWrap/>
            <w:vAlign w:val="center"/>
            <w:hideMark/>
          </w:tcPr>
          <w:p w14:paraId="5DA695A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4,86%</w:t>
            </w:r>
          </w:p>
        </w:tc>
        <w:tc>
          <w:tcPr>
            <w:tcW w:w="874" w:type="dxa"/>
            <w:tcBorders>
              <w:top w:val="nil"/>
              <w:left w:val="nil"/>
              <w:bottom w:val="single" w:sz="8" w:space="0" w:color="auto"/>
              <w:right w:val="single" w:sz="8" w:space="0" w:color="auto"/>
            </w:tcBorders>
            <w:shd w:val="clear" w:color="000000" w:fill="FFFFFF"/>
            <w:noWrap/>
            <w:vAlign w:val="center"/>
            <w:hideMark/>
          </w:tcPr>
          <w:p w14:paraId="5AC9159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2,17%</w:t>
            </w:r>
          </w:p>
        </w:tc>
        <w:tc>
          <w:tcPr>
            <w:tcW w:w="874" w:type="dxa"/>
            <w:tcBorders>
              <w:top w:val="nil"/>
              <w:left w:val="nil"/>
              <w:bottom w:val="single" w:sz="8" w:space="0" w:color="auto"/>
              <w:right w:val="single" w:sz="8" w:space="0" w:color="auto"/>
            </w:tcBorders>
            <w:shd w:val="clear" w:color="000000" w:fill="FFFFFF"/>
            <w:noWrap/>
            <w:vAlign w:val="center"/>
            <w:hideMark/>
          </w:tcPr>
          <w:p w14:paraId="6F4F2D54"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2,40%</w:t>
            </w:r>
          </w:p>
        </w:tc>
        <w:tc>
          <w:tcPr>
            <w:tcW w:w="874" w:type="dxa"/>
            <w:tcBorders>
              <w:top w:val="nil"/>
              <w:left w:val="nil"/>
              <w:bottom w:val="single" w:sz="8" w:space="0" w:color="auto"/>
              <w:right w:val="single" w:sz="8" w:space="0" w:color="auto"/>
            </w:tcBorders>
            <w:shd w:val="clear" w:color="000000" w:fill="FFFFFF"/>
            <w:noWrap/>
            <w:vAlign w:val="center"/>
            <w:hideMark/>
          </w:tcPr>
          <w:p w14:paraId="4B8AF50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2,52%</w:t>
            </w:r>
          </w:p>
        </w:tc>
        <w:tc>
          <w:tcPr>
            <w:tcW w:w="874" w:type="dxa"/>
            <w:tcBorders>
              <w:top w:val="nil"/>
              <w:left w:val="nil"/>
              <w:bottom w:val="single" w:sz="8" w:space="0" w:color="auto"/>
              <w:right w:val="single" w:sz="8" w:space="0" w:color="auto"/>
            </w:tcBorders>
            <w:shd w:val="clear" w:color="000000" w:fill="FFFFFF"/>
            <w:noWrap/>
            <w:vAlign w:val="center"/>
            <w:hideMark/>
          </w:tcPr>
          <w:p w14:paraId="2CE74E7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2,55%</w:t>
            </w:r>
          </w:p>
        </w:tc>
        <w:tc>
          <w:tcPr>
            <w:tcW w:w="874" w:type="dxa"/>
            <w:tcBorders>
              <w:top w:val="nil"/>
              <w:left w:val="nil"/>
              <w:bottom w:val="single" w:sz="8" w:space="0" w:color="auto"/>
              <w:right w:val="single" w:sz="8" w:space="0" w:color="auto"/>
            </w:tcBorders>
            <w:shd w:val="clear" w:color="000000" w:fill="FFFFFF"/>
            <w:noWrap/>
            <w:vAlign w:val="center"/>
            <w:hideMark/>
          </w:tcPr>
          <w:p w14:paraId="40BABA5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2,58%</w:t>
            </w:r>
          </w:p>
        </w:tc>
        <w:tc>
          <w:tcPr>
            <w:tcW w:w="874" w:type="dxa"/>
            <w:tcBorders>
              <w:top w:val="nil"/>
              <w:left w:val="nil"/>
              <w:bottom w:val="single" w:sz="8" w:space="0" w:color="auto"/>
              <w:right w:val="single" w:sz="8" w:space="0" w:color="auto"/>
            </w:tcBorders>
            <w:shd w:val="clear" w:color="000000" w:fill="FFFFFF"/>
            <w:noWrap/>
            <w:vAlign w:val="center"/>
            <w:hideMark/>
          </w:tcPr>
          <w:p w14:paraId="568ABC5F"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2,61%</w:t>
            </w:r>
          </w:p>
        </w:tc>
        <w:tc>
          <w:tcPr>
            <w:tcW w:w="874" w:type="dxa"/>
            <w:tcBorders>
              <w:top w:val="nil"/>
              <w:left w:val="nil"/>
              <w:bottom w:val="single" w:sz="8" w:space="0" w:color="auto"/>
              <w:right w:val="single" w:sz="8" w:space="0" w:color="auto"/>
            </w:tcBorders>
            <w:shd w:val="clear" w:color="000000" w:fill="FFFFFF"/>
            <w:noWrap/>
            <w:vAlign w:val="center"/>
            <w:hideMark/>
          </w:tcPr>
          <w:p w14:paraId="23696786"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2,64%</w:t>
            </w:r>
          </w:p>
        </w:tc>
        <w:tc>
          <w:tcPr>
            <w:tcW w:w="874" w:type="dxa"/>
            <w:tcBorders>
              <w:top w:val="nil"/>
              <w:left w:val="nil"/>
              <w:bottom w:val="single" w:sz="8" w:space="0" w:color="auto"/>
              <w:right w:val="single" w:sz="8" w:space="0" w:color="auto"/>
            </w:tcBorders>
            <w:shd w:val="clear" w:color="000000" w:fill="FFFFFF"/>
            <w:noWrap/>
            <w:vAlign w:val="center"/>
            <w:hideMark/>
          </w:tcPr>
          <w:p w14:paraId="1DB53F72"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2,67%</w:t>
            </w:r>
          </w:p>
        </w:tc>
        <w:tc>
          <w:tcPr>
            <w:tcW w:w="874" w:type="dxa"/>
            <w:tcBorders>
              <w:top w:val="nil"/>
              <w:left w:val="nil"/>
              <w:bottom w:val="single" w:sz="8" w:space="0" w:color="auto"/>
              <w:right w:val="single" w:sz="8" w:space="0" w:color="auto"/>
            </w:tcBorders>
            <w:shd w:val="clear" w:color="000000" w:fill="FFFFFF"/>
            <w:noWrap/>
            <w:vAlign w:val="center"/>
            <w:hideMark/>
          </w:tcPr>
          <w:p w14:paraId="4D4FC1F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2,70%</w:t>
            </w:r>
          </w:p>
        </w:tc>
      </w:tr>
      <w:tr w:rsidR="002009BF" w:rsidRPr="00DF60B7" w14:paraId="3F3C2D23"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FFFFFF"/>
            <w:noWrap/>
            <w:hideMark/>
          </w:tcPr>
          <w:p w14:paraId="2189DCA3"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Tributarios</w:t>
            </w:r>
          </w:p>
        </w:tc>
        <w:tc>
          <w:tcPr>
            <w:tcW w:w="874" w:type="dxa"/>
            <w:tcBorders>
              <w:top w:val="nil"/>
              <w:left w:val="single" w:sz="4" w:space="0" w:color="auto"/>
              <w:bottom w:val="nil"/>
              <w:right w:val="single" w:sz="8" w:space="0" w:color="auto"/>
            </w:tcBorders>
            <w:shd w:val="clear" w:color="000000" w:fill="FFFFFF"/>
            <w:noWrap/>
            <w:vAlign w:val="center"/>
            <w:hideMark/>
          </w:tcPr>
          <w:p w14:paraId="40E222D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8,11%</w:t>
            </w:r>
          </w:p>
        </w:tc>
        <w:tc>
          <w:tcPr>
            <w:tcW w:w="953" w:type="dxa"/>
            <w:tcBorders>
              <w:top w:val="nil"/>
              <w:left w:val="nil"/>
              <w:bottom w:val="nil"/>
              <w:right w:val="single" w:sz="8" w:space="0" w:color="auto"/>
            </w:tcBorders>
            <w:shd w:val="clear" w:color="000000" w:fill="FFFFFF"/>
            <w:noWrap/>
            <w:vAlign w:val="center"/>
            <w:hideMark/>
          </w:tcPr>
          <w:p w14:paraId="3E608DB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5,23%</w:t>
            </w:r>
          </w:p>
        </w:tc>
        <w:tc>
          <w:tcPr>
            <w:tcW w:w="874" w:type="dxa"/>
            <w:tcBorders>
              <w:top w:val="nil"/>
              <w:left w:val="nil"/>
              <w:bottom w:val="nil"/>
              <w:right w:val="single" w:sz="8" w:space="0" w:color="auto"/>
            </w:tcBorders>
            <w:shd w:val="clear" w:color="000000" w:fill="FFFFFF"/>
            <w:noWrap/>
            <w:vAlign w:val="center"/>
            <w:hideMark/>
          </w:tcPr>
          <w:p w14:paraId="1928A07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7,23%</w:t>
            </w:r>
          </w:p>
        </w:tc>
        <w:tc>
          <w:tcPr>
            <w:tcW w:w="874" w:type="dxa"/>
            <w:tcBorders>
              <w:top w:val="nil"/>
              <w:left w:val="nil"/>
              <w:bottom w:val="nil"/>
              <w:right w:val="single" w:sz="8" w:space="0" w:color="auto"/>
            </w:tcBorders>
            <w:shd w:val="clear" w:color="000000" w:fill="FFFFFF"/>
            <w:noWrap/>
            <w:vAlign w:val="center"/>
            <w:hideMark/>
          </w:tcPr>
          <w:p w14:paraId="46A17F1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3,22%</w:t>
            </w:r>
          </w:p>
        </w:tc>
        <w:tc>
          <w:tcPr>
            <w:tcW w:w="874" w:type="dxa"/>
            <w:tcBorders>
              <w:top w:val="nil"/>
              <w:left w:val="nil"/>
              <w:bottom w:val="nil"/>
              <w:right w:val="single" w:sz="8" w:space="0" w:color="auto"/>
            </w:tcBorders>
            <w:shd w:val="clear" w:color="000000" w:fill="FFFFFF"/>
            <w:noWrap/>
            <w:vAlign w:val="center"/>
            <w:hideMark/>
          </w:tcPr>
          <w:p w14:paraId="3C94E76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3,26%</w:t>
            </w:r>
          </w:p>
        </w:tc>
        <w:tc>
          <w:tcPr>
            <w:tcW w:w="874" w:type="dxa"/>
            <w:tcBorders>
              <w:top w:val="nil"/>
              <w:left w:val="nil"/>
              <w:bottom w:val="nil"/>
              <w:right w:val="single" w:sz="8" w:space="0" w:color="auto"/>
            </w:tcBorders>
            <w:shd w:val="clear" w:color="000000" w:fill="FFFFFF"/>
            <w:noWrap/>
            <w:vAlign w:val="center"/>
            <w:hideMark/>
          </w:tcPr>
          <w:p w14:paraId="377F0D2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3,27%</w:t>
            </w:r>
          </w:p>
        </w:tc>
        <w:tc>
          <w:tcPr>
            <w:tcW w:w="874" w:type="dxa"/>
            <w:tcBorders>
              <w:top w:val="nil"/>
              <w:left w:val="nil"/>
              <w:bottom w:val="nil"/>
              <w:right w:val="single" w:sz="8" w:space="0" w:color="auto"/>
            </w:tcBorders>
            <w:shd w:val="clear" w:color="000000" w:fill="FFFFFF"/>
            <w:noWrap/>
            <w:vAlign w:val="center"/>
            <w:hideMark/>
          </w:tcPr>
          <w:p w14:paraId="2029434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3,28%</w:t>
            </w:r>
          </w:p>
        </w:tc>
        <w:tc>
          <w:tcPr>
            <w:tcW w:w="874" w:type="dxa"/>
            <w:tcBorders>
              <w:top w:val="nil"/>
              <w:left w:val="nil"/>
              <w:bottom w:val="nil"/>
              <w:right w:val="single" w:sz="8" w:space="0" w:color="auto"/>
            </w:tcBorders>
            <w:shd w:val="clear" w:color="000000" w:fill="FFFFFF"/>
            <w:noWrap/>
            <w:vAlign w:val="center"/>
            <w:hideMark/>
          </w:tcPr>
          <w:p w14:paraId="6A05C82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3,29%</w:t>
            </w:r>
          </w:p>
        </w:tc>
        <w:tc>
          <w:tcPr>
            <w:tcW w:w="874" w:type="dxa"/>
            <w:tcBorders>
              <w:top w:val="nil"/>
              <w:left w:val="nil"/>
              <w:bottom w:val="nil"/>
              <w:right w:val="single" w:sz="8" w:space="0" w:color="auto"/>
            </w:tcBorders>
            <w:shd w:val="clear" w:color="000000" w:fill="FFFFFF"/>
            <w:noWrap/>
            <w:vAlign w:val="center"/>
            <w:hideMark/>
          </w:tcPr>
          <w:p w14:paraId="7ADCCBE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3,30%</w:t>
            </w:r>
          </w:p>
        </w:tc>
        <w:tc>
          <w:tcPr>
            <w:tcW w:w="874" w:type="dxa"/>
            <w:tcBorders>
              <w:top w:val="nil"/>
              <w:left w:val="nil"/>
              <w:bottom w:val="nil"/>
              <w:right w:val="single" w:sz="8" w:space="0" w:color="auto"/>
            </w:tcBorders>
            <w:shd w:val="clear" w:color="000000" w:fill="FFFFFF"/>
            <w:noWrap/>
            <w:vAlign w:val="center"/>
            <w:hideMark/>
          </w:tcPr>
          <w:p w14:paraId="03870BD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3,31%</w:t>
            </w:r>
          </w:p>
        </w:tc>
        <w:tc>
          <w:tcPr>
            <w:tcW w:w="874" w:type="dxa"/>
            <w:tcBorders>
              <w:top w:val="nil"/>
              <w:left w:val="nil"/>
              <w:bottom w:val="nil"/>
              <w:right w:val="single" w:sz="8" w:space="0" w:color="auto"/>
            </w:tcBorders>
            <w:shd w:val="clear" w:color="000000" w:fill="FFFFFF"/>
            <w:noWrap/>
            <w:vAlign w:val="center"/>
            <w:hideMark/>
          </w:tcPr>
          <w:p w14:paraId="6EDD6C6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3,32%</w:t>
            </w:r>
          </w:p>
        </w:tc>
        <w:tc>
          <w:tcPr>
            <w:tcW w:w="874" w:type="dxa"/>
            <w:tcBorders>
              <w:top w:val="nil"/>
              <w:left w:val="nil"/>
              <w:bottom w:val="nil"/>
              <w:right w:val="single" w:sz="8" w:space="0" w:color="auto"/>
            </w:tcBorders>
            <w:shd w:val="clear" w:color="000000" w:fill="FFFFFF"/>
            <w:noWrap/>
            <w:vAlign w:val="center"/>
            <w:hideMark/>
          </w:tcPr>
          <w:p w14:paraId="3F94819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3,32%</w:t>
            </w:r>
          </w:p>
        </w:tc>
      </w:tr>
      <w:tr w:rsidR="002009BF" w:rsidRPr="00DF60B7" w14:paraId="77716DAC"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FFFFFF"/>
            <w:noWrap/>
            <w:hideMark/>
          </w:tcPr>
          <w:p w14:paraId="029C62CC" w14:textId="77777777" w:rsidR="002009BF" w:rsidRPr="00117BF8" w:rsidRDefault="002009BF"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Contrib. a la Seguridad Social</w:t>
            </w:r>
          </w:p>
        </w:tc>
        <w:tc>
          <w:tcPr>
            <w:tcW w:w="874" w:type="dxa"/>
            <w:tcBorders>
              <w:top w:val="nil"/>
              <w:left w:val="single" w:sz="4" w:space="0" w:color="auto"/>
              <w:bottom w:val="nil"/>
              <w:right w:val="single" w:sz="8" w:space="0" w:color="auto"/>
            </w:tcBorders>
            <w:shd w:val="clear" w:color="000000" w:fill="FFFFFF"/>
            <w:noWrap/>
            <w:vAlign w:val="center"/>
            <w:hideMark/>
          </w:tcPr>
          <w:p w14:paraId="4486DFB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0,75%</w:t>
            </w:r>
          </w:p>
        </w:tc>
        <w:tc>
          <w:tcPr>
            <w:tcW w:w="953" w:type="dxa"/>
            <w:tcBorders>
              <w:top w:val="nil"/>
              <w:left w:val="nil"/>
              <w:bottom w:val="nil"/>
              <w:right w:val="single" w:sz="8" w:space="0" w:color="auto"/>
            </w:tcBorders>
            <w:shd w:val="clear" w:color="000000" w:fill="FFFFFF"/>
            <w:noWrap/>
            <w:vAlign w:val="center"/>
            <w:hideMark/>
          </w:tcPr>
          <w:p w14:paraId="05420EE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-2,01%</w:t>
            </w:r>
          </w:p>
        </w:tc>
        <w:tc>
          <w:tcPr>
            <w:tcW w:w="874" w:type="dxa"/>
            <w:tcBorders>
              <w:top w:val="nil"/>
              <w:left w:val="nil"/>
              <w:bottom w:val="nil"/>
              <w:right w:val="single" w:sz="8" w:space="0" w:color="auto"/>
            </w:tcBorders>
            <w:shd w:val="clear" w:color="000000" w:fill="FFFFFF"/>
            <w:noWrap/>
            <w:vAlign w:val="center"/>
            <w:hideMark/>
          </w:tcPr>
          <w:p w14:paraId="5242C26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0,46%</w:t>
            </w:r>
          </w:p>
        </w:tc>
        <w:tc>
          <w:tcPr>
            <w:tcW w:w="874" w:type="dxa"/>
            <w:tcBorders>
              <w:top w:val="nil"/>
              <w:left w:val="nil"/>
              <w:bottom w:val="nil"/>
              <w:right w:val="single" w:sz="8" w:space="0" w:color="auto"/>
            </w:tcBorders>
            <w:shd w:val="clear" w:color="000000" w:fill="FFFFFF"/>
            <w:noWrap/>
            <w:vAlign w:val="center"/>
            <w:hideMark/>
          </w:tcPr>
          <w:p w14:paraId="6629E23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6FD8DD5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1,17%</w:t>
            </w:r>
          </w:p>
        </w:tc>
        <w:tc>
          <w:tcPr>
            <w:tcW w:w="874" w:type="dxa"/>
            <w:tcBorders>
              <w:top w:val="nil"/>
              <w:left w:val="nil"/>
              <w:bottom w:val="nil"/>
              <w:right w:val="single" w:sz="8" w:space="0" w:color="auto"/>
            </w:tcBorders>
            <w:shd w:val="clear" w:color="000000" w:fill="FFFFFF"/>
            <w:noWrap/>
            <w:vAlign w:val="center"/>
            <w:hideMark/>
          </w:tcPr>
          <w:p w14:paraId="6DAFCEE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0CA2849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51C444C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718F768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27C3435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08FBCEF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3F3F38C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r>
      <w:tr w:rsidR="002009BF" w:rsidRPr="00DF60B7" w14:paraId="78FEDBBA"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FFFFFF"/>
            <w:noWrap/>
            <w:hideMark/>
          </w:tcPr>
          <w:p w14:paraId="558961B5"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No Tributarios</w:t>
            </w:r>
          </w:p>
        </w:tc>
        <w:tc>
          <w:tcPr>
            <w:tcW w:w="874" w:type="dxa"/>
            <w:tcBorders>
              <w:top w:val="nil"/>
              <w:left w:val="single" w:sz="4" w:space="0" w:color="auto"/>
              <w:bottom w:val="nil"/>
              <w:right w:val="single" w:sz="8" w:space="0" w:color="auto"/>
            </w:tcBorders>
            <w:shd w:val="clear" w:color="000000" w:fill="FFFFFF"/>
            <w:noWrap/>
            <w:vAlign w:val="center"/>
            <w:hideMark/>
          </w:tcPr>
          <w:p w14:paraId="1276514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5,65%</w:t>
            </w:r>
          </w:p>
        </w:tc>
        <w:tc>
          <w:tcPr>
            <w:tcW w:w="953" w:type="dxa"/>
            <w:tcBorders>
              <w:top w:val="nil"/>
              <w:left w:val="nil"/>
              <w:bottom w:val="nil"/>
              <w:right w:val="single" w:sz="8" w:space="0" w:color="auto"/>
            </w:tcBorders>
            <w:shd w:val="clear" w:color="000000" w:fill="FFFFFF"/>
            <w:noWrap/>
            <w:vAlign w:val="center"/>
            <w:hideMark/>
          </w:tcPr>
          <w:p w14:paraId="601888D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-6,29%</w:t>
            </w:r>
          </w:p>
        </w:tc>
        <w:tc>
          <w:tcPr>
            <w:tcW w:w="874" w:type="dxa"/>
            <w:tcBorders>
              <w:top w:val="nil"/>
              <w:left w:val="nil"/>
              <w:bottom w:val="nil"/>
              <w:right w:val="single" w:sz="8" w:space="0" w:color="auto"/>
            </w:tcBorders>
            <w:shd w:val="clear" w:color="000000" w:fill="FFFFFF"/>
            <w:noWrap/>
            <w:vAlign w:val="center"/>
            <w:hideMark/>
          </w:tcPr>
          <w:p w14:paraId="2846E34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-2,92%</w:t>
            </w:r>
          </w:p>
        </w:tc>
        <w:tc>
          <w:tcPr>
            <w:tcW w:w="874" w:type="dxa"/>
            <w:tcBorders>
              <w:top w:val="nil"/>
              <w:left w:val="nil"/>
              <w:bottom w:val="nil"/>
              <w:right w:val="single" w:sz="8" w:space="0" w:color="auto"/>
            </w:tcBorders>
            <w:shd w:val="clear" w:color="000000" w:fill="FFFFFF"/>
            <w:noWrap/>
            <w:vAlign w:val="center"/>
            <w:hideMark/>
          </w:tcPr>
          <w:p w14:paraId="428A94C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-1,57%</w:t>
            </w:r>
          </w:p>
        </w:tc>
        <w:tc>
          <w:tcPr>
            <w:tcW w:w="874" w:type="dxa"/>
            <w:tcBorders>
              <w:top w:val="nil"/>
              <w:left w:val="nil"/>
              <w:bottom w:val="nil"/>
              <w:right w:val="single" w:sz="8" w:space="0" w:color="auto"/>
            </w:tcBorders>
            <w:shd w:val="clear" w:color="000000" w:fill="FFFFFF"/>
            <w:noWrap/>
            <w:vAlign w:val="center"/>
            <w:hideMark/>
          </w:tcPr>
          <w:p w14:paraId="5979882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-1,57%</w:t>
            </w:r>
          </w:p>
        </w:tc>
        <w:tc>
          <w:tcPr>
            <w:tcW w:w="874" w:type="dxa"/>
            <w:tcBorders>
              <w:top w:val="nil"/>
              <w:left w:val="nil"/>
              <w:bottom w:val="nil"/>
              <w:right w:val="single" w:sz="8" w:space="0" w:color="auto"/>
            </w:tcBorders>
            <w:shd w:val="clear" w:color="000000" w:fill="FFFFFF"/>
            <w:noWrap/>
            <w:vAlign w:val="center"/>
            <w:hideMark/>
          </w:tcPr>
          <w:p w14:paraId="26692A6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-1,55%</w:t>
            </w:r>
          </w:p>
        </w:tc>
        <w:tc>
          <w:tcPr>
            <w:tcW w:w="874" w:type="dxa"/>
            <w:tcBorders>
              <w:top w:val="nil"/>
              <w:left w:val="nil"/>
              <w:bottom w:val="nil"/>
              <w:right w:val="single" w:sz="8" w:space="0" w:color="auto"/>
            </w:tcBorders>
            <w:shd w:val="clear" w:color="000000" w:fill="FFFFFF"/>
            <w:noWrap/>
            <w:vAlign w:val="center"/>
            <w:hideMark/>
          </w:tcPr>
          <w:p w14:paraId="2B8D141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-1,53%</w:t>
            </w:r>
          </w:p>
        </w:tc>
        <w:tc>
          <w:tcPr>
            <w:tcW w:w="874" w:type="dxa"/>
            <w:tcBorders>
              <w:top w:val="nil"/>
              <w:left w:val="nil"/>
              <w:bottom w:val="nil"/>
              <w:right w:val="single" w:sz="8" w:space="0" w:color="auto"/>
            </w:tcBorders>
            <w:shd w:val="clear" w:color="000000" w:fill="FFFFFF"/>
            <w:noWrap/>
            <w:vAlign w:val="center"/>
            <w:hideMark/>
          </w:tcPr>
          <w:p w14:paraId="5E48087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-1,51%</w:t>
            </w:r>
          </w:p>
        </w:tc>
        <w:tc>
          <w:tcPr>
            <w:tcW w:w="874" w:type="dxa"/>
            <w:tcBorders>
              <w:top w:val="nil"/>
              <w:left w:val="nil"/>
              <w:bottom w:val="nil"/>
              <w:right w:val="single" w:sz="8" w:space="0" w:color="auto"/>
            </w:tcBorders>
            <w:shd w:val="clear" w:color="000000" w:fill="FFFFFF"/>
            <w:noWrap/>
            <w:vAlign w:val="center"/>
            <w:hideMark/>
          </w:tcPr>
          <w:p w14:paraId="0C7AEA0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-1,49%</w:t>
            </w:r>
          </w:p>
        </w:tc>
        <w:tc>
          <w:tcPr>
            <w:tcW w:w="874" w:type="dxa"/>
            <w:tcBorders>
              <w:top w:val="nil"/>
              <w:left w:val="nil"/>
              <w:bottom w:val="nil"/>
              <w:right w:val="single" w:sz="8" w:space="0" w:color="auto"/>
            </w:tcBorders>
            <w:shd w:val="clear" w:color="000000" w:fill="FFFFFF"/>
            <w:noWrap/>
            <w:vAlign w:val="center"/>
            <w:hideMark/>
          </w:tcPr>
          <w:p w14:paraId="6271962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-1,47%</w:t>
            </w:r>
          </w:p>
        </w:tc>
        <w:tc>
          <w:tcPr>
            <w:tcW w:w="874" w:type="dxa"/>
            <w:tcBorders>
              <w:top w:val="nil"/>
              <w:left w:val="nil"/>
              <w:bottom w:val="nil"/>
              <w:right w:val="single" w:sz="8" w:space="0" w:color="auto"/>
            </w:tcBorders>
            <w:shd w:val="clear" w:color="000000" w:fill="FFFFFF"/>
            <w:noWrap/>
            <w:vAlign w:val="center"/>
            <w:hideMark/>
          </w:tcPr>
          <w:p w14:paraId="3A99BD5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-1,44%</w:t>
            </w:r>
          </w:p>
        </w:tc>
        <w:tc>
          <w:tcPr>
            <w:tcW w:w="874" w:type="dxa"/>
            <w:tcBorders>
              <w:top w:val="nil"/>
              <w:left w:val="nil"/>
              <w:bottom w:val="nil"/>
              <w:right w:val="single" w:sz="8" w:space="0" w:color="auto"/>
            </w:tcBorders>
            <w:shd w:val="clear" w:color="000000" w:fill="FFFFFF"/>
            <w:noWrap/>
            <w:vAlign w:val="center"/>
            <w:hideMark/>
          </w:tcPr>
          <w:p w14:paraId="3702944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-1,42%</w:t>
            </w:r>
          </w:p>
        </w:tc>
      </w:tr>
      <w:tr w:rsidR="002009BF" w:rsidRPr="00DF60B7" w14:paraId="61266586" w14:textId="77777777" w:rsidTr="001D3315">
        <w:trPr>
          <w:gridAfter w:val="1"/>
          <w:wAfter w:w="65" w:type="dxa"/>
        </w:trPr>
        <w:tc>
          <w:tcPr>
            <w:tcW w:w="2835" w:type="dxa"/>
            <w:tcBorders>
              <w:top w:val="single" w:sz="8" w:space="0" w:color="auto"/>
              <w:left w:val="single" w:sz="8" w:space="0" w:color="auto"/>
              <w:bottom w:val="single" w:sz="8" w:space="0" w:color="auto"/>
              <w:right w:val="single" w:sz="4" w:space="0" w:color="auto"/>
            </w:tcBorders>
            <w:shd w:val="clear" w:color="000000" w:fill="FFFFFF"/>
            <w:noWrap/>
            <w:hideMark/>
          </w:tcPr>
          <w:p w14:paraId="64406568" w14:textId="77777777" w:rsidR="002009BF" w:rsidRPr="00117BF8" w:rsidRDefault="002009BF" w:rsidP="001D3315">
            <w:pPr>
              <w:pStyle w:val="TablaC"/>
              <w:jc w:val="left"/>
              <w:rPr>
                <w:rFonts w:ascii="Arial" w:hAnsi="Arial" w:cs="Arial"/>
                <w:b/>
                <w:sz w:val="18"/>
                <w:szCs w:val="18"/>
              </w:rPr>
            </w:pPr>
            <w:r w:rsidRPr="00117BF8">
              <w:rPr>
                <w:rFonts w:ascii="Arial" w:hAnsi="Arial" w:cs="Arial"/>
                <w:b/>
                <w:sz w:val="18"/>
                <w:szCs w:val="18"/>
              </w:rPr>
              <w:t>II. GASTOS CORRIENTES</w:t>
            </w:r>
          </w:p>
        </w:tc>
        <w:tc>
          <w:tcPr>
            <w:tcW w:w="874"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157F23EC"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3,47%</w:t>
            </w:r>
          </w:p>
        </w:tc>
        <w:tc>
          <w:tcPr>
            <w:tcW w:w="953" w:type="dxa"/>
            <w:tcBorders>
              <w:top w:val="single" w:sz="8" w:space="0" w:color="auto"/>
              <w:left w:val="nil"/>
              <w:bottom w:val="single" w:sz="8" w:space="0" w:color="auto"/>
              <w:right w:val="single" w:sz="8" w:space="0" w:color="auto"/>
            </w:tcBorders>
            <w:shd w:val="clear" w:color="000000" w:fill="FFFFFF"/>
            <w:noWrap/>
            <w:vAlign w:val="center"/>
            <w:hideMark/>
          </w:tcPr>
          <w:p w14:paraId="4991BFB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-0,21%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775BFE6"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1,74%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B4FDFA0"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2,27%</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4242EDBE"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1,38%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CA76C2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1,68%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DED4E70"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1,91%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3E70DF4"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2,08%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20F3FBB"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1,90%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E0CA69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1,94%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660283A"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1,94%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1F43874" w14:textId="77777777" w:rsidR="002009BF" w:rsidRPr="00117BF8" w:rsidRDefault="002009BF" w:rsidP="001D3315">
            <w:pPr>
              <w:pStyle w:val="TablaC"/>
              <w:rPr>
                <w:rFonts w:ascii="Arial" w:hAnsi="Arial" w:cs="Arial"/>
                <w:b/>
                <w:sz w:val="18"/>
                <w:szCs w:val="18"/>
              </w:rPr>
            </w:pPr>
            <w:r w:rsidRPr="00117BF8">
              <w:rPr>
                <w:rFonts w:ascii="Arial" w:hAnsi="Arial" w:cs="Arial"/>
                <w:b/>
                <w:sz w:val="18"/>
                <w:szCs w:val="18"/>
              </w:rPr>
              <w:t>2,01%</w:t>
            </w:r>
          </w:p>
        </w:tc>
      </w:tr>
      <w:tr w:rsidR="002009BF" w:rsidRPr="00DF60B7" w14:paraId="3F52A397"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FFFFFF"/>
            <w:noWrap/>
            <w:hideMark/>
          </w:tcPr>
          <w:p w14:paraId="1911A60A"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Personal</w:t>
            </w:r>
          </w:p>
        </w:tc>
        <w:tc>
          <w:tcPr>
            <w:tcW w:w="874" w:type="dxa"/>
            <w:tcBorders>
              <w:top w:val="nil"/>
              <w:left w:val="single" w:sz="4" w:space="0" w:color="auto"/>
              <w:bottom w:val="nil"/>
              <w:right w:val="single" w:sz="8" w:space="0" w:color="auto"/>
            </w:tcBorders>
            <w:shd w:val="clear" w:color="000000" w:fill="FFFFFF"/>
            <w:noWrap/>
            <w:vAlign w:val="center"/>
            <w:hideMark/>
          </w:tcPr>
          <w:p w14:paraId="551B97B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4,35%</w:t>
            </w:r>
          </w:p>
        </w:tc>
        <w:tc>
          <w:tcPr>
            <w:tcW w:w="953" w:type="dxa"/>
            <w:tcBorders>
              <w:top w:val="nil"/>
              <w:left w:val="nil"/>
              <w:bottom w:val="nil"/>
              <w:right w:val="single" w:sz="8" w:space="0" w:color="auto"/>
            </w:tcBorders>
            <w:shd w:val="clear" w:color="000000" w:fill="FFFFFF"/>
            <w:noWrap/>
            <w:vAlign w:val="center"/>
            <w:hideMark/>
          </w:tcPr>
          <w:p w14:paraId="1E98F9C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-2,01%</w:t>
            </w:r>
          </w:p>
        </w:tc>
        <w:tc>
          <w:tcPr>
            <w:tcW w:w="874" w:type="dxa"/>
            <w:tcBorders>
              <w:top w:val="nil"/>
              <w:left w:val="nil"/>
              <w:bottom w:val="nil"/>
              <w:right w:val="single" w:sz="8" w:space="0" w:color="auto"/>
            </w:tcBorders>
            <w:shd w:val="clear" w:color="000000" w:fill="FFFFFF"/>
            <w:noWrap/>
            <w:vAlign w:val="center"/>
            <w:hideMark/>
          </w:tcPr>
          <w:p w14:paraId="6DB382D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0,46%</w:t>
            </w:r>
          </w:p>
        </w:tc>
        <w:tc>
          <w:tcPr>
            <w:tcW w:w="874" w:type="dxa"/>
            <w:tcBorders>
              <w:top w:val="nil"/>
              <w:left w:val="nil"/>
              <w:bottom w:val="nil"/>
              <w:right w:val="single" w:sz="8" w:space="0" w:color="auto"/>
            </w:tcBorders>
            <w:shd w:val="clear" w:color="000000" w:fill="FFFFFF"/>
            <w:noWrap/>
            <w:vAlign w:val="center"/>
            <w:hideMark/>
          </w:tcPr>
          <w:p w14:paraId="1AAF3E6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1,89%</w:t>
            </w:r>
          </w:p>
        </w:tc>
        <w:tc>
          <w:tcPr>
            <w:tcW w:w="874" w:type="dxa"/>
            <w:tcBorders>
              <w:top w:val="nil"/>
              <w:left w:val="nil"/>
              <w:bottom w:val="nil"/>
              <w:right w:val="single" w:sz="8" w:space="0" w:color="auto"/>
            </w:tcBorders>
            <w:shd w:val="clear" w:color="000000" w:fill="FFFFFF"/>
            <w:noWrap/>
            <w:vAlign w:val="center"/>
            <w:hideMark/>
          </w:tcPr>
          <w:p w14:paraId="4FF90C2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1,17%</w:t>
            </w:r>
          </w:p>
        </w:tc>
        <w:tc>
          <w:tcPr>
            <w:tcW w:w="874" w:type="dxa"/>
            <w:tcBorders>
              <w:top w:val="nil"/>
              <w:left w:val="nil"/>
              <w:bottom w:val="nil"/>
              <w:right w:val="single" w:sz="8" w:space="0" w:color="auto"/>
            </w:tcBorders>
            <w:shd w:val="clear" w:color="000000" w:fill="FFFFFF"/>
            <w:noWrap/>
            <w:vAlign w:val="center"/>
            <w:hideMark/>
          </w:tcPr>
          <w:p w14:paraId="2053B96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46FCE66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6F2007E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3ADB5CB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0C80BCD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41D8335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1E3701F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r>
      <w:tr w:rsidR="002009BF" w:rsidRPr="00DF60B7" w14:paraId="2577F167"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FFFFFF"/>
            <w:noWrap/>
            <w:hideMark/>
          </w:tcPr>
          <w:p w14:paraId="605AA94D"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Bienes y Servicios</w:t>
            </w:r>
          </w:p>
        </w:tc>
        <w:tc>
          <w:tcPr>
            <w:tcW w:w="874" w:type="dxa"/>
            <w:tcBorders>
              <w:top w:val="nil"/>
              <w:left w:val="single" w:sz="4" w:space="0" w:color="auto"/>
              <w:bottom w:val="nil"/>
              <w:right w:val="single" w:sz="8" w:space="0" w:color="auto"/>
            </w:tcBorders>
            <w:shd w:val="clear" w:color="000000" w:fill="FFFFFF"/>
            <w:noWrap/>
            <w:vAlign w:val="center"/>
            <w:hideMark/>
          </w:tcPr>
          <w:p w14:paraId="111DD9D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3,20%</w:t>
            </w:r>
          </w:p>
        </w:tc>
        <w:tc>
          <w:tcPr>
            <w:tcW w:w="953" w:type="dxa"/>
            <w:tcBorders>
              <w:top w:val="nil"/>
              <w:left w:val="nil"/>
              <w:bottom w:val="nil"/>
              <w:right w:val="single" w:sz="8" w:space="0" w:color="auto"/>
            </w:tcBorders>
            <w:shd w:val="clear" w:color="000000" w:fill="FFFFFF"/>
            <w:noWrap/>
            <w:vAlign w:val="center"/>
            <w:hideMark/>
          </w:tcPr>
          <w:p w14:paraId="413A27E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6F18AD5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20BFC5B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780FE95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1577D13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30A171A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3C923BF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5112FE7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60BA157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5DD6736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c>
          <w:tcPr>
            <w:tcW w:w="874" w:type="dxa"/>
            <w:tcBorders>
              <w:top w:val="nil"/>
              <w:left w:val="nil"/>
              <w:bottom w:val="nil"/>
              <w:right w:val="single" w:sz="8" w:space="0" w:color="auto"/>
            </w:tcBorders>
            <w:shd w:val="clear" w:color="000000" w:fill="FFFFFF"/>
            <w:noWrap/>
            <w:vAlign w:val="center"/>
            <w:hideMark/>
          </w:tcPr>
          <w:p w14:paraId="0717572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3,50%</w:t>
            </w:r>
          </w:p>
        </w:tc>
      </w:tr>
      <w:tr w:rsidR="002009BF" w:rsidRPr="00DF60B7" w14:paraId="14E449D4"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FFFFFF"/>
            <w:noWrap/>
            <w:hideMark/>
          </w:tcPr>
          <w:p w14:paraId="0574BBA9"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Intereses</w:t>
            </w:r>
          </w:p>
        </w:tc>
        <w:tc>
          <w:tcPr>
            <w:tcW w:w="874" w:type="dxa"/>
            <w:tcBorders>
              <w:top w:val="nil"/>
              <w:left w:val="single" w:sz="4" w:space="0" w:color="auto"/>
              <w:bottom w:val="nil"/>
              <w:right w:val="single" w:sz="8" w:space="0" w:color="auto"/>
            </w:tcBorders>
            <w:shd w:val="clear" w:color="000000" w:fill="FFFFFF"/>
            <w:noWrap/>
            <w:vAlign w:val="center"/>
            <w:hideMark/>
          </w:tcPr>
          <w:p w14:paraId="6A50018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33,21%</w:t>
            </w:r>
          </w:p>
        </w:tc>
        <w:tc>
          <w:tcPr>
            <w:tcW w:w="953" w:type="dxa"/>
            <w:tcBorders>
              <w:top w:val="nil"/>
              <w:left w:val="nil"/>
              <w:bottom w:val="nil"/>
              <w:right w:val="single" w:sz="8" w:space="0" w:color="auto"/>
            </w:tcBorders>
            <w:shd w:val="clear" w:color="000000" w:fill="FFFFFF"/>
            <w:noWrap/>
            <w:vAlign w:val="center"/>
            <w:hideMark/>
          </w:tcPr>
          <w:p w14:paraId="1A58A98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2,68%</w:t>
            </w:r>
          </w:p>
        </w:tc>
        <w:tc>
          <w:tcPr>
            <w:tcW w:w="874" w:type="dxa"/>
            <w:tcBorders>
              <w:top w:val="nil"/>
              <w:left w:val="nil"/>
              <w:bottom w:val="nil"/>
              <w:right w:val="single" w:sz="8" w:space="0" w:color="auto"/>
            </w:tcBorders>
            <w:shd w:val="clear" w:color="000000" w:fill="FFFFFF"/>
            <w:noWrap/>
            <w:vAlign w:val="center"/>
            <w:hideMark/>
          </w:tcPr>
          <w:p w14:paraId="566BC2E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8,61%</w:t>
            </w:r>
          </w:p>
        </w:tc>
        <w:tc>
          <w:tcPr>
            <w:tcW w:w="874" w:type="dxa"/>
            <w:tcBorders>
              <w:top w:val="nil"/>
              <w:left w:val="nil"/>
              <w:bottom w:val="nil"/>
              <w:right w:val="single" w:sz="8" w:space="0" w:color="auto"/>
            </w:tcBorders>
            <w:shd w:val="clear" w:color="000000" w:fill="FFFFFF"/>
            <w:noWrap/>
            <w:vAlign w:val="center"/>
            <w:hideMark/>
          </w:tcPr>
          <w:p w14:paraId="7F21209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-1,57%</w:t>
            </w:r>
          </w:p>
        </w:tc>
        <w:tc>
          <w:tcPr>
            <w:tcW w:w="874" w:type="dxa"/>
            <w:tcBorders>
              <w:top w:val="nil"/>
              <w:left w:val="nil"/>
              <w:bottom w:val="nil"/>
              <w:right w:val="single" w:sz="8" w:space="0" w:color="auto"/>
            </w:tcBorders>
            <w:shd w:val="clear" w:color="000000" w:fill="FFFFFF"/>
            <w:noWrap/>
            <w:vAlign w:val="center"/>
            <w:hideMark/>
          </w:tcPr>
          <w:p w14:paraId="34EC005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-2,72%</w:t>
            </w:r>
          </w:p>
        </w:tc>
        <w:tc>
          <w:tcPr>
            <w:tcW w:w="874" w:type="dxa"/>
            <w:tcBorders>
              <w:top w:val="nil"/>
              <w:left w:val="nil"/>
              <w:bottom w:val="nil"/>
              <w:right w:val="single" w:sz="8" w:space="0" w:color="auto"/>
            </w:tcBorders>
            <w:shd w:val="clear" w:color="000000" w:fill="FFFFFF"/>
            <w:noWrap/>
            <w:vAlign w:val="center"/>
            <w:hideMark/>
          </w:tcPr>
          <w:p w14:paraId="5CD51DE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-5,79%</w:t>
            </w:r>
          </w:p>
        </w:tc>
        <w:tc>
          <w:tcPr>
            <w:tcW w:w="874" w:type="dxa"/>
            <w:tcBorders>
              <w:top w:val="nil"/>
              <w:left w:val="nil"/>
              <w:bottom w:val="nil"/>
              <w:right w:val="single" w:sz="8" w:space="0" w:color="auto"/>
            </w:tcBorders>
            <w:shd w:val="clear" w:color="000000" w:fill="FFFFFF"/>
            <w:noWrap/>
            <w:vAlign w:val="center"/>
            <w:hideMark/>
          </w:tcPr>
          <w:p w14:paraId="76EA32F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-1,60%</w:t>
            </w:r>
          </w:p>
        </w:tc>
        <w:tc>
          <w:tcPr>
            <w:tcW w:w="874" w:type="dxa"/>
            <w:tcBorders>
              <w:top w:val="nil"/>
              <w:left w:val="nil"/>
              <w:bottom w:val="nil"/>
              <w:right w:val="single" w:sz="8" w:space="0" w:color="auto"/>
            </w:tcBorders>
            <w:shd w:val="clear" w:color="000000" w:fill="FFFFFF"/>
            <w:noWrap/>
            <w:vAlign w:val="center"/>
            <w:hideMark/>
          </w:tcPr>
          <w:p w14:paraId="11B2F39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2,18%</w:t>
            </w:r>
          </w:p>
        </w:tc>
        <w:tc>
          <w:tcPr>
            <w:tcW w:w="874" w:type="dxa"/>
            <w:tcBorders>
              <w:top w:val="nil"/>
              <w:left w:val="nil"/>
              <w:bottom w:val="nil"/>
              <w:right w:val="single" w:sz="8" w:space="0" w:color="auto"/>
            </w:tcBorders>
            <w:shd w:val="clear" w:color="000000" w:fill="FFFFFF"/>
            <w:noWrap/>
            <w:vAlign w:val="center"/>
            <w:hideMark/>
          </w:tcPr>
          <w:p w14:paraId="1937E66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-2,26%</w:t>
            </w:r>
          </w:p>
        </w:tc>
        <w:tc>
          <w:tcPr>
            <w:tcW w:w="874" w:type="dxa"/>
            <w:tcBorders>
              <w:top w:val="nil"/>
              <w:left w:val="nil"/>
              <w:bottom w:val="nil"/>
              <w:right w:val="single" w:sz="8" w:space="0" w:color="auto"/>
            </w:tcBorders>
            <w:shd w:val="clear" w:color="000000" w:fill="FFFFFF"/>
            <w:noWrap/>
            <w:vAlign w:val="center"/>
            <w:hideMark/>
          </w:tcPr>
          <w:p w14:paraId="108F1BF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-1,48%</w:t>
            </w:r>
          </w:p>
        </w:tc>
        <w:tc>
          <w:tcPr>
            <w:tcW w:w="874" w:type="dxa"/>
            <w:tcBorders>
              <w:top w:val="nil"/>
              <w:left w:val="nil"/>
              <w:bottom w:val="nil"/>
              <w:right w:val="single" w:sz="8" w:space="0" w:color="auto"/>
            </w:tcBorders>
            <w:shd w:val="clear" w:color="000000" w:fill="FFFFFF"/>
            <w:noWrap/>
            <w:vAlign w:val="center"/>
            <w:hideMark/>
          </w:tcPr>
          <w:p w14:paraId="5D30BA0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-1,73%</w:t>
            </w:r>
          </w:p>
        </w:tc>
        <w:tc>
          <w:tcPr>
            <w:tcW w:w="874" w:type="dxa"/>
            <w:tcBorders>
              <w:top w:val="nil"/>
              <w:left w:val="nil"/>
              <w:bottom w:val="nil"/>
              <w:right w:val="single" w:sz="8" w:space="0" w:color="auto"/>
            </w:tcBorders>
            <w:shd w:val="clear" w:color="000000" w:fill="FFFFFF"/>
            <w:noWrap/>
            <w:vAlign w:val="center"/>
            <w:hideMark/>
          </w:tcPr>
          <w:p w14:paraId="315E976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-0,41%</w:t>
            </w:r>
          </w:p>
        </w:tc>
      </w:tr>
      <w:tr w:rsidR="002009BF" w:rsidRPr="00DF60B7" w14:paraId="6FA3296A"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FFFFFF"/>
            <w:noWrap/>
            <w:hideMark/>
          </w:tcPr>
          <w:p w14:paraId="14F10EF4" w14:textId="77777777" w:rsidR="002009BF" w:rsidRPr="00117BF8" w:rsidRDefault="002009BF"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Prestaciones de la Seguridad Social</w:t>
            </w:r>
          </w:p>
        </w:tc>
        <w:tc>
          <w:tcPr>
            <w:tcW w:w="874" w:type="dxa"/>
            <w:tcBorders>
              <w:top w:val="nil"/>
              <w:left w:val="single" w:sz="4" w:space="0" w:color="auto"/>
              <w:bottom w:val="nil"/>
              <w:right w:val="single" w:sz="8" w:space="0" w:color="auto"/>
            </w:tcBorders>
            <w:shd w:val="clear" w:color="000000" w:fill="FFFFFF"/>
            <w:noWrap/>
            <w:vAlign w:val="center"/>
            <w:hideMark/>
          </w:tcPr>
          <w:p w14:paraId="7ED75E4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0,53%</w:t>
            </w:r>
          </w:p>
        </w:tc>
        <w:tc>
          <w:tcPr>
            <w:tcW w:w="953" w:type="dxa"/>
            <w:tcBorders>
              <w:top w:val="nil"/>
              <w:left w:val="nil"/>
              <w:bottom w:val="nil"/>
              <w:right w:val="single" w:sz="8" w:space="0" w:color="auto"/>
            </w:tcBorders>
            <w:shd w:val="clear" w:color="000000" w:fill="FFFFFF"/>
            <w:noWrap/>
            <w:vAlign w:val="center"/>
            <w:hideMark/>
          </w:tcPr>
          <w:p w14:paraId="2749FB5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-2,01%</w:t>
            </w:r>
          </w:p>
        </w:tc>
        <w:tc>
          <w:tcPr>
            <w:tcW w:w="874" w:type="dxa"/>
            <w:tcBorders>
              <w:top w:val="nil"/>
              <w:left w:val="nil"/>
              <w:bottom w:val="nil"/>
              <w:right w:val="single" w:sz="8" w:space="0" w:color="auto"/>
            </w:tcBorders>
            <w:shd w:val="clear" w:color="000000" w:fill="FFFFFF"/>
            <w:noWrap/>
            <w:vAlign w:val="center"/>
            <w:hideMark/>
          </w:tcPr>
          <w:p w14:paraId="5C3B9E7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0,46%</w:t>
            </w:r>
          </w:p>
        </w:tc>
        <w:tc>
          <w:tcPr>
            <w:tcW w:w="874" w:type="dxa"/>
            <w:tcBorders>
              <w:top w:val="nil"/>
              <w:left w:val="nil"/>
              <w:bottom w:val="nil"/>
              <w:right w:val="single" w:sz="8" w:space="0" w:color="auto"/>
            </w:tcBorders>
            <w:shd w:val="clear" w:color="000000" w:fill="FFFFFF"/>
            <w:noWrap/>
            <w:vAlign w:val="center"/>
            <w:hideMark/>
          </w:tcPr>
          <w:p w14:paraId="763AB94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1,89%</w:t>
            </w:r>
          </w:p>
        </w:tc>
        <w:tc>
          <w:tcPr>
            <w:tcW w:w="874" w:type="dxa"/>
            <w:tcBorders>
              <w:top w:val="nil"/>
              <w:left w:val="nil"/>
              <w:bottom w:val="nil"/>
              <w:right w:val="single" w:sz="8" w:space="0" w:color="auto"/>
            </w:tcBorders>
            <w:shd w:val="clear" w:color="000000" w:fill="FFFFFF"/>
            <w:noWrap/>
            <w:vAlign w:val="center"/>
            <w:hideMark/>
          </w:tcPr>
          <w:p w14:paraId="45E2E3A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1,17%</w:t>
            </w:r>
          </w:p>
        </w:tc>
        <w:tc>
          <w:tcPr>
            <w:tcW w:w="874" w:type="dxa"/>
            <w:tcBorders>
              <w:top w:val="nil"/>
              <w:left w:val="nil"/>
              <w:bottom w:val="nil"/>
              <w:right w:val="single" w:sz="8" w:space="0" w:color="auto"/>
            </w:tcBorders>
            <w:shd w:val="clear" w:color="000000" w:fill="FFFFFF"/>
            <w:noWrap/>
            <w:vAlign w:val="center"/>
            <w:hideMark/>
          </w:tcPr>
          <w:p w14:paraId="2C43AE0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3B77CC6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7DEA974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2BB9D67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1366115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4DB301B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c>
          <w:tcPr>
            <w:tcW w:w="874" w:type="dxa"/>
            <w:tcBorders>
              <w:top w:val="nil"/>
              <w:left w:val="nil"/>
              <w:bottom w:val="nil"/>
              <w:right w:val="single" w:sz="8" w:space="0" w:color="auto"/>
            </w:tcBorders>
            <w:shd w:val="clear" w:color="000000" w:fill="FFFFFF"/>
            <w:noWrap/>
            <w:vAlign w:val="center"/>
            <w:hideMark/>
          </w:tcPr>
          <w:p w14:paraId="67562A5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1,75%</w:t>
            </w:r>
          </w:p>
        </w:tc>
      </w:tr>
      <w:tr w:rsidR="002009BF" w:rsidRPr="00DF60B7" w14:paraId="2A5AEE20"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FFFFFF"/>
            <w:noWrap/>
            <w:hideMark/>
          </w:tcPr>
          <w:p w14:paraId="6178B13B" w14:textId="77777777" w:rsidR="002009BF" w:rsidRPr="00117BF8" w:rsidRDefault="002009BF"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Transf. Corrientes y Otros Gastos</w:t>
            </w:r>
          </w:p>
        </w:tc>
        <w:tc>
          <w:tcPr>
            <w:tcW w:w="874" w:type="dxa"/>
            <w:tcBorders>
              <w:top w:val="nil"/>
              <w:left w:val="single" w:sz="4" w:space="0" w:color="auto"/>
              <w:bottom w:val="nil"/>
              <w:right w:val="single" w:sz="8" w:space="0" w:color="auto"/>
            </w:tcBorders>
            <w:shd w:val="clear" w:color="000000" w:fill="FFFFFF"/>
            <w:noWrap/>
            <w:vAlign w:val="center"/>
            <w:hideMark/>
          </w:tcPr>
          <w:p w14:paraId="6E3409A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-1,03%</w:t>
            </w:r>
          </w:p>
        </w:tc>
        <w:tc>
          <w:tcPr>
            <w:tcW w:w="953" w:type="dxa"/>
            <w:tcBorders>
              <w:top w:val="nil"/>
              <w:left w:val="nil"/>
              <w:bottom w:val="nil"/>
              <w:right w:val="single" w:sz="8" w:space="0" w:color="auto"/>
            </w:tcBorders>
            <w:shd w:val="clear" w:color="000000" w:fill="FFFFFF"/>
            <w:noWrap/>
            <w:vAlign w:val="center"/>
            <w:hideMark/>
          </w:tcPr>
          <w:p w14:paraId="5D63817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3,88%</w:t>
            </w:r>
          </w:p>
        </w:tc>
        <w:tc>
          <w:tcPr>
            <w:tcW w:w="874" w:type="dxa"/>
            <w:tcBorders>
              <w:top w:val="nil"/>
              <w:left w:val="nil"/>
              <w:bottom w:val="nil"/>
              <w:right w:val="single" w:sz="8" w:space="0" w:color="auto"/>
            </w:tcBorders>
            <w:shd w:val="clear" w:color="000000" w:fill="FFFFFF"/>
            <w:noWrap/>
            <w:vAlign w:val="center"/>
            <w:hideMark/>
          </w:tcPr>
          <w:p w14:paraId="4D69BF5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3,60%</w:t>
            </w:r>
          </w:p>
        </w:tc>
        <w:tc>
          <w:tcPr>
            <w:tcW w:w="874" w:type="dxa"/>
            <w:tcBorders>
              <w:top w:val="nil"/>
              <w:left w:val="nil"/>
              <w:bottom w:val="nil"/>
              <w:right w:val="single" w:sz="8" w:space="0" w:color="auto"/>
            </w:tcBorders>
            <w:shd w:val="clear" w:color="000000" w:fill="FFFFFF"/>
            <w:noWrap/>
            <w:vAlign w:val="center"/>
            <w:hideMark/>
          </w:tcPr>
          <w:p w14:paraId="6CDF418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3,95%</w:t>
            </w:r>
          </w:p>
        </w:tc>
        <w:tc>
          <w:tcPr>
            <w:tcW w:w="874" w:type="dxa"/>
            <w:tcBorders>
              <w:top w:val="nil"/>
              <w:left w:val="nil"/>
              <w:bottom w:val="nil"/>
              <w:right w:val="single" w:sz="8" w:space="0" w:color="auto"/>
            </w:tcBorders>
            <w:shd w:val="clear" w:color="000000" w:fill="FFFFFF"/>
            <w:noWrap/>
            <w:vAlign w:val="center"/>
            <w:hideMark/>
          </w:tcPr>
          <w:p w14:paraId="4BE1C3B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2,34%</w:t>
            </w:r>
          </w:p>
        </w:tc>
        <w:tc>
          <w:tcPr>
            <w:tcW w:w="874" w:type="dxa"/>
            <w:tcBorders>
              <w:top w:val="nil"/>
              <w:left w:val="nil"/>
              <w:bottom w:val="nil"/>
              <w:right w:val="single" w:sz="8" w:space="0" w:color="auto"/>
            </w:tcBorders>
            <w:shd w:val="clear" w:color="000000" w:fill="FFFFFF"/>
            <w:noWrap/>
            <w:vAlign w:val="center"/>
            <w:hideMark/>
          </w:tcPr>
          <w:p w14:paraId="2F1E1E1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2,60%</w:t>
            </w:r>
          </w:p>
        </w:tc>
        <w:tc>
          <w:tcPr>
            <w:tcW w:w="874" w:type="dxa"/>
            <w:tcBorders>
              <w:top w:val="nil"/>
              <w:left w:val="nil"/>
              <w:bottom w:val="nil"/>
              <w:right w:val="single" w:sz="8" w:space="0" w:color="auto"/>
            </w:tcBorders>
            <w:shd w:val="clear" w:color="000000" w:fill="FFFFFF"/>
            <w:noWrap/>
            <w:vAlign w:val="center"/>
            <w:hideMark/>
          </w:tcPr>
          <w:p w14:paraId="3174632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2,61%</w:t>
            </w:r>
          </w:p>
        </w:tc>
        <w:tc>
          <w:tcPr>
            <w:tcW w:w="874" w:type="dxa"/>
            <w:tcBorders>
              <w:top w:val="nil"/>
              <w:left w:val="nil"/>
              <w:bottom w:val="nil"/>
              <w:right w:val="single" w:sz="8" w:space="0" w:color="auto"/>
            </w:tcBorders>
            <w:shd w:val="clear" w:color="000000" w:fill="FFFFFF"/>
            <w:noWrap/>
            <w:vAlign w:val="center"/>
            <w:hideMark/>
          </w:tcPr>
          <w:p w14:paraId="590D3F2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2,62%</w:t>
            </w:r>
          </w:p>
        </w:tc>
        <w:tc>
          <w:tcPr>
            <w:tcW w:w="874" w:type="dxa"/>
            <w:tcBorders>
              <w:top w:val="nil"/>
              <w:left w:val="nil"/>
              <w:bottom w:val="nil"/>
              <w:right w:val="single" w:sz="8" w:space="0" w:color="auto"/>
            </w:tcBorders>
            <w:shd w:val="clear" w:color="000000" w:fill="FFFFFF"/>
            <w:noWrap/>
            <w:vAlign w:val="center"/>
            <w:hideMark/>
          </w:tcPr>
          <w:p w14:paraId="6C3D003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2,64%</w:t>
            </w:r>
          </w:p>
        </w:tc>
        <w:tc>
          <w:tcPr>
            <w:tcW w:w="874" w:type="dxa"/>
            <w:tcBorders>
              <w:top w:val="nil"/>
              <w:left w:val="nil"/>
              <w:bottom w:val="nil"/>
              <w:right w:val="single" w:sz="8" w:space="0" w:color="auto"/>
            </w:tcBorders>
            <w:shd w:val="clear" w:color="000000" w:fill="FFFFFF"/>
            <w:noWrap/>
            <w:vAlign w:val="center"/>
            <w:hideMark/>
          </w:tcPr>
          <w:p w14:paraId="7B3EA65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2,65%</w:t>
            </w:r>
          </w:p>
        </w:tc>
        <w:tc>
          <w:tcPr>
            <w:tcW w:w="874" w:type="dxa"/>
            <w:tcBorders>
              <w:top w:val="nil"/>
              <w:left w:val="nil"/>
              <w:bottom w:val="nil"/>
              <w:right w:val="single" w:sz="8" w:space="0" w:color="auto"/>
            </w:tcBorders>
            <w:shd w:val="clear" w:color="000000" w:fill="FFFFFF"/>
            <w:noWrap/>
            <w:vAlign w:val="center"/>
            <w:hideMark/>
          </w:tcPr>
          <w:p w14:paraId="2D7FEF0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2,66%</w:t>
            </w:r>
          </w:p>
        </w:tc>
        <w:tc>
          <w:tcPr>
            <w:tcW w:w="874" w:type="dxa"/>
            <w:tcBorders>
              <w:top w:val="nil"/>
              <w:left w:val="nil"/>
              <w:bottom w:val="nil"/>
              <w:right w:val="single" w:sz="8" w:space="0" w:color="auto"/>
            </w:tcBorders>
            <w:shd w:val="clear" w:color="000000" w:fill="FFFFFF"/>
            <w:noWrap/>
            <w:vAlign w:val="center"/>
            <w:hideMark/>
          </w:tcPr>
          <w:p w14:paraId="2002E6B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2,67%</w:t>
            </w:r>
          </w:p>
        </w:tc>
      </w:tr>
      <w:tr w:rsidR="002009BF" w:rsidRPr="00DF60B7" w14:paraId="0118A862" w14:textId="77777777" w:rsidTr="001D3315">
        <w:trPr>
          <w:gridAfter w:val="1"/>
          <w:wAfter w:w="65" w:type="dxa"/>
        </w:trPr>
        <w:tc>
          <w:tcPr>
            <w:tcW w:w="2835" w:type="dxa"/>
            <w:tcBorders>
              <w:top w:val="single" w:sz="8" w:space="0" w:color="auto"/>
              <w:left w:val="single" w:sz="8" w:space="0" w:color="auto"/>
              <w:bottom w:val="single" w:sz="8" w:space="0" w:color="auto"/>
              <w:right w:val="single" w:sz="4" w:space="0" w:color="auto"/>
            </w:tcBorders>
            <w:shd w:val="clear" w:color="000000" w:fill="FFFFFF"/>
            <w:noWrap/>
            <w:hideMark/>
          </w:tcPr>
          <w:p w14:paraId="7D6E1910"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III. RESULTADO ECONOMICO</w:t>
            </w:r>
          </w:p>
        </w:tc>
        <w:tc>
          <w:tcPr>
            <w:tcW w:w="874"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03C47A0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-100,21%</w:t>
            </w:r>
          </w:p>
        </w:tc>
        <w:tc>
          <w:tcPr>
            <w:tcW w:w="953" w:type="dxa"/>
            <w:tcBorders>
              <w:top w:val="single" w:sz="8" w:space="0" w:color="auto"/>
              <w:left w:val="nil"/>
              <w:bottom w:val="single" w:sz="8" w:space="0" w:color="auto"/>
              <w:right w:val="single" w:sz="8" w:space="0" w:color="auto"/>
            </w:tcBorders>
            <w:shd w:val="clear" w:color="000000" w:fill="FFFFFF"/>
            <w:noWrap/>
            <w:vAlign w:val="center"/>
            <w:hideMark/>
          </w:tcPr>
          <w:p w14:paraId="238ABBF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45906,53%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C59762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122,88%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F1783D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0,41%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3429099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20,31%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56110A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14,85%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7C90F7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10,97%</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762390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8,57%</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E33306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10,71%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CD52F0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9,92%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97A9F5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9,69%</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03FF7F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8,90%</w:t>
            </w:r>
          </w:p>
        </w:tc>
      </w:tr>
      <w:tr w:rsidR="002009BF" w:rsidRPr="00DF60B7" w14:paraId="7068249D" w14:textId="77777777" w:rsidTr="001D3315">
        <w:trPr>
          <w:gridAfter w:val="1"/>
          <w:wAfter w:w="65" w:type="dxa"/>
        </w:trPr>
        <w:tc>
          <w:tcPr>
            <w:tcW w:w="2835" w:type="dxa"/>
            <w:tcBorders>
              <w:top w:val="nil"/>
              <w:left w:val="single" w:sz="8" w:space="0" w:color="auto"/>
              <w:bottom w:val="single" w:sz="8" w:space="0" w:color="auto"/>
              <w:right w:val="single" w:sz="4" w:space="0" w:color="auto"/>
            </w:tcBorders>
            <w:shd w:val="clear" w:color="000000" w:fill="FFFFFF"/>
            <w:noWrap/>
            <w:hideMark/>
          </w:tcPr>
          <w:p w14:paraId="2A006F6D"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IV. INGRESOS DE CAPITAL</w:t>
            </w:r>
          </w:p>
        </w:tc>
        <w:tc>
          <w:tcPr>
            <w:tcW w:w="874" w:type="dxa"/>
            <w:tcBorders>
              <w:top w:val="nil"/>
              <w:left w:val="single" w:sz="4" w:space="0" w:color="auto"/>
              <w:bottom w:val="nil"/>
              <w:right w:val="single" w:sz="8" w:space="0" w:color="auto"/>
            </w:tcBorders>
            <w:shd w:val="clear" w:color="000000" w:fill="FFFFFF"/>
            <w:noWrap/>
            <w:vAlign w:val="center"/>
            <w:hideMark/>
          </w:tcPr>
          <w:p w14:paraId="6DBF686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5,69%</w:t>
            </w:r>
          </w:p>
        </w:tc>
        <w:tc>
          <w:tcPr>
            <w:tcW w:w="953" w:type="dxa"/>
            <w:tcBorders>
              <w:top w:val="nil"/>
              <w:left w:val="nil"/>
              <w:bottom w:val="nil"/>
              <w:right w:val="single" w:sz="8" w:space="0" w:color="auto"/>
            </w:tcBorders>
            <w:shd w:val="clear" w:color="000000" w:fill="FFFFFF"/>
            <w:noWrap/>
            <w:vAlign w:val="center"/>
            <w:hideMark/>
          </w:tcPr>
          <w:p w14:paraId="63166CB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3,54%</w:t>
            </w:r>
          </w:p>
        </w:tc>
        <w:tc>
          <w:tcPr>
            <w:tcW w:w="874" w:type="dxa"/>
            <w:tcBorders>
              <w:top w:val="nil"/>
              <w:left w:val="nil"/>
              <w:bottom w:val="nil"/>
              <w:right w:val="single" w:sz="8" w:space="0" w:color="auto"/>
            </w:tcBorders>
            <w:shd w:val="clear" w:color="000000" w:fill="FFFFFF"/>
            <w:noWrap/>
            <w:vAlign w:val="center"/>
            <w:hideMark/>
          </w:tcPr>
          <w:p w14:paraId="6E565B0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16,22%</w:t>
            </w:r>
          </w:p>
        </w:tc>
        <w:tc>
          <w:tcPr>
            <w:tcW w:w="874" w:type="dxa"/>
            <w:tcBorders>
              <w:top w:val="nil"/>
              <w:left w:val="nil"/>
              <w:bottom w:val="nil"/>
              <w:right w:val="single" w:sz="8" w:space="0" w:color="auto"/>
            </w:tcBorders>
            <w:shd w:val="clear" w:color="000000" w:fill="FFFFFF"/>
            <w:noWrap/>
            <w:vAlign w:val="center"/>
            <w:hideMark/>
          </w:tcPr>
          <w:p w14:paraId="01EE5F7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30D0A53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4F5EA15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7C609B8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213CC10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32C6CC3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0F943DA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450F19C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6F5D7BE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0,00%</w:t>
            </w:r>
          </w:p>
        </w:tc>
      </w:tr>
      <w:tr w:rsidR="002009BF" w:rsidRPr="00DF60B7" w14:paraId="7FCB7CAF" w14:textId="77777777" w:rsidTr="001D3315">
        <w:trPr>
          <w:gridAfter w:val="1"/>
          <w:wAfter w:w="65" w:type="dxa"/>
        </w:trPr>
        <w:tc>
          <w:tcPr>
            <w:tcW w:w="2835" w:type="dxa"/>
            <w:tcBorders>
              <w:top w:val="nil"/>
              <w:left w:val="single" w:sz="8" w:space="0" w:color="auto"/>
              <w:bottom w:val="single" w:sz="8" w:space="0" w:color="auto"/>
              <w:right w:val="single" w:sz="4" w:space="0" w:color="auto"/>
            </w:tcBorders>
            <w:shd w:val="clear" w:color="000000" w:fill="FFFFFF"/>
            <w:noWrap/>
            <w:hideMark/>
          </w:tcPr>
          <w:p w14:paraId="66517C11"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V. GASTOS DE CAPITAL</w:t>
            </w:r>
          </w:p>
        </w:tc>
        <w:tc>
          <w:tcPr>
            <w:tcW w:w="874"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5F117AB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43,01%</w:t>
            </w:r>
          </w:p>
        </w:tc>
        <w:tc>
          <w:tcPr>
            <w:tcW w:w="953" w:type="dxa"/>
            <w:tcBorders>
              <w:top w:val="single" w:sz="8" w:space="0" w:color="auto"/>
              <w:left w:val="nil"/>
              <w:bottom w:val="single" w:sz="8" w:space="0" w:color="auto"/>
              <w:right w:val="single" w:sz="8" w:space="0" w:color="auto"/>
            </w:tcBorders>
            <w:shd w:val="clear" w:color="000000" w:fill="FFFFFF"/>
            <w:noWrap/>
            <w:vAlign w:val="center"/>
            <w:hideMark/>
          </w:tcPr>
          <w:p w14:paraId="3C9D462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2,20%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898015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5,83%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A77ED3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5,31%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5D396C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4,22%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14BC3E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4,34%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2A85C6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4,46%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FEE88B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4,58%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CFF552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4,70%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A72AB5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4,82%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C24BB5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4,94%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834E1E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5,06%</w:t>
            </w:r>
          </w:p>
        </w:tc>
      </w:tr>
      <w:tr w:rsidR="002009BF" w:rsidRPr="00DF60B7" w14:paraId="7D26A0FD" w14:textId="77777777" w:rsidTr="001D3315">
        <w:trPr>
          <w:gridAfter w:val="1"/>
          <w:wAfter w:w="65" w:type="dxa"/>
        </w:trPr>
        <w:tc>
          <w:tcPr>
            <w:tcW w:w="2835" w:type="dxa"/>
            <w:tcBorders>
              <w:top w:val="nil"/>
              <w:left w:val="single" w:sz="8" w:space="0" w:color="auto"/>
              <w:bottom w:val="single" w:sz="8" w:space="0" w:color="auto"/>
              <w:right w:val="single" w:sz="4" w:space="0" w:color="auto"/>
            </w:tcBorders>
            <w:shd w:val="clear" w:color="000000" w:fill="FFFFFF"/>
            <w:noWrap/>
            <w:hideMark/>
          </w:tcPr>
          <w:p w14:paraId="3C7B4BFF"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VI. INGRESOS TOTALES (I+IV)</w:t>
            </w:r>
          </w:p>
        </w:tc>
        <w:tc>
          <w:tcPr>
            <w:tcW w:w="874" w:type="dxa"/>
            <w:tcBorders>
              <w:top w:val="nil"/>
              <w:left w:val="single" w:sz="4" w:space="0" w:color="auto"/>
              <w:bottom w:val="single" w:sz="8" w:space="0" w:color="auto"/>
              <w:right w:val="single" w:sz="8" w:space="0" w:color="auto"/>
            </w:tcBorders>
            <w:shd w:val="clear" w:color="000000" w:fill="FFFFFF"/>
            <w:noWrap/>
            <w:vAlign w:val="center"/>
            <w:hideMark/>
          </w:tcPr>
          <w:p w14:paraId="611F4A6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6,46%</w:t>
            </w:r>
          </w:p>
        </w:tc>
        <w:tc>
          <w:tcPr>
            <w:tcW w:w="953" w:type="dxa"/>
            <w:tcBorders>
              <w:top w:val="nil"/>
              <w:left w:val="nil"/>
              <w:bottom w:val="single" w:sz="8" w:space="0" w:color="auto"/>
              <w:right w:val="single" w:sz="8" w:space="0" w:color="auto"/>
            </w:tcBorders>
            <w:shd w:val="clear" w:color="000000" w:fill="FFFFFF"/>
            <w:noWrap/>
            <w:vAlign w:val="center"/>
            <w:hideMark/>
          </w:tcPr>
          <w:p w14:paraId="087555C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2,44%</w:t>
            </w:r>
          </w:p>
        </w:tc>
        <w:tc>
          <w:tcPr>
            <w:tcW w:w="874" w:type="dxa"/>
            <w:tcBorders>
              <w:top w:val="nil"/>
              <w:left w:val="nil"/>
              <w:bottom w:val="single" w:sz="8" w:space="0" w:color="auto"/>
              <w:right w:val="single" w:sz="8" w:space="0" w:color="auto"/>
            </w:tcBorders>
            <w:shd w:val="clear" w:color="000000" w:fill="FFFFFF"/>
            <w:noWrap/>
            <w:vAlign w:val="center"/>
            <w:hideMark/>
          </w:tcPr>
          <w:p w14:paraId="1868E51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5,08%</w:t>
            </w:r>
          </w:p>
        </w:tc>
        <w:tc>
          <w:tcPr>
            <w:tcW w:w="874" w:type="dxa"/>
            <w:tcBorders>
              <w:top w:val="nil"/>
              <w:left w:val="nil"/>
              <w:bottom w:val="single" w:sz="8" w:space="0" w:color="auto"/>
              <w:right w:val="single" w:sz="8" w:space="0" w:color="auto"/>
            </w:tcBorders>
            <w:shd w:val="clear" w:color="000000" w:fill="FFFFFF"/>
            <w:noWrap/>
            <w:vAlign w:val="center"/>
            <w:hideMark/>
          </w:tcPr>
          <w:p w14:paraId="0B29CB3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2,12%</w:t>
            </w:r>
          </w:p>
        </w:tc>
        <w:tc>
          <w:tcPr>
            <w:tcW w:w="874" w:type="dxa"/>
            <w:tcBorders>
              <w:top w:val="nil"/>
              <w:left w:val="nil"/>
              <w:bottom w:val="single" w:sz="8" w:space="0" w:color="auto"/>
              <w:right w:val="single" w:sz="8" w:space="0" w:color="auto"/>
            </w:tcBorders>
            <w:shd w:val="clear" w:color="000000" w:fill="FFFFFF"/>
            <w:noWrap/>
            <w:vAlign w:val="center"/>
            <w:hideMark/>
          </w:tcPr>
          <w:p w14:paraId="5D65123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2,35%</w:t>
            </w:r>
          </w:p>
        </w:tc>
        <w:tc>
          <w:tcPr>
            <w:tcW w:w="874" w:type="dxa"/>
            <w:tcBorders>
              <w:top w:val="nil"/>
              <w:left w:val="nil"/>
              <w:bottom w:val="single" w:sz="8" w:space="0" w:color="auto"/>
              <w:right w:val="single" w:sz="8" w:space="0" w:color="auto"/>
            </w:tcBorders>
            <w:shd w:val="clear" w:color="000000" w:fill="FFFFFF"/>
            <w:noWrap/>
            <w:vAlign w:val="center"/>
            <w:hideMark/>
          </w:tcPr>
          <w:p w14:paraId="09785B5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2,47%</w:t>
            </w:r>
          </w:p>
        </w:tc>
        <w:tc>
          <w:tcPr>
            <w:tcW w:w="874" w:type="dxa"/>
            <w:tcBorders>
              <w:top w:val="nil"/>
              <w:left w:val="nil"/>
              <w:bottom w:val="single" w:sz="8" w:space="0" w:color="auto"/>
              <w:right w:val="single" w:sz="8" w:space="0" w:color="auto"/>
            </w:tcBorders>
            <w:shd w:val="clear" w:color="000000" w:fill="FFFFFF"/>
            <w:noWrap/>
            <w:vAlign w:val="center"/>
            <w:hideMark/>
          </w:tcPr>
          <w:p w14:paraId="6953E0A8"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2,50%</w:t>
            </w:r>
          </w:p>
        </w:tc>
        <w:tc>
          <w:tcPr>
            <w:tcW w:w="874" w:type="dxa"/>
            <w:tcBorders>
              <w:top w:val="nil"/>
              <w:left w:val="nil"/>
              <w:bottom w:val="single" w:sz="8" w:space="0" w:color="auto"/>
              <w:right w:val="single" w:sz="8" w:space="0" w:color="auto"/>
            </w:tcBorders>
            <w:shd w:val="clear" w:color="000000" w:fill="FFFFFF"/>
            <w:noWrap/>
            <w:vAlign w:val="center"/>
            <w:hideMark/>
          </w:tcPr>
          <w:p w14:paraId="51DE69A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2,53%</w:t>
            </w:r>
          </w:p>
        </w:tc>
        <w:tc>
          <w:tcPr>
            <w:tcW w:w="874" w:type="dxa"/>
            <w:tcBorders>
              <w:top w:val="nil"/>
              <w:left w:val="nil"/>
              <w:bottom w:val="single" w:sz="8" w:space="0" w:color="auto"/>
              <w:right w:val="single" w:sz="8" w:space="0" w:color="auto"/>
            </w:tcBorders>
            <w:shd w:val="clear" w:color="000000" w:fill="FFFFFF"/>
            <w:noWrap/>
            <w:vAlign w:val="center"/>
            <w:hideMark/>
          </w:tcPr>
          <w:p w14:paraId="5C87A5E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2,56%</w:t>
            </w:r>
          </w:p>
        </w:tc>
        <w:tc>
          <w:tcPr>
            <w:tcW w:w="874" w:type="dxa"/>
            <w:tcBorders>
              <w:top w:val="nil"/>
              <w:left w:val="nil"/>
              <w:bottom w:val="single" w:sz="8" w:space="0" w:color="auto"/>
              <w:right w:val="single" w:sz="8" w:space="0" w:color="auto"/>
            </w:tcBorders>
            <w:shd w:val="clear" w:color="000000" w:fill="FFFFFF"/>
            <w:noWrap/>
            <w:vAlign w:val="center"/>
            <w:hideMark/>
          </w:tcPr>
          <w:p w14:paraId="5AF442E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2,59%</w:t>
            </w:r>
          </w:p>
        </w:tc>
        <w:tc>
          <w:tcPr>
            <w:tcW w:w="874" w:type="dxa"/>
            <w:tcBorders>
              <w:top w:val="nil"/>
              <w:left w:val="nil"/>
              <w:bottom w:val="single" w:sz="8" w:space="0" w:color="auto"/>
              <w:right w:val="single" w:sz="8" w:space="0" w:color="auto"/>
            </w:tcBorders>
            <w:shd w:val="clear" w:color="000000" w:fill="FFFFFF"/>
            <w:noWrap/>
            <w:vAlign w:val="center"/>
            <w:hideMark/>
          </w:tcPr>
          <w:p w14:paraId="67B80D7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2,62%</w:t>
            </w:r>
          </w:p>
        </w:tc>
        <w:tc>
          <w:tcPr>
            <w:tcW w:w="874" w:type="dxa"/>
            <w:tcBorders>
              <w:top w:val="nil"/>
              <w:left w:val="nil"/>
              <w:bottom w:val="single" w:sz="8" w:space="0" w:color="auto"/>
              <w:right w:val="single" w:sz="8" w:space="0" w:color="auto"/>
            </w:tcBorders>
            <w:shd w:val="clear" w:color="000000" w:fill="FFFFFF"/>
            <w:noWrap/>
            <w:vAlign w:val="center"/>
            <w:hideMark/>
          </w:tcPr>
          <w:p w14:paraId="1AE9246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2,65%</w:t>
            </w:r>
          </w:p>
        </w:tc>
      </w:tr>
      <w:tr w:rsidR="002009BF" w:rsidRPr="00DF60B7" w14:paraId="62C688FC" w14:textId="77777777" w:rsidTr="001D3315">
        <w:trPr>
          <w:gridAfter w:val="1"/>
          <w:wAfter w:w="65" w:type="dxa"/>
        </w:trPr>
        <w:tc>
          <w:tcPr>
            <w:tcW w:w="2835" w:type="dxa"/>
            <w:tcBorders>
              <w:top w:val="nil"/>
              <w:left w:val="single" w:sz="8" w:space="0" w:color="auto"/>
              <w:bottom w:val="single" w:sz="8" w:space="0" w:color="auto"/>
              <w:right w:val="single" w:sz="4" w:space="0" w:color="auto"/>
            </w:tcBorders>
            <w:shd w:val="clear" w:color="000000" w:fill="FFFFFF"/>
            <w:noWrap/>
            <w:hideMark/>
          </w:tcPr>
          <w:p w14:paraId="4DFB09BD" w14:textId="77777777" w:rsidR="002009BF" w:rsidRPr="00117BF8" w:rsidRDefault="002009BF"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VII. GASTOS TOTALES (II+V)</w:t>
            </w:r>
          </w:p>
        </w:tc>
        <w:tc>
          <w:tcPr>
            <w:tcW w:w="874" w:type="dxa"/>
            <w:tcBorders>
              <w:top w:val="nil"/>
              <w:left w:val="single" w:sz="4" w:space="0" w:color="auto"/>
              <w:bottom w:val="single" w:sz="8" w:space="0" w:color="auto"/>
              <w:right w:val="single" w:sz="8" w:space="0" w:color="auto"/>
            </w:tcBorders>
            <w:shd w:val="clear" w:color="000000" w:fill="FFFFFF"/>
            <w:noWrap/>
            <w:vAlign w:val="center"/>
            <w:hideMark/>
          </w:tcPr>
          <w:p w14:paraId="32B16D0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5,95%</w:t>
            </w:r>
          </w:p>
        </w:tc>
        <w:tc>
          <w:tcPr>
            <w:tcW w:w="953" w:type="dxa"/>
            <w:tcBorders>
              <w:top w:val="nil"/>
              <w:left w:val="nil"/>
              <w:bottom w:val="single" w:sz="8" w:space="0" w:color="auto"/>
              <w:right w:val="single" w:sz="8" w:space="0" w:color="auto"/>
            </w:tcBorders>
            <w:shd w:val="clear" w:color="000000" w:fill="FFFFFF"/>
            <w:noWrap/>
            <w:vAlign w:val="center"/>
            <w:hideMark/>
          </w:tcPr>
          <w:p w14:paraId="5BAF94E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-0,01%</w:t>
            </w:r>
          </w:p>
        </w:tc>
        <w:tc>
          <w:tcPr>
            <w:tcW w:w="874" w:type="dxa"/>
            <w:tcBorders>
              <w:top w:val="nil"/>
              <w:left w:val="nil"/>
              <w:bottom w:val="single" w:sz="8" w:space="0" w:color="auto"/>
              <w:right w:val="single" w:sz="8" w:space="0" w:color="auto"/>
            </w:tcBorders>
            <w:shd w:val="clear" w:color="000000" w:fill="FFFFFF"/>
            <w:noWrap/>
            <w:vAlign w:val="center"/>
            <w:hideMark/>
          </w:tcPr>
          <w:p w14:paraId="79F158E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2,10%</w:t>
            </w:r>
          </w:p>
        </w:tc>
        <w:tc>
          <w:tcPr>
            <w:tcW w:w="874" w:type="dxa"/>
            <w:tcBorders>
              <w:top w:val="nil"/>
              <w:left w:val="nil"/>
              <w:bottom w:val="single" w:sz="8" w:space="0" w:color="auto"/>
              <w:right w:val="single" w:sz="8" w:space="0" w:color="auto"/>
            </w:tcBorders>
            <w:shd w:val="clear" w:color="000000" w:fill="FFFFFF"/>
            <w:noWrap/>
            <w:vAlign w:val="center"/>
            <w:hideMark/>
          </w:tcPr>
          <w:p w14:paraId="3AEDA6E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2,54%</w:t>
            </w:r>
          </w:p>
        </w:tc>
        <w:tc>
          <w:tcPr>
            <w:tcW w:w="874" w:type="dxa"/>
            <w:tcBorders>
              <w:top w:val="nil"/>
              <w:left w:val="nil"/>
              <w:bottom w:val="single" w:sz="8" w:space="0" w:color="auto"/>
              <w:right w:val="single" w:sz="8" w:space="0" w:color="auto"/>
            </w:tcBorders>
            <w:shd w:val="clear" w:color="000000" w:fill="FFFFFF"/>
            <w:noWrap/>
            <w:vAlign w:val="center"/>
            <w:hideMark/>
          </w:tcPr>
          <w:p w14:paraId="4A29FE0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1,64%</w:t>
            </w:r>
          </w:p>
        </w:tc>
        <w:tc>
          <w:tcPr>
            <w:tcW w:w="874" w:type="dxa"/>
            <w:tcBorders>
              <w:top w:val="nil"/>
              <w:left w:val="nil"/>
              <w:bottom w:val="single" w:sz="8" w:space="0" w:color="auto"/>
              <w:right w:val="single" w:sz="8" w:space="0" w:color="auto"/>
            </w:tcBorders>
            <w:shd w:val="clear" w:color="000000" w:fill="FFFFFF"/>
            <w:noWrap/>
            <w:vAlign w:val="center"/>
            <w:hideMark/>
          </w:tcPr>
          <w:p w14:paraId="48045A1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1,94%</w:t>
            </w:r>
          </w:p>
        </w:tc>
        <w:tc>
          <w:tcPr>
            <w:tcW w:w="874" w:type="dxa"/>
            <w:tcBorders>
              <w:top w:val="nil"/>
              <w:left w:val="nil"/>
              <w:bottom w:val="single" w:sz="8" w:space="0" w:color="auto"/>
              <w:right w:val="single" w:sz="8" w:space="0" w:color="auto"/>
            </w:tcBorders>
            <w:shd w:val="clear" w:color="000000" w:fill="FFFFFF"/>
            <w:noWrap/>
            <w:vAlign w:val="center"/>
            <w:hideMark/>
          </w:tcPr>
          <w:p w14:paraId="6A02147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2,15%</w:t>
            </w:r>
          </w:p>
        </w:tc>
        <w:tc>
          <w:tcPr>
            <w:tcW w:w="874" w:type="dxa"/>
            <w:tcBorders>
              <w:top w:val="nil"/>
              <w:left w:val="nil"/>
              <w:bottom w:val="single" w:sz="8" w:space="0" w:color="auto"/>
              <w:right w:val="single" w:sz="8" w:space="0" w:color="auto"/>
            </w:tcBorders>
            <w:shd w:val="clear" w:color="000000" w:fill="FFFFFF"/>
            <w:noWrap/>
            <w:vAlign w:val="center"/>
            <w:hideMark/>
          </w:tcPr>
          <w:p w14:paraId="6CD8758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2,33%</w:t>
            </w:r>
          </w:p>
        </w:tc>
        <w:tc>
          <w:tcPr>
            <w:tcW w:w="874" w:type="dxa"/>
            <w:tcBorders>
              <w:top w:val="nil"/>
              <w:left w:val="nil"/>
              <w:bottom w:val="single" w:sz="8" w:space="0" w:color="auto"/>
              <w:right w:val="single" w:sz="8" w:space="0" w:color="auto"/>
            </w:tcBorders>
            <w:shd w:val="clear" w:color="000000" w:fill="FFFFFF"/>
            <w:noWrap/>
            <w:vAlign w:val="center"/>
            <w:hideMark/>
          </w:tcPr>
          <w:p w14:paraId="47214A0E"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2,18%</w:t>
            </w:r>
          </w:p>
        </w:tc>
        <w:tc>
          <w:tcPr>
            <w:tcW w:w="874" w:type="dxa"/>
            <w:tcBorders>
              <w:top w:val="nil"/>
              <w:left w:val="nil"/>
              <w:bottom w:val="single" w:sz="8" w:space="0" w:color="auto"/>
              <w:right w:val="single" w:sz="8" w:space="0" w:color="auto"/>
            </w:tcBorders>
            <w:shd w:val="clear" w:color="000000" w:fill="FFFFFF"/>
            <w:noWrap/>
            <w:vAlign w:val="center"/>
            <w:hideMark/>
          </w:tcPr>
          <w:p w14:paraId="6322D3B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2,24%</w:t>
            </w:r>
          </w:p>
        </w:tc>
        <w:tc>
          <w:tcPr>
            <w:tcW w:w="874" w:type="dxa"/>
            <w:tcBorders>
              <w:top w:val="nil"/>
              <w:left w:val="nil"/>
              <w:bottom w:val="single" w:sz="8" w:space="0" w:color="auto"/>
              <w:right w:val="single" w:sz="8" w:space="0" w:color="auto"/>
            </w:tcBorders>
            <w:shd w:val="clear" w:color="000000" w:fill="FFFFFF"/>
            <w:noWrap/>
            <w:vAlign w:val="center"/>
            <w:hideMark/>
          </w:tcPr>
          <w:p w14:paraId="4A215BD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2,26%</w:t>
            </w:r>
          </w:p>
        </w:tc>
        <w:tc>
          <w:tcPr>
            <w:tcW w:w="874" w:type="dxa"/>
            <w:tcBorders>
              <w:top w:val="nil"/>
              <w:left w:val="nil"/>
              <w:bottom w:val="single" w:sz="8" w:space="0" w:color="auto"/>
              <w:right w:val="single" w:sz="8" w:space="0" w:color="auto"/>
            </w:tcBorders>
            <w:shd w:val="clear" w:color="000000" w:fill="FFFFFF"/>
            <w:noWrap/>
            <w:vAlign w:val="center"/>
            <w:hideMark/>
          </w:tcPr>
          <w:p w14:paraId="7CCD15B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2,34%</w:t>
            </w:r>
          </w:p>
        </w:tc>
      </w:tr>
      <w:tr w:rsidR="002009BF" w:rsidRPr="00DF60B7" w14:paraId="68F89F03" w14:textId="77777777" w:rsidTr="001D3315">
        <w:trPr>
          <w:gridAfter w:val="1"/>
          <w:wAfter w:w="65" w:type="dxa"/>
        </w:trPr>
        <w:tc>
          <w:tcPr>
            <w:tcW w:w="2835" w:type="dxa"/>
            <w:tcBorders>
              <w:top w:val="nil"/>
              <w:left w:val="single" w:sz="8" w:space="0" w:color="auto"/>
              <w:bottom w:val="single" w:sz="8" w:space="0" w:color="auto"/>
              <w:right w:val="single" w:sz="4" w:space="0" w:color="auto"/>
            </w:tcBorders>
            <w:shd w:val="clear" w:color="000000" w:fill="FFFFFF"/>
            <w:noWrap/>
            <w:hideMark/>
          </w:tcPr>
          <w:p w14:paraId="75820947" w14:textId="77777777" w:rsidR="002009BF" w:rsidRPr="00117BF8" w:rsidRDefault="002009BF" w:rsidP="001D3315">
            <w:pPr>
              <w:pStyle w:val="TablaC"/>
              <w:jc w:val="left"/>
              <w:rPr>
                <w:rFonts w:ascii="Arial" w:hAnsi="Arial" w:cs="Arial"/>
                <w:sz w:val="18"/>
                <w:szCs w:val="18"/>
              </w:rPr>
            </w:pPr>
            <w:r w:rsidRPr="00117BF8">
              <w:rPr>
                <w:rFonts w:ascii="Arial" w:hAnsi="Arial" w:cs="Arial"/>
                <w:sz w:val="18"/>
                <w:szCs w:val="18"/>
              </w:rPr>
              <w:t xml:space="preserve"> IX. RESULTADO PRIMARIO (VI-VIII)</w:t>
            </w:r>
          </w:p>
        </w:tc>
        <w:tc>
          <w:tcPr>
            <w:tcW w:w="874" w:type="dxa"/>
            <w:tcBorders>
              <w:top w:val="nil"/>
              <w:left w:val="single" w:sz="4" w:space="0" w:color="auto"/>
              <w:bottom w:val="single" w:sz="8" w:space="0" w:color="auto"/>
              <w:right w:val="single" w:sz="8" w:space="0" w:color="auto"/>
            </w:tcBorders>
            <w:shd w:val="clear" w:color="000000" w:fill="FFFFFF"/>
            <w:noWrap/>
            <w:vAlign w:val="center"/>
            <w:hideMark/>
          </w:tcPr>
          <w:p w14:paraId="18AAF1EA"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-33,04%</w:t>
            </w:r>
          </w:p>
        </w:tc>
        <w:tc>
          <w:tcPr>
            <w:tcW w:w="953" w:type="dxa"/>
            <w:tcBorders>
              <w:top w:val="nil"/>
              <w:left w:val="nil"/>
              <w:bottom w:val="single" w:sz="8" w:space="0" w:color="auto"/>
              <w:right w:val="single" w:sz="8" w:space="0" w:color="auto"/>
            </w:tcBorders>
            <w:shd w:val="clear" w:color="000000" w:fill="FFFFFF"/>
            <w:noWrap/>
            <w:vAlign w:val="center"/>
            <w:hideMark/>
          </w:tcPr>
          <w:p w14:paraId="710F611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-103,53%</w:t>
            </w:r>
          </w:p>
        </w:tc>
        <w:tc>
          <w:tcPr>
            <w:tcW w:w="874" w:type="dxa"/>
            <w:tcBorders>
              <w:top w:val="nil"/>
              <w:left w:val="nil"/>
              <w:bottom w:val="single" w:sz="8" w:space="0" w:color="auto"/>
              <w:right w:val="single" w:sz="8" w:space="0" w:color="auto"/>
            </w:tcBorders>
            <w:shd w:val="clear" w:color="000000" w:fill="FFFFFF"/>
            <w:noWrap/>
            <w:vAlign w:val="center"/>
            <w:hideMark/>
          </w:tcPr>
          <w:p w14:paraId="760BB8D1"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3838,52%</w:t>
            </w:r>
          </w:p>
        </w:tc>
        <w:tc>
          <w:tcPr>
            <w:tcW w:w="874" w:type="dxa"/>
            <w:tcBorders>
              <w:top w:val="nil"/>
              <w:left w:val="nil"/>
              <w:bottom w:val="single" w:sz="8" w:space="0" w:color="auto"/>
              <w:right w:val="single" w:sz="8" w:space="0" w:color="auto"/>
            </w:tcBorders>
            <w:shd w:val="clear" w:color="000000" w:fill="FFFFFF"/>
            <w:noWrap/>
            <w:vAlign w:val="center"/>
            <w:hideMark/>
          </w:tcPr>
          <w:p w14:paraId="3ABE1CA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-16,77%</w:t>
            </w:r>
          </w:p>
        </w:tc>
        <w:tc>
          <w:tcPr>
            <w:tcW w:w="874" w:type="dxa"/>
            <w:tcBorders>
              <w:top w:val="nil"/>
              <w:left w:val="nil"/>
              <w:bottom w:val="single" w:sz="8" w:space="0" w:color="auto"/>
              <w:right w:val="single" w:sz="8" w:space="0" w:color="auto"/>
            </w:tcBorders>
            <w:shd w:val="clear" w:color="000000" w:fill="FFFFFF"/>
            <w:noWrap/>
            <w:vAlign w:val="center"/>
            <w:hideMark/>
          </w:tcPr>
          <w:p w14:paraId="2A5D9D04"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20,81%</w:t>
            </w:r>
          </w:p>
        </w:tc>
        <w:tc>
          <w:tcPr>
            <w:tcW w:w="874" w:type="dxa"/>
            <w:tcBorders>
              <w:top w:val="nil"/>
              <w:left w:val="nil"/>
              <w:bottom w:val="single" w:sz="8" w:space="0" w:color="auto"/>
              <w:right w:val="single" w:sz="8" w:space="0" w:color="auto"/>
            </w:tcBorders>
            <w:shd w:val="clear" w:color="000000" w:fill="FFFFFF"/>
            <w:noWrap/>
            <w:vAlign w:val="center"/>
            <w:hideMark/>
          </w:tcPr>
          <w:p w14:paraId="645D695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7,91%</w:t>
            </w:r>
          </w:p>
        </w:tc>
        <w:tc>
          <w:tcPr>
            <w:tcW w:w="874" w:type="dxa"/>
            <w:tcBorders>
              <w:top w:val="nil"/>
              <w:left w:val="nil"/>
              <w:bottom w:val="single" w:sz="8" w:space="0" w:color="auto"/>
              <w:right w:val="single" w:sz="8" w:space="0" w:color="auto"/>
            </w:tcBorders>
            <w:shd w:val="clear" w:color="000000" w:fill="FFFFFF"/>
            <w:noWrap/>
            <w:vAlign w:val="center"/>
            <w:hideMark/>
          </w:tcPr>
          <w:p w14:paraId="6E9EDBA3"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7,99%</w:t>
            </w:r>
          </w:p>
        </w:tc>
        <w:tc>
          <w:tcPr>
            <w:tcW w:w="874" w:type="dxa"/>
            <w:tcBorders>
              <w:top w:val="nil"/>
              <w:left w:val="nil"/>
              <w:bottom w:val="single" w:sz="8" w:space="0" w:color="auto"/>
              <w:right w:val="single" w:sz="8" w:space="0" w:color="auto"/>
            </w:tcBorders>
            <w:shd w:val="clear" w:color="000000" w:fill="FFFFFF"/>
            <w:noWrap/>
            <w:vAlign w:val="center"/>
            <w:hideMark/>
          </w:tcPr>
          <w:p w14:paraId="5F5CDC6C"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8,00%</w:t>
            </w:r>
          </w:p>
        </w:tc>
        <w:tc>
          <w:tcPr>
            <w:tcW w:w="874" w:type="dxa"/>
            <w:tcBorders>
              <w:top w:val="nil"/>
              <w:left w:val="nil"/>
              <w:bottom w:val="single" w:sz="8" w:space="0" w:color="auto"/>
              <w:right w:val="single" w:sz="8" w:space="0" w:color="auto"/>
            </w:tcBorders>
            <w:shd w:val="clear" w:color="000000" w:fill="FFFFFF"/>
            <w:noWrap/>
            <w:vAlign w:val="center"/>
            <w:hideMark/>
          </w:tcPr>
          <w:p w14:paraId="0880FDC5"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7,94%</w:t>
            </w:r>
          </w:p>
        </w:tc>
        <w:tc>
          <w:tcPr>
            <w:tcW w:w="874" w:type="dxa"/>
            <w:tcBorders>
              <w:top w:val="nil"/>
              <w:left w:val="nil"/>
              <w:bottom w:val="single" w:sz="8" w:space="0" w:color="auto"/>
              <w:right w:val="single" w:sz="8" w:space="0" w:color="auto"/>
            </w:tcBorders>
            <w:shd w:val="clear" w:color="000000" w:fill="FFFFFF"/>
            <w:noWrap/>
            <w:vAlign w:val="center"/>
            <w:hideMark/>
          </w:tcPr>
          <w:p w14:paraId="57941C9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7,82%</w:t>
            </w:r>
          </w:p>
        </w:tc>
        <w:tc>
          <w:tcPr>
            <w:tcW w:w="874" w:type="dxa"/>
            <w:tcBorders>
              <w:top w:val="nil"/>
              <w:left w:val="nil"/>
              <w:bottom w:val="single" w:sz="8" w:space="0" w:color="auto"/>
              <w:right w:val="single" w:sz="8" w:space="0" w:color="auto"/>
            </w:tcBorders>
            <w:shd w:val="clear" w:color="000000" w:fill="FFFFFF"/>
            <w:noWrap/>
            <w:vAlign w:val="center"/>
            <w:hideMark/>
          </w:tcPr>
          <w:p w14:paraId="6818FB1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7,66%</w:t>
            </w:r>
          </w:p>
        </w:tc>
        <w:tc>
          <w:tcPr>
            <w:tcW w:w="874" w:type="dxa"/>
            <w:tcBorders>
              <w:top w:val="nil"/>
              <w:left w:val="nil"/>
              <w:bottom w:val="single" w:sz="8" w:space="0" w:color="auto"/>
              <w:right w:val="single" w:sz="8" w:space="0" w:color="auto"/>
            </w:tcBorders>
            <w:shd w:val="clear" w:color="000000" w:fill="FFFFFF"/>
            <w:noWrap/>
            <w:vAlign w:val="center"/>
            <w:hideMark/>
          </w:tcPr>
          <w:p w14:paraId="2166347F"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7,47%</w:t>
            </w:r>
          </w:p>
        </w:tc>
      </w:tr>
      <w:tr w:rsidR="002009BF" w:rsidRPr="00DF60B7" w14:paraId="64F016DA" w14:textId="77777777" w:rsidTr="001D3315">
        <w:trPr>
          <w:gridAfter w:val="1"/>
          <w:wAfter w:w="65" w:type="dxa"/>
        </w:trPr>
        <w:tc>
          <w:tcPr>
            <w:tcW w:w="2835" w:type="dxa"/>
            <w:tcBorders>
              <w:top w:val="nil"/>
              <w:left w:val="single" w:sz="8" w:space="0" w:color="auto"/>
              <w:bottom w:val="nil"/>
              <w:right w:val="single" w:sz="4" w:space="0" w:color="auto"/>
            </w:tcBorders>
            <w:shd w:val="clear" w:color="000000" w:fill="C0C0C0"/>
            <w:noWrap/>
            <w:hideMark/>
          </w:tcPr>
          <w:p w14:paraId="24F91CBE" w14:textId="77777777" w:rsidR="002009BF" w:rsidRPr="00117BF8" w:rsidRDefault="002009BF"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X. RESULTADO FINANCIERO (VI-VII)</w:t>
            </w:r>
          </w:p>
        </w:tc>
        <w:tc>
          <w:tcPr>
            <w:tcW w:w="874" w:type="dxa"/>
            <w:tcBorders>
              <w:top w:val="nil"/>
              <w:left w:val="single" w:sz="4" w:space="0" w:color="auto"/>
              <w:bottom w:val="nil"/>
              <w:right w:val="single" w:sz="8" w:space="0" w:color="auto"/>
            </w:tcBorders>
            <w:shd w:val="clear" w:color="000000" w:fill="BFBFBF"/>
            <w:noWrap/>
            <w:vAlign w:val="center"/>
            <w:hideMark/>
          </w:tcPr>
          <w:p w14:paraId="03D0790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-0,72%</w:t>
            </w:r>
          </w:p>
        </w:tc>
        <w:tc>
          <w:tcPr>
            <w:tcW w:w="953" w:type="dxa"/>
            <w:tcBorders>
              <w:top w:val="nil"/>
              <w:left w:val="nil"/>
              <w:bottom w:val="nil"/>
              <w:right w:val="single" w:sz="8" w:space="0" w:color="auto"/>
            </w:tcBorders>
            <w:shd w:val="clear" w:color="000000" w:fill="BFBFBF"/>
            <w:noWrap/>
            <w:vAlign w:val="center"/>
            <w:hideMark/>
          </w:tcPr>
          <w:p w14:paraId="6FBF800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-34,00%</w:t>
            </w:r>
          </w:p>
        </w:tc>
        <w:tc>
          <w:tcPr>
            <w:tcW w:w="874" w:type="dxa"/>
            <w:tcBorders>
              <w:top w:val="nil"/>
              <w:left w:val="nil"/>
              <w:bottom w:val="nil"/>
              <w:right w:val="single" w:sz="8" w:space="0" w:color="auto"/>
            </w:tcBorders>
            <w:shd w:val="clear" w:color="000000" w:fill="BFBFBF"/>
            <w:noWrap/>
            <w:vAlign w:val="center"/>
            <w:hideMark/>
          </w:tcPr>
          <w:p w14:paraId="20A00DE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-62,18%</w:t>
            </w:r>
          </w:p>
        </w:tc>
        <w:tc>
          <w:tcPr>
            <w:tcW w:w="874" w:type="dxa"/>
            <w:tcBorders>
              <w:top w:val="nil"/>
              <w:left w:val="nil"/>
              <w:bottom w:val="nil"/>
              <w:right w:val="single" w:sz="8" w:space="0" w:color="auto"/>
            </w:tcBorders>
            <w:shd w:val="clear" w:color="000000" w:fill="BFBFBF"/>
            <w:noWrap/>
            <w:vAlign w:val="center"/>
            <w:hideMark/>
          </w:tcPr>
          <w:p w14:paraId="3742EE2D"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27,70%</w:t>
            </w:r>
          </w:p>
        </w:tc>
        <w:tc>
          <w:tcPr>
            <w:tcW w:w="874" w:type="dxa"/>
            <w:tcBorders>
              <w:top w:val="nil"/>
              <w:left w:val="nil"/>
              <w:bottom w:val="nil"/>
              <w:right w:val="single" w:sz="8" w:space="0" w:color="auto"/>
            </w:tcBorders>
            <w:shd w:val="clear" w:color="000000" w:fill="BFBFBF"/>
            <w:noWrap/>
            <w:vAlign w:val="center"/>
            <w:hideMark/>
          </w:tcPr>
          <w:p w14:paraId="1DB80D37"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-32,23%</w:t>
            </w:r>
          </w:p>
        </w:tc>
        <w:tc>
          <w:tcPr>
            <w:tcW w:w="874" w:type="dxa"/>
            <w:tcBorders>
              <w:top w:val="nil"/>
              <w:left w:val="nil"/>
              <w:bottom w:val="nil"/>
              <w:right w:val="single" w:sz="8" w:space="0" w:color="auto"/>
            </w:tcBorders>
            <w:shd w:val="clear" w:color="000000" w:fill="BFBFBF"/>
            <w:noWrap/>
            <w:vAlign w:val="center"/>
            <w:hideMark/>
          </w:tcPr>
          <w:p w14:paraId="38DFBAC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-36,43%</w:t>
            </w:r>
          </w:p>
        </w:tc>
        <w:tc>
          <w:tcPr>
            <w:tcW w:w="874" w:type="dxa"/>
            <w:tcBorders>
              <w:top w:val="nil"/>
              <w:left w:val="nil"/>
              <w:bottom w:val="nil"/>
              <w:right w:val="single" w:sz="8" w:space="0" w:color="auto"/>
            </w:tcBorders>
            <w:shd w:val="clear" w:color="000000" w:fill="BFBFBF"/>
            <w:noWrap/>
            <w:vAlign w:val="center"/>
            <w:hideMark/>
          </w:tcPr>
          <w:p w14:paraId="7A0DBFF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-38,00%</w:t>
            </w:r>
          </w:p>
        </w:tc>
        <w:tc>
          <w:tcPr>
            <w:tcW w:w="874" w:type="dxa"/>
            <w:tcBorders>
              <w:top w:val="nil"/>
              <w:left w:val="nil"/>
              <w:bottom w:val="nil"/>
              <w:right w:val="single" w:sz="8" w:space="0" w:color="auto"/>
            </w:tcBorders>
            <w:shd w:val="clear" w:color="000000" w:fill="BFBFBF"/>
            <w:noWrap/>
            <w:vAlign w:val="center"/>
            <w:hideMark/>
          </w:tcPr>
          <w:p w14:paraId="7C8AEFE6"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-36,32%</w:t>
            </w:r>
          </w:p>
        </w:tc>
        <w:tc>
          <w:tcPr>
            <w:tcW w:w="874" w:type="dxa"/>
            <w:tcBorders>
              <w:top w:val="nil"/>
              <w:left w:val="nil"/>
              <w:bottom w:val="nil"/>
              <w:right w:val="single" w:sz="8" w:space="0" w:color="auto"/>
            </w:tcBorders>
            <w:shd w:val="clear" w:color="000000" w:fill="BFBFBF"/>
            <w:noWrap/>
            <w:vAlign w:val="center"/>
            <w:hideMark/>
          </w:tcPr>
          <w:p w14:paraId="79224429"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-116,56%</w:t>
            </w:r>
          </w:p>
        </w:tc>
        <w:tc>
          <w:tcPr>
            <w:tcW w:w="874" w:type="dxa"/>
            <w:tcBorders>
              <w:top w:val="nil"/>
              <w:left w:val="nil"/>
              <w:bottom w:val="nil"/>
              <w:right w:val="single" w:sz="8" w:space="0" w:color="auto"/>
            </w:tcBorders>
            <w:shd w:val="clear" w:color="000000" w:fill="BFBFBF"/>
            <w:noWrap/>
            <w:vAlign w:val="center"/>
            <w:hideMark/>
          </w:tcPr>
          <w:p w14:paraId="329DD19B"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678,88%</w:t>
            </w:r>
          </w:p>
        </w:tc>
        <w:tc>
          <w:tcPr>
            <w:tcW w:w="874" w:type="dxa"/>
            <w:tcBorders>
              <w:top w:val="nil"/>
              <w:left w:val="nil"/>
              <w:bottom w:val="nil"/>
              <w:right w:val="single" w:sz="8" w:space="0" w:color="auto"/>
            </w:tcBorders>
            <w:shd w:val="clear" w:color="000000" w:fill="BFBFBF"/>
            <w:noWrap/>
            <w:vAlign w:val="center"/>
            <w:hideMark/>
          </w:tcPr>
          <w:p w14:paraId="6B7EF2C2"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93,38%</w:t>
            </w:r>
          </w:p>
        </w:tc>
        <w:tc>
          <w:tcPr>
            <w:tcW w:w="874" w:type="dxa"/>
            <w:tcBorders>
              <w:top w:val="nil"/>
              <w:left w:val="nil"/>
              <w:bottom w:val="nil"/>
              <w:right w:val="single" w:sz="8" w:space="0" w:color="auto"/>
            </w:tcBorders>
            <w:shd w:val="clear" w:color="000000" w:fill="BFBFBF"/>
            <w:noWrap/>
            <w:vAlign w:val="center"/>
            <w:hideMark/>
          </w:tcPr>
          <w:p w14:paraId="0033F950" w14:textId="77777777" w:rsidR="002009BF" w:rsidRPr="00117BF8" w:rsidRDefault="002009BF" w:rsidP="001D3315">
            <w:pPr>
              <w:pStyle w:val="TablaC"/>
              <w:rPr>
                <w:rFonts w:ascii="Arial" w:hAnsi="Arial" w:cs="Arial"/>
                <w:sz w:val="18"/>
                <w:szCs w:val="18"/>
              </w:rPr>
            </w:pPr>
            <w:r w:rsidRPr="00117BF8">
              <w:rPr>
                <w:rFonts w:ascii="Arial" w:hAnsi="Arial" w:cs="Arial"/>
                <w:sz w:val="18"/>
                <w:szCs w:val="18"/>
              </w:rPr>
              <w:t>44,01%</w:t>
            </w:r>
          </w:p>
        </w:tc>
      </w:tr>
    </w:tbl>
    <w:p w14:paraId="69A98A27" w14:textId="77777777" w:rsidR="002009BF" w:rsidRPr="00117BF8" w:rsidRDefault="002009BF" w:rsidP="002009BF">
      <w:pPr>
        <w:pStyle w:val="Hfuente"/>
        <w:rPr>
          <w:rFonts w:ascii="Arial" w:hAnsi="Arial" w:cs="Arial"/>
          <w:sz w:val="18"/>
          <w:szCs w:val="18"/>
        </w:rPr>
      </w:pPr>
      <w:r w:rsidRPr="00117BF8">
        <w:rPr>
          <w:rFonts w:ascii="Arial" w:hAnsi="Arial" w:cs="Arial"/>
          <w:sz w:val="18"/>
          <w:szCs w:val="18"/>
        </w:rPr>
        <w:t>Fuente: Elaboración Propia sobre datos suministrados por la Provincia</w:t>
      </w:r>
    </w:p>
    <w:p w14:paraId="2825E40B" w14:textId="77777777" w:rsidR="002009BF" w:rsidRPr="00117BF8" w:rsidRDefault="002009BF" w:rsidP="002009BF">
      <w:pPr>
        <w:pStyle w:val="Hfuente"/>
        <w:rPr>
          <w:rFonts w:ascii="Arial" w:eastAsia="Calibri" w:hAnsi="Arial" w:cs="Arial"/>
        </w:rPr>
      </w:pPr>
    </w:p>
    <w:p w14:paraId="50AA46B9" w14:textId="77777777" w:rsidR="002009BF" w:rsidRPr="00117BF8" w:rsidRDefault="002009BF" w:rsidP="002009BF">
      <w:pPr>
        <w:pStyle w:val="Hfuente"/>
        <w:rPr>
          <w:rFonts w:ascii="Arial" w:eastAsia="Calibri" w:hAnsi="Arial" w:cs="Arial"/>
        </w:rPr>
      </w:pPr>
    </w:p>
    <w:p w14:paraId="57592125" w14:textId="77777777" w:rsidR="002009BF" w:rsidRPr="00117BF8" w:rsidRDefault="002009BF" w:rsidP="002009BF">
      <w:pPr>
        <w:pStyle w:val="Hfuente"/>
        <w:rPr>
          <w:rFonts w:ascii="Arial" w:eastAsia="Calibri" w:hAnsi="Arial" w:cs="Arial"/>
        </w:rPr>
        <w:sectPr w:rsidR="002009BF" w:rsidRPr="00117BF8" w:rsidSect="00664310">
          <w:headerReference w:type="default" r:id="rId86"/>
          <w:footerReference w:type="default" r:id="rId87"/>
          <w:pgSz w:w="16840" w:h="11907" w:orient="landscape"/>
          <w:pgMar w:top="1701" w:right="1418" w:bottom="1701" w:left="1418" w:header="851" w:footer="851" w:gutter="0"/>
          <w:cols w:space="720"/>
          <w:docGrid w:linePitch="326"/>
        </w:sectPr>
      </w:pPr>
    </w:p>
    <w:p w14:paraId="11597038" w14:textId="77777777" w:rsidR="00DE6A7C" w:rsidRPr="00117BF8" w:rsidRDefault="00DE6A7C" w:rsidP="00DE6A7C">
      <w:pPr>
        <w:pStyle w:val="Heading1"/>
        <w:rPr>
          <w:rFonts w:ascii="Arial" w:eastAsia="Calibri" w:hAnsi="Arial" w:cs="Arial"/>
          <w:sz w:val="22"/>
          <w:szCs w:val="22"/>
        </w:rPr>
      </w:pPr>
      <w:bookmarkStart w:id="166" w:name="_Toc494040358"/>
      <w:r w:rsidRPr="00117BF8">
        <w:rPr>
          <w:rFonts w:ascii="Arial" w:eastAsia="Calibri" w:hAnsi="Arial" w:cs="Arial"/>
          <w:sz w:val="22"/>
          <w:szCs w:val="22"/>
        </w:rPr>
        <w:t>Anexo V</w:t>
      </w:r>
      <w:r w:rsidR="002009BF" w:rsidRPr="00117BF8">
        <w:rPr>
          <w:rFonts w:ascii="Arial" w:eastAsia="Calibri" w:hAnsi="Arial" w:cs="Arial"/>
          <w:sz w:val="22"/>
          <w:szCs w:val="22"/>
        </w:rPr>
        <w:t>I</w:t>
      </w:r>
      <w:r w:rsidRPr="00117BF8">
        <w:rPr>
          <w:rFonts w:ascii="Arial" w:eastAsia="Calibri" w:hAnsi="Arial" w:cs="Arial"/>
          <w:sz w:val="22"/>
          <w:szCs w:val="22"/>
        </w:rPr>
        <w:t xml:space="preserve"> – </w:t>
      </w:r>
      <w:r w:rsidRPr="00117BF8">
        <w:rPr>
          <w:rFonts w:ascii="Arial" w:hAnsi="Arial" w:cs="Arial"/>
          <w:sz w:val="22"/>
          <w:szCs w:val="22"/>
        </w:rPr>
        <w:t xml:space="preserve"> Proyecciones </w:t>
      </w:r>
      <w:r w:rsidR="00E95BDB" w:rsidRPr="00117BF8">
        <w:rPr>
          <w:rFonts w:ascii="Arial" w:hAnsi="Arial" w:cs="Arial"/>
          <w:sz w:val="22"/>
          <w:szCs w:val="22"/>
        </w:rPr>
        <w:t xml:space="preserve">Fiscales Elaboradas por la </w:t>
      </w:r>
      <w:r w:rsidRPr="00117BF8">
        <w:rPr>
          <w:rFonts w:ascii="Arial" w:hAnsi="Arial" w:cs="Arial"/>
          <w:sz w:val="22"/>
          <w:szCs w:val="22"/>
        </w:rPr>
        <w:t>Provincia de Buenos Aires</w:t>
      </w:r>
      <w:r w:rsidR="00E95BDB" w:rsidRPr="00117BF8">
        <w:rPr>
          <w:rFonts w:ascii="Arial" w:hAnsi="Arial" w:cs="Arial"/>
          <w:sz w:val="22"/>
          <w:szCs w:val="22"/>
        </w:rPr>
        <w:t xml:space="preserve"> - Supuestos</w:t>
      </w:r>
      <w:bookmarkEnd w:id="166"/>
    </w:p>
    <w:p w14:paraId="2F32DDC6" w14:textId="77777777" w:rsidR="00DE6A7C" w:rsidRPr="00117BF8" w:rsidRDefault="00DE6A7C" w:rsidP="00DE6A7C">
      <w:pPr>
        <w:jc w:val="left"/>
        <w:rPr>
          <w:rFonts w:ascii="Arial" w:hAnsi="Arial" w:cs="Arial"/>
          <w:sz w:val="20"/>
        </w:rPr>
      </w:pPr>
      <w:bookmarkStart w:id="167" w:name="_MailOriginal"/>
      <w:r w:rsidRPr="00117BF8">
        <w:rPr>
          <w:rFonts w:ascii="Arial" w:hAnsi="Arial" w:cs="Arial"/>
          <w:b/>
          <w:bCs/>
          <w:sz w:val="20"/>
        </w:rPr>
        <w:t>De:</w:t>
      </w:r>
      <w:r w:rsidRPr="00117BF8">
        <w:rPr>
          <w:rFonts w:ascii="Arial" w:hAnsi="Arial" w:cs="Arial"/>
          <w:sz w:val="20"/>
        </w:rPr>
        <w:t xml:space="preserve"> Mariano Moschione [mailto:mmoschione@ec.gba.gov.ar] </w:t>
      </w:r>
      <w:r w:rsidRPr="00117BF8">
        <w:rPr>
          <w:rFonts w:ascii="Arial" w:hAnsi="Arial" w:cs="Arial"/>
          <w:sz w:val="20"/>
        </w:rPr>
        <w:br/>
      </w:r>
      <w:r w:rsidRPr="00117BF8">
        <w:rPr>
          <w:rFonts w:ascii="Arial" w:hAnsi="Arial" w:cs="Arial"/>
          <w:b/>
          <w:bCs/>
          <w:sz w:val="20"/>
        </w:rPr>
        <w:t>Enviado el:</w:t>
      </w:r>
      <w:r w:rsidRPr="00117BF8">
        <w:rPr>
          <w:rFonts w:ascii="Arial" w:hAnsi="Arial" w:cs="Arial"/>
          <w:sz w:val="20"/>
        </w:rPr>
        <w:t xml:space="preserve"> miércoles, 30 de agosto de 2017 18:06</w:t>
      </w:r>
      <w:r w:rsidRPr="00117BF8">
        <w:rPr>
          <w:rFonts w:ascii="Arial" w:hAnsi="Arial" w:cs="Arial"/>
          <w:sz w:val="20"/>
        </w:rPr>
        <w:br/>
      </w:r>
      <w:r w:rsidRPr="00117BF8">
        <w:rPr>
          <w:rFonts w:ascii="Arial" w:hAnsi="Arial" w:cs="Arial"/>
          <w:b/>
          <w:bCs/>
          <w:sz w:val="20"/>
        </w:rPr>
        <w:t>Para:</w:t>
      </w:r>
      <w:r w:rsidRPr="00117BF8">
        <w:rPr>
          <w:rFonts w:ascii="Arial" w:hAnsi="Arial" w:cs="Arial"/>
          <w:sz w:val="20"/>
        </w:rPr>
        <w:t xml:space="preserve"> 'Horacio Seillant - hsya'</w:t>
      </w:r>
      <w:r w:rsidRPr="00117BF8">
        <w:rPr>
          <w:rFonts w:ascii="Arial" w:hAnsi="Arial" w:cs="Arial"/>
          <w:sz w:val="20"/>
        </w:rPr>
        <w:br/>
      </w:r>
      <w:r w:rsidRPr="00117BF8">
        <w:rPr>
          <w:rFonts w:ascii="Arial" w:hAnsi="Arial" w:cs="Arial"/>
          <w:b/>
          <w:bCs/>
          <w:sz w:val="20"/>
        </w:rPr>
        <w:t>CC:</w:t>
      </w:r>
      <w:r w:rsidRPr="00117BF8">
        <w:rPr>
          <w:rFonts w:ascii="Arial" w:hAnsi="Arial" w:cs="Arial"/>
          <w:sz w:val="20"/>
        </w:rPr>
        <w:t xml:space="preserve"> skatzfinbpa@gmail.com; 'Lucio Simpson'</w:t>
      </w:r>
      <w:r w:rsidRPr="00117BF8">
        <w:rPr>
          <w:rFonts w:ascii="Arial" w:hAnsi="Arial" w:cs="Arial"/>
          <w:sz w:val="20"/>
        </w:rPr>
        <w:br/>
      </w:r>
      <w:r w:rsidRPr="00117BF8">
        <w:rPr>
          <w:rFonts w:ascii="Arial" w:hAnsi="Arial" w:cs="Arial"/>
          <w:b/>
          <w:bCs/>
          <w:sz w:val="20"/>
        </w:rPr>
        <w:t>Asunto:</w:t>
      </w:r>
      <w:r w:rsidRPr="00117BF8">
        <w:rPr>
          <w:rFonts w:ascii="Arial" w:hAnsi="Arial" w:cs="Arial"/>
          <w:sz w:val="20"/>
        </w:rPr>
        <w:t xml:space="preserve"> Proyecciones fiscales e indicadores de deuda</w:t>
      </w:r>
    </w:p>
    <w:p w14:paraId="4D72CF11" w14:textId="77777777" w:rsidR="00DE6A7C" w:rsidRPr="00117BF8" w:rsidRDefault="00DE6A7C" w:rsidP="00DE6A7C">
      <w:pPr>
        <w:rPr>
          <w:rFonts w:ascii="Arial" w:eastAsia="Calibri" w:hAnsi="Arial" w:cs="Arial"/>
          <w:szCs w:val="24"/>
          <w:lang w:val="es-AR"/>
        </w:rPr>
      </w:pPr>
    </w:p>
    <w:p w14:paraId="487EACB9" w14:textId="77777777" w:rsidR="00DE6A7C" w:rsidRPr="00117BF8" w:rsidRDefault="00DE6A7C" w:rsidP="00DE6A7C">
      <w:pPr>
        <w:pStyle w:val="estilo1"/>
        <w:rPr>
          <w:rFonts w:ascii="Arial" w:hAnsi="Arial" w:cs="Arial"/>
          <w:color w:val="000000"/>
          <w:sz w:val="20"/>
          <w:szCs w:val="20"/>
        </w:rPr>
      </w:pPr>
      <w:r w:rsidRPr="00117BF8">
        <w:rPr>
          <w:rFonts w:ascii="Arial" w:hAnsi="Arial" w:cs="Arial"/>
          <w:color w:val="000000"/>
          <w:sz w:val="20"/>
          <w:szCs w:val="20"/>
        </w:rPr>
        <w:fldChar w:fldCharType="begin"/>
      </w:r>
      <w:r w:rsidRPr="00117BF8">
        <w:rPr>
          <w:rFonts w:ascii="Arial" w:hAnsi="Arial" w:cs="Arial"/>
          <w:color w:val="000000"/>
          <w:sz w:val="20"/>
          <w:szCs w:val="20"/>
        </w:rPr>
        <w:instrText xml:space="preserve"> INCLUDEPICTURE  "cid:image001.jpg@01D321AD.22E506D0" \* MERGEFORMATINET </w:instrText>
      </w:r>
      <w:r w:rsidRPr="00117BF8">
        <w:rPr>
          <w:rFonts w:ascii="Arial" w:hAnsi="Arial" w:cs="Arial"/>
          <w:color w:val="000000"/>
          <w:sz w:val="20"/>
          <w:szCs w:val="20"/>
        </w:rPr>
        <w:fldChar w:fldCharType="separate"/>
      </w:r>
      <w:r w:rsidR="00707DAF" w:rsidRPr="00117BF8">
        <w:rPr>
          <w:rFonts w:ascii="Arial" w:hAnsi="Arial" w:cs="Arial"/>
          <w:color w:val="000000"/>
          <w:sz w:val="20"/>
          <w:szCs w:val="20"/>
        </w:rPr>
        <w:fldChar w:fldCharType="begin"/>
      </w:r>
      <w:r w:rsidR="00707DAF" w:rsidRPr="00117BF8">
        <w:rPr>
          <w:rFonts w:ascii="Arial" w:hAnsi="Arial" w:cs="Arial"/>
          <w:color w:val="000000"/>
          <w:sz w:val="20"/>
          <w:szCs w:val="20"/>
        </w:rPr>
        <w:instrText xml:space="preserve"> INCLUDEPICTURE  "cid:image001.jpg@01D321AD.22E506D0" \* MERGEFORMATINET </w:instrText>
      </w:r>
      <w:r w:rsidR="00707DAF" w:rsidRPr="00117BF8">
        <w:rPr>
          <w:rFonts w:ascii="Arial" w:hAnsi="Arial" w:cs="Arial"/>
          <w:color w:val="000000"/>
          <w:sz w:val="20"/>
          <w:szCs w:val="20"/>
        </w:rPr>
        <w:fldChar w:fldCharType="separate"/>
      </w:r>
      <w:r w:rsidR="001014F4" w:rsidRPr="00117BF8">
        <w:rPr>
          <w:rFonts w:ascii="Arial" w:hAnsi="Arial" w:cs="Arial"/>
          <w:color w:val="000000"/>
          <w:sz w:val="20"/>
          <w:szCs w:val="20"/>
        </w:rPr>
        <w:fldChar w:fldCharType="begin"/>
      </w:r>
      <w:r w:rsidR="001014F4" w:rsidRPr="00117BF8">
        <w:rPr>
          <w:rFonts w:ascii="Arial" w:hAnsi="Arial" w:cs="Arial"/>
          <w:color w:val="000000"/>
          <w:sz w:val="20"/>
          <w:szCs w:val="20"/>
        </w:rPr>
        <w:instrText xml:space="preserve"> INCLUDEPICTURE  "cid:image001.jpg@01D321AD.22E506D0" \* MERGEFORMATINET </w:instrText>
      </w:r>
      <w:r w:rsidR="001014F4" w:rsidRPr="00117BF8">
        <w:rPr>
          <w:rFonts w:ascii="Arial" w:hAnsi="Arial" w:cs="Arial"/>
          <w:color w:val="000000"/>
          <w:sz w:val="20"/>
          <w:szCs w:val="20"/>
        </w:rPr>
        <w:fldChar w:fldCharType="separate"/>
      </w:r>
      <w:r w:rsidR="00D01429" w:rsidRPr="00117BF8">
        <w:rPr>
          <w:rFonts w:ascii="Arial" w:hAnsi="Arial" w:cs="Arial"/>
          <w:color w:val="000000"/>
          <w:sz w:val="20"/>
          <w:szCs w:val="20"/>
        </w:rPr>
        <w:fldChar w:fldCharType="begin"/>
      </w:r>
      <w:r w:rsidR="00D01429" w:rsidRPr="00117BF8">
        <w:rPr>
          <w:rFonts w:ascii="Arial" w:hAnsi="Arial" w:cs="Arial"/>
          <w:color w:val="000000"/>
          <w:sz w:val="20"/>
          <w:szCs w:val="20"/>
        </w:rPr>
        <w:instrText xml:space="preserve"> INCLUDEPICTURE  "cid:image001.jpg@01D321AD.22E506D0" \* MERGEFORMATINET </w:instrText>
      </w:r>
      <w:r w:rsidR="00D01429" w:rsidRPr="00117BF8">
        <w:rPr>
          <w:rFonts w:ascii="Arial" w:hAnsi="Arial" w:cs="Arial"/>
          <w:color w:val="000000"/>
          <w:sz w:val="20"/>
          <w:szCs w:val="20"/>
        </w:rPr>
        <w:fldChar w:fldCharType="separate"/>
      </w:r>
      <w:r w:rsidR="00D75B49" w:rsidRPr="00117BF8">
        <w:rPr>
          <w:rFonts w:ascii="Arial" w:hAnsi="Arial" w:cs="Arial"/>
          <w:color w:val="000000"/>
          <w:sz w:val="20"/>
          <w:szCs w:val="20"/>
        </w:rPr>
        <w:fldChar w:fldCharType="begin"/>
      </w:r>
      <w:r w:rsidR="00D75B49" w:rsidRPr="00117BF8">
        <w:rPr>
          <w:rFonts w:ascii="Arial" w:hAnsi="Arial" w:cs="Arial"/>
          <w:color w:val="000000"/>
          <w:sz w:val="20"/>
          <w:szCs w:val="20"/>
        </w:rPr>
        <w:instrText xml:space="preserve"> INCLUDEPICTURE  "cid:image001.jpg@01D321AD.22E506D0" \* MERGEFORMATINET </w:instrText>
      </w:r>
      <w:r w:rsidR="00D75B49" w:rsidRPr="00117BF8">
        <w:rPr>
          <w:rFonts w:ascii="Arial" w:hAnsi="Arial" w:cs="Arial"/>
          <w:color w:val="000000"/>
          <w:sz w:val="20"/>
          <w:szCs w:val="20"/>
        </w:rPr>
        <w:fldChar w:fldCharType="separate"/>
      </w:r>
      <w:r w:rsidR="00593674" w:rsidRPr="00117BF8">
        <w:rPr>
          <w:rFonts w:ascii="Arial" w:hAnsi="Arial" w:cs="Arial"/>
          <w:color w:val="000000"/>
          <w:sz w:val="20"/>
          <w:szCs w:val="20"/>
        </w:rPr>
        <w:fldChar w:fldCharType="begin"/>
      </w:r>
      <w:r w:rsidR="00593674" w:rsidRPr="00117BF8">
        <w:rPr>
          <w:rFonts w:ascii="Arial" w:hAnsi="Arial" w:cs="Arial"/>
          <w:color w:val="000000"/>
          <w:sz w:val="20"/>
          <w:szCs w:val="20"/>
        </w:rPr>
        <w:instrText xml:space="preserve"> INCLUDEPICTURE  "cid:image001.jpg@01D321AD.22E506D0" \* MERGEFORMATINET </w:instrText>
      </w:r>
      <w:r w:rsidR="00593674" w:rsidRPr="00117BF8">
        <w:rPr>
          <w:rFonts w:ascii="Arial" w:hAnsi="Arial" w:cs="Arial"/>
          <w:color w:val="000000"/>
          <w:sz w:val="20"/>
          <w:szCs w:val="20"/>
        </w:rPr>
        <w:fldChar w:fldCharType="separate"/>
      </w:r>
      <w:r w:rsidR="0015690B" w:rsidRPr="00117BF8">
        <w:rPr>
          <w:rFonts w:ascii="Arial" w:hAnsi="Arial" w:cs="Arial"/>
          <w:color w:val="000000"/>
          <w:sz w:val="20"/>
          <w:szCs w:val="20"/>
        </w:rPr>
        <w:fldChar w:fldCharType="begin"/>
      </w:r>
      <w:r w:rsidR="0015690B" w:rsidRPr="00117BF8">
        <w:rPr>
          <w:rFonts w:ascii="Arial" w:hAnsi="Arial" w:cs="Arial"/>
          <w:color w:val="000000"/>
          <w:sz w:val="20"/>
          <w:szCs w:val="20"/>
        </w:rPr>
        <w:instrText xml:space="preserve"> INCLUDEPICTURE  "cid:image001.jpg@01D321AD.22E506D0" \* MERGEFORMATINET </w:instrText>
      </w:r>
      <w:r w:rsidR="0015690B" w:rsidRPr="00117BF8">
        <w:rPr>
          <w:rFonts w:ascii="Arial" w:hAnsi="Arial" w:cs="Arial"/>
          <w:color w:val="000000"/>
          <w:sz w:val="20"/>
          <w:szCs w:val="20"/>
        </w:rPr>
        <w:fldChar w:fldCharType="separate"/>
      </w:r>
      <w:r w:rsidR="000F5830" w:rsidRPr="00117BF8">
        <w:rPr>
          <w:rFonts w:ascii="Arial" w:hAnsi="Arial" w:cs="Arial"/>
          <w:color w:val="000000"/>
          <w:sz w:val="20"/>
          <w:szCs w:val="20"/>
        </w:rPr>
        <w:fldChar w:fldCharType="begin"/>
      </w:r>
      <w:r w:rsidR="000F5830" w:rsidRPr="00117BF8">
        <w:rPr>
          <w:rFonts w:ascii="Arial" w:hAnsi="Arial" w:cs="Arial"/>
          <w:color w:val="000000"/>
          <w:sz w:val="20"/>
          <w:szCs w:val="20"/>
        </w:rPr>
        <w:instrText xml:space="preserve"> INCLUDEPICTURE  "cid:image001.jpg@01D321AD.22E506D0" \* MERGEFORMATINET </w:instrText>
      </w:r>
      <w:r w:rsidR="000F5830" w:rsidRPr="00117BF8">
        <w:rPr>
          <w:rFonts w:ascii="Arial" w:hAnsi="Arial" w:cs="Arial"/>
          <w:color w:val="000000"/>
          <w:sz w:val="20"/>
          <w:szCs w:val="20"/>
        </w:rPr>
        <w:fldChar w:fldCharType="separate"/>
      </w:r>
      <w:r w:rsidR="00D36210" w:rsidRPr="00117BF8">
        <w:rPr>
          <w:rFonts w:ascii="Arial" w:hAnsi="Arial" w:cs="Arial"/>
          <w:color w:val="000000"/>
          <w:sz w:val="20"/>
          <w:szCs w:val="20"/>
        </w:rPr>
        <w:fldChar w:fldCharType="begin"/>
      </w:r>
      <w:r w:rsidR="00D36210" w:rsidRPr="00117BF8">
        <w:rPr>
          <w:rFonts w:ascii="Arial" w:hAnsi="Arial" w:cs="Arial"/>
          <w:color w:val="000000"/>
          <w:sz w:val="20"/>
          <w:szCs w:val="20"/>
        </w:rPr>
        <w:instrText xml:space="preserve"> INCLUDEPICTURE  "cid:image001.jpg@01D321AD.22E506D0" \* MERGEFORMATINET </w:instrText>
      </w:r>
      <w:r w:rsidR="00D36210" w:rsidRPr="00117BF8">
        <w:rPr>
          <w:rFonts w:ascii="Arial" w:hAnsi="Arial" w:cs="Arial"/>
          <w:color w:val="000000"/>
          <w:sz w:val="20"/>
          <w:szCs w:val="20"/>
        </w:rPr>
        <w:fldChar w:fldCharType="separate"/>
      </w:r>
      <w:r w:rsidR="00BB314B" w:rsidRPr="00117BF8">
        <w:rPr>
          <w:rFonts w:ascii="Arial" w:hAnsi="Arial" w:cs="Arial"/>
          <w:color w:val="000000"/>
          <w:sz w:val="20"/>
          <w:szCs w:val="20"/>
        </w:rPr>
        <w:fldChar w:fldCharType="begin"/>
      </w:r>
      <w:r w:rsidR="00BB314B" w:rsidRPr="00117BF8">
        <w:rPr>
          <w:rFonts w:ascii="Arial" w:hAnsi="Arial" w:cs="Arial"/>
          <w:color w:val="000000"/>
          <w:sz w:val="20"/>
          <w:szCs w:val="20"/>
        </w:rPr>
        <w:instrText xml:space="preserve"> INCLUDEPICTURE  "cid:image001.jpg@01D321AD.22E506D0" \* MERGEFORMATINET </w:instrText>
      </w:r>
      <w:r w:rsidR="00BB314B" w:rsidRPr="00117BF8">
        <w:rPr>
          <w:rFonts w:ascii="Arial" w:hAnsi="Arial" w:cs="Arial"/>
          <w:color w:val="000000"/>
          <w:sz w:val="20"/>
          <w:szCs w:val="20"/>
        </w:rPr>
        <w:fldChar w:fldCharType="separate"/>
      </w:r>
      <w:r w:rsidR="00E82448" w:rsidRPr="00117BF8">
        <w:rPr>
          <w:rFonts w:ascii="Arial" w:hAnsi="Arial" w:cs="Arial"/>
          <w:color w:val="000000"/>
          <w:sz w:val="20"/>
          <w:szCs w:val="20"/>
        </w:rPr>
        <w:fldChar w:fldCharType="begin"/>
      </w:r>
      <w:r w:rsidR="00E82448" w:rsidRPr="00117BF8">
        <w:rPr>
          <w:rFonts w:ascii="Arial" w:hAnsi="Arial" w:cs="Arial"/>
          <w:color w:val="000000"/>
          <w:sz w:val="20"/>
          <w:szCs w:val="20"/>
        </w:rPr>
        <w:instrText xml:space="preserve"> INCLUDEPICTURE  "cid:image001.jpg@01D321AD.22E506D0" \* MERGEFORMATINET </w:instrText>
      </w:r>
      <w:r w:rsidR="00E82448" w:rsidRPr="00117BF8">
        <w:rPr>
          <w:rFonts w:ascii="Arial" w:hAnsi="Arial" w:cs="Arial"/>
          <w:color w:val="000000"/>
          <w:sz w:val="20"/>
          <w:szCs w:val="20"/>
        </w:rPr>
        <w:fldChar w:fldCharType="separate"/>
      </w:r>
      <w:r w:rsidR="0080301A" w:rsidRPr="00117BF8">
        <w:rPr>
          <w:rFonts w:ascii="Arial" w:hAnsi="Arial" w:cs="Arial"/>
          <w:color w:val="000000"/>
          <w:sz w:val="20"/>
          <w:szCs w:val="20"/>
        </w:rPr>
        <w:fldChar w:fldCharType="begin"/>
      </w:r>
      <w:r w:rsidR="0080301A" w:rsidRPr="00117BF8">
        <w:rPr>
          <w:rFonts w:ascii="Arial" w:hAnsi="Arial" w:cs="Arial"/>
          <w:color w:val="000000"/>
          <w:sz w:val="20"/>
          <w:szCs w:val="20"/>
        </w:rPr>
        <w:instrText xml:space="preserve"> INCLUDEPICTURE  "cid:image001.jpg@01D321AD.22E506D0" \* MERGEFORMATINET </w:instrText>
      </w:r>
      <w:r w:rsidR="0080301A" w:rsidRPr="00117BF8">
        <w:rPr>
          <w:rFonts w:ascii="Arial" w:hAnsi="Arial" w:cs="Arial"/>
          <w:color w:val="000000"/>
          <w:sz w:val="20"/>
          <w:szCs w:val="20"/>
        </w:rPr>
        <w:fldChar w:fldCharType="separate"/>
      </w:r>
      <w:r w:rsidR="00F43075" w:rsidRPr="00117BF8">
        <w:rPr>
          <w:rFonts w:ascii="Arial" w:hAnsi="Arial" w:cs="Arial"/>
          <w:color w:val="000000"/>
          <w:sz w:val="20"/>
          <w:szCs w:val="20"/>
        </w:rPr>
        <w:fldChar w:fldCharType="begin"/>
      </w:r>
      <w:r w:rsidR="00F43075" w:rsidRPr="00117BF8">
        <w:rPr>
          <w:rFonts w:ascii="Arial" w:hAnsi="Arial" w:cs="Arial"/>
          <w:color w:val="000000"/>
          <w:sz w:val="20"/>
          <w:szCs w:val="20"/>
        </w:rPr>
        <w:instrText xml:space="preserve"> INCLUDEPICTURE  "cid:image001.jpg@01D321AD.22E506D0" \* MERGEFORMATINET </w:instrText>
      </w:r>
      <w:r w:rsidR="00F43075" w:rsidRPr="00117BF8">
        <w:rPr>
          <w:rFonts w:ascii="Arial" w:hAnsi="Arial" w:cs="Arial"/>
          <w:color w:val="000000"/>
          <w:sz w:val="20"/>
          <w:szCs w:val="20"/>
        </w:rPr>
        <w:fldChar w:fldCharType="separate"/>
      </w:r>
      <w:r w:rsidR="00B8231B" w:rsidRPr="00117BF8">
        <w:rPr>
          <w:rFonts w:ascii="Arial" w:hAnsi="Arial" w:cs="Arial"/>
          <w:color w:val="000000"/>
          <w:sz w:val="20"/>
          <w:szCs w:val="20"/>
        </w:rPr>
        <w:fldChar w:fldCharType="begin"/>
      </w:r>
      <w:r w:rsidR="00B8231B" w:rsidRPr="00117BF8">
        <w:rPr>
          <w:rFonts w:ascii="Arial" w:hAnsi="Arial" w:cs="Arial"/>
          <w:color w:val="000000"/>
          <w:sz w:val="20"/>
          <w:szCs w:val="20"/>
        </w:rPr>
        <w:instrText xml:space="preserve"> INCLUDEPICTURE  "cid:image001.jpg@01D321AD.22E506D0" \* MERGEFORMATINET </w:instrText>
      </w:r>
      <w:r w:rsidR="00B8231B" w:rsidRPr="00117BF8">
        <w:rPr>
          <w:rFonts w:ascii="Arial" w:hAnsi="Arial" w:cs="Arial"/>
          <w:color w:val="000000"/>
          <w:sz w:val="20"/>
          <w:szCs w:val="20"/>
        </w:rPr>
        <w:fldChar w:fldCharType="separate"/>
      </w:r>
      <w:r w:rsidR="006A1969" w:rsidRPr="00117BF8">
        <w:rPr>
          <w:rFonts w:ascii="Arial" w:hAnsi="Arial" w:cs="Arial"/>
          <w:color w:val="000000"/>
          <w:sz w:val="20"/>
          <w:szCs w:val="20"/>
        </w:rPr>
        <w:fldChar w:fldCharType="begin"/>
      </w:r>
      <w:r w:rsidR="006A1969" w:rsidRPr="00117BF8">
        <w:rPr>
          <w:rFonts w:ascii="Arial" w:hAnsi="Arial" w:cs="Arial"/>
          <w:color w:val="000000"/>
          <w:sz w:val="20"/>
          <w:szCs w:val="20"/>
        </w:rPr>
        <w:instrText xml:space="preserve"> INCLUDEPICTURE  "cid:image001.jpg@01D321AD.22E506D0" \* MERGEFORMATINET </w:instrText>
      </w:r>
      <w:r w:rsidR="006A1969" w:rsidRPr="00117BF8">
        <w:rPr>
          <w:rFonts w:ascii="Arial" w:hAnsi="Arial" w:cs="Arial"/>
          <w:color w:val="000000"/>
          <w:sz w:val="20"/>
          <w:szCs w:val="20"/>
        </w:rPr>
        <w:fldChar w:fldCharType="separate"/>
      </w:r>
      <w:r w:rsidR="00D43A56" w:rsidRPr="00117BF8">
        <w:rPr>
          <w:rFonts w:ascii="Arial" w:hAnsi="Arial" w:cs="Arial"/>
          <w:color w:val="000000"/>
          <w:sz w:val="20"/>
          <w:szCs w:val="20"/>
        </w:rPr>
        <w:fldChar w:fldCharType="begin"/>
      </w:r>
      <w:r w:rsidR="00D43A56" w:rsidRPr="00117BF8">
        <w:rPr>
          <w:rFonts w:ascii="Arial" w:hAnsi="Arial" w:cs="Arial"/>
          <w:color w:val="000000"/>
          <w:sz w:val="20"/>
          <w:szCs w:val="20"/>
        </w:rPr>
        <w:instrText xml:space="preserve"> INCLUDEPICTURE  "cid:image001.jpg@01D321AD.22E506D0" \* MERGEFORMATINET </w:instrText>
      </w:r>
      <w:r w:rsidR="00D43A56" w:rsidRPr="00117BF8">
        <w:rPr>
          <w:rFonts w:ascii="Arial" w:hAnsi="Arial" w:cs="Arial"/>
          <w:color w:val="000000"/>
          <w:sz w:val="20"/>
          <w:szCs w:val="20"/>
        </w:rPr>
        <w:fldChar w:fldCharType="separate"/>
      </w:r>
      <w:r w:rsidR="002A4145" w:rsidRPr="00117BF8">
        <w:rPr>
          <w:rFonts w:ascii="Arial" w:hAnsi="Arial" w:cs="Arial"/>
          <w:color w:val="000000"/>
          <w:sz w:val="20"/>
          <w:szCs w:val="20"/>
        </w:rPr>
        <w:fldChar w:fldCharType="begin"/>
      </w:r>
      <w:r w:rsidR="002A4145" w:rsidRPr="00117BF8">
        <w:rPr>
          <w:rFonts w:ascii="Arial" w:hAnsi="Arial" w:cs="Arial"/>
          <w:color w:val="000000"/>
          <w:sz w:val="20"/>
          <w:szCs w:val="20"/>
        </w:rPr>
        <w:instrText xml:space="preserve"> INCLUDEPICTURE  "cid:image001.jpg@01D321AD.22E506D0" \* MERGEFORMATINET </w:instrText>
      </w:r>
      <w:r w:rsidR="002A4145" w:rsidRPr="00117BF8">
        <w:rPr>
          <w:rFonts w:ascii="Arial" w:hAnsi="Arial" w:cs="Arial"/>
          <w:color w:val="000000"/>
          <w:sz w:val="20"/>
          <w:szCs w:val="20"/>
        </w:rPr>
        <w:fldChar w:fldCharType="separate"/>
      </w:r>
      <w:r w:rsidR="00F85C8E" w:rsidRPr="00117BF8">
        <w:rPr>
          <w:rFonts w:ascii="Arial" w:hAnsi="Arial" w:cs="Arial"/>
          <w:color w:val="000000"/>
          <w:sz w:val="20"/>
          <w:szCs w:val="20"/>
        </w:rPr>
        <w:fldChar w:fldCharType="begin"/>
      </w:r>
      <w:r w:rsidR="00F85C8E" w:rsidRPr="00117BF8">
        <w:rPr>
          <w:rFonts w:ascii="Arial" w:hAnsi="Arial" w:cs="Arial"/>
          <w:color w:val="000000"/>
          <w:sz w:val="20"/>
          <w:szCs w:val="20"/>
        </w:rPr>
        <w:instrText xml:space="preserve"> INCLUDEPICTURE  "cid:image001.jpg@01D321AD.22E506D0" \* MERGEFORMATINET </w:instrText>
      </w:r>
      <w:r w:rsidR="00F85C8E" w:rsidRPr="00117BF8">
        <w:rPr>
          <w:rFonts w:ascii="Arial" w:hAnsi="Arial" w:cs="Arial"/>
          <w:color w:val="000000"/>
          <w:sz w:val="20"/>
          <w:szCs w:val="20"/>
        </w:rPr>
        <w:fldChar w:fldCharType="separate"/>
      </w:r>
      <w:r w:rsidR="00117BF8" w:rsidRPr="00117BF8">
        <w:rPr>
          <w:rFonts w:ascii="Arial" w:hAnsi="Arial" w:cs="Arial"/>
          <w:color w:val="000000"/>
          <w:sz w:val="20"/>
          <w:szCs w:val="20"/>
        </w:rPr>
        <w:fldChar w:fldCharType="begin"/>
      </w:r>
      <w:r w:rsidR="00117BF8" w:rsidRPr="00117BF8">
        <w:rPr>
          <w:rFonts w:ascii="Arial" w:hAnsi="Arial" w:cs="Arial"/>
          <w:color w:val="000000"/>
          <w:sz w:val="20"/>
          <w:szCs w:val="20"/>
        </w:rPr>
        <w:instrText xml:space="preserve"> INCLUDEPICTURE  "cid:image001.jpg@01D321AD.22E506D0" \* MERGEFORMATINET </w:instrText>
      </w:r>
      <w:r w:rsidR="00117BF8" w:rsidRPr="00117BF8">
        <w:rPr>
          <w:rFonts w:ascii="Arial" w:hAnsi="Arial" w:cs="Arial"/>
          <w:color w:val="000000"/>
          <w:sz w:val="20"/>
          <w:szCs w:val="20"/>
        </w:rPr>
        <w:fldChar w:fldCharType="separate"/>
      </w:r>
      <w:r w:rsidR="00117BF8" w:rsidRPr="00117BF8">
        <w:rPr>
          <w:rFonts w:ascii="Arial" w:hAnsi="Arial" w:cs="Arial"/>
          <w:color w:val="000000"/>
          <w:sz w:val="20"/>
          <w:szCs w:val="20"/>
        </w:rPr>
        <w:pict w14:anchorId="2BBC64F6">
          <v:shape id="_x0000_i1067" type="#_x0000_t75" alt="" style="width:431.35pt;height:66.35pt">
            <v:imagedata r:id="rId88" r:href="rId89"/>
          </v:shape>
        </w:pict>
      </w:r>
      <w:r w:rsidR="00117BF8" w:rsidRPr="00117BF8">
        <w:rPr>
          <w:rFonts w:ascii="Arial" w:hAnsi="Arial" w:cs="Arial"/>
          <w:color w:val="000000"/>
          <w:sz w:val="20"/>
          <w:szCs w:val="20"/>
        </w:rPr>
        <w:fldChar w:fldCharType="end"/>
      </w:r>
      <w:r w:rsidR="00F85C8E" w:rsidRPr="00117BF8">
        <w:rPr>
          <w:rFonts w:ascii="Arial" w:hAnsi="Arial" w:cs="Arial"/>
          <w:color w:val="000000"/>
          <w:sz w:val="20"/>
          <w:szCs w:val="20"/>
        </w:rPr>
        <w:fldChar w:fldCharType="end"/>
      </w:r>
      <w:r w:rsidR="002A4145" w:rsidRPr="00117BF8">
        <w:rPr>
          <w:rFonts w:ascii="Arial" w:hAnsi="Arial" w:cs="Arial"/>
          <w:color w:val="000000"/>
          <w:sz w:val="20"/>
          <w:szCs w:val="20"/>
        </w:rPr>
        <w:fldChar w:fldCharType="end"/>
      </w:r>
      <w:r w:rsidR="00D43A56" w:rsidRPr="00117BF8">
        <w:rPr>
          <w:rFonts w:ascii="Arial" w:hAnsi="Arial" w:cs="Arial"/>
          <w:color w:val="000000"/>
          <w:sz w:val="20"/>
          <w:szCs w:val="20"/>
        </w:rPr>
        <w:fldChar w:fldCharType="end"/>
      </w:r>
      <w:r w:rsidR="006A1969" w:rsidRPr="00117BF8">
        <w:rPr>
          <w:rFonts w:ascii="Arial" w:hAnsi="Arial" w:cs="Arial"/>
          <w:color w:val="000000"/>
          <w:sz w:val="20"/>
          <w:szCs w:val="20"/>
        </w:rPr>
        <w:fldChar w:fldCharType="end"/>
      </w:r>
      <w:r w:rsidR="00B8231B" w:rsidRPr="00117BF8">
        <w:rPr>
          <w:rFonts w:ascii="Arial" w:hAnsi="Arial" w:cs="Arial"/>
          <w:color w:val="000000"/>
          <w:sz w:val="20"/>
          <w:szCs w:val="20"/>
        </w:rPr>
        <w:fldChar w:fldCharType="end"/>
      </w:r>
      <w:r w:rsidR="00F43075" w:rsidRPr="00117BF8">
        <w:rPr>
          <w:rFonts w:ascii="Arial" w:hAnsi="Arial" w:cs="Arial"/>
          <w:color w:val="000000"/>
          <w:sz w:val="20"/>
          <w:szCs w:val="20"/>
        </w:rPr>
        <w:fldChar w:fldCharType="end"/>
      </w:r>
      <w:r w:rsidR="0080301A" w:rsidRPr="00117BF8">
        <w:rPr>
          <w:rFonts w:ascii="Arial" w:hAnsi="Arial" w:cs="Arial"/>
          <w:color w:val="000000"/>
          <w:sz w:val="20"/>
          <w:szCs w:val="20"/>
        </w:rPr>
        <w:fldChar w:fldCharType="end"/>
      </w:r>
      <w:r w:rsidR="00E82448" w:rsidRPr="00117BF8">
        <w:rPr>
          <w:rFonts w:ascii="Arial" w:hAnsi="Arial" w:cs="Arial"/>
          <w:color w:val="000000"/>
          <w:sz w:val="20"/>
          <w:szCs w:val="20"/>
        </w:rPr>
        <w:fldChar w:fldCharType="end"/>
      </w:r>
      <w:r w:rsidR="00BB314B" w:rsidRPr="00117BF8">
        <w:rPr>
          <w:rFonts w:ascii="Arial" w:hAnsi="Arial" w:cs="Arial"/>
          <w:color w:val="000000"/>
          <w:sz w:val="20"/>
          <w:szCs w:val="20"/>
        </w:rPr>
        <w:fldChar w:fldCharType="end"/>
      </w:r>
      <w:r w:rsidR="00D36210" w:rsidRPr="00117BF8">
        <w:rPr>
          <w:rFonts w:ascii="Arial" w:hAnsi="Arial" w:cs="Arial"/>
          <w:color w:val="000000"/>
          <w:sz w:val="20"/>
          <w:szCs w:val="20"/>
        </w:rPr>
        <w:fldChar w:fldCharType="end"/>
      </w:r>
      <w:r w:rsidR="000F5830" w:rsidRPr="00117BF8">
        <w:rPr>
          <w:rFonts w:ascii="Arial" w:hAnsi="Arial" w:cs="Arial"/>
          <w:color w:val="000000"/>
          <w:sz w:val="20"/>
          <w:szCs w:val="20"/>
        </w:rPr>
        <w:fldChar w:fldCharType="end"/>
      </w:r>
      <w:r w:rsidR="0015690B" w:rsidRPr="00117BF8">
        <w:rPr>
          <w:rFonts w:ascii="Arial" w:hAnsi="Arial" w:cs="Arial"/>
          <w:color w:val="000000"/>
          <w:sz w:val="20"/>
          <w:szCs w:val="20"/>
        </w:rPr>
        <w:fldChar w:fldCharType="end"/>
      </w:r>
      <w:r w:rsidR="00593674" w:rsidRPr="00117BF8">
        <w:rPr>
          <w:rFonts w:ascii="Arial" w:hAnsi="Arial" w:cs="Arial"/>
          <w:color w:val="000000"/>
          <w:sz w:val="20"/>
          <w:szCs w:val="20"/>
        </w:rPr>
        <w:fldChar w:fldCharType="end"/>
      </w:r>
      <w:r w:rsidR="00D75B49" w:rsidRPr="00117BF8">
        <w:rPr>
          <w:rFonts w:ascii="Arial" w:hAnsi="Arial" w:cs="Arial"/>
          <w:color w:val="000000"/>
          <w:sz w:val="20"/>
          <w:szCs w:val="20"/>
        </w:rPr>
        <w:fldChar w:fldCharType="end"/>
      </w:r>
      <w:r w:rsidR="00D01429" w:rsidRPr="00117BF8">
        <w:rPr>
          <w:rFonts w:ascii="Arial" w:hAnsi="Arial" w:cs="Arial"/>
          <w:color w:val="000000"/>
          <w:sz w:val="20"/>
          <w:szCs w:val="20"/>
        </w:rPr>
        <w:fldChar w:fldCharType="end"/>
      </w:r>
      <w:r w:rsidR="001014F4" w:rsidRPr="00117BF8">
        <w:rPr>
          <w:rFonts w:ascii="Arial" w:hAnsi="Arial" w:cs="Arial"/>
          <w:color w:val="000000"/>
          <w:sz w:val="20"/>
          <w:szCs w:val="20"/>
        </w:rPr>
        <w:fldChar w:fldCharType="end"/>
      </w:r>
      <w:r w:rsidR="00707DAF" w:rsidRPr="00117BF8">
        <w:rPr>
          <w:rFonts w:ascii="Arial" w:hAnsi="Arial" w:cs="Arial"/>
          <w:color w:val="000000"/>
          <w:sz w:val="20"/>
          <w:szCs w:val="20"/>
        </w:rPr>
        <w:fldChar w:fldCharType="end"/>
      </w:r>
      <w:r w:rsidRPr="00117BF8">
        <w:rPr>
          <w:rFonts w:ascii="Arial" w:hAnsi="Arial" w:cs="Arial"/>
          <w:color w:val="000000"/>
          <w:sz w:val="20"/>
          <w:szCs w:val="20"/>
        </w:rPr>
        <w:fldChar w:fldCharType="end"/>
      </w:r>
    </w:p>
    <w:p w14:paraId="10FD1903" w14:textId="77777777" w:rsidR="00DE6A7C" w:rsidRPr="00117BF8" w:rsidRDefault="00DE6A7C" w:rsidP="00DE6A7C">
      <w:pPr>
        <w:pStyle w:val="estilo1"/>
        <w:rPr>
          <w:rFonts w:ascii="Arial" w:hAnsi="Arial" w:cs="Arial"/>
          <w:sz w:val="20"/>
          <w:szCs w:val="20"/>
        </w:rPr>
      </w:pPr>
      <w:r w:rsidRPr="00117BF8">
        <w:rPr>
          <w:rFonts w:ascii="Arial" w:hAnsi="Arial" w:cs="Arial"/>
          <w:sz w:val="20"/>
          <w:szCs w:val="20"/>
        </w:rPr>
        <w:t>Horacio,</w:t>
      </w:r>
    </w:p>
    <w:p w14:paraId="58B54A1A" w14:textId="77777777" w:rsidR="00DE6A7C" w:rsidRPr="00117BF8" w:rsidRDefault="00DE6A7C" w:rsidP="00DE6A7C">
      <w:pPr>
        <w:pStyle w:val="estilo1"/>
        <w:rPr>
          <w:rFonts w:ascii="Arial" w:hAnsi="Arial" w:cs="Arial"/>
          <w:sz w:val="20"/>
          <w:szCs w:val="20"/>
        </w:rPr>
      </w:pPr>
      <w:r w:rsidRPr="00117BF8">
        <w:rPr>
          <w:rFonts w:ascii="Arial" w:hAnsi="Arial" w:cs="Arial"/>
          <w:sz w:val="20"/>
          <w:szCs w:val="20"/>
        </w:rPr>
        <w:t>Adjunto set de información solicitada, a saber:</w:t>
      </w:r>
    </w:p>
    <w:p w14:paraId="3DE8A242" w14:textId="77777777" w:rsidR="00DE6A7C" w:rsidRPr="00117BF8" w:rsidRDefault="00DE6A7C" w:rsidP="00DE6A7C">
      <w:pPr>
        <w:pStyle w:val="estilo1"/>
        <w:ind w:left="720" w:hanging="360"/>
        <w:rPr>
          <w:rFonts w:ascii="Arial" w:hAnsi="Arial" w:cs="Arial"/>
          <w:sz w:val="20"/>
          <w:szCs w:val="20"/>
        </w:rPr>
      </w:pPr>
      <w:r w:rsidRPr="00117BF8">
        <w:rPr>
          <w:rFonts w:ascii="Arial" w:hAnsi="Arial" w:cs="Arial"/>
          <w:sz w:val="20"/>
          <w:szCs w:val="20"/>
        </w:rPr>
        <w:t>-</w:t>
      </w:r>
      <w:r w:rsidRPr="00117BF8">
        <w:rPr>
          <w:rFonts w:ascii="Arial" w:hAnsi="Arial" w:cs="Arial"/>
          <w:sz w:val="14"/>
          <w:szCs w:val="14"/>
        </w:rPr>
        <w:t xml:space="preserve">      </w:t>
      </w:r>
      <w:r w:rsidRPr="00117BF8">
        <w:rPr>
          <w:rFonts w:ascii="Arial" w:hAnsi="Arial" w:cs="Arial"/>
          <w:sz w:val="20"/>
          <w:szCs w:val="20"/>
        </w:rPr>
        <w:t>Esquema AIF 2017-2028, con proyecciones que muestran un resultado primario superavitario desde 2018 y un resultado financiero positivo a partir de 2025.</w:t>
      </w:r>
    </w:p>
    <w:p w14:paraId="20A59D83" w14:textId="77777777" w:rsidR="00DE6A7C" w:rsidRPr="00117BF8" w:rsidRDefault="00DE6A7C" w:rsidP="00DE6A7C">
      <w:pPr>
        <w:pStyle w:val="estilo1"/>
        <w:ind w:left="720" w:hanging="360"/>
        <w:rPr>
          <w:rFonts w:ascii="Arial" w:hAnsi="Arial" w:cs="Arial"/>
          <w:sz w:val="20"/>
          <w:szCs w:val="20"/>
        </w:rPr>
      </w:pPr>
      <w:r w:rsidRPr="00117BF8">
        <w:rPr>
          <w:rFonts w:ascii="Arial" w:hAnsi="Arial" w:cs="Arial"/>
          <w:sz w:val="20"/>
          <w:szCs w:val="20"/>
        </w:rPr>
        <w:t>-</w:t>
      </w:r>
      <w:r w:rsidRPr="00117BF8">
        <w:rPr>
          <w:rFonts w:ascii="Arial" w:hAnsi="Arial" w:cs="Arial"/>
          <w:sz w:val="14"/>
          <w:szCs w:val="14"/>
        </w:rPr>
        <w:t xml:space="preserve">      </w:t>
      </w:r>
      <w:r w:rsidRPr="00117BF8">
        <w:rPr>
          <w:rFonts w:ascii="Arial" w:hAnsi="Arial" w:cs="Arial"/>
          <w:sz w:val="20"/>
          <w:szCs w:val="20"/>
        </w:rPr>
        <w:t>Ratios de deuda / producto, deuda / ingresos corrientes y servicios / ingresos corrientes que alcanzan máximos de 7,8%, 57,5% y 12,1% en una transición, para luego comenzar a descender a partir de resultados fiscales más saludables.</w:t>
      </w:r>
    </w:p>
    <w:p w14:paraId="0C9874C6" w14:textId="77777777" w:rsidR="00DE6A7C" w:rsidRPr="00117BF8" w:rsidRDefault="00DE6A7C" w:rsidP="00DE6A7C">
      <w:pPr>
        <w:pStyle w:val="estilo1"/>
        <w:ind w:left="720" w:hanging="360"/>
        <w:rPr>
          <w:rFonts w:ascii="Arial" w:hAnsi="Arial" w:cs="Arial"/>
          <w:sz w:val="20"/>
          <w:szCs w:val="20"/>
        </w:rPr>
      </w:pPr>
      <w:r w:rsidRPr="00117BF8">
        <w:rPr>
          <w:rFonts w:ascii="Arial" w:hAnsi="Arial" w:cs="Arial"/>
          <w:sz w:val="20"/>
          <w:szCs w:val="20"/>
        </w:rPr>
        <w:t>-</w:t>
      </w:r>
      <w:r w:rsidRPr="00117BF8">
        <w:rPr>
          <w:rFonts w:ascii="Arial" w:hAnsi="Arial" w:cs="Arial"/>
          <w:sz w:val="14"/>
          <w:szCs w:val="14"/>
        </w:rPr>
        <w:t xml:space="preserve">      </w:t>
      </w:r>
      <w:r w:rsidRPr="00117BF8">
        <w:rPr>
          <w:rFonts w:ascii="Arial" w:hAnsi="Arial" w:cs="Arial"/>
          <w:sz w:val="20"/>
          <w:szCs w:val="20"/>
        </w:rPr>
        <w:t>Crecimiento real del producto nacional y provincial del 3,5% a partir de la alta correlación entre ambos y la elasticidad habitual respecto a ingresos provinciales.</w:t>
      </w:r>
    </w:p>
    <w:p w14:paraId="4FC47CA9" w14:textId="77777777" w:rsidR="00DE6A7C" w:rsidRPr="00117BF8" w:rsidRDefault="00DE6A7C" w:rsidP="00DE6A7C">
      <w:pPr>
        <w:pStyle w:val="estilo1"/>
        <w:ind w:left="720" w:hanging="360"/>
        <w:rPr>
          <w:rFonts w:ascii="Arial" w:hAnsi="Arial" w:cs="Arial"/>
          <w:sz w:val="20"/>
          <w:szCs w:val="20"/>
        </w:rPr>
      </w:pPr>
      <w:r w:rsidRPr="00117BF8">
        <w:rPr>
          <w:rFonts w:ascii="Arial" w:hAnsi="Arial" w:cs="Arial"/>
          <w:sz w:val="20"/>
          <w:szCs w:val="20"/>
        </w:rPr>
        <w:t>-</w:t>
      </w:r>
      <w:r w:rsidRPr="00117BF8">
        <w:rPr>
          <w:rFonts w:ascii="Arial" w:hAnsi="Arial" w:cs="Arial"/>
          <w:sz w:val="14"/>
          <w:szCs w:val="14"/>
        </w:rPr>
        <w:t xml:space="preserve">      </w:t>
      </w:r>
      <w:r w:rsidRPr="00117BF8">
        <w:rPr>
          <w:rFonts w:ascii="Arial" w:hAnsi="Arial" w:cs="Arial"/>
          <w:sz w:val="20"/>
          <w:szCs w:val="20"/>
        </w:rPr>
        <w:t>Inflación en línea con el marco macro fiscal nacional, que se estabiliza en 4,5% a partir de 2021.</w:t>
      </w:r>
    </w:p>
    <w:p w14:paraId="3FEF4A18" w14:textId="2B8ECA52" w:rsidR="00DE6A7C" w:rsidRPr="00117BF8" w:rsidRDefault="00BA6BC3" w:rsidP="001D3315">
      <w:pPr>
        <w:pStyle w:val="estilo1"/>
        <w:rPr>
          <w:rFonts w:ascii="Arial" w:hAnsi="Arial" w:cs="Arial"/>
          <w:sz w:val="20"/>
          <w:szCs w:val="20"/>
        </w:rPr>
      </w:pPr>
      <w:r w:rsidRPr="004E6455">
        <w:rPr>
          <w:rFonts w:ascii="Arial" w:hAnsi="Arial" w:cs="Arial"/>
          <w:sz w:val="20"/>
          <w:szCs w:val="20"/>
        </w:rPr>
        <w:t>¡Estamos a disposición!</w:t>
      </w:r>
    </w:p>
    <w:p w14:paraId="59FA475E" w14:textId="77777777" w:rsidR="00DE6A7C" w:rsidRPr="00117BF8" w:rsidRDefault="00DE6A7C" w:rsidP="00DE6A7C">
      <w:pPr>
        <w:pStyle w:val="estilo1"/>
        <w:rPr>
          <w:rFonts w:ascii="Arial" w:hAnsi="Arial" w:cs="Arial"/>
          <w:sz w:val="20"/>
          <w:szCs w:val="20"/>
        </w:rPr>
      </w:pPr>
      <w:r w:rsidRPr="00117BF8">
        <w:rPr>
          <w:rFonts w:ascii="Arial" w:hAnsi="Arial" w:cs="Arial"/>
          <w:sz w:val="20"/>
          <w:szCs w:val="20"/>
        </w:rPr>
        <w:t>Saludos</w:t>
      </w:r>
    </w:p>
    <w:p w14:paraId="7190DA61" w14:textId="77777777" w:rsidR="00DE6A7C" w:rsidRPr="00117BF8" w:rsidRDefault="00DE6A7C" w:rsidP="00DE6A7C">
      <w:pPr>
        <w:pStyle w:val="estilo1"/>
        <w:rPr>
          <w:rFonts w:ascii="Arial" w:hAnsi="Arial" w:cs="Arial"/>
          <w:sz w:val="20"/>
          <w:szCs w:val="20"/>
        </w:rPr>
      </w:pPr>
      <w:r w:rsidRPr="00117BF8">
        <w:rPr>
          <w:rFonts w:ascii="Arial" w:hAnsi="Arial" w:cs="Arial"/>
          <w:sz w:val="20"/>
          <w:szCs w:val="20"/>
        </w:rPr>
        <w:t>Mariano</w:t>
      </w:r>
      <w:bookmarkEnd w:id="167"/>
    </w:p>
    <w:p w14:paraId="5D16B765" w14:textId="77777777" w:rsidR="00DE6A7C" w:rsidRPr="00117BF8" w:rsidRDefault="00DE6A7C" w:rsidP="00DE6A7C">
      <w:pPr>
        <w:pStyle w:val="Hfuente"/>
        <w:rPr>
          <w:rFonts w:ascii="Arial" w:eastAsia="Calibri" w:hAnsi="Arial" w:cs="Arial"/>
        </w:rPr>
      </w:pPr>
    </w:p>
    <w:p w14:paraId="4B8676C8" w14:textId="77777777" w:rsidR="00DE6A7C" w:rsidRPr="00117BF8" w:rsidRDefault="00DE6A7C" w:rsidP="00DE6A7C">
      <w:pPr>
        <w:jc w:val="left"/>
        <w:rPr>
          <w:rFonts w:ascii="Arial" w:hAnsi="Arial" w:cs="Arial"/>
          <w:sz w:val="20"/>
        </w:rPr>
      </w:pPr>
      <w:r w:rsidRPr="00117BF8">
        <w:rPr>
          <w:rFonts w:ascii="Arial" w:eastAsia="Calibri" w:hAnsi="Arial" w:cs="Arial"/>
        </w:rPr>
        <w:br w:type="page"/>
      </w:r>
      <w:r w:rsidRPr="00117BF8">
        <w:rPr>
          <w:rFonts w:ascii="Arial" w:hAnsi="Arial" w:cs="Arial"/>
          <w:b/>
          <w:bCs/>
          <w:sz w:val="20"/>
        </w:rPr>
        <w:t>De:</w:t>
      </w:r>
      <w:r w:rsidRPr="00117BF8">
        <w:rPr>
          <w:rFonts w:ascii="Arial" w:hAnsi="Arial" w:cs="Arial"/>
          <w:sz w:val="20"/>
        </w:rPr>
        <w:t xml:space="preserve"> Julian Szymañski [mailto:julian.szymanski1989@gmail.com] </w:t>
      </w:r>
      <w:r w:rsidRPr="00117BF8">
        <w:rPr>
          <w:rFonts w:ascii="Arial" w:hAnsi="Arial" w:cs="Arial"/>
          <w:sz w:val="20"/>
        </w:rPr>
        <w:br/>
      </w:r>
      <w:r w:rsidRPr="00117BF8">
        <w:rPr>
          <w:rFonts w:ascii="Arial" w:hAnsi="Arial" w:cs="Arial"/>
          <w:b/>
          <w:bCs/>
          <w:sz w:val="20"/>
        </w:rPr>
        <w:t>Enviado el:</w:t>
      </w:r>
      <w:r w:rsidRPr="00117BF8">
        <w:rPr>
          <w:rFonts w:ascii="Arial" w:hAnsi="Arial" w:cs="Arial"/>
          <w:sz w:val="20"/>
        </w:rPr>
        <w:t xml:space="preserve"> viernes, 1 de septiembre de 2017 18:10</w:t>
      </w:r>
      <w:r w:rsidRPr="00117BF8">
        <w:rPr>
          <w:rFonts w:ascii="Arial" w:hAnsi="Arial" w:cs="Arial"/>
          <w:sz w:val="20"/>
        </w:rPr>
        <w:br/>
      </w:r>
      <w:r w:rsidRPr="00117BF8">
        <w:rPr>
          <w:rFonts w:ascii="Arial" w:hAnsi="Arial" w:cs="Arial"/>
          <w:b/>
          <w:bCs/>
          <w:sz w:val="20"/>
        </w:rPr>
        <w:t>Para:</w:t>
      </w:r>
      <w:r w:rsidRPr="00117BF8">
        <w:rPr>
          <w:rFonts w:ascii="Arial" w:hAnsi="Arial" w:cs="Arial"/>
          <w:sz w:val="20"/>
        </w:rPr>
        <w:t xml:space="preserve"> hs@hsya.com.ar</w:t>
      </w:r>
      <w:r w:rsidRPr="00117BF8">
        <w:rPr>
          <w:rFonts w:ascii="Arial" w:hAnsi="Arial" w:cs="Arial"/>
          <w:sz w:val="20"/>
        </w:rPr>
        <w:br/>
      </w:r>
      <w:r w:rsidRPr="00117BF8">
        <w:rPr>
          <w:rFonts w:ascii="Arial" w:hAnsi="Arial" w:cs="Arial"/>
          <w:b/>
          <w:bCs/>
          <w:sz w:val="20"/>
        </w:rPr>
        <w:t>CC:</w:t>
      </w:r>
      <w:r w:rsidRPr="00117BF8">
        <w:rPr>
          <w:rFonts w:ascii="Arial" w:hAnsi="Arial" w:cs="Arial"/>
          <w:sz w:val="20"/>
        </w:rPr>
        <w:t xml:space="preserve"> Sebastian Katz; Lucio Simpson; Mariano Moschione</w:t>
      </w:r>
      <w:r w:rsidRPr="00117BF8">
        <w:rPr>
          <w:rFonts w:ascii="Arial" w:hAnsi="Arial" w:cs="Arial"/>
          <w:sz w:val="20"/>
        </w:rPr>
        <w:br/>
      </w:r>
      <w:r w:rsidRPr="00117BF8">
        <w:rPr>
          <w:rFonts w:ascii="Arial" w:hAnsi="Arial" w:cs="Arial"/>
          <w:b/>
          <w:bCs/>
          <w:sz w:val="20"/>
        </w:rPr>
        <w:t>Asunto:</w:t>
      </w:r>
      <w:r w:rsidRPr="00117BF8">
        <w:rPr>
          <w:rFonts w:ascii="Arial" w:hAnsi="Arial" w:cs="Arial"/>
          <w:sz w:val="20"/>
        </w:rPr>
        <w:t xml:space="preserve"> Respuesta a la solicitud de información</w:t>
      </w:r>
    </w:p>
    <w:p w14:paraId="0087AF60" w14:textId="77777777" w:rsidR="00DE6A7C" w:rsidRPr="00117BF8" w:rsidRDefault="00DE6A7C" w:rsidP="00DE6A7C">
      <w:pPr>
        <w:rPr>
          <w:rFonts w:ascii="Arial" w:eastAsia="Calibri" w:hAnsi="Arial" w:cs="Arial"/>
          <w:szCs w:val="24"/>
          <w:lang w:val="es-AR"/>
        </w:rPr>
      </w:pPr>
    </w:p>
    <w:p w14:paraId="705FABBF" w14:textId="77777777" w:rsidR="00DE6A7C" w:rsidRPr="00117BF8" w:rsidRDefault="00DE6A7C" w:rsidP="00DE6A7C">
      <w:pPr>
        <w:rPr>
          <w:rFonts w:ascii="Arial" w:hAnsi="Arial" w:cs="Arial"/>
          <w:sz w:val="22"/>
          <w:szCs w:val="22"/>
        </w:rPr>
      </w:pPr>
      <w:r w:rsidRPr="00117BF8">
        <w:rPr>
          <w:rFonts w:ascii="Arial" w:hAnsi="Arial" w:cs="Arial"/>
          <w:sz w:val="22"/>
          <w:szCs w:val="22"/>
        </w:rPr>
        <w:t>Estimado Horacio, soy Julián Szymañski asesor de Sebastian Katz. Le envío este mail responder algunas consultas que le hizo en la reunión de ayer.</w:t>
      </w:r>
    </w:p>
    <w:p w14:paraId="214CAF3B" w14:textId="77777777" w:rsidR="00DE6A7C" w:rsidRPr="00117BF8" w:rsidRDefault="00DE6A7C" w:rsidP="00DE6A7C">
      <w:pPr>
        <w:rPr>
          <w:rFonts w:ascii="Arial" w:hAnsi="Arial" w:cs="Arial"/>
          <w:sz w:val="22"/>
          <w:szCs w:val="22"/>
        </w:rPr>
      </w:pPr>
    </w:p>
    <w:p w14:paraId="7CCC8CED" w14:textId="22F9F684" w:rsidR="00DE6A7C" w:rsidRPr="00117BF8" w:rsidRDefault="00DE6A7C" w:rsidP="00DE6A7C">
      <w:pPr>
        <w:rPr>
          <w:rFonts w:ascii="Arial" w:hAnsi="Arial" w:cs="Arial"/>
          <w:sz w:val="22"/>
          <w:szCs w:val="22"/>
        </w:rPr>
      </w:pPr>
      <w:r w:rsidRPr="00117BF8">
        <w:rPr>
          <w:rFonts w:ascii="Arial" w:hAnsi="Arial" w:cs="Arial"/>
          <w:sz w:val="22"/>
          <w:szCs w:val="22"/>
        </w:rPr>
        <w:t>Le envío un archivo con la participación de los organismos multilaterales de crédito en el stock total de deuda, como podrá ver, esta participación es creciente en los primeros 4 años dado que es donde se registran la mayor cantidad de desembolsos previstos, retornando a niveles similares a los actuales en los años siguientes. A su vez, le paso algunos comentarios que espero puedan ser útiles: </w:t>
      </w:r>
    </w:p>
    <w:p w14:paraId="4E476625" w14:textId="77777777" w:rsidR="00DE6A7C" w:rsidRPr="00117BF8" w:rsidRDefault="00DE6A7C" w:rsidP="00DE6A7C">
      <w:pPr>
        <w:numPr>
          <w:ilvl w:val="0"/>
          <w:numId w:val="8"/>
        </w:numPr>
        <w:spacing w:before="100" w:beforeAutospacing="1" w:after="100" w:afterAutospacing="1"/>
        <w:jc w:val="left"/>
        <w:rPr>
          <w:rFonts w:ascii="Arial" w:hAnsi="Arial" w:cs="Arial"/>
          <w:sz w:val="22"/>
          <w:szCs w:val="22"/>
        </w:rPr>
      </w:pPr>
      <w:r w:rsidRPr="00117BF8">
        <w:rPr>
          <w:rFonts w:ascii="Arial" w:hAnsi="Arial" w:cs="Arial"/>
          <w:sz w:val="22"/>
          <w:szCs w:val="22"/>
        </w:rPr>
        <w:t xml:space="preserve">Dado que todavía no se cuenta con la aprobación por parte del directorio del BID, los </w:t>
      </w:r>
      <w:r w:rsidR="00857A09" w:rsidRPr="00117BF8">
        <w:rPr>
          <w:rFonts w:ascii="Arial" w:hAnsi="Arial" w:cs="Arial"/>
          <w:sz w:val="22"/>
          <w:szCs w:val="22"/>
        </w:rPr>
        <w:t>préstamos</w:t>
      </w:r>
      <w:r w:rsidRPr="00117BF8">
        <w:rPr>
          <w:rFonts w:ascii="Arial" w:hAnsi="Arial" w:cs="Arial"/>
          <w:sz w:val="22"/>
          <w:szCs w:val="22"/>
        </w:rPr>
        <w:t xml:space="preserve"> de fortalecimiento de la capacidad de gestión de la PBA, el programa de drenaje y control de inundaciones y el proyecto de conectividad y seguridad vial, no están incluidos en estas proyecciones.</w:t>
      </w:r>
    </w:p>
    <w:p w14:paraId="242671A2" w14:textId="77777777" w:rsidR="00DE6A7C" w:rsidRPr="00117BF8" w:rsidRDefault="00DE6A7C" w:rsidP="00DE6A7C">
      <w:pPr>
        <w:numPr>
          <w:ilvl w:val="0"/>
          <w:numId w:val="8"/>
        </w:numPr>
        <w:spacing w:before="100" w:beforeAutospacing="1" w:after="100" w:afterAutospacing="1"/>
        <w:jc w:val="left"/>
        <w:rPr>
          <w:rFonts w:ascii="Arial" w:hAnsi="Arial" w:cs="Arial"/>
          <w:sz w:val="22"/>
          <w:szCs w:val="22"/>
        </w:rPr>
      </w:pPr>
      <w:r w:rsidRPr="00117BF8">
        <w:rPr>
          <w:rFonts w:ascii="Arial" w:hAnsi="Arial" w:cs="Arial"/>
          <w:sz w:val="22"/>
          <w:szCs w:val="22"/>
        </w:rPr>
        <w:t>El stock de deuda crece a un ritmo cada vez menor, aun teniendo superávit financiero, dado que el peso de la deuda en moneda extranjera es relativamente importante, y con un tipo de cambio creciente, el stock medido en pesos continua creciendo. Como notará, a partir de 2020 la tasa de crecimiento de la deuda es cada vez menor. </w:t>
      </w:r>
    </w:p>
    <w:p w14:paraId="71E225AC" w14:textId="77777777" w:rsidR="00DE6A7C" w:rsidRPr="00117BF8" w:rsidRDefault="00DE6A7C" w:rsidP="001D3315">
      <w:pPr>
        <w:numPr>
          <w:ilvl w:val="0"/>
          <w:numId w:val="8"/>
        </w:numPr>
        <w:spacing w:before="100" w:beforeAutospacing="1" w:after="100" w:afterAutospacing="1"/>
        <w:jc w:val="left"/>
        <w:rPr>
          <w:rFonts w:ascii="Arial" w:hAnsi="Arial" w:cs="Arial"/>
          <w:sz w:val="22"/>
          <w:szCs w:val="22"/>
        </w:rPr>
      </w:pPr>
      <w:r w:rsidRPr="00117BF8">
        <w:rPr>
          <w:rFonts w:ascii="Arial" w:hAnsi="Arial" w:cs="Arial"/>
          <w:sz w:val="22"/>
          <w:szCs w:val="22"/>
        </w:rPr>
        <w:t>En cuanto a la relación entre el crecimiento con los recursos tributarios, según varios estudios realizados la elasticidad es de aproximadamente 1.1 en lo que respecta a ingresos brutos. Este es un buen proxy para tener en cuenta dado que este tributo representa hoy el 75% de la recaudación total. En la proyección se utiliza esta elasticidad haciéndola converger a 1 a partir de 2020.</w:t>
      </w:r>
    </w:p>
    <w:p w14:paraId="0BCC1ED0" w14:textId="77777777" w:rsidR="00DE6A7C" w:rsidRPr="00117BF8" w:rsidRDefault="00DE6A7C" w:rsidP="00DE6A7C">
      <w:pPr>
        <w:numPr>
          <w:ilvl w:val="0"/>
          <w:numId w:val="8"/>
        </w:numPr>
        <w:spacing w:before="100" w:beforeAutospacing="1" w:after="100" w:afterAutospacing="1"/>
        <w:jc w:val="left"/>
        <w:rPr>
          <w:rFonts w:ascii="Arial" w:hAnsi="Arial" w:cs="Arial"/>
          <w:sz w:val="22"/>
          <w:szCs w:val="22"/>
        </w:rPr>
      </w:pPr>
      <w:r w:rsidRPr="00117BF8">
        <w:rPr>
          <w:rFonts w:ascii="Arial" w:hAnsi="Arial" w:cs="Arial"/>
          <w:sz w:val="22"/>
          <w:szCs w:val="22"/>
        </w:rPr>
        <w:t xml:space="preserve">En cuanto a los supuestos de evolución de crecimiento y de IPC en 2017, consideramos que, en </w:t>
      </w:r>
      <w:r w:rsidR="00857A09" w:rsidRPr="00117BF8">
        <w:rPr>
          <w:rFonts w:ascii="Arial" w:hAnsi="Arial" w:cs="Arial"/>
          <w:sz w:val="22"/>
          <w:szCs w:val="22"/>
        </w:rPr>
        <w:t>término</w:t>
      </w:r>
      <w:r w:rsidRPr="00117BF8">
        <w:rPr>
          <w:rFonts w:ascii="Arial" w:hAnsi="Arial" w:cs="Arial"/>
          <w:sz w:val="22"/>
          <w:szCs w:val="22"/>
        </w:rPr>
        <w:t xml:space="preserve"> netos, el efecto no es relevante dado que una reducción en los supuestos de crecimiento tiende a verse </w:t>
      </w:r>
      <w:r w:rsidR="00857A09" w:rsidRPr="00117BF8">
        <w:rPr>
          <w:rFonts w:ascii="Arial" w:hAnsi="Arial" w:cs="Arial"/>
          <w:sz w:val="22"/>
          <w:szCs w:val="22"/>
        </w:rPr>
        <w:t>más</w:t>
      </w:r>
      <w:r w:rsidRPr="00117BF8">
        <w:rPr>
          <w:rFonts w:ascii="Arial" w:hAnsi="Arial" w:cs="Arial"/>
          <w:sz w:val="22"/>
          <w:szCs w:val="22"/>
        </w:rPr>
        <w:t xml:space="preserve"> que compensada con un aumento de la inflación.</w:t>
      </w:r>
    </w:p>
    <w:p w14:paraId="30C6D79F" w14:textId="77777777" w:rsidR="00DE6A7C" w:rsidRPr="00117BF8" w:rsidRDefault="00DE6A7C" w:rsidP="00DE6A7C">
      <w:pPr>
        <w:numPr>
          <w:ilvl w:val="0"/>
          <w:numId w:val="8"/>
        </w:numPr>
        <w:spacing w:before="100" w:beforeAutospacing="1" w:after="100" w:afterAutospacing="1"/>
        <w:jc w:val="left"/>
        <w:rPr>
          <w:rFonts w:ascii="Arial" w:hAnsi="Arial" w:cs="Arial"/>
          <w:sz w:val="22"/>
          <w:szCs w:val="22"/>
        </w:rPr>
      </w:pPr>
      <w:r w:rsidRPr="00117BF8">
        <w:rPr>
          <w:rFonts w:ascii="Arial" w:hAnsi="Arial" w:cs="Arial"/>
          <w:sz w:val="22"/>
          <w:szCs w:val="22"/>
        </w:rPr>
        <w:t xml:space="preserve">Esta proyección está en </w:t>
      </w:r>
      <w:r w:rsidR="00857A09" w:rsidRPr="00117BF8">
        <w:rPr>
          <w:rFonts w:ascii="Arial" w:hAnsi="Arial" w:cs="Arial"/>
          <w:sz w:val="22"/>
          <w:szCs w:val="22"/>
        </w:rPr>
        <w:t>línea</w:t>
      </w:r>
      <w:r w:rsidRPr="00117BF8">
        <w:rPr>
          <w:rFonts w:ascii="Arial" w:hAnsi="Arial" w:cs="Arial"/>
          <w:sz w:val="22"/>
          <w:szCs w:val="22"/>
        </w:rPr>
        <w:t xml:space="preserve"> con las exigencias del nuevo proyecto de responsabilidad fiscal. La regla fiscal que la PBA tiene que cumplir (dado que proyectamos resultado corriente primario superavitario) es que el gasto </w:t>
      </w:r>
      <w:r w:rsidR="00857A09" w:rsidRPr="00117BF8">
        <w:rPr>
          <w:rFonts w:ascii="Arial" w:hAnsi="Arial" w:cs="Arial"/>
          <w:sz w:val="22"/>
          <w:szCs w:val="22"/>
        </w:rPr>
        <w:t>público</w:t>
      </w:r>
      <w:r w:rsidRPr="00117BF8">
        <w:rPr>
          <w:rFonts w:ascii="Arial" w:hAnsi="Arial" w:cs="Arial"/>
          <w:sz w:val="22"/>
          <w:szCs w:val="22"/>
        </w:rPr>
        <w:t xml:space="preserve"> corriente primario neto debe ser constante. El gasto primario corriente neto excluye, naturalmente intereses de la deuda. pero, </w:t>
      </w:r>
      <w:r w:rsidR="00857A09" w:rsidRPr="00117BF8">
        <w:rPr>
          <w:rFonts w:ascii="Arial" w:hAnsi="Arial" w:cs="Arial"/>
          <w:sz w:val="22"/>
          <w:szCs w:val="22"/>
        </w:rPr>
        <w:t>además</w:t>
      </w:r>
      <w:r w:rsidRPr="00117BF8">
        <w:rPr>
          <w:rFonts w:ascii="Arial" w:hAnsi="Arial" w:cs="Arial"/>
          <w:sz w:val="22"/>
          <w:szCs w:val="22"/>
        </w:rPr>
        <w:t>, excluye gastos corrientes financiados con préstamos de organismos internacionales; transferencias por coparticipación a municipios; gastos corrientes financiados con aportes no automáticos de Nación con asignación específica y gastos corrientes destinados al cumplimiento de políticas públicas nacionales. Efectivamente, el año base es 2017.</w:t>
      </w:r>
    </w:p>
    <w:p w14:paraId="574AC23B" w14:textId="77777777" w:rsidR="00DE6A7C" w:rsidRPr="00117BF8" w:rsidRDefault="00DE6A7C" w:rsidP="00DE6A7C">
      <w:pPr>
        <w:rPr>
          <w:rFonts w:ascii="Arial" w:hAnsi="Arial" w:cs="Arial"/>
          <w:sz w:val="22"/>
          <w:szCs w:val="22"/>
        </w:rPr>
      </w:pPr>
      <w:r w:rsidRPr="00117BF8">
        <w:rPr>
          <w:rFonts w:ascii="Arial" w:hAnsi="Arial" w:cs="Arial"/>
          <w:sz w:val="22"/>
          <w:szCs w:val="22"/>
        </w:rPr>
        <w:t>Espero que esto le sea útil. </w:t>
      </w:r>
    </w:p>
    <w:p w14:paraId="6A0A389C" w14:textId="77777777" w:rsidR="00DE6A7C" w:rsidRPr="00117BF8" w:rsidRDefault="00DE6A7C" w:rsidP="00DE6A7C">
      <w:pPr>
        <w:rPr>
          <w:rFonts w:ascii="Arial" w:hAnsi="Arial" w:cs="Arial"/>
          <w:sz w:val="22"/>
          <w:szCs w:val="22"/>
        </w:rPr>
      </w:pPr>
    </w:p>
    <w:p w14:paraId="252A9715" w14:textId="77777777" w:rsidR="00DE6A7C" w:rsidRPr="00117BF8" w:rsidRDefault="00DE6A7C" w:rsidP="00DE6A7C">
      <w:pPr>
        <w:rPr>
          <w:rFonts w:ascii="Arial" w:hAnsi="Arial" w:cs="Arial"/>
          <w:sz w:val="22"/>
          <w:szCs w:val="22"/>
        </w:rPr>
      </w:pPr>
      <w:r w:rsidRPr="00117BF8">
        <w:rPr>
          <w:rFonts w:ascii="Arial" w:hAnsi="Arial" w:cs="Arial"/>
          <w:sz w:val="22"/>
          <w:szCs w:val="22"/>
        </w:rPr>
        <w:t>Cualquier consulta estoy a su disposición.</w:t>
      </w:r>
    </w:p>
    <w:p w14:paraId="6DF2D55F" w14:textId="77777777" w:rsidR="00DE6A7C" w:rsidRPr="00117BF8" w:rsidRDefault="00DE6A7C" w:rsidP="00DE6A7C">
      <w:pPr>
        <w:rPr>
          <w:rFonts w:ascii="Arial" w:hAnsi="Arial" w:cs="Arial"/>
          <w:sz w:val="22"/>
          <w:szCs w:val="22"/>
        </w:rPr>
      </w:pPr>
    </w:p>
    <w:p w14:paraId="17F08810" w14:textId="77777777" w:rsidR="00DE6A7C" w:rsidRPr="00117BF8" w:rsidRDefault="00DE6A7C" w:rsidP="00DE6A7C">
      <w:pPr>
        <w:rPr>
          <w:rFonts w:ascii="Arial" w:hAnsi="Arial" w:cs="Arial"/>
          <w:sz w:val="22"/>
          <w:szCs w:val="22"/>
        </w:rPr>
      </w:pPr>
      <w:r w:rsidRPr="00117BF8">
        <w:rPr>
          <w:rFonts w:ascii="Arial" w:hAnsi="Arial" w:cs="Arial"/>
          <w:sz w:val="22"/>
          <w:szCs w:val="22"/>
        </w:rPr>
        <w:t>Saludos,</w:t>
      </w:r>
    </w:p>
    <w:p w14:paraId="01A08CAE" w14:textId="77777777" w:rsidR="00DE6A7C" w:rsidRPr="00117BF8" w:rsidRDefault="00DE6A7C" w:rsidP="00DE6A7C">
      <w:pPr>
        <w:rPr>
          <w:rFonts w:ascii="Arial" w:hAnsi="Arial" w:cs="Arial"/>
          <w:sz w:val="22"/>
          <w:szCs w:val="22"/>
        </w:rPr>
      </w:pPr>
      <w:r w:rsidRPr="00117BF8">
        <w:rPr>
          <w:rFonts w:ascii="Arial" w:hAnsi="Arial" w:cs="Arial"/>
          <w:sz w:val="22"/>
          <w:szCs w:val="22"/>
        </w:rPr>
        <w:t>Julián</w:t>
      </w:r>
    </w:p>
    <w:p w14:paraId="0741B1E7" w14:textId="3438683A" w:rsidR="00DE6A7C" w:rsidRPr="00117BF8" w:rsidRDefault="00720160" w:rsidP="00117BF8">
      <w:pPr>
        <w:pStyle w:val="Heading1"/>
        <w:rPr>
          <w:rFonts w:ascii="Arial" w:eastAsia="Calibri" w:hAnsi="Arial" w:cs="Arial"/>
          <w:sz w:val="22"/>
          <w:szCs w:val="22"/>
        </w:rPr>
      </w:pPr>
      <w:r w:rsidRPr="00117BF8">
        <w:rPr>
          <w:rFonts w:ascii="Arial" w:eastAsia="Calibri" w:hAnsi="Arial" w:cs="Arial"/>
          <w:sz w:val="22"/>
          <w:szCs w:val="22"/>
        </w:rPr>
        <w:t>ANEXO VII – PROYECCIONES ALTERNATIVAS</w:t>
      </w:r>
    </w:p>
    <w:p w14:paraId="7E52915B" w14:textId="67EF2C3B" w:rsidR="00647E88" w:rsidRPr="00117BF8" w:rsidRDefault="00647E88" w:rsidP="00117BF8">
      <w:pPr>
        <w:pStyle w:val="Heading1"/>
        <w:numPr>
          <w:ilvl w:val="0"/>
          <w:numId w:val="0"/>
        </w:numPr>
        <w:rPr>
          <w:rFonts w:ascii="Arial" w:eastAsia="Calibri" w:hAnsi="Arial" w:cs="Arial"/>
        </w:rPr>
      </w:pPr>
    </w:p>
    <w:p w14:paraId="20ECF627" w14:textId="77777777" w:rsidR="006E3D99" w:rsidRPr="00117BF8" w:rsidRDefault="006E3D99" w:rsidP="00647E88">
      <w:pPr>
        <w:pStyle w:val="hsa"/>
        <w:rPr>
          <w:rFonts w:ascii="Arial" w:eastAsia="Calibri" w:hAnsi="Arial" w:cs="Arial"/>
        </w:rPr>
        <w:sectPr w:rsidR="006E3D99" w:rsidRPr="00117BF8" w:rsidSect="00FE6AAF">
          <w:headerReference w:type="default" r:id="rId90"/>
          <w:footerReference w:type="default" r:id="rId91"/>
          <w:pgSz w:w="11907" w:h="16839" w:code="9"/>
          <w:pgMar w:top="993" w:right="900" w:bottom="720" w:left="1134" w:header="708" w:footer="425" w:gutter="0"/>
          <w:cols w:space="720"/>
          <w:docGrid w:linePitch="326"/>
        </w:sectPr>
      </w:pPr>
    </w:p>
    <w:p w14:paraId="3DABEEF7" w14:textId="77777777" w:rsidR="00647E88" w:rsidRPr="00117BF8" w:rsidRDefault="00647E88" w:rsidP="00647E88">
      <w:pPr>
        <w:pStyle w:val="hsa"/>
        <w:rPr>
          <w:rFonts w:ascii="Arial" w:eastAsia="Calibri" w:hAnsi="Arial" w:cs="Arial"/>
        </w:rPr>
      </w:pPr>
    </w:p>
    <w:tbl>
      <w:tblPr>
        <w:tblW w:w="15968" w:type="dxa"/>
        <w:tblInd w:w="-200" w:type="dxa"/>
        <w:tblCellMar>
          <w:left w:w="70" w:type="dxa"/>
          <w:right w:w="70" w:type="dxa"/>
        </w:tblCellMar>
        <w:tblLook w:val="04A0" w:firstRow="1" w:lastRow="0" w:firstColumn="1" w:lastColumn="0" w:noHBand="0" w:noVBand="1"/>
      </w:tblPr>
      <w:tblGrid>
        <w:gridCol w:w="2835"/>
        <w:gridCol w:w="941"/>
        <w:gridCol w:w="941"/>
        <w:gridCol w:w="941"/>
        <w:gridCol w:w="941"/>
        <w:gridCol w:w="941"/>
        <w:gridCol w:w="941"/>
        <w:gridCol w:w="941"/>
        <w:gridCol w:w="1091"/>
        <w:gridCol w:w="1091"/>
        <w:gridCol w:w="1091"/>
        <w:gridCol w:w="1091"/>
        <w:gridCol w:w="1091"/>
        <w:gridCol w:w="1091"/>
      </w:tblGrid>
      <w:tr w:rsidR="001D3315" w:rsidRPr="004E6455" w14:paraId="123AF239" w14:textId="77777777" w:rsidTr="00117BF8">
        <w:trPr>
          <w:trHeight w:val="364"/>
        </w:trPr>
        <w:tc>
          <w:tcPr>
            <w:tcW w:w="15968" w:type="dxa"/>
            <w:gridSpan w:val="14"/>
            <w:tcBorders>
              <w:top w:val="single" w:sz="8" w:space="0" w:color="auto"/>
              <w:left w:val="single" w:sz="8" w:space="0" w:color="auto"/>
              <w:bottom w:val="single" w:sz="8" w:space="0" w:color="000000"/>
              <w:right w:val="single" w:sz="8" w:space="0" w:color="auto"/>
            </w:tcBorders>
            <w:shd w:val="clear" w:color="auto" w:fill="0070C0"/>
            <w:noWrap/>
          </w:tcPr>
          <w:p w14:paraId="07FB476F" w14:textId="77777777" w:rsidR="001D3315" w:rsidRPr="00117BF8" w:rsidRDefault="001D3315" w:rsidP="001D3315">
            <w:pPr>
              <w:pStyle w:val="TablaT"/>
              <w:rPr>
                <w:rFonts w:ascii="Arial" w:hAnsi="Arial" w:cs="Arial"/>
                <w:sz w:val="22"/>
                <w:szCs w:val="22"/>
                <w:lang w:val="es-ES_tradnl"/>
              </w:rPr>
            </w:pPr>
            <w:bookmarkStart w:id="168" w:name="_Toc493861170"/>
            <w:r w:rsidRPr="00117BF8">
              <w:rPr>
                <w:rFonts w:ascii="Arial" w:hAnsi="Arial" w:cs="Arial"/>
                <w:sz w:val="22"/>
                <w:szCs w:val="22"/>
                <w:lang w:val="es-ES_tradnl"/>
              </w:rPr>
              <w:t>Tabla A VII - 1 - Provincia de Buenos Aires - Administración Pública no Financiera - Proyección Alternativa 2017-2028 (2016 valores Ejecutados)</w:t>
            </w:r>
            <w:bookmarkEnd w:id="168"/>
          </w:p>
          <w:p w14:paraId="4DF02EA9" w14:textId="77777777" w:rsidR="001D3315" w:rsidRPr="00117BF8" w:rsidRDefault="001D3315" w:rsidP="001D3315">
            <w:pPr>
              <w:pStyle w:val="TablaC"/>
              <w:rPr>
                <w:rFonts w:ascii="Arial" w:hAnsi="Arial" w:cs="Arial"/>
                <w:color w:val="FFFFFF"/>
              </w:rPr>
            </w:pPr>
            <w:r w:rsidRPr="00117BF8">
              <w:rPr>
                <w:rFonts w:ascii="Arial" w:hAnsi="Arial" w:cs="Arial"/>
                <w:color w:val="FFFFFF"/>
              </w:rPr>
              <w:t>En millones de pesos</w:t>
            </w:r>
          </w:p>
        </w:tc>
      </w:tr>
      <w:tr w:rsidR="001D3315" w:rsidRPr="004E6455" w14:paraId="6CB2660B" w14:textId="77777777" w:rsidTr="00117BF8">
        <w:trPr>
          <w:trHeight w:val="364"/>
        </w:trPr>
        <w:tc>
          <w:tcPr>
            <w:tcW w:w="2835"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A6B2C9A" w14:textId="77777777" w:rsidR="001D3315" w:rsidRPr="00117BF8" w:rsidRDefault="001D3315" w:rsidP="001D3315">
            <w:pPr>
              <w:pStyle w:val="TablaE"/>
              <w:rPr>
                <w:rFonts w:ascii="Arial" w:hAnsi="Arial" w:cs="Arial"/>
                <w:sz w:val="20"/>
              </w:rPr>
            </w:pPr>
            <w:r w:rsidRPr="00117BF8">
              <w:rPr>
                <w:rFonts w:ascii="Arial" w:hAnsi="Arial" w:cs="Arial"/>
                <w:sz w:val="20"/>
              </w:rPr>
              <w:t>CONCEPTO</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C9AFD1D" w14:textId="77777777" w:rsidR="001D3315" w:rsidRPr="00117BF8" w:rsidRDefault="001D3315" w:rsidP="001D3315">
            <w:pPr>
              <w:pStyle w:val="TablaE"/>
              <w:rPr>
                <w:rFonts w:ascii="Arial" w:hAnsi="Arial" w:cs="Arial"/>
                <w:sz w:val="20"/>
              </w:rPr>
            </w:pPr>
            <w:r w:rsidRPr="00117BF8">
              <w:rPr>
                <w:rFonts w:ascii="Arial" w:hAnsi="Arial" w:cs="Arial"/>
                <w:sz w:val="20"/>
              </w:rPr>
              <w:t>2016</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0ED3466" w14:textId="77777777" w:rsidR="001D3315" w:rsidRPr="00117BF8" w:rsidRDefault="001D3315" w:rsidP="001D3315">
            <w:pPr>
              <w:pStyle w:val="TablaE"/>
              <w:rPr>
                <w:rFonts w:ascii="Arial" w:hAnsi="Arial" w:cs="Arial"/>
                <w:sz w:val="20"/>
              </w:rPr>
            </w:pPr>
            <w:r w:rsidRPr="00117BF8">
              <w:rPr>
                <w:rFonts w:ascii="Arial" w:hAnsi="Arial" w:cs="Arial"/>
                <w:sz w:val="20"/>
              </w:rPr>
              <w:t>2017</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700186E" w14:textId="77777777" w:rsidR="001D3315" w:rsidRPr="00117BF8" w:rsidRDefault="001D3315" w:rsidP="001D3315">
            <w:pPr>
              <w:pStyle w:val="TablaE"/>
              <w:rPr>
                <w:rFonts w:ascii="Arial" w:hAnsi="Arial" w:cs="Arial"/>
                <w:sz w:val="20"/>
              </w:rPr>
            </w:pPr>
            <w:r w:rsidRPr="00117BF8">
              <w:rPr>
                <w:rFonts w:ascii="Arial" w:hAnsi="Arial" w:cs="Arial"/>
                <w:sz w:val="20"/>
              </w:rPr>
              <w:t>2018</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9B5F29A" w14:textId="77777777" w:rsidR="001D3315" w:rsidRPr="00117BF8" w:rsidRDefault="001D3315" w:rsidP="001D3315">
            <w:pPr>
              <w:pStyle w:val="TablaE"/>
              <w:rPr>
                <w:rFonts w:ascii="Arial" w:hAnsi="Arial" w:cs="Arial"/>
                <w:sz w:val="20"/>
              </w:rPr>
            </w:pPr>
            <w:r w:rsidRPr="00117BF8">
              <w:rPr>
                <w:rFonts w:ascii="Arial" w:hAnsi="Arial" w:cs="Arial"/>
                <w:sz w:val="20"/>
              </w:rPr>
              <w:t>2019</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428D217" w14:textId="77777777" w:rsidR="001D3315" w:rsidRPr="00117BF8" w:rsidRDefault="001D3315" w:rsidP="001D3315">
            <w:pPr>
              <w:pStyle w:val="TablaE"/>
              <w:rPr>
                <w:rFonts w:ascii="Arial" w:hAnsi="Arial" w:cs="Arial"/>
                <w:sz w:val="20"/>
              </w:rPr>
            </w:pPr>
            <w:r w:rsidRPr="00117BF8">
              <w:rPr>
                <w:rFonts w:ascii="Arial" w:hAnsi="Arial" w:cs="Arial"/>
                <w:sz w:val="20"/>
              </w:rPr>
              <w:t>2020</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D109585" w14:textId="77777777" w:rsidR="001D3315" w:rsidRPr="00117BF8" w:rsidRDefault="001D3315" w:rsidP="001D3315">
            <w:pPr>
              <w:pStyle w:val="TablaE"/>
              <w:rPr>
                <w:rFonts w:ascii="Arial" w:hAnsi="Arial" w:cs="Arial"/>
                <w:sz w:val="20"/>
              </w:rPr>
            </w:pPr>
            <w:r w:rsidRPr="00117BF8">
              <w:rPr>
                <w:rFonts w:ascii="Arial" w:hAnsi="Arial" w:cs="Arial"/>
                <w:sz w:val="20"/>
              </w:rPr>
              <w:t>2021</w:t>
            </w:r>
          </w:p>
        </w:tc>
        <w:tc>
          <w:tcPr>
            <w:tcW w:w="94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044EF00" w14:textId="77777777" w:rsidR="001D3315" w:rsidRPr="00117BF8" w:rsidRDefault="001D3315" w:rsidP="001D3315">
            <w:pPr>
              <w:pStyle w:val="TablaE"/>
              <w:rPr>
                <w:rFonts w:ascii="Arial" w:hAnsi="Arial" w:cs="Arial"/>
                <w:sz w:val="20"/>
              </w:rPr>
            </w:pPr>
            <w:r w:rsidRPr="00117BF8">
              <w:rPr>
                <w:rFonts w:ascii="Arial" w:hAnsi="Arial" w:cs="Arial"/>
                <w:sz w:val="20"/>
              </w:rPr>
              <w:t>2022</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F91AB30" w14:textId="77777777" w:rsidR="001D3315" w:rsidRPr="00117BF8" w:rsidRDefault="001D3315" w:rsidP="001D3315">
            <w:pPr>
              <w:pStyle w:val="TablaE"/>
              <w:rPr>
                <w:rFonts w:ascii="Arial" w:hAnsi="Arial" w:cs="Arial"/>
                <w:sz w:val="20"/>
              </w:rPr>
            </w:pPr>
            <w:r w:rsidRPr="00117BF8">
              <w:rPr>
                <w:rFonts w:ascii="Arial" w:hAnsi="Arial" w:cs="Arial"/>
                <w:sz w:val="20"/>
              </w:rPr>
              <w:t>2023</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261489F" w14:textId="77777777" w:rsidR="001D3315" w:rsidRPr="00117BF8" w:rsidRDefault="001D3315" w:rsidP="001D3315">
            <w:pPr>
              <w:pStyle w:val="TablaE"/>
              <w:rPr>
                <w:rFonts w:ascii="Arial" w:hAnsi="Arial" w:cs="Arial"/>
                <w:sz w:val="20"/>
              </w:rPr>
            </w:pPr>
            <w:r w:rsidRPr="00117BF8">
              <w:rPr>
                <w:rFonts w:ascii="Arial" w:hAnsi="Arial" w:cs="Arial"/>
                <w:sz w:val="20"/>
              </w:rPr>
              <w:t>2024</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92BE317" w14:textId="77777777" w:rsidR="001D3315" w:rsidRPr="00117BF8" w:rsidRDefault="001D3315" w:rsidP="001D3315">
            <w:pPr>
              <w:pStyle w:val="TablaE"/>
              <w:rPr>
                <w:rFonts w:ascii="Arial" w:hAnsi="Arial" w:cs="Arial"/>
                <w:sz w:val="20"/>
              </w:rPr>
            </w:pPr>
            <w:r w:rsidRPr="00117BF8">
              <w:rPr>
                <w:rFonts w:ascii="Arial" w:hAnsi="Arial" w:cs="Arial"/>
                <w:sz w:val="20"/>
              </w:rPr>
              <w:t>2025</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3B3AF6A" w14:textId="77777777" w:rsidR="001D3315" w:rsidRPr="00117BF8" w:rsidRDefault="001D3315" w:rsidP="001D3315">
            <w:pPr>
              <w:pStyle w:val="TablaE"/>
              <w:rPr>
                <w:rFonts w:ascii="Arial" w:hAnsi="Arial" w:cs="Arial"/>
                <w:sz w:val="20"/>
              </w:rPr>
            </w:pPr>
            <w:r w:rsidRPr="00117BF8">
              <w:rPr>
                <w:rFonts w:ascii="Arial" w:hAnsi="Arial" w:cs="Arial"/>
                <w:sz w:val="20"/>
              </w:rPr>
              <w:t>2026</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F5D48FA" w14:textId="77777777" w:rsidR="001D3315" w:rsidRPr="00117BF8" w:rsidRDefault="001D3315" w:rsidP="001D3315">
            <w:pPr>
              <w:pStyle w:val="TablaE"/>
              <w:rPr>
                <w:rFonts w:ascii="Arial" w:hAnsi="Arial" w:cs="Arial"/>
                <w:sz w:val="20"/>
              </w:rPr>
            </w:pPr>
            <w:r w:rsidRPr="00117BF8">
              <w:rPr>
                <w:rFonts w:ascii="Arial" w:hAnsi="Arial" w:cs="Arial"/>
                <w:sz w:val="20"/>
              </w:rPr>
              <w:t>2027</w:t>
            </w:r>
          </w:p>
        </w:tc>
        <w:tc>
          <w:tcPr>
            <w:tcW w:w="109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8C58600" w14:textId="77777777" w:rsidR="001D3315" w:rsidRPr="00117BF8" w:rsidRDefault="001D3315" w:rsidP="001D3315">
            <w:pPr>
              <w:pStyle w:val="TablaE"/>
              <w:rPr>
                <w:rFonts w:ascii="Arial" w:hAnsi="Arial" w:cs="Arial"/>
                <w:sz w:val="20"/>
              </w:rPr>
            </w:pPr>
            <w:r w:rsidRPr="00117BF8">
              <w:rPr>
                <w:rFonts w:ascii="Arial" w:hAnsi="Arial" w:cs="Arial"/>
                <w:sz w:val="20"/>
              </w:rPr>
              <w:t>2028</w:t>
            </w:r>
          </w:p>
        </w:tc>
      </w:tr>
      <w:tr w:rsidR="001D3315" w:rsidRPr="004E6455" w14:paraId="02AAAD64" w14:textId="77777777" w:rsidTr="00117BF8">
        <w:trPr>
          <w:trHeight w:val="255"/>
        </w:trPr>
        <w:tc>
          <w:tcPr>
            <w:tcW w:w="2835" w:type="dxa"/>
            <w:vMerge/>
            <w:tcBorders>
              <w:top w:val="single" w:sz="8" w:space="0" w:color="auto"/>
              <w:left w:val="single" w:sz="8" w:space="0" w:color="auto"/>
              <w:bottom w:val="single" w:sz="8" w:space="0" w:color="000000"/>
              <w:right w:val="single" w:sz="8" w:space="0" w:color="auto"/>
            </w:tcBorders>
            <w:shd w:val="clear" w:color="auto" w:fill="0070C0"/>
            <w:hideMark/>
          </w:tcPr>
          <w:p w14:paraId="1301AF1B" w14:textId="77777777" w:rsidR="001D3315" w:rsidRPr="004E6455" w:rsidRDefault="001D3315" w:rsidP="001D3315">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42A76312" w14:textId="77777777" w:rsidR="001D3315" w:rsidRPr="004E6455" w:rsidRDefault="001D3315" w:rsidP="001D3315">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2A906F39" w14:textId="77777777" w:rsidR="001D3315" w:rsidRPr="004E6455" w:rsidRDefault="001D3315" w:rsidP="001D3315">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0207B4B4" w14:textId="77777777" w:rsidR="001D3315" w:rsidRPr="004E6455" w:rsidRDefault="001D3315" w:rsidP="001D3315">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7CAC0C71" w14:textId="77777777" w:rsidR="001D3315" w:rsidRPr="004E6455" w:rsidRDefault="001D3315" w:rsidP="001D3315">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6F664DF3" w14:textId="77777777" w:rsidR="001D3315" w:rsidRPr="004E6455" w:rsidRDefault="001D3315" w:rsidP="001D3315">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42C960A2" w14:textId="77777777" w:rsidR="001D3315" w:rsidRPr="004E6455" w:rsidRDefault="001D3315" w:rsidP="001D3315">
            <w:pPr>
              <w:spacing w:after="0"/>
              <w:jc w:val="left"/>
              <w:rPr>
                <w:rFonts w:ascii="Arial" w:hAnsi="Arial" w:cs="Arial"/>
                <w:b/>
                <w:bCs/>
                <w:i/>
                <w:iCs/>
                <w:sz w:val="22"/>
                <w:szCs w:val="22"/>
                <w:lang w:val="es-AR" w:eastAsia="es-AR"/>
              </w:rPr>
            </w:pPr>
          </w:p>
        </w:tc>
        <w:tc>
          <w:tcPr>
            <w:tcW w:w="941" w:type="dxa"/>
            <w:vMerge/>
            <w:tcBorders>
              <w:top w:val="single" w:sz="8" w:space="0" w:color="auto"/>
              <w:left w:val="single" w:sz="8" w:space="0" w:color="auto"/>
              <w:bottom w:val="single" w:sz="8" w:space="0" w:color="000000"/>
              <w:right w:val="single" w:sz="8" w:space="0" w:color="auto"/>
            </w:tcBorders>
            <w:shd w:val="clear" w:color="auto" w:fill="0070C0"/>
            <w:hideMark/>
          </w:tcPr>
          <w:p w14:paraId="428CFC58" w14:textId="77777777" w:rsidR="001D3315" w:rsidRPr="004E6455" w:rsidRDefault="001D3315" w:rsidP="001D3315">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35B99F79" w14:textId="77777777" w:rsidR="001D3315" w:rsidRPr="004E6455" w:rsidRDefault="001D3315" w:rsidP="001D3315">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2D27C731" w14:textId="77777777" w:rsidR="001D3315" w:rsidRPr="004E6455" w:rsidRDefault="001D3315" w:rsidP="001D3315">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6A115B4B" w14:textId="77777777" w:rsidR="001D3315" w:rsidRPr="004E6455" w:rsidRDefault="001D3315" w:rsidP="001D3315">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36E84ACD" w14:textId="77777777" w:rsidR="001D3315" w:rsidRPr="004E6455" w:rsidRDefault="001D3315" w:rsidP="001D3315">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088A6C4C" w14:textId="77777777" w:rsidR="001D3315" w:rsidRPr="004E6455" w:rsidRDefault="001D3315" w:rsidP="001D3315">
            <w:pPr>
              <w:spacing w:after="0"/>
              <w:jc w:val="left"/>
              <w:rPr>
                <w:rFonts w:ascii="Arial" w:hAnsi="Arial" w:cs="Arial"/>
                <w:b/>
                <w:bCs/>
                <w:i/>
                <w:iCs/>
                <w:sz w:val="22"/>
                <w:szCs w:val="22"/>
                <w:lang w:val="es-AR" w:eastAsia="es-AR"/>
              </w:rPr>
            </w:pPr>
          </w:p>
        </w:tc>
        <w:tc>
          <w:tcPr>
            <w:tcW w:w="1091" w:type="dxa"/>
            <w:vMerge/>
            <w:tcBorders>
              <w:top w:val="single" w:sz="8" w:space="0" w:color="auto"/>
              <w:left w:val="single" w:sz="8" w:space="0" w:color="auto"/>
              <w:bottom w:val="single" w:sz="8" w:space="0" w:color="000000"/>
              <w:right w:val="single" w:sz="8" w:space="0" w:color="auto"/>
            </w:tcBorders>
            <w:shd w:val="clear" w:color="auto" w:fill="0070C0"/>
            <w:hideMark/>
          </w:tcPr>
          <w:p w14:paraId="41696093" w14:textId="77777777" w:rsidR="001D3315" w:rsidRPr="004E6455" w:rsidRDefault="001D3315" w:rsidP="001D3315">
            <w:pPr>
              <w:spacing w:after="0"/>
              <w:jc w:val="left"/>
              <w:rPr>
                <w:rFonts w:ascii="Arial" w:hAnsi="Arial" w:cs="Arial"/>
                <w:b/>
                <w:bCs/>
                <w:i/>
                <w:iCs/>
                <w:sz w:val="22"/>
                <w:szCs w:val="22"/>
                <w:lang w:val="es-AR" w:eastAsia="es-AR"/>
              </w:rPr>
            </w:pPr>
          </w:p>
        </w:tc>
      </w:tr>
      <w:tr w:rsidR="001D3315" w:rsidRPr="004E6455" w14:paraId="1CA85FB8" w14:textId="77777777" w:rsidTr="00117BF8">
        <w:tc>
          <w:tcPr>
            <w:tcW w:w="2835" w:type="dxa"/>
            <w:tcBorders>
              <w:top w:val="nil"/>
              <w:left w:val="single" w:sz="8" w:space="0" w:color="auto"/>
              <w:bottom w:val="single" w:sz="8" w:space="0" w:color="auto"/>
              <w:right w:val="nil"/>
            </w:tcBorders>
            <w:shd w:val="clear" w:color="000000" w:fill="FFFFFF"/>
            <w:noWrap/>
            <w:hideMark/>
          </w:tcPr>
          <w:p w14:paraId="68CA7B77" w14:textId="77777777" w:rsidR="001D3315" w:rsidRPr="00117BF8" w:rsidRDefault="001D3315" w:rsidP="001D3315">
            <w:pPr>
              <w:pStyle w:val="TablaC"/>
              <w:jc w:val="left"/>
              <w:rPr>
                <w:rFonts w:ascii="Arial" w:hAnsi="Arial" w:cs="Arial"/>
                <w:b/>
                <w:sz w:val="18"/>
                <w:szCs w:val="18"/>
              </w:rPr>
            </w:pPr>
            <w:r w:rsidRPr="00117BF8">
              <w:rPr>
                <w:rFonts w:ascii="Arial" w:hAnsi="Arial" w:cs="Arial"/>
                <w:b/>
                <w:sz w:val="18"/>
                <w:szCs w:val="18"/>
              </w:rPr>
              <w:t>I. INGRESOS CORRIENTES</w:t>
            </w:r>
          </w:p>
        </w:tc>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3AEF6F8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386.061,9</w:t>
            </w:r>
          </w:p>
        </w:tc>
        <w:tc>
          <w:tcPr>
            <w:tcW w:w="941" w:type="dxa"/>
            <w:tcBorders>
              <w:top w:val="nil"/>
              <w:left w:val="nil"/>
              <w:bottom w:val="single" w:sz="8" w:space="0" w:color="auto"/>
              <w:right w:val="single" w:sz="8" w:space="0" w:color="auto"/>
            </w:tcBorders>
            <w:shd w:val="clear" w:color="000000" w:fill="FFFFFF"/>
            <w:noWrap/>
            <w:vAlign w:val="center"/>
            <w:hideMark/>
          </w:tcPr>
          <w:p w14:paraId="0E968316"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503.130,7</w:t>
            </w:r>
          </w:p>
        </w:tc>
        <w:tc>
          <w:tcPr>
            <w:tcW w:w="941" w:type="dxa"/>
            <w:tcBorders>
              <w:top w:val="nil"/>
              <w:left w:val="nil"/>
              <w:bottom w:val="single" w:sz="8" w:space="0" w:color="auto"/>
              <w:right w:val="single" w:sz="8" w:space="0" w:color="auto"/>
            </w:tcBorders>
            <w:shd w:val="clear" w:color="000000" w:fill="FFFFFF"/>
            <w:noWrap/>
            <w:vAlign w:val="center"/>
            <w:hideMark/>
          </w:tcPr>
          <w:p w14:paraId="3F2F8BD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608.139,8</w:t>
            </w:r>
          </w:p>
        </w:tc>
        <w:tc>
          <w:tcPr>
            <w:tcW w:w="941" w:type="dxa"/>
            <w:tcBorders>
              <w:top w:val="nil"/>
              <w:left w:val="nil"/>
              <w:bottom w:val="single" w:sz="8" w:space="0" w:color="auto"/>
              <w:right w:val="single" w:sz="8" w:space="0" w:color="auto"/>
            </w:tcBorders>
            <w:shd w:val="clear" w:color="000000" w:fill="FFFFFF"/>
            <w:noWrap/>
            <w:vAlign w:val="center"/>
            <w:hideMark/>
          </w:tcPr>
          <w:p w14:paraId="1E141DA2"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704.896,3</w:t>
            </w:r>
          </w:p>
        </w:tc>
        <w:tc>
          <w:tcPr>
            <w:tcW w:w="941" w:type="dxa"/>
            <w:tcBorders>
              <w:top w:val="nil"/>
              <w:left w:val="nil"/>
              <w:bottom w:val="single" w:sz="8" w:space="0" w:color="auto"/>
              <w:right w:val="single" w:sz="8" w:space="0" w:color="auto"/>
            </w:tcBorders>
            <w:shd w:val="clear" w:color="000000" w:fill="FFFFFF"/>
            <w:noWrap/>
            <w:vAlign w:val="center"/>
            <w:hideMark/>
          </w:tcPr>
          <w:p w14:paraId="04C18C9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791.289,0</w:t>
            </w:r>
          </w:p>
        </w:tc>
        <w:tc>
          <w:tcPr>
            <w:tcW w:w="941" w:type="dxa"/>
            <w:tcBorders>
              <w:top w:val="nil"/>
              <w:left w:val="nil"/>
              <w:bottom w:val="single" w:sz="8" w:space="0" w:color="auto"/>
              <w:right w:val="single" w:sz="8" w:space="0" w:color="auto"/>
            </w:tcBorders>
            <w:shd w:val="clear" w:color="000000" w:fill="FFFFFF"/>
            <w:noWrap/>
            <w:vAlign w:val="center"/>
            <w:hideMark/>
          </w:tcPr>
          <w:p w14:paraId="103C6F2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859.022,2</w:t>
            </w:r>
          </w:p>
        </w:tc>
        <w:tc>
          <w:tcPr>
            <w:tcW w:w="941" w:type="dxa"/>
            <w:tcBorders>
              <w:top w:val="nil"/>
              <w:left w:val="nil"/>
              <w:bottom w:val="single" w:sz="8" w:space="0" w:color="auto"/>
              <w:right w:val="single" w:sz="8" w:space="0" w:color="auto"/>
            </w:tcBorders>
            <w:shd w:val="clear" w:color="000000" w:fill="FFFFFF"/>
            <w:noWrap/>
            <w:vAlign w:val="center"/>
            <w:hideMark/>
          </w:tcPr>
          <w:p w14:paraId="7980F84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918.287,7</w:t>
            </w:r>
          </w:p>
        </w:tc>
        <w:tc>
          <w:tcPr>
            <w:tcW w:w="1091" w:type="dxa"/>
            <w:tcBorders>
              <w:top w:val="nil"/>
              <w:left w:val="nil"/>
              <w:bottom w:val="single" w:sz="8" w:space="0" w:color="auto"/>
              <w:right w:val="single" w:sz="8" w:space="0" w:color="auto"/>
            </w:tcBorders>
            <w:shd w:val="clear" w:color="000000" w:fill="FFFFFF"/>
            <w:noWrap/>
            <w:vAlign w:val="center"/>
            <w:hideMark/>
          </w:tcPr>
          <w:p w14:paraId="63C14562"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981.836,1</w:t>
            </w:r>
          </w:p>
        </w:tc>
        <w:tc>
          <w:tcPr>
            <w:tcW w:w="1091" w:type="dxa"/>
            <w:tcBorders>
              <w:top w:val="nil"/>
              <w:left w:val="nil"/>
              <w:bottom w:val="single" w:sz="8" w:space="0" w:color="auto"/>
              <w:right w:val="single" w:sz="8" w:space="0" w:color="auto"/>
            </w:tcBorders>
            <w:shd w:val="clear" w:color="000000" w:fill="FFFFFF"/>
            <w:noWrap/>
            <w:vAlign w:val="center"/>
            <w:hideMark/>
          </w:tcPr>
          <w:p w14:paraId="088FA409"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1.049.982,1</w:t>
            </w:r>
          </w:p>
        </w:tc>
        <w:tc>
          <w:tcPr>
            <w:tcW w:w="1091" w:type="dxa"/>
            <w:tcBorders>
              <w:top w:val="nil"/>
              <w:left w:val="nil"/>
              <w:bottom w:val="single" w:sz="8" w:space="0" w:color="auto"/>
              <w:right w:val="single" w:sz="8" w:space="0" w:color="auto"/>
            </w:tcBorders>
            <w:shd w:val="clear" w:color="000000" w:fill="FFFFFF"/>
            <w:noWrap/>
            <w:vAlign w:val="center"/>
            <w:hideMark/>
          </w:tcPr>
          <w:p w14:paraId="0994A22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1.123.063,7</w:t>
            </w:r>
          </w:p>
        </w:tc>
        <w:tc>
          <w:tcPr>
            <w:tcW w:w="1091" w:type="dxa"/>
            <w:tcBorders>
              <w:top w:val="nil"/>
              <w:left w:val="nil"/>
              <w:bottom w:val="single" w:sz="8" w:space="0" w:color="auto"/>
              <w:right w:val="single" w:sz="8" w:space="0" w:color="auto"/>
            </w:tcBorders>
            <w:shd w:val="clear" w:color="000000" w:fill="FFFFFF"/>
            <w:noWrap/>
            <w:vAlign w:val="center"/>
            <w:hideMark/>
          </w:tcPr>
          <w:p w14:paraId="261E2E9A"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1.201.443,9</w:t>
            </w:r>
          </w:p>
        </w:tc>
        <w:tc>
          <w:tcPr>
            <w:tcW w:w="1091" w:type="dxa"/>
            <w:tcBorders>
              <w:top w:val="nil"/>
              <w:left w:val="nil"/>
              <w:bottom w:val="single" w:sz="8" w:space="0" w:color="auto"/>
              <w:right w:val="single" w:sz="8" w:space="0" w:color="auto"/>
            </w:tcBorders>
            <w:shd w:val="clear" w:color="000000" w:fill="FFFFFF"/>
            <w:noWrap/>
            <w:vAlign w:val="center"/>
            <w:hideMark/>
          </w:tcPr>
          <w:p w14:paraId="6EEEA1C2"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1.285.512,8</w:t>
            </w:r>
          </w:p>
        </w:tc>
        <w:tc>
          <w:tcPr>
            <w:tcW w:w="1091" w:type="dxa"/>
            <w:tcBorders>
              <w:top w:val="nil"/>
              <w:left w:val="nil"/>
              <w:bottom w:val="single" w:sz="8" w:space="0" w:color="auto"/>
              <w:right w:val="single" w:sz="8" w:space="0" w:color="auto"/>
            </w:tcBorders>
            <w:shd w:val="clear" w:color="000000" w:fill="FFFFFF"/>
            <w:noWrap/>
            <w:vAlign w:val="center"/>
            <w:hideMark/>
          </w:tcPr>
          <w:p w14:paraId="53C08B2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1.375.689,4</w:t>
            </w:r>
          </w:p>
        </w:tc>
      </w:tr>
      <w:tr w:rsidR="001D3315" w:rsidRPr="004E6455" w14:paraId="10DA40D1" w14:textId="77777777" w:rsidTr="00117BF8">
        <w:tc>
          <w:tcPr>
            <w:tcW w:w="2835" w:type="dxa"/>
            <w:tcBorders>
              <w:top w:val="nil"/>
              <w:left w:val="single" w:sz="8" w:space="0" w:color="auto"/>
              <w:bottom w:val="nil"/>
              <w:right w:val="nil"/>
            </w:tcBorders>
            <w:shd w:val="clear" w:color="000000" w:fill="FFFFFF"/>
            <w:noWrap/>
            <w:hideMark/>
          </w:tcPr>
          <w:p w14:paraId="026CE0ED" w14:textId="77777777" w:rsidR="001D3315" w:rsidRPr="00117BF8" w:rsidRDefault="001D3315" w:rsidP="001D3315">
            <w:pPr>
              <w:pStyle w:val="TablaC"/>
              <w:jc w:val="left"/>
              <w:rPr>
                <w:rFonts w:ascii="Arial" w:hAnsi="Arial" w:cs="Arial"/>
                <w:sz w:val="18"/>
                <w:szCs w:val="18"/>
              </w:rPr>
            </w:pPr>
            <w:r w:rsidRPr="00117BF8">
              <w:rPr>
                <w:rFonts w:ascii="Arial" w:hAnsi="Arial" w:cs="Arial"/>
                <w:sz w:val="18"/>
                <w:szCs w:val="18"/>
              </w:rPr>
              <w:t xml:space="preserve">  Tributarios</w:t>
            </w:r>
          </w:p>
        </w:tc>
        <w:tc>
          <w:tcPr>
            <w:tcW w:w="941" w:type="dxa"/>
            <w:tcBorders>
              <w:top w:val="nil"/>
              <w:left w:val="single" w:sz="8" w:space="0" w:color="auto"/>
              <w:bottom w:val="nil"/>
              <w:right w:val="single" w:sz="8" w:space="0" w:color="auto"/>
            </w:tcBorders>
            <w:shd w:val="clear" w:color="000000" w:fill="FFFFFF"/>
            <w:noWrap/>
            <w:vAlign w:val="center"/>
            <w:hideMark/>
          </w:tcPr>
          <w:p w14:paraId="25FD97BA"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267.040,7</w:t>
            </w:r>
          </w:p>
        </w:tc>
        <w:tc>
          <w:tcPr>
            <w:tcW w:w="941" w:type="dxa"/>
            <w:tcBorders>
              <w:top w:val="nil"/>
              <w:left w:val="nil"/>
              <w:bottom w:val="nil"/>
              <w:right w:val="single" w:sz="8" w:space="0" w:color="auto"/>
            </w:tcBorders>
            <w:shd w:val="clear" w:color="000000" w:fill="FFFFFF"/>
            <w:noWrap/>
            <w:vAlign w:val="center"/>
            <w:hideMark/>
          </w:tcPr>
          <w:p w14:paraId="0CB273D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352.663,8</w:t>
            </w:r>
          </w:p>
        </w:tc>
        <w:tc>
          <w:tcPr>
            <w:tcW w:w="941" w:type="dxa"/>
            <w:tcBorders>
              <w:top w:val="nil"/>
              <w:left w:val="nil"/>
              <w:bottom w:val="nil"/>
              <w:right w:val="single" w:sz="8" w:space="0" w:color="auto"/>
            </w:tcBorders>
            <w:shd w:val="clear" w:color="000000" w:fill="FFFFFF"/>
            <w:noWrap/>
            <w:vAlign w:val="center"/>
            <w:hideMark/>
          </w:tcPr>
          <w:p w14:paraId="3512011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435.677,5</w:t>
            </w:r>
          </w:p>
        </w:tc>
        <w:tc>
          <w:tcPr>
            <w:tcW w:w="941" w:type="dxa"/>
            <w:tcBorders>
              <w:top w:val="nil"/>
              <w:left w:val="nil"/>
              <w:bottom w:val="nil"/>
              <w:right w:val="single" w:sz="8" w:space="0" w:color="auto"/>
            </w:tcBorders>
            <w:shd w:val="clear" w:color="000000" w:fill="FFFFFF"/>
            <w:noWrap/>
            <w:vAlign w:val="center"/>
            <w:hideMark/>
          </w:tcPr>
          <w:p w14:paraId="0EC0222D"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513.768,2</w:t>
            </w:r>
          </w:p>
        </w:tc>
        <w:tc>
          <w:tcPr>
            <w:tcW w:w="941" w:type="dxa"/>
            <w:tcBorders>
              <w:top w:val="nil"/>
              <w:left w:val="nil"/>
              <w:bottom w:val="nil"/>
              <w:right w:val="single" w:sz="8" w:space="0" w:color="auto"/>
            </w:tcBorders>
            <w:shd w:val="clear" w:color="000000" w:fill="FFFFFF"/>
            <w:noWrap/>
            <w:vAlign w:val="center"/>
            <w:hideMark/>
          </w:tcPr>
          <w:p w14:paraId="7BEBDDE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584.231,9</w:t>
            </w:r>
          </w:p>
        </w:tc>
        <w:tc>
          <w:tcPr>
            <w:tcW w:w="941" w:type="dxa"/>
            <w:tcBorders>
              <w:top w:val="nil"/>
              <w:left w:val="nil"/>
              <w:bottom w:val="nil"/>
              <w:right w:val="single" w:sz="8" w:space="0" w:color="auto"/>
            </w:tcBorders>
            <w:shd w:val="clear" w:color="000000" w:fill="FFFFFF"/>
            <w:noWrap/>
            <w:vAlign w:val="center"/>
            <w:hideMark/>
          </w:tcPr>
          <w:p w14:paraId="22ABF029"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639.574,3</w:t>
            </w:r>
          </w:p>
        </w:tc>
        <w:tc>
          <w:tcPr>
            <w:tcW w:w="941" w:type="dxa"/>
            <w:tcBorders>
              <w:top w:val="nil"/>
              <w:left w:val="nil"/>
              <w:bottom w:val="nil"/>
              <w:right w:val="single" w:sz="8" w:space="0" w:color="auto"/>
            </w:tcBorders>
            <w:shd w:val="clear" w:color="000000" w:fill="FFFFFF"/>
            <w:noWrap/>
            <w:vAlign w:val="center"/>
            <w:hideMark/>
          </w:tcPr>
          <w:p w14:paraId="39290C4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688.132,5</w:t>
            </w:r>
          </w:p>
        </w:tc>
        <w:tc>
          <w:tcPr>
            <w:tcW w:w="1091" w:type="dxa"/>
            <w:tcBorders>
              <w:top w:val="nil"/>
              <w:left w:val="nil"/>
              <w:bottom w:val="nil"/>
              <w:right w:val="single" w:sz="8" w:space="0" w:color="auto"/>
            </w:tcBorders>
            <w:shd w:val="clear" w:color="000000" w:fill="FFFFFF"/>
            <w:noWrap/>
            <w:vAlign w:val="center"/>
            <w:hideMark/>
          </w:tcPr>
          <w:p w14:paraId="76C86F7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740.381,8</w:t>
            </w:r>
          </w:p>
        </w:tc>
        <w:tc>
          <w:tcPr>
            <w:tcW w:w="1091" w:type="dxa"/>
            <w:tcBorders>
              <w:top w:val="nil"/>
              <w:left w:val="nil"/>
              <w:bottom w:val="nil"/>
              <w:right w:val="single" w:sz="8" w:space="0" w:color="auto"/>
            </w:tcBorders>
            <w:shd w:val="clear" w:color="000000" w:fill="FFFFFF"/>
            <w:noWrap/>
            <w:vAlign w:val="center"/>
            <w:hideMark/>
          </w:tcPr>
          <w:p w14:paraId="0268C4C8"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796.602,4</w:t>
            </w:r>
          </w:p>
        </w:tc>
        <w:tc>
          <w:tcPr>
            <w:tcW w:w="1091" w:type="dxa"/>
            <w:tcBorders>
              <w:top w:val="nil"/>
              <w:left w:val="nil"/>
              <w:bottom w:val="nil"/>
              <w:right w:val="single" w:sz="8" w:space="0" w:color="auto"/>
            </w:tcBorders>
            <w:shd w:val="clear" w:color="000000" w:fill="FFFFFF"/>
            <w:noWrap/>
            <w:vAlign w:val="center"/>
            <w:hideMark/>
          </w:tcPr>
          <w:p w14:paraId="0851E81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857.096,1</w:t>
            </w:r>
          </w:p>
        </w:tc>
        <w:tc>
          <w:tcPr>
            <w:tcW w:w="1091" w:type="dxa"/>
            <w:tcBorders>
              <w:top w:val="nil"/>
              <w:left w:val="nil"/>
              <w:bottom w:val="nil"/>
              <w:right w:val="single" w:sz="8" w:space="0" w:color="auto"/>
            </w:tcBorders>
            <w:shd w:val="clear" w:color="000000" w:fill="FFFFFF"/>
            <w:noWrap/>
            <w:vAlign w:val="center"/>
            <w:hideMark/>
          </w:tcPr>
          <w:p w14:paraId="4940FC5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922.187,8</w:t>
            </w:r>
          </w:p>
        </w:tc>
        <w:tc>
          <w:tcPr>
            <w:tcW w:w="1091" w:type="dxa"/>
            <w:tcBorders>
              <w:top w:val="nil"/>
              <w:left w:val="nil"/>
              <w:bottom w:val="nil"/>
              <w:right w:val="single" w:sz="8" w:space="0" w:color="auto"/>
            </w:tcBorders>
            <w:shd w:val="clear" w:color="000000" w:fill="FFFFFF"/>
            <w:noWrap/>
            <w:vAlign w:val="center"/>
            <w:hideMark/>
          </w:tcPr>
          <w:p w14:paraId="5D1C90F9"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992.226,7</w:t>
            </w:r>
          </w:p>
        </w:tc>
        <w:tc>
          <w:tcPr>
            <w:tcW w:w="1091" w:type="dxa"/>
            <w:tcBorders>
              <w:top w:val="nil"/>
              <w:left w:val="nil"/>
              <w:bottom w:val="nil"/>
              <w:right w:val="single" w:sz="8" w:space="0" w:color="auto"/>
            </w:tcBorders>
            <w:shd w:val="clear" w:color="000000" w:fill="FFFFFF"/>
            <w:noWrap/>
            <w:vAlign w:val="center"/>
            <w:hideMark/>
          </w:tcPr>
          <w:p w14:paraId="2BF27E0B"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1.067.588,9</w:t>
            </w:r>
          </w:p>
        </w:tc>
      </w:tr>
      <w:tr w:rsidR="001D3315" w:rsidRPr="004E6455" w14:paraId="1F22C5BB" w14:textId="77777777" w:rsidTr="00117BF8">
        <w:tc>
          <w:tcPr>
            <w:tcW w:w="2835" w:type="dxa"/>
            <w:tcBorders>
              <w:top w:val="nil"/>
              <w:left w:val="single" w:sz="8" w:space="0" w:color="auto"/>
              <w:bottom w:val="nil"/>
              <w:right w:val="nil"/>
            </w:tcBorders>
            <w:shd w:val="clear" w:color="000000" w:fill="FFFFFF"/>
            <w:noWrap/>
            <w:hideMark/>
          </w:tcPr>
          <w:p w14:paraId="1FF55D15" w14:textId="77777777" w:rsidR="001D3315" w:rsidRPr="00117BF8" w:rsidRDefault="001D3315"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Contrib. a la Seguridad Social</w:t>
            </w:r>
          </w:p>
        </w:tc>
        <w:tc>
          <w:tcPr>
            <w:tcW w:w="941" w:type="dxa"/>
            <w:tcBorders>
              <w:top w:val="nil"/>
              <w:left w:val="single" w:sz="8" w:space="0" w:color="auto"/>
              <w:bottom w:val="nil"/>
              <w:right w:val="single" w:sz="8" w:space="0" w:color="auto"/>
            </w:tcBorders>
            <w:shd w:val="clear" w:color="000000" w:fill="FFFFFF"/>
            <w:noWrap/>
            <w:vAlign w:val="center"/>
            <w:hideMark/>
          </w:tcPr>
          <w:p w14:paraId="2300A93A"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66.408,7</w:t>
            </w:r>
          </w:p>
        </w:tc>
        <w:tc>
          <w:tcPr>
            <w:tcW w:w="941" w:type="dxa"/>
            <w:tcBorders>
              <w:top w:val="nil"/>
              <w:left w:val="nil"/>
              <w:bottom w:val="nil"/>
              <w:right w:val="single" w:sz="8" w:space="0" w:color="auto"/>
            </w:tcBorders>
            <w:shd w:val="clear" w:color="000000" w:fill="FFFFFF"/>
            <w:noWrap/>
            <w:vAlign w:val="center"/>
            <w:hideMark/>
          </w:tcPr>
          <w:p w14:paraId="6B68CB3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83.458,5</w:t>
            </w:r>
          </w:p>
        </w:tc>
        <w:tc>
          <w:tcPr>
            <w:tcW w:w="941" w:type="dxa"/>
            <w:tcBorders>
              <w:top w:val="nil"/>
              <w:left w:val="nil"/>
              <w:bottom w:val="nil"/>
              <w:right w:val="single" w:sz="8" w:space="0" w:color="auto"/>
            </w:tcBorders>
            <w:shd w:val="clear" w:color="000000" w:fill="FFFFFF"/>
            <w:noWrap/>
            <w:vAlign w:val="center"/>
            <w:hideMark/>
          </w:tcPr>
          <w:p w14:paraId="2E480EB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100.692,7</w:t>
            </w:r>
          </w:p>
        </w:tc>
        <w:tc>
          <w:tcPr>
            <w:tcW w:w="941" w:type="dxa"/>
            <w:tcBorders>
              <w:top w:val="nil"/>
              <w:left w:val="nil"/>
              <w:bottom w:val="nil"/>
              <w:right w:val="single" w:sz="8" w:space="0" w:color="auto"/>
            </w:tcBorders>
            <w:shd w:val="clear" w:color="000000" w:fill="FFFFFF"/>
            <w:noWrap/>
            <w:vAlign w:val="center"/>
            <w:hideMark/>
          </w:tcPr>
          <w:p w14:paraId="1D68416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115.531,6</w:t>
            </w:r>
          </w:p>
        </w:tc>
        <w:tc>
          <w:tcPr>
            <w:tcW w:w="941" w:type="dxa"/>
            <w:tcBorders>
              <w:top w:val="nil"/>
              <w:left w:val="nil"/>
              <w:bottom w:val="nil"/>
              <w:right w:val="single" w:sz="8" w:space="0" w:color="auto"/>
            </w:tcBorders>
            <w:shd w:val="clear" w:color="000000" w:fill="FFFFFF"/>
            <w:noWrap/>
            <w:vAlign w:val="center"/>
            <w:hideMark/>
          </w:tcPr>
          <w:p w14:paraId="43A16FCC"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128.105,1</w:t>
            </w:r>
          </w:p>
        </w:tc>
        <w:tc>
          <w:tcPr>
            <w:tcW w:w="941" w:type="dxa"/>
            <w:tcBorders>
              <w:top w:val="nil"/>
              <w:left w:val="nil"/>
              <w:bottom w:val="nil"/>
              <w:right w:val="single" w:sz="8" w:space="0" w:color="auto"/>
            </w:tcBorders>
            <w:shd w:val="clear" w:color="000000" w:fill="FFFFFF"/>
            <w:noWrap/>
            <w:vAlign w:val="center"/>
            <w:hideMark/>
          </w:tcPr>
          <w:p w14:paraId="234AB01D"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138.237,8</w:t>
            </w:r>
          </w:p>
        </w:tc>
        <w:tc>
          <w:tcPr>
            <w:tcW w:w="941" w:type="dxa"/>
            <w:tcBorders>
              <w:top w:val="nil"/>
              <w:left w:val="nil"/>
              <w:bottom w:val="nil"/>
              <w:right w:val="single" w:sz="8" w:space="0" w:color="auto"/>
            </w:tcBorders>
            <w:shd w:val="clear" w:color="000000" w:fill="FFFFFF"/>
            <w:noWrap/>
            <w:vAlign w:val="center"/>
            <w:hideMark/>
          </w:tcPr>
          <w:p w14:paraId="03531B8F"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146.604,6</w:t>
            </w:r>
          </w:p>
        </w:tc>
        <w:tc>
          <w:tcPr>
            <w:tcW w:w="1091" w:type="dxa"/>
            <w:tcBorders>
              <w:top w:val="nil"/>
              <w:left w:val="nil"/>
              <w:bottom w:val="nil"/>
              <w:right w:val="single" w:sz="8" w:space="0" w:color="auto"/>
            </w:tcBorders>
            <w:shd w:val="clear" w:color="000000" w:fill="FFFFFF"/>
            <w:noWrap/>
            <w:vAlign w:val="center"/>
            <w:hideMark/>
          </w:tcPr>
          <w:p w14:paraId="2654FA5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155.477,8</w:t>
            </w:r>
          </w:p>
        </w:tc>
        <w:tc>
          <w:tcPr>
            <w:tcW w:w="1091" w:type="dxa"/>
            <w:tcBorders>
              <w:top w:val="nil"/>
              <w:left w:val="nil"/>
              <w:bottom w:val="nil"/>
              <w:right w:val="single" w:sz="8" w:space="0" w:color="auto"/>
            </w:tcBorders>
            <w:shd w:val="clear" w:color="000000" w:fill="FFFFFF"/>
            <w:noWrap/>
            <w:vAlign w:val="center"/>
            <w:hideMark/>
          </w:tcPr>
          <w:p w14:paraId="2513C63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164.888,0</w:t>
            </w:r>
          </w:p>
        </w:tc>
        <w:tc>
          <w:tcPr>
            <w:tcW w:w="1091" w:type="dxa"/>
            <w:tcBorders>
              <w:top w:val="nil"/>
              <w:left w:val="nil"/>
              <w:bottom w:val="nil"/>
              <w:right w:val="single" w:sz="8" w:space="0" w:color="auto"/>
            </w:tcBorders>
            <w:shd w:val="clear" w:color="000000" w:fill="FFFFFF"/>
            <w:noWrap/>
            <w:vAlign w:val="center"/>
            <w:hideMark/>
          </w:tcPr>
          <w:p w14:paraId="02A77C08"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174.867,8</w:t>
            </w:r>
          </w:p>
        </w:tc>
        <w:tc>
          <w:tcPr>
            <w:tcW w:w="1091" w:type="dxa"/>
            <w:tcBorders>
              <w:top w:val="nil"/>
              <w:left w:val="nil"/>
              <w:bottom w:val="nil"/>
              <w:right w:val="single" w:sz="8" w:space="0" w:color="auto"/>
            </w:tcBorders>
            <w:shd w:val="clear" w:color="000000" w:fill="FFFFFF"/>
            <w:noWrap/>
            <w:vAlign w:val="center"/>
            <w:hideMark/>
          </w:tcPr>
          <w:p w14:paraId="6E4DE8CA"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185.451,6</w:t>
            </w:r>
          </w:p>
        </w:tc>
        <w:tc>
          <w:tcPr>
            <w:tcW w:w="1091" w:type="dxa"/>
            <w:tcBorders>
              <w:top w:val="nil"/>
              <w:left w:val="nil"/>
              <w:bottom w:val="nil"/>
              <w:right w:val="single" w:sz="8" w:space="0" w:color="auto"/>
            </w:tcBorders>
            <w:shd w:val="clear" w:color="000000" w:fill="FFFFFF"/>
            <w:noWrap/>
            <w:vAlign w:val="center"/>
            <w:hideMark/>
          </w:tcPr>
          <w:p w14:paraId="3DE87BD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196.675,9</w:t>
            </w:r>
          </w:p>
        </w:tc>
        <w:tc>
          <w:tcPr>
            <w:tcW w:w="1091" w:type="dxa"/>
            <w:tcBorders>
              <w:top w:val="nil"/>
              <w:left w:val="nil"/>
              <w:bottom w:val="nil"/>
              <w:right w:val="single" w:sz="8" w:space="0" w:color="auto"/>
            </w:tcBorders>
            <w:shd w:val="clear" w:color="000000" w:fill="FFFFFF"/>
            <w:noWrap/>
            <w:vAlign w:val="center"/>
            <w:hideMark/>
          </w:tcPr>
          <w:p w14:paraId="1AE35AE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208.579,7</w:t>
            </w:r>
          </w:p>
        </w:tc>
      </w:tr>
      <w:tr w:rsidR="001D3315" w:rsidRPr="004E6455" w14:paraId="41A39E80" w14:textId="77777777" w:rsidTr="00117BF8">
        <w:tc>
          <w:tcPr>
            <w:tcW w:w="2835" w:type="dxa"/>
            <w:tcBorders>
              <w:top w:val="nil"/>
              <w:left w:val="single" w:sz="8" w:space="0" w:color="auto"/>
              <w:bottom w:val="nil"/>
              <w:right w:val="nil"/>
            </w:tcBorders>
            <w:shd w:val="clear" w:color="000000" w:fill="FFFFFF"/>
            <w:noWrap/>
            <w:hideMark/>
          </w:tcPr>
          <w:p w14:paraId="140855CD" w14:textId="77777777" w:rsidR="001D3315" w:rsidRPr="00117BF8" w:rsidRDefault="001D3315" w:rsidP="001D3315">
            <w:pPr>
              <w:pStyle w:val="TablaC"/>
              <w:jc w:val="left"/>
              <w:rPr>
                <w:rFonts w:ascii="Arial" w:hAnsi="Arial" w:cs="Arial"/>
                <w:sz w:val="18"/>
                <w:szCs w:val="18"/>
              </w:rPr>
            </w:pPr>
            <w:r w:rsidRPr="00117BF8">
              <w:rPr>
                <w:rFonts w:ascii="Arial" w:hAnsi="Arial" w:cs="Arial"/>
                <w:sz w:val="18"/>
                <w:szCs w:val="18"/>
              </w:rPr>
              <w:t xml:space="preserve">  No Tributarios</w:t>
            </w:r>
          </w:p>
        </w:tc>
        <w:tc>
          <w:tcPr>
            <w:tcW w:w="941" w:type="dxa"/>
            <w:tcBorders>
              <w:top w:val="nil"/>
              <w:left w:val="single" w:sz="8" w:space="0" w:color="auto"/>
              <w:bottom w:val="nil"/>
              <w:right w:val="single" w:sz="8" w:space="0" w:color="auto"/>
            </w:tcBorders>
            <w:shd w:val="clear" w:color="000000" w:fill="FFFFFF"/>
            <w:noWrap/>
            <w:vAlign w:val="center"/>
            <w:hideMark/>
          </w:tcPr>
          <w:p w14:paraId="1ED05C29"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52.612,4</w:t>
            </w:r>
          </w:p>
        </w:tc>
        <w:tc>
          <w:tcPr>
            <w:tcW w:w="941" w:type="dxa"/>
            <w:tcBorders>
              <w:top w:val="nil"/>
              <w:left w:val="nil"/>
              <w:bottom w:val="nil"/>
              <w:right w:val="single" w:sz="8" w:space="0" w:color="auto"/>
            </w:tcBorders>
            <w:shd w:val="clear" w:color="000000" w:fill="FFFFFF"/>
            <w:noWrap/>
            <w:vAlign w:val="center"/>
            <w:hideMark/>
          </w:tcPr>
          <w:p w14:paraId="3A6C5DB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67.008,4</w:t>
            </w:r>
          </w:p>
        </w:tc>
        <w:tc>
          <w:tcPr>
            <w:tcW w:w="941" w:type="dxa"/>
            <w:tcBorders>
              <w:top w:val="nil"/>
              <w:left w:val="nil"/>
              <w:bottom w:val="nil"/>
              <w:right w:val="single" w:sz="8" w:space="0" w:color="auto"/>
            </w:tcBorders>
            <w:shd w:val="clear" w:color="000000" w:fill="FFFFFF"/>
            <w:noWrap/>
            <w:vAlign w:val="center"/>
            <w:hideMark/>
          </w:tcPr>
          <w:p w14:paraId="6A535678"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71.769,7</w:t>
            </w:r>
          </w:p>
        </w:tc>
        <w:tc>
          <w:tcPr>
            <w:tcW w:w="941" w:type="dxa"/>
            <w:tcBorders>
              <w:top w:val="nil"/>
              <w:left w:val="nil"/>
              <w:bottom w:val="nil"/>
              <w:right w:val="single" w:sz="8" w:space="0" w:color="auto"/>
            </w:tcBorders>
            <w:shd w:val="clear" w:color="000000" w:fill="FFFFFF"/>
            <w:noWrap/>
            <w:vAlign w:val="center"/>
            <w:hideMark/>
          </w:tcPr>
          <w:p w14:paraId="1A292D83"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75.596,5</w:t>
            </w:r>
          </w:p>
        </w:tc>
        <w:tc>
          <w:tcPr>
            <w:tcW w:w="941" w:type="dxa"/>
            <w:tcBorders>
              <w:top w:val="nil"/>
              <w:left w:val="nil"/>
              <w:bottom w:val="nil"/>
              <w:right w:val="single" w:sz="8" w:space="0" w:color="auto"/>
            </w:tcBorders>
            <w:shd w:val="clear" w:color="000000" w:fill="FFFFFF"/>
            <w:noWrap/>
            <w:vAlign w:val="center"/>
            <w:hideMark/>
          </w:tcPr>
          <w:p w14:paraId="38C3ADFE"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78.952,0</w:t>
            </w:r>
          </w:p>
        </w:tc>
        <w:tc>
          <w:tcPr>
            <w:tcW w:w="941" w:type="dxa"/>
            <w:tcBorders>
              <w:top w:val="nil"/>
              <w:left w:val="nil"/>
              <w:bottom w:val="nil"/>
              <w:right w:val="single" w:sz="8" w:space="0" w:color="auto"/>
            </w:tcBorders>
            <w:shd w:val="clear" w:color="000000" w:fill="FFFFFF"/>
            <w:noWrap/>
            <w:vAlign w:val="center"/>
            <w:hideMark/>
          </w:tcPr>
          <w:p w14:paraId="45F6B3FA"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81.210,2</w:t>
            </w:r>
          </w:p>
        </w:tc>
        <w:tc>
          <w:tcPr>
            <w:tcW w:w="941" w:type="dxa"/>
            <w:tcBorders>
              <w:top w:val="nil"/>
              <w:left w:val="nil"/>
              <w:bottom w:val="nil"/>
              <w:right w:val="single" w:sz="8" w:space="0" w:color="auto"/>
            </w:tcBorders>
            <w:shd w:val="clear" w:color="000000" w:fill="FFFFFF"/>
            <w:noWrap/>
            <w:vAlign w:val="center"/>
            <w:hideMark/>
          </w:tcPr>
          <w:p w14:paraId="24635B5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83.550,6</w:t>
            </w:r>
          </w:p>
        </w:tc>
        <w:tc>
          <w:tcPr>
            <w:tcW w:w="1091" w:type="dxa"/>
            <w:tcBorders>
              <w:top w:val="nil"/>
              <w:left w:val="nil"/>
              <w:bottom w:val="nil"/>
              <w:right w:val="single" w:sz="8" w:space="0" w:color="auto"/>
            </w:tcBorders>
            <w:shd w:val="clear" w:color="000000" w:fill="FFFFFF"/>
            <w:noWrap/>
            <w:vAlign w:val="center"/>
            <w:hideMark/>
          </w:tcPr>
          <w:p w14:paraId="12B399BC"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85.976,6</w:t>
            </w:r>
          </w:p>
        </w:tc>
        <w:tc>
          <w:tcPr>
            <w:tcW w:w="1091" w:type="dxa"/>
            <w:tcBorders>
              <w:top w:val="nil"/>
              <w:left w:val="nil"/>
              <w:bottom w:val="nil"/>
              <w:right w:val="single" w:sz="8" w:space="0" w:color="auto"/>
            </w:tcBorders>
            <w:shd w:val="clear" w:color="000000" w:fill="FFFFFF"/>
            <w:noWrap/>
            <w:vAlign w:val="center"/>
            <w:hideMark/>
          </w:tcPr>
          <w:p w14:paraId="0F1D6A36"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88.491,7</w:t>
            </w:r>
          </w:p>
        </w:tc>
        <w:tc>
          <w:tcPr>
            <w:tcW w:w="1091" w:type="dxa"/>
            <w:tcBorders>
              <w:top w:val="nil"/>
              <w:left w:val="nil"/>
              <w:bottom w:val="nil"/>
              <w:right w:val="single" w:sz="8" w:space="0" w:color="auto"/>
            </w:tcBorders>
            <w:shd w:val="clear" w:color="000000" w:fill="FFFFFF"/>
            <w:noWrap/>
            <w:vAlign w:val="center"/>
            <w:hideMark/>
          </w:tcPr>
          <w:p w14:paraId="768053D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91.099,8</w:t>
            </w:r>
          </w:p>
        </w:tc>
        <w:tc>
          <w:tcPr>
            <w:tcW w:w="1091" w:type="dxa"/>
            <w:tcBorders>
              <w:top w:val="nil"/>
              <w:left w:val="nil"/>
              <w:bottom w:val="nil"/>
              <w:right w:val="single" w:sz="8" w:space="0" w:color="auto"/>
            </w:tcBorders>
            <w:shd w:val="clear" w:color="000000" w:fill="FFFFFF"/>
            <w:noWrap/>
            <w:vAlign w:val="center"/>
            <w:hideMark/>
          </w:tcPr>
          <w:p w14:paraId="341D17C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93.804,5</w:t>
            </w:r>
          </w:p>
        </w:tc>
        <w:tc>
          <w:tcPr>
            <w:tcW w:w="1091" w:type="dxa"/>
            <w:tcBorders>
              <w:top w:val="nil"/>
              <w:left w:val="nil"/>
              <w:bottom w:val="nil"/>
              <w:right w:val="single" w:sz="8" w:space="0" w:color="auto"/>
            </w:tcBorders>
            <w:shd w:val="clear" w:color="000000" w:fill="FFFFFF"/>
            <w:noWrap/>
            <w:vAlign w:val="center"/>
            <w:hideMark/>
          </w:tcPr>
          <w:p w14:paraId="5B2506E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96.610,1</w:t>
            </w:r>
          </w:p>
        </w:tc>
        <w:tc>
          <w:tcPr>
            <w:tcW w:w="1091" w:type="dxa"/>
            <w:tcBorders>
              <w:top w:val="nil"/>
              <w:left w:val="nil"/>
              <w:bottom w:val="nil"/>
              <w:right w:val="single" w:sz="8" w:space="0" w:color="auto"/>
            </w:tcBorders>
            <w:shd w:val="clear" w:color="000000" w:fill="FFFFFF"/>
            <w:noWrap/>
            <w:vAlign w:val="center"/>
            <w:hideMark/>
          </w:tcPr>
          <w:p w14:paraId="3685AF5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99.520,8</w:t>
            </w:r>
          </w:p>
        </w:tc>
      </w:tr>
      <w:tr w:rsidR="001D3315" w:rsidRPr="004E6455" w14:paraId="62575BE9" w14:textId="77777777" w:rsidTr="00117BF8">
        <w:tc>
          <w:tcPr>
            <w:tcW w:w="2835" w:type="dxa"/>
            <w:tcBorders>
              <w:top w:val="single" w:sz="8" w:space="0" w:color="auto"/>
              <w:left w:val="single" w:sz="8" w:space="0" w:color="auto"/>
              <w:bottom w:val="single" w:sz="8" w:space="0" w:color="auto"/>
              <w:right w:val="nil"/>
            </w:tcBorders>
            <w:shd w:val="clear" w:color="000000" w:fill="FFFFFF"/>
            <w:noWrap/>
            <w:hideMark/>
          </w:tcPr>
          <w:p w14:paraId="3D0479CE" w14:textId="77777777" w:rsidR="001D3315" w:rsidRPr="00117BF8" w:rsidRDefault="001D3315" w:rsidP="001D3315">
            <w:pPr>
              <w:pStyle w:val="TablaC"/>
              <w:jc w:val="left"/>
              <w:rPr>
                <w:rFonts w:ascii="Arial" w:hAnsi="Arial" w:cs="Arial"/>
                <w:b/>
                <w:sz w:val="18"/>
                <w:szCs w:val="18"/>
              </w:rPr>
            </w:pPr>
            <w:r w:rsidRPr="00117BF8">
              <w:rPr>
                <w:rFonts w:ascii="Arial" w:hAnsi="Arial" w:cs="Arial"/>
                <w:b/>
                <w:sz w:val="18"/>
                <w:szCs w:val="18"/>
              </w:rPr>
              <w:t>II. GASTOS CORRIENTES</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FC19D7D"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398.420,6</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71C3B37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494.404,7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7BC84A7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597.297,0</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4DDDDBF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690.902,1</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534DAFF6"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769.781,0</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6664408A"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833.243,1</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2F0CD59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885.046,3</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1A6B959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941.844,1</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2C56AC7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1.004.480,5</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1423B05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1.068.892,8</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3831DD2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1.137.755,1</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6BFD837E"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1.211.470,6</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77AA7BA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1.291.298,1</w:t>
            </w:r>
          </w:p>
        </w:tc>
      </w:tr>
      <w:tr w:rsidR="001D3315" w:rsidRPr="004E6455" w14:paraId="1F277324" w14:textId="77777777" w:rsidTr="00117BF8">
        <w:tc>
          <w:tcPr>
            <w:tcW w:w="2835" w:type="dxa"/>
            <w:tcBorders>
              <w:top w:val="nil"/>
              <w:left w:val="single" w:sz="8" w:space="0" w:color="auto"/>
              <w:bottom w:val="nil"/>
              <w:right w:val="nil"/>
            </w:tcBorders>
            <w:shd w:val="clear" w:color="000000" w:fill="FFFFFF"/>
            <w:noWrap/>
            <w:hideMark/>
          </w:tcPr>
          <w:p w14:paraId="4C6DDF2C" w14:textId="77777777" w:rsidR="001D3315" w:rsidRPr="00117BF8" w:rsidRDefault="001D3315" w:rsidP="001D3315">
            <w:pPr>
              <w:pStyle w:val="TablaC"/>
              <w:jc w:val="left"/>
              <w:rPr>
                <w:rFonts w:ascii="Arial" w:hAnsi="Arial" w:cs="Arial"/>
                <w:sz w:val="18"/>
                <w:szCs w:val="18"/>
              </w:rPr>
            </w:pPr>
            <w:r w:rsidRPr="00117BF8">
              <w:rPr>
                <w:rFonts w:ascii="Arial" w:hAnsi="Arial" w:cs="Arial"/>
                <w:sz w:val="18"/>
                <w:szCs w:val="18"/>
              </w:rPr>
              <w:t xml:space="preserve">  Personal</w:t>
            </w:r>
          </w:p>
        </w:tc>
        <w:tc>
          <w:tcPr>
            <w:tcW w:w="941" w:type="dxa"/>
            <w:tcBorders>
              <w:top w:val="nil"/>
              <w:left w:val="single" w:sz="8" w:space="0" w:color="auto"/>
              <w:bottom w:val="nil"/>
              <w:right w:val="single" w:sz="8" w:space="0" w:color="auto"/>
            </w:tcBorders>
            <w:shd w:val="clear" w:color="000000" w:fill="FFFFFF"/>
            <w:noWrap/>
            <w:vAlign w:val="center"/>
            <w:hideMark/>
          </w:tcPr>
          <w:p w14:paraId="2E17798C"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198.342,5</w:t>
            </w:r>
          </w:p>
        </w:tc>
        <w:tc>
          <w:tcPr>
            <w:tcW w:w="941" w:type="dxa"/>
            <w:tcBorders>
              <w:top w:val="nil"/>
              <w:left w:val="nil"/>
              <w:bottom w:val="nil"/>
              <w:right w:val="single" w:sz="8" w:space="0" w:color="auto"/>
            </w:tcBorders>
            <w:shd w:val="clear" w:color="000000" w:fill="FFFFFF"/>
            <w:noWrap/>
            <w:vAlign w:val="center"/>
            <w:hideMark/>
          </w:tcPr>
          <w:p w14:paraId="559EAC2D"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249.265,0</w:t>
            </w:r>
          </w:p>
        </w:tc>
        <w:tc>
          <w:tcPr>
            <w:tcW w:w="941" w:type="dxa"/>
            <w:tcBorders>
              <w:top w:val="nil"/>
              <w:left w:val="nil"/>
              <w:bottom w:val="nil"/>
              <w:right w:val="single" w:sz="8" w:space="0" w:color="auto"/>
            </w:tcBorders>
            <w:shd w:val="clear" w:color="000000" w:fill="FFFFFF"/>
            <w:noWrap/>
            <w:vAlign w:val="center"/>
            <w:hideMark/>
          </w:tcPr>
          <w:p w14:paraId="43401CA7"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300.738,2</w:t>
            </w:r>
          </w:p>
        </w:tc>
        <w:tc>
          <w:tcPr>
            <w:tcW w:w="941" w:type="dxa"/>
            <w:tcBorders>
              <w:top w:val="nil"/>
              <w:left w:val="nil"/>
              <w:bottom w:val="nil"/>
              <w:right w:val="single" w:sz="8" w:space="0" w:color="auto"/>
            </w:tcBorders>
            <w:shd w:val="clear" w:color="000000" w:fill="FFFFFF"/>
            <w:noWrap/>
            <w:vAlign w:val="center"/>
            <w:hideMark/>
          </w:tcPr>
          <w:p w14:paraId="0D98188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345.057,7</w:t>
            </w:r>
          </w:p>
        </w:tc>
        <w:tc>
          <w:tcPr>
            <w:tcW w:w="941" w:type="dxa"/>
            <w:tcBorders>
              <w:top w:val="nil"/>
              <w:left w:val="nil"/>
              <w:bottom w:val="nil"/>
              <w:right w:val="single" w:sz="8" w:space="0" w:color="auto"/>
            </w:tcBorders>
            <w:shd w:val="clear" w:color="000000" w:fill="FFFFFF"/>
            <w:noWrap/>
            <w:vAlign w:val="center"/>
            <w:hideMark/>
          </w:tcPr>
          <w:p w14:paraId="1EF0943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382.610,9</w:t>
            </w:r>
          </w:p>
        </w:tc>
        <w:tc>
          <w:tcPr>
            <w:tcW w:w="941" w:type="dxa"/>
            <w:tcBorders>
              <w:top w:val="nil"/>
              <w:left w:val="nil"/>
              <w:bottom w:val="nil"/>
              <w:right w:val="single" w:sz="8" w:space="0" w:color="auto"/>
            </w:tcBorders>
            <w:shd w:val="clear" w:color="000000" w:fill="FFFFFF"/>
            <w:noWrap/>
            <w:vAlign w:val="center"/>
            <w:hideMark/>
          </w:tcPr>
          <w:p w14:paraId="0E72877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412.874,1</w:t>
            </w:r>
          </w:p>
        </w:tc>
        <w:tc>
          <w:tcPr>
            <w:tcW w:w="941" w:type="dxa"/>
            <w:tcBorders>
              <w:top w:val="nil"/>
              <w:left w:val="nil"/>
              <w:bottom w:val="nil"/>
              <w:right w:val="single" w:sz="8" w:space="0" w:color="auto"/>
            </w:tcBorders>
            <w:shd w:val="clear" w:color="000000" w:fill="FFFFFF"/>
            <w:noWrap/>
            <w:vAlign w:val="center"/>
            <w:hideMark/>
          </w:tcPr>
          <w:p w14:paraId="5AC32A9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437.863,1</w:t>
            </w:r>
          </w:p>
        </w:tc>
        <w:tc>
          <w:tcPr>
            <w:tcW w:w="1091" w:type="dxa"/>
            <w:tcBorders>
              <w:top w:val="nil"/>
              <w:left w:val="nil"/>
              <w:bottom w:val="nil"/>
              <w:right w:val="single" w:sz="8" w:space="0" w:color="auto"/>
            </w:tcBorders>
            <w:shd w:val="clear" w:color="000000" w:fill="FFFFFF"/>
            <w:noWrap/>
            <w:vAlign w:val="center"/>
            <w:hideMark/>
          </w:tcPr>
          <w:p w14:paraId="0C456DE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464.364,6</w:t>
            </w:r>
          </w:p>
        </w:tc>
        <w:tc>
          <w:tcPr>
            <w:tcW w:w="1091" w:type="dxa"/>
            <w:tcBorders>
              <w:top w:val="nil"/>
              <w:left w:val="nil"/>
              <w:bottom w:val="nil"/>
              <w:right w:val="single" w:sz="8" w:space="0" w:color="auto"/>
            </w:tcBorders>
            <w:shd w:val="clear" w:color="000000" w:fill="FFFFFF"/>
            <w:noWrap/>
            <w:vAlign w:val="center"/>
            <w:hideMark/>
          </w:tcPr>
          <w:p w14:paraId="5E94D263"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492.470,1</w:t>
            </w:r>
          </w:p>
        </w:tc>
        <w:tc>
          <w:tcPr>
            <w:tcW w:w="1091" w:type="dxa"/>
            <w:tcBorders>
              <w:top w:val="nil"/>
              <w:left w:val="nil"/>
              <w:bottom w:val="nil"/>
              <w:right w:val="single" w:sz="8" w:space="0" w:color="auto"/>
            </w:tcBorders>
            <w:shd w:val="clear" w:color="000000" w:fill="FFFFFF"/>
            <w:noWrap/>
            <w:vAlign w:val="center"/>
            <w:hideMark/>
          </w:tcPr>
          <w:p w14:paraId="0E57F9A8"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522.276,6</w:t>
            </w:r>
          </w:p>
        </w:tc>
        <w:tc>
          <w:tcPr>
            <w:tcW w:w="1091" w:type="dxa"/>
            <w:tcBorders>
              <w:top w:val="nil"/>
              <w:left w:val="nil"/>
              <w:bottom w:val="nil"/>
              <w:right w:val="single" w:sz="8" w:space="0" w:color="auto"/>
            </w:tcBorders>
            <w:shd w:val="clear" w:color="000000" w:fill="FFFFFF"/>
            <w:noWrap/>
            <w:vAlign w:val="center"/>
            <w:hideMark/>
          </w:tcPr>
          <w:p w14:paraId="601165C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553.887,2</w:t>
            </w:r>
          </w:p>
        </w:tc>
        <w:tc>
          <w:tcPr>
            <w:tcW w:w="1091" w:type="dxa"/>
            <w:tcBorders>
              <w:top w:val="nil"/>
              <w:left w:val="nil"/>
              <w:bottom w:val="nil"/>
              <w:right w:val="single" w:sz="8" w:space="0" w:color="auto"/>
            </w:tcBorders>
            <w:shd w:val="clear" w:color="000000" w:fill="FFFFFF"/>
            <w:noWrap/>
            <w:vAlign w:val="center"/>
            <w:hideMark/>
          </w:tcPr>
          <w:p w14:paraId="1679F1D6"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587.411,0</w:t>
            </w:r>
          </w:p>
        </w:tc>
        <w:tc>
          <w:tcPr>
            <w:tcW w:w="1091" w:type="dxa"/>
            <w:tcBorders>
              <w:top w:val="nil"/>
              <w:left w:val="nil"/>
              <w:bottom w:val="nil"/>
              <w:right w:val="single" w:sz="8" w:space="0" w:color="auto"/>
            </w:tcBorders>
            <w:shd w:val="clear" w:color="000000" w:fill="FFFFFF"/>
            <w:noWrap/>
            <w:vAlign w:val="center"/>
            <w:hideMark/>
          </w:tcPr>
          <w:p w14:paraId="5F3F6C37"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622.963,8</w:t>
            </w:r>
          </w:p>
        </w:tc>
      </w:tr>
      <w:tr w:rsidR="001D3315" w:rsidRPr="004E6455" w14:paraId="75AE8E75" w14:textId="77777777" w:rsidTr="00117BF8">
        <w:tc>
          <w:tcPr>
            <w:tcW w:w="2835" w:type="dxa"/>
            <w:tcBorders>
              <w:top w:val="nil"/>
              <w:left w:val="single" w:sz="8" w:space="0" w:color="auto"/>
              <w:bottom w:val="nil"/>
              <w:right w:val="nil"/>
            </w:tcBorders>
            <w:shd w:val="clear" w:color="000000" w:fill="FFFFFF"/>
            <w:noWrap/>
            <w:hideMark/>
          </w:tcPr>
          <w:p w14:paraId="4778FAE7" w14:textId="77777777" w:rsidR="001D3315" w:rsidRPr="00117BF8" w:rsidRDefault="001D3315" w:rsidP="001D3315">
            <w:pPr>
              <w:pStyle w:val="TablaC"/>
              <w:jc w:val="left"/>
              <w:rPr>
                <w:rFonts w:ascii="Arial" w:hAnsi="Arial" w:cs="Arial"/>
                <w:sz w:val="18"/>
                <w:szCs w:val="18"/>
              </w:rPr>
            </w:pPr>
            <w:r w:rsidRPr="00117BF8">
              <w:rPr>
                <w:rFonts w:ascii="Arial" w:hAnsi="Arial" w:cs="Arial"/>
                <w:sz w:val="18"/>
                <w:szCs w:val="18"/>
              </w:rPr>
              <w:t xml:space="preserve">  Bienes y Servicios</w:t>
            </w:r>
          </w:p>
        </w:tc>
        <w:tc>
          <w:tcPr>
            <w:tcW w:w="941" w:type="dxa"/>
            <w:tcBorders>
              <w:top w:val="nil"/>
              <w:left w:val="single" w:sz="8" w:space="0" w:color="auto"/>
              <w:bottom w:val="nil"/>
              <w:right w:val="single" w:sz="8" w:space="0" w:color="auto"/>
            </w:tcBorders>
            <w:shd w:val="clear" w:color="000000" w:fill="FFFFFF"/>
            <w:noWrap/>
            <w:vAlign w:val="center"/>
            <w:hideMark/>
          </w:tcPr>
          <w:p w14:paraId="073E4D0F"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19.084,4</w:t>
            </w:r>
          </w:p>
        </w:tc>
        <w:tc>
          <w:tcPr>
            <w:tcW w:w="941" w:type="dxa"/>
            <w:tcBorders>
              <w:top w:val="nil"/>
              <w:left w:val="nil"/>
              <w:bottom w:val="nil"/>
              <w:right w:val="single" w:sz="8" w:space="0" w:color="auto"/>
            </w:tcBorders>
            <w:shd w:val="clear" w:color="000000" w:fill="FFFFFF"/>
            <w:noWrap/>
            <w:vAlign w:val="center"/>
            <w:hideMark/>
          </w:tcPr>
          <w:p w14:paraId="7C1EE37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25.553,3</w:t>
            </w:r>
          </w:p>
        </w:tc>
        <w:tc>
          <w:tcPr>
            <w:tcW w:w="941" w:type="dxa"/>
            <w:tcBorders>
              <w:top w:val="nil"/>
              <w:left w:val="nil"/>
              <w:bottom w:val="nil"/>
              <w:right w:val="single" w:sz="8" w:space="0" w:color="auto"/>
            </w:tcBorders>
            <w:shd w:val="clear" w:color="000000" w:fill="FFFFFF"/>
            <w:noWrap/>
            <w:vAlign w:val="center"/>
            <w:hideMark/>
          </w:tcPr>
          <w:p w14:paraId="4808E36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31.315,6</w:t>
            </w:r>
          </w:p>
        </w:tc>
        <w:tc>
          <w:tcPr>
            <w:tcW w:w="941" w:type="dxa"/>
            <w:tcBorders>
              <w:top w:val="nil"/>
              <w:left w:val="nil"/>
              <w:bottom w:val="nil"/>
              <w:right w:val="single" w:sz="8" w:space="0" w:color="auto"/>
            </w:tcBorders>
            <w:shd w:val="clear" w:color="000000" w:fill="FFFFFF"/>
            <w:noWrap/>
            <w:vAlign w:val="center"/>
            <w:hideMark/>
          </w:tcPr>
          <w:p w14:paraId="18080563"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36.496,4</w:t>
            </w:r>
          </w:p>
        </w:tc>
        <w:tc>
          <w:tcPr>
            <w:tcW w:w="941" w:type="dxa"/>
            <w:tcBorders>
              <w:top w:val="nil"/>
              <w:left w:val="nil"/>
              <w:bottom w:val="nil"/>
              <w:right w:val="single" w:sz="8" w:space="0" w:color="auto"/>
            </w:tcBorders>
            <w:shd w:val="clear" w:color="000000" w:fill="FFFFFF"/>
            <w:noWrap/>
            <w:vAlign w:val="center"/>
            <w:hideMark/>
          </w:tcPr>
          <w:p w14:paraId="06C3783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41.060,7</w:t>
            </w:r>
          </w:p>
        </w:tc>
        <w:tc>
          <w:tcPr>
            <w:tcW w:w="941" w:type="dxa"/>
            <w:tcBorders>
              <w:top w:val="nil"/>
              <w:left w:val="nil"/>
              <w:bottom w:val="nil"/>
              <w:right w:val="single" w:sz="8" w:space="0" w:color="auto"/>
            </w:tcBorders>
            <w:shd w:val="clear" w:color="000000" w:fill="FFFFFF"/>
            <w:noWrap/>
            <w:vAlign w:val="center"/>
            <w:hideMark/>
          </w:tcPr>
          <w:p w14:paraId="13E69F6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44.957,1</w:t>
            </w:r>
          </w:p>
        </w:tc>
        <w:tc>
          <w:tcPr>
            <w:tcW w:w="941" w:type="dxa"/>
            <w:tcBorders>
              <w:top w:val="nil"/>
              <w:left w:val="nil"/>
              <w:bottom w:val="nil"/>
              <w:right w:val="single" w:sz="8" w:space="0" w:color="auto"/>
            </w:tcBorders>
            <w:shd w:val="clear" w:color="000000" w:fill="FFFFFF"/>
            <w:noWrap/>
            <w:vAlign w:val="center"/>
            <w:hideMark/>
          </w:tcPr>
          <w:p w14:paraId="117D333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48.376,0</w:t>
            </w:r>
          </w:p>
        </w:tc>
        <w:tc>
          <w:tcPr>
            <w:tcW w:w="1091" w:type="dxa"/>
            <w:tcBorders>
              <w:top w:val="nil"/>
              <w:left w:val="nil"/>
              <w:bottom w:val="nil"/>
              <w:right w:val="single" w:sz="8" w:space="0" w:color="auto"/>
            </w:tcBorders>
            <w:shd w:val="clear" w:color="000000" w:fill="FFFFFF"/>
            <w:noWrap/>
            <w:vAlign w:val="center"/>
            <w:hideMark/>
          </w:tcPr>
          <w:p w14:paraId="0B21A84F"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52.105,8</w:t>
            </w:r>
          </w:p>
        </w:tc>
        <w:tc>
          <w:tcPr>
            <w:tcW w:w="1091" w:type="dxa"/>
            <w:tcBorders>
              <w:top w:val="nil"/>
              <w:left w:val="nil"/>
              <w:bottom w:val="nil"/>
              <w:right w:val="single" w:sz="8" w:space="0" w:color="auto"/>
            </w:tcBorders>
            <w:shd w:val="clear" w:color="000000" w:fill="FFFFFF"/>
            <w:noWrap/>
            <w:vAlign w:val="center"/>
            <w:hideMark/>
          </w:tcPr>
          <w:p w14:paraId="2542997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56.120,4</w:t>
            </w:r>
          </w:p>
        </w:tc>
        <w:tc>
          <w:tcPr>
            <w:tcW w:w="1091" w:type="dxa"/>
            <w:tcBorders>
              <w:top w:val="nil"/>
              <w:left w:val="nil"/>
              <w:bottom w:val="nil"/>
              <w:right w:val="single" w:sz="8" w:space="0" w:color="auto"/>
            </w:tcBorders>
            <w:shd w:val="clear" w:color="000000" w:fill="FFFFFF"/>
            <w:noWrap/>
            <w:vAlign w:val="center"/>
            <w:hideMark/>
          </w:tcPr>
          <w:p w14:paraId="07056D7B"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60.441,7</w:t>
            </w:r>
          </w:p>
        </w:tc>
        <w:tc>
          <w:tcPr>
            <w:tcW w:w="1091" w:type="dxa"/>
            <w:tcBorders>
              <w:top w:val="nil"/>
              <w:left w:val="nil"/>
              <w:bottom w:val="nil"/>
              <w:right w:val="single" w:sz="8" w:space="0" w:color="auto"/>
            </w:tcBorders>
            <w:shd w:val="clear" w:color="000000" w:fill="FFFFFF"/>
            <w:noWrap/>
            <w:vAlign w:val="center"/>
            <w:hideMark/>
          </w:tcPr>
          <w:p w14:paraId="7645AA99"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65.092,9</w:t>
            </w:r>
          </w:p>
        </w:tc>
        <w:tc>
          <w:tcPr>
            <w:tcW w:w="1091" w:type="dxa"/>
            <w:tcBorders>
              <w:top w:val="nil"/>
              <w:left w:val="nil"/>
              <w:bottom w:val="nil"/>
              <w:right w:val="single" w:sz="8" w:space="0" w:color="auto"/>
            </w:tcBorders>
            <w:shd w:val="clear" w:color="000000" w:fill="FFFFFF"/>
            <w:noWrap/>
            <w:vAlign w:val="center"/>
            <w:hideMark/>
          </w:tcPr>
          <w:p w14:paraId="69AEA22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70.099,2</w:t>
            </w:r>
          </w:p>
        </w:tc>
        <w:tc>
          <w:tcPr>
            <w:tcW w:w="1091" w:type="dxa"/>
            <w:tcBorders>
              <w:top w:val="nil"/>
              <w:left w:val="nil"/>
              <w:bottom w:val="nil"/>
              <w:right w:val="single" w:sz="8" w:space="0" w:color="auto"/>
            </w:tcBorders>
            <w:shd w:val="clear" w:color="000000" w:fill="FFFFFF"/>
            <w:noWrap/>
            <w:vAlign w:val="center"/>
            <w:hideMark/>
          </w:tcPr>
          <w:p w14:paraId="6B8F5B4D"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75.487,6</w:t>
            </w:r>
          </w:p>
        </w:tc>
      </w:tr>
      <w:tr w:rsidR="001D3315" w:rsidRPr="004E6455" w14:paraId="0957BC1F" w14:textId="77777777" w:rsidTr="00117BF8">
        <w:tc>
          <w:tcPr>
            <w:tcW w:w="2835" w:type="dxa"/>
            <w:tcBorders>
              <w:top w:val="nil"/>
              <w:left w:val="single" w:sz="8" w:space="0" w:color="auto"/>
              <w:bottom w:val="nil"/>
              <w:right w:val="nil"/>
            </w:tcBorders>
            <w:shd w:val="clear" w:color="000000" w:fill="FFFFFF"/>
            <w:noWrap/>
            <w:hideMark/>
          </w:tcPr>
          <w:p w14:paraId="449C1783" w14:textId="77777777" w:rsidR="001D3315" w:rsidRPr="00117BF8" w:rsidRDefault="001D3315" w:rsidP="001D3315">
            <w:pPr>
              <w:pStyle w:val="TablaC"/>
              <w:jc w:val="left"/>
              <w:rPr>
                <w:rFonts w:ascii="Arial" w:hAnsi="Arial" w:cs="Arial"/>
                <w:sz w:val="18"/>
                <w:szCs w:val="18"/>
              </w:rPr>
            </w:pPr>
            <w:r w:rsidRPr="00117BF8">
              <w:rPr>
                <w:rFonts w:ascii="Arial" w:hAnsi="Arial" w:cs="Arial"/>
                <w:sz w:val="18"/>
                <w:szCs w:val="18"/>
              </w:rPr>
              <w:t xml:space="preserve">  Intereses</w:t>
            </w:r>
          </w:p>
        </w:tc>
        <w:tc>
          <w:tcPr>
            <w:tcW w:w="941" w:type="dxa"/>
            <w:tcBorders>
              <w:top w:val="nil"/>
              <w:left w:val="single" w:sz="8" w:space="0" w:color="auto"/>
              <w:bottom w:val="nil"/>
              <w:right w:val="single" w:sz="8" w:space="0" w:color="auto"/>
            </w:tcBorders>
            <w:shd w:val="clear" w:color="000000" w:fill="FFFFFF"/>
            <w:noWrap/>
            <w:vAlign w:val="center"/>
            <w:hideMark/>
          </w:tcPr>
          <w:p w14:paraId="333EE3EB"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15.978,4</w:t>
            </w:r>
          </w:p>
        </w:tc>
        <w:tc>
          <w:tcPr>
            <w:tcW w:w="941" w:type="dxa"/>
            <w:tcBorders>
              <w:top w:val="nil"/>
              <w:left w:val="nil"/>
              <w:bottom w:val="nil"/>
              <w:right w:val="single" w:sz="8" w:space="0" w:color="auto"/>
            </w:tcBorders>
            <w:shd w:val="clear" w:color="000000" w:fill="FFFFFF"/>
            <w:noWrap/>
            <w:vAlign w:val="center"/>
            <w:hideMark/>
          </w:tcPr>
          <w:p w14:paraId="0EBA745C"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22.035,5</w:t>
            </w:r>
          </w:p>
        </w:tc>
        <w:tc>
          <w:tcPr>
            <w:tcW w:w="941" w:type="dxa"/>
            <w:tcBorders>
              <w:top w:val="nil"/>
              <w:left w:val="nil"/>
              <w:bottom w:val="nil"/>
              <w:right w:val="single" w:sz="8" w:space="0" w:color="auto"/>
            </w:tcBorders>
            <w:shd w:val="clear" w:color="000000" w:fill="FFFFFF"/>
            <w:noWrap/>
            <w:vAlign w:val="center"/>
            <w:hideMark/>
          </w:tcPr>
          <w:p w14:paraId="220E939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25.339,7</w:t>
            </w:r>
          </w:p>
        </w:tc>
        <w:tc>
          <w:tcPr>
            <w:tcW w:w="941" w:type="dxa"/>
            <w:tcBorders>
              <w:top w:val="nil"/>
              <w:left w:val="nil"/>
              <w:bottom w:val="nil"/>
              <w:right w:val="single" w:sz="8" w:space="0" w:color="auto"/>
            </w:tcBorders>
            <w:shd w:val="clear" w:color="000000" w:fill="FFFFFF"/>
            <w:noWrap/>
            <w:vAlign w:val="center"/>
            <w:hideMark/>
          </w:tcPr>
          <w:p w14:paraId="243FC04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32.377,4</w:t>
            </w:r>
          </w:p>
        </w:tc>
        <w:tc>
          <w:tcPr>
            <w:tcW w:w="941" w:type="dxa"/>
            <w:tcBorders>
              <w:top w:val="nil"/>
              <w:left w:val="nil"/>
              <w:bottom w:val="nil"/>
              <w:right w:val="single" w:sz="8" w:space="0" w:color="auto"/>
            </w:tcBorders>
            <w:shd w:val="clear" w:color="000000" w:fill="FFFFFF"/>
            <w:noWrap/>
            <w:vAlign w:val="center"/>
            <w:hideMark/>
          </w:tcPr>
          <w:p w14:paraId="3CBF0EEC"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37.312,6</w:t>
            </w:r>
          </w:p>
        </w:tc>
        <w:tc>
          <w:tcPr>
            <w:tcW w:w="941" w:type="dxa"/>
            <w:tcBorders>
              <w:top w:val="nil"/>
              <w:left w:val="nil"/>
              <w:bottom w:val="nil"/>
              <w:right w:val="single" w:sz="8" w:space="0" w:color="auto"/>
            </w:tcBorders>
            <w:shd w:val="clear" w:color="000000" w:fill="FFFFFF"/>
            <w:noWrap/>
            <w:vAlign w:val="center"/>
            <w:hideMark/>
          </w:tcPr>
          <w:p w14:paraId="08AC4C0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40.347,9</w:t>
            </w:r>
          </w:p>
        </w:tc>
        <w:tc>
          <w:tcPr>
            <w:tcW w:w="941" w:type="dxa"/>
            <w:tcBorders>
              <w:top w:val="nil"/>
              <w:left w:val="nil"/>
              <w:bottom w:val="nil"/>
              <w:right w:val="single" w:sz="8" w:space="0" w:color="auto"/>
            </w:tcBorders>
            <w:shd w:val="clear" w:color="000000" w:fill="FFFFFF"/>
            <w:noWrap/>
            <w:vAlign w:val="center"/>
            <w:hideMark/>
          </w:tcPr>
          <w:p w14:paraId="54EC74CA"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41.480,8</w:t>
            </w:r>
          </w:p>
        </w:tc>
        <w:tc>
          <w:tcPr>
            <w:tcW w:w="1091" w:type="dxa"/>
            <w:tcBorders>
              <w:top w:val="nil"/>
              <w:left w:val="nil"/>
              <w:bottom w:val="nil"/>
              <w:right w:val="single" w:sz="8" w:space="0" w:color="auto"/>
            </w:tcBorders>
            <w:shd w:val="clear" w:color="000000" w:fill="FFFFFF"/>
            <w:noWrap/>
            <w:vAlign w:val="center"/>
            <w:hideMark/>
          </w:tcPr>
          <w:p w14:paraId="0E494C97"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44.286,7</w:t>
            </w:r>
          </w:p>
        </w:tc>
        <w:tc>
          <w:tcPr>
            <w:tcW w:w="1091" w:type="dxa"/>
            <w:tcBorders>
              <w:top w:val="nil"/>
              <w:left w:val="nil"/>
              <w:bottom w:val="nil"/>
              <w:right w:val="single" w:sz="8" w:space="0" w:color="auto"/>
            </w:tcBorders>
            <w:shd w:val="clear" w:color="000000" w:fill="FFFFFF"/>
            <w:noWrap/>
            <w:vAlign w:val="center"/>
            <w:hideMark/>
          </w:tcPr>
          <w:p w14:paraId="2D0C0337"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49.442,1</w:t>
            </w:r>
          </w:p>
        </w:tc>
        <w:tc>
          <w:tcPr>
            <w:tcW w:w="1091" w:type="dxa"/>
            <w:tcBorders>
              <w:top w:val="nil"/>
              <w:left w:val="nil"/>
              <w:bottom w:val="nil"/>
              <w:right w:val="single" w:sz="8" w:space="0" w:color="auto"/>
            </w:tcBorders>
            <w:shd w:val="clear" w:color="000000" w:fill="FFFFFF"/>
            <w:noWrap/>
            <w:vAlign w:val="center"/>
            <w:hideMark/>
          </w:tcPr>
          <w:p w14:paraId="40E41DF6"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52.656,1</w:t>
            </w:r>
          </w:p>
        </w:tc>
        <w:tc>
          <w:tcPr>
            <w:tcW w:w="1091" w:type="dxa"/>
            <w:tcBorders>
              <w:top w:val="nil"/>
              <w:left w:val="nil"/>
              <w:bottom w:val="nil"/>
              <w:right w:val="single" w:sz="8" w:space="0" w:color="auto"/>
            </w:tcBorders>
            <w:shd w:val="clear" w:color="000000" w:fill="FFFFFF"/>
            <w:noWrap/>
            <w:vAlign w:val="center"/>
            <w:hideMark/>
          </w:tcPr>
          <w:p w14:paraId="0A5E3D1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56.359,9</w:t>
            </w:r>
          </w:p>
        </w:tc>
        <w:tc>
          <w:tcPr>
            <w:tcW w:w="1091" w:type="dxa"/>
            <w:tcBorders>
              <w:top w:val="nil"/>
              <w:left w:val="nil"/>
              <w:bottom w:val="nil"/>
              <w:right w:val="single" w:sz="8" w:space="0" w:color="auto"/>
            </w:tcBorders>
            <w:shd w:val="clear" w:color="000000" w:fill="FFFFFF"/>
            <w:noWrap/>
            <w:vAlign w:val="center"/>
            <w:hideMark/>
          </w:tcPr>
          <w:p w14:paraId="5C59485B"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60.697,4</w:t>
            </w:r>
          </w:p>
        </w:tc>
        <w:tc>
          <w:tcPr>
            <w:tcW w:w="1091" w:type="dxa"/>
            <w:tcBorders>
              <w:top w:val="nil"/>
              <w:left w:val="nil"/>
              <w:bottom w:val="nil"/>
              <w:right w:val="single" w:sz="8" w:space="0" w:color="auto"/>
            </w:tcBorders>
            <w:shd w:val="clear" w:color="000000" w:fill="FFFFFF"/>
            <w:noWrap/>
            <w:vAlign w:val="center"/>
            <w:hideMark/>
          </w:tcPr>
          <w:p w14:paraId="6839B814"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66.651,1</w:t>
            </w:r>
          </w:p>
        </w:tc>
      </w:tr>
      <w:tr w:rsidR="001D3315" w:rsidRPr="004E6455" w14:paraId="5E9B1F51" w14:textId="77777777" w:rsidTr="00117BF8">
        <w:tc>
          <w:tcPr>
            <w:tcW w:w="2835" w:type="dxa"/>
            <w:tcBorders>
              <w:top w:val="nil"/>
              <w:left w:val="single" w:sz="8" w:space="0" w:color="auto"/>
              <w:bottom w:val="nil"/>
              <w:right w:val="nil"/>
            </w:tcBorders>
            <w:shd w:val="clear" w:color="000000" w:fill="FFFFFF"/>
            <w:noWrap/>
            <w:hideMark/>
          </w:tcPr>
          <w:p w14:paraId="05D8B779" w14:textId="77777777" w:rsidR="001D3315" w:rsidRPr="00117BF8" w:rsidRDefault="001D3315"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Prestaciones de la Seguridad Social</w:t>
            </w:r>
          </w:p>
        </w:tc>
        <w:tc>
          <w:tcPr>
            <w:tcW w:w="941" w:type="dxa"/>
            <w:tcBorders>
              <w:top w:val="nil"/>
              <w:left w:val="single" w:sz="8" w:space="0" w:color="auto"/>
              <w:bottom w:val="nil"/>
              <w:right w:val="single" w:sz="8" w:space="0" w:color="auto"/>
            </w:tcBorders>
            <w:shd w:val="clear" w:color="000000" w:fill="FFFFFF"/>
            <w:noWrap/>
            <w:vAlign w:val="center"/>
            <w:hideMark/>
          </w:tcPr>
          <w:p w14:paraId="6603580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69.834,6</w:t>
            </w:r>
          </w:p>
        </w:tc>
        <w:tc>
          <w:tcPr>
            <w:tcW w:w="941" w:type="dxa"/>
            <w:tcBorders>
              <w:top w:val="nil"/>
              <w:left w:val="nil"/>
              <w:bottom w:val="nil"/>
              <w:right w:val="single" w:sz="8" w:space="0" w:color="auto"/>
            </w:tcBorders>
            <w:shd w:val="clear" w:color="000000" w:fill="FFFFFF"/>
            <w:noWrap/>
            <w:vAlign w:val="center"/>
            <w:hideMark/>
          </w:tcPr>
          <w:p w14:paraId="2953D6F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73.311,4</w:t>
            </w:r>
          </w:p>
        </w:tc>
        <w:tc>
          <w:tcPr>
            <w:tcW w:w="941" w:type="dxa"/>
            <w:tcBorders>
              <w:top w:val="nil"/>
              <w:left w:val="nil"/>
              <w:bottom w:val="nil"/>
              <w:right w:val="single" w:sz="8" w:space="0" w:color="auto"/>
            </w:tcBorders>
            <w:shd w:val="clear" w:color="000000" w:fill="FFFFFF"/>
            <w:noWrap/>
            <w:vAlign w:val="center"/>
            <w:hideMark/>
          </w:tcPr>
          <w:p w14:paraId="10696DFD"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88.450,3</w:t>
            </w:r>
          </w:p>
        </w:tc>
        <w:tc>
          <w:tcPr>
            <w:tcW w:w="941" w:type="dxa"/>
            <w:tcBorders>
              <w:top w:val="nil"/>
              <w:left w:val="nil"/>
              <w:bottom w:val="nil"/>
              <w:right w:val="single" w:sz="8" w:space="0" w:color="auto"/>
            </w:tcBorders>
            <w:shd w:val="clear" w:color="000000" w:fill="FFFFFF"/>
            <w:noWrap/>
            <w:vAlign w:val="center"/>
            <w:hideMark/>
          </w:tcPr>
          <w:p w14:paraId="37AD2A4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101.485,1</w:t>
            </w:r>
          </w:p>
        </w:tc>
        <w:tc>
          <w:tcPr>
            <w:tcW w:w="941" w:type="dxa"/>
            <w:tcBorders>
              <w:top w:val="nil"/>
              <w:left w:val="nil"/>
              <w:bottom w:val="nil"/>
              <w:right w:val="single" w:sz="8" w:space="0" w:color="auto"/>
            </w:tcBorders>
            <w:shd w:val="clear" w:color="000000" w:fill="FFFFFF"/>
            <w:noWrap/>
            <w:vAlign w:val="center"/>
            <w:hideMark/>
          </w:tcPr>
          <w:p w14:paraId="093A9A97"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112.529,9</w:t>
            </w:r>
          </w:p>
        </w:tc>
        <w:tc>
          <w:tcPr>
            <w:tcW w:w="941" w:type="dxa"/>
            <w:tcBorders>
              <w:top w:val="nil"/>
              <w:left w:val="nil"/>
              <w:bottom w:val="nil"/>
              <w:right w:val="single" w:sz="8" w:space="0" w:color="auto"/>
            </w:tcBorders>
            <w:shd w:val="clear" w:color="000000" w:fill="FFFFFF"/>
            <w:noWrap/>
            <w:vAlign w:val="center"/>
            <w:hideMark/>
          </w:tcPr>
          <w:p w14:paraId="2849555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121.430,6</w:t>
            </w:r>
          </w:p>
        </w:tc>
        <w:tc>
          <w:tcPr>
            <w:tcW w:w="941" w:type="dxa"/>
            <w:tcBorders>
              <w:top w:val="nil"/>
              <w:left w:val="nil"/>
              <w:bottom w:val="nil"/>
              <w:right w:val="single" w:sz="8" w:space="0" w:color="auto"/>
            </w:tcBorders>
            <w:shd w:val="clear" w:color="000000" w:fill="FFFFFF"/>
            <w:noWrap/>
            <w:vAlign w:val="center"/>
            <w:hideMark/>
          </w:tcPr>
          <w:p w14:paraId="205AE2B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128.780,1</w:t>
            </w:r>
          </w:p>
        </w:tc>
        <w:tc>
          <w:tcPr>
            <w:tcW w:w="1091" w:type="dxa"/>
            <w:tcBorders>
              <w:top w:val="nil"/>
              <w:left w:val="nil"/>
              <w:bottom w:val="nil"/>
              <w:right w:val="single" w:sz="8" w:space="0" w:color="auto"/>
            </w:tcBorders>
            <w:shd w:val="clear" w:color="000000" w:fill="FFFFFF"/>
            <w:noWrap/>
            <w:vAlign w:val="center"/>
            <w:hideMark/>
          </w:tcPr>
          <w:p w14:paraId="59B740BE"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136.574,5</w:t>
            </w:r>
          </w:p>
        </w:tc>
        <w:tc>
          <w:tcPr>
            <w:tcW w:w="1091" w:type="dxa"/>
            <w:tcBorders>
              <w:top w:val="nil"/>
              <w:left w:val="nil"/>
              <w:bottom w:val="nil"/>
              <w:right w:val="single" w:sz="8" w:space="0" w:color="auto"/>
            </w:tcBorders>
            <w:shd w:val="clear" w:color="000000" w:fill="FFFFFF"/>
            <w:noWrap/>
            <w:vAlign w:val="center"/>
            <w:hideMark/>
          </w:tcPr>
          <w:p w14:paraId="663BABD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144.840,6</w:t>
            </w:r>
          </w:p>
        </w:tc>
        <w:tc>
          <w:tcPr>
            <w:tcW w:w="1091" w:type="dxa"/>
            <w:tcBorders>
              <w:top w:val="nil"/>
              <w:left w:val="nil"/>
              <w:bottom w:val="nil"/>
              <w:right w:val="single" w:sz="8" w:space="0" w:color="auto"/>
            </w:tcBorders>
            <w:shd w:val="clear" w:color="000000" w:fill="FFFFFF"/>
            <w:noWrap/>
            <w:vAlign w:val="center"/>
            <w:hideMark/>
          </w:tcPr>
          <w:p w14:paraId="1A3B2EE5"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153.607,0</w:t>
            </w:r>
          </w:p>
        </w:tc>
        <w:tc>
          <w:tcPr>
            <w:tcW w:w="1091" w:type="dxa"/>
            <w:tcBorders>
              <w:top w:val="nil"/>
              <w:left w:val="nil"/>
              <w:bottom w:val="nil"/>
              <w:right w:val="single" w:sz="8" w:space="0" w:color="auto"/>
            </w:tcBorders>
            <w:shd w:val="clear" w:color="000000" w:fill="FFFFFF"/>
            <w:noWrap/>
            <w:vAlign w:val="center"/>
            <w:hideMark/>
          </w:tcPr>
          <w:p w14:paraId="6B82C2FB"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162.904,0</w:t>
            </w:r>
          </w:p>
        </w:tc>
        <w:tc>
          <w:tcPr>
            <w:tcW w:w="1091" w:type="dxa"/>
            <w:tcBorders>
              <w:top w:val="nil"/>
              <w:left w:val="nil"/>
              <w:bottom w:val="nil"/>
              <w:right w:val="single" w:sz="8" w:space="0" w:color="auto"/>
            </w:tcBorders>
            <w:shd w:val="clear" w:color="000000" w:fill="FFFFFF"/>
            <w:noWrap/>
            <w:vAlign w:val="center"/>
            <w:hideMark/>
          </w:tcPr>
          <w:p w14:paraId="127F1571"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172.763,7</w:t>
            </w:r>
          </w:p>
        </w:tc>
        <w:tc>
          <w:tcPr>
            <w:tcW w:w="1091" w:type="dxa"/>
            <w:tcBorders>
              <w:top w:val="nil"/>
              <w:left w:val="nil"/>
              <w:bottom w:val="nil"/>
              <w:right w:val="single" w:sz="8" w:space="0" w:color="auto"/>
            </w:tcBorders>
            <w:shd w:val="clear" w:color="000000" w:fill="FFFFFF"/>
            <w:noWrap/>
            <w:vAlign w:val="center"/>
            <w:hideMark/>
          </w:tcPr>
          <w:p w14:paraId="30664613"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183.220,2</w:t>
            </w:r>
          </w:p>
        </w:tc>
      </w:tr>
      <w:tr w:rsidR="001D3315" w:rsidRPr="004E6455" w14:paraId="050E9A75" w14:textId="77777777" w:rsidTr="00117BF8">
        <w:tc>
          <w:tcPr>
            <w:tcW w:w="2835" w:type="dxa"/>
            <w:tcBorders>
              <w:top w:val="nil"/>
              <w:left w:val="single" w:sz="8" w:space="0" w:color="auto"/>
              <w:bottom w:val="nil"/>
              <w:right w:val="nil"/>
            </w:tcBorders>
            <w:shd w:val="clear" w:color="000000" w:fill="FFFFFF"/>
            <w:noWrap/>
            <w:hideMark/>
          </w:tcPr>
          <w:p w14:paraId="000D4D28" w14:textId="77777777" w:rsidR="001D3315" w:rsidRPr="00117BF8" w:rsidRDefault="001D3315" w:rsidP="001D3315">
            <w:pPr>
              <w:pStyle w:val="TablaC"/>
              <w:jc w:val="left"/>
              <w:rPr>
                <w:rFonts w:ascii="Arial" w:hAnsi="Arial" w:cs="Arial"/>
                <w:sz w:val="18"/>
                <w:szCs w:val="18"/>
                <w:lang w:val="es-ES_tradnl"/>
              </w:rPr>
            </w:pPr>
            <w:r w:rsidRPr="00117BF8">
              <w:rPr>
                <w:rFonts w:ascii="Arial" w:hAnsi="Arial" w:cs="Arial"/>
                <w:sz w:val="18"/>
                <w:szCs w:val="18"/>
                <w:lang w:val="es-ES_tradnl"/>
              </w:rPr>
              <w:t xml:space="preserve">  Transf. Corrientes y Otros Gastos</w:t>
            </w:r>
          </w:p>
        </w:tc>
        <w:tc>
          <w:tcPr>
            <w:tcW w:w="941" w:type="dxa"/>
            <w:tcBorders>
              <w:top w:val="nil"/>
              <w:left w:val="single" w:sz="8" w:space="0" w:color="auto"/>
              <w:bottom w:val="nil"/>
              <w:right w:val="single" w:sz="8" w:space="0" w:color="auto"/>
            </w:tcBorders>
            <w:shd w:val="clear" w:color="000000" w:fill="FFFFFF"/>
            <w:noWrap/>
            <w:vAlign w:val="center"/>
            <w:hideMark/>
          </w:tcPr>
          <w:p w14:paraId="1955AC2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95.180,6</w:t>
            </w:r>
          </w:p>
        </w:tc>
        <w:tc>
          <w:tcPr>
            <w:tcW w:w="941" w:type="dxa"/>
            <w:tcBorders>
              <w:top w:val="nil"/>
              <w:left w:val="nil"/>
              <w:bottom w:val="nil"/>
              <w:right w:val="single" w:sz="8" w:space="0" w:color="auto"/>
            </w:tcBorders>
            <w:shd w:val="clear" w:color="000000" w:fill="FFFFFF"/>
            <w:noWrap/>
            <w:vAlign w:val="center"/>
            <w:hideMark/>
          </w:tcPr>
          <w:p w14:paraId="06B95B77"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124.239,5</w:t>
            </w:r>
          </w:p>
        </w:tc>
        <w:tc>
          <w:tcPr>
            <w:tcW w:w="941" w:type="dxa"/>
            <w:tcBorders>
              <w:top w:val="nil"/>
              <w:left w:val="nil"/>
              <w:bottom w:val="nil"/>
              <w:right w:val="single" w:sz="8" w:space="0" w:color="auto"/>
            </w:tcBorders>
            <w:shd w:val="clear" w:color="000000" w:fill="FFFFFF"/>
            <w:noWrap/>
            <w:vAlign w:val="center"/>
            <w:hideMark/>
          </w:tcPr>
          <w:p w14:paraId="0FF68D77"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151.453,2</w:t>
            </w:r>
          </w:p>
        </w:tc>
        <w:tc>
          <w:tcPr>
            <w:tcW w:w="941" w:type="dxa"/>
            <w:tcBorders>
              <w:top w:val="nil"/>
              <w:left w:val="nil"/>
              <w:bottom w:val="nil"/>
              <w:right w:val="single" w:sz="8" w:space="0" w:color="auto"/>
            </w:tcBorders>
            <w:shd w:val="clear" w:color="000000" w:fill="FFFFFF"/>
            <w:noWrap/>
            <w:vAlign w:val="center"/>
            <w:hideMark/>
          </w:tcPr>
          <w:p w14:paraId="009DB61E"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175.485,6</w:t>
            </w:r>
          </w:p>
        </w:tc>
        <w:tc>
          <w:tcPr>
            <w:tcW w:w="941" w:type="dxa"/>
            <w:tcBorders>
              <w:top w:val="nil"/>
              <w:left w:val="nil"/>
              <w:bottom w:val="nil"/>
              <w:right w:val="single" w:sz="8" w:space="0" w:color="auto"/>
            </w:tcBorders>
            <w:shd w:val="clear" w:color="000000" w:fill="FFFFFF"/>
            <w:noWrap/>
            <w:vAlign w:val="center"/>
            <w:hideMark/>
          </w:tcPr>
          <w:p w14:paraId="3D603A70"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196.266,9</w:t>
            </w:r>
          </w:p>
        </w:tc>
        <w:tc>
          <w:tcPr>
            <w:tcW w:w="941" w:type="dxa"/>
            <w:tcBorders>
              <w:top w:val="nil"/>
              <w:left w:val="nil"/>
              <w:bottom w:val="nil"/>
              <w:right w:val="single" w:sz="8" w:space="0" w:color="auto"/>
            </w:tcBorders>
            <w:shd w:val="clear" w:color="000000" w:fill="FFFFFF"/>
            <w:noWrap/>
            <w:vAlign w:val="center"/>
            <w:hideMark/>
          </w:tcPr>
          <w:p w14:paraId="2FAEC269"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213.633,5</w:t>
            </w:r>
          </w:p>
        </w:tc>
        <w:tc>
          <w:tcPr>
            <w:tcW w:w="941" w:type="dxa"/>
            <w:tcBorders>
              <w:top w:val="nil"/>
              <w:left w:val="nil"/>
              <w:bottom w:val="nil"/>
              <w:right w:val="single" w:sz="8" w:space="0" w:color="auto"/>
            </w:tcBorders>
            <w:shd w:val="clear" w:color="000000" w:fill="FFFFFF"/>
            <w:noWrap/>
            <w:vAlign w:val="center"/>
            <w:hideMark/>
          </w:tcPr>
          <w:p w14:paraId="5E64FC47"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228.546,3</w:t>
            </w:r>
          </w:p>
        </w:tc>
        <w:tc>
          <w:tcPr>
            <w:tcW w:w="1091" w:type="dxa"/>
            <w:tcBorders>
              <w:top w:val="nil"/>
              <w:left w:val="nil"/>
              <w:bottom w:val="nil"/>
              <w:right w:val="single" w:sz="8" w:space="0" w:color="auto"/>
            </w:tcBorders>
            <w:shd w:val="clear" w:color="000000" w:fill="FFFFFF"/>
            <w:noWrap/>
            <w:vAlign w:val="center"/>
            <w:hideMark/>
          </w:tcPr>
          <w:p w14:paraId="632F0A3B"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244.512,5</w:t>
            </w:r>
          </w:p>
        </w:tc>
        <w:tc>
          <w:tcPr>
            <w:tcW w:w="1091" w:type="dxa"/>
            <w:tcBorders>
              <w:top w:val="nil"/>
              <w:left w:val="nil"/>
              <w:bottom w:val="nil"/>
              <w:right w:val="single" w:sz="8" w:space="0" w:color="auto"/>
            </w:tcBorders>
            <w:shd w:val="clear" w:color="000000" w:fill="FFFFFF"/>
            <w:noWrap/>
            <w:vAlign w:val="center"/>
            <w:hideMark/>
          </w:tcPr>
          <w:p w14:paraId="1EA85C7E"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261.607,3</w:t>
            </w:r>
          </w:p>
        </w:tc>
        <w:tc>
          <w:tcPr>
            <w:tcW w:w="1091" w:type="dxa"/>
            <w:tcBorders>
              <w:top w:val="nil"/>
              <w:left w:val="nil"/>
              <w:bottom w:val="nil"/>
              <w:right w:val="single" w:sz="8" w:space="0" w:color="auto"/>
            </w:tcBorders>
            <w:shd w:val="clear" w:color="000000" w:fill="FFFFFF"/>
            <w:noWrap/>
            <w:vAlign w:val="center"/>
            <w:hideMark/>
          </w:tcPr>
          <w:p w14:paraId="3BF10632"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279.911,4</w:t>
            </w:r>
          </w:p>
        </w:tc>
        <w:tc>
          <w:tcPr>
            <w:tcW w:w="1091" w:type="dxa"/>
            <w:tcBorders>
              <w:top w:val="nil"/>
              <w:left w:val="nil"/>
              <w:bottom w:val="nil"/>
              <w:right w:val="single" w:sz="8" w:space="0" w:color="auto"/>
            </w:tcBorders>
            <w:shd w:val="clear" w:color="000000" w:fill="FFFFFF"/>
            <w:noWrap/>
            <w:vAlign w:val="center"/>
            <w:hideMark/>
          </w:tcPr>
          <w:p w14:paraId="28877D63"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299.511,1</w:t>
            </w:r>
          </w:p>
        </w:tc>
        <w:tc>
          <w:tcPr>
            <w:tcW w:w="1091" w:type="dxa"/>
            <w:tcBorders>
              <w:top w:val="nil"/>
              <w:left w:val="nil"/>
              <w:bottom w:val="nil"/>
              <w:right w:val="single" w:sz="8" w:space="0" w:color="auto"/>
            </w:tcBorders>
            <w:shd w:val="clear" w:color="000000" w:fill="FFFFFF"/>
            <w:noWrap/>
            <w:vAlign w:val="center"/>
            <w:hideMark/>
          </w:tcPr>
          <w:p w14:paraId="70E214E8"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320.499,3</w:t>
            </w:r>
          </w:p>
        </w:tc>
        <w:tc>
          <w:tcPr>
            <w:tcW w:w="1091" w:type="dxa"/>
            <w:tcBorders>
              <w:top w:val="nil"/>
              <w:left w:val="nil"/>
              <w:bottom w:val="nil"/>
              <w:right w:val="single" w:sz="8" w:space="0" w:color="auto"/>
            </w:tcBorders>
            <w:shd w:val="clear" w:color="000000" w:fill="FFFFFF"/>
            <w:noWrap/>
            <w:vAlign w:val="center"/>
            <w:hideMark/>
          </w:tcPr>
          <w:p w14:paraId="2C48EF3C" w14:textId="77777777" w:rsidR="001D3315" w:rsidRPr="00117BF8" w:rsidRDefault="001D3315" w:rsidP="001D3315">
            <w:pPr>
              <w:pStyle w:val="TablaC"/>
              <w:rPr>
                <w:rFonts w:ascii="Arial" w:hAnsi="Arial" w:cs="Arial"/>
                <w:sz w:val="18"/>
                <w:szCs w:val="18"/>
              </w:rPr>
            </w:pPr>
            <w:r w:rsidRPr="00117BF8">
              <w:rPr>
                <w:rFonts w:ascii="Arial" w:hAnsi="Arial" w:cs="Arial"/>
                <w:sz w:val="18"/>
                <w:szCs w:val="18"/>
              </w:rPr>
              <w:t>342.975,3</w:t>
            </w:r>
          </w:p>
        </w:tc>
      </w:tr>
      <w:tr w:rsidR="001D3315" w:rsidRPr="004E6455" w14:paraId="3510C77D" w14:textId="77777777" w:rsidTr="00117BF8">
        <w:tc>
          <w:tcPr>
            <w:tcW w:w="2835" w:type="dxa"/>
            <w:tcBorders>
              <w:top w:val="single" w:sz="8" w:space="0" w:color="auto"/>
              <w:left w:val="single" w:sz="8" w:space="0" w:color="auto"/>
              <w:bottom w:val="single" w:sz="8" w:space="0" w:color="auto"/>
              <w:right w:val="nil"/>
            </w:tcBorders>
            <w:shd w:val="clear" w:color="000000" w:fill="FFFFFF"/>
            <w:noWrap/>
            <w:hideMark/>
          </w:tcPr>
          <w:p w14:paraId="1C481CD3" w14:textId="77777777" w:rsidR="001D3315" w:rsidRPr="00117BF8" w:rsidRDefault="001D3315" w:rsidP="001D3315">
            <w:pPr>
              <w:pStyle w:val="TablaC"/>
              <w:jc w:val="left"/>
              <w:rPr>
                <w:rFonts w:ascii="Arial" w:hAnsi="Arial" w:cs="Arial"/>
                <w:b/>
                <w:sz w:val="18"/>
                <w:szCs w:val="18"/>
              </w:rPr>
            </w:pPr>
            <w:r w:rsidRPr="00117BF8">
              <w:rPr>
                <w:rFonts w:ascii="Arial" w:hAnsi="Arial" w:cs="Arial"/>
                <w:b/>
                <w:sz w:val="18"/>
                <w:szCs w:val="18"/>
              </w:rPr>
              <w:t>III. RESULTADO ECONOMICO</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5868579"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-12.358,7</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64BB3CF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8.726,0</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7E1F7B11"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10.842,8</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18C12E1E"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13.994,3</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461300F3"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21.508,0</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62185220"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25.779,1</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5A138C63"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33.241,3</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3AFD87F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39.992,0</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2B56961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45.501,6</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33C94F31"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54.170,9</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4CEFEC4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63.688,8</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2B486C0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74.042,2</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1466567D"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84.391,3</w:t>
            </w:r>
          </w:p>
        </w:tc>
      </w:tr>
      <w:tr w:rsidR="001D3315" w:rsidRPr="004E6455" w14:paraId="385DD87D" w14:textId="77777777" w:rsidTr="00117BF8">
        <w:tc>
          <w:tcPr>
            <w:tcW w:w="2835" w:type="dxa"/>
            <w:tcBorders>
              <w:top w:val="nil"/>
              <w:left w:val="single" w:sz="8" w:space="0" w:color="auto"/>
              <w:bottom w:val="single" w:sz="8" w:space="0" w:color="auto"/>
              <w:right w:val="nil"/>
            </w:tcBorders>
            <w:shd w:val="clear" w:color="000000" w:fill="FFFFFF"/>
            <w:noWrap/>
            <w:hideMark/>
          </w:tcPr>
          <w:p w14:paraId="5FC1C439" w14:textId="77777777" w:rsidR="001D3315" w:rsidRPr="00117BF8" w:rsidRDefault="001D3315" w:rsidP="001D3315">
            <w:pPr>
              <w:pStyle w:val="TablaC"/>
              <w:jc w:val="left"/>
              <w:rPr>
                <w:rFonts w:ascii="Arial" w:hAnsi="Arial" w:cs="Arial"/>
                <w:b/>
                <w:sz w:val="18"/>
                <w:szCs w:val="18"/>
              </w:rPr>
            </w:pPr>
            <w:r w:rsidRPr="00117BF8">
              <w:rPr>
                <w:rFonts w:ascii="Arial" w:hAnsi="Arial" w:cs="Arial"/>
                <w:b/>
                <w:sz w:val="18"/>
                <w:szCs w:val="18"/>
              </w:rPr>
              <w:t>IV. INGRESOS DE CAPITAL</w:t>
            </w:r>
          </w:p>
        </w:tc>
        <w:tc>
          <w:tcPr>
            <w:tcW w:w="941" w:type="dxa"/>
            <w:tcBorders>
              <w:top w:val="nil"/>
              <w:left w:val="single" w:sz="8" w:space="0" w:color="auto"/>
              <w:bottom w:val="nil"/>
              <w:right w:val="single" w:sz="8" w:space="0" w:color="auto"/>
            </w:tcBorders>
            <w:shd w:val="clear" w:color="000000" w:fill="FFFFFF"/>
            <w:noWrap/>
            <w:vAlign w:val="center"/>
            <w:hideMark/>
          </w:tcPr>
          <w:p w14:paraId="2791B94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8.035,5</w:t>
            </w:r>
          </w:p>
        </w:tc>
        <w:tc>
          <w:tcPr>
            <w:tcW w:w="941" w:type="dxa"/>
            <w:tcBorders>
              <w:top w:val="nil"/>
              <w:left w:val="nil"/>
              <w:bottom w:val="nil"/>
              <w:right w:val="single" w:sz="8" w:space="0" w:color="auto"/>
            </w:tcBorders>
            <w:shd w:val="clear" w:color="000000" w:fill="FFFFFF"/>
            <w:noWrap/>
            <w:vAlign w:val="center"/>
            <w:hideMark/>
          </w:tcPr>
          <w:p w14:paraId="1C7E2C05"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9.158,8</w:t>
            </w:r>
          </w:p>
        </w:tc>
        <w:tc>
          <w:tcPr>
            <w:tcW w:w="941" w:type="dxa"/>
            <w:tcBorders>
              <w:top w:val="nil"/>
              <w:left w:val="nil"/>
              <w:bottom w:val="nil"/>
              <w:right w:val="single" w:sz="8" w:space="0" w:color="auto"/>
            </w:tcBorders>
            <w:shd w:val="clear" w:color="000000" w:fill="FFFFFF"/>
            <w:noWrap/>
            <w:vAlign w:val="center"/>
            <w:hideMark/>
          </w:tcPr>
          <w:p w14:paraId="2F6B710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10.838,7</w:t>
            </w:r>
          </w:p>
        </w:tc>
        <w:tc>
          <w:tcPr>
            <w:tcW w:w="941" w:type="dxa"/>
            <w:tcBorders>
              <w:top w:val="nil"/>
              <w:left w:val="nil"/>
              <w:bottom w:val="nil"/>
              <w:right w:val="single" w:sz="8" w:space="0" w:color="auto"/>
            </w:tcBorders>
            <w:shd w:val="clear" w:color="000000" w:fill="FFFFFF"/>
            <w:noWrap/>
            <w:vAlign w:val="center"/>
            <w:hideMark/>
          </w:tcPr>
          <w:p w14:paraId="47DB7EF1"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13.668,0</w:t>
            </w:r>
          </w:p>
        </w:tc>
        <w:tc>
          <w:tcPr>
            <w:tcW w:w="941" w:type="dxa"/>
            <w:tcBorders>
              <w:top w:val="nil"/>
              <w:left w:val="nil"/>
              <w:bottom w:val="nil"/>
              <w:right w:val="single" w:sz="8" w:space="0" w:color="auto"/>
            </w:tcBorders>
            <w:shd w:val="clear" w:color="000000" w:fill="FFFFFF"/>
            <w:noWrap/>
            <w:vAlign w:val="center"/>
            <w:hideMark/>
          </w:tcPr>
          <w:p w14:paraId="4AA1D13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14.501,7</w:t>
            </w:r>
          </w:p>
        </w:tc>
        <w:tc>
          <w:tcPr>
            <w:tcW w:w="941" w:type="dxa"/>
            <w:tcBorders>
              <w:top w:val="nil"/>
              <w:left w:val="nil"/>
              <w:bottom w:val="nil"/>
              <w:right w:val="single" w:sz="8" w:space="0" w:color="auto"/>
            </w:tcBorders>
            <w:shd w:val="clear" w:color="000000" w:fill="FFFFFF"/>
            <w:noWrap/>
            <w:vAlign w:val="center"/>
            <w:hideMark/>
          </w:tcPr>
          <w:p w14:paraId="3CE534B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15.154,3</w:t>
            </w:r>
          </w:p>
        </w:tc>
        <w:tc>
          <w:tcPr>
            <w:tcW w:w="941" w:type="dxa"/>
            <w:tcBorders>
              <w:top w:val="nil"/>
              <w:left w:val="nil"/>
              <w:bottom w:val="nil"/>
              <w:right w:val="single" w:sz="8" w:space="0" w:color="auto"/>
            </w:tcBorders>
            <w:shd w:val="clear" w:color="000000" w:fill="FFFFFF"/>
            <w:noWrap/>
            <w:vAlign w:val="center"/>
            <w:hideMark/>
          </w:tcPr>
          <w:p w14:paraId="4024B16A"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15.836,2</w:t>
            </w:r>
          </w:p>
        </w:tc>
        <w:tc>
          <w:tcPr>
            <w:tcW w:w="1091" w:type="dxa"/>
            <w:tcBorders>
              <w:top w:val="nil"/>
              <w:left w:val="nil"/>
              <w:bottom w:val="nil"/>
              <w:right w:val="single" w:sz="8" w:space="0" w:color="auto"/>
            </w:tcBorders>
            <w:shd w:val="clear" w:color="000000" w:fill="FFFFFF"/>
            <w:noWrap/>
            <w:vAlign w:val="center"/>
            <w:hideMark/>
          </w:tcPr>
          <w:p w14:paraId="5AB71449"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16.548,9</w:t>
            </w:r>
          </w:p>
        </w:tc>
        <w:tc>
          <w:tcPr>
            <w:tcW w:w="1091" w:type="dxa"/>
            <w:tcBorders>
              <w:top w:val="nil"/>
              <w:left w:val="nil"/>
              <w:bottom w:val="nil"/>
              <w:right w:val="single" w:sz="8" w:space="0" w:color="auto"/>
            </w:tcBorders>
            <w:shd w:val="clear" w:color="000000" w:fill="FFFFFF"/>
            <w:noWrap/>
            <w:vAlign w:val="center"/>
            <w:hideMark/>
          </w:tcPr>
          <w:p w14:paraId="3C921A1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17.293,6</w:t>
            </w:r>
          </w:p>
        </w:tc>
        <w:tc>
          <w:tcPr>
            <w:tcW w:w="1091" w:type="dxa"/>
            <w:tcBorders>
              <w:top w:val="nil"/>
              <w:left w:val="nil"/>
              <w:bottom w:val="nil"/>
              <w:right w:val="single" w:sz="8" w:space="0" w:color="auto"/>
            </w:tcBorders>
            <w:shd w:val="clear" w:color="000000" w:fill="FFFFFF"/>
            <w:noWrap/>
            <w:vAlign w:val="center"/>
            <w:hideMark/>
          </w:tcPr>
          <w:p w14:paraId="4C00FCCA"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18.071,8</w:t>
            </w:r>
          </w:p>
        </w:tc>
        <w:tc>
          <w:tcPr>
            <w:tcW w:w="1091" w:type="dxa"/>
            <w:tcBorders>
              <w:top w:val="nil"/>
              <w:left w:val="nil"/>
              <w:bottom w:val="nil"/>
              <w:right w:val="single" w:sz="8" w:space="0" w:color="auto"/>
            </w:tcBorders>
            <w:shd w:val="clear" w:color="000000" w:fill="FFFFFF"/>
            <w:noWrap/>
            <w:vAlign w:val="center"/>
            <w:hideMark/>
          </w:tcPr>
          <w:p w14:paraId="5CEEAFF1"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18.885,0</w:t>
            </w:r>
          </w:p>
        </w:tc>
        <w:tc>
          <w:tcPr>
            <w:tcW w:w="1091" w:type="dxa"/>
            <w:tcBorders>
              <w:top w:val="nil"/>
              <w:left w:val="nil"/>
              <w:bottom w:val="nil"/>
              <w:right w:val="single" w:sz="8" w:space="0" w:color="auto"/>
            </w:tcBorders>
            <w:shd w:val="clear" w:color="000000" w:fill="FFFFFF"/>
            <w:noWrap/>
            <w:vAlign w:val="center"/>
            <w:hideMark/>
          </w:tcPr>
          <w:p w14:paraId="4BE0933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19.734,8</w:t>
            </w:r>
          </w:p>
        </w:tc>
        <w:tc>
          <w:tcPr>
            <w:tcW w:w="1091" w:type="dxa"/>
            <w:tcBorders>
              <w:top w:val="nil"/>
              <w:left w:val="nil"/>
              <w:bottom w:val="nil"/>
              <w:right w:val="single" w:sz="8" w:space="0" w:color="auto"/>
            </w:tcBorders>
            <w:shd w:val="clear" w:color="000000" w:fill="FFFFFF"/>
            <w:noWrap/>
            <w:vAlign w:val="center"/>
            <w:hideMark/>
          </w:tcPr>
          <w:p w14:paraId="017D20BE"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20.622,9</w:t>
            </w:r>
          </w:p>
        </w:tc>
      </w:tr>
      <w:tr w:rsidR="001D3315" w:rsidRPr="004E6455" w14:paraId="072BE7DE" w14:textId="77777777" w:rsidTr="00117BF8">
        <w:tc>
          <w:tcPr>
            <w:tcW w:w="2835" w:type="dxa"/>
            <w:tcBorders>
              <w:top w:val="nil"/>
              <w:left w:val="single" w:sz="8" w:space="0" w:color="auto"/>
              <w:bottom w:val="single" w:sz="8" w:space="0" w:color="auto"/>
              <w:right w:val="nil"/>
            </w:tcBorders>
            <w:shd w:val="clear" w:color="000000" w:fill="FFFFFF"/>
            <w:noWrap/>
            <w:hideMark/>
          </w:tcPr>
          <w:p w14:paraId="0347077C" w14:textId="77777777" w:rsidR="001D3315" w:rsidRPr="00117BF8" w:rsidRDefault="001D3315" w:rsidP="001D3315">
            <w:pPr>
              <w:pStyle w:val="TablaC"/>
              <w:jc w:val="left"/>
              <w:rPr>
                <w:rFonts w:ascii="Arial" w:hAnsi="Arial" w:cs="Arial"/>
                <w:b/>
                <w:sz w:val="18"/>
                <w:szCs w:val="18"/>
              </w:rPr>
            </w:pPr>
            <w:r w:rsidRPr="00117BF8">
              <w:rPr>
                <w:rFonts w:ascii="Arial" w:hAnsi="Arial" w:cs="Arial"/>
                <w:b/>
                <w:sz w:val="18"/>
                <w:szCs w:val="18"/>
              </w:rPr>
              <w:t xml:space="preserve"> V. GASTOS DE CAPITAL</w:t>
            </w:r>
          </w:p>
        </w:tc>
        <w:tc>
          <w:tcPr>
            <w:tcW w:w="94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F6D75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26.494,0</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56B026C2"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44.287,9</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3ECBBE83"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52.731,5</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29587FD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63.043,8</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432DCD59"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70.246,0</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4F2BB289"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74.922,9</w:t>
            </w:r>
          </w:p>
        </w:tc>
        <w:tc>
          <w:tcPr>
            <w:tcW w:w="941" w:type="dxa"/>
            <w:tcBorders>
              <w:top w:val="single" w:sz="8" w:space="0" w:color="auto"/>
              <w:left w:val="nil"/>
              <w:bottom w:val="single" w:sz="8" w:space="0" w:color="auto"/>
              <w:right w:val="single" w:sz="8" w:space="0" w:color="auto"/>
            </w:tcBorders>
            <w:shd w:val="clear" w:color="000000" w:fill="FFFFFF"/>
            <w:noWrap/>
            <w:vAlign w:val="center"/>
            <w:hideMark/>
          </w:tcPr>
          <w:p w14:paraId="5A6D1E7D"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79.602,3</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273790C1"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86.036,1</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19B912C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94.024,9</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6C1348BE"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102.873,8</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3ADA8E0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112.685,4</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6D8820E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123.575,2</w:t>
            </w:r>
          </w:p>
        </w:tc>
        <w:tc>
          <w:tcPr>
            <w:tcW w:w="1091" w:type="dxa"/>
            <w:tcBorders>
              <w:top w:val="single" w:sz="8" w:space="0" w:color="auto"/>
              <w:left w:val="nil"/>
              <w:bottom w:val="single" w:sz="8" w:space="0" w:color="auto"/>
              <w:right w:val="single" w:sz="8" w:space="0" w:color="auto"/>
            </w:tcBorders>
            <w:shd w:val="clear" w:color="000000" w:fill="FFFFFF"/>
            <w:noWrap/>
            <w:vAlign w:val="center"/>
            <w:hideMark/>
          </w:tcPr>
          <w:p w14:paraId="1A63F147"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135.673,7</w:t>
            </w:r>
          </w:p>
        </w:tc>
      </w:tr>
      <w:tr w:rsidR="001D3315" w:rsidRPr="004E6455" w14:paraId="62467DD4" w14:textId="77777777" w:rsidTr="00117BF8">
        <w:tc>
          <w:tcPr>
            <w:tcW w:w="2835" w:type="dxa"/>
            <w:tcBorders>
              <w:top w:val="nil"/>
              <w:left w:val="single" w:sz="8" w:space="0" w:color="auto"/>
              <w:bottom w:val="single" w:sz="8" w:space="0" w:color="auto"/>
              <w:right w:val="nil"/>
            </w:tcBorders>
            <w:shd w:val="clear" w:color="000000" w:fill="FFFFFF"/>
            <w:noWrap/>
            <w:hideMark/>
          </w:tcPr>
          <w:p w14:paraId="3A6AF688" w14:textId="77777777" w:rsidR="001D3315" w:rsidRPr="00117BF8" w:rsidRDefault="001D3315" w:rsidP="001D3315">
            <w:pPr>
              <w:pStyle w:val="TablaC"/>
              <w:jc w:val="left"/>
              <w:rPr>
                <w:rFonts w:ascii="Arial" w:hAnsi="Arial" w:cs="Arial"/>
                <w:b/>
                <w:sz w:val="18"/>
                <w:szCs w:val="18"/>
              </w:rPr>
            </w:pPr>
            <w:r w:rsidRPr="00117BF8">
              <w:rPr>
                <w:rFonts w:ascii="Arial" w:hAnsi="Arial" w:cs="Arial"/>
                <w:b/>
                <w:sz w:val="18"/>
                <w:szCs w:val="18"/>
              </w:rPr>
              <w:t xml:space="preserve"> VI. INGRESOS TOTALES (I+IV)</w:t>
            </w:r>
          </w:p>
        </w:tc>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348092CD"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394.097,4</w:t>
            </w:r>
          </w:p>
        </w:tc>
        <w:tc>
          <w:tcPr>
            <w:tcW w:w="941" w:type="dxa"/>
            <w:tcBorders>
              <w:top w:val="nil"/>
              <w:left w:val="nil"/>
              <w:bottom w:val="single" w:sz="8" w:space="0" w:color="auto"/>
              <w:right w:val="single" w:sz="8" w:space="0" w:color="auto"/>
            </w:tcBorders>
            <w:shd w:val="clear" w:color="000000" w:fill="FFFFFF"/>
            <w:noWrap/>
            <w:vAlign w:val="center"/>
            <w:hideMark/>
          </w:tcPr>
          <w:p w14:paraId="438CA2AE"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512.289,5</w:t>
            </w:r>
          </w:p>
        </w:tc>
        <w:tc>
          <w:tcPr>
            <w:tcW w:w="941" w:type="dxa"/>
            <w:tcBorders>
              <w:top w:val="nil"/>
              <w:left w:val="nil"/>
              <w:bottom w:val="single" w:sz="8" w:space="0" w:color="auto"/>
              <w:right w:val="single" w:sz="8" w:space="0" w:color="auto"/>
            </w:tcBorders>
            <w:shd w:val="clear" w:color="000000" w:fill="FFFFFF"/>
            <w:noWrap/>
            <w:vAlign w:val="center"/>
            <w:hideMark/>
          </w:tcPr>
          <w:p w14:paraId="0549CFB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618.978,5</w:t>
            </w:r>
          </w:p>
        </w:tc>
        <w:tc>
          <w:tcPr>
            <w:tcW w:w="941" w:type="dxa"/>
            <w:tcBorders>
              <w:top w:val="nil"/>
              <w:left w:val="nil"/>
              <w:bottom w:val="single" w:sz="8" w:space="0" w:color="auto"/>
              <w:right w:val="single" w:sz="8" w:space="0" w:color="auto"/>
            </w:tcBorders>
            <w:shd w:val="clear" w:color="000000" w:fill="FFFFFF"/>
            <w:noWrap/>
            <w:vAlign w:val="center"/>
            <w:hideMark/>
          </w:tcPr>
          <w:p w14:paraId="7BB3806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718.564,3</w:t>
            </w:r>
          </w:p>
        </w:tc>
        <w:tc>
          <w:tcPr>
            <w:tcW w:w="941" w:type="dxa"/>
            <w:tcBorders>
              <w:top w:val="nil"/>
              <w:left w:val="nil"/>
              <w:bottom w:val="single" w:sz="8" w:space="0" w:color="auto"/>
              <w:right w:val="single" w:sz="8" w:space="0" w:color="auto"/>
            </w:tcBorders>
            <w:shd w:val="clear" w:color="000000" w:fill="FFFFFF"/>
            <w:noWrap/>
            <w:vAlign w:val="center"/>
            <w:hideMark/>
          </w:tcPr>
          <w:p w14:paraId="30516A66"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805.790,7</w:t>
            </w:r>
          </w:p>
        </w:tc>
        <w:tc>
          <w:tcPr>
            <w:tcW w:w="941" w:type="dxa"/>
            <w:tcBorders>
              <w:top w:val="nil"/>
              <w:left w:val="nil"/>
              <w:bottom w:val="single" w:sz="8" w:space="0" w:color="auto"/>
              <w:right w:val="single" w:sz="8" w:space="0" w:color="auto"/>
            </w:tcBorders>
            <w:shd w:val="clear" w:color="000000" w:fill="FFFFFF"/>
            <w:noWrap/>
            <w:vAlign w:val="center"/>
            <w:hideMark/>
          </w:tcPr>
          <w:p w14:paraId="3E6B9E73"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874.176,5</w:t>
            </w:r>
          </w:p>
        </w:tc>
        <w:tc>
          <w:tcPr>
            <w:tcW w:w="941" w:type="dxa"/>
            <w:tcBorders>
              <w:top w:val="nil"/>
              <w:left w:val="nil"/>
              <w:bottom w:val="single" w:sz="8" w:space="0" w:color="auto"/>
              <w:right w:val="single" w:sz="8" w:space="0" w:color="auto"/>
            </w:tcBorders>
            <w:shd w:val="clear" w:color="000000" w:fill="FFFFFF"/>
            <w:noWrap/>
            <w:vAlign w:val="center"/>
            <w:hideMark/>
          </w:tcPr>
          <w:p w14:paraId="41AA81F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934.123,9</w:t>
            </w:r>
          </w:p>
        </w:tc>
        <w:tc>
          <w:tcPr>
            <w:tcW w:w="1091" w:type="dxa"/>
            <w:tcBorders>
              <w:top w:val="nil"/>
              <w:left w:val="nil"/>
              <w:bottom w:val="single" w:sz="8" w:space="0" w:color="auto"/>
              <w:right w:val="single" w:sz="8" w:space="0" w:color="auto"/>
            </w:tcBorders>
            <w:shd w:val="clear" w:color="000000" w:fill="FFFFFF"/>
            <w:noWrap/>
            <w:vAlign w:val="center"/>
            <w:hideMark/>
          </w:tcPr>
          <w:p w14:paraId="4549831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998.385,0</w:t>
            </w:r>
          </w:p>
        </w:tc>
        <w:tc>
          <w:tcPr>
            <w:tcW w:w="1091" w:type="dxa"/>
            <w:tcBorders>
              <w:top w:val="nil"/>
              <w:left w:val="nil"/>
              <w:bottom w:val="single" w:sz="8" w:space="0" w:color="auto"/>
              <w:right w:val="single" w:sz="8" w:space="0" w:color="auto"/>
            </w:tcBorders>
            <w:shd w:val="clear" w:color="000000" w:fill="FFFFFF"/>
            <w:noWrap/>
            <w:vAlign w:val="center"/>
            <w:hideMark/>
          </w:tcPr>
          <w:p w14:paraId="30366AA3"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1.067.275,7</w:t>
            </w:r>
          </w:p>
        </w:tc>
        <w:tc>
          <w:tcPr>
            <w:tcW w:w="1091" w:type="dxa"/>
            <w:tcBorders>
              <w:top w:val="nil"/>
              <w:left w:val="nil"/>
              <w:bottom w:val="single" w:sz="8" w:space="0" w:color="auto"/>
              <w:right w:val="single" w:sz="8" w:space="0" w:color="auto"/>
            </w:tcBorders>
            <w:shd w:val="clear" w:color="000000" w:fill="FFFFFF"/>
            <w:noWrap/>
            <w:vAlign w:val="center"/>
            <w:hideMark/>
          </w:tcPr>
          <w:p w14:paraId="32A5B6E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1.141.135,4</w:t>
            </w:r>
          </w:p>
        </w:tc>
        <w:tc>
          <w:tcPr>
            <w:tcW w:w="1091" w:type="dxa"/>
            <w:tcBorders>
              <w:top w:val="nil"/>
              <w:left w:val="nil"/>
              <w:bottom w:val="single" w:sz="8" w:space="0" w:color="auto"/>
              <w:right w:val="single" w:sz="8" w:space="0" w:color="auto"/>
            </w:tcBorders>
            <w:shd w:val="clear" w:color="000000" w:fill="FFFFFF"/>
            <w:noWrap/>
            <w:vAlign w:val="center"/>
            <w:hideMark/>
          </w:tcPr>
          <w:p w14:paraId="1A674F0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1.220.328,9</w:t>
            </w:r>
          </w:p>
        </w:tc>
        <w:tc>
          <w:tcPr>
            <w:tcW w:w="1091" w:type="dxa"/>
            <w:tcBorders>
              <w:top w:val="nil"/>
              <w:left w:val="nil"/>
              <w:bottom w:val="single" w:sz="8" w:space="0" w:color="auto"/>
              <w:right w:val="single" w:sz="8" w:space="0" w:color="auto"/>
            </w:tcBorders>
            <w:shd w:val="clear" w:color="000000" w:fill="FFFFFF"/>
            <w:noWrap/>
            <w:vAlign w:val="center"/>
            <w:hideMark/>
          </w:tcPr>
          <w:p w14:paraId="0850A55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1.305.247,6</w:t>
            </w:r>
          </w:p>
        </w:tc>
        <w:tc>
          <w:tcPr>
            <w:tcW w:w="1091" w:type="dxa"/>
            <w:tcBorders>
              <w:top w:val="nil"/>
              <w:left w:val="nil"/>
              <w:bottom w:val="single" w:sz="8" w:space="0" w:color="auto"/>
              <w:right w:val="single" w:sz="8" w:space="0" w:color="auto"/>
            </w:tcBorders>
            <w:shd w:val="clear" w:color="000000" w:fill="FFFFFF"/>
            <w:noWrap/>
            <w:vAlign w:val="center"/>
            <w:hideMark/>
          </w:tcPr>
          <w:p w14:paraId="18E347C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1.396.312,3</w:t>
            </w:r>
          </w:p>
        </w:tc>
      </w:tr>
      <w:tr w:rsidR="001D3315" w:rsidRPr="004E6455" w14:paraId="4E9FCE57" w14:textId="77777777" w:rsidTr="00117BF8">
        <w:tc>
          <w:tcPr>
            <w:tcW w:w="2835" w:type="dxa"/>
            <w:tcBorders>
              <w:top w:val="nil"/>
              <w:left w:val="single" w:sz="8" w:space="0" w:color="auto"/>
              <w:bottom w:val="single" w:sz="8" w:space="0" w:color="auto"/>
              <w:right w:val="nil"/>
            </w:tcBorders>
            <w:shd w:val="clear" w:color="000000" w:fill="FFFFFF"/>
            <w:noWrap/>
            <w:hideMark/>
          </w:tcPr>
          <w:p w14:paraId="45561F9B" w14:textId="77777777" w:rsidR="001D3315" w:rsidRPr="00117BF8" w:rsidRDefault="001D3315" w:rsidP="001D3315">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VII. GASTOS TOTALES (II+V)</w:t>
            </w:r>
          </w:p>
        </w:tc>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1407653D"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424.914,5</w:t>
            </w:r>
          </w:p>
        </w:tc>
        <w:tc>
          <w:tcPr>
            <w:tcW w:w="941" w:type="dxa"/>
            <w:tcBorders>
              <w:top w:val="nil"/>
              <w:left w:val="nil"/>
              <w:bottom w:val="single" w:sz="8" w:space="0" w:color="auto"/>
              <w:right w:val="single" w:sz="8" w:space="0" w:color="auto"/>
            </w:tcBorders>
            <w:shd w:val="clear" w:color="000000" w:fill="FFFFFF"/>
            <w:noWrap/>
            <w:vAlign w:val="center"/>
            <w:hideMark/>
          </w:tcPr>
          <w:p w14:paraId="7AC38629"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538.692,6</w:t>
            </w:r>
          </w:p>
        </w:tc>
        <w:tc>
          <w:tcPr>
            <w:tcW w:w="941" w:type="dxa"/>
            <w:tcBorders>
              <w:top w:val="nil"/>
              <w:left w:val="nil"/>
              <w:bottom w:val="single" w:sz="8" w:space="0" w:color="auto"/>
              <w:right w:val="single" w:sz="8" w:space="0" w:color="auto"/>
            </w:tcBorders>
            <w:shd w:val="clear" w:color="000000" w:fill="FFFFFF"/>
            <w:noWrap/>
            <w:vAlign w:val="center"/>
            <w:hideMark/>
          </w:tcPr>
          <w:p w14:paraId="39FECB2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650.028,4</w:t>
            </w:r>
          </w:p>
        </w:tc>
        <w:tc>
          <w:tcPr>
            <w:tcW w:w="941" w:type="dxa"/>
            <w:tcBorders>
              <w:top w:val="nil"/>
              <w:left w:val="nil"/>
              <w:bottom w:val="single" w:sz="8" w:space="0" w:color="auto"/>
              <w:right w:val="single" w:sz="8" w:space="0" w:color="auto"/>
            </w:tcBorders>
            <w:shd w:val="clear" w:color="000000" w:fill="FFFFFF"/>
            <w:noWrap/>
            <w:vAlign w:val="center"/>
            <w:hideMark/>
          </w:tcPr>
          <w:p w14:paraId="7EC48589"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753.945,9</w:t>
            </w:r>
          </w:p>
        </w:tc>
        <w:tc>
          <w:tcPr>
            <w:tcW w:w="941" w:type="dxa"/>
            <w:tcBorders>
              <w:top w:val="nil"/>
              <w:left w:val="nil"/>
              <w:bottom w:val="single" w:sz="8" w:space="0" w:color="auto"/>
              <w:right w:val="single" w:sz="8" w:space="0" w:color="auto"/>
            </w:tcBorders>
            <w:shd w:val="clear" w:color="000000" w:fill="FFFFFF"/>
            <w:noWrap/>
            <w:vAlign w:val="center"/>
            <w:hideMark/>
          </w:tcPr>
          <w:p w14:paraId="5443C7F6"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840.027,0</w:t>
            </w:r>
          </w:p>
        </w:tc>
        <w:tc>
          <w:tcPr>
            <w:tcW w:w="941" w:type="dxa"/>
            <w:tcBorders>
              <w:top w:val="nil"/>
              <w:left w:val="nil"/>
              <w:bottom w:val="single" w:sz="8" w:space="0" w:color="auto"/>
              <w:right w:val="single" w:sz="8" w:space="0" w:color="auto"/>
            </w:tcBorders>
            <w:shd w:val="clear" w:color="000000" w:fill="FFFFFF"/>
            <w:noWrap/>
            <w:vAlign w:val="center"/>
            <w:hideMark/>
          </w:tcPr>
          <w:p w14:paraId="475B177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908.166,0</w:t>
            </w:r>
          </w:p>
        </w:tc>
        <w:tc>
          <w:tcPr>
            <w:tcW w:w="941" w:type="dxa"/>
            <w:tcBorders>
              <w:top w:val="nil"/>
              <w:left w:val="nil"/>
              <w:bottom w:val="single" w:sz="8" w:space="0" w:color="auto"/>
              <w:right w:val="single" w:sz="8" w:space="0" w:color="auto"/>
            </w:tcBorders>
            <w:shd w:val="clear" w:color="000000" w:fill="FFFFFF"/>
            <w:noWrap/>
            <w:vAlign w:val="center"/>
            <w:hideMark/>
          </w:tcPr>
          <w:p w14:paraId="0CA0D833"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964.648,7</w:t>
            </w:r>
          </w:p>
        </w:tc>
        <w:tc>
          <w:tcPr>
            <w:tcW w:w="1091" w:type="dxa"/>
            <w:tcBorders>
              <w:top w:val="nil"/>
              <w:left w:val="nil"/>
              <w:bottom w:val="single" w:sz="8" w:space="0" w:color="auto"/>
              <w:right w:val="single" w:sz="8" w:space="0" w:color="auto"/>
            </w:tcBorders>
            <w:shd w:val="clear" w:color="000000" w:fill="FFFFFF"/>
            <w:noWrap/>
            <w:vAlign w:val="center"/>
            <w:hideMark/>
          </w:tcPr>
          <w:p w14:paraId="1192E270"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1.027.880,2</w:t>
            </w:r>
          </w:p>
        </w:tc>
        <w:tc>
          <w:tcPr>
            <w:tcW w:w="1091" w:type="dxa"/>
            <w:tcBorders>
              <w:top w:val="nil"/>
              <w:left w:val="nil"/>
              <w:bottom w:val="single" w:sz="8" w:space="0" w:color="auto"/>
              <w:right w:val="single" w:sz="8" w:space="0" w:color="auto"/>
            </w:tcBorders>
            <w:shd w:val="clear" w:color="000000" w:fill="FFFFFF"/>
            <w:noWrap/>
            <w:vAlign w:val="center"/>
            <w:hideMark/>
          </w:tcPr>
          <w:p w14:paraId="4B05A83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1.098.505,3</w:t>
            </w:r>
          </w:p>
        </w:tc>
        <w:tc>
          <w:tcPr>
            <w:tcW w:w="1091" w:type="dxa"/>
            <w:tcBorders>
              <w:top w:val="nil"/>
              <w:left w:val="nil"/>
              <w:bottom w:val="single" w:sz="8" w:space="0" w:color="auto"/>
              <w:right w:val="single" w:sz="8" w:space="0" w:color="auto"/>
            </w:tcBorders>
            <w:shd w:val="clear" w:color="000000" w:fill="FFFFFF"/>
            <w:noWrap/>
            <w:vAlign w:val="center"/>
            <w:hideMark/>
          </w:tcPr>
          <w:p w14:paraId="33135BC3"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1.171.766,6</w:t>
            </w:r>
          </w:p>
        </w:tc>
        <w:tc>
          <w:tcPr>
            <w:tcW w:w="1091" w:type="dxa"/>
            <w:tcBorders>
              <w:top w:val="nil"/>
              <w:left w:val="nil"/>
              <w:bottom w:val="single" w:sz="8" w:space="0" w:color="auto"/>
              <w:right w:val="single" w:sz="8" w:space="0" w:color="auto"/>
            </w:tcBorders>
            <w:shd w:val="clear" w:color="000000" w:fill="FFFFFF"/>
            <w:noWrap/>
            <w:vAlign w:val="center"/>
            <w:hideMark/>
          </w:tcPr>
          <w:p w14:paraId="08B42581"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1.250.440,5</w:t>
            </w:r>
          </w:p>
        </w:tc>
        <w:tc>
          <w:tcPr>
            <w:tcW w:w="1091" w:type="dxa"/>
            <w:tcBorders>
              <w:top w:val="nil"/>
              <w:left w:val="nil"/>
              <w:bottom w:val="single" w:sz="8" w:space="0" w:color="auto"/>
              <w:right w:val="single" w:sz="8" w:space="0" w:color="auto"/>
            </w:tcBorders>
            <w:shd w:val="clear" w:color="000000" w:fill="FFFFFF"/>
            <w:noWrap/>
            <w:vAlign w:val="center"/>
            <w:hideMark/>
          </w:tcPr>
          <w:p w14:paraId="020F7B4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1.335.045,8</w:t>
            </w:r>
          </w:p>
        </w:tc>
        <w:tc>
          <w:tcPr>
            <w:tcW w:w="1091" w:type="dxa"/>
            <w:tcBorders>
              <w:top w:val="nil"/>
              <w:left w:val="nil"/>
              <w:bottom w:val="single" w:sz="8" w:space="0" w:color="auto"/>
              <w:right w:val="single" w:sz="8" w:space="0" w:color="auto"/>
            </w:tcBorders>
            <w:shd w:val="clear" w:color="000000" w:fill="FFFFFF"/>
            <w:noWrap/>
            <w:vAlign w:val="center"/>
            <w:hideMark/>
          </w:tcPr>
          <w:p w14:paraId="26F98CE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1.426.971,8</w:t>
            </w:r>
          </w:p>
        </w:tc>
      </w:tr>
      <w:tr w:rsidR="001D3315" w:rsidRPr="004E6455" w14:paraId="0B196084" w14:textId="77777777" w:rsidTr="00117BF8">
        <w:tc>
          <w:tcPr>
            <w:tcW w:w="2835" w:type="dxa"/>
            <w:tcBorders>
              <w:top w:val="nil"/>
              <w:left w:val="single" w:sz="8" w:space="0" w:color="auto"/>
              <w:bottom w:val="single" w:sz="8" w:space="0" w:color="auto"/>
              <w:right w:val="nil"/>
            </w:tcBorders>
            <w:shd w:val="clear" w:color="000000" w:fill="FFFFFF"/>
            <w:noWrap/>
            <w:hideMark/>
          </w:tcPr>
          <w:p w14:paraId="63BBCE93" w14:textId="77777777" w:rsidR="001D3315" w:rsidRPr="00117BF8" w:rsidRDefault="001D3315" w:rsidP="001D3315">
            <w:pPr>
              <w:pStyle w:val="TablaC"/>
              <w:jc w:val="left"/>
              <w:rPr>
                <w:rFonts w:ascii="Arial" w:hAnsi="Arial" w:cs="Arial"/>
                <w:b/>
                <w:sz w:val="18"/>
                <w:szCs w:val="18"/>
              </w:rPr>
            </w:pPr>
            <w:r w:rsidRPr="00117BF8">
              <w:rPr>
                <w:rFonts w:ascii="Arial" w:hAnsi="Arial" w:cs="Arial"/>
                <w:b/>
                <w:sz w:val="18"/>
                <w:szCs w:val="18"/>
              </w:rPr>
              <w:t xml:space="preserve"> IX. RESULTADO PRIMARIO (VI-VIII)</w:t>
            </w:r>
          </w:p>
        </w:tc>
        <w:tc>
          <w:tcPr>
            <w:tcW w:w="941" w:type="dxa"/>
            <w:tcBorders>
              <w:top w:val="nil"/>
              <w:left w:val="single" w:sz="8" w:space="0" w:color="auto"/>
              <w:bottom w:val="single" w:sz="8" w:space="0" w:color="auto"/>
              <w:right w:val="single" w:sz="8" w:space="0" w:color="auto"/>
            </w:tcBorders>
            <w:shd w:val="clear" w:color="000000" w:fill="FFFFFF"/>
            <w:noWrap/>
            <w:vAlign w:val="center"/>
            <w:hideMark/>
          </w:tcPr>
          <w:p w14:paraId="36F0B79E"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-14.838,8</w:t>
            </w:r>
          </w:p>
        </w:tc>
        <w:tc>
          <w:tcPr>
            <w:tcW w:w="941" w:type="dxa"/>
            <w:tcBorders>
              <w:top w:val="nil"/>
              <w:left w:val="nil"/>
              <w:bottom w:val="single" w:sz="8" w:space="0" w:color="auto"/>
              <w:right w:val="single" w:sz="8" w:space="0" w:color="auto"/>
            </w:tcBorders>
            <w:shd w:val="clear" w:color="000000" w:fill="FFFFFF"/>
            <w:noWrap/>
            <w:vAlign w:val="center"/>
            <w:hideMark/>
          </w:tcPr>
          <w:p w14:paraId="4BC0F68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-4.367,7</w:t>
            </w:r>
          </w:p>
        </w:tc>
        <w:tc>
          <w:tcPr>
            <w:tcW w:w="941" w:type="dxa"/>
            <w:tcBorders>
              <w:top w:val="nil"/>
              <w:left w:val="nil"/>
              <w:bottom w:val="single" w:sz="8" w:space="0" w:color="auto"/>
              <w:right w:val="single" w:sz="8" w:space="0" w:color="auto"/>
            </w:tcBorders>
            <w:shd w:val="clear" w:color="000000" w:fill="FFFFFF"/>
            <w:noWrap/>
            <w:vAlign w:val="center"/>
            <w:hideMark/>
          </w:tcPr>
          <w:p w14:paraId="44BF4402"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-5.710,3</w:t>
            </w:r>
          </w:p>
        </w:tc>
        <w:tc>
          <w:tcPr>
            <w:tcW w:w="941" w:type="dxa"/>
            <w:tcBorders>
              <w:top w:val="nil"/>
              <w:left w:val="nil"/>
              <w:bottom w:val="single" w:sz="8" w:space="0" w:color="auto"/>
              <w:right w:val="single" w:sz="8" w:space="0" w:color="auto"/>
            </w:tcBorders>
            <w:shd w:val="clear" w:color="000000" w:fill="FFFFFF"/>
            <w:noWrap/>
            <w:vAlign w:val="center"/>
            <w:hideMark/>
          </w:tcPr>
          <w:p w14:paraId="78A0D0D2"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-3.004,2</w:t>
            </w:r>
          </w:p>
        </w:tc>
        <w:tc>
          <w:tcPr>
            <w:tcW w:w="941" w:type="dxa"/>
            <w:tcBorders>
              <w:top w:val="nil"/>
              <w:left w:val="nil"/>
              <w:bottom w:val="single" w:sz="8" w:space="0" w:color="auto"/>
              <w:right w:val="single" w:sz="8" w:space="0" w:color="auto"/>
            </w:tcBorders>
            <w:shd w:val="clear" w:color="000000" w:fill="FFFFFF"/>
            <w:noWrap/>
            <w:vAlign w:val="center"/>
            <w:hideMark/>
          </w:tcPr>
          <w:p w14:paraId="4C780F29"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3.076,4</w:t>
            </w:r>
          </w:p>
        </w:tc>
        <w:tc>
          <w:tcPr>
            <w:tcW w:w="941" w:type="dxa"/>
            <w:tcBorders>
              <w:top w:val="nil"/>
              <w:left w:val="nil"/>
              <w:bottom w:val="single" w:sz="8" w:space="0" w:color="auto"/>
              <w:right w:val="single" w:sz="8" w:space="0" w:color="auto"/>
            </w:tcBorders>
            <w:shd w:val="clear" w:color="000000" w:fill="FFFFFF"/>
            <w:noWrap/>
            <w:vAlign w:val="center"/>
            <w:hideMark/>
          </w:tcPr>
          <w:p w14:paraId="34EA6FF0"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6.358,4</w:t>
            </w:r>
          </w:p>
        </w:tc>
        <w:tc>
          <w:tcPr>
            <w:tcW w:w="941" w:type="dxa"/>
            <w:tcBorders>
              <w:top w:val="nil"/>
              <w:left w:val="nil"/>
              <w:bottom w:val="single" w:sz="8" w:space="0" w:color="auto"/>
              <w:right w:val="single" w:sz="8" w:space="0" w:color="auto"/>
            </w:tcBorders>
            <w:shd w:val="clear" w:color="000000" w:fill="FFFFFF"/>
            <w:noWrap/>
            <w:vAlign w:val="center"/>
            <w:hideMark/>
          </w:tcPr>
          <w:p w14:paraId="20D50E13"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10.956,0</w:t>
            </w:r>
          </w:p>
        </w:tc>
        <w:tc>
          <w:tcPr>
            <w:tcW w:w="1091" w:type="dxa"/>
            <w:tcBorders>
              <w:top w:val="nil"/>
              <w:left w:val="nil"/>
              <w:bottom w:val="single" w:sz="8" w:space="0" w:color="auto"/>
              <w:right w:val="single" w:sz="8" w:space="0" w:color="auto"/>
            </w:tcBorders>
            <w:shd w:val="clear" w:color="000000" w:fill="FFFFFF"/>
            <w:noWrap/>
            <w:vAlign w:val="center"/>
            <w:hideMark/>
          </w:tcPr>
          <w:p w14:paraId="2889B81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14.791,5</w:t>
            </w:r>
          </w:p>
        </w:tc>
        <w:tc>
          <w:tcPr>
            <w:tcW w:w="1091" w:type="dxa"/>
            <w:tcBorders>
              <w:top w:val="nil"/>
              <w:left w:val="nil"/>
              <w:bottom w:val="single" w:sz="8" w:space="0" w:color="auto"/>
              <w:right w:val="single" w:sz="8" w:space="0" w:color="auto"/>
            </w:tcBorders>
            <w:shd w:val="clear" w:color="000000" w:fill="FFFFFF"/>
            <w:noWrap/>
            <w:vAlign w:val="center"/>
            <w:hideMark/>
          </w:tcPr>
          <w:p w14:paraId="4668CF68"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18.212,4</w:t>
            </w:r>
          </w:p>
        </w:tc>
        <w:tc>
          <w:tcPr>
            <w:tcW w:w="1091" w:type="dxa"/>
            <w:tcBorders>
              <w:top w:val="nil"/>
              <w:left w:val="nil"/>
              <w:bottom w:val="single" w:sz="8" w:space="0" w:color="auto"/>
              <w:right w:val="single" w:sz="8" w:space="0" w:color="auto"/>
            </w:tcBorders>
            <w:shd w:val="clear" w:color="000000" w:fill="FFFFFF"/>
            <w:noWrap/>
            <w:vAlign w:val="center"/>
            <w:hideMark/>
          </w:tcPr>
          <w:p w14:paraId="3DE99C54"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22.024,9</w:t>
            </w:r>
          </w:p>
        </w:tc>
        <w:tc>
          <w:tcPr>
            <w:tcW w:w="1091" w:type="dxa"/>
            <w:tcBorders>
              <w:top w:val="nil"/>
              <w:left w:val="nil"/>
              <w:bottom w:val="single" w:sz="8" w:space="0" w:color="auto"/>
              <w:right w:val="single" w:sz="8" w:space="0" w:color="auto"/>
            </w:tcBorders>
            <w:shd w:val="clear" w:color="000000" w:fill="FFFFFF"/>
            <w:noWrap/>
            <w:vAlign w:val="center"/>
            <w:hideMark/>
          </w:tcPr>
          <w:p w14:paraId="461F0A4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26.248,2</w:t>
            </w:r>
          </w:p>
        </w:tc>
        <w:tc>
          <w:tcPr>
            <w:tcW w:w="1091" w:type="dxa"/>
            <w:tcBorders>
              <w:top w:val="nil"/>
              <w:left w:val="nil"/>
              <w:bottom w:val="single" w:sz="8" w:space="0" w:color="auto"/>
              <w:right w:val="single" w:sz="8" w:space="0" w:color="auto"/>
            </w:tcBorders>
            <w:shd w:val="clear" w:color="000000" w:fill="FFFFFF"/>
            <w:noWrap/>
            <w:vAlign w:val="center"/>
            <w:hideMark/>
          </w:tcPr>
          <w:p w14:paraId="2FDADFE6"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30.899,2</w:t>
            </w:r>
          </w:p>
        </w:tc>
        <w:tc>
          <w:tcPr>
            <w:tcW w:w="1091" w:type="dxa"/>
            <w:tcBorders>
              <w:top w:val="nil"/>
              <w:left w:val="nil"/>
              <w:bottom w:val="single" w:sz="8" w:space="0" w:color="auto"/>
              <w:right w:val="single" w:sz="8" w:space="0" w:color="auto"/>
            </w:tcBorders>
            <w:shd w:val="clear" w:color="000000" w:fill="FFFFFF"/>
            <w:noWrap/>
            <w:vAlign w:val="center"/>
            <w:hideMark/>
          </w:tcPr>
          <w:p w14:paraId="7ACC4FA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35.991,6</w:t>
            </w:r>
          </w:p>
        </w:tc>
      </w:tr>
      <w:tr w:rsidR="001D3315" w:rsidRPr="004E6455" w14:paraId="13B8FE36" w14:textId="77777777" w:rsidTr="00117BF8">
        <w:tc>
          <w:tcPr>
            <w:tcW w:w="2835" w:type="dxa"/>
            <w:tcBorders>
              <w:top w:val="nil"/>
              <w:left w:val="single" w:sz="8" w:space="0" w:color="auto"/>
              <w:bottom w:val="single" w:sz="8" w:space="0" w:color="auto"/>
              <w:right w:val="nil"/>
            </w:tcBorders>
            <w:shd w:val="clear" w:color="auto" w:fill="auto"/>
            <w:noWrap/>
            <w:hideMark/>
          </w:tcPr>
          <w:p w14:paraId="67985223" w14:textId="77777777" w:rsidR="001D3315" w:rsidRPr="00117BF8" w:rsidRDefault="001D3315" w:rsidP="001D3315">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X. RESULTADO FINANCIERO (VI-VII)</w:t>
            </w:r>
          </w:p>
        </w:tc>
        <w:tc>
          <w:tcPr>
            <w:tcW w:w="941" w:type="dxa"/>
            <w:tcBorders>
              <w:top w:val="nil"/>
              <w:left w:val="single" w:sz="8" w:space="0" w:color="auto"/>
              <w:bottom w:val="single" w:sz="8" w:space="0" w:color="auto"/>
              <w:right w:val="single" w:sz="8" w:space="0" w:color="auto"/>
            </w:tcBorders>
            <w:shd w:val="clear" w:color="auto" w:fill="auto"/>
            <w:noWrap/>
            <w:vAlign w:val="center"/>
            <w:hideMark/>
          </w:tcPr>
          <w:p w14:paraId="5993ECA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-30.817,2</w:t>
            </w:r>
          </w:p>
        </w:tc>
        <w:tc>
          <w:tcPr>
            <w:tcW w:w="941" w:type="dxa"/>
            <w:tcBorders>
              <w:top w:val="nil"/>
              <w:left w:val="nil"/>
              <w:bottom w:val="single" w:sz="8" w:space="0" w:color="auto"/>
              <w:right w:val="single" w:sz="8" w:space="0" w:color="auto"/>
            </w:tcBorders>
            <w:shd w:val="clear" w:color="auto" w:fill="auto"/>
            <w:noWrap/>
            <w:vAlign w:val="center"/>
            <w:hideMark/>
          </w:tcPr>
          <w:p w14:paraId="1AEB41CD"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-26.403,1</w:t>
            </w:r>
          </w:p>
        </w:tc>
        <w:tc>
          <w:tcPr>
            <w:tcW w:w="941" w:type="dxa"/>
            <w:tcBorders>
              <w:top w:val="nil"/>
              <w:left w:val="nil"/>
              <w:bottom w:val="single" w:sz="8" w:space="0" w:color="auto"/>
              <w:right w:val="single" w:sz="8" w:space="0" w:color="auto"/>
            </w:tcBorders>
            <w:shd w:val="clear" w:color="auto" w:fill="auto"/>
            <w:noWrap/>
            <w:vAlign w:val="center"/>
            <w:hideMark/>
          </w:tcPr>
          <w:p w14:paraId="4E481B9B"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-31.049,9</w:t>
            </w:r>
          </w:p>
        </w:tc>
        <w:tc>
          <w:tcPr>
            <w:tcW w:w="941" w:type="dxa"/>
            <w:tcBorders>
              <w:top w:val="nil"/>
              <w:left w:val="nil"/>
              <w:bottom w:val="single" w:sz="8" w:space="0" w:color="auto"/>
              <w:right w:val="single" w:sz="8" w:space="0" w:color="auto"/>
            </w:tcBorders>
            <w:shd w:val="clear" w:color="auto" w:fill="auto"/>
            <w:noWrap/>
            <w:vAlign w:val="center"/>
            <w:hideMark/>
          </w:tcPr>
          <w:p w14:paraId="3F57E3B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-35.381,6</w:t>
            </w:r>
          </w:p>
        </w:tc>
        <w:tc>
          <w:tcPr>
            <w:tcW w:w="941" w:type="dxa"/>
            <w:tcBorders>
              <w:top w:val="nil"/>
              <w:left w:val="nil"/>
              <w:bottom w:val="single" w:sz="8" w:space="0" w:color="auto"/>
              <w:right w:val="single" w:sz="8" w:space="0" w:color="auto"/>
            </w:tcBorders>
            <w:shd w:val="clear" w:color="auto" w:fill="auto"/>
            <w:noWrap/>
            <w:vAlign w:val="center"/>
            <w:hideMark/>
          </w:tcPr>
          <w:p w14:paraId="29C8F972"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-34.236,3</w:t>
            </w:r>
          </w:p>
        </w:tc>
        <w:tc>
          <w:tcPr>
            <w:tcW w:w="941" w:type="dxa"/>
            <w:tcBorders>
              <w:top w:val="nil"/>
              <w:left w:val="nil"/>
              <w:bottom w:val="single" w:sz="8" w:space="0" w:color="auto"/>
              <w:right w:val="single" w:sz="8" w:space="0" w:color="auto"/>
            </w:tcBorders>
            <w:shd w:val="clear" w:color="auto" w:fill="auto"/>
            <w:noWrap/>
            <w:vAlign w:val="center"/>
            <w:hideMark/>
          </w:tcPr>
          <w:p w14:paraId="1E1642D6"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-33.989,5</w:t>
            </w:r>
          </w:p>
        </w:tc>
        <w:tc>
          <w:tcPr>
            <w:tcW w:w="941" w:type="dxa"/>
            <w:tcBorders>
              <w:top w:val="nil"/>
              <w:left w:val="nil"/>
              <w:bottom w:val="single" w:sz="8" w:space="0" w:color="auto"/>
              <w:right w:val="single" w:sz="8" w:space="0" w:color="auto"/>
            </w:tcBorders>
            <w:shd w:val="clear" w:color="auto" w:fill="auto"/>
            <w:noWrap/>
            <w:vAlign w:val="center"/>
            <w:hideMark/>
          </w:tcPr>
          <w:p w14:paraId="570EDCF7"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-30.524,8</w:t>
            </w:r>
          </w:p>
        </w:tc>
        <w:tc>
          <w:tcPr>
            <w:tcW w:w="1091" w:type="dxa"/>
            <w:tcBorders>
              <w:top w:val="nil"/>
              <w:left w:val="nil"/>
              <w:bottom w:val="single" w:sz="8" w:space="0" w:color="auto"/>
              <w:right w:val="single" w:sz="8" w:space="0" w:color="auto"/>
            </w:tcBorders>
            <w:shd w:val="clear" w:color="auto" w:fill="auto"/>
            <w:noWrap/>
            <w:vAlign w:val="center"/>
            <w:hideMark/>
          </w:tcPr>
          <w:p w14:paraId="703FC5AC"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-29.495,2</w:t>
            </w:r>
          </w:p>
        </w:tc>
        <w:tc>
          <w:tcPr>
            <w:tcW w:w="1091" w:type="dxa"/>
            <w:tcBorders>
              <w:top w:val="nil"/>
              <w:left w:val="nil"/>
              <w:bottom w:val="single" w:sz="8" w:space="0" w:color="auto"/>
              <w:right w:val="single" w:sz="8" w:space="0" w:color="auto"/>
            </w:tcBorders>
            <w:shd w:val="clear" w:color="auto" w:fill="auto"/>
            <w:noWrap/>
            <w:vAlign w:val="center"/>
            <w:hideMark/>
          </w:tcPr>
          <w:p w14:paraId="598F3E6F"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-31.229,7</w:t>
            </w:r>
          </w:p>
        </w:tc>
        <w:tc>
          <w:tcPr>
            <w:tcW w:w="1091" w:type="dxa"/>
            <w:tcBorders>
              <w:top w:val="nil"/>
              <w:left w:val="nil"/>
              <w:bottom w:val="single" w:sz="8" w:space="0" w:color="auto"/>
              <w:right w:val="single" w:sz="8" w:space="0" w:color="auto"/>
            </w:tcBorders>
            <w:shd w:val="clear" w:color="auto" w:fill="auto"/>
            <w:noWrap/>
            <w:vAlign w:val="center"/>
            <w:hideMark/>
          </w:tcPr>
          <w:p w14:paraId="675B1857"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-30.631,2</w:t>
            </w:r>
          </w:p>
        </w:tc>
        <w:tc>
          <w:tcPr>
            <w:tcW w:w="1091" w:type="dxa"/>
            <w:tcBorders>
              <w:top w:val="nil"/>
              <w:left w:val="nil"/>
              <w:bottom w:val="single" w:sz="8" w:space="0" w:color="auto"/>
              <w:right w:val="single" w:sz="8" w:space="0" w:color="auto"/>
            </w:tcBorders>
            <w:shd w:val="clear" w:color="auto" w:fill="auto"/>
            <w:noWrap/>
            <w:vAlign w:val="center"/>
            <w:hideMark/>
          </w:tcPr>
          <w:p w14:paraId="2CC1B0A7"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-30.111,6</w:t>
            </w:r>
          </w:p>
        </w:tc>
        <w:tc>
          <w:tcPr>
            <w:tcW w:w="1091" w:type="dxa"/>
            <w:tcBorders>
              <w:top w:val="nil"/>
              <w:left w:val="nil"/>
              <w:bottom w:val="single" w:sz="8" w:space="0" w:color="auto"/>
              <w:right w:val="single" w:sz="8" w:space="0" w:color="auto"/>
            </w:tcBorders>
            <w:shd w:val="clear" w:color="auto" w:fill="auto"/>
            <w:noWrap/>
            <w:vAlign w:val="center"/>
            <w:hideMark/>
          </w:tcPr>
          <w:p w14:paraId="1DA2B17D"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-29.798,2</w:t>
            </w:r>
          </w:p>
        </w:tc>
        <w:tc>
          <w:tcPr>
            <w:tcW w:w="1091" w:type="dxa"/>
            <w:tcBorders>
              <w:top w:val="nil"/>
              <w:left w:val="nil"/>
              <w:bottom w:val="single" w:sz="8" w:space="0" w:color="auto"/>
              <w:right w:val="single" w:sz="8" w:space="0" w:color="auto"/>
            </w:tcBorders>
            <w:shd w:val="clear" w:color="auto" w:fill="auto"/>
            <w:noWrap/>
            <w:vAlign w:val="center"/>
            <w:hideMark/>
          </w:tcPr>
          <w:p w14:paraId="057FD271" w14:textId="77777777" w:rsidR="001D3315" w:rsidRPr="00117BF8" w:rsidRDefault="001D3315" w:rsidP="001D3315">
            <w:pPr>
              <w:pStyle w:val="TablaC"/>
              <w:rPr>
                <w:rFonts w:ascii="Arial" w:hAnsi="Arial" w:cs="Arial"/>
                <w:b/>
                <w:sz w:val="18"/>
                <w:szCs w:val="18"/>
              </w:rPr>
            </w:pPr>
            <w:r w:rsidRPr="00117BF8">
              <w:rPr>
                <w:rFonts w:ascii="Arial" w:hAnsi="Arial" w:cs="Arial"/>
                <w:b/>
                <w:sz w:val="18"/>
                <w:szCs w:val="18"/>
              </w:rPr>
              <w:t>-30.659,5</w:t>
            </w:r>
          </w:p>
        </w:tc>
      </w:tr>
    </w:tbl>
    <w:p w14:paraId="3AFD2A32" w14:textId="77777777" w:rsidR="001D3315" w:rsidRPr="00117BF8" w:rsidRDefault="001D3315" w:rsidP="001D3315">
      <w:pPr>
        <w:pStyle w:val="TablaC"/>
        <w:rPr>
          <w:rFonts w:ascii="Arial" w:hAnsi="Arial" w:cs="Arial"/>
        </w:rPr>
      </w:pPr>
    </w:p>
    <w:p w14:paraId="1D488C12" w14:textId="77777777" w:rsidR="001D3315" w:rsidRPr="00117BF8" w:rsidRDefault="001D3315" w:rsidP="001D3315">
      <w:pPr>
        <w:pStyle w:val="hsa"/>
        <w:rPr>
          <w:rFonts w:ascii="Arial" w:hAnsi="Arial" w:cs="Arial"/>
        </w:rPr>
      </w:pPr>
    </w:p>
    <w:tbl>
      <w:tblPr>
        <w:tblW w:w="15168" w:type="dxa"/>
        <w:tblInd w:w="70" w:type="dxa"/>
        <w:tblCellMar>
          <w:left w:w="70" w:type="dxa"/>
          <w:right w:w="70" w:type="dxa"/>
        </w:tblCellMar>
        <w:tblLook w:val="04A0" w:firstRow="1" w:lastRow="0" w:firstColumn="1" w:lastColumn="0" w:noHBand="0" w:noVBand="1"/>
      </w:tblPr>
      <w:tblGrid>
        <w:gridCol w:w="3400"/>
        <w:gridCol w:w="946"/>
        <w:gridCol w:w="945"/>
        <w:gridCol w:w="945"/>
        <w:gridCol w:w="945"/>
        <w:gridCol w:w="945"/>
        <w:gridCol w:w="945"/>
        <w:gridCol w:w="945"/>
        <w:gridCol w:w="945"/>
        <w:gridCol w:w="945"/>
        <w:gridCol w:w="945"/>
        <w:gridCol w:w="1183"/>
        <w:gridCol w:w="1134"/>
      </w:tblGrid>
      <w:tr w:rsidR="001D3315" w:rsidRPr="004E6455" w14:paraId="3A1E44FF" w14:textId="77777777" w:rsidTr="00807DD4">
        <w:tc>
          <w:tcPr>
            <w:tcW w:w="15168" w:type="dxa"/>
            <w:gridSpan w:val="13"/>
            <w:tcBorders>
              <w:top w:val="single" w:sz="8" w:space="0" w:color="auto"/>
              <w:left w:val="single" w:sz="8" w:space="0" w:color="auto"/>
              <w:bottom w:val="single" w:sz="8" w:space="0" w:color="auto"/>
              <w:right w:val="single" w:sz="8" w:space="0" w:color="auto"/>
            </w:tcBorders>
            <w:shd w:val="clear" w:color="auto" w:fill="0070C0"/>
            <w:noWrap/>
          </w:tcPr>
          <w:p w14:paraId="03324218" w14:textId="77777777" w:rsidR="001D3315" w:rsidRPr="00117BF8" w:rsidRDefault="001D3315" w:rsidP="005D6624">
            <w:pPr>
              <w:pStyle w:val="TablaT"/>
              <w:rPr>
                <w:rFonts w:ascii="Arial" w:hAnsi="Arial" w:cs="Arial"/>
                <w:sz w:val="22"/>
                <w:szCs w:val="22"/>
                <w:lang w:val="es-ES_tradnl"/>
              </w:rPr>
            </w:pPr>
            <w:bookmarkStart w:id="169" w:name="_Toc493861171"/>
            <w:r w:rsidRPr="00117BF8">
              <w:rPr>
                <w:rFonts w:ascii="Arial" w:hAnsi="Arial" w:cs="Arial"/>
                <w:sz w:val="22"/>
                <w:szCs w:val="22"/>
                <w:lang w:val="es-ES_tradnl"/>
              </w:rPr>
              <w:t xml:space="preserve">Tabla </w:t>
            </w:r>
            <w:r w:rsidR="005D6624" w:rsidRPr="00117BF8">
              <w:rPr>
                <w:rFonts w:ascii="Arial" w:hAnsi="Arial" w:cs="Arial"/>
                <w:sz w:val="22"/>
                <w:szCs w:val="22"/>
                <w:lang w:val="es-ES_tradnl"/>
              </w:rPr>
              <w:t>A VII - 2</w:t>
            </w:r>
            <w:r w:rsidRPr="00117BF8">
              <w:rPr>
                <w:rFonts w:ascii="Arial" w:hAnsi="Arial" w:cs="Arial"/>
                <w:sz w:val="22"/>
                <w:szCs w:val="22"/>
                <w:lang w:val="es-ES_tradnl"/>
              </w:rPr>
              <w:t xml:space="preserve"> – Indicadores e Hipótesis Relevantes de las Proyecciones </w:t>
            </w:r>
            <w:r w:rsidR="005D6624" w:rsidRPr="00117BF8">
              <w:rPr>
                <w:rFonts w:ascii="Arial" w:hAnsi="Arial" w:cs="Arial"/>
                <w:sz w:val="22"/>
                <w:szCs w:val="22"/>
                <w:lang w:val="es-ES_tradnl"/>
              </w:rPr>
              <w:t>Alternativas</w:t>
            </w:r>
            <w:bookmarkEnd w:id="169"/>
          </w:p>
        </w:tc>
      </w:tr>
      <w:tr w:rsidR="001D3315" w:rsidRPr="004E6455" w14:paraId="4EAB15AD" w14:textId="77777777" w:rsidTr="00807DD4">
        <w:tc>
          <w:tcPr>
            <w:tcW w:w="3400" w:type="dxa"/>
            <w:tcBorders>
              <w:top w:val="single" w:sz="8" w:space="0" w:color="auto"/>
              <w:left w:val="single" w:sz="8" w:space="0" w:color="auto"/>
              <w:right w:val="single" w:sz="8" w:space="0" w:color="auto"/>
            </w:tcBorders>
            <w:shd w:val="clear" w:color="auto" w:fill="0070C0"/>
            <w:noWrap/>
            <w:hideMark/>
          </w:tcPr>
          <w:p w14:paraId="3649BFE9" w14:textId="77777777" w:rsidR="001D3315" w:rsidRPr="00117BF8" w:rsidRDefault="001D3315" w:rsidP="001D3315">
            <w:pPr>
              <w:pStyle w:val="TablaE"/>
              <w:rPr>
                <w:rFonts w:ascii="Arial" w:hAnsi="Arial" w:cs="Arial"/>
                <w:sz w:val="20"/>
              </w:rPr>
            </w:pPr>
            <w:r w:rsidRPr="00117BF8">
              <w:rPr>
                <w:rFonts w:ascii="Arial" w:hAnsi="Arial" w:cs="Arial"/>
                <w:sz w:val="20"/>
              </w:rPr>
              <w:t>CONCEPTO</w:t>
            </w:r>
          </w:p>
        </w:tc>
        <w:tc>
          <w:tcPr>
            <w:tcW w:w="946" w:type="dxa"/>
            <w:tcBorders>
              <w:top w:val="single" w:sz="8" w:space="0" w:color="auto"/>
              <w:left w:val="single" w:sz="8" w:space="0" w:color="auto"/>
              <w:right w:val="single" w:sz="8" w:space="0" w:color="auto"/>
            </w:tcBorders>
            <w:shd w:val="clear" w:color="auto" w:fill="0070C0"/>
            <w:noWrap/>
            <w:hideMark/>
          </w:tcPr>
          <w:p w14:paraId="46540CE2" w14:textId="77777777" w:rsidR="001D3315" w:rsidRPr="00117BF8" w:rsidRDefault="001D3315" w:rsidP="001D3315">
            <w:pPr>
              <w:pStyle w:val="TablaE"/>
              <w:rPr>
                <w:rFonts w:ascii="Arial" w:hAnsi="Arial" w:cs="Arial"/>
                <w:sz w:val="20"/>
              </w:rPr>
            </w:pPr>
            <w:r w:rsidRPr="00117BF8">
              <w:rPr>
                <w:rFonts w:ascii="Arial" w:hAnsi="Arial" w:cs="Arial"/>
                <w:sz w:val="20"/>
              </w:rPr>
              <w:t>2017</w:t>
            </w:r>
          </w:p>
        </w:tc>
        <w:tc>
          <w:tcPr>
            <w:tcW w:w="945" w:type="dxa"/>
            <w:tcBorders>
              <w:top w:val="single" w:sz="8" w:space="0" w:color="auto"/>
              <w:left w:val="single" w:sz="8" w:space="0" w:color="auto"/>
              <w:right w:val="single" w:sz="8" w:space="0" w:color="auto"/>
            </w:tcBorders>
            <w:shd w:val="clear" w:color="auto" w:fill="0070C0"/>
            <w:noWrap/>
            <w:hideMark/>
          </w:tcPr>
          <w:p w14:paraId="217F1FA2" w14:textId="77777777" w:rsidR="001D3315" w:rsidRPr="00117BF8" w:rsidRDefault="001D3315" w:rsidP="001D3315">
            <w:pPr>
              <w:pStyle w:val="TablaE"/>
              <w:rPr>
                <w:rFonts w:ascii="Arial" w:hAnsi="Arial" w:cs="Arial"/>
                <w:sz w:val="20"/>
              </w:rPr>
            </w:pPr>
            <w:r w:rsidRPr="00117BF8">
              <w:rPr>
                <w:rFonts w:ascii="Arial" w:hAnsi="Arial" w:cs="Arial"/>
                <w:sz w:val="20"/>
              </w:rPr>
              <w:t>2018</w:t>
            </w:r>
          </w:p>
        </w:tc>
        <w:tc>
          <w:tcPr>
            <w:tcW w:w="945" w:type="dxa"/>
            <w:tcBorders>
              <w:top w:val="single" w:sz="8" w:space="0" w:color="auto"/>
              <w:left w:val="single" w:sz="8" w:space="0" w:color="auto"/>
              <w:right w:val="single" w:sz="8" w:space="0" w:color="auto"/>
            </w:tcBorders>
            <w:shd w:val="clear" w:color="auto" w:fill="0070C0"/>
            <w:noWrap/>
            <w:hideMark/>
          </w:tcPr>
          <w:p w14:paraId="24ED420D" w14:textId="77777777" w:rsidR="001D3315" w:rsidRPr="00117BF8" w:rsidRDefault="001D3315" w:rsidP="001D3315">
            <w:pPr>
              <w:pStyle w:val="TablaE"/>
              <w:rPr>
                <w:rFonts w:ascii="Arial" w:hAnsi="Arial" w:cs="Arial"/>
                <w:sz w:val="20"/>
              </w:rPr>
            </w:pPr>
            <w:r w:rsidRPr="00117BF8">
              <w:rPr>
                <w:rFonts w:ascii="Arial" w:hAnsi="Arial" w:cs="Arial"/>
                <w:sz w:val="20"/>
              </w:rPr>
              <w:t>2019</w:t>
            </w:r>
          </w:p>
        </w:tc>
        <w:tc>
          <w:tcPr>
            <w:tcW w:w="945" w:type="dxa"/>
            <w:tcBorders>
              <w:top w:val="single" w:sz="8" w:space="0" w:color="auto"/>
              <w:left w:val="single" w:sz="8" w:space="0" w:color="auto"/>
              <w:right w:val="single" w:sz="8" w:space="0" w:color="auto"/>
            </w:tcBorders>
            <w:shd w:val="clear" w:color="auto" w:fill="0070C0"/>
            <w:noWrap/>
            <w:hideMark/>
          </w:tcPr>
          <w:p w14:paraId="3D0BA90A" w14:textId="77777777" w:rsidR="001D3315" w:rsidRPr="00117BF8" w:rsidRDefault="001D3315" w:rsidP="001D3315">
            <w:pPr>
              <w:pStyle w:val="TablaE"/>
              <w:rPr>
                <w:rFonts w:ascii="Arial" w:hAnsi="Arial" w:cs="Arial"/>
                <w:sz w:val="20"/>
              </w:rPr>
            </w:pPr>
            <w:r w:rsidRPr="00117BF8">
              <w:rPr>
                <w:rFonts w:ascii="Arial" w:hAnsi="Arial" w:cs="Arial"/>
                <w:sz w:val="20"/>
              </w:rPr>
              <w:t>2020</w:t>
            </w:r>
          </w:p>
        </w:tc>
        <w:tc>
          <w:tcPr>
            <w:tcW w:w="945" w:type="dxa"/>
            <w:tcBorders>
              <w:top w:val="single" w:sz="8" w:space="0" w:color="auto"/>
              <w:left w:val="single" w:sz="8" w:space="0" w:color="auto"/>
              <w:right w:val="single" w:sz="8" w:space="0" w:color="auto"/>
            </w:tcBorders>
            <w:shd w:val="clear" w:color="auto" w:fill="0070C0"/>
            <w:noWrap/>
            <w:hideMark/>
          </w:tcPr>
          <w:p w14:paraId="0360C6F1" w14:textId="77777777" w:rsidR="001D3315" w:rsidRPr="00117BF8" w:rsidRDefault="001D3315" w:rsidP="001D3315">
            <w:pPr>
              <w:pStyle w:val="TablaE"/>
              <w:rPr>
                <w:rFonts w:ascii="Arial" w:hAnsi="Arial" w:cs="Arial"/>
                <w:sz w:val="20"/>
              </w:rPr>
            </w:pPr>
            <w:r w:rsidRPr="00117BF8">
              <w:rPr>
                <w:rFonts w:ascii="Arial" w:hAnsi="Arial" w:cs="Arial"/>
                <w:sz w:val="20"/>
              </w:rPr>
              <w:t>2021</w:t>
            </w:r>
          </w:p>
        </w:tc>
        <w:tc>
          <w:tcPr>
            <w:tcW w:w="945" w:type="dxa"/>
            <w:tcBorders>
              <w:top w:val="single" w:sz="8" w:space="0" w:color="auto"/>
              <w:left w:val="single" w:sz="8" w:space="0" w:color="auto"/>
              <w:right w:val="single" w:sz="8" w:space="0" w:color="auto"/>
            </w:tcBorders>
            <w:shd w:val="clear" w:color="auto" w:fill="0070C0"/>
            <w:noWrap/>
            <w:hideMark/>
          </w:tcPr>
          <w:p w14:paraId="32BCCB04" w14:textId="77777777" w:rsidR="001D3315" w:rsidRPr="00117BF8" w:rsidRDefault="001D3315" w:rsidP="001D3315">
            <w:pPr>
              <w:pStyle w:val="TablaE"/>
              <w:rPr>
                <w:rFonts w:ascii="Arial" w:hAnsi="Arial" w:cs="Arial"/>
                <w:sz w:val="20"/>
              </w:rPr>
            </w:pPr>
            <w:r w:rsidRPr="00117BF8">
              <w:rPr>
                <w:rFonts w:ascii="Arial" w:hAnsi="Arial" w:cs="Arial"/>
                <w:sz w:val="20"/>
              </w:rPr>
              <w:t>2022</w:t>
            </w:r>
          </w:p>
        </w:tc>
        <w:tc>
          <w:tcPr>
            <w:tcW w:w="945" w:type="dxa"/>
            <w:tcBorders>
              <w:top w:val="single" w:sz="8" w:space="0" w:color="auto"/>
              <w:left w:val="single" w:sz="8" w:space="0" w:color="auto"/>
              <w:right w:val="single" w:sz="8" w:space="0" w:color="auto"/>
            </w:tcBorders>
            <w:shd w:val="clear" w:color="auto" w:fill="0070C0"/>
            <w:noWrap/>
            <w:hideMark/>
          </w:tcPr>
          <w:p w14:paraId="0FC52C87" w14:textId="77777777" w:rsidR="001D3315" w:rsidRPr="00117BF8" w:rsidRDefault="001D3315" w:rsidP="001D3315">
            <w:pPr>
              <w:pStyle w:val="TablaE"/>
              <w:rPr>
                <w:rFonts w:ascii="Arial" w:hAnsi="Arial" w:cs="Arial"/>
                <w:sz w:val="20"/>
              </w:rPr>
            </w:pPr>
            <w:r w:rsidRPr="00117BF8">
              <w:rPr>
                <w:rFonts w:ascii="Arial" w:hAnsi="Arial" w:cs="Arial"/>
                <w:sz w:val="20"/>
              </w:rPr>
              <w:t>2023</w:t>
            </w:r>
          </w:p>
        </w:tc>
        <w:tc>
          <w:tcPr>
            <w:tcW w:w="945" w:type="dxa"/>
            <w:tcBorders>
              <w:top w:val="single" w:sz="8" w:space="0" w:color="auto"/>
              <w:left w:val="single" w:sz="8" w:space="0" w:color="auto"/>
              <w:right w:val="single" w:sz="8" w:space="0" w:color="auto"/>
            </w:tcBorders>
            <w:shd w:val="clear" w:color="auto" w:fill="0070C0"/>
            <w:noWrap/>
            <w:hideMark/>
          </w:tcPr>
          <w:p w14:paraId="1A49E2E1" w14:textId="77777777" w:rsidR="001D3315" w:rsidRPr="00117BF8" w:rsidRDefault="001D3315" w:rsidP="001D3315">
            <w:pPr>
              <w:pStyle w:val="TablaE"/>
              <w:rPr>
                <w:rFonts w:ascii="Arial" w:hAnsi="Arial" w:cs="Arial"/>
                <w:sz w:val="20"/>
              </w:rPr>
            </w:pPr>
            <w:r w:rsidRPr="00117BF8">
              <w:rPr>
                <w:rFonts w:ascii="Arial" w:hAnsi="Arial" w:cs="Arial"/>
                <w:sz w:val="20"/>
              </w:rPr>
              <w:t>2024</w:t>
            </w:r>
          </w:p>
        </w:tc>
        <w:tc>
          <w:tcPr>
            <w:tcW w:w="945" w:type="dxa"/>
            <w:tcBorders>
              <w:top w:val="single" w:sz="8" w:space="0" w:color="auto"/>
              <w:left w:val="single" w:sz="8" w:space="0" w:color="auto"/>
              <w:right w:val="single" w:sz="8" w:space="0" w:color="auto"/>
            </w:tcBorders>
            <w:shd w:val="clear" w:color="auto" w:fill="0070C0"/>
            <w:noWrap/>
            <w:hideMark/>
          </w:tcPr>
          <w:p w14:paraId="1F918F2F" w14:textId="77777777" w:rsidR="001D3315" w:rsidRPr="00117BF8" w:rsidRDefault="001D3315" w:rsidP="001D3315">
            <w:pPr>
              <w:pStyle w:val="TablaE"/>
              <w:rPr>
                <w:rFonts w:ascii="Arial" w:hAnsi="Arial" w:cs="Arial"/>
                <w:sz w:val="20"/>
              </w:rPr>
            </w:pPr>
            <w:r w:rsidRPr="00117BF8">
              <w:rPr>
                <w:rFonts w:ascii="Arial" w:hAnsi="Arial" w:cs="Arial"/>
                <w:sz w:val="20"/>
              </w:rPr>
              <w:t>2025</w:t>
            </w:r>
          </w:p>
        </w:tc>
        <w:tc>
          <w:tcPr>
            <w:tcW w:w="945" w:type="dxa"/>
            <w:tcBorders>
              <w:top w:val="single" w:sz="8" w:space="0" w:color="auto"/>
              <w:left w:val="single" w:sz="8" w:space="0" w:color="auto"/>
              <w:right w:val="single" w:sz="8" w:space="0" w:color="auto"/>
            </w:tcBorders>
            <w:shd w:val="clear" w:color="auto" w:fill="0070C0"/>
            <w:noWrap/>
            <w:hideMark/>
          </w:tcPr>
          <w:p w14:paraId="2E2EAF74" w14:textId="77777777" w:rsidR="001D3315" w:rsidRPr="00117BF8" w:rsidRDefault="001D3315" w:rsidP="001D3315">
            <w:pPr>
              <w:pStyle w:val="TablaE"/>
              <w:rPr>
                <w:rFonts w:ascii="Arial" w:hAnsi="Arial" w:cs="Arial"/>
                <w:sz w:val="20"/>
              </w:rPr>
            </w:pPr>
            <w:r w:rsidRPr="00117BF8">
              <w:rPr>
                <w:rFonts w:ascii="Arial" w:hAnsi="Arial" w:cs="Arial"/>
                <w:sz w:val="20"/>
              </w:rPr>
              <w:t>2026</w:t>
            </w:r>
          </w:p>
        </w:tc>
        <w:tc>
          <w:tcPr>
            <w:tcW w:w="1183" w:type="dxa"/>
            <w:tcBorders>
              <w:top w:val="single" w:sz="8" w:space="0" w:color="auto"/>
              <w:left w:val="single" w:sz="8" w:space="0" w:color="auto"/>
              <w:right w:val="single" w:sz="8" w:space="0" w:color="auto"/>
            </w:tcBorders>
            <w:shd w:val="clear" w:color="auto" w:fill="0070C0"/>
            <w:noWrap/>
            <w:hideMark/>
          </w:tcPr>
          <w:p w14:paraId="500DC384" w14:textId="77777777" w:rsidR="001D3315" w:rsidRPr="00117BF8" w:rsidRDefault="001D3315" w:rsidP="001D3315">
            <w:pPr>
              <w:pStyle w:val="TablaE"/>
              <w:rPr>
                <w:rFonts w:ascii="Arial" w:hAnsi="Arial" w:cs="Arial"/>
                <w:sz w:val="20"/>
              </w:rPr>
            </w:pPr>
            <w:r w:rsidRPr="00117BF8">
              <w:rPr>
                <w:rFonts w:ascii="Arial" w:hAnsi="Arial" w:cs="Arial"/>
                <w:sz w:val="20"/>
              </w:rPr>
              <w:t>2027</w:t>
            </w:r>
          </w:p>
        </w:tc>
        <w:tc>
          <w:tcPr>
            <w:tcW w:w="1134" w:type="dxa"/>
            <w:tcBorders>
              <w:top w:val="single" w:sz="8" w:space="0" w:color="auto"/>
              <w:left w:val="single" w:sz="8" w:space="0" w:color="auto"/>
              <w:right w:val="single" w:sz="8" w:space="0" w:color="auto"/>
            </w:tcBorders>
            <w:shd w:val="clear" w:color="auto" w:fill="0070C0"/>
            <w:noWrap/>
            <w:hideMark/>
          </w:tcPr>
          <w:p w14:paraId="3B1278A5" w14:textId="77777777" w:rsidR="001D3315" w:rsidRPr="00117BF8" w:rsidRDefault="001D3315" w:rsidP="001D3315">
            <w:pPr>
              <w:pStyle w:val="TablaE"/>
              <w:rPr>
                <w:rFonts w:ascii="Arial" w:hAnsi="Arial" w:cs="Arial"/>
                <w:sz w:val="20"/>
              </w:rPr>
            </w:pPr>
            <w:r w:rsidRPr="00117BF8">
              <w:rPr>
                <w:rFonts w:ascii="Arial" w:hAnsi="Arial" w:cs="Arial"/>
                <w:sz w:val="20"/>
              </w:rPr>
              <w:t>2028</w:t>
            </w:r>
          </w:p>
        </w:tc>
      </w:tr>
      <w:tr w:rsidR="00807DD4" w:rsidRPr="00720160" w14:paraId="2E9E0488" w14:textId="77777777" w:rsidTr="00807DD4">
        <w:tc>
          <w:tcPr>
            <w:tcW w:w="3400" w:type="dxa"/>
            <w:tcBorders>
              <w:left w:val="single" w:sz="8" w:space="0" w:color="auto"/>
              <w:right w:val="single" w:sz="8" w:space="0" w:color="auto"/>
            </w:tcBorders>
            <w:shd w:val="clear" w:color="000000" w:fill="FFFFFF"/>
            <w:noWrap/>
            <w:hideMark/>
          </w:tcPr>
          <w:p w14:paraId="146B6F7B" w14:textId="77777777" w:rsidR="00807DD4" w:rsidRPr="00117BF8" w:rsidRDefault="00807DD4" w:rsidP="001D3315">
            <w:pPr>
              <w:pStyle w:val="TablaC"/>
              <w:jc w:val="left"/>
              <w:rPr>
                <w:rFonts w:ascii="Arial" w:hAnsi="Arial" w:cs="Arial"/>
                <w:b/>
                <w:sz w:val="18"/>
                <w:szCs w:val="18"/>
                <w:lang w:val="es-ES_tradnl"/>
              </w:rPr>
            </w:pPr>
            <w:r w:rsidRPr="00117BF8">
              <w:rPr>
                <w:rFonts w:ascii="Arial" w:hAnsi="Arial" w:cs="Arial"/>
                <w:sz w:val="18"/>
                <w:szCs w:val="18"/>
                <w:lang w:val="es-ES_tradnl"/>
              </w:rPr>
              <w:t>Stock de deuda- millones de $</w:t>
            </w:r>
          </w:p>
        </w:tc>
        <w:tc>
          <w:tcPr>
            <w:tcW w:w="946" w:type="dxa"/>
            <w:tcBorders>
              <w:left w:val="nil"/>
              <w:right w:val="single" w:sz="8" w:space="0" w:color="auto"/>
            </w:tcBorders>
            <w:shd w:val="clear" w:color="000000" w:fill="FFFFFF"/>
            <w:noWrap/>
            <w:vAlign w:val="center"/>
            <w:hideMark/>
          </w:tcPr>
          <w:p w14:paraId="78A08F2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238.431,7</w:t>
            </w:r>
          </w:p>
        </w:tc>
        <w:tc>
          <w:tcPr>
            <w:tcW w:w="945" w:type="dxa"/>
            <w:tcBorders>
              <w:left w:val="nil"/>
              <w:right w:val="single" w:sz="8" w:space="0" w:color="auto"/>
            </w:tcBorders>
            <w:shd w:val="clear" w:color="000000" w:fill="FFFFFF"/>
            <w:noWrap/>
            <w:vAlign w:val="center"/>
            <w:hideMark/>
          </w:tcPr>
          <w:p w14:paraId="42A0EAB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305.276,3</w:t>
            </w:r>
          </w:p>
        </w:tc>
        <w:tc>
          <w:tcPr>
            <w:tcW w:w="945" w:type="dxa"/>
            <w:tcBorders>
              <w:left w:val="nil"/>
              <w:right w:val="single" w:sz="8" w:space="0" w:color="auto"/>
            </w:tcBorders>
            <w:shd w:val="clear" w:color="000000" w:fill="FFFFFF"/>
            <w:noWrap/>
            <w:vAlign w:val="center"/>
            <w:hideMark/>
          </w:tcPr>
          <w:p w14:paraId="3258573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394.560,8</w:t>
            </w:r>
          </w:p>
        </w:tc>
        <w:tc>
          <w:tcPr>
            <w:tcW w:w="945" w:type="dxa"/>
            <w:tcBorders>
              <w:left w:val="nil"/>
              <w:right w:val="single" w:sz="8" w:space="0" w:color="auto"/>
            </w:tcBorders>
            <w:shd w:val="clear" w:color="000000" w:fill="FFFFFF"/>
            <w:noWrap/>
            <w:vAlign w:val="center"/>
            <w:hideMark/>
          </w:tcPr>
          <w:p w14:paraId="021623A3"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454.186,8</w:t>
            </w:r>
          </w:p>
        </w:tc>
        <w:tc>
          <w:tcPr>
            <w:tcW w:w="945" w:type="dxa"/>
            <w:tcBorders>
              <w:left w:val="nil"/>
              <w:right w:val="single" w:sz="8" w:space="0" w:color="auto"/>
            </w:tcBorders>
            <w:shd w:val="clear" w:color="000000" w:fill="FFFFFF"/>
            <w:noWrap/>
            <w:vAlign w:val="center"/>
            <w:hideMark/>
          </w:tcPr>
          <w:p w14:paraId="2661CB1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503.834,8</w:t>
            </w:r>
          </w:p>
        </w:tc>
        <w:tc>
          <w:tcPr>
            <w:tcW w:w="945" w:type="dxa"/>
            <w:tcBorders>
              <w:left w:val="nil"/>
              <w:right w:val="single" w:sz="8" w:space="0" w:color="auto"/>
            </w:tcBorders>
            <w:shd w:val="clear" w:color="000000" w:fill="FFFFFF"/>
            <w:noWrap/>
            <w:vAlign w:val="center"/>
            <w:hideMark/>
          </w:tcPr>
          <w:p w14:paraId="10B988B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544.802,7</w:t>
            </w:r>
          </w:p>
        </w:tc>
        <w:tc>
          <w:tcPr>
            <w:tcW w:w="945" w:type="dxa"/>
            <w:tcBorders>
              <w:left w:val="nil"/>
              <w:right w:val="single" w:sz="8" w:space="0" w:color="auto"/>
            </w:tcBorders>
            <w:shd w:val="clear" w:color="000000" w:fill="FFFFFF"/>
            <w:noWrap/>
            <w:vAlign w:val="center"/>
            <w:hideMark/>
          </w:tcPr>
          <w:p w14:paraId="38BE2D3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588.812,3</w:t>
            </w:r>
          </w:p>
        </w:tc>
        <w:tc>
          <w:tcPr>
            <w:tcW w:w="945" w:type="dxa"/>
            <w:tcBorders>
              <w:left w:val="nil"/>
              <w:right w:val="single" w:sz="8" w:space="0" w:color="auto"/>
            </w:tcBorders>
            <w:shd w:val="clear" w:color="000000" w:fill="FFFFFF"/>
            <w:noWrap/>
            <w:vAlign w:val="center"/>
            <w:hideMark/>
          </w:tcPr>
          <w:p w14:paraId="72D9904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641.894,5</w:t>
            </w:r>
          </w:p>
        </w:tc>
        <w:tc>
          <w:tcPr>
            <w:tcW w:w="945" w:type="dxa"/>
            <w:tcBorders>
              <w:left w:val="nil"/>
              <w:right w:val="single" w:sz="8" w:space="0" w:color="auto"/>
            </w:tcBorders>
            <w:shd w:val="clear" w:color="000000" w:fill="FFFFFF"/>
            <w:noWrap/>
            <w:vAlign w:val="center"/>
            <w:hideMark/>
          </w:tcPr>
          <w:p w14:paraId="1F8143A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684.207,0</w:t>
            </w:r>
          </w:p>
        </w:tc>
        <w:tc>
          <w:tcPr>
            <w:tcW w:w="945" w:type="dxa"/>
            <w:tcBorders>
              <w:left w:val="nil"/>
              <w:right w:val="single" w:sz="8" w:space="0" w:color="auto"/>
            </w:tcBorders>
            <w:shd w:val="clear" w:color="000000" w:fill="FFFFFF"/>
            <w:noWrap/>
            <w:vAlign w:val="center"/>
            <w:hideMark/>
          </w:tcPr>
          <w:p w14:paraId="3D0CE5FC"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730.253,2</w:t>
            </w:r>
          </w:p>
        </w:tc>
        <w:tc>
          <w:tcPr>
            <w:tcW w:w="1183" w:type="dxa"/>
            <w:tcBorders>
              <w:left w:val="nil"/>
              <w:right w:val="single" w:sz="8" w:space="0" w:color="auto"/>
            </w:tcBorders>
            <w:shd w:val="clear" w:color="000000" w:fill="FFFFFF"/>
            <w:noWrap/>
            <w:vAlign w:val="center"/>
            <w:hideMark/>
          </w:tcPr>
          <w:p w14:paraId="32DFD49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779.808,6</w:t>
            </w:r>
          </w:p>
        </w:tc>
        <w:tc>
          <w:tcPr>
            <w:tcW w:w="1134" w:type="dxa"/>
            <w:tcBorders>
              <w:left w:val="nil"/>
              <w:right w:val="single" w:sz="8" w:space="0" w:color="auto"/>
            </w:tcBorders>
            <w:shd w:val="clear" w:color="000000" w:fill="FFFFFF"/>
            <w:noWrap/>
            <w:vAlign w:val="center"/>
            <w:hideMark/>
          </w:tcPr>
          <w:p w14:paraId="4FEC12E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828.969,1</w:t>
            </w:r>
          </w:p>
        </w:tc>
      </w:tr>
      <w:tr w:rsidR="00807DD4" w:rsidRPr="00720160" w14:paraId="19618A97" w14:textId="77777777" w:rsidTr="00807DD4">
        <w:tc>
          <w:tcPr>
            <w:tcW w:w="3400" w:type="dxa"/>
            <w:tcBorders>
              <w:top w:val="nil"/>
              <w:left w:val="single" w:sz="8" w:space="0" w:color="auto"/>
              <w:bottom w:val="nil"/>
              <w:right w:val="single" w:sz="8" w:space="0" w:color="auto"/>
            </w:tcBorders>
            <w:shd w:val="clear" w:color="000000" w:fill="FFFFFF"/>
            <w:noWrap/>
            <w:hideMark/>
          </w:tcPr>
          <w:p w14:paraId="7F209C5C" w14:textId="77777777" w:rsidR="00807DD4" w:rsidRPr="00117BF8" w:rsidRDefault="00807DD4" w:rsidP="001D3315">
            <w:pPr>
              <w:pStyle w:val="TablaC"/>
              <w:jc w:val="left"/>
              <w:rPr>
                <w:rFonts w:ascii="Arial" w:hAnsi="Arial" w:cs="Arial"/>
                <w:sz w:val="18"/>
                <w:szCs w:val="18"/>
              </w:rPr>
            </w:pPr>
            <w:r w:rsidRPr="00117BF8">
              <w:rPr>
                <w:rFonts w:ascii="Arial" w:hAnsi="Arial" w:cs="Arial"/>
                <w:sz w:val="18"/>
                <w:szCs w:val="18"/>
              </w:rPr>
              <w:t>PBG (1) - millones de $</w:t>
            </w:r>
          </w:p>
        </w:tc>
        <w:tc>
          <w:tcPr>
            <w:tcW w:w="946" w:type="dxa"/>
            <w:tcBorders>
              <w:top w:val="nil"/>
              <w:left w:val="nil"/>
              <w:bottom w:val="nil"/>
              <w:right w:val="single" w:sz="8" w:space="0" w:color="auto"/>
            </w:tcBorders>
            <w:shd w:val="clear" w:color="000000" w:fill="FFFFFF"/>
            <w:noWrap/>
            <w:vAlign w:val="center"/>
            <w:hideMark/>
          </w:tcPr>
          <w:p w14:paraId="211B762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3.779.027</w:t>
            </w:r>
          </w:p>
        </w:tc>
        <w:tc>
          <w:tcPr>
            <w:tcW w:w="945" w:type="dxa"/>
            <w:tcBorders>
              <w:top w:val="nil"/>
              <w:left w:val="nil"/>
              <w:bottom w:val="nil"/>
              <w:right w:val="single" w:sz="8" w:space="0" w:color="auto"/>
            </w:tcBorders>
            <w:shd w:val="clear" w:color="000000" w:fill="FFFFFF"/>
            <w:noWrap/>
            <w:vAlign w:val="center"/>
            <w:hideMark/>
          </w:tcPr>
          <w:p w14:paraId="35906C0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4.631.198</w:t>
            </w:r>
          </w:p>
        </w:tc>
        <w:tc>
          <w:tcPr>
            <w:tcW w:w="945" w:type="dxa"/>
            <w:tcBorders>
              <w:top w:val="nil"/>
              <w:left w:val="nil"/>
              <w:bottom w:val="nil"/>
              <w:right w:val="single" w:sz="8" w:space="0" w:color="auto"/>
            </w:tcBorders>
            <w:shd w:val="clear" w:color="000000" w:fill="FFFFFF"/>
            <w:noWrap/>
            <w:vAlign w:val="center"/>
            <w:hideMark/>
          </w:tcPr>
          <w:p w14:paraId="008DAC7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5.397.372</w:t>
            </w:r>
          </w:p>
        </w:tc>
        <w:tc>
          <w:tcPr>
            <w:tcW w:w="945" w:type="dxa"/>
            <w:tcBorders>
              <w:top w:val="nil"/>
              <w:left w:val="nil"/>
              <w:bottom w:val="nil"/>
              <w:right w:val="single" w:sz="8" w:space="0" w:color="auto"/>
            </w:tcBorders>
            <w:shd w:val="clear" w:color="000000" w:fill="FFFFFF"/>
            <w:noWrap/>
            <w:vAlign w:val="center"/>
            <w:hideMark/>
          </w:tcPr>
          <w:p w14:paraId="561E8CED"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6.072.386</w:t>
            </w:r>
          </w:p>
        </w:tc>
        <w:tc>
          <w:tcPr>
            <w:tcW w:w="945" w:type="dxa"/>
            <w:tcBorders>
              <w:top w:val="nil"/>
              <w:left w:val="nil"/>
              <w:bottom w:val="nil"/>
              <w:right w:val="single" w:sz="8" w:space="0" w:color="auto"/>
            </w:tcBorders>
            <w:shd w:val="clear" w:color="000000" w:fill="FFFFFF"/>
            <w:noWrap/>
            <w:vAlign w:val="center"/>
            <w:hideMark/>
          </w:tcPr>
          <w:p w14:paraId="6D113A4F"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6.648.613</w:t>
            </w:r>
          </w:p>
        </w:tc>
        <w:tc>
          <w:tcPr>
            <w:tcW w:w="945" w:type="dxa"/>
            <w:tcBorders>
              <w:top w:val="nil"/>
              <w:left w:val="nil"/>
              <w:bottom w:val="nil"/>
              <w:right w:val="single" w:sz="8" w:space="0" w:color="auto"/>
            </w:tcBorders>
            <w:shd w:val="clear" w:color="000000" w:fill="FFFFFF"/>
            <w:noWrap/>
            <w:vAlign w:val="center"/>
            <w:hideMark/>
          </w:tcPr>
          <w:p w14:paraId="48F6E8AD"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7.154.234</w:t>
            </w:r>
          </w:p>
        </w:tc>
        <w:tc>
          <w:tcPr>
            <w:tcW w:w="945" w:type="dxa"/>
            <w:tcBorders>
              <w:top w:val="nil"/>
              <w:left w:val="nil"/>
              <w:bottom w:val="nil"/>
              <w:right w:val="single" w:sz="8" w:space="0" w:color="auto"/>
            </w:tcBorders>
            <w:shd w:val="clear" w:color="000000" w:fill="FFFFFF"/>
            <w:noWrap/>
            <w:vAlign w:val="center"/>
            <w:hideMark/>
          </w:tcPr>
          <w:p w14:paraId="434917FA"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7.698.308</w:t>
            </w:r>
          </w:p>
        </w:tc>
        <w:tc>
          <w:tcPr>
            <w:tcW w:w="945" w:type="dxa"/>
            <w:tcBorders>
              <w:top w:val="nil"/>
              <w:left w:val="nil"/>
              <w:bottom w:val="nil"/>
              <w:right w:val="single" w:sz="8" w:space="0" w:color="auto"/>
            </w:tcBorders>
            <w:shd w:val="clear" w:color="000000" w:fill="FFFFFF"/>
            <w:noWrap/>
            <w:vAlign w:val="center"/>
            <w:hideMark/>
          </w:tcPr>
          <w:p w14:paraId="6629B792"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8.283.758</w:t>
            </w:r>
          </w:p>
        </w:tc>
        <w:tc>
          <w:tcPr>
            <w:tcW w:w="945" w:type="dxa"/>
            <w:tcBorders>
              <w:top w:val="nil"/>
              <w:left w:val="nil"/>
              <w:bottom w:val="nil"/>
              <w:right w:val="single" w:sz="8" w:space="0" w:color="auto"/>
            </w:tcBorders>
            <w:shd w:val="clear" w:color="000000" w:fill="FFFFFF"/>
            <w:noWrap/>
            <w:vAlign w:val="center"/>
            <w:hideMark/>
          </w:tcPr>
          <w:p w14:paraId="69744F8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8.913.731</w:t>
            </w:r>
          </w:p>
        </w:tc>
        <w:tc>
          <w:tcPr>
            <w:tcW w:w="945" w:type="dxa"/>
            <w:tcBorders>
              <w:top w:val="nil"/>
              <w:left w:val="nil"/>
              <w:bottom w:val="nil"/>
              <w:right w:val="single" w:sz="8" w:space="0" w:color="auto"/>
            </w:tcBorders>
            <w:shd w:val="clear" w:color="000000" w:fill="FFFFFF"/>
            <w:noWrap/>
            <w:vAlign w:val="center"/>
            <w:hideMark/>
          </w:tcPr>
          <w:p w14:paraId="2E1ADE2F"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9.591.613</w:t>
            </w:r>
          </w:p>
        </w:tc>
        <w:tc>
          <w:tcPr>
            <w:tcW w:w="1183" w:type="dxa"/>
            <w:tcBorders>
              <w:top w:val="nil"/>
              <w:left w:val="nil"/>
              <w:bottom w:val="nil"/>
              <w:right w:val="single" w:sz="8" w:space="0" w:color="auto"/>
            </w:tcBorders>
            <w:shd w:val="clear" w:color="000000" w:fill="FFFFFF"/>
            <w:noWrap/>
            <w:vAlign w:val="center"/>
            <w:hideMark/>
          </w:tcPr>
          <w:p w14:paraId="57CA6E2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10.321.048</w:t>
            </w:r>
          </w:p>
        </w:tc>
        <w:tc>
          <w:tcPr>
            <w:tcW w:w="1134" w:type="dxa"/>
            <w:tcBorders>
              <w:top w:val="nil"/>
              <w:left w:val="nil"/>
              <w:bottom w:val="nil"/>
              <w:right w:val="single" w:sz="8" w:space="0" w:color="auto"/>
            </w:tcBorders>
            <w:shd w:val="clear" w:color="000000" w:fill="FFFFFF"/>
            <w:noWrap/>
            <w:vAlign w:val="center"/>
            <w:hideMark/>
          </w:tcPr>
          <w:p w14:paraId="0BF0365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11.105.955</w:t>
            </w:r>
          </w:p>
        </w:tc>
      </w:tr>
      <w:tr w:rsidR="00807DD4" w:rsidRPr="00720160" w14:paraId="7C182410" w14:textId="77777777" w:rsidTr="00807DD4">
        <w:tc>
          <w:tcPr>
            <w:tcW w:w="3400" w:type="dxa"/>
            <w:tcBorders>
              <w:left w:val="single" w:sz="8" w:space="0" w:color="auto"/>
              <w:right w:val="single" w:sz="8" w:space="0" w:color="auto"/>
            </w:tcBorders>
            <w:shd w:val="clear" w:color="000000" w:fill="FFFFFF"/>
            <w:noWrap/>
          </w:tcPr>
          <w:p w14:paraId="4E0E744F" w14:textId="77777777" w:rsidR="00807DD4" w:rsidRPr="00117BF8" w:rsidRDefault="00807DD4" w:rsidP="001D3315">
            <w:pPr>
              <w:pStyle w:val="TablaC"/>
              <w:jc w:val="left"/>
              <w:rPr>
                <w:rFonts w:ascii="Arial" w:hAnsi="Arial" w:cs="Arial"/>
                <w:sz w:val="18"/>
                <w:szCs w:val="18"/>
              </w:rPr>
            </w:pPr>
            <w:r w:rsidRPr="00117BF8">
              <w:rPr>
                <w:rFonts w:ascii="Arial" w:hAnsi="Arial" w:cs="Arial"/>
                <w:sz w:val="18"/>
                <w:szCs w:val="18"/>
              </w:rPr>
              <w:t>PBG (2) - millones de $</w:t>
            </w:r>
          </w:p>
        </w:tc>
        <w:tc>
          <w:tcPr>
            <w:tcW w:w="946" w:type="dxa"/>
            <w:tcBorders>
              <w:left w:val="nil"/>
              <w:right w:val="single" w:sz="8" w:space="0" w:color="auto"/>
            </w:tcBorders>
            <w:shd w:val="clear" w:color="000000" w:fill="FFFFFF"/>
            <w:noWrap/>
            <w:vAlign w:val="center"/>
          </w:tcPr>
          <w:p w14:paraId="1B90D00C"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3.011.557</w:t>
            </w:r>
          </w:p>
        </w:tc>
        <w:tc>
          <w:tcPr>
            <w:tcW w:w="945" w:type="dxa"/>
            <w:tcBorders>
              <w:left w:val="nil"/>
              <w:right w:val="single" w:sz="8" w:space="0" w:color="auto"/>
            </w:tcBorders>
            <w:shd w:val="clear" w:color="000000" w:fill="FFFFFF"/>
            <w:noWrap/>
            <w:vAlign w:val="center"/>
          </w:tcPr>
          <w:p w14:paraId="1D8A0B9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3.690.664</w:t>
            </w:r>
          </w:p>
        </w:tc>
        <w:tc>
          <w:tcPr>
            <w:tcW w:w="945" w:type="dxa"/>
            <w:tcBorders>
              <w:left w:val="nil"/>
              <w:right w:val="single" w:sz="8" w:space="0" w:color="auto"/>
            </w:tcBorders>
            <w:shd w:val="clear" w:color="000000" w:fill="FFFFFF"/>
            <w:noWrap/>
            <w:vAlign w:val="center"/>
          </w:tcPr>
          <w:p w14:paraId="53EA7DC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4.301.238</w:t>
            </w:r>
          </w:p>
        </w:tc>
        <w:tc>
          <w:tcPr>
            <w:tcW w:w="945" w:type="dxa"/>
            <w:tcBorders>
              <w:left w:val="nil"/>
              <w:right w:val="single" w:sz="8" w:space="0" w:color="auto"/>
            </w:tcBorders>
            <w:shd w:val="clear" w:color="000000" w:fill="FFFFFF"/>
            <w:noWrap/>
            <w:vAlign w:val="center"/>
          </w:tcPr>
          <w:p w14:paraId="65E8662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4.839.166</w:t>
            </w:r>
          </w:p>
        </w:tc>
        <w:tc>
          <w:tcPr>
            <w:tcW w:w="945" w:type="dxa"/>
            <w:tcBorders>
              <w:left w:val="nil"/>
              <w:right w:val="single" w:sz="8" w:space="0" w:color="auto"/>
            </w:tcBorders>
            <w:shd w:val="clear" w:color="000000" w:fill="FFFFFF"/>
            <w:noWrap/>
            <w:vAlign w:val="center"/>
          </w:tcPr>
          <w:p w14:paraId="1FA2DF3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5.298.369</w:t>
            </w:r>
          </w:p>
        </w:tc>
        <w:tc>
          <w:tcPr>
            <w:tcW w:w="945" w:type="dxa"/>
            <w:tcBorders>
              <w:left w:val="nil"/>
              <w:right w:val="single" w:sz="8" w:space="0" w:color="auto"/>
            </w:tcBorders>
            <w:shd w:val="clear" w:color="000000" w:fill="FFFFFF"/>
            <w:noWrap/>
            <w:vAlign w:val="center"/>
          </w:tcPr>
          <w:p w14:paraId="465A626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5.701.305</w:t>
            </w:r>
          </w:p>
        </w:tc>
        <w:tc>
          <w:tcPr>
            <w:tcW w:w="945" w:type="dxa"/>
            <w:tcBorders>
              <w:left w:val="nil"/>
              <w:right w:val="single" w:sz="8" w:space="0" w:color="auto"/>
            </w:tcBorders>
            <w:shd w:val="clear" w:color="000000" w:fill="FFFFFF"/>
            <w:noWrap/>
            <w:vAlign w:val="center"/>
          </w:tcPr>
          <w:p w14:paraId="147CE07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6.134.885</w:t>
            </w:r>
          </w:p>
        </w:tc>
        <w:tc>
          <w:tcPr>
            <w:tcW w:w="945" w:type="dxa"/>
            <w:tcBorders>
              <w:left w:val="nil"/>
              <w:right w:val="single" w:sz="8" w:space="0" w:color="auto"/>
            </w:tcBorders>
            <w:shd w:val="clear" w:color="000000" w:fill="FFFFFF"/>
            <w:noWrap/>
            <w:vAlign w:val="center"/>
          </w:tcPr>
          <w:p w14:paraId="15BBAB5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6.601.438</w:t>
            </w:r>
          </w:p>
        </w:tc>
        <w:tc>
          <w:tcPr>
            <w:tcW w:w="945" w:type="dxa"/>
            <w:tcBorders>
              <w:left w:val="nil"/>
              <w:right w:val="single" w:sz="8" w:space="0" w:color="auto"/>
            </w:tcBorders>
            <w:shd w:val="clear" w:color="000000" w:fill="FFFFFF"/>
            <w:noWrap/>
            <w:vAlign w:val="center"/>
          </w:tcPr>
          <w:p w14:paraId="5BA9035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7.103.472</w:t>
            </w:r>
          </w:p>
        </w:tc>
        <w:tc>
          <w:tcPr>
            <w:tcW w:w="945" w:type="dxa"/>
            <w:tcBorders>
              <w:left w:val="nil"/>
              <w:right w:val="single" w:sz="8" w:space="0" w:color="auto"/>
            </w:tcBorders>
            <w:shd w:val="clear" w:color="000000" w:fill="FFFFFF"/>
            <w:noWrap/>
            <w:vAlign w:val="center"/>
          </w:tcPr>
          <w:p w14:paraId="7DF21F8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7.643.686</w:t>
            </w:r>
          </w:p>
        </w:tc>
        <w:tc>
          <w:tcPr>
            <w:tcW w:w="1183" w:type="dxa"/>
            <w:tcBorders>
              <w:left w:val="nil"/>
              <w:right w:val="single" w:sz="8" w:space="0" w:color="auto"/>
            </w:tcBorders>
            <w:shd w:val="clear" w:color="000000" w:fill="FFFFFF"/>
            <w:noWrap/>
            <w:vAlign w:val="center"/>
          </w:tcPr>
          <w:p w14:paraId="4CB09912"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8.224.982</w:t>
            </w:r>
          </w:p>
        </w:tc>
        <w:tc>
          <w:tcPr>
            <w:tcW w:w="1134" w:type="dxa"/>
            <w:tcBorders>
              <w:left w:val="nil"/>
              <w:right w:val="single" w:sz="8" w:space="0" w:color="auto"/>
            </w:tcBorders>
            <w:shd w:val="clear" w:color="000000" w:fill="FFFFFF"/>
            <w:noWrap/>
            <w:vAlign w:val="center"/>
          </w:tcPr>
          <w:p w14:paraId="2DED1A5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8.850.485</w:t>
            </w:r>
          </w:p>
        </w:tc>
      </w:tr>
      <w:tr w:rsidR="00807DD4" w:rsidRPr="00720160" w14:paraId="694FF422" w14:textId="77777777" w:rsidTr="00807DD4">
        <w:tc>
          <w:tcPr>
            <w:tcW w:w="3400" w:type="dxa"/>
            <w:tcBorders>
              <w:left w:val="single" w:sz="8" w:space="0" w:color="auto"/>
              <w:right w:val="single" w:sz="8" w:space="0" w:color="auto"/>
            </w:tcBorders>
            <w:shd w:val="clear" w:color="000000" w:fill="FFFFFF"/>
            <w:noWrap/>
            <w:hideMark/>
          </w:tcPr>
          <w:p w14:paraId="452C7D50" w14:textId="77777777" w:rsidR="00807DD4" w:rsidRPr="00117BF8" w:rsidRDefault="00807DD4" w:rsidP="001D3315">
            <w:pPr>
              <w:pStyle w:val="TablaC"/>
              <w:jc w:val="left"/>
              <w:rPr>
                <w:rFonts w:ascii="Arial" w:hAnsi="Arial" w:cs="Arial"/>
                <w:b/>
                <w:sz w:val="18"/>
                <w:szCs w:val="18"/>
              </w:rPr>
            </w:pPr>
            <w:r w:rsidRPr="00117BF8">
              <w:rPr>
                <w:rFonts w:ascii="Arial" w:hAnsi="Arial" w:cs="Arial"/>
                <w:sz w:val="18"/>
                <w:szCs w:val="18"/>
              </w:rPr>
              <w:t>Ratio deuda / PBG (1)</w:t>
            </w:r>
          </w:p>
        </w:tc>
        <w:tc>
          <w:tcPr>
            <w:tcW w:w="946" w:type="dxa"/>
            <w:tcBorders>
              <w:left w:val="nil"/>
              <w:right w:val="single" w:sz="8" w:space="0" w:color="auto"/>
            </w:tcBorders>
            <w:shd w:val="clear" w:color="000000" w:fill="FFFFFF"/>
            <w:noWrap/>
            <w:vAlign w:val="center"/>
            <w:hideMark/>
          </w:tcPr>
          <w:p w14:paraId="56D03782"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6,3%</w:t>
            </w:r>
          </w:p>
        </w:tc>
        <w:tc>
          <w:tcPr>
            <w:tcW w:w="945" w:type="dxa"/>
            <w:tcBorders>
              <w:left w:val="nil"/>
              <w:right w:val="single" w:sz="8" w:space="0" w:color="auto"/>
            </w:tcBorders>
            <w:shd w:val="clear" w:color="000000" w:fill="FFFFFF"/>
            <w:noWrap/>
            <w:vAlign w:val="center"/>
            <w:hideMark/>
          </w:tcPr>
          <w:p w14:paraId="0CEE611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6,6%</w:t>
            </w:r>
          </w:p>
        </w:tc>
        <w:tc>
          <w:tcPr>
            <w:tcW w:w="945" w:type="dxa"/>
            <w:tcBorders>
              <w:left w:val="nil"/>
              <w:right w:val="single" w:sz="8" w:space="0" w:color="auto"/>
            </w:tcBorders>
            <w:shd w:val="clear" w:color="000000" w:fill="FFFFFF"/>
            <w:noWrap/>
            <w:vAlign w:val="center"/>
            <w:hideMark/>
          </w:tcPr>
          <w:p w14:paraId="300EF07E"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7,3%</w:t>
            </w:r>
          </w:p>
        </w:tc>
        <w:tc>
          <w:tcPr>
            <w:tcW w:w="945" w:type="dxa"/>
            <w:tcBorders>
              <w:left w:val="nil"/>
              <w:right w:val="single" w:sz="8" w:space="0" w:color="auto"/>
            </w:tcBorders>
            <w:shd w:val="clear" w:color="000000" w:fill="FFFFFF"/>
            <w:noWrap/>
            <w:vAlign w:val="center"/>
            <w:hideMark/>
          </w:tcPr>
          <w:p w14:paraId="482CDC6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7,5%</w:t>
            </w:r>
          </w:p>
        </w:tc>
        <w:tc>
          <w:tcPr>
            <w:tcW w:w="945" w:type="dxa"/>
            <w:tcBorders>
              <w:left w:val="nil"/>
              <w:right w:val="single" w:sz="8" w:space="0" w:color="auto"/>
            </w:tcBorders>
            <w:shd w:val="clear" w:color="000000" w:fill="FFFFFF"/>
            <w:noWrap/>
            <w:vAlign w:val="center"/>
            <w:hideMark/>
          </w:tcPr>
          <w:p w14:paraId="7C1031F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945" w:type="dxa"/>
            <w:tcBorders>
              <w:left w:val="nil"/>
              <w:right w:val="single" w:sz="8" w:space="0" w:color="auto"/>
            </w:tcBorders>
            <w:shd w:val="clear" w:color="000000" w:fill="FFFFFF"/>
            <w:noWrap/>
            <w:vAlign w:val="center"/>
            <w:hideMark/>
          </w:tcPr>
          <w:p w14:paraId="14597C5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945" w:type="dxa"/>
            <w:tcBorders>
              <w:left w:val="nil"/>
              <w:right w:val="single" w:sz="8" w:space="0" w:color="auto"/>
            </w:tcBorders>
            <w:shd w:val="clear" w:color="000000" w:fill="FFFFFF"/>
            <w:noWrap/>
            <w:vAlign w:val="center"/>
            <w:hideMark/>
          </w:tcPr>
          <w:p w14:paraId="4803E4A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945" w:type="dxa"/>
            <w:tcBorders>
              <w:left w:val="nil"/>
              <w:right w:val="single" w:sz="8" w:space="0" w:color="auto"/>
            </w:tcBorders>
            <w:shd w:val="clear" w:color="000000" w:fill="FFFFFF"/>
            <w:noWrap/>
            <w:vAlign w:val="center"/>
            <w:hideMark/>
          </w:tcPr>
          <w:p w14:paraId="5867CCB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7,7%</w:t>
            </w:r>
          </w:p>
        </w:tc>
        <w:tc>
          <w:tcPr>
            <w:tcW w:w="945" w:type="dxa"/>
            <w:tcBorders>
              <w:left w:val="nil"/>
              <w:right w:val="single" w:sz="8" w:space="0" w:color="auto"/>
            </w:tcBorders>
            <w:shd w:val="clear" w:color="000000" w:fill="FFFFFF"/>
            <w:noWrap/>
            <w:vAlign w:val="center"/>
            <w:hideMark/>
          </w:tcPr>
          <w:p w14:paraId="2125272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7,7%</w:t>
            </w:r>
          </w:p>
        </w:tc>
        <w:tc>
          <w:tcPr>
            <w:tcW w:w="945" w:type="dxa"/>
            <w:tcBorders>
              <w:left w:val="nil"/>
              <w:right w:val="single" w:sz="8" w:space="0" w:color="auto"/>
            </w:tcBorders>
            <w:shd w:val="clear" w:color="000000" w:fill="FFFFFF"/>
            <w:noWrap/>
            <w:vAlign w:val="center"/>
            <w:hideMark/>
          </w:tcPr>
          <w:p w14:paraId="295ADBA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1183" w:type="dxa"/>
            <w:tcBorders>
              <w:left w:val="nil"/>
              <w:right w:val="single" w:sz="8" w:space="0" w:color="auto"/>
            </w:tcBorders>
            <w:shd w:val="clear" w:color="000000" w:fill="FFFFFF"/>
            <w:noWrap/>
            <w:vAlign w:val="center"/>
            <w:hideMark/>
          </w:tcPr>
          <w:p w14:paraId="1DA883A3"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1134" w:type="dxa"/>
            <w:tcBorders>
              <w:left w:val="nil"/>
              <w:right w:val="single" w:sz="8" w:space="0" w:color="auto"/>
            </w:tcBorders>
            <w:shd w:val="clear" w:color="000000" w:fill="FFFFFF"/>
            <w:noWrap/>
            <w:vAlign w:val="center"/>
            <w:hideMark/>
          </w:tcPr>
          <w:p w14:paraId="64CEB70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7,5%</w:t>
            </w:r>
          </w:p>
        </w:tc>
      </w:tr>
      <w:tr w:rsidR="00807DD4" w:rsidRPr="00720160" w14:paraId="7679A112" w14:textId="77777777" w:rsidTr="00807DD4">
        <w:tc>
          <w:tcPr>
            <w:tcW w:w="3400" w:type="dxa"/>
            <w:tcBorders>
              <w:left w:val="single" w:sz="8" w:space="0" w:color="auto"/>
              <w:right w:val="single" w:sz="8" w:space="0" w:color="auto"/>
            </w:tcBorders>
            <w:shd w:val="clear" w:color="000000" w:fill="FFFFFF"/>
            <w:noWrap/>
          </w:tcPr>
          <w:p w14:paraId="3B55BAD5" w14:textId="77777777" w:rsidR="00807DD4" w:rsidRPr="00117BF8" w:rsidRDefault="00807DD4" w:rsidP="001D3315">
            <w:pPr>
              <w:pStyle w:val="TablaC"/>
              <w:jc w:val="left"/>
              <w:rPr>
                <w:rFonts w:ascii="Arial" w:hAnsi="Arial" w:cs="Arial"/>
                <w:sz w:val="18"/>
                <w:szCs w:val="18"/>
              </w:rPr>
            </w:pPr>
            <w:r w:rsidRPr="00117BF8">
              <w:rPr>
                <w:rFonts w:ascii="Arial" w:hAnsi="Arial" w:cs="Arial"/>
                <w:sz w:val="18"/>
                <w:szCs w:val="18"/>
              </w:rPr>
              <w:t>Ratio deuda / PBG (2)</w:t>
            </w:r>
          </w:p>
        </w:tc>
        <w:tc>
          <w:tcPr>
            <w:tcW w:w="946" w:type="dxa"/>
            <w:tcBorders>
              <w:left w:val="nil"/>
              <w:right w:val="single" w:sz="8" w:space="0" w:color="auto"/>
            </w:tcBorders>
            <w:shd w:val="clear" w:color="000000" w:fill="FFFFFF"/>
            <w:noWrap/>
            <w:vAlign w:val="center"/>
          </w:tcPr>
          <w:p w14:paraId="62ED483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7,9%</w:t>
            </w:r>
          </w:p>
        </w:tc>
        <w:tc>
          <w:tcPr>
            <w:tcW w:w="945" w:type="dxa"/>
            <w:tcBorders>
              <w:left w:val="nil"/>
              <w:right w:val="single" w:sz="8" w:space="0" w:color="auto"/>
            </w:tcBorders>
            <w:shd w:val="clear" w:color="000000" w:fill="FFFFFF"/>
            <w:noWrap/>
            <w:vAlign w:val="center"/>
          </w:tcPr>
          <w:p w14:paraId="43F8EAE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8,3%</w:t>
            </w:r>
          </w:p>
        </w:tc>
        <w:tc>
          <w:tcPr>
            <w:tcW w:w="945" w:type="dxa"/>
            <w:tcBorders>
              <w:left w:val="nil"/>
              <w:right w:val="single" w:sz="8" w:space="0" w:color="auto"/>
            </w:tcBorders>
            <w:shd w:val="clear" w:color="000000" w:fill="FFFFFF"/>
            <w:noWrap/>
            <w:vAlign w:val="center"/>
          </w:tcPr>
          <w:p w14:paraId="3F57A5B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9,2%</w:t>
            </w:r>
          </w:p>
        </w:tc>
        <w:tc>
          <w:tcPr>
            <w:tcW w:w="945" w:type="dxa"/>
            <w:tcBorders>
              <w:left w:val="nil"/>
              <w:right w:val="single" w:sz="8" w:space="0" w:color="auto"/>
            </w:tcBorders>
            <w:shd w:val="clear" w:color="000000" w:fill="FFFFFF"/>
            <w:noWrap/>
            <w:vAlign w:val="center"/>
          </w:tcPr>
          <w:p w14:paraId="207D072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9,4%</w:t>
            </w:r>
          </w:p>
        </w:tc>
        <w:tc>
          <w:tcPr>
            <w:tcW w:w="945" w:type="dxa"/>
            <w:tcBorders>
              <w:left w:val="nil"/>
              <w:right w:val="single" w:sz="8" w:space="0" w:color="auto"/>
            </w:tcBorders>
            <w:shd w:val="clear" w:color="000000" w:fill="FFFFFF"/>
            <w:noWrap/>
            <w:vAlign w:val="center"/>
          </w:tcPr>
          <w:p w14:paraId="7787C99D"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9,5%</w:t>
            </w:r>
          </w:p>
        </w:tc>
        <w:tc>
          <w:tcPr>
            <w:tcW w:w="945" w:type="dxa"/>
            <w:tcBorders>
              <w:left w:val="nil"/>
              <w:right w:val="single" w:sz="8" w:space="0" w:color="auto"/>
            </w:tcBorders>
            <w:shd w:val="clear" w:color="000000" w:fill="FFFFFF"/>
            <w:noWrap/>
            <w:vAlign w:val="center"/>
          </w:tcPr>
          <w:p w14:paraId="2F4E8E9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9,6%</w:t>
            </w:r>
          </w:p>
        </w:tc>
        <w:tc>
          <w:tcPr>
            <w:tcW w:w="945" w:type="dxa"/>
            <w:tcBorders>
              <w:left w:val="nil"/>
              <w:right w:val="single" w:sz="8" w:space="0" w:color="auto"/>
            </w:tcBorders>
            <w:shd w:val="clear" w:color="000000" w:fill="FFFFFF"/>
            <w:noWrap/>
            <w:vAlign w:val="center"/>
          </w:tcPr>
          <w:p w14:paraId="73BFEDF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9,6%</w:t>
            </w:r>
          </w:p>
        </w:tc>
        <w:tc>
          <w:tcPr>
            <w:tcW w:w="945" w:type="dxa"/>
            <w:tcBorders>
              <w:left w:val="nil"/>
              <w:right w:val="single" w:sz="8" w:space="0" w:color="auto"/>
            </w:tcBorders>
            <w:shd w:val="clear" w:color="000000" w:fill="FFFFFF"/>
            <w:noWrap/>
            <w:vAlign w:val="center"/>
          </w:tcPr>
          <w:p w14:paraId="2519441F"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9,7%</w:t>
            </w:r>
          </w:p>
        </w:tc>
        <w:tc>
          <w:tcPr>
            <w:tcW w:w="945" w:type="dxa"/>
            <w:tcBorders>
              <w:left w:val="nil"/>
              <w:right w:val="single" w:sz="8" w:space="0" w:color="auto"/>
            </w:tcBorders>
            <w:shd w:val="clear" w:color="000000" w:fill="FFFFFF"/>
            <w:noWrap/>
            <w:vAlign w:val="center"/>
          </w:tcPr>
          <w:p w14:paraId="55572B02"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9,6%</w:t>
            </w:r>
          </w:p>
        </w:tc>
        <w:tc>
          <w:tcPr>
            <w:tcW w:w="945" w:type="dxa"/>
            <w:tcBorders>
              <w:left w:val="nil"/>
              <w:right w:val="single" w:sz="8" w:space="0" w:color="auto"/>
            </w:tcBorders>
            <w:shd w:val="clear" w:color="000000" w:fill="FFFFFF"/>
            <w:noWrap/>
            <w:vAlign w:val="center"/>
          </w:tcPr>
          <w:p w14:paraId="0C19CC1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9,6%</w:t>
            </w:r>
          </w:p>
        </w:tc>
        <w:tc>
          <w:tcPr>
            <w:tcW w:w="1183" w:type="dxa"/>
            <w:tcBorders>
              <w:left w:val="nil"/>
              <w:right w:val="single" w:sz="8" w:space="0" w:color="auto"/>
            </w:tcBorders>
            <w:shd w:val="clear" w:color="000000" w:fill="FFFFFF"/>
            <w:noWrap/>
            <w:vAlign w:val="center"/>
          </w:tcPr>
          <w:p w14:paraId="54B7321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9,5%</w:t>
            </w:r>
          </w:p>
        </w:tc>
        <w:tc>
          <w:tcPr>
            <w:tcW w:w="1134" w:type="dxa"/>
            <w:tcBorders>
              <w:left w:val="nil"/>
              <w:right w:val="single" w:sz="8" w:space="0" w:color="auto"/>
            </w:tcBorders>
            <w:shd w:val="clear" w:color="000000" w:fill="FFFFFF"/>
            <w:noWrap/>
            <w:vAlign w:val="center"/>
          </w:tcPr>
          <w:p w14:paraId="1309B53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9,4%</w:t>
            </w:r>
          </w:p>
        </w:tc>
      </w:tr>
      <w:tr w:rsidR="00807DD4" w:rsidRPr="00720160" w14:paraId="29390E02" w14:textId="77777777" w:rsidTr="00807DD4">
        <w:tc>
          <w:tcPr>
            <w:tcW w:w="3400" w:type="dxa"/>
            <w:tcBorders>
              <w:top w:val="nil"/>
              <w:left w:val="single" w:sz="8" w:space="0" w:color="auto"/>
              <w:bottom w:val="nil"/>
              <w:right w:val="single" w:sz="8" w:space="0" w:color="auto"/>
            </w:tcBorders>
            <w:shd w:val="clear" w:color="000000" w:fill="FFFFFF"/>
            <w:noWrap/>
            <w:hideMark/>
          </w:tcPr>
          <w:p w14:paraId="3325222E" w14:textId="77777777" w:rsidR="00807DD4" w:rsidRPr="00117BF8" w:rsidRDefault="00807DD4" w:rsidP="001D3315">
            <w:pPr>
              <w:pStyle w:val="TablaC"/>
              <w:jc w:val="left"/>
              <w:rPr>
                <w:rFonts w:ascii="Arial" w:hAnsi="Arial" w:cs="Arial"/>
                <w:sz w:val="18"/>
                <w:szCs w:val="18"/>
              </w:rPr>
            </w:pPr>
            <w:r w:rsidRPr="00117BF8">
              <w:rPr>
                <w:rFonts w:ascii="Arial" w:hAnsi="Arial" w:cs="Arial"/>
                <w:sz w:val="18"/>
                <w:szCs w:val="18"/>
              </w:rPr>
              <w:t>Ratio deuda / ingresos corrientes</w:t>
            </w:r>
          </w:p>
        </w:tc>
        <w:tc>
          <w:tcPr>
            <w:tcW w:w="946" w:type="dxa"/>
            <w:tcBorders>
              <w:top w:val="nil"/>
              <w:left w:val="nil"/>
              <w:bottom w:val="nil"/>
              <w:right w:val="single" w:sz="8" w:space="0" w:color="auto"/>
            </w:tcBorders>
            <w:shd w:val="clear" w:color="000000" w:fill="FFFFFF"/>
            <w:noWrap/>
            <w:vAlign w:val="center"/>
            <w:hideMark/>
          </w:tcPr>
          <w:p w14:paraId="329D154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47,4%</w:t>
            </w:r>
          </w:p>
        </w:tc>
        <w:tc>
          <w:tcPr>
            <w:tcW w:w="945" w:type="dxa"/>
            <w:tcBorders>
              <w:top w:val="nil"/>
              <w:left w:val="nil"/>
              <w:bottom w:val="nil"/>
              <w:right w:val="single" w:sz="8" w:space="0" w:color="auto"/>
            </w:tcBorders>
            <w:shd w:val="clear" w:color="000000" w:fill="FFFFFF"/>
            <w:noWrap/>
            <w:vAlign w:val="center"/>
            <w:hideMark/>
          </w:tcPr>
          <w:p w14:paraId="4F45309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50,2%</w:t>
            </w:r>
          </w:p>
        </w:tc>
        <w:tc>
          <w:tcPr>
            <w:tcW w:w="945" w:type="dxa"/>
            <w:tcBorders>
              <w:top w:val="nil"/>
              <w:left w:val="nil"/>
              <w:bottom w:val="nil"/>
              <w:right w:val="single" w:sz="8" w:space="0" w:color="auto"/>
            </w:tcBorders>
            <w:shd w:val="clear" w:color="000000" w:fill="FFFFFF"/>
            <w:noWrap/>
            <w:vAlign w:val="center"/>
            <w:hideMark/>
          </w:tcPr>
          <w:p w14:paraId="2C65B96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56,0%</w:t>
            </w:r>
          </w:p>
        </w:tc>
        <w:tc>
          <w:tcPr>
            <w:tcW w:w="945" w:type="dxa"/>
            <w:tcBorders>
              <w:top w:val="nil"/>
              <w:left w:val="nil"/>
              <w:bottom w:val="nil"/>
              <w:right w:val="single" w:sz="8" w:space="0" w:color="auto"/>
            </w:tcBorders>
            <w:shd w:val="clear" w:color="000000" w:fill="FFFFFF"/>
            <w:noWrap/>
            <w:vAlign w:val="center"/>
            <w:hideMark/>
          </w:tcPr>
          <w:p w14:paraId="5586156E"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57,4%</w:t>
            </w:r>
          </w:p>
        </w:tc>
        <w:tc>
          <w:tcPr>
            <w:tcW w:w="945" w:type="dxa"/>
            <w:tcBorders>
              <w:top w:val="nil"/>
              <w:left w:val="nil"/>
              <w:bottom w:val="nil"/>
              <w:right w:val="single" w:sz="8" w:space="0" w:color="auto"/>
            </w:tcBorders>
            <w:shd w:val="clear" w:color="000000" w:fill="FFFFFF"/>
            <w:noWrap/>
            <w:vAlign w:val="center"/>
            <w:hideMark/>
          </w:tcPr>
          <w:p w14:paraId="13F1109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58,7%</w:t>
            </w:r>
          </w:p>
        </w:tc>
        <w:tc>
          <w:tcPr>
            <w:tcW w:w="945" w:type="dxa"/>
            <w:tcBorders>
              <w:top w:val="nil"/>
              <w:left w:val="nil"/>
              <w:bottom w:val="nil"/>
              <w:right w:val="single" w:sz="8" w:space="0" w:color="auto"/>
            </w:tcBorders>
            <w:shd w:val="clear" w:color="000000" w:fill="FFFFFF"/>
            <w:noWrap/>
            <w:vAlign w:val="center"/>
            <w:hideMark/>
          </w:tcPr>
          <w:p w14:paraId="2215BBA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59,3%</w:t>
            </w:r>
          </w:p>
        </w:tc>
        <w:tc>
          <w:tcPr>
            <w:tcW w:w="945" w:type="dxa"/>
            <w:tcBorders>
              <w:top w:val="nil"/>
              <w:left w:val="nil"/>
              <w:bottom w:val="nil"/>
              <w:right w:val="single" w:sz="8" w:space="0" w:color="auto"/>
            </w:tcBorders>
            <w:shd w:val="clear" w:color="000000" w:fill="FFFFFF"/>
            <w:noWrap/>
            <w:vAlign w:val="center"/>
            <w:hideMark/>
          </w:tcPr>
          <w:p w14:paraId="36CCF73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60,0%</w:t>
            </w:r>
          </w:p>
        </w:tc>
        <w:tc>
          <w:tcPr>
            <w:tcW w:w="945" w:type="dxa"/>
            <w:tcBorders>
              <w:top w:val="nil"/>
              <w:left w:val="nil"/>
              <w:bottom w:val="nil"/>
              <w:right w:val="single" w:sz="8" w:space="0" w:color="auto"/>
            </w:tcBorders>
            <w:shd w:val="clear" w:color="000000" w:fill="FFFFFF"/>
            <w:noWrap/>
            <w:vAlign w:val="center"/>
            <w:hideMark/>
          </w:tcPr>
          <w:p w14:paraId="7034FB5A"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61,1%</w:t>
            </w:r>
          </w:p>
        </w:tc>
        <w:tc>
          <w:tcPr>
            <w:tcW w:w="945" w:type="dxa"/>
            <w:tcBorders>
              <w:top w:val="nil"/>
              <w:left w:val="nil"/>
              <w:bottom w:val="nil"/>
              <w:right w:val="single" w:sz="8" w:space="0" w:color="auto"/>
            </w:tcBorders>
            <w:shd w:val="clear" w:color="000000" w:fill="FFFFFF"/>
            <w:noWrap/>
            <w:vAlign w:val="center"/>
            <w:hideMark/>
          </w:tcPr>
          <w:p w14:paraId="3B9BADFF"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60,9%</w:t>
            </w:r>
          </w:p>
        </w:tc>
        <w:tc>
          <w:tcPr>
            <w:tcW w:w="945" w:type="dxa"/>
            <w:tcBorders>
              <w:top w:val="nil"/>
              <w:left w:val="nil"/>
              <w:bottom w:val="nil"/>
              <w:right w:val="single" w:sz="8" w:space="0" w:color="auto"/>
            </w:tcBorders>
            <w:shd w:val="clear" w:color="000000" w:fill="FFFFFF"/>
            <w:noWrap/>
            <w:vAlign w:val="center"/>
            <w:hideMark/>
          </w:tcPr>
          <w:p w14:paraId="5E6EE4AE"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60,8%</w:t>
            </w:r>
          </w:p>
        </w:tc>
        <w:tc>
          <w:tcPr>
            <w:tcW w:w="1183" w:type="dxa"/>
            <w:tcBorders>
              <w:top w:val="nil"/>
              <w:left w:val="nil"/>
              <w:bottom w:val="nil"/>
              <w:right w:val="single" w:sz="8" w:space="0" w:color="auto"/>
            </w:tcBorders>
            <w:shd w:val="clear" w:color="000000" w:fill="FFFFFF"/>
            <w:noWrap/>
            <w:vAlign w:val="center"/>
            <w:hideMark/>
          </w:tcPr>
          <w:p w14:paraId="5F47C74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60,7%</w:t>
            </w:r>
          </w:p>
        </w:tc>
        <w:tc>
          <w:tcPr>
            <w:tcW w:w="1134" w:type="dxa"/>
            <w:tcBorders>
              <w:top w:val="nil"/>
              <w:left w:val="nil"/>
              <w:bottom w:val="nil"/>
              <w:right w:val="single" w:sz="8" w:space="0" w:color="auto"/>
            </w:tcBorders>
            <w:shd w:val="clear" w:color="000000" w:fill="FFFFFF"/>
            <w:noWrap/>
            <w:vAlign w:val="center"/>
            <w:hideMark/>
          </w:tcPr>
          <w:p w14:paraId="5FB476A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60,3%</w:t>
            </w:r>
          </w:p>
        </w:tc>
      </w:tr>
      <w:tr w:rsidR="00807DD4" w:rsidRPr="00720160" w14:paraId="4D7D5E09" w14:textId="77777777" w:rsidTr="00807DD4">
        <w:tc>
          <w:tcPr>
            <w:tcW w:w="3400" w:type="dxa"/>
            <w:tcBorders>
              <w:top w:val="nil"/>
              <w:left w:val="single" w:sz="8" w:space="0" w:color="auto"/>
              <w:bottom w:val="nil"/>
              <w:right w:val="single" w:sz="8" w:space="0" w:color="auto"/>
            </w:tcBorders>
            <w:shd w:val="clear" w:color="000000" w:fill="FFFFFF"/>
            <w:noWrap/>
            <w:hideMark/>
          </w:tcPr>
          <w:p w14:paraId="0CDB29B0" w14:textId="77777777" w:rsidR="00807DD4" w:rsidRPr="00117BF8" w:rsidRDefault="00807DD4" w:rsidP="001D3315">
            <w:pPr>
              <w:pStyle w:val="TablaC"/>
              <w:jc w:val="left"/>
              <w:rPr>
                <w:rFonts w:ascii="Arial" w:hAnsi="Arial" w:cs="Arial"/>
                <w:sz w:val="18"/>
                <w:szCs w:val="18"/>
                <w:lang w:val="es-ES_tradnl"/>
              </w:rPr>
            </w:pPr>
            <w:r w:rsidRPr="00117BF8">
              <w:rPr>
                <w:rFonts w:ascii="Arial" w:hAnsi="Arial" w:cs="Arial"/>
                <w:sz w:val="18"/>
                <w:szCs w:val="18"/>
                <w:lang w:val="es-ES_tradnl"/>
              </w:rPr>
              <w:t>Ratio servicios de deuda / ingr. corrientes</w:t>
            </w:r>
          </w:p>
        </w:tc>
        <w:tc>
          <w:tcPr>
            <w:tcW w:w="946" w:type="dxa"/>
            <w:tcBorders>
              <w:top w:val="nil"/>
              <w:left w:val="nil"/>
              <w:bottom w:val="nil"/>
              <w:right w:val="single" w:sz="8" w:space="0" w:color="auto"/>
            </w:tcBorders>
            <w:shd w:val="clear" w:color="000000" w:fill="FFFFFF"/>
            <w:noWrap/>
            <w:vAlign w:val="center"/>
            <w:hideMark/>
          </w:tcPr>
          <w:p w14:paraId="4EDAF8F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10,4%</w:t>
            </w:r>
          </w:p>
        </w:tc>
        <w:tc>
          <w:tcPr>
            <w:tcW w:w="945" w:type="dxa"/>
            <w:tcBorders>
              <w:top w:val="nil"/>
              <w:left w:val="nil"/>
              <w:bottom w:val="nil"/>
              <w:right w:val="single" w:sz="8" w:space="0" w:color="auto"/>
            </w:tcBorders>
            <w:shd w:val="clear" w:color="000000" w:fill="FFFFFF"/>
            <w:noWrap/>
            <w:vAlign w:val="center"/>
            <w:hideMark/>
          </w:tcPr>
          <w:p w14:paraId="418CEB4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7,9%</w:t>
            </w:r>
          </w:p>
        </w:tc>
        <w:tc>
          <w:tcPr>
            <w:tcW w:w="945" w:type="dxa"/>
            <w:tcBorders>
              <w:top w:val="nil"/>
              <w:left w:val="nil"/>
              <w:bottom w:val="nil"/>
              <w:right w:val="single" w:sz="8" w:space="0" w:color="auto"/>
            </w:tcBorders>
            <w:shd w:val="clear" w:color="000000" w:fill="FFFFFF"/>
            <w:noWrap/>
            <w:vAlign w:val="center"/>
            <w:hideMark/>
          </w:tcPr>
          <w:p w14:paraId="562ABF5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11,6%</w:t>
            </w:r>
          </w:p>
        </w:tc>
        <w:tc>
          <w:tcPr>
            <w:tcW w:w="945" w:type="dxa"/>
            <w:tcBorders>
              <w:top w:val="nil"/>
              <w:left w:val="nil"/>
              <w:bottom w:val="nil"/>
              <w:right w:val="single" w:sz="8" w:space="0" w:color="auto"/>
            </w:tcBorders>
            <w:shd w:val="clear" w:color="000000" w:fill="FFFFFF"/>
            <w:noWrap/>
            <w:vAlign w:val="center"/>
            <w:hideMark/>
          </w:tcPr>
          <w:p w14:paraId="40FB171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10,9%</w:t>
            </w:r>
          </w:p>
        </w:tc>
        <w:tc>
          <w:tcPr>
            <w:tcW w:w="945" w:type="dxa"/>
            <w:tcBorders>
              <w:top w:val="nil"/>
              <w:left w:val="nil"/>
              <w:bottom w:val="nil"/>
              <w:right w:val="single" w:sz="8" w:space="0" w:color="auto"/>
            </w:tcBorders>
            <w:shd w:val="clear" w:color="000000" w:fill="FFFFFF"/>
            <w:noWrap/>
            <w:vAlign w:val="center"/>
            <w:hideMark/>
          </w:tcPr>
          <w:p w14:paraId="7BB1A6D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12,2%</w:t>
            </w:r>
          </w:p>
        </w:tc>
        <w:tc>
          <w:tcPr>
            <w:tcW w:w="945" w:type="dxa"/>
            <w:tcBorders>
              <w:top w:val="nil"/>
              <w:left w:val="nil"/>
              <w:bottom w:val="nil"/>
              <w:right w:val="single" w:sz="8" w:space="0" w:color="auto"/>
            </w:tcBorders>
            <w:shd w:val="clear" w:color="000000" w:fill="FFFFFF"/>
            <w:noWrap/>
            <w:vAlign w:val="center"/>
            <w:hideMark/>
          </w:tcPr>
          <w:p w14:paraId="69599B7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13,1%</w:t>
            </w:r>
          </w:p>
        </w:tc>
        <w:tc>
          <w:tcPr>
            <w:tcW w:w="945" w:type="dxa"/>
            <w:tcBorders>
              <w:top w:val="nil"/>
              <w:left w:val="nil"/>
              <w:bottom w:val="nil"/>
              <w:right w:val="single" w:sz="8" w:space="0" w:color="auto"/>
            </w:tcBorders>
            <w:shd w:val="clear" w:color="000000" w:fill="FFFFFF"/>
            <w:noWrap/>
            <w:vAlign w:val="center"/>
            <w:hideMark/>
          </w:tcPr>
          <w:p w14:paraId="2DAEABC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12,8%</w:t>
            </w:r>
          </w:p>
        </w:tc>
        <w:tc>
          <w:tcPr>
            <w:tcW w:w="945" w:type="dxa"/>
            <w:tcBorders>
              <w:top w:val="nil"/>
              <w:left w:val="nil"/>
              <w:bottom w:val="nil"/>
              <w:right w:val="single" w:sz="8" w:space="0" w:color="auto"/>
            </w:tcBorders>
            <w:shd w:val="clear" w:color="000000" w:fill="FFFFFF"/>
            <w:noWrap/>
            <w:vAlign w:val="center"/>
            <w:hideMark/>
          </w:tcPr>
          <w:p w14:paraId="20FFDE7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9,7%</w:t>
            </w:r>
          </w:p>
        </w:tc>
        <w:tc>
          <w:tcPr>
            <w:tcW w:w="945" w:type="dxa"/>
            <w:tcBorders>
              <w:top w:val="nil"/>
              <w:left w:val="nil"/>
              <w:bottom w:val="nil"/>
              <w:right w:val="single" w:sz="8" w:space="0" w:color="auto"/>
            </w:tcBorders>
            <w:shd w:val="clear" w:color="000000" w:fill="FFFFFF"/>
            <w:noWrap/>
            <w:vAlign w:val="center"/>
            <w:hideMark/>
          </w:tcPr>
          <w:p w14:paraId="1305219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11,9%</w:t>
            </w:r>
          </w:p>
        </w:tc>
        <w:tc>
          <w:tcPr>
            <w:tcW w:w="945" w:type="dxa"/>
            <w:tcBorders>
              <w:top w:val="nil"/>
              <w:left w:val="nil"/>
              <w:bottom w:val="nil"/>
              <w:right w:val="single" w:sz="8" w:space="0" w:color="auto"/>
            </w:tcBorders>
            <w:shd w:val="clear" w:color="000000" w:fill="FFFFFF"/>
            <w:noWrap/>
            <w:vAlign w:val="center"/>
            <w:hideMark/>
          </w:tcPr>
          <w:p w14:paraId="46E577F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12,2%</w:t>
            </w:r>
          </w:p>
        </w:tc>
        <w:tc>
          <w:tcPr>
            <w:tcW w:w="1183" w:type="dxa"/>
            <w:tcBorders>
              <w:top w:val="nil"/>
              <w:left w:val="nil"/>
              <w:bottom w:val="nil"/>
              <w:right w:val="single" w:sz="8" w:space="0" w:color="auto"/>
            </w:tcBorders>
            <w:shd w:val="clear" w:color="000000" w:fill="FFFFFF"/>
            <w:noWrap/>
            <w:vAlign w:val="center"/>
            <w:hideMark/>
          </w:tcPr>
          <w:p w14:paraId="6C3812B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11,2%</w:t>
            </w:r>
          </w:p>
        </w:tc>
        <w:tc>
          <w:tcPr>
            <w:tcW w:w="1134" w:type="dxa"/>
            <w:tcBorders>
              <w:top w:val="nil"/>
              <w:left w:val="nil"/>
              <w:bottom w:val="nil"/>
              <w:right w:val="single" w:sz="8" w:space="0" w:color="auto"/>
            </w:tcBorders>
            <w:shd w:val="clear" w:color="000000" w:fill="FFFFFF"/>
            <w:noWrap/>
            <w:vAlign w:val="center"/>
            <w:hideMark/>
          </w:tcPr>
          <w:p w14:paraId="3E3334CC"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11,2%</w:t>
            </w:r>
          </w:p>
        </w:tc>
      </w:tr>
      <w:tr w:rsidR="00807DD4" w:rsidRPr="00720160" w14:paraId="06AE6FAD" w14:textId="77777777" w:rsidTr="00807DD4">
        <w:tc>
          <w:tcPr>
            <w:tcW w:w="3400" w:type="dxa"/>
            <w:tcBorders>
              <w:left w:val="single" w:sz="8" w:space="0" w:color="auto"/>
              <w:right w:val="single" w:sz="8" w:space="0" w:color="auto"/>
            </w:tcBorders>
            <w:shd w:val="clear" w:color="000000" w:fill="FFFFFF"/>
            <w:noWrap/>
            <w:hideMark/>
          </w:tcPr>
          <w:p w14:paraId="5D8D56A2" w14:textId="77777777" w:rsidR="00807DD4" w:rsidRPr="00117BF8" w:rsidRDefault="00807DD4" w:rsidP="00807DD4">
            <w:pPr>
              <w:pStyle w:val="TablaC"/>
              <w:jc w:val="left"/>
              <w:rPr>
                <w:rFonts w:ascii="Arial" w:hAnsi="Arial" w:cs="Arial"/>
                <w:b/>
                <w:sz w:val="18"/>
                <w:szCs w:val="18"/>
                <w:lang w:val="es-ES_tradnl"/>
              </w:rPr>
            </w:pPr>
            <w:r w:rsidRPr="00117BF8">
              <w:rPr>
                <w:rFonts w:ascii="Arial" w:hAnsi="Arial" w:cs="Arial"/>
                <w:sz w:val="18"/>
                <w:szCs w:val="18"/>
                <w:lang w:val="es-ES_tradnl"/>
              </w:rPr>
              <w:t>Proyección de tipo de cambio (ARS/USD)</w:t>
            </w:r>
          </w:p>
        </w:tc>
        <w:tc>
          <w:tcPr>
            <w:tcW w:w="946" w:type="dxa"/>
            <w:tcBorders>
              <w:left w:val="nil"/>
              <w:right w:val="single" w:sz="8" w:space="0" w:color="auto"/>
            </w:tcBorders>
            <w:shd w:val="clear" w:color="000000" w:fill="FFFFFF"/>
            <w:noWrap/>
            <w:vAlign w:val="center"/>
            <w:hideMark/>
          </w:tcPr>
          <w:p w14:paraId="12417D1D"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17,1</w:t>
            </w:r>
          </w:p>
        </w:tc>
        <w:tc>
          <w:tcPr>
            <w:tcW w:w="945" w:type="dxa"/>
            <w:tcBorders>
              <w:left w:val="nil"/>
              <w:right w:val="single" w:sz="8" w:space="0" w:color="auto"/>
            </w:tcBorders>
            <w:shd w:val="clear" w:color="000000" w:fill="FFFFFF"/>
            <w:noWrap/>
            <w:vAlign w:val="center"/>
            <w:hideMark/>
          </w:tcPr>
          <w:p w14:paraId="7569897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19,6</w:t>
            </w:r>
          </w:p>
        </w:tc>
        <w:tc>
          <w:tcPr>
            <w:tcW w:w="945" w:type="dxa"/>
            <w:tcBorders>
              <w:left w:val="nil"/>
              <w:right w:val="single" w:sz="8" w:space="0" w:color="auto"/>
            </w:tcBorders>
            <w:shd w:val="clear" w:color="000000" w:fill="FFFFFF"/>
            <w:noWrap/>
            <w:vAlign w:val="center"/>
            <w:hideMark/>
          </w:tcPr>
          <w:p w14:paraId="6CCB827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24,0</w:t>
            </w:r>
          </w:p>
        </w:tc>
        <w:tc>
          <w:tcPr>
            <w:tcW w:w="945" w:type="dxa"/>
            <w:tcBorders>
              <w:left w:val="nil"/>
              <w:right w:val="single" w:sz="8" w:space="0" w:color="auto"/>
            </w:tcBorders>
            <w:shd w:val="clear" w:color="000000" w:fill="FFFFFF"/>
            <w:noWrap/>
            <w:vAlign w:val="center"/>
            <w:hideMark/>
          </w:tcPr>
          <w:p w14:paraId="56588F7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25,7</w:t>
            </w:r>
          </w:p>
        </w:tc>
        <w:tc>
          <w:tcPr>
            <w:tcW w:w="945" w:type="dxa"/>
            <w:tcBorders>
              <w:left w:val="nil"/>
              <w:right w:val="single" w:sz="8" w:space="0" w:color="auto"/>
            </w:tcBorders>
            <w:shd w:val="clear" w:color="000000" w:fill="FFFFFF"/>
            <w:noWrap/>
            <w:vAlign w:val="center"/>
            <w:hideMark/>
          </w:tcPr>
          <w:p w14:paraId="1E8443F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26,8</w:t>
            </w:r>
          </w:p>
        </w:tc>
        <w:tc>
          <w:tcPr>
            <w:tcW w:w="945" w:type="dxa"/>
            <w:tcBorders>
              <w:left w:val="nil"/>
              <w:right w:val="single" w:sz="8" w:space="0" w:color="auto"/>
            </w:tcBorders>
            <w:shd w:val="clear" w:color="000000" w:fill="FFFFFF"/>
            <w:noWrap/>
            <w:vAlign w:val="center"/>
            <w:hideMark/>
          </w:tcPr>
          <w:p w14:paraId="533000A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27,5</w:t>
            </w:r>
          </w:p>
        </w:tc>
        <w:tc>
          <w:tcPr>
            <w:tcW w:w="945" w:type="dxa"/>
            <w:tcBorders>
              <w:left w:val="nil"/>
              <w:right w:val="single" w:sz="8" w:space="0" w:color="auto"/>
            </w:tcBorders>
            <w:shd w:val="clear" w:color="000000" w:fill="FFFFFF"/>
            <w:noWrap/>
            <w:vAlign w:val="center"/>
            <w:hideMark/>
          </w:tcPr>
          <w:p w14:paraId="7395905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28,2</w:t>
            </w:r>
          </w:p>
        </w:tc>
        <w:tc>
          <w:tcPr>
            <w:tcW w:w="945" w:type="dxa"/>
            <w:tcBorders>
              <w:left w:val="nil"/>
              <w:right w:val="single" w:sz="8" w:space="0" w:color="auto"/>
            </w:tcBorders>
            <w:shd w:val="clear" w:color="000000" w:fill="FFFFFF"/>
            <w:noWrap/>
            <w:vAlign w:val="center"/>
            <w:hideMark/>
          </w:tcPr>
          <w:p w14:paraId="4BCEF74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28,9</w:t>
            </w:r>
          </w:p>
        </w:tc>
        <w:tc>
          <w:tcPr>
            <w:tcW w:w="945" w:type="dxa"/>
            <w:tcBorders>
              <w:left w:val="nil"/>
              <w:right w:val="single" w:sz="8" w:space="0" w:color="auto"/>
            </w:tcBorders>
            <w:shd w:val="clear" w:color="000000" w:fill="FFFFFF"/>
            <w:noWrap/>
            <w:vAlign w:val="center"/>
            <w:hideMark/>
          </w:tcPr>
          <w:p w14:paraId="5DF135EF"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29,6</w:t>
            </w:r>
          </w:p>
        </w:tc>
        <w:tc>
          <w:tcPr>
            <w:tcW w:w="945" w:type="dxa"/>
            <w:tcBorders>
              <w:left w:val="nil"/>
              <w:right w:val="single" w:sz="8" w:space="0" w:color="auto"/>
            </w:tcBorders>
            <w:shd w:val="clear" w:color="000000" w:fill="FFFFFF"/>
            <w:noWrap/>
            <w:vAlign w:val="center"/>
            <w:hideMark/>
          </w:tcPr>
          <w:p w14:paraId="09AEF52F"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30,4</w:t>
            </w:r>
          </w:p>
        </w:tc>
        <w:tc>
          <w:tcPr>
            <w:tcW w:w="1183" w:type="dxa"/>
            <w:tcBorders>
              <w:left w:val="nil"/>
              <w:right w:val="single" w:sz="8" w:space="0" w:color="auto"/>
            </w:tcBorders>
            <w:shd w:val="clear" w:color="000000" w:fill="FFFFFF"/>
            <w:noWrap/>
            <w:vAlign w:val="center"/>
            <w:hideMark/>
          </w:tcPr>
          <w:p w14:paraId="1800BA02"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31,1</w:t>
            </w:r>
          </w:p>
        </w:tc>
        <w:tc>
          <w:tcPr>
            <w:tcW w:w="1134" w:type="dxa"/>
            <w:tcBorders>
              <w:left w:val="nil"/>
              <w:right w:val="single" w:sz="8" w:space="0" w:color="auto"/>
            </w:tcBorders>
            <w:shd w:val="clear" w:color="000000" w:fill="FFFFFF"/>
            <w:noWrap/>
            <w:vAlign w:val="center"/>
            <w:hideMark/>
          </w:tcPr>
          <w:p w14:paraId="6EEC9F7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31,9</w:t>
            </w:r>
          </w:p>
        </w:tc>
      </w:tr>
      <w:tr w:rsidR="00807DD4" w:rsidRPr="00720160" w14:paraId="5F6CE349" w14:textId="77777777" w:rsidTr="00807DD4">
        <w:tc>
          <w:tcPr>
            <w:tcW w:w="3400" w:type="dxa"/>
            <w:tcBorders>
              <w:top w:val="nil"/>
              <w:left w:val="single" w:sz="8" w:space="0" w:color="auto"/>
              <w:right w:val="single" w:sz="8" w:space="0" w:color="auto"/>
            </w:tcBorders>
            <w:shd w:val="clear" w:color="000000" w:fill="FFFFFF"/>
            <w:noWrap/>
            <w:hideMark/>
          </w:tcPr>
          <w:p w14:paraId="6CFEF26C" w14:textId="77777777" w:rsidR="00807DD4" w:rsidRPr="00117BF8" w:rsidRDefault="00807DD4" w:rsidP="001D3315">
            <w:pPr>
              <w:pStyle w:val="TablaC"/>
              <w:jc w:val="left"/>
              <w:rPr>
                <w:rFonts w:ascii="Arial" w:hAnsi="Arial" w:cs="Arial"/>
                <w:b/>
                <w:sz w:val="18"/>
                <w:szCs w:val="18"/>
              </w:rPr>
            </w:pPr>
            <w:r w:rsidRPr="00117BF8">
              <w:rPr>
                <w:rFonts w:ascii="Arial" w:hAnsi="Arial" w:cs="Arial"/>
                <w:sz w:val="18"/>
                <w:szCs w:val="18"/>
              </w:rPr>
              <w:t>Variación del PGB nominal</w:t>
            </w:r>
          </w:p>
        </w:tc>
        <w:tc>
          <w:tcPr>
            <w:tcW w:w="946" w:type="dxa"/>
            <w:tcBorders>
              <w:top w:val="nil"/>
              <w:left w:val="nil"/>
              <w:right w:val="single" w:sz="8" w:space="0" w:color="auto"/>
            </w:tcBorders>
            <w:shd w:val="clear" w:color="000000" w:fill="FFFFFF"/>
            <w:noWrap/>
            <w:vAlign w:val="center"/>
            <w:hideMark/>
          </w:tcPr>
          <w:p w14:paraId="0BA70A6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33,9%</w:t>
            </w:r>
          </w:p>
        </w:tc>
        <w:tc>
          <w:tcPr>
            <w:tcW w:w="945" w:type="dxa"/>
            <w:tcBorders>
              <w:top w:val="nil"/>
              <w:left w:val="nil"/>
              <w:right w:val="single" w:sz="8" w:space="0" w:color="auto"/>
            </w:tcBorders>
            <w:shd w:val="clear" w:color="000000" w:fill="FFFFFF"/>
            <w:noWrap/>
            <w:vAlign w:val="center"/>
            <w:hideMark/>
          </w:tcPr>
          <w:p w14:paraId="2245E98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22,6%</w:t>
            </w:r>
          </w:p>
        </w:tc>
        <w:tc>
          <w:tcPr>
            <w:tcW w:w="945" w:type="dxa"/>
            <w:tcBorders>
              <w:top w:val="nil"/>
              <w:left w:val="nil"/>
              <w:right w:val="single" w:sz="8" w:space="0" w:color="auto"/>
            </w:tcBorders>
            <w:shd w:val="clear" w:color="000000" w:fill="FFFFFF"/>
            <w:noWrap/>
            <w:vAlign w:val="center"/>
            <w:hideMark/>
          </w:tcPr>
          <w:p w14:paraId="6F1BD18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16,5%</w:t>
            </w:r>
          </w:p>
        </w:tc>
        <w:tc>
          <w:tcPr>
            <w:tcW w:w="945" w:type="dxa"/>
            <w:tcBorders>
              <w:top w:val="nil"/>
              <w:left w:val="nil"/>
              <w:right w:val="single" w:sz="8" w:space="0" w:color="auto"/>
            </w:tcBorders>
            <w:shd w:val="clear" w:color="000000" w:fill="FFFFFF"/>
            <w:noWrap/>
            <w:vAlign w:val="center"/>
            <w:hideMark/>
          </w:tcPr>
          <w:p w14:paraId="194215D1"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12,5%</w:t>
            </w:r>
          </w:p>
        </w:tc>
        <w:tc>
          <w:tcPr>
            <w:tcW w:w="945" w:type="dxa"/>
            <w:tcBorders>
              <w:top w:val="nil"/>
              <w:left w:val="nil"/>
              <w:right w:val="single" w:sz="8" w:space="0" w:color="auto"/>
            </w:tcBorders>
            <w:shd w:val="clear" w:color="000000" w:fill="FFFFFF"/>
            <w:noWrap/>
            <w:vAlign w:val="center"/>
            <w:hideMark/>
          </w:tcPr>
          <w:p w14:paraId="174BAA73"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9,5%</w:t>
            </w:r>
          </w:p>
        </w:tc>
        <w:tc>
          <w:tcPr>
            <w:tcW w:w="945" w:type="dxa"/>
            <w:tcBorders>
              <w:top w:val="nil"/>
              <w:left w:val="nil"/>
              <w:right w:val="single" w:sz="8" w:space="0" w:color="auto"/>
            </w:tcBorders>
            <w:shd w:val="clear" w:color="000000" w:fill="FFFFFF"/>
            <w:noWrap/>
            <w:vAlign w:val="center"/>
            <w:hideMark/>
          </w:tcPr>
          <w:p w14:paraId="4CD6C81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945" w:type="dxa"/>
            <w:tcBorders>
              <w:top w:val="nil"/>
              <w:left w:val="nil"/>
              <w:right w:val="single" w:sz="8" w:space="0" w:color="auto"/>
            </w:tcBorders>
            <w:shd w:val="clear" w:color="000000" w:fill="FFFFFF"/>
            <w:noWrap/>
            <w:vAlign w:val="center"/>
            <w:hideMark/>
          </w:tcPr>
          <w:p w14:paraId="66C794D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945" w:type="dxa"/>
            <w:tcBorders>
              <w:top w:val="nil"/>
              <w:left w:val="nil"/>
              <w:right w:val="single" w:sz="8" w:space="0" w:color="auto"/>
            </w:tcBorders>
            <w:shd w:val="clear" w:color="000000" w:fill="FFFFFF"/>
            <w:noWrap/>
            <w:vAlign w:val="center"/>
            <w:hideMark/>
          </w:tcPr>
          <w:p w14:paraId="11A5DE9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945" w:type="dxa"/>
            <w:tcBorders>
              <w:top w:val="nil"/>
              <w:left w:val="nil"/>
              <w:right w:val="single" w:sz="8" w:space="0" w:color="auto"/>
            </w:tcBorders>
            <w:shd w:val="clear" w:color="000000" w:fill="FFFFFF"/>
            <w:noWrap/>
            <w:vAlign w:val="center"/>
            <w:hideMark/>
          </w:tcPr>
          <w:p w14:paraId="235807B7"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945" w:type="dxa"/>
            <w:tcBorders>
              <w:top w:val="nil"/>
              <w:left w:val="nil"/>
              <w:right w:val="single" w:sz="8" w:space="0" w:color="auto"/>
            </w:tcBorders>
            <w:shd w:val="clear" w:color="000000" w:fill="FFFFFF"/>
            <w:noWrap/>
            <w:vAlign w:val="center"/>
            <w:hideMark/>
          </w:tcPr>
          <w:p w14:paraId="032CC35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1183" w:type="dxa"/>
            <w:tcBorders>
              <w:top w:val="nil"/>
              <w:left w:val="nil"/>
              <w:right w:val="single" w:sz="8" w:space="0" w:color="auto"/>
            </w:tcBorders>
            <w:shd w:val="clear" w:color="000000" w:fill="FFFFFF"/>
            <w:noWrap/>
            <w:vAlign w:val="center"/>
            <w:hideMark/>
          </w:tcPr>
          <w:p w14:paraId="674D80A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c>
          <w:tcPr>
            <w:tcW w:w="1134" w:type="dxa"/>
            <w:tcBorders>
              <w:top w:val="nil"/>
              <w:left w:val="nil"/>
              <w:right w:val="single" w:sz="8" w:space="0" w:color="auto"/>
            </w:tcBorders>
            <w:shd w:val="clear" w:color="000000" w:fill="FFFFFF"/>
            <w:noWrap/>
            <w:vAlign w:val="center"/>
            <w:hideMark/>
          </w:tcPr>
          <w:p w14:paraId="234D16B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7,6%</w:t>
            </w:r>
          </w:p>
        </w:tc>
      </w:tr>
      <w:tr w:rsidR="00807DD4" w:rsidRPr="00720160" w14:paraId="00B15D2C" w14:textId="77777777" w:rsidTr="00807DD4">
        <w:tc>
          <w:tcPr>
            <w:tcW w:w="3400" w:type="dxa"/>
            <w:tcBorders>
              <w:left w:val="single" w:sz="8" w:space="0" w:color="auto"/>
              <w:right w:val="single" w:sz="8" w:space="0" w:color="auto"/>
            </w:tcBorders>
            <w:shd w:val="clear" w:color="auto" w:fill="auto"/>
            <w:noWrap/>
            <w:hideMark/>
          </w:tcPr>
          <w:p w14:paraId="6F5856EF" w14:textId="77777777" w:rsidR="00807DD4" w:rsidRPr="00117BF8" w:rsidRDefault="00807DD4" w:rsidP="001D3315">
            <w:pPr>
              <w:pStyle w:val="TablaC"/>
              <w:jc w:val="left"/>
              <w:rPr>
                <w:rFonts w:ascii="Arial" w:hAnsi="Arial" w:cs="Arial"/>
                <w:b/>
                <w:sz w:val="18"/>
                <w:szCs w:val="18"/>
              </w:rPr>
            </w:pPr>
            <w:r w:rsidRPr="00117BF8">
              <w:rPr>
                <w:rFonts w:ascii="Arial" w:hAnsi="Arial" w:cs="Arial"/>
                <w:sz w:val="18"/>
                <w:szCs w:val="18"/>
              </w:rPr>
              <w:t>Proyección de IPC</w:t>
            </w:r>
          </w:p>
        </w:tc>
        <w:tc>
          <w:tcPr>
            <w:tcW w:w="946" w:type="dxa"/>
            <w:tcBorders>
              <w:left w:val="nil"/>
              <w:right w:val="single" w:sz="8" w:space="0" w:color="auto"/>
            </w:tcBorders>
            <w:shd w:val="clear" w:color="auto" w:fill="auto"/>
            <w:noWrap/>
            <w:vAlign w:val="center"/>
            <w:hideMark/>
          </w:tcPr>
          <w:p w14:paraId="2B0C12D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30,4%</w:t>
            </w:r>
          </w:p>
        </w:tc>
        <w:tc>
          <w:tcPr>
            <w:tcW w:w="945" w:type="dxa"/>
            <w:tcBorders>
              <w:left w:val="nil"/>
              <w:right w:val="single" w:sz="8" w:space="0" w:color="auto"/>
            </w:tcBorders>
            <w:shd w:val="clear" w:color="auto" w:fill="auto"/>
            <w:noWrap/>
            <w:vAlign w:val="center"/>
            <w:hideMark/>
          </w:tcPr>
          <w:p w14:paraId="093BEAC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18,8%</w:t>
            </w:r>
          </w:p>
        </w:tc>
        <w:tc>
          <w:tcPr>
            <w:tcW w:w="945" w:type="dxa"/>
            <w:tcBorders>
              <w:left w:val="nil"/>
              <w:right w:val="single" w:sz="8" w:space="0" w:color="auto"/>
            </w:tcBorders>
            <w:shd w:val="clear" w:color="auto" w:fill="auto"/>
            <w:noWrap/>
            <w:vAlign w:val="center"/>
            <w:hideMark/>
          </w:tcPr>
          <w:p w14:paraId="5AAA5C8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12,9%</w:t>
            </w:r>
          </w:p>
        </w:tc>
        <w:tc>
          <w:tcPr>
            <w:tcW w:w="945" w:type="dxa"/>
            <w:tcBorders>
              <w:left w:val="nil"/>
              <w:right w:val="single" w:sz="8" w:space="0" w:color="auto"/>
            </w:tcBorders>
            <w:shd w:val="clear" w:color="auto" w:fill="auto"/>
            <w:noWrap/>
            <w:vAlign w:val="center"/>
            <w:hideMark/>
          </w:tcPr>
          <w:p w14:paraId="54ACCCDC"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9,3%</w:t>
            </w:r>
          </w:p>
        </w:tc>
        <w:tc>
          <w:tcPr>
            <w:tcW w:w="945" w:type="dxa"/>
            <w:tcBorders>
              <w:left w:val="nil"/>
              <w:right w:val="single" w:sz="8" w:space="0" w:color="auto"/>
            </w:tcBorders>
            <w:shd w:val="clear" w:color="auto" w:fill="auto"/>
            <w:noWrap/>
            <w:vAlign w:val="center"/>
            <w:hideMark/>
          </w:tcPr>
          <w:p w14:paraId="043BECA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6,3%</w:t>
            </w:r>
          </w:p>
        </w:tc>
        <w:tc>
          <w:tcPr>
            <w:tcW w:w="945" w:type="dxa"/>
            <w:tcBorders>
              <w:left w:val="nil"/>
              <w:right w:val="single" w:sz="8" w:space="0" w:color="auto"/>
            </w:tcBorders>
            <w:shd w:val="clear" w:color="auto" w:fill="auto"/>
            <w:noWrap/>
            <w:vAlign w:val="center"/>
            <w:hideMark/>
          </w:tcPr>
          <w:p w14:paraId="09F2057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4,5%</w:t>
            </w:r>
          </w:p>
        </w:tc>
        <w:tc>
          <w:tcPr>
            <w:tcW w:w="945" w:type="dxa"/>
            <w:tcBorders>
              <w:left w:val="nil"/>
              <w:right w:val="single" w:sz="8" w:space="0" w:color="auto"/>
            </w:tcBorders>
            <w:shd w:val="clear" w:color="auto" w:fill="auto"/>
            <w:noWrap/>
            <w:vAlign w:val="center"/>
            <w:hideMark/>
          </w:tcPr>
          <w:p w14:paraId="24C7FD9F"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4,5%</w:t>
            </w:r>
          </w:p>
        </w:tc>
        <w:tc>
          <w:tcPr>
            <w:tcW w:w="945" w:type="dxa"/>
            <w:tcBorders>
              <w:left w:val="nil"/>
              <w:right w:val="single" w:sz="8" w:space="0" w:color="auto"/>
            </w:tcBorders>
            <w:shd w:val="clear" w:color="auto" w:fill="auto"/>
            <w:noWrap/>
            <w:vAlign w:val="center"/>
            <w:hideMark/>
          </w:tcPr>
          <w:p w14:paraId="2759855E"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4,5%</w:t>
            </w:r>
          </w:p>
        </w:tc>
        <w:tc>
          <w:tcPr>
            <w:tcW w:w="945" w:type="dxa"/>
            <w:tcBorders>
              <w:left w:val="nil"/>
              <w:right w:val="single" w:sz="8" w:space="0" w:color="auto"/>
            </w:tcBorders>
            <w:shd w:val="clear" w:color="auto" w:fill="auto"/>
            <w:noWrap/>
            <w:vAlign w:val="center"/>
            <w:hideMark/>
          </w:tcPr>
          <w:p w14:paraId="305E415D"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4,5%</w:t>
            </w:r>
          </w:p>
        </w:tc>
        <w:tc>
          <w:tcPr>
            <w:tcW w:w="945" w:type="dxa"/>
            <w:tcBorders>
              <w:left w:val="nil"/>
              <w:right w:val="single" w:sz="8" w:space="0" w:color="auto"/>
            </w:tcBorders>
            <w:shd w:val="clear" w:color="auto" w:fill="auto"/>
            <w:noWrap/>
            <w:vAlign w:val="center"/>
            <w:hideMark/>
          </w:tcPr>
          <w:p w14:paraId="2AFE5AF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4,5%</w:t>
            </w:r>
          </w:p>
        </w:tc>
        <w:tc>
          <w:tcPr>
            <w:tcW w:w="1183" w:type="dxa"/>
            <w:tcBorders>
              <w:left w:val="nil"/>
              <w:right w:val="single" w:sz="8" w:space="0" w:color="auto"/>
            </w:tcBorders>
            <w:shd w:val="clear" w:color="auto" w:fill="auto"/>
            <w:noWrap/>
            <w:vAlign w:val="center"/>
            <w:hideMark/>
          </w:tcPr>
          <w:p w14:paraId="7AF36DF8"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4,5%</w:t>
            </w:r>
          </w:p>
        </w:tc>
        <w:tc>
          <w:tcPr>
            <w:tcW w:w="1134" w:type="dxa"/>
            <w:tcBorders>
              <w:left w:val="nil"/>
              <w:right w:val="single" w:sz="8" w:space="0" w:color="auto"/>
            </w:tcBorders>
            <w:shd w:val="clear" w:color="auto" w:fill="auto"/>
            <w:noWrap/>
            <w:vAlign w:val="center"/>
            <w:hideMark/>
          </w:tcPr>
          <w:p w14:paraId="67CEB98E"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4,5%</w:t>
            </w:r>
          </w:p>
        </w:tc>
      </w:tr>
      <w:tr w:rsidR="00807DD4" w:rsidRPr="00720160" w14:paraId="0ED20A80" w14:textId="77777777" w:rsidTr="00807DD4">
        <w:tc>
          <w:tcPr>
            <w:tcW w:w="3400" w:type="dxa"/>
            <w:tcBorders>
              <w:left w:val="single" w:sz="8" w:space="0" w:color="auto"/>
              <w:right w:val="single" w:sz="8" w:space="0" w:color="auto"/>
            </w:tcBorders>
            <w:shd w:val="clear" w:color="auto" w:fill="auto"/>
            <w:noWrap/>
            <w:vAlign w:val="center"/>
          </w:tcPr>
          <w:p w14:paraId="2F5019A2" w14:textId="77777777" w:rsidR="00807DD4" w:rsidRPr="00117BF8" w:rsidRDefault="00807DD4" w:rsidP="005D6624">
            <w:pPr>
              <w:pStyle w:val="TablaC"/>
              <w:jc w:val="left"/>
              <w:rPr>
                <w:rFonts w:ascii="Arial" w:hAnsi="Arial" w:cs="Arial"/>
                <w:sz w:val="18"/>
                <w:szCs w:val="18"/>
              </w:rPr>
            </w:pPr>
            <w:r w:rsidRPr="00117BF8">
              <w:rPr>
                <w:rFonts w:ascii="Arial" w:hAnsi="Arial" w:cs="Arial"/>
                <w:sz w:val="18"/>
                <w:szCs w:val="18"/>
              </w:rPr>
              <w:t>Proyección PIB</w:t>
            </w:r>
          </w:p>
        </w:tc>
        <w:tc>
          <w:tcPr>
            <w:tcW w:w="946" w:type="dxa"/>
            <w:tcBorders>
              <w:left w:val="nil"/>
              <w:right w:val="single" w:sz="8" w:space="0" w:color="auto"/>
            </w:tcBorders>
            <w:shd w:val="clear" w:color="auto" w:fill="auto"/>
            <w:noWrap/>
            <w:vAlign w:val="center"/>
          </w:tcPr>
          <w:p w14:paraId="2EF41B9E"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2,70%</w:t>
            </w:r>
          </w:p>
        </w:tc>
        <w:tc>
          <w:tcPr>
            <w:tcW w:w="945" w:type="dxa"/>
            <w:tcBorders>
              <w:left w:val="nil"/>
              <w:right w:val="single" w:sz="8" w:space="0" w:color="auto"/>
            </w:tcBorders>
            <w:shd w:val="clear" w:color="auto" w:fill="auto"/>
            <w:noWrap/>
            <w:vAlign w:val="center"/>
          </w:tcPr>
          <w:p w14:paraId="65D4517A"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3,20%</w:t>
            </w:r>
          </w:p>
        </w:tc>
        <w:tc>
          <w:tcPr>
            <w:tcW w:w="945" w:type="dxa"/>
            <w:tcBorders>
              <w:left w:val="nil"/>
              <w:right w:val="single" w:sz="8" w:space="0" w:color="auto"/>
            </w:tcBorders>
            <w:shd w:val="clear" w:color="auto" w:fill="auto"/>
            <w:noWrap/>
            <w:vAlign w:val="center"/>
          </w:tcPr>
          <w:p w14:paraId="1D46AC0C"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3,20%</w:t>
            </w:r>
          </w:p>
        </w:tc>
        <w:tc>
          <w:tcPr>
            <w:tcW w:w="945" w:type="dxa"/>
            <w:tcBorders>
              <w:left w:val="nil"/>
              <w:right w:val="single" w:sz="8" w:space="0" w:color="auto"/>
            </w:tcBorders>
            <w:shd w:val="clear" w:color="auto" w:fill="auto"/>
            <w:noWrap/>
            <w:vAlign w:val="center"/>
          </w:tcPr>
          <w:p w14:paraId="3B4307C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c>
          <w:tcPr>
            <w:tcW w:w="945" w:type="dxa"/>
            <w:tcBorders>
              <w:left w:val="nil"/>
              <w:right w:val="single" w:sz="8" w:space="0" w:color="auto"/>
            </w:tcBorders>
            <w:shd w:val="clear" w:color="auto" w:fill="auto"/>
            <w:noWrap/>
            <w:vAlign w:val="center"/>
          </w:tcPr>
          <w:p w14:paraId="158D1DD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c>
          <w:tcPr>
            <w:tcW w:w="945" w:type="dxa"/>
            <w:tcBorders>
              <w:left w:val="nil"/>
              <w:right w:val="single" w:sz="8" w:space="0" w:color="auto"/>
            </w:tcBorders>
            <w:shd w:val="clear" w:color="auto" w:fill="auto"/>
            <w:noWrap/>
            <w:vAlign w:val="center"/>
          </w:tcPr>
          <w:p w14:paraId="61BF0A83"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c>
          <w:tcPr>
            <w:tcW w:w="945" w:type="dxa"/>
            <w:tcBorders>
              <w:left w:val="nil"/>
              <w:right w:val="single" w:sz="8" w:space="0" w:color="auto"/>
            </w:tcBorders>
            <w:shd w:val="clear" w:color="auto" w:fill="auto"/>
            <w:noWrap/>
            <w:vAlign w:val="center"/>
          </w:tcPr>
          <w:p w14:paraId="7903270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c>
          <w:tcPr>
            <w:tcW w:w="945" w:type="dxa"/>
            <w:tcBorders>
              <w:left w:val="nil"/>
              <w:right w:val="single" w:sz="8" w:space="0" w:color="auto"/>
            </w:tcBorders>
            <w:shd w:val="clear" w:color="auto" w:fill="auto"/>
            <w:noWrap/>
            <w:vAlign w:val="center"/>
          </w:tcPr>
          <w:p w14:paraId="08FCC61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c>
          <w:tcPr>
            <w:tcW w:w="945" w:type="dxa"/>
            <w:tcBorders>
              <w:left w:val="nil"/>
              <w:right w:val="single" w:sz="8" w:space="0" w:color="auto"/>
            </w:tcBorders>
            <w:shd w:val="clear" w:color="auto" w:fill="auto"/>
            <w:noWrap/>
            <w:vAlign w:val="center"/>
          </w:tcPr>
          <w:p w14:paraId="6447D06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c>
          <w:tcPr>
            <w:tcW w:w="945" w:type="dxa"/>
            <w:tcBorders>
              <w:left w:val="nil"/>
              <w:right w:val="single" w:sz="8" w:space="0" w:color="auto"/>
            </w:tcBorders>
            <w:shd w:val="clear" w:color="auto" w:fill="auto"/>
            <w:noWrap/>
            <w:vAlign w:val="center"/>
          </w:tcPr>
          <w:p w14:paraId="32129872"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c>
          <w:tcPr>
            <w:tcW w:w="1183" w:type="dxa"/>
            <w:tcBorders>
              <w:left w:val="nil"/>
              <w:right w:val="single" w:sz="8" w:space="0" w:color="auto"/>
            </w:tcBorders>
            <w:shd w:val="clear" w:color="auto" w:fill="auto"/>
            <w:noWrap/>
            <w:vAlign w:val="center"/>
          </w:tcPr>
          <w:p w14:paraId="0E6F1A8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c>
          <w:tcPr>
            <w:tcW w:w="1134" w:type="dxa"/>
            <w:tcBorders>
              <w:left w:val="nil"/>
              <w:right w:val="single" w:sz="8" w:space="0" w:color="auto"/>
            </w:tcBorders>
            <w:shd w:val="clear" w:color="auto" w:fill="auto"/>
            <w:noWrap/>
            <w:vAlign w:val="center"/>
          </w:tcPr>
          <w:p w14:paraId="5759104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2,97%</w:t>
            </w:r>
          </w:p>
        </w:tc>
      </w:tr>
      <w:tr w:rsidR="00807DD4" w:rsidRPr="00720160" w14:paraId="433FD0CA" w14:textId="77777777" w:rsidTr="00807DD4">
        <w:tc>
          <w:tcPr>
            <w:tcW w:w="3400" w:type="dxa"/>
            <w:tcBorders>
              <w:left w:val="single" w:sz="8" w:space="0" w:color="auto"/>
              <w:bottom w:val="single" w:sz="8" w:space="0" w:color="auto"/>
              <w:right w:val="single" w:sz="8" w:space="0" w:color="auto"/>
            </w:tcBorders>
            <w:shd w:val="clear" w:color="auto" w:fill="auto"/>
            <w:noWrap/>
            <w:vAlign w:val="center"/>
          </w:tcPr>
          <w:p w14:paraId="2AE98567" w14:textId="77777777" w:rsidR="00807DD4" w:rsidRPr="00117BF8" w:rsidRDefault="00807DD4" w:rsidP="005D6624">
            <w:pPr>
              <w:pStyle w:val="TablaC"/>
              <w:jc w:val="left"/>
              <w:rPr>
                <w:rFonts w:ascii="Arial" w:hAnsi="Arial" w:cs="Arial"/>
                <w:sz w:val="18"/>
                <w:szCs w:val="18"/>
              </w:rPr>
            </w:pPr>
            <w:r w:rsidRPr="00117BF8">
              <w:rPr>
                <w:rFonts w:ascii="Arial" w:hAnsi="Arial" w:cs="Arial"/>
                <w:sz w:val="18"/>
                <w:szCs w:val="18"/>
              </w:rPr>
              <w:t>Elasticidad</w:t>
            </w:r>
          </w:p>
        </w:tc>
        <w:tc>
          <w:tcPr>
            <w:tcW w:w="946" w:type="dxa"/>
            <w:tcBorders>
              <w:left w:val="nil"/>
              <w:bottom w:val="single" w:sz="8" w:space="0" w:color="auto"/>
              <w:right w:val="single" w:sz="8" w:space="0" w:color="auto"/>
            </w:tcBorders>
            <w:shd w:val="clear" w:color="auto" w:fill="auto"/>
            <w:noWrap/>
            <w:vAlign w:val="center"/>
          </w:tcPr>
          <w:p w14:paraId="5BAF7D0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1,10</w:t>
            </w:r>
          </w:p>
        </w:tc>
        <w:tc>
          <w:tcPr>
            <w:tcW w:w="945" w:type="dxa"/>
            <w:tcBorders>
              <w:left w:val="nil"/>
              <w:bottom w:val="single" w:sz="8" w:space="0" w:color="auto"/>
              <w:right w:val="single" w:sz="8" w:space="0" w:color="auto"/>
            </w:tcBorders>
            <w:shd w:val="clear" w:color="auto" w:fill="auto"/>
            <w:noWrap/>
            <w:vAlign w:val="center"/>
          </w:tcPr>
          <w:p w14:paraId="765C9A15"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1,07</w:t>
            </w:r>
          </w:p>
        </w:tc>
        <w:tc>
          <w:tcPr>
            <w:tcW w:w="945" w:type="dxa"/>
            <w:tcBorders>
              <w:left w:val="nil"/>
              <w:bottom w:val="single" w:sz="8" w:space="0" w:color="auto"/>
              <w:right w:val="single" w:sz="8" w:space="0" w:color="auto"/>
            </w:tcBorders>
            <w:shd w:val="clear" w:color="auto" w:fill="auto"/>
            <w:noWrap/>
            <w:vAlign w:val="center"/>
          </w:tcPr>
          <w:p w14:paraId="59901356"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1,03</w:t>
            </w:r>
          </w:p>
        </w:tc>
        <w:tc>
          <w:tcPr>
            <w:tcW w:w="945" w:type="dxa"/>
            <w:tcBorders>
              <w:left w:val="nil"/>
              <w:bottom w:val="single" w:sz="8" w:space="0" w:color="auto"/>
              <w:right w:val="single" w:sz="8" w:space="0" w:color="auto"/>
            </w:tcBorders>
            <w:shd w:val="clear" w:color="auto" w:fill="auto"/>
            <w:noWrap/>
            <w:vAlign w:val="center"/>
          </w:tcPr>
          <w:p w14:paraId="07429FE4"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c>
          <w:tcPr>
            <w:tcW w:w="945" w:type="dxa"/>
            <w:tcBorders>
              <w:left w:val="nil"/>
              <w:bottom w:val="single" w:sz="8" w:space="0" w:color="auto"/>
              <w:right w:val="single" w:sz="8" w:space="0" w:color="auto"/>
            </w:tcBorders>
            <w:shd w:val="clear" w:color="auto" w:fill="auto"/>
            <w:noWrap/>
            <w:vAlign w:val="center"/>
          </w:tcPr>
          <w:p w14:paraId="21FC928C"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c>
          <w:tcPr>
            <w:tcW w:w="945" w:type="dxa"/>
            <w:tcBorders>
              <w:left w:val="nil"/>
              <w:bottom w:val="single" w:sz="8" w:space="0" w:color="auto"/>
              <w:right w:val="single" w:sz="8" w:space="0" w:color="auto"/>
            </w:tcBorders>
            <w:shd w:val="clear" w:color="auto" w:fill="auto"/>
            <w:noWrap/>
            <w:vAlign w:val="center"/>
          </w:tcPr>
          <w:p w14:paraId="718EB87B"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c>
          <w:tcPr>
            <w:tcW w:w="945" w:type="dxa"/>
            <w:tcBorders>
              <w:left w:val="nil"/>
              <w:bottom w:val="single" w:sz="8" w:space="0" w:color="auto"/>
              <w:right w:val="single" w:sz="8" w:space="0" w:color="auto"/>
            </w:tcBorders>
            <w:shd w:val="clear" w:color="auto" w:fill="auto"/>
            <w:noWrap/>
            <w:vAlign w:val="center"/>
          </w:tcPr>
          <w:p w14:paraId="0B484CA9"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c>
          <w:tcPr>
            <w:tcW w:w="945" w:type="dxa"/>
            <w:tcBorders>
              <w:left w:val="nil"/>
              <w:bottom w:val="single" w:sz="8" w:space="0" w:color="auto"/>
              <w:right w:val="single" w:sz="8" w:space="0" w:color="auto"/>
            </w:tcBorders>
            <w:shd w:val="clear" w:color="auto" w:fill="auto"/>
            <w:noWrap/>
            <w:vAlign w:val="center"/>
          </w:tcPr>
          <w:p w14:paraId="6FB19A2D"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c>
          <w:tcPr>
            <w:tcW w:w="945" w:type="dxa"/>
            <w:tcBorders>
              <w:left w:val="nil"/>
              <w:bottom w:val="single" w:sz="8" w:space="0" w:color="auto"/>
              <w:right w:val="single" w:sz="8" w:space="0" w:color="auto"/>
            </w:tcBorders>
            <w:shd w:val="clear" w:color="auto" w:fill="auto"/>
            <w:noWrap/>
            <w:vAlign w:val="center"/>
          </w:tcPr>
          <w:p w14:paraId="0B74A5B0"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c>
          <w:tcPr>
            <w:tcW w:w="945" w:type="dxa"/>
            <w:tcBorders>
              <w:left w:val="nil"/>
              <w:bottom w:val="single" w:sz="8" w:space="0" w:color="auto"/>
              <w:right w:val="single" w:sz="8" w:space="0" w:color="auto"/>
            </w:tcBorders>
            <w:shd w:val="clear" w:color="auto" w:fill="auto"/>
            <w:noWrap/>
            <w:vAlign w:val="center"/>
          </w:tcPr>
          <w:p w14:paraId="150515CD"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c>
          <w:tcPr>
            <w:tcW w:w="1183" w:type="dxa"/>
            <w:tcBorders>
              <w:left w:val="nil"/>
              <w:bottom w:val="single" w:sz="8" w:space="0" w:color="auto"/>
              <w:right w:val="single" w:sz="8" w:space="0" w:color="auto"/>
            </w:tcBorders>
            <w:shd w:val="clear" w:color="auto" w:fill="auto"/>
            <w:noWrap/>
            <w:vAlign w:val="center"/>
          </w:tcPr>
          <w:p w14:paraId="7F220A2C"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c>
          <w:tcPr>
            <w:tcW w:w="1134" w:type="dxa"/>
            <w:tcBorders>
              <w:left w:val="nil"/>
              <w:bottom w:val="single" w:sz="8" w:space="0" w:color="auto"/>
              <w:right w:val="single" w:sz="8" w:space="0" w:color="auto"/>
            </w:tcBorders>
            <w:shd w:val="clear" w:color="auto" w:fill="auto"/>
            <w:noWrap/>
            <w:vAlign w:val="center"/>
          </w:tcPr>
          <w:p w14:paraId="57ED3CBC" w14:textId="77777777" w:rsidR="00807DD4" w:rsidRPr="00117BF8" w:rsidRDefault="00807DD4" w:rsidP="005D6624">
            <w:pPr>
              <w:pStyle w:val="TablaC"/>
              <w:rPr>
                <w:rFonts w:ascii="Arial" w:hAnsi="Arial" w:cs="Arial"/>
                <w:sz w:val="18"/>
                <w:szCs w:val="18"/>
              </w:rPr>
            </w:pPr>
            <w:r w:rsidRPr="00117BF8">
              <w:rPr>
                <w:rFonts w:ascii="Arial" w:hAnsi="Arial" w:cs="Arial"/>
                <w:sz w:val="18"/>
                <w:szCs w:val="18"/>
              </w:rPr>
              <w:t>1,00</w:t>
            </w:r>
          </w:p>
        </w:tc>
      </w:tr>
    </w:tbl>
    <w:p w14:paraId="02399CB8" w14:textId="482C59B4" w:rsidR="001D3315" w:rsidRDefault="005D6624" w:rsidP="001D3315">
      <w:pPr>
        <w:pStyle w:val="hsa"/>
        <w:rPr>
          <w:rFonts w:ascii="Arial" w:eastAsia="Calibri" w:hAnsi="Arial" w:cs="Arial"/>
          <w:sz w:val="18"/>
          <w:szCs w:val="18"/>
        </w:rPr>
      </w:pPr>
      <w:r w:rsidRPr="00117BF8">
        <w:rPr>
          <w:rFonts w:ascii="Arial" w:eastAsia="Calibri" w:hAnsi="Arial" w:cs="Arial"/>
          <w:sz w:val="18"/>
          <w:szCs w:val="18"/>
        </w:rPr>
        <w:t>PBG (1): Dirección Provincial de Crédito y Deuda Pública; PBG (2).</w:t>
      </w:r>
      <w:r w:rsidR="00720160">
        <w:rPr>
          <w:rFonts w:ascii="Arial" w:eastAsia="Calibri" w:hAnsi="Arial" w:cs="Arial"/>
          <w:sz w:val="18"/>
          <w:szCs w:val="18"/>
        </w:rPr>
        <w:t xml:space="preserve"> </w:t>
      </w:r>
      <w:r w:rsidRPr="00117BF8">
        <w:rPr>
          <w:rFonts w:ascii="Arial" w:eastAsia="Calibri" w:hAnsi="Arial" w:cs="Arial"/>
          <w:sz w:val="18"/>
          <w:szCs w:val="18"/>
        </w:rPr>
        <w:t>Dirección Provincial de Estadística.</w:t>
      </w:r>
      <w:r w:rsidRPr="00117BF8">
        <w:rPr>
          <w:rStyle w:val="FootnoteReference"/>
          <w:rFonts w:ascii="Arial" w:eastAsia="Calibri" w:hAnsi="Arial" w:cs="Arial"/>
          <w:sz w:val="18"/>
          <w:szCs w:val="18"/>
        </w:rPr>
        <w:footnoteReference w:id="33"/>
      </w:r>
    </w:p>
    <w:p w14:paraId="687A217C" w14:textId="77777777" w:rsidR="00720160" w:rsidRPr="00117BF8" w:rsidRDefault="00720160" w:rsidP="001D3315">
      <w:pPr>
        <w:pStyle w:val="hsa"/>
        <w:rPr>
          <w:rFonts w:ascii="Arial" w:hAnsi="Arial" w:cs="Arial"/>
          <w:sz w:val="18"/>
          <w:szCs w:val="18"/>
        </w:rPr>
      </w:pPr>
    </w:p>
    <w:tbl>
      <w:tblPr>
        <w:tblW w:w="15244" w:type="dxa"/>
        <w:tblInd w:w="70" w:type="dxa"/>
        <w:tblCellMar>
          <w:left w:w="70" w:type="dxa"/>
          <w:right w:w="70" w:type="dxa"/>
        </w:tblCellMar>
        <w:tblLook w:val="04A0" w:firstRow="1" w:lastRow="0" w:firstColumn="1" w:lastColumn="0" w:noHBand="0" w:noVBand="1"/>
      </w:tblPr>
      <w:tblGrid>
        <w:gridCol w:w="2835"/>
        <w:gridCol w:w="874"/>
        <w:gridCol w:w="1051"/>
        <w:gridCol w:w="1004"/>
        <w:gridCol w:w="874"/>
        <w:gridCol w:w="874"/>
        <w:gridCol w:w="874"/>
        <w:gridCol w:w="874"/>
        <w:gridCol w:w="1013"/>
        <w:gridCol w:w="1013"/>
        <w:gridCol w:w="1013"/>
        <w:gridCol w:w="1013"/>
        <w:gridCol w:w="1013"/>
        <w:gridCol w:w="1013"/>
      </w:tblGrid>
      <w:tr w:rsidR="005D6624" w:rsidRPr="004E6455" w14:paraId="5B8BE4B5" w14:textId="77777777" w:rsidTr="005D6624">
        <w:trPr>
          <w:trHeight w:val="364"/>
        </w:trPr>
        <w:tc>
          <w:tcPr>
            <w:tcW w:w="15244" w:type="dxa"/>
            <w:gridSpan w:val="14"/>
            <w:tcBorders>
              <w:top w:val="single" w:sz="8" w:space="0" w:color="auto"/>
              <w:left w:val="single" w:sz="8" w:space="0" w:color="auto"/>
              <w:bottom w:val="single" w:sz="8" w:space="0" w:color="000000"/>
              <w:right w:val="single" w:sz="8" w:space="0" w:color="auto"/>
            </w:tcBorders>
            <w:shd w:val="clear" w:color="auto" w:fill="0070C0"/>
            <w:noWrap/>
          </w:tcPr>
          <w:p w14:paraId="1E130AA4" w14:textId="77777777" w:rsidR="005D6624" w:rsidRPr="00117BF8" w:rsidRDefault="005D6624" w:rsidP="005D6624">
            <w:pPr>
              <w:pStyle w:val="TablaT"/>
              <w:rPr>
                <w:rFonts w:ascii="Arial" w:hAnsi="Arial" w:cs="Arial"/>
                <w:sz w:val="22"/>
                <w:szCs w:val="22"/>
                <w:lang w:val="es-ES_tradnl"/>
              </w:rPr>
            </w:pPr>
            <w:bookmarkStart w:id="170" w:name="_Toc493861172"/>
            <w:r w:rsidRPr="00117BF8">
              <w:rPr>
                <w:rFonts w:ascii="Arial" w:hAnsi="Arial" w:cs="Arial"/>
                <w:sz w:val="22"/>
                <w:szCs w:val="22"/>
                <w:lang w:val="es-ES_tradnl"/>
              </w:rPr>
              <w:t>Tabla A VII - 3 - Provincia de Buenos Aires - Administración Pública no Financiera – Comparación Proyección Alternativa  / Proyección Provincia</w:t>
            </w:r>
            <w:bookmarkEnd w:id="170"/>
          </w:p>
        </w:tc>
      </w:tr>
      <w:tr w:rsidR="005D6624" w:rsidRPr="004E6455" w14:paraId="64C9BF42" w14:textId="77777777" w:rsidTr="005D6624">
        <w:trPr>
          <w:trHeight w:val="364"/>
        </w:trPr>
        <w:tc>
          <w:tcPr>
            <w:tcW w:w="2835"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0D1D743" w14:textId="77777777" w:rsidR="005D6624" w:rsidRPr="00117BF8" w:rsidRDefault="005D6624" w:rsidP="005D6624">
            <w:pPr>
              <w:pStyle w:val="TablaE"/>
              <w:rPr>
                <w:rFonts w:ascii="Arial" w:hAnsi="Arial" w:cs="Arial"/>
                <w:sz w:val="20"/>
              </w:rPr>
            </w:pPr>
            <w:r w:rsidRPr="00117BF8">
              <w:rPr>
                <w:rFonts w:ascii="Arial" w:hAnsi="Arial" w:cs="Arial"/>
                <w:sz w:val="20"/>
              </w:rPr>
              <w:t>CONCEPTO</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D3BE136" w14:textId="77777777" w:rsidR="005D6624" w:rsidRPr="00117BF8" w:rsidRDefault="005D6624" w:rsidP="005D6624">
            <w:pPr>
              <w:pStyle w:val="TablaE"/>
              <w:rPr>
                <w:rFonts w:ascii="Arial" w:hAnsi="Arial" w:cs="Arial"/>
                <w:sz w:val="20"/>
              </w:rPr>
            </w:pPr>
            <w:r w:rsidRPr="00117BF8">
              <w:rPr>
                <w:rFonts w:ascii="Arial" w:hAnsi="Arial" w:cs="Arial"/>
                <w:sz w:val="20"/>
              </w:rPr>
              <w:t>2016</w:t>
            </w:r>
          </w:p>
        </w:tc>
        <w:tc>
          <w:tcPr>
            <w:tcW w:w="957"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D3B8D1C" w14:textId="77777777" w:rsidR="005D6624" w:rsidRPr="00117BF8" w:rsidRDefault="005D6624" w:rsidP="005D6624">
            <w:pPr>
              <w:pStyle w:val="TablaE"/>
              <w:rPr>
                <w:rFonts w:ascii="Arial" w:hAnsi="Arial" w:cs="Arial"/>
                <w:sz w:val="20"/>
              </w:rPr>
            </w:pPr>
            <w:r w:rsidRPr="00117BF8">
              <w:rPr>
                <w:rFonts w:ascii="Arial" w:hAnsi="Arial" w:cs="Arial"/>
                <w:sz w:val="20"/>
              </w:rPr>
              <w:t>2017</w:t>
            </w:r>
          </w:p>
        </w:tc>
        <w:tc>
          <w:tcPr>
            <w:tcW w:w="100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0A169BA" w14:textId="77777777" w:rsidR="005D6624" w:rsidRPr="00117BF8" w:rsidRDefault="005D6624" w:rsidP="005D6624">
            <w:pPr>
              <w:pStyle w:val="TablaE"/>
              <w:rPr>
                <w:rFonts w:ascii="Arial" w:hAnsi="Arial" w:cs="Arial"/>
                <w:sz w:val="20"/>
              </w:rPr>
            </w:pPr>
            <w:r w:rsidRPr="00117BF8">
              <w:rPr>
                <w:rFonts w:ascii="Arial" w:hAnsi="Arial" w:cs="Arial"/>
                <w:sz w:val="20"/>
              </w:rPr>
              <w:t>2018</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B61D677" w14:textId="77777777" w:rsidR="005D6624" w:rsidRPr="00117BF8" w:rsidRDefault="005D6624" w:rsidP="005D6624">
            <w:pPr>
              <w:pStyle w:val="TablaE"/>
              <w:rPr>
                <w:rFonts w:ascii="Arial" w:hAnsi="Arial" w:cs="Arial"/>
                <w:sz w:val="20"/>
              </w:rPr>
            </w:pPr>
            <w:r w:rsidRPr="00117BF8">
              <w:rPr>
                <w:rFonts w:ascii="Arial" w:hAnsi="Arial" w:cs="Arial"/>
                <w:sz w:val="20"/>
              </w:rPr>
              <w:t>2019</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36D8187" w14:textId="77777777" w:rsidR="005D6624" w:rsidRPr="00117BF8" w:rsidRDefault="005D6624" w:rsidP="005D6624">
            <w:pPr>
              <w:pStyle w:val="TablaE"/>
              <w:rPr>
                <w:rFonts w:ascii="Arial" w:hAnsi="Arial" w:cs="Arial"/>
                <w:sz w:val="20"/>
              </w:rPr>
            </w:pPr>
            <w:r w:rsidRPr="00117BF8">
              <w:rPr>
                <w:rFonts w:ascii="Arial" w:hAnsi="Arial" w:cs="Arial"/>
                <w:sz w:val="20"/>
              </w:rPr>
              <w:t>2020</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B0ED9E8" w14:textId="77777777" w:rsidR="005D6624" w:rsidRPr="00117BF8" w:rsidRDefault="005D6624" w:rsidP="005D6624">
            <w:pPr>
              <w:pStyle w:val="TablaE"/>
              <w:rPr>
                <w:rFonts w:ascii="Arial" w:hAnsi="Arial" w:cs="Arial"/>
                <w:sz w:val="20"/>
              </w:rPr>
            </w:pPr>
            <w:r w:rsidRPr="00117BF8">
              <w:rPr>
                <w:rFonts w:ascii="Arial" w:hAnsi="Arial" w:cs="Arial"/>
                <w:sz w:val="20"/>
              </w:rPr>
              <w:t>2021</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3CA6628" w14:textId="77777777" w:rsidR="005D6624" w:rsidRPr="00117BF8" w:rsidRDefault="005D6624" w:rsidP="005D6624">
            <w:pPr>
              <w:pStyle w:val="TablaE"/>
              <w:rPr>
                <w:rFonts w:ascii="Arial" w:hAnsi="Arial" w:cs="Arial"/>
                <w:sz w:val="20"/>
              </w:rPr>
            </w:pPr>
            <w:r w:rsidRPr="00117BF8">
              <w:rPr>
                <w:rFonts w:ascii="Arial" w:hAnsi="Arial" w:cs="Arial"/>
                <w:sz w:val="20"/>
              </w:rPr>
              <w:t>2022</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6BDF44F" w14:textId="77777777" w:rsidR="005D6624" w:rsidRPr="00117BF8" w:rsidRDefault="005D6624" w:rsidP="005D6624">
            <w:pPr>
              <w:pStyle w:val="TablaE"/>
              <w:rPr>
                <w:rFonts w:ascii="Arial" w:hAnsi="Arial" w:cs="Arial"/>
                <w:sz w:val="20"/>
              </w:rPr>
            </w:pPr>
            <w:r w:rsidRPr="00117BF8">
              <w:rPr>
                <w:rFonts w:ascii="Arial" w:hAnsi="Arial" w:cs="Arial"/>
                <w:sz w:val="20"/>
              </w:rPr>
              <w:t>2023</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0524422" w14:textId="77777777" w:rsidR="005D6624" w:rsidRPr="00117BF8" w:rsidRDefault="005D6624" w:rsidP="005D6624">
            <w:pPr>
              <w:pStyle w:val="TablaE"/>
              <w:rPr>
                <w:rFonts w:ascii="Arial" w:hAnsi="Arial" w:cs="Arial"/>
                <w:sz w:val="20"/>
              </w:rPr>
            </w:pPr>
            <w:r w:rsidRPr="00117BF8">
              <w:rPr>
                <w:rFonts w:ascii="Arial" w:hAnsi="Arial" w:cs="Arial"/>
                <w:sz w:val="20"/>
              </w:rPr>
              <w:t>2024</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F0C8020" w14:textId="77777777" w:rsidR="005D6624" w:rsidRPr="00117BF8" w:rsidRDefault="005D6624" w:rsidP="005D6624">
            <w:pPr>
              <w:pStyle w:val="TablaE"/>
              <w:rPr>
                <w:rFonts w:ascii="Arial" w:hAnsi="Arial" w:cs="Arial"/>
                <w:sz w:val="20"/>
              </w:rPr>
            </w:pPr>
            <w:r w:rsidRPr="00117BF8">
              <w:rPr>
                <w:rFonts w:ascii="Arial" w:hAnsi="Arial" w:cs="Arial"/>
                <w:sz w:val="20"/>
              </w:rPr>
              <w:t>2025</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D9C392C" w14:textId="77777777" w:rsidR="005D6624" w:rsidRPr="00117BF8" w:rsidRDefault="005D6624" w:rsidP="005D6624">
            <w:pPr>
              <w:pStyle w:val="TablaE"/>
              <w:rPr>
                <w:rFonts w:ascii="Arial" w:hAnsi="Arial" w:cs="Arial"/>
                <w:sz w:val="20"/>
              </w:rPr>
            </w:pPr>
            <w:r w:rsidRPr="00117BF8">
              <w:rPr>
                <w:rFonts w:ascii="Arial" w:hAnsi="Arial" w:cs="Arial"/>
                <w:sz w:val="20"/>
              </w:rPr>
              <w:t>2026</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D4A2446" w14:textId="77777777" w:rsidR="005D6624" w:rsidRPr="00117BF8" w:rsidRDefault="005D6624" w:rsidP="005D6624">
            <w:pPr>
              <w:pStyle w:val="TablaE"/>
              <w:rPr>
                <w:rFonts w:ascii="Arial" w:hAnsi="Arial" w:cs="Arial"/>
                <w:sz w:val="20"/>
              </w:rPr>
            </w:pPr>
            <w:r w:rsidRPr="00117BF8">
              <w:rPr>
                <w:rFonts w:ascii="Arial" w:hAnsi="Arial" w:cs="Arial"/>
                <w:sz w:val="20"/>
              </w:rPr>
              <w:t>2027</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05E82B9" w14:textId="77777777" w:rsidR="005D6624" w:rsidRPr="00117BF8" w:rsidRDefault="005D6624" w:rsidP="005D6624">
            <w:pPr>
              <w:pStyle w:val="TablaE"/>
              <w:rPr>
                <w:rFonts w:ascii="Arial" w:hAnsi="Arial" w:cs="Arial"/>
                <w:sz w:val="20"/>
              </w:rPr>
            </w:pPr>
            <w:r w:rsidRPr="00117BF8">
              <w:rPr>
                <w:rFonts w:ascii="Arial" w:hAnsi="Arial" w:cs="Arial"/>
                <w:sz w:val="20"/>
              </w:rPr>
              <w:t>2028</w:t>
            </w:r>
          </w:p>
        </w:tc>
      </w:tr>
      <w:tr w:rsidR="005D6624" w:rsidRPr="004E6455" w14:paraId="687B0399" w14:textId="77777777" w:rsidTr="005D6624">
        <w:trPr>
          <w:trHeight w:val="255"/>
        </w:trPr>
        <w:tc>
          <w:tcPr>
            <w:tcW w:w="2835" w:type="dxa"/>
            <w:vMerge/>
            <w:tcBorders>
              <w:top w:val="single" w:sz="8" w:space="0" w:color="auto"/>
              <w:left w:val="single" w:sz="8" w:space="0" w:color="auto"/>
              <w:bottom w:val="single" w:sz="8" w:space="0" w:color="000000"/>
              <w:right w:val="single" w:sz="8" w:space="0" w:color="auto"/>
            </w:tcBorders>
            <w:shd w:val="clear" w:color="auto" w:fill="0070C0"/>
            <w:hideMark/>
          </w:tcPr>
          <w:p w14:paraId="2ABB2ED4"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6A004B69" w14:textId="77777777" w:rsidR="005D6624" w:rsidRPr="004E6455" w:rsidRDefault="005D6624" w:rsidP="005D6624">
            <w:pPr>
              <w:spacing w:after="0"/>
              <w:jc w:val="left"/>
              <w:rPr>
                <w:rFonts w:ascii="Arial" w:hAnsi="Arial" w:cs="Arial"/>
                <w:b/>
                <w:bCs/>
                <w:i/>
                <w:iCs/>
                <w:sz w:val="22"/>
                <w:szCs w:val="22"/>
                <w:lang w:val="es-AR" w:eastAsia="es-AR"/>
              </w:rPr>
            </w:pPr>
          </w:p>
        </w:tc>
        <w:tc>
          <w:tcPr>
            <w:tcW w:w="957" w:type="dxa"/>
            <w:vMerge/>
            <w:tcBorders>
              <w:top w:val="single" w:sz="8" w:space="0" w:color="auto"/>
              <w:left w:val="single" w:sz="8" w:space="0" w:color="auto"/>
              <w:bottom w:val="single" w:sz="8" w:space="0" w:color="000000"/>
              <w:right w:val="single" w:sz="8" w:space="0" w:color="auto"/>
            </w:tcBorders>
            <w:shd w:val="clear" w:color="auto" w:fill="0070C0"/>
            <w:hideMark/>
          </w:tcPr>
          <w:p w14:paraId="2859F787" w14:textId="77777777" w:rsidR="005D6624" w:rsidRPr="004E6455" w:rsidRDefault="005D6624" w:rsidP="005D6624">
            <w:pPr>
              <w:spacing w:after="0"/>
              <w:jc w:val="left"/>
              <w:rPr>
                <w:rFonts w:ascii="Arial" w:hAnsi="Arial" w:cs="Arial"/>
                <w:b/>
                <w:bCs/>
                <w:i/>
                <w:iCs/>
                <w:sz w:val="22"/>
                <w:szCs w:val="22"/>
                <w:lang w:val="es-AR" w:eastAsia="es-AR"/>
              </w:rPr>
            </w:pPr>
          </w:p>
        </w:tc>
        <w:tc>
          <w:tcPr>
            <w:tcW w:w="1004" w:type="dxa"/>
            <w:vMerge/>
            <w:tcBorders>
              <w:top w:val="single" w:sz="8" w:space="0" w:color="auto"/>
              <w:left w:val="single" w:sz="8" w:space="0" w:color="auto"/>
              <w:bottom w:val="single" w:sz="8" w:space="0" w:color="000000"/>
              <w:right w:val="single" w:sz="8" w:space="0" w:color="auto"/>
            </w:tcBorders>
            <w:shd w:val="clear" w:color="auto" w:fill="0070C0"/>
            <w:hideMark/>
          </w:tcPr>
          <w:p w14:paraId="1E79BD9A"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3F6B8254"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1A73B200"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6380698A"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505DAE2C"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34EF9C10"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6742CFA0"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092427B6"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4B142AE3"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5FBE2207"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1C2C3F09" w14:textId="77777777" w:rsidR="005D6624" w:rsidRPr="004E6455" w:rsidRDefault="005D6624" w:rsidP="005D6624">
            <w:pPr>
              <w:spacing w:after="0"/>
              <w:jc w:val="left"/>
              <w:rPr>
                <w:rFonts w:ascii="Arial" w:hAnsi="Arial" w:cs="Arial"/>
                <w:b/>
                <w:bCs/>
                <w:i/>
                <w:iCs/>
                <w:sz w:val="22"/>
                <w:szCs w:val="22"/>
                <w:lang w:val="es-AR" w:eastAsia="es-AR"/>
              </w:rPr>
            </w:pPr>
          </w:p>
        </w:tc>
      </w:tr>
      <w:tr w:rsidR="005D6624" w:rsidRPr="004E6455" w14:paraId="11355CCD" w14:textId="77777777" w:rsidTr="005D6624">
        <w:tc>
          <w:tcPr>
            <w:tcW w:w="2835" w:type="dxa"/>
            <w:tcBorders>
              <w:top w:val="nil"/>
              <w:left w:val="single" w:sz="8" w:space="0" w:color="auto"/>
              <w:bottom w:val="single" w:sz="8" w:space="0" w:color="auto"/>
              <w:right w:val="nil"/>
            </w:tcBorders>
            <w:shd w:val="clear" w:color="000000" w:fill="FFFFFF"/>
            <w:noWrap/>
            <w:hideMark/>
          </w:tcPr>
          <w:p w14:paraId="524601C9" w14:textId="77777777" w:rsidR="005D6624" w:rsidRPr="00117BF8" w:rsidRDefault="005D6624" w:rsidP="005D6624">
            <w:pPr>
              <w:pStyle w:val="TablaC"/>
              <w:jc w:val="left"/>
              <w:rPr>
                <w:rFonts w:ascii="Arial" w:hAnsi="Arial" w:cs="Arial"/>
                <w:b/>
                <w:sz w:val="18"/>
                <w:szCs w:val="18"/>
              </w:rPr>
            </w:pPr>
            <w:r w:rsidRPr="00117BF8">
              <w:rPr>
                <w:rFonts w:ascii="Arial" w:hAnsi="Arial" w:cs="Arial"/>
                <w:b/>
                <w:sz w:val="18"/>
                <w:szCs w:val="18"/>
              </w:rPr>
              <w:t>I. INGRESOS CORRIENTES</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62BF69DD"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2,54%</w:t>
            </w:r>
          </w:p>
        </w:tc>
        <w:tc>
          <w:tcPr>
            <w:tcW w:w="957" w:type="dxa"/>
            <w:tcBorders>
              <w:top w:val="nil"/>
              <w:left w:val="nil"/>
              <w:bottom w:val="single" w:sz="8" w:space="0" w:color="auto"/>
              <w:right w:val="single" w:sz="8" w:space="0" w:color="auto"/>
            </w:tcBorders>
            <w:shd w:val="clear" w:color="000000" w:fill="FFFFFF"/>
            <w:noWrap/>
            <w:vAlign w:val="center"/>
            <w:hideMark/>
          </w:tcPr>
          <w:p w14:paraId="644D281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5,11%</w:t>
            </w:r>
          </w:p>
        </w:tc>
        <w:tc>
          <w:tcPr>
            <w:tcW w:w="1004" w:type="dxa"/>
            <w:tcBorders>
              <w:top w:val="nil"/>
              <w:left w:val="nil"/>
              <w:bottom w:val="single" w:sz="8" w:space="0" w:color="auto"/>
              <w:right w:val="single" w:sz="8" w:space="0" w:color="auto"/>
            </w:tcBorders>
            <w:shd w:val="clear" w:color="000000" w:fill="FFFFFF"/>
            <w:noWrap/>
            <w:vAlign w:val="center"/>
            <w:hideMark/>
          </w:tcPr>
          <w:p w14:paraId="7F06D36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8,53%</w:t>
            </w:r>
          </w:p>
        </w:tc>
        <w:tc>
          <w:tcPr>
            <w:tcW w:w="874" w:type="dxa"/>
            <w:tcBorders>
              <w:top w:val="nil"/>
              <w:left w:val="nil"/>
              <w:bottom w:val="single" w:sz="8" w:space="0" w:color="auto"/>
              <w:right w:val="single" w:sz="8" w:space="0" w:color="auto"/>
            </w:tcBorders>
            <w:shd w:val="clear" w:color="000000" w:fill="FFFFFF"/>
            <w:noWrap/>
            <w:vAlign w:val="center"/>
            <w:hideMark/>
          </w:tcPr>
          <w:p w14:paraId="43E96F0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10,56%</w:t>
            </w:r>
          </w:p>
        </w:tc>
        <w:tc>
          <w:tcPr>
            <w:tcW w:w="874" w:type="dxa"/>
            <w:tcBorders>
              <w:top w:val="nil"/>
              <w:left w:val="nil"/>
              <w:bottom w:val="single" w:sz="8" w:space="0" w:color="auto"/>
              <w:right w:val="single" w:sz="8" w:space="0" w:color="auto"/>
            </w:tcBorders>
            <w:shd w:val="clear" w:color="000000" w:fill="FFFFFF"/>
            <w:noWrap/>
            <w:vAlign w:val="center"/>
            <w:hideMark/>
          </w:tcPr>
          <w:p w14:paraId="6D558AE7"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14,50%</w:t>
            </w:r>
          </w:p>
        </w:tc>
        <w:tc>
          <w:tcPr>
            <w:tcW w:w="874" w:type="dxa"/>
            <w:tcBorders>
              <w:top w:val="nil"/>
              <w:left w:val="nil"/>
              <w:bottom w:val="single" w:sz="8" w:space="0" w:color="auto"/>
              <w:right w:val="single" w:sz="8" w:space="0" w:color="auto"/>
            </w:tcBorders>
            <w:shd w:val="clear" w:color="000000" w:fill="FFFFFF"/>
            <w:noWrap/>
            <w:vAlign w:val="center"/>
            <w:hideMark/>
          </w:tcPr>
          <w:p w14:paraId="05BEA99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16,16%</w:t>
            </w:r>
          </w:p>
        </w:tc>
        <w:tc>
          <w:tcPr>
            <w:tcW w:w="874" w:type="dxa"/>
            <w:tcBorders>
              <w:top w:val="nil"/>
              <w:left w:val="nil"/>
              <w:bottom w:val="single" w:sz="8" w:space="0" w:color="auto"/>
              <w:right w:val="single" w:sz="8" w:space="0" w:color="auto"/>
            </w:tcBorders>
            <w:shd w:val="clear" w:color="000000" w:fill="FFFFFF"/>
            <w:noWrap/>
            <w:vAlign w:val="center"/>
            <w:hideMark/>
          </w:tcPr>
          <w:p w14:paraId="7E7BFE0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15,91%</w:t>
            </w:r>
          </w:p>
        </w:tc>
        <w:tc>
          <w:tcPr>
            <w:tcW w:w="1013" w:type="dxa"/>
            <w:tcBorders>
              <w:top w:val="nil"/>
              <w:left w:val="nil"/>
              <w:bottom w:val="single" w:sz="8" w:space="0" w:color="auto"/>
              <w:right w:val="single" w:sz="8" w:space="0" w:color="auto"/>
            </w:tcBorders>
            <w:shd w:val="clear" w:color="000000" w:fill="FFFFFF"/>
            <w:noWrap/>
            <w:vAlign w:val="center"/>
            <w:hideMark/>
          </w:tcPr>
          <w:p w14:paraId="75CC86DD"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15,65%</w:t>
            </w:r>
          </w:p>
        </w:tc>
        <w:tc>
          <w:tcPr>
            <w:tcW w:w="1013" w:type="dxa"/>
            <w:tcBorders>
              <w:top w:val="nil"/>
              <w:left w:val="nil"/>
              <w:bottom w:val="single" w:sz="8" w:space="0" w:color="auto"/>
              <w:right w:val="single" w:sz="8" w:space="0" w:color="auto"/>
            </w:tcBorders>
            <w:shd w:val="clear" w:color="000000" w:fill="FFFFFF"/>
            <w:noWrap/>
            <w:vAlign w:val="center"/>
            <w:hideMark/>
          </w:tcPr>
          <w:p w14:paraId="425EBB1B"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15,37%</w:t>
            </w:r>
          </w:p>
        </w:tc>
        <w:tc>
          <w:tcPr>
            <w:tcW w:w="1013" w:type="dxa"/>
            <w:tcBorders>
              <w:top w:val="nil"/>
              <w:left w:val="nil"/>
              <w:bottom w:val="single" w:sz="8" w:space="0" w:color="auto"/>
              <w:right w:val="single" w:sz="8" w:space="0" w:color="auto"/>
            </w:tcBorders>
            <w:shd w:val="clear" w:color="000000" w:fill="FFFFFF"/>
            <w:noWrap/>
            <w:vAlign w:val="center"/>
            <w:hideMark/>
          </w:tcPr>
          <w:p w14:paraId="473CC72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15,09%</w:t>
            </w:r>
          </w:p>
        </w:tc>
        <w:tc>
          <w:tcPr>
            <w:tcW w:w="1013" w:type="dxa"/>
            <w:tcBorders>
              <w:top w:val="nil"/>
              <w:left w:val="nil"/>
              <w:bottom w:val="single" w:sz="8" w:space="0" w:color="auto"/>
              <w:right w:val="single" w:sz="8" w:space="0" w:color="auto"/>
            </w:tcBorders>
            <w:shd w:val="clear" w:color="000000" w:fill="FFFFFF"/>
            <w:noWrap/>
            <w:vAlign w:val="center"/>
            <w:hideMark/>
          </w:tcPr>
          <w:p w14:paraId="01B14D4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14,79%</w:t>
            </w:r>
          </w:p>
        </w:tc>
        <w:tc>
          <w:tcPr>
            <w:tcW w:w="1013" w:type="dxa"/>
            <w:tcBorders>
              <w:top w:val="nil"/>
              <w:left w:val="nil"/>
              <w:bottom w:val="single" w:sz="8" w:space="0" w:color="auto"/>
              <w:right w:val="single" w:sz="8" w:space="0" w:color="auto"/>
            </w:tcBorders>
            <w:shd w:val="clear" w:color="000000" w:fill="FFFFFF"/>
            <w:noWrap/>
            <w:vAlign w:val="center"/>
            <w:hideMark/>
          </w:tcPr>
          <w:p w14:paraId="09ED9CE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14,47%</w:t>
            </w:r>
          </w:p>
        </w:tc>
        <w:tc>
          <w:tcPr>
            <w:tcW w:w="1013" w:type="dxa"/>
            <w:tcBorders>
              <w:top w:val="nil"/>
              <w:left w:val="nil"/>
              <w:bottom w:val="single" w:sz="8" w:space="0" w:color="auto"/>
              <w:right w:val="single" w:sz="8" w:space="0" w:color="auto"/>
            </w:tcBorders>
            <w:shd w:val="clear" w:color="000000" w:fill="FFFFFF"/>
            <w:noWrap/>
            <w:vAlign w:val="center"/>
            <w:hideMark/>
          </w:tcPr>
          <w:p w14:paraId="7BA8AE58"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14,15%</w:t>
            </w:r>
          </w:p>
        </w:tc>
      </w:tr>
      <w:tr w:rsidR="005D6624" w:rsidRPr="004E6455" w14:paraId="30053DA9" w14:textId="77777777" w:rsidTr="005D6624">
        <w:tc>
          <w:tcPr>
            <w:tcW w:w="2835" w:type="dxa"/>
            <w:tcBorders>
              <w:top w:val="nil"/>
              <w:left w:val="single" w:sz="8" w:space="0" w:color="auto"/>
              <w:bottom w:val="nil"/>
              <w:right w:val="nil"/>
            </w:tcBorders>
            <w:shd w:val="clear" w:color="000000" w:fill="FFFFFF"/>
            <w:noWrap/>
            <w:hideMark/>
          </w:tcPr>
          <w:p w14:paraId="4735CBF6" w14:textId="77777777" w:rsidR="005D6624" w:rsidRPr="00117BF8" w:rsidRDefault="005D6624" w:rsidP="005D6624">
            <w:pPr>
              <w:pStyle w:val="TablaC"/>
              <w:jc w:val="left"/>
              <w:rPr>
                <w:rFonts w:ascii="Arial" w:hAnsi="Arial" w:cs="Arial"/>
                <w:sz w:val="18"/>
                <w:szCs w:val="18"/>
              </w:rPr>
            </w:pPr>
            <w:r w:rsidRPr="00117BF8">
              <w:rPr>
                <w:rFonts w:ascii="Arial" w:hAnsi="Arial" w:cs="Arial"/>
                <w:sz w:val="18"/>
                <w:szCs w:val="18"/>
              </w:rPr>
              <w:t xml:space="preserve">  Tributarios</w:t>
            </w:r>
          </w:p>
        </w:tc>
        <w:tc>
          <w:tcPr>
            <w:tcW w:w="874" w:type="dxa"/>
            <w:tcBorders>
              <w:top w:val="nil"/>
              <w:left w:val="single" w:sz="8" w:space="0" w:color="auto"/>
              <w:bottom w:val="nil"/>
              <w:right w:val="single" w:sz="8" w:space="0" w:color="auto"/>
            </w:tcBorders>
            <w:shd w:val="clear" w:color="000000" w:fill="FFFFFF"/>
            <w:noWrap/>
            <w:vAlign w:val="center"/>
            <w:hideMark/>
          </w:tcPr>
          <w:p w14:paraId="75DE6BA3"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3,68%</w:t>
            </w:r>
          </w:p>
        </w:tc>
        <w:tc>
          <w:tcPr>
            <w:tcW w:w="957" w:type="dxa"/>
            <w:tcBorders>
              <w:top w:val="nil"/>
              <w:left w:val="nil"/>
              <w:bottom w:val="nil"/>
              <w:right w:val="single" w:sz="8" w:space="0" w:color="auto"/>
            </w:tcBorders>
            <w:shd w:val="clear" w:color="000000" w:fill="FFFFFF"/>
            <w:noWrap/>
            <w:vAlign w:val="center"/>
            <w:hideMark/>
          </w:tcPr>
          <w:p w14:paraId="70D45328"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6,07%</w:t>
            </w:r>
          </w:p>
        </w:tc>
        <w:tc>
          <w:tcPr>
            <w:tcW w:w="1004" w:type="dxa"/>
            <w:tcBorders>
              <w:top w:val="nil"/>
              <w:left w:val="nil"/>
              <w:bottom w:val="nil"/>
              <w:right w:val="single" w:sz="8" w:space="0" w:color="auto"/>
            </w:tcBorders>
            <w:shd w:val="clear" w:color="000000" w:fill="FFFFFF"/>
            <w:noWrap/>
            <w:vAlign w:val="center"/>
            <w:hideMark/>
          </w:tcPr>
          <w:p w14:paraId="1C872AFB"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8,94%</w:t>
            </w:r>
          </w:p>
        </w:tc>
        <w:tc>
          <w:tcPr>
            <w:tcW w:w="874" w:type="dxa"/>
            <w:tcBorders>
              <w:top w:val="nil"/>
              <w:left w:val="nil"/>
              <w:bottom w:val="nil"/>
              <w:right w:val="single" w:sz="8" w:space="0" w:color="auto"/>
            </w:tcBorders>
            <w:shd w:val="clear" w:color="000000" w:fill="FFFFFF"/>
            <w:noWrap/>
            <w:vAlign w:val="center"/>
            <w:hideMark/>
          </w:tcPr>
          <w:p w14:paraId="0888A5FF"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10,42%</w:t>
            </w:r>
          </w:p>
        </w:tc>
        <w:tc>
          <w:tcPr>
            <w:tcW w:w="874" w:type="dxa"/>
            <w:tcBorders>
              <w:top w:val="nil"/>
              <w:left w:val="nil"/>
              <w:bottom w:val="nil"/>
              <w:right w:val="single" w:sz="8" w:space="0" w:color="auto"/>
            </w:tcBorders>
            <w:shd w:val="clear" w:color="000000" w:fill="FFFFFF"/>
            <w:noWrap/>
            <w:vAlign w:val="center"/>
            <w:hideMark/>
          </w:tcPr>
          <w:p w14:paraId="7D54CDB2"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14,65%</w:t>
            </w:r>
          </w:p>
        </w:tc>
        <w:tc>
          <w:tcPr>
            <w:tcW w:w="874" w:type="dxa"/>
            <w:tcBorders>
              <w:top w:val="nil"/>
              <w:left w:val="nil"/>
              <w:bottom w:val="nil"/>
              <w:right w:val="single" w:sz="8" w:space="0" w:color="auto"/>
            </w:tcBorders>
            <w:shd w:val="clear" w:color="000000" w:fill="FFFFFF"/>
            <w:noWrap/>
            <w:vAlign w:val="center"/>
            <w:hideMark/>
          </w:tcPr>
          <w:p w14:paraId="3964305B"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16,32%</w:t>
            </w:r>
          </w:p>
        </w:tc>
        <w:tc>
          <w:tcPr>
            <w:tcW w:w="874" w:type="dxa"/>
            <w:tcBorders>
              <w:top w:val="nil"/>
              <w:left w:val="nil"/>
              <w:bottom w:val="nil"/>
              <w:right w:val="single" w:sz="8" w:space="0" w:color="auto"/>
            </w:tcBorders>
            <w:shd w:val="clear" w:color="000000" w:fill="FFFFFF"/>
            <w:noWrap/>
            <w:vAlign w:val="center"/>
            <w:hideMark/>
          </w:tcPr>
          <w:p w14:paraId="539FF54A"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15,97%</w:t>
            </w:r>
          </w:p>
        </w:tc>
        <w:tc>
          <w:tcPr>
            <w:tcW w:w="1013" w:type="dxa"/>
            <w:tcBorders>
              <w:top w:val="nil"/>
              <w:left w:val="nil"/>
              <w:bottom w:val="nil"/>
              <w:right w:val="single" w:sz="8" w:space="0" w:color="auto"/>
            </w:tcBorders>
            <w:shd w:val="clear" w:color="000000" w:fill="FFFFFF"/>
            <w:noWrap/>
            <w:vAlign w:val="center"/>
            <w:hideMark/>
          </w:tcPr>
          <w:p w14:paraId="3A91F6B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15,61%</w:t>
            </w:r>
          </w:p>
        </w:tc>
        <w:tc>
          <w:tcPr>
            <w:tcW w:w="1013" w:type="dxa"/>
            <w:tcBorders>
              <w:top w:val="nil"/>
              <w:left w:val="nil"/>
              <w:bottom w:val="nil"/>
              <w:right w:val="single" w:sz="8" w:space="0" w:color="auto"/>
            </w:tcBorders>
            <w:shd w:val="clear" w:color="000000" w:fill="FFFFFF"/>
            <w:noWrap/>
            <w:vAlign w:val="center"/>
            <w:hideMark/>
          </w:tcPr>
          <w:p w14:paraId="0CB3AF38"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15,24%</w:t>
            </w:r>
          </w:p>
        </w:tc>
        <w:tc>
          <w:tcPr>
            <w:tcW w:w="1013" w:type="dxa"/>
            <w:tcBorders>
              <w:top w:val="nil"/>
              <w:left w:val="nil"/>
              <w:bottom w:val="nil"/>
              <w:right w:val="single" w:sz="8" w:space="0" w:color="auto"/>
            </w:tcBorders>
            <w:shd w:val="clear" w:color="000000" w:fill="FFFFFF"/>
            <w:noWrap/>
            <w:vAlign w:val="center"/>
            <w:hideMark/>
          </w:tcPr>
          <w:p w14:paraId="6455A2CD"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14,87%</w:t>
            </w:r>
          </w:p>
        </w:tc>
        <w:tc>
          <w:tcPr>
            <w:tcW w:w="1013" w:type="dxa"/>
            <w:tcBorders>
              <w:top w:val="nil"/>
              <w:left w:val="nil"/>
              <w:bottom w:val="nil"/>
              <w:right w:val="single" w:sz="8" w:space="0" w:color="auto"/>
            </w:tcBorders>
            <w:shd w:val="clear" w:color="000000" w:fill="FFFFFF"/>
            <w:noWrap/>
            <w:vAlign w:val="center"/>
            <w:hideMark/>
          </w:tcPr>
          <w:p w14:paraId="445379CD"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14,48%</w:t>
            </w:r>
          </w:p>
        </w:tc>
        <w:tc>
          <w:tcPr>
            <w:tcW w:w="1013" w:type="dxa"/>
            <w:tcBorders>
              <w:top w:val="nil"/>
              <w:left w:val="nil"/>
              <w:bottom w:val="nil"/>
              <w:right w:val="single" w:sz="8" w:space="0" w:color="auto"/>
            </w:tcBorders>
            <w:shd w:val="clear" w:color="000000" w:fill="FFFFFF"/>
            <w:noWrap/>
            <w:vAlign w:val="center"/>
            <w:hideMark/>
          </w:tcPr>
          <w:p w14:paraId="51747374"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14,09%</w:t>
            </w:r>
          </w:p>
        </w:tc>
        <w:tc>
          <w:tcPr>
            <w:tcW w:w="1013" w:type="dxa"/>
            <w:tcBorders>
              <w:top w:val="nil"/>
              <w:left w:val="nil"/>
              <w:bottom w:val="nil"/>
              <w:right w:val="single" w:sz="8" w:space="0" w:color="auto"/>
            </w:tcBorders>
            <w:shd w:val="clear" w:color="000000" w:fill="FFFFFF"/>
            <w:noWrap/>
            <w:vAlign w:val="center"/>
            <w:hideMark/>
          </w:tcPr>
          <w:p w14:paraId="7B7E1C01"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13,69%</w:t>
            </w:r>
          </w:p>
        </w:tc>
      </w:tr>
      <w:tr w:rsidR="005D6624" w:rsidRPr="004E6455" w14:paraId="5E7C7716" w14:textId="77777777" w:rsidTr="005D6624">
        <w:tc>
          <w:tcPr>
            <w:tcW w:w="2835" w:type="dxa"/>
            <w:tcBorders>
              <w:top w:val="nil"/>
              <w:left w:val="single" w:sz="8" w:space="0" w:color="auto"/>
              <w:bottom w:val="nil"/>
              <w:right w:val="nil"/>
            </w:tcBorders>
            <w:shd w:val="clear" w:color="000000" w:fill="FFFFFF"/>
            <w:noWrap/>
            <w:hideMark/>
          </w:tcPr>
          <w:p w14:paraId="541B5A6E" w14:textId="77777777" w:rsidR="005D6624" w:rsidRPr="00117BF8" w:rsidRDefault="005D6624" w:rsidP="005D6624">
            <w:pPr>
              <w:pStyle w:val="TablaC"/>
              <w:jc w:val="left"/>
              <w:rPr>
                <w:rFonts w:ascii="Arial" w:hAnsi="Arial" w:cs="Arial"/>
                <w:sz w:val="18"/>
                <w:szCs w:val="18"/>
                <w:lang w:val="es-ES_tradnl"/>
              </w:rPr>
            </w:pPr>
            <w:r w:rsidRPr="00117BF8">
              <w:rPr>
                <w:rFonts w:ascii="Arial" w:hAnsi="Arial" w:cs="Arial"/>
                <w:sz w:val="18"/>
                <w:szCs w:val="18"/>
                <w:lang w:val="es-ES_tradnl"/>
              </w:rPr>
              <w:t xml:space="preserve">  Contrib. a la Seguridad Social</w:t>
            </w:r>
          </w:p>
        </w:tc>
        <w:tc>
          <w:tcPr>
            <w:tcW w:w="874" w:type="dxa"/>
            <w:tcBorders>
              <w:top w:val="nil"/>
              <w:left w:val="single" w:sz="8" w:space="0" w:color="auto"/>
              <w:bottom w:val="nil"/>
              <w:right w:val="single" w:sz="8" w:space="0" w:color="auto"/>
            </w:tcBorders>
            <w:shd w:val="clear" w:color="000000" w:fill="FFFFFF"/>
            <w:noWrap/>
            <w:vAlign w:val="center"/>
            <w:hideMark/>
          </w:tcPr>
          <w:p w14:paraId="3869063A"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0,89%</w:t>
            </w:r>
          </w:p>
        </w:tc>
        <w:tc>
          <w:tcPr>
            <w:tcW w:w="957" w:type="dxa"/>
            <w:tcBorders>
              <w:top w:val="nil"/>
              <w:left w:val="nil"/>
              <w:bottom w:val="nil"/>
              <w:right w:val="single" w:sz="8" w:space="0" w:color="auto"/>
            </w:tcBorders>
            <w:shd w:val="clear" w:color="000000" w:fill="FFFFFF"/>
            <w:noWrap/>
            <w:vAlign w:val="center"/>
            <w:hideMark/>
          </w:tcPr>
          <w:p w14:paraId="3020B7DD"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5,40%</w:t>
            </w:r>
          </w:p>
        </w:tc>
        <w:tc>
          <w:tcPr>
            <w:tcW w:w="1004" w:type="dxa"/>
            <w:tcBorders>
              <w:top w:val="nil"/>
              <w:left w:val="nil"/>
              <w:bottom w:val="nil"/>
              <w:right w:val="single" w:sz="8" w:space="0" w:color="auto"/>
            </w:tcBorders>
            <w:shd w:val="clear" w:color="000000" w:fill="FFFFFF"/>
            <w:noWrap/>
            <w:vAlign w:val="center"/>
            <w:hideMark/>
          </w:tcPr>
          <w:p w14:paraId="723A5620"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13,54%</w:t>
            </w:r>
          </w:p>
        </w:tc>
        <w:tc>
          <w:tcPr>
            <w:tcW w:w="874" w:type="dxa"/>
            <w:tcBorders>
              <w:top w:val="nil"/>
              <w:left w:val="nil"/>
              <w:bottom w:val="nil"/>
              <w:right w:val="single" w:sz="8" w:space="0" w:color="auto"/>
            </w:tcBorders>
            <w:shd w:val="clear" w:color="000000" w:fill="FFFFFF"/>
            <w:noWrap/>
            <w:vAlign w:val="center"/>
            <w:hideMark/>
          </w:tcPr>
          <w:p w14:paraId="4306F659"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19,52%</w:t>
            </w:r>
          </w:p>
        </w:tc>
        <w:tc>
          <w:tcPr>
            <w:tcW w:w="874" w:type="dxa"/>
            <w:tcBorders>
              <w:top w:val="nil"/>
              <w:left w:val="nil"/>
              <w:bottom w:val="nil"/>
              <w:right w:val="single" w:sz="8" w:space="0" w:color="auto"/>
            </w:tcBorders>
            <w:shd w:val="clear" w:color="000000" w:fill="FFFFFF"/>
            <w:noWrap/>
            <w:vAlign w:val="center"/>
            <w:hideMark/>
          </w:tcPr>
          <w:p w14:paraId="7D257D62"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24,91%</w:t>
            </w:r>
          </w:p>
        </w:tc>
        <w:tc>
          <w:tcPr>
            <w:tcW w:w="874" w:type="dxa"/>
            <w:tcBorders>
              <w:top w:val="nil"/>
              <w:left w:val="nil"/>
              <w:bottom w:val="nil"/>
              <w:right w:val="single" w:sz="8" w:space="0" w:color="auto"/>
            </w:tcBorders>
            <w:shd w:val="clear" w:color="000000" w:fill="FFFFFF"/>
            <w:noWrap/>
            <w:vAlign w:val="center"/>
            <w:hideMark/>
          </w:tcPr>
          <w:p w14:paraId="22481CA1"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27,49%</w:t>
            </w:r>
          </w:p>
        </w:tc>
        <w:tc>
          <w:tcPr>
            <w:tcW w:w="874" w:type="dxa"/>
            <w:tcBorders>
              <w:top w:val="nil"/>
              <w:left w:val="nil"/>
              <w:bottom w:val="nil"/>
              <w:right w:val="single" w:sz="8" w:space="0" w:color="auto"/>
            </w:tcBorders>
            <w:shd w:val="clear" w:color="000000" w:fill="FFFFFF"/>
            <w:noWrap/>
            <w:vAlign w:val="center"/>
            <w:hideMark/>
          </w:tcPr>
          <w:p w14:paraId="437F0210"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27,16%</w:t>
            </w:r>
          </w:p>
        </w:tc>
        <w:tc>
          <w:tcPr>
            <w:tcW w:w="1013" w:type="dxa"/>
            <w:tcBorders>
              <w:top w:val="nil"/>
              <w:left w:val="nil"/>
              <w:bottom w:val="nil"/>
              <w:right w:val="single" w:sz="8" w:space="0" w:color="auto"/>
            </w:tcBorders>
            <w:shd w:val="clear" w:color="000000" w:fill="FFFFFF"/>
            <w:noWrap/>
            <w:vAlign w:val="center"/>
            <w:hideMark/>
          </w:tcPr>
          <w:p w14:paraId="7A7EF4C7"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26,83%</w:t>
            </w:r>
          </w:p>
        </w:tc>
        <w:tc>
          <w:tcPr>
            <w:tcW w:w="1013" w:type="dxa"/>
            <w:tcBorders>
              <w:top w:val="nil"/>
              <w:left w:val="nil"/>
              <w:bottom w:val="nil"/>
              <w:right w:val="single" w:sz="8" w:space="0" w:color="auto"/>
            </w:tcBorders>
            <w:shd w:val="clear" w:color="000000" w:fill="FFFFFF"/>
            <w:noWrap/>
            <w:vAlign w:val="center"/>
            <w:hideMark/>
          </w:tcPr>
          <w:p w14:paraId="738175B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26,50%</w:t>
            </w:r>
          </w:p>
        </w:tc>
        <w:tc>
          <w:tcPr>
            <w:tcW w:w="1013" w:type="dxa"/>
            <w:tcBorders>
              <w:top w:val="nil"/>
              <w:left w:val="nil"/>
              <w:bottom w:val="nil"/>
              <w:right w:val="single" w:sz="8" w:space="0" w:color="auto"/>
            </w:tcBorders>
            <w:shd w:val="clear" w:color="000000" w:fill="FFFFFF"/>
            <w:noWrap/>
            <w:vAlign w:val="center"/>
            <w:hideMark/>
          </w:tcPr>
          <w:p w14:paraId="488EF92D"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26,17%</w:t>
            </w:r>
          </w:p>
        </w:tc>
        <w:tc>
          <w:tcPr>
            <w:tcW w:w="1013" w:type="dxa"/>
            <w:tcBorders>
              <w:top w:val="nil"/>
              <w:left w:val="nil"/>
              <w:bottom w:val="nil"/>
              <w:right w:val="single" w:sz="8" w:space="0" w:color="auto"/>
            </w:tcBorders>
            <w:shd w:val="clear" w:color="000000" w:fill="FFFFFF"/>
            <w:noWrap/>
            <w:vAlign w:val="center"/>
            <w:hideMark/>
          </w:tcPr>
          <w:p w14:paraId="2FFA16A1"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25,85%</w:t>
            </w:r>
          </w:p>
        </w:tc>
        <w:tc>
          <w:tcPr>
            <w:tcW w:w="1013" w:type="dxa"/>
            <w:tcBorders>
              <w:top w:val="nil"/>
              <w:left w:val="nil"/>
              <w:bottom w:val="nil"/>
              <w:right w:val="single" w:sz="8" w:space="0" w:color="auto"/>
            </w:tcBorders>
            <w:shd w:val="clear" w:color="000000" w:fill="FFFFFF"/>
            <w:noWrap/>
            <w:vAlign w:val="center"/>
            <w:hideMark/>
          </w:tcPr>
          <w:p w14:paraId="2842EBD1"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25,52%</w:t>
            </w:r>
          </w:p>
        </w:tc>
        <w:tc>
          <w:tcPr>
            <w:tcW w:w="1013" w:type="dxa"/>
            <w:tcBorders>
              <w:top w:val="nil"/>
              <w:left w:val="nil"/>
              <w:bottom w:val="nil"/>
              <w:right w:val="single" w:sz="8" w:space="0" w:color="auto"/>
            </w:tcBorders>
            <w:shd w:val="clear" w:color="000000" w:fill="FFFFFF"/>
            <w:noWrap/>
            <w:vAlign w:val="center"/>
            <w:hideMark/>
          </w:tcPr>
          <w:p w14:paraId="2A5D75C9"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25,19%</w:t>
            </w:r>
          </w:p>
        </w:tc>
      </w:tr>
      <w:tr w:rsidR="005D6624" w:rsidRPr="004E6455" w14:paraId="074183C5" w14:textId="77777777" w:rsidTr="005D6624">
        <w:tc>
          <w:tcPr>
            <w:tcW w:w="2835" w:type="dxa"/>
            <w:tcBorders>
              <w:top w:val="nil"/>
              <w:left w:val="single" w:sz="8" w:space="0" w:color="auto"/>
              <w:bottom w:val="nil"/>
              <w:right w:val="nil"/>
            </w:tcBorders>
            <w:shd w:val="clear" w:color="000000" w:fill="FFFFFF"/>
            <w:noWrap/>
            <w:hideMark/>
          </w:tcPr>
          <w:p w14:paraId="67F16360" w14:textId="77777777" w:rsidR="005D6624" w:rsidRPr="00117BF8" w:rsidRDefault="005D6624" w:rsidP="005D6624">
            <w:pPr>
              <w:pStyle w:val="TablaC"/>
              <w:jc w:val="left"/>
              <w:rPr>
                <w:rFonts w:ascii="Arial" w:hAnsi="Arial" w:cs="Arial"/>
                <w:sz w:val="18"/>
                <w:szCs w:val="18"/>
              </w:rPr>
            </w:pPr>
            <w:r w:rsidRPr="00117BF8">
              <w:rPr>
                <w:rFonts w:ascii="Arial" w:hAnsi="Arial" w:cs="Arial"/>
                <w:sz w:val="18"/>
                <w:szCs w:val="18"/>
              </w:rPr>
              <w:t xml:space="preserve">  No Tributarios</w:t>
            </w:r>
          </w:p>
        </w:tc>
        <w:tc>
          <w:tcPr>
            <w:tcW w:w="874" w:type="dxa"/>
            <w:tcBorders>
              <w:top w:val="nil"/>
              <w:left w:val="single" w:sz="8" w:space="0" w:color="auto"/>
              <w:bottom w:val="nil"/>
              <w:right w:val="single" w:sz="8" w:space="0" w:color="auto"/>
            </w:tcBorders>
            <w:shd w:val="clear" w:color="000000" w:fill="FFFFFF"/>
            <w:noWrap/>
            <w:vAlign w:val="center"/>
            <w:hideMark/>
          </w:tcPr>
          <w:p w14:paraId="327E58A8"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-0,95%</w:t>
            </w:r>
          </w:p>
        </w:tc>
        <w:tc>
          <w:tcPr>
            <w:tcW w:w="957" w:type="dxa"/>
            <w:tcBorders>
              <w:top w:val="nil"/>
              <w:left w:val="nil"/>
              <w:bottom w:val="nil"/>
              <w:right w:val="single" w:sz="8" w:space="0" w:color="auto"/>
            </w:tcBorders>
            <w:shd w:val="clear" w:color="000000" w:fill="FFFFFF"/>
            <w:noWrap/>
            <w:vAlign w:val="center"/>
            <w:hideMark/>
          </w:tcPr>
          <w:p w14:paraId="341BE565"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1004" w:type="dxa"/>
            <w:tcBorders>
              <w:top w:val="nil"/>
              <w:left w:val="nil"/>
              <w:bottom w:val="nil"/>
              <w:right w:val="single" w:sz="8" w:space="0" w:color="auto"/>
            </w:tcBorders>
            <w:shd w:val="clear" w:color="000000" w:fill="FFFFFF"/>
            <w:noWrap/>
            <w:vAlign w:val="center"/>
            <w:hideMark/>
          </w:tcPr>
          <w:p w14:paraId="2D3C2EA8"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78D6AA23"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5E49E903"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547D124C"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5D33D143"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27EFE782"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39913CD8"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13D80369"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61079DEC"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7C424B36"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164C46B6"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0,00%</w:t>
            </w:r>
          </w:p>
        </w:tc>
      </w:tr>
      <w:tr w:rsidR="005D6624" w:rsidRPr="004E6455" w14:paraId="1681E2EE" w14:textId="77777777" w:rsidTr="005D6624">
        <w:tc>
          <w:tcPr>
            <w:tcW w:w="2835" w:type="dxa"/>
            <w:tcBorders>
              <w:top w:val="single" w:sz="8" w:space="0" w:color="auto"/>
              <w:left w:val="single" w:sz="8" w:space="0" w:color="auto"/>
              <w:bottom w:val="single" w:sz="8" w:space="0" w:color="auto"/>
              <w:right w:val="nil"/>
            </w:tcBorders>
            <w:shd w:val="clear" w:color="000000" w:fill="FFFFFF"/>
            <w:noWrap/>
            <w:hideMark/>
          </w:tcPr>
          <w:p w14:paraId="7768D343" w14:textId="77777777" w:rsidR="005D6624" w:rsidRPr="00117BF8" w:rsidRDefault="005D6624" w:rsidP="005D6624">
            <w:pPr>
              <w:pStyle w:val="TablaC"/>
              <w:jc w:val="left"/>
              <w:rPr>
                <w:rFonts w:ascii="Arial" w:hAnsi="Arial" w:cs="Arial"/>
                <w:b/>
                <w:sz w:val="18"/>
                <w:szCs w:val="18"/>
              </w:rPr>
            </w:pPr>
            <w:r w:rsidRPr="00117BF8">
              <w:rPr>
                <w:rFonts w:ascii="Arial" w:hAnsi="Arial" w:cs="Arial"/>
                <w:b/>
                <w:sz w:val="18"/>
                <w:szCs w:val="18"/>
              </w:rPr>
              <w:t>II. GASTOS CORRIENTES</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B7DA21C"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2,83%</w:t>
            </w:r>
          </w:p>
        </w:tc>
        <w:tc>
          <w:tcPr>
            <w:tcW w:w="957" w:type="dxa"/>
            <w:tcBorders>
              <w:top w:val="single" w:sz="8" w:space="0" w:color="auto"/>
              <w:left w:val="nil"/>
              <w:bottom w:val="single" w:sz="8" w:space="0" w:color="auto"/>
              <w:right w:val="single" w:sz="8" w:space="0" w:color="auto"/>
            </w:tcBorders>
            <w:shd w:val="clear" w:color="000000" w:fill="FFFFFF"/>
            <w:noWrap/>
            <w:vAlign w:val="center"/>
            <w:hideMark/>
          </w:tcPr>
          <w:p w14:paraId="6DC0CDE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3,29%</w:t>
            </w:r>
          </w:p>
        </w:tc>
        <w:tc>
          <w:tcPr>
            <w:tcW w:w="1004" w:type="dxa"/>
            <w:tcBorders>
              <w:top w:val="single" w:sz="8" w:space="0" w:color="auto"/>
              <w:left w:val="nil"/>
              <w:bottom w:val="single" w:sz="8" w:space="0" w:color="auto"/>
              <w:right w:val="single" w:sz="8" w:space="0" w:color="auto"/>
            </w:tcBorders>
            <w:shd w:val="clear" w:color="000000" w:fill="FFFFFF"/>
            <w:noWrap/>
            <w:vAlign w:val="center"/>
            <w:hideMark/>
          </w:tcPr>
          <w:p w14:paraId="18A73C68"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9,41%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2C52B6F"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14,64%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4120305E"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17,71%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AEC6756"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20,27%</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A44F1E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20,22%</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32013CCE"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20,14%</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7486776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20,11%</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59FE96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20,03%</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42CA3B2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19,93%</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34B66F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19,87%</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5EB9BC83"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19,86%</w:t>
            </w:r>
          </w:p>
        </w:tc>
      </w:tr>
      <w:tr w:rsidR="005D6624" w:rsidRPr="004E6455" w14:paraId="621D91EC" w14:textId="77777777" w:rsidTr="005D6624">
        <w:tc>
          <w:tcPr>
            <w:tcW w:w="2835" w:type="dxa"/>
            <w:tcBorders>
              <w:top w:val="nil"/>
              <w:left w:val="single" w:sz="8" w:space="0" w:color="auto"/>
              <w:bottom w:val="nil"/>
              <w:right w:val="nil"/>
            </w:tcBorders>
            <w:shd w:val="clear" w:color="000000" w:fill="FFFFFF"/>
            <w:noWrap/>
            <w:hideMark/>
          </w:tcPr>
          <w:p w14:paraId="0FEB892C" w14:textId="77777777" w:rsidR="005D6624" w:rsidRPr="00117BF8" w:rsidRDefault="005D6624" w:rsidP="005D6624">
            <w:pPr>
              <w:pStyle w:val="TablaC"/>
              <w:jc w:val="left"/>
              <w:rPr>
                <w:rFonts w:ascii="Arial" w:hAnsi="Arial" w:cs="Arial"/>
                <w:sz w:val="18"/>
                <w:szCs w:val="18"/>
              </w:rPr>
            </w:pPr>
            <w:r w:rsidRPr="00117BF8">
              <w:rPr>
                <w:rFonts w:ascii="Arial" w:hAnsi="Arial" w:cs="Arial"/>
                <w:sz w:val="18"/>
                <w:szCs w:val="18"/>
              </w:rPr>
              <w:t xml:space="preserve">  Personal</w:t>
            </w:r>
          </w:p>
        </w:tc>
        <w:tc>
          <w:tcPr>
            <w:tcW w:w="874" w:type="dxa"/>
            <w:tcBorders>
              <w:top w:val="nil"/>
              <w:left w:val="single" w:sz="8" w:space="0" w:color="auto"/>
              <w:bottom w:val="nil"/>
              <w:right w:val="single" w:sz="8" w:space="0" w:color="auto"/>
            </w:tcBorders>
            <w:shd w:val="clear" w:color="000000" w:fill="FFFFFF"/>
            <w:noWrap/>
            <w:vAlign w:val="center"/>
            <w:hideMark/>
          </w:tcPr>
          <w:p w14:paraId="59FA261D"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1,38%</w:t>
            </w:r>
          </w:p>
        </w:tc>
        <w:tc>
          <w:tcPr>
            <w:tcW w:w="957" w:type="dxa"/>
            <w:tcBorders>
              <w:top w:val="nil"/>
              <w:left w:val="nil"/>
              <w:bottom w:val="nil"/>
              <w:right w:val="single" w:sz="8" w:space="0" w:color="auto"/>
            </w:tcBorders>
            <w:shd w:val="clear" w:color="000000" w:fill="FFFFFF"/>
            <w:noWrap/>
            <w:vAlign w:val="center"/>
            <w:hideMark/>
          </w:tcPr>
          <w:p w14:paraId="6C950B29"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2,26%</w:t>
            </w:r>
          </w:p>
        </w:tc>
        <w:tc>
          <w:tcPr>
            <w:tcW w:w="1004" w:type="dxa"/>
            <w:tcBorders>
              <w:top w:val="nil"/>
              <w:left w:val="nil"/>
              <w:bottom w:val="nil"/>
              <w:right w:val="single" w:sz="8" w:space="0" w:color="auto"/>
            </w:tcBorders>
            <w:shd w:val="clear" w:color="000000" w:fill="FFFFFF"/>
            <w:noWrap/>
            <w:vAlign w:val="center"/>
            <w:hideMark/>
          </w:tcPr>
          <w:p w14:paraId="2CDA21ED"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10,16%</w:t>
            </w:r>
          </w:p>
        </w:tc>
        <w:tc>
          <w:tcPr>
            <w:tcW w:w="874" w:type="dxa"/>
            <w:tcBorders>
              <w:top w:val="nil"/>
              <w:left w:val="nil"/>
              <w:bottom w:val="nil"/>
              <w:right w:val="single" w:sz="8" w:space="0" w:color="auto"/>
            </w:tcBorders>
            <w:shd w:val="clear" w:color="000000" w:fill="FFFFFF"/>
            <w:noWrap/>
            <w:vAlign w:val="center"/>
            <w:hideMark/>
          </w:tcPr>
          <w:p w14:paraId="475448A7"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15,96%</w:t>
            </w:r>
          </w:p>
        </w:tc>
        <w:tc>
          <w:tcPr>
            <w:tcW w:w="874" w:type="dxa"/>
            <w:tcBorders>
              <w:top w:val="nil"/>
              <w:left w:val="nil"/>
              <w:bottom w:val="nil"/>
              <w:right w:val="single" w:sz="8" w:space="0" w:color="auto"/>
            </w:tcBorders>
            <w:shd w:val="clear" w:color="000000" w:fill="FFFFFF"/>
            <w:noWrap/>
            <w:vAlign w:val="center"/>
            <w:hideMark/>
          </w:tcPr>
          <w:p w14:paraId="07741A6B"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18,94%</w:t>
            </w:r>
          </w:p>
        </w:tc>
        <w:tc>
          <w:tcPr>
            <w:tcW w:w="874" w:type="dxa"/>
            <w:tcBorders>
              <w:top w:val="nil"/>
              <w:left w:val="nil"/>
              <w:bottom w:val="nil"/>
              <w:right w:val="single" w:sz="8" w:space="0" w:color="auto"/>
            </w:tcBorders>
            <w:shd w:val="clear" w:color="000000" w:fill="FFFFFF"/>
            <w:noWrap/>
            <w:vAlign w:val="center"/>
            <w:hideMark/>
          </w:tcPr>
          <w:p w14:paraId="0C2635F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21,41%</w:t>
            </w:r>
          </w:p>
        </w:tc>
        <w:tc>
          <w:tcPr>
            <w:tcW w:w="874" w:type="dxa"/>
            <w:tcBorders>
              <w:top w:val="nil"/>
              <w:left w:val="nil"/>
              <w:bottom w:val="nil"/>
              <w:right w:val="single" w:sz="8" w:space="0" w:color="auto"/>
            </w:tcBorders>
            <w:shd w:val="clear" w:color="000000" w:fill="FFFFFF"/>
            <w:noWrap/>
            <w:vAlign w:val="center"/>
            <w:hideMark/>
          </w:tcPr>
          <w:p w14:paraId="30F210D0"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21,09%</w:t>
            </w:r>
          </w:p>
        </w:tc>
        <w:tc>
          <w:tcPr>
            <w:tcW w:w="1013" w:type="dxa"/>
            <w:tcBorders>
              <w:top w:val="nil"/>
              <w:left w:val="nil"/>
              <w:bottom w:val="nil"/>
              <w:right w:val="single" w:sz="8" w:space="0" w:color="auto"/>
            </w:tcBorders>
            <w:shd w:val="clear" w:color="000000" w:fill="FFFFFF"/>
            <w:noWrap/>
            <w:vAlign w:val="center"/>
            <w:hideMark/>
          </w:tcPr>
          <w:p w14:paraId="517BD69A"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20,78%</w:t>
            </w:r>
          </w:p>
        </w:tc>
        <w:tc>
          <w:tcPr>
            <w:tcW w:w="1013" w:type="dxa"/>
            <w:tcBorders>
              <w:top w:val="nil"/>
              <w:left w:val="nil"/>
              <w:bottom w:val="nil"/>
              <w:right w:val="single" w:sz="8" w:space="0" w:color="auto"/>
            </w:tcBorders>
            <w:shd w:val="clear" w:color="000000" w:fill="FFFFFF"/>
            <w:noWrap/>
            <w:vAlign w:val="center"/>
            <w:hideMark/>
          </w:tcPr>
          <w:p w14:paraId="16E4A006"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20,46%</w:t>
            </w:r>
          </w:p>
        </w:tc>
        <w:tc>
          <w:tcPr>
            <w:tcW w:w="1013" w:type="dxa"/>
            <w:tcBorders>
              <w:top w:val="nil"/>
              <w:left w:val="nil"/>
              <w:bottom w:val="nil"/>
              <w:right w:val="single" w:sz="8" w:space="0" w:color="auto"/>
            </w:tcBorders>
            <w:shd w:val="clear" w:color="000000" w:fill="FFFFFF"/>
            <w:noWrap/>
            <w:vAlign w:val="center"/>
            <w:hideMark/>
          </w:tcPr>
          <w:p w14:paraId="5BDBC3FF"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20,15%</w:t>
            </w:r>
          </w:p>
        </w:tc>
        <w:tc>
          <w:tcPr>
            <w:tcW w:w="1013" w:type="dxa"/>
            <w:tcBorders>
              <w:top w:val="nil"/>
              <w:left w:val="nil"/>
              <w:bottom w:val="nil"/>
              <w:right w:val="single" w:sz="8" w:space="0" w:color="auto"/>
            </w:tcBorders>
            <w:shd w:val="clear" w:color="000000" w:fill="FFFFFF"/>
            <w:noWrap/>
            <w:vAlign w:val="center"/>
            <w:hideMark/>
          </w:tcPr>
          <w:p w14:paraId="18FAE1DC"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19,84%</w:t>
            </w:r>
          </w:p>
        </w:tc>
        <w:tc>
          <w:tcPr>
            <w:tcW w:w="1013" w:type="dxa"/>
            <w:tcBorders>
              <w:top w:val="nil"/>
              <w:left w:val="nil"/>
              <w:bottom w:val="nil"/>
              <w:right w:val="single" w:sz="8" w:space="0" w:color="auto"/>
            </w:tcBorders>
            <w:shd w:val="clear" w:color="000000" w:fill="FFFFFF"/>
            <w:noWrap/>
            <w:vAlign w:val="center"/>
            <w:hideMark/>
          </w:tcPr>
          <w:p w14:paraId="6BB76EB0"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19,53%</w:t>
            </w:r>
          </w:p>
        </w:tc>
        <w:tc>
          <w:tcPr>
            <w:tcW w:w="1013" w:type="dxa"/>
            <w:tcBorders>
              <w:top w:val="nil"/>
              <w:left w:val="nil"/>
              <w:bottom w:val="nil"/>
              <w:right w:val="single" w:sz="8" w:space="0" w:color="auto"/>
            </w:tcBorders>
            <w:shd w:val="clear" w:color="000000" w:fill="FFFFFF"/>
            <w:noWrap/>
            <w:vAlign w:val="center"/>
            <w:hideMark/>
          </w:tcPr>
          <w:p w14:paraId="771E57DC"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19,22%</w:t>
            </w:r>
          </w:p>
        </w:tc>
      </w:tr>
      <w:tr w:rsidR="005D6624" w:rsidRPr="004E6455" w14:paraId="27050785" w14:textId="77777777" w:rsidTr="005D6624">
        <w:tc>
          <w:tcPr>
            <w:tcW w:w="2835" w:type="dxa"/>
            <w:tcBorders>
              <w:top w:val="nil"/>
              <w:left w:val="single" w:sz="8" w:space="0" w:color="auto"/>
              <w:bottom w:val="nil"/>
              <w:right w:val="nil"/>
            </w:tcBorders>
            <w:shd w:val="clear" w:color="000000" w:fill="FFFFFF"/>
            <w:noWrap/>
            <w:hideMark/>
          </w:tcPr>
          <w:p w14:paraId="23740671" w14:textId="77777777" w:rsidR="005D6624" w:rsidRPr="00117BF8" w:rsidRDefault="005D6624" w:rsidP="005D6624">
            <w:pPr>
              <w:pStyle w:val="TablaC"/>
              <w:jc w:val="left"/>
              <w:rPr>
                <w:rFonts w:ascii="Arial" w:hAnsi="Arial" w:cs="Arial"/>
                <w:sz w:val="18"/>
                <w:szCs w:val="18"/>
              </w:rPr>
            </w:pPr>
            <w:r w:rsidRPr="00117BF8">
              <w:rPr>
                <w:rFonts w:ascii="Arial" w:hAnsi="Arial" w:cs="Arial"/>
                <w:sz w:val="18"/>
                <w:szCs w:val="18"/>
              </w:rPr>
              <w:t xml:space="preserve">  Bienes y Servicios</w:t>
            </w:r>
          </w:p>
        </w:tc>
        <w:tc>
          <w:tcPr>
            <w:tcW w:w="874" w:type="dxa"/>
            <w:tcBorders>
              <w:top w:val="nil"/>
              <w:left w:val="single" w:sz="8" w:space="0" w:color="auto"/>
              <w:bottom w:val="nil"/>
              <w:right w:val="single" w:sz="8" w:space="0" w:color="auto"/>
            </w:tcBorders>
            <w:shd w:val="clear" w:color="000000" w:fill="FFFFFF"/>
            <w:noWrap/>
            <w:vAlign w:val="center"/>
            <w:hideMark/>
          </w:tcPr>
          <w:p w14:paraId="3527F29F"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-8,43%</w:t>
            </w:r>
          </w:p>
        </w:tc>
        <w:tc>
          <w:tcPr>
            <w:tcW w:w="957" w:type="dxa"/>
            <w:tcBorders>
              <w:top w:val="nil"/>
              <w:left w:val="nil"/>
              <w:bottom w:val="nil"/>
              <w:right w:val="single" w:sz="8" w:space="0" w:color="auto"/>
            </w:tcBorders>
            <w:shd w:val="clear" w:color="000000" w:fill="FFFFFF"/>
            <w:noWrap/>
            <w:vAlign w:val="center"/>
            <w:hideMark/>
          </w:tcPr>
          <w:p w14:paraId="589381DF"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-0,49%</w:t>
            </w:r>
          </w:p>
        </w:tc>
        <w:tc>
          <w:tcPr>
            <w:tcW w:w="1004" w:type="dxa"/>
            <w:tcBorders>
              <w:top w:val="nil"/>
              <w:left w:val="nil"/>
              <w:bottom w:val="nil"/>
              <w:right w:val="single" w:sz="8" w:space="0" w:color="auto"/>
            </w:tcBorders>
            <w:shd w:val="clear" w:color="000000" w:fill="FFFFFF"/>
            <w:noWrap/>
            <w:vAlign w:val="center"/>
            <w:hideMark/>
          </w:tcPr>
          <w:p w14:paraId="2DEA2620"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3,08%</w:t>
            </w:r>
          </w:p>
        </w:tc>
        <w:tc>
          <w:tcPr>
            <w:tcW w:w="874" w:type="dxa"/>
            <w:tcBorders>
              <w:top w:val="nil"/>
              <w:left w:val="nil"/>
              <w:bottom w:val="nil"/>
              <w:right w:val="single" w:sz="8" w:space="0" w:color="auto"/>
            </w:tcBorders>
            <w:shd w:val="clear" w:color="000000" w:fill="FFFFFF"/>
            <w:noWrap/>
            <w:vAlign w:val="center"/>
            <w:hideMark/>
          </w:tcPr>
          <w:p w14:paraId="0AC55280"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6,98%</w:t>
            </w:r>
          </w:p>
        </w:tc>
        <w:tc>
          <w:tcPr>
            <w:tcW w:w="874" w:type="dxa"/>
            <w:tcBorders>
              <w:top w:val="nil"/>
              <w:left w:val="nil"/>
              <w:bottom w:val="nil"/>
              <w:right w:val="single" w:sz="8" w:space="0" w:color="auto"/>
            </w:tcBorders>
            <w:shd w:val="clear" w:color="000000" w:fill="FFFFFF"/>
            <w:noWrap/>
            <w:vAlign w:val="center"/>
            <w:hideMark/>
          </w:tcPr>
          <w:p w14:paraId="4EFAA6C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9,60%</w:t>
            </w:r>
          </w:p>
        </w:tc>
        <w:tc>
          <w:tcPr>
            <w:tcW w:w="874" w:type="dxa"/>
            <w:tcBorders>
              <w:top w:val="nil"/>
              <w:left w:val="nil"/>
              <w:bottom w:val="nil"/>
              <w:right w:val="single" w:sz="8" w:space="0" w:color="auto"/>
            </w:tcBorders>
            <w:shd w:val="clear" w:color="000000" w:fill="FFFFFF"/>
            <w:noWrap/>
            <w:vAlign w:val="center"/>
            <w:hideMark/>
          </w:tcPr>
          <w:p w14:paraId="00DE106B"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10,95%</w:t>
            </w:r>
          </w:p>
        </w:tc>
        <w:tc>
          <w:tcPr>
            <w:tcW w:w="874" w:type="dxa"/>
            <w:tcBorders>
              <w:top w:val="nil"/>
              <w:left w:val="nil"/>
              <w:bottom w:val="nil"/>
              <w:right w:val="single" w:sz="8" w:space="0" w:color="auto"/>
            </w:tcBorders>
            <w:shd w:val="clear" w:color="000000" w:fill="FFFFFF"/>
            <w:noWrap/>
            <w:vAlign w:val="center"/>
            <w:hideMark/>
          </w:tcPr>
          <w:p w14:paraId="62289BB5"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10,39%</w:t>
            </w:r>
          </w:p>
        </w:tc>
        <w:tc>
          <w:tcPr>
            <w:tcW w:w="1013" w:type="dxa"/>
            <w:tcBorders>
              <w:top w:val="nil"/>
              <w:left w:val="nil"/>
              <w:bottom w:val="nil"/>
              <w:right w:val="single" w:sz="8" w:space="0" w:color="auto"/>
            </w:tcBorders>
            <w:shd w:val="clear" w:color="000000" w:fill="FFFFFF"/>
            <w:noWrap/>
            <w:vAlign w:val="center"/>
            <w:hideMark/>
          </w:tcPr>
          <w:p w14:paraId="4AEA497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9,93%</w:t>
            </w:r>
          </w:p>
        </w:tc>
        <w:tc>
          <w:tcPr>
            <w:tcW w:w="1013" w:type="dxa"/>
            <w:tcBorders>
              <w:top w:val="nil"/>
              <w:left w:val="nil"/>
              <w:bottom w:val="nil"/>
              <w:right w:val="single" w:sz="8" w:space="0" w:color="auto"/>
            </w:tcBorders>
            <w:shd w:val="clear" w:color="000000" w:fill="FFFFFF"/>
            <w:noWrap/>
            <w:vAlign w:val="center"/>
            <w:hideMark/>
          </w:tcPr>
          <w:p w14:paraId="19124AC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9,47%</w:t>
            </w:r>
          </w:p>
        </w:tc>
        <w:tc>
          <w:tcPr>
            <w:tcW w:w="1013" w:type="dxa"/>
            <w:tcBorders>
              <w:top w:val="nil"/>
              <w:left w:val="nil"/>
              <w:bottom w:val="nil"/>
              <w:right w:val="single" w:sz="8" w:space="0" w:color="auto"/>
            </w:tcBorders>
            <w:shd w:val="clear" w:color="000000" w:fill="FFFFFF"/>
            <w:noWrap/>
            <w:vAlign w:val="center"/>
            <w:hideMark/>
          </w:tcPr>
          <w:p w14:paraId="6DCC871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9,01%</w:t>
            </w:r>
          </w:p>
        </w:tc>
        <w:tc>
          <w:tcPr>
            <w:tcW w:w="1013" w:type="dxa"/>
            <w:tcBorders>
              <w:top w:val="nil"/>
              <w:left w:val="nil"/>
              <w:bottom w:val="nil"/>
              <w:right w:val="single" w:sz="8" w:space="0" w:color="auto"/>
            </w:tcBorders>
            <w:shd w:val="clear" w:color="000000" w:fill="FFFFFF"/>
            <w:noWrap/>
            <w:vAlign w:val="center"/>
            <w:hideMark/>
          </w:tcPr>
          <w:p w14:paraId="5A687246"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8,54%</w:t>
            </w:r>
          </w:p>
        </w:tc>
        <w:tc>
          <w:tcPr>
            <w:tcW w:w="1013" w:type="dxa"/>
            <w:tcBorders>
              <w:top w:val="nil"/>
              <w:left w:val="nil"/>
              <w:bottom w:val="nil"/>
              <w:right w:val="single" w:sz="8" w:space="0" w:color="auto"/>
            </w:tcBorders>
            <w:shd w:val="clear" w:color="000000" w:fill="FFFFFF"/>
            <w:noWrap/>
            <w:vAlign w:val="center"/>
            <w:hideMark/>
          </w:tcPr>
          <w:p w14:paraId="73F4C251"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8,07%</w:t>
            </w:r>
          </w:p>
        </w:tc>
        <w:tc>
          <w:tcPr>
            <w:tcW w:w="1013" w:type="dxa"/>
            <w:tcBorders>
              <w:top w:val="nil"/>
              <w:left w:val="nil"/>
              <w:bottom w:val="nil"/>
              <w:right w:val="single" w:sz="8" w:space="0" w:color="auto"/>
            </w:tcBorders>
            <w:shd w:val="clear" w:color="000000" w:fill="FFFFFF"/>
            <w:noWrap/>
            <w:vAlign w:val="center"/>
            <w:hideMark/>
          </w:tcPr>
          <w:p w14:paraId="0FCF83E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7,60%</w:t>
            </w:r>
          </w:p>
        </w:tc>
      </w:tr>
      <w:tr w:rsidR="005D6624" w:rsidRPr="004E6455" w14:paraId="6454F0B0" w14:textId="77777777" w:rsidTr="005D6624">
        <w:tc>
          <w:tcPr>
            <w:tcW w:w="2835" w:type="dxa"/>
            <w:tcBorders>
              <w:top w:val="nil"/>
              <w:left w:val="single" w:sz="8" w:space="0" w:color="auto"/>
              <w:bottom w:val="nil"/>
              <w:right w:val="nil"/>
            </w:tcBorders>
            <w:shd w:val="clear" w:color="000000" w:fill="FFFFFF"/>
            <w:noWrap/>
            <w:hideMark/>
          </w:tcPr>
          <w:p w14:paraId="06FE4CCA" w14:textId="77777777" w:rsidR="005D6624" w:rsidRPr="00117BF8" w:rsidRDefault="005D6624" w:rsidP="005D6624">
            <w:pPr>
              <w:pStyle w:val="TablaC"/>
              <w:jc w:val="left"/>
              <w:rPr>
                <w:rFonts w:ascii="Arial" w:hAnsi="Arial" w:cs="Arial"/>
                <w:sz w:val="18"/>
                <w:szCs w:val="18"/>
              </w:rPr>
            </w:pPr>
            <w:r w:rsidRPr="00117BF8">
              <w:rPr>
                <w:rFonts w:ascii="Arial" w:hAnsi="Arial" w:cs="Arial"/>
                <w:sz w:val="18"/>
                <w:szCs w:val="18"/>
              </w:rPr>
              <w:t xml:space="preserve">  Intereses</w:t>
            </w:r>
          </w:p>
        </w:tc>
        <w:tc>
          <w:tcPr>
            <w:tcW w:w="874" w:type="dxa"/>
            <w:tcBorders>
              <w:top w:val="nil"/>
              <w:left w:val="single" w:sz="8" w:space="0" w:color="auto"/>
              <w:bottom w:val="nil"/>
              <w:right w:val="single" w:sz="8" w:space="0" w:color="auto"/>
            </w:tcBorders>
            <w:shd w:val="clear" w:color="000000" w:fill="FFFFFF"/>
            <w:noWrap/>
            <w:vAlign w:val="center"/>
            <w:hideMark/>
          </w:tcPr>
          <w:p w14:paraId="64D4A232"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10,61%</w:t>
            </w:r>
          </w:p>
        </w:tc>
        <w:tc>
          <w:tcPr>
            <w:tcW w:w="957" w:type="dxa"/>
            <w:tcBorders>
              <w:top w:val="nil"/>
              <w:left w:val="nil"/>
              <w:bottom w:val="nil"/>
              <w:right w:val="single" w:sz="8" w:space="0" w:color="auto"/>
            </w:tcBorders>
            <w:shd w:val="clear" w:color="000000" w:fill="FFFFFF"/>
            <w:noWrap/>
            <w:vAlign w:val="center"/>
            <w:hideMark/>
          </w:tcPr>
          <w:p w14:paraId="4C5F3693"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-4,10%</w:t>
            </w:r>
          </w:p>
        </w:tc>
        <w:tc>
          <w:tcPr>
            <w:tcW w:w="1004" w:type="dxa"/>
            <w:tcBorders>
              <w:top w:val="nil"/>
              <w:left w:val="nil"/>
              <w:bottom w:val="nil"/>
              <w:right w:val="single" w:sz="8" w:space="0" w:color="auto"/>
            </w:tcBorders>
            <w:shd w:val="clear" w:color="000000" w:fill="FFFFFF"/>
            <w:noWrap/>
            <w:vAlign w:val="center"/>
            <w:hideMark/>
          </w:tcPr>
          <w:p w14:paraId="7BBD7A25"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-6,04%</w:t>
            </w:r>
          </w:p>
        </w:tc>
        <w:tc>
          <w:tcPr>
            <w:tcW w:w="874" w:type="dxa"/>
            <w:tcBorders>
              <w:top w:val="nil"/>
              <w:left w:val="nil"/>
              <w:bottom w:val="nil"/>
              <w:right w:val="single" w:sz="8" w:space="0" w:color="auto"/>
            </w:tcBorders>
            <w:shd w:val="clear" w:color="000000" w:fill="FFFFFF"/>
            <w:noWrap/>
            <w:vAlign w:val="center"/>
            <w:hideMark/>
          </w:tcPr>
          <w:p w14:paraId="2F03C7F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1,88%</w:t>
            </w:r>
          </w:p>
        </w:tc>
        <w:tc>
          <w:tcPr>
            <w:tcW w:w="874" w:type="dxa"/>
            <w:tcBorders>
              <w:top w:val="nil"/>
              <w:left w:val="nil"/>
              <w:bottom w:val="nil"/>
              <w:right w:val="single" w:sz="8" w:space="0" w:color="auto"/>
            </w:tcBorders>
            <w:shd w:val="clear" w:color="000000" w:fill="FFFFFF"/>
            <w:noWrap/>
            <w:vAlign w:val="center"/>
            <w:hideMark/>
          </w:tcPr>
          <w:p w14:paraId="3F1C1A23"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12,43%</w:t>
            </w:r>
          </w:p>
        </w:tc>
        <w:tc>
          <w:tcPr>
            <w:tcW w:w="874" w:type="dxa"/>
            <w:tcBorders>
              <w:top w:val="nil"/>
              <w:left w:val="nil"/>
              <w:bottom w:val="nil"/>
              <w:right w:val="single" w:sz="8" w:space="0" w:color="auto"/>
            </w:tcBorders>
            <w:shd w:val="clear" w:color="000000" w:fill="FFFFFF"/>
            <w:noWrap/>
            <w:vAlign w:val="center"/>
            <w:hideMark/>
          </w:tcPr>
          <w:p w14:paraId="342399C4"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19,59%</w:t>
            </w:r>
          </w:p>
        </w:tc>
        <w:tc>
          <w:tcPr>
            <w:tcW w:w="874" w:type="dxa"/>
            <w:tcBorders>
              <w:top w:val="nil"/>
              <w:left w:val="nil"/>
              <w:bottom w:val="nil"/>
              <w:right w:val="single" w:sz="8" w:space="0" w:color="auto"/>
            </w:tcBorders>
            <w:shd w:val="clear" w:color="000000" w:fill="FFFFFF"/>
            <w:noWrap/>
            <w:vAlign w:val="center"/>
            <w:hideMark/>
          </w:tcPr>
          <w:p w14:paraId="54CEC101"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24,89%</w:t>
            </w:r>
          </w:p>
        </w:tc>
        <w:tc>
          <w:tcPr>
            <w:tcW w:w="1013" w:type="dxa"/>
            <w:tcBorders>
              <w:top w:val="nil"/>
              <w:left w:val="nil"/>
              <w:bottom w:val="nil"/>
              <w:right w:val="single" w:sz="8" w:space="0" w:color="auto"/>
            </w:tcBorders>
            <w:shd w:val="clear" w:color="000000" w:fill="FFFFFF"/>
            <w:noWrap/>
            <w:vAlign w:val="center"/>
            <w:hideMark/>
          </w:tcPr>
          <w:p w14:paraId="1ACF242C"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29,66%</w:t>
            </w:r>
          </w:p>
        </w:tc>
        <w:tc>
          <w:tcPr>
            <w:tcW w:w="1013" w:type="dxa"/>
            <w:tcBorders>
              <w:top w:val="nil"/>
              <w:left w:val="nil"/>
              <w:bottom w:val="nil"/>
              <w:right w:val="single" w:sz="8" w:space="0" w:color="auto"/>
            </w:tcBorders>
            <w:shd w:val="clear" w:color="000000" w:fill="FFFFFF"/>
            <w:noWrap/>
            <w:vAlign w:val="center"/>
            <w:hideMark/>
          </w:tcPr>
          <w:p w14:paraId="17AB798A"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35,58%</w:t>
            </w:r>
          </w:p>
        </w:tc>
        <w:tc>
          <w:tcPr>
            <w:tcW w:w="1013" w:type="dxa"/>
            <w:tcBorders>
              <w:top w:val="nil"/>
              <w:left w:val="nil"/>
              <w:bottom w:val="nil"/>
              <w:right w:val="single" w:sz="8" w:space="0" w:color="auto"/>
            </w:tcBorders>
            <w:shd w:val="clear" w:color="000000" w:fill="FFFFFF"/>
            <w:noWrap/>
            <w:vAlign w:val="center"/>
            <w:hideMark/>
          </w:tcPr>
          <w:p w14:paraId="28625689"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41,36%</w:t>
            </w:r>
          </w:p>
        </w:tc>
        <w:tc>
          <w:tcPr>
            <w:tcW w:w="1013" w:type="dxa"/>
            <w:tcBorders>
              <w:top w:val="nil"/>
              <w:left w:val="nil"/>
              <w:bottom w:val="nil"/>
              <w:right w:val="single" w:sz="8" w:space="0" w:color="auto"/>
            </w:tcBorders>
            <w:shd w:val="clear" w:color="000000" w:fill="FFFFFF"/>
            <w:noWrap/>
            <w:vAlign w:val="center"/>
            <w:hideMark/>
          </w:tcPr>
          <w:p w14:paraId="5F9E9079"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46,97%</w:t>
            </w:r>
          </w:p>
        </w:tc>
        <w:tc>
          <w:tcPr>
            <w:tcW w:w="1013" w:type="dxa"/>
            <w:tcBorders>
              <w:top w:val="nil"/>
              <w:left w:val="nil"/>
              <w:bottom w:val="nil"/>
              <w:right w:val="single" w:sz="8" w:space="0" w:color="auto"/>
            </w:tcBorders>
            <w:shd w:val="clear" w:color="000000" w:fill="FFFFFF"/>
            <w:noWrap/>
            <w:vAlign w:val="center"/>
            <w:hideMark/>
          </w:tcPr>
          <w:p w14:paraId="61194F77"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54,14%</w:t>
            </w:r>
          </w:p>
        </w:tc>
        <w:tc>
          <w:tcPr>
            <w:tcW w:w="1013" w:type="dxa"/>
            <w:tcBorders>
              <w:top w:val="nil"/>
              <w:left w:val="nil"/>
              <w:bottom w:val="nil"/>
              <w:right w:val="single" w:sz="8" w:space="0" w:color="auto"/>
            </w:tcBorders>
            <w:shd w:val="clear" w:color="000000" w:fill="FFFFFF"/>
            <w:noWrap/>
            <w:vAlign w:val="center"/>
            <w:hideMark/>
          </w:tcPr>
          <w:p w14:paraId="230A7C72"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62,64%</w:t>
            </w:r>
          </w:p>
        </w:tc>
      </w:tr>
      <w:tr w:rsidR="005D6624" w:rsidRPr="004E6455" w14:paraId="6492E6CF" w14:textId="77777777" w:rsidTr="005D6624">
        <w:tc>
          <w:tcPr>
            <w:tcW w:w="2835" w:type="dxa"/>
            <w:tcBorders>
              <w:top w:val="nil"/>
              <w:left w:val="single" w:sz="8" w:space="0" w:color="auto"/>
              <w:bottom w:val="nil"/>
              <w:right w:val="nil"/>
            </w:tcBorders>
            <w:shd w:val="clear" w:color="000000" w:fill="FFFFFF"/>
            <w:noWrap/>
            <w:hideMark/>
          </w:tcPr>
          <w:p w14:paraId="29A27086" w14:textId="77777777" w:rsidR="005D6624" w:rsidRPr="00117BF8" w:rsidRDefault="005D6624" w:rsidP="005D6624">
            <w:pPr>
              <w:pStyle w:val="TablaC"/>
              <w:jc w:val="left"/>
              <w:rPr>
                <w:rFonts w:ascii="Arial" w:hAnsi="Arial" w:cs="Arial"/>
                <w:sz w:val="18"/>
                <w:szCs w:val="18"/>
                <w:lang w:val="es-ES_tradnl"/>
              </w:rPr>
            </w:pPr>
            <w:r w:rsidRPr="00117BF8">
              <w:rPr>
                <w:rFonts w:ascii="Arial" w:hAnsi="Arial" w:cs="Arial"/>
                <w:sz w:val="18"/>
                <w:szCs w:val="18"/>
                <w:lang w:val="es-ES_tradnl"/>
              </w:rPr>
              <w:t xml:space="preserve">  Prestaciones de la Seguridad Social</w:t>
            </w:r>
          </w:p>
        </w:tc>
        <w:tc>
          <w:tcPr>
            <w:tcW w:w="874" w:type="dxa"/>
            <w:tcBorders>
              <w:top w:val="nil"/>
              <w:left w:val="single" w:sz="8" w:space="0" w:color="auto"/>
              <w:bottom w:val="nil"/>
              <w:right w:val="single" w:sz="8" w:space="0" w:color="auto"/>
            </w:tcBorders>
            <w:shd w:val="clear" w:color="000000" w:fill="FFFFFF"/>
            <w:noWrap/>
            <w:vAlign w:val="center"/>
            <w:hideMark/>
          </w:tcPr>
          <w:p w14:paraId="57C37D53"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1,97%</w:t>
            </w:r>
          </w:p>
        </w:tc>
        <w:tc>
          <w:tcPr>
            <w:tcW w:w="957" w:type="dxa"/>
            <w:tcBorders>
              <w:top w:val="nil"/>
              <w:left w:val="nil"/>
              <w:bottom w:val="nil"/>
              <w:right w:val="single" w:sz="8" w:space="0" w:color="auto"/>
            </w:tcBorders>
            <w:shd w:val="clear" w:color="000000" w:fill="FFFFFF"/>
            <w:noWrap/>
            <w:vAlign w:val="center"/>
            <w:hideMark/>
          </w:tcPr>
          <w:p w14:paraId="01ABBF49"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-10,82%</w:t>
            </w:r>
          </w:p>
        </w:tc>
        <w:tc>
          <w:tcPr>
            <w:tcW w:w="1004" w:type="dxa"/>
            <w:tcBorders>
              <w:top w:val="nil"/>
              <w:left w:val="nil"/>
              <w:bottom w:val="nil"/>
              <w:right w:val="single" w:sz="8" w:space="0" w:color="auto"/>
            </w:tcBorders>
            <w:shd w:val="clear" w:color="000000" w:fill="FFFFFF"/>
            <w:noWrap/>
            <w:vAlign w:val="center"/>
            <w:hideMark/>
          </w:tcPr>
          <w:p w14:paraId="34D5F6BD"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-3,93%</w:t>
            </w:r>
          </w:p>
        </w:tc>
        <w:tc>
          <w:tcPr>
            <w:tcW w:w="874" w:type="dxa"/>
            <w:tcBorders>
              <w:top w:val="nil"/>
              <w:left w:val="nil"/>
              <w:bottom w:val="nil"/>
              <w:right w:val="single" w:sz="8" w:space="0" w:color="auto"/>
            </w:tcBorders>
            <w:shd w:val="clear" w:color="000000" w:fill="FFFFFF"/>
            <w:noWrap/>
            <w:vAlign w:val="center"/>
            <w:hideMark/>
          </w:tcPr>
          <w:p w14:paraId="0F677261"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1,12%</w:t>
            </w:r>
          </w:p>
        </w:tc>
        <w:tc>
          <w:tcPr>
            <w:tcW w:w="874" w:type="dxa"/>
            <w:tcBorders>
              <w:top w:val="nil"/>
              <w:left w:val="nil"/>
              <w:bottom w:val="nil"/>
              <w:right w:val="single" w:sz="8" w:space="0" w:color="auto"/>
            </w:tcBorders>
            <w:shd w:val="clear" w:color="000000" w:fill="FFFFFF"/>
            <w:noWrap/>
            <w:vAlign w:val="center"/>
            <w:hideMark/>
          </w:tcPr>
          <w:p w14:paraId="0E9BA2D2"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3,73%</w:t>
            </w:r>
          </w:p>
        </w:tc>
        <w:tc>
          <w:tcPr>
            <w:tcW w:w="874" w:type="dxa"/>
            <w:tcBorders>
              <w:top w:val="nil"/>
              <w:left w:val="nil"/>
              <w:bottom w:val="nil"/>
              <w:right w:val="single" w:sz="8" w:space="0" w:color="auto"/>
            </w:tcBorders>
            <w:shd w:val="clear" w:color="000000" w:fill="FFFFFF"/>
            <w:noWrap/>
            <w:vAlign w:val="center"/>
            <w:hideMark/>
          </w:tcPr>
          <w:p w14:paraId="03C212E2"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5,88%</w:t>
            </w:r>
          </w:p>
        </w:tc>
        <w:tc>
          <w:tcPr>
            <w:tcW w:w="874" w:type="dxa"/>
            <w:tcBorders>
              <w:top w:val="nil"/>
              <w:left w:val="nil"/>
              <w:bottom w:val="nil"/>
              <w:right w:val="single" w:sz="8" w:space="0" w:color="auto"/>
            </w:tcBorders>
            <w:shd w:val="clear" w:color="000000" w:fill="FFFFFF"/>
            <w:noWrap/>
            <w:vAlign w:val="center"/>
            <w:hideMark/>
          </w:tcPr>
          <w:p w14:paraId="475B0B3E"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5,60%</w:t>
            </w:r>
          </w:p>
        </w:tc>
        <w:tc>
          <w:tcPr>
            <w:tcW w:w="1013" w:type="dxa"/>
            <w:tcBorders>
              <w:top w:val="nil"/>
              <w:left w:val="nil"/>
              <w:bottom w:val="nil"/>
              <w:right w:val="single" w:sz="8" w:space="0" w:color="auto"/>
            </w:tcBorders>
            <w:shd w:val="clear" w:color="000000" w:fill="FFFFFF"/>
            <w:noWrap/>
            <w:vAlign w:val="center"/>
            <w:hideMark/>
          </w:tcPr>
          <w:p w14:paraId="0ACB2AA2"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5,33%</w:t>
            </w:r>
          </w:p>
        </w:tc>
        <w:tc>
          <w:tcPr>
            <w:tcW w:w="1013" w:type="dxa"/>
            <w:tcBorders>
              <w:top w:val="nil"/>
              <w:left w:val="nil"/>
              <w:bottom w:val="nil"/>
              <w:right w:val="single" w:sz="8" w:space="0" w:color="auto"/>
            </w:tcBorders>
            <w:shd w:val="clear" w:color="000000" w:fill="FFFFFF"/>
            <w:noWrap/>
            <w:vAlign w:val="center"/>
            <w:hideMark/>
          </w:tcPr>
          <w:p w14:paraId="2F2F4BEA"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5,05%</w:t>
            </w:r>
          </w:p>
        </w:tc>
        <w:tc>
          <w:tcPr>
            <w:tcW w:w="1013" w:type="dxa"/>
            <w:tcBorders>
              <w:top w:val="nil"/>
              <w:left w:val="nil"/>
              <w:bottom w:val="nil"/>
              <w:right w:val="single" w:sz="8" w:space="0" w:color="auto"/>
            </w:tcBorders>
            <w:shd w:val="clear" w:color="000000" w:fill="FFFFFF"/>
            <w:noWrap/>
            <w:vAlign w:val="center"/>
            <w:hideMark/>
          </w:tcPr>
          <w:p w14:paraId="4480194A"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4,78%</w:t>
            </w:r>
          </w:p>
        </w:tc>
        <w:tc>
          <w:tcPr>
            <w:tcW w:w="1013" w:type="dxa"/>
            <w:tcBorders>
              <w:top w:val="nil"/>
              <w:left w:val="nil"/>
              <w:bottom w:val="nil"/>
              <w:right w:val="single" w:sz="8" w:space="0" w:color="auto"/>
            </w:tcBorders>
            <w:shd w:val="clear" w:color="000000" w:fill="FFFFFF"/>
            <w:noWrap/>
            <w:vAlign w:val="center"/>
            <w:hideMark/>
          </w:tcPr>
          <w:p w14:paraId="0156F817"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4,51%</w:t>
            </w:r>
          </w:p>
        </w:tc>
        <w:tc>
          <w:tcPr>
            <w:tcW w:w="1013" w:type="dxa"/>
            <w:tcBorders>
              <w:top w:val="nil"/>
              <w:left w:val="nil"/>
              <w:bottom w:val="nil"/>
              <w:right w:val="single" w:sz="8" w:space="0" w:color="auto"/>
            </w:tcBorders>
            <w:shd w:val="clear" w:color="000000" w:fill="FFFFFF"/>
            <w:noWrap/>
            <w:vAlign w:val="center"/>
            <w:hideMark/>
          </w:tcPr>
          <w:p w14:paraId="0078336C"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4,24%</w:t>
            </w:r>
          </w:p>
        </w:tc>
        <w:tc>
          <w:tcPr>
            <w:tcW w:w="1013" w:type="dxa"/>
            <w:tcBorders>
              <w:top w:val="nil"/>
              <w:left w:val="nil"/>
              <w:bottom w:val="nil"/>
              <w:right w:val="single" w:sz="8" w:space="0" w:color="auto"/>
            </w:tcBorders>
            <w:shd w:val="clear" w:color="000000" w:fill="FFFFFF"/>
            <w:noWrap/>
            <w:vAlign w:val="center"/>
            <w:hideMark/>
          </w:tcPr>
          <w:p w14:paraId="1E595808"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3,97%</w:t>
            </w:r>
          </w:p>
        </w:tc>
      </w:tr>
      <w:tr w:rsidR="005D6624" w:rsidRPr="004E6455" w14:paraId="6C4F3BDD" w14:textId="77777777" w:rsidTr="005D6624">
        <w:tc>
          <w:tcPr>
            <w:tcW w:w="2835" w:type="dxa"/>
            <w:tcBorders>
              <w:top w:val="nil"/>
              <w:left w:val="single" w:sz="8" w:space="0" w:color="auto"/>
              <w:bottom w:val="nil"/>
              <w:right w:val="nil"/>
            </w:tcBorders>
            <w:shd w:val="clear" w:color="000000" w:fill="FFFFFF"/>
            <w:noWrap/>
            <w:hideMark/>
          </w:tcPr>
          <w:p w14:paraId="72AD71B8" w14:textId="77777777" w:rsidR="005D6624" w:rsidRPr="00117BF8" w:rsidRDefault="005D6624" w:rsidP="005D6624">
            <w:pPr>
              <w:pStyle w:val="TablaC"/>
              <w:jc w:val="left"/>
              <w:rPr>
                <w:rFonts w:ascii="Arial" w:hAnsi="Arial" w:cs="Arial"/>
                <w:sz w:val="18"/>
                <w:szCs w:val="18"/>
                <w:lang w:val="es-ES_tradnl"/>
              </w:rPr>
            </w:pPr>
            <w:r w:rsidRPr="00117BF8">
              <w:rPr>
                <w:rFonts w:ascii="Arial" w:hAnsi="Arial" w:cs="Arial"/>
                <w:sz w:val="18"/>
                <w:szCs w:val="18"/>
                <w:lang w:val="es-ES_tradnl"/>
              </w:rPr>
              <w:t xml:space="preserve">  Transf. Corrientes y Otros Gastos</w:t>
            </w:r>
          </w:p>
        </w:tc>
        <w:tc>
          <w:tcPr>
            <w:tcW w:w="874" w:type="dxa"/>
            <w:tcBorders>
              <w:top w:val="nil"/>
              <w:left w:val="single" w:sz="8" w:space="0" w:color="auto"/>
              <w:bottom w:val="nil"/>
              <w:right w:val="single" w:sz="8" w:space="0" w:color="auto"/>
            </w:tcBorders>
            <w:shd w:val="clear" w:color="000000" w:fill="FFFFFF"/>
            <w:noWrap/>
            <w:vAlign w:val="center"/>
            <w:hideMark/>
          </w:tcPr>
          <w:p w14:paraId="02F09230"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8,12%</w:t>
            </w:r>
          </w:p>
        </w:tc>
        <w:tc>
          <w:tcPr>
            <w:tcW w:w="957" w:type="dxa"/>
            <w:tcBorders>
              <w:top w:val="nil"/>
              <w:left w:val="nil"/>
              <w:bottom w:val="nil"/>
              <w:right w:val="single" w:sz="8" w:space="0" w:color="auto"/>
            </w:tcBorders>
            <w:shd w:val="clear" w:color="000000" w:fill="FFFFFF"/>
            <w:noWrap/>
            <w:vAlign w:val="center"/>
            <w:hideMark/>
          </w:tcPr>
          <w:p w14:paraId="6224F61B"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19,43%</w:t>
            </w:r>
          </w:p>
        </w:tc>
        <w:tc>
          <w:tcPr>
            <w:tcW w:w="1004" w:type="dxa"/>
            <w:tcBorders>
              <w:top w:val="nil"/>
              <w:left w:val="nil"/>
              <w:bottom w:val="nil"/>
              <w:right w:val="single" w:sz="8" w:space="0" w:color="auto"/>
            </w:tcBorders>
            <w:shd w:val="clear" w:color="000000" w:fill="FFFFFF"/>
            <w:noWrap/>
            <w:vAlign w:val="center"/>
            <w:hideMark/>
          </w:tcPr>
          <w:p w14:paraId="3F024C44"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22,61%</w:t>
            </w:r>
          </w:p>
        </w:tc>
        <w:tc>
          <w:tcPr>
            <w:tcW w:w="874" w:type="dxa"/>
            <w:tcBorders>
              <w:top w:val="nil"/>
              <w:left w:val="nil"/>
              <w:bottom w:val="nil"/>
              <w:right w:val="single" w:sz="8" w:space="0" w:color="auto"/>
            </w:tcBorders>
            <w:shd w:val="clear" w:color="000000" w:fill="FFFFFF"/>
            <w:noWrap/>
            <w:vAlign w:val="center"/>
            <w:hideMark/>
          </w:tcPr>
          <w:p w14:paraId="5634B11B"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26,39%</w:t>
            </w:r>
          </w:p>
        </w:tc>
        <w:tc>
          <w:tcPr>
            <w:tcW w:w="874" w:type="dxa"/>
            <w:tcBorders>
              <w:top w:val="nil"/>
              <w:left w:val="nil"/>
              <w:bottom w:val="nil"/>
              <w:right w:val="single" w:sz="8" w:space="0" w:color="auto"/>
            </w:tcBorders>
            <w:shd w:val="clear" w:color="000000" w:fill="FFFFFF"/>
            <w:noWrap/>
            <w:vAlign w:val="center"/>
            <w:hideMark/>
          </w:tcPr>
          <w:p w14:paraId="3E7B41EF"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28,17%</w:t>
            </w:r>
          </w:p>
        </w:tc>
        <w:tc>
          <w:tcPr>
            <w:tcW w:w="874" w:type="dxa"/>
            <w:tcBorders>
              <w:top w:val="nil"/>
              <w:left w:val="nil"/>
              <w:bottom w:val="nil"/>
              <w:right w:val="single" w:sz="8" w:space="0" w:color="auto"/>
            </w:tcBorders>
            <w:shd w:val="clear" w:color="000000" w:fill="FFFFFF"/>
            <w:noWrap/>
            <w:vAlign w:val="center"/>
            <w:hideMark/>
          </w:tcPr>
          <w:p w14:paraId="199D4199"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30,45%</w:t>
            </w:r>
          </w:p>
        </w:tc>
        <w:tc>
          <w:tcPr>
            <w:tcW w:w="874" w:type="dxa"/>
            <w:tcBorders>
              <w:top w:val="nil"/>
              <w:left w:val="nil"/>
              <w:bottom w:val="nil"/>
              <w:right w:val="single" w:sz="8" w:space="0" w:color="auto"/>
            </w:tcBorders>
            <w:shd w:val="clear" w:color="000000" w:fill="FFFFFF"/>
            <w:noWrap/>
            <w:vAlign w:val="center"/>
            <w:hideMark/>
          </w:tcPr>
          <w:p w14:paraId="40EA40E8"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30,17%</w:t>
            </w:r>
          </w:p>
        </w:tc>
        <w:tc>
          <w:tcPr>
            <w:tcW w:w="1013" w:type="dxa"/>
            <w:tcBorders>
              <w:top w:val="nil"/>
              <w:left w:val="nil"/>
              <w:bottom w:val="nil"/>
              <w:right w:val="single" w:sz="8" w:space="0" w:color="auto"/>
            </w:tcBorders>
            <w:shd w:val="clear" w:color="000000" w:fill="FFFFFF"/>
            <w:noWrap/>
            <w:vAlign w:val="center"/>
            <w:hideMark/>
          </w:tcPr>
          <w:p w14:paraId="75C8D234"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29,88%</w:t>
            </w:r>
          </w:p>
        </w:tc>
        <w:tc>
          <w:tcPr>
            <w:tcW w:w="1013" w:type="dxa"/>
            <w:tcBorders>
              <w:top w:val="nil"/>
              <w:left w:val="nil"/>
              <w:bottom w:val="nil"/>
              <w:right w:val="single" w:sz="8" w:space="0" w:color="auto"/>
            </w:tcBorders>
            <w:shd w:val="clear" w:color="000000" w:fill="FFFFFF"/>
            <w:noWrap/>
            <w:vAlign w:val="center"/>
            <w:hideMark/>
          </w:tcPr>
          <w:p w14:paraId="3435117F"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29,58%</w:t>
            </w:r>
          </w:p>
        </w:tc>
        <w:tc>
          <w:tcPr>
            <w:tcW w:w="1013" w:type="dxa"/>
            <w:tcBorders>
              <w:top w:val="nil"/>
              <w:left w:val="nil"/>
              <w:bottom w:val="nil"/>
              <w:right w:val="single" w:sz="8" w:space="0" w:color="auto"/>
            </w:tcBorders>
            <w:shd w:val="clear" w:color="000000" w:fill="FFFFFF"/>
            <w:noWrap/>
            <w:vAlign w:val="center"/>
            <w:hideMark/>
          </w:tcPr>
          <w:p w14:paraId="72ED11AC"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29,26%</w:t>
            </w:r>
          </w:p>
        </w:tc>
        <w:tc>
          <w:tcPr>
            <w:tcW w:w="1013" w:type="dxa"/>
            <w:tcBorders>
              <w:top w:val="nil"/>
              <w:left w:val="nil"/>
              <w:bottom w:val="nil"/>
              <w:right w:val="single" w:sz="8" w:space="0" w:color="auto"/>
            </w:tcBorders>
            <w:shd w:val="clear" w:color="000000" w:fill="FFFFFF"/>
            <w:noWrap/>
            <w:vAlign w:val="center"/>
            <w:hideMark/>
          </w:tcPr>
          <w:p w14:paraId="0BCBD9D7"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28,94%</w:t>
            </w:r>
          </w:p>
        </w:tc>
        <w:tc>
          <w:tcPr>
            <w:tcW w:w="1013" w:type="dxa"/>
            <w:tcBorders>
              <w:top w:val="nil"/>
              <w:left w:val="nil"/>
              <w:bottom w:val="nil"/>
              <w:right w:val="single" w:sz="8" w:space="0" w:color="auto"/>
            </w:tcBorders>
            <w:shd w:val="clear" w:color="000000" w:fill="FFFFFF"/>
            <w:noWrap/>
            <w:vAlign w:val="center"/>
            <w:hideMark/>
          </w:tcPr>
          <w:p w14:paraId="2670C561"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28,61%</w:t>
            </w:r>
          </w:p>
        </w:tc>
        <w:tc>
          <w:tcPr>
            <w:tcW w:w="1013" w:type="dxa"/>
            <w:tcBorders>
              <w:top w:val="nil"/>
              <w:left w:val="nil"/>
              <w:bottom w:val="nil"/>
              <w:right w:val="single" w:sz="8" w:space="0" w:color="auto"/>
            </w:tcBorders>
            <w:shd w:val="clear" w:color="000000" w:fill="FFFFFF"/>
            <w:noWrap/>
            <w:vAlign w:val="center"/>
            <w:hideMark/>
          </w:tcPr>
          <w:p w14:paraId="4F50DD86" w14:textId="77777777" w:rsidR="005D6624" w:rsidRPr="00117BF8" w:rsidRDefault="005D6624" w:rsidP="005D6624">
            <w:pPr>
              <w:pStyle w:val="TablaC"/>
              <w:rPr>
                <w:rFonts w:ascii="Arial" w:hAnsi="Arial" w:cs="Arial"/>
                <w:sz w:val="18"/>
                <w:szCs w:val="18"/>
              </w:rPr>
            </w:pPr>
            <w:r w:rsidRPr="00117BF8">
              <w:rPr>
                <w:rFonts w:ascii="Arial" w:hAnsi="Arial" w:cs="Arial"/>
                <w:sz w:val="18"/>
                <w:szCs w:val="18"/>
              </w:rPr>
              <w:t>28,27%</w:t>
            </w:r>
          </w:p>
        </w:tc>
      </w:tr>
      <w:tr w:rsidR="005D6624" w:rsidRPr="004E6455" w14:paraId="2A9D1EB3" w14:textId="77777777" w:rsidTr="005D6624">
        <w:tc>
          <w:tcPr>
            <w:tcW w:w="2835" w:type="dxa"/>
            <w:tcBorders>
              <w:top w:val="single" w:sz="8" w:space="0" w:color="auto"/>
              <w:left w:val="single" w:sz="8" w:space="0" w:color="auto"/>
              <w:bottom w:val="single" w:sz="8" w:space="0" w:color="auto"/>
              <w:right w:val="nil"/>
            </w:tcBorders>
            <w:shd w:val="clear" w:color="000000" w:fill="FFFFFF"/>
            <w:noWrap/>
            <w:hideMark/>
          </w:tcPr>
          <w:p w14:paraId="36B8737D" w14:textId="77777777" w:rsidR="005D6624" w:rsidRPr="00117BF8" w:rsidRDefault="005D6624" w:rsidP="005D6624">
            <w:pPr>
              <w:pStyle w:val="TablaC"/>
              <w:jc w:val="left"/>
              <w:rPr>
                <w:rFonts w:ascii="Arial" w:hAnsi="Arial" w:cs="Arial"/>
                <w:b/>
                <w:sz w:val="18"/>
                <w:szCs w:val="18"/>
              </w:rPr>
            </w:pPr>
            <w:r w:rsidRPr="00117BF8">
              <w:rPr>
                <w:rFonts w:ascii="Arial" w:hAnsi="Arial" w:cs="Arial"/>
                <w:b/>
                <w:sz w:val="18"/>
                <w:szCs w:val="18"/>
              </w:rPr>
              <w:t>III. RESULTADO ECONOMICO</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D3352F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13,06%</w:t>
            </w:r>
          </w:p>
        </w:tc>
        <w:tc>
          <w:tcPr>
            <w:tcW w:w="957" w:type="dxa"/>
            <w:tcBorders>
              <w:top w:val="single" w:sz="8" w:space="0" w:color="auto"/>
              <w:left w:val="nil"/>
              <w:bottom w:val="single" w:sz="8" w:space="0" w:color="auto"/>
              <w:right w:val="single" w:sz="8" w:space="0" w:color="auto"/>
            </w:tcBorders>
            <w:shd w:val="clear" w:color="000000" w:fill="FFFFFF"/>
            <w:noWrap/>
            <w:vAlign w:val="center"/>
            <w:hideMark/>
          </w:tcPr>
          <w:p w14:paraId="150264F6"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31724,00%</w:t>
            </w:r>
          </w:p>
        </w:tc>
        <w:tc>
          <w:tcPr>
            <w:tcW w:w="1004" w:type="dxa"/>
            <w:tcBorders>
              <w:top w:val="single" w:sz="8" w:space="0" w:color="auto"/>
              <w:left w:val="nil"/>
              <w:bottom w:val="single" w:sz="8" w:space="0" w:color="auto"/>
              <w:right w:val="single" w:sz="8" w:space="0" w:color="auto"/>
            </w:tcBorders>
            <w:shd w:val="clear" w:color="000000" w:fill="FFFFFF"/>
            <w:noWrap/>
            <w:vAlign w:val="center"/>
            <w:hideMark/>
          </w:tcPr>
          <w:p w14:paraId="17E7F0AF"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-24,80%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38092FB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-59,87%</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3780D3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-42,10%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3F9EF3DB"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-44,81%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4FFDF758"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-40,70%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5D06BC3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-38,47%</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66E79BE"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-38,30%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374154FA"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-36,51%</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065C453"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-35,01%</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3B298543"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-34,09%</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42EA1E67"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-33,99%</w:t>
            </w:r>
          </w:p>
        </w:tc>
      </w:tr>
      <w:tr w:rsidR="005D6624" w:rsidRPr="004E6455" w14:paraId="623BA10F" w14:textId="77777777" w:rsidTr="005D6624">
        <w:tc>
          <w:tcPr>
            <w:tcW w:w="2835" w:type="dxa"/>
            <w:tcBorders>
              <w:top w:val="nil"/>
              <w:left w:val="single" w:sz="8" w:space="0" w:color="auto"/>
              <w:bottom w:val="single" w:sz="8" w:space="0" w:color="auto"/>
              <w:right w:val="nil"/>
            </w:tcBorders>
            <w:shd w:val="clear" w:color="000000" w:fill="FFFFFF"/>
            <w:noWrap/>
            <w:hideMark/>
          </w:tcPr>
          <w:p w14:paraId="68AF853A" w14:textId="77777777" w:rsidR="005D6624" w:rsidRPr="00117BF8" w:rsidRDefault="005D6624" w:rsidP="005D6624">
            <w:pPr>
              <w:pStyle w:val="TablaC"/>
              <w:jc w:val="left"/>
              <w:rPr>
                <w:rFonts w:ascii="Arial" w:hAnsi="Arial" w:cs="Arial"/>
                <w:b/>
                <w:sz w:val="18"/>
                <w:szCs w:val="18"/>
              </w:rPr>
            </w:pPr>
            <w:r w:rsidRPr="00117BF8">
              <w:rPr>
                <w:rFonts w:ascii="Arial" w:hAnsi="Arial" w:cs="Arial"/>
                <w:b/>
                <w:sz w:val="18"/>
                <w:szCs w:val="18"/>
              </w:rPr>
              <w:t>IV. INGRESOS DE CAPITAL</w:t>
            </w:r>
          </w:p>
        </w:tc>
        <w:tc>
          <w:tcPr>
            <w:tcW w:w="874" w:type="dxa"/>
            <w:tcBorders>
              <w:top w:val="nil"/>
              <w:left w:val="single" w:sz="8" w:space="0" w:color="auto"/>
              <w:bottom w:val="nil"/>
              <w:right w:val="single" w:sz="8" w:space="0" w:color="auto"/>
            </w:tcBorders>
            <w:shd w:val="clear" w:color="000000" w:fill="FFFFFF"/>
            <w:noWrap/>
            <w:vAlign w:val="center"/>
            <w:hideMark/>
          </w:tcPr>
          <w:p w14:paraId="3096F7DC"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10,71%</w:t>
            </w:r>
          </w:p>
        </w:tc>
        <w:tc>
          <w:tcPr>
            <w:tcW w:w="957" w:type="dxa"/>
            <w:tcBorders>
              <w:top w:val="nil"/>
              <w:left w:val="nil"/>
              <w:bottom w:val="nil"/>
              <w:right w:val="single" w:sz="8" w:space="0" w:color="auto"/>
            </w:tcBorders>
            <w:shd w:val="clear" w:color="000000" w:fill="FFFFFF"/>
            <w:noWrap/>
            <w:vAlign w:val="center"/>
            <w:hideMark/>
          </w:tcPr>
          <w:p w14:paraId="2AAF7B1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04" w:type="dxa"/>
            <w:tcBorders>
              <w:top w:val="nil"/>
              <w:left w:val="nil"/>
              <w:bottom w:val="nil"/>
              <w:right w:val="single" w:sz="8" w:space="0" w:color="auto"/>
            </w:tcBorders>
            <w:shd w:val="clear" w:color="000000" w:fill="FFFFFF"/>
            <w:noWrap/>
            <w:vAlign w:val="center"/>
            <w:hideMark/>
          </w:tcPr>
          <w:p w14:paraId="2911850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20296AC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6FF2638E"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40E223D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874" w:type="dxa"/>
            <w:tcBorders>
              <w:top w:val="nil"/>
              <w:left w:val="nil"/>
              <w:bottom w:val="nil"/>
              <w:right w:val="single" w:sz="8" w:space="0" w:color="auto"/>
            </w:tcBorders>
            <w:shd w:val="clear" w:color="000000" w:fill="FFFFFF"/>
            <w:noWrap/>
            <w:vAlign w:val="center"/>
            <w:hideMark/>
          </w:tcPr>
          <w:p w14:paraId="3E84CBB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0786F2B6"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5F19E67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7FAA4AF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430B2F1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1F19555A"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nil"/>
              <w:left w:val="nil"/>
              <w:bottom w:val="nil"/>
              <w:right w:val="single" w:sz="8" w:space="0" w:color="auto"/>
            </w:tcBorders>
            <w:shd w:val="clear" w:color="000000" w:fill="FFFFFF"/>
            <w:noWrap/>
            <w:vAlign w:val="center"/>
            <w:hideMark/>
          </w:tcPr>
          <w:p w14:paraId="29EC1DB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r>
      <w:tr w:rsidR="005D6624" w:rsidRPr="004E6455" w14:paraId="26E44448" w14:textId="77777777" w:rsidTr="005D6624">
        <w:tc>
          <w:tcPr>
            <w:tcW w:w="2835" w:type="dxa"/>
            <w:tcBorders>
              <w:top w:val="nil"/>
              <w:left w:val="single" w:sz="8" w:space="0" w:color="auto"/>
              <w:bottom w:val="single" w:sz="8" w:space="0" w:color="auto"/>
              <w:right w:val="nil"/>
            </w:tcBorders>
            <w:shd w:val="clear" w:color="000000" w:fill="FFFFFF"/>
            <w:noWrap/>
            <w:hideMark/>
          </w:tcPr>
          <w:p w14:paraId="249E982A" w14:textId="77777777" w:rsidR="005D6624" w:rsidRPr="00117BF8" w:rsidRDefault="005D6624" w:rsidP="005D6624">
            <w:pPr>
              <w:pStyle w:val="TablaC"/>
              <w:jc w:val="left"/>
              <w:rPr>
                <w:rFonts w:ascii="Arial" w:hAnsi="Arial" w:cs="Arial"/>
                <w:b/>
                <w:sz w:val="18"/>
                <w:szCs w:val="18"/>
              </w:rPr>
            </w:pPr>
            <w:r w:rsidRPr="00117BF8">
              <w:rPr>
                <w:rFonts w:ascii="Arial" w:hAnsi="Arial" w:cs="Arial"/>
                <w:b/>
                <w:sz w:val="18"/>
                <w:szCs w:val="18"/>
              </w:rPr>
              <w:t xml:space="preserve"> V. GASTOS DE CAPITAL</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340435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2,15%</w:t>
            </w:r>
          </w:p>
        </w:tc>
        <w:tc>
          <w:tcPr>
            <w:tcW w:w="957" w:type="dxa"/>
            <w:tcBorders>
              <w:top w:val="single" w:sz="8" w:space="0" w:color="auto"/>
              <w:left w:val="nil"/>
              <w:bottom w:val="single" w:sz="8" w:space="0" w:color="auto"/>
              <w:right w:val="single" w:sz="8" w:space="0" w:color="auto"/>
            </w:tcBorders>
            <w:shd w:val="clear" w:color="000000" w:fill="FFFFFF"/>
            <w:noWrap/>
            <w:vAlign w:val="center"/>
            <w:hideMark/>
          </w:tcPr>
          <w:p w14:paraId="0363863F"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04" w:type="dxa"/>
            <w:tcBorders>
              <w:top w:val="single" w:sz="8" w:space="0" w:color="auto"/>
              <w:left w:val="nil"/>
              <w:bottom w:val="single" w:sz="8" w:space="0" w:color="auto"/>
              <w:right w:val="single" w:sz="8" w:space="0" w:color="auto"/>
            </w:tcBorders>
            <w:shd w:val="clear" w:color="000000" w:fill="FFFFFF"/>
            <w:noWrap/>
            <w:vAlign w:val="center"/>
            <w:hideMark/>
          </w:tcPr>
          <w:p w14:paraId="1C21D04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1,92%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83F8F1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6,13%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960CBF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5,84%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317D39BE"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3,65%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C1CE94B"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1,00%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C2EAFB8"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56181F0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766A3843"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3FD467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068450AB"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1D176E0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0,00%</w:t>
            </w:r>
          </w:p>
        </w:tc>
      </w:tr>
      <w:tr w:rsidR="005D6624" w:rsidRPr="004E6455" w14:paraId="55E8E093" w14:textId="77777777" w:rsidTr="005D6624">
        <w:tc>
          <w:tcPr>
            <w:tcW w:w="2835" w:type="dxa"/>
            <w:tcBorders>
              <w:top w:val="nil"/>
              <w:left w:val="single" w:sz="8" w:space="0" w:color="auto"/>
              <w:bottom w:val="single" w:sz="8" w:space="0" w:color="auto"/>
              <w:right w:val="nil"/>
            </w:tcBorders>
            <w:shd w:val="clear" w:color="000000" w:fill="FFFFFF"/>
            <w:noWrap/>
            <w:hideMark/>
          </w:tcPr>
          <w:p w14:paraId="1E1C33CF" w14:textId="77777777" w:rsidR="005D6624" w:rsidRPr="00117BF8" w:rsidRDefault="005D6624" w:rsidP="005D6624">
            <w:pPr>
              <w:pStyle w:val="TablaC"/>
              <w:jc w:val="left"/>
              <w:rPr>
                <w:rFonts w:ascii="Arial" w:hAnsi="Arial" w:cs="Arial"/>
                <w:b/>
                <w:sz w:val="18"/>
                <w:szCs w:val="18"/>
              </w:rPr>
            </w:pPr>
            <w:r w:rsidRPr="00117BF8">
              <w:rPr>
                <w:rFonts w:ascii="Arial" w:hAnsi="Arial" w:cs="Arial"/>
                <w:b/>
                <w:sz w:val="18"/>
                <w:szCs w:val="18"/>
              </w:rPr>
              <w:t xml:space="preserve"> VI. INGRESOS TOTALES (I+IV)</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3AFC41C6"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2,69%</w:t>
            </w:r>
          </w:p>
        </w:tc>
        <w:tc>
          <w:tcPr>
            <w:tcW w:w="957" w:type="dxa"/>
            <w:tcBorders>
              <w:top w:val="nil"/>
              <w:left w:val="nil"/>
              <w:bottom w:val="single" w:sz="8" w:space="0" w:color="auto"/>
              <w:right w:val="single" w:sz="8" w:space="0" w:color="auto"/>
            </w:tcBorders>
            <w:shd w:val="clear" w:color="000000" w:fill="FFFFFF"/>
            <w:noWrap/>
            <w:vAlign w:val="center"/>
            <w:hideMark/>
          </w:tcPr>
          <w:p w14:paraId="7A741DE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5,01%</w:t>
            </w:r>
          </w:p>
        </w:tc>
        <w:tc>
          <w:tcPr>
            <w:tcW w:w="1004" w:type="dxa"/>
            <w:tcBorders>
              <w:top w:val="nil"/>
              <w:left w:val="nil"/>
              <w:bottom w:val="single" w:sz="8" w:space="0" w:color="auto"/>
              <w:right w:val="single" w:sz="8" w:space="0" w:color="auto"/>
            </w:tcBorders>
            <w:shd w:val="clear" w:color="000000" w:fill="FFFFFF"/>
            <w:noWrap/>
            <w:vAlign w:val="center"/>
            <w:hideMark/>
          </w:tcPr>
          <w:p w14:paraId="53ABD9A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8,36%</w:t>
            </w:r>
          </w:p>
        </w:tc>
        <w:tc>
          <w:tcPr>
            <w:tcW w:w="874" w:type="dxa"/>
            <w:tcBorders>
              <w:top w:val="nil"/>
              <w:left w:val="nil"/>
              <w:bottom w:val="single" w:sz="8" w:space="0" w:color="auto"/>
              <w:right w:val="single" w:sz="8" w:space="0" w:color="auto"/>
            </w:tcBorders>
            <w:shd w:val="clear" w:color="000000" w:fill="FFFFFF"/>
            <w:noWrap/>
            <w:vAlign w:val="center"/>
            <w:hideMark/>
          </w:tcPr>
          <w:p w14:paraId="02C967BC"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10,34%</w:t>
            </w:r>
          </w:p>
        </w:tc>
        <w:tc>
          <w:tcPr>
            <w:tcW w:w="874" w:type="dxa"/>
            <w:tcBorders>
              <w:top w:val="nil"/>
              <w:left w:val="nil"/>
              <w:bottom w:val="single" w:sz="8" w:space="0" w:color="auto"/>
              <w:right w:val="single" w:sz="8" w:space="0" w:color="auto"/>
            </w:tcBorders>
            <w:shd w:val="clear" w:color="000000" w:fill="FFFFFF"/>
            <w:noWrap/>
            <w:vAlign w:val="center"/>
            <w:hideMark/>
          </w:tcPr>
          <w:p w14:paraId="039D542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14,20%</w:t>
            </w:r>
          </w:p>
        </w:tc>
        <w:tc>
          <w:tcPr>
            <w:tcW w:w="874" w:type="dxa"/>
            <w:tcBorders>
              <w:top w:val="nil"/>
              <w:left w:val="nil"/>
              <w:bottom w:val="single" w:sz="8" w:space="0" w:color="auto"/>
              <w:right w:val="single" w:sz="8" w:space="0" w:color="auto"/>
            </w:tcBorders>
            <w:shd w:val="clear" w:color="000000" w:fill="FFFFFF"/>
            <w:noWrap/>
            <w:vAlign w:val="center"/>
            <w:hideMark/>
          </w:tcPr>
          <w:p w14:paraId="45B1AF7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15,84%</w:t>
            </w:r>
          </w:p>
        </w:tc>
        <w:tc>
          <w:tcPr>
            <w:tcW w:w="874" w:type="dxa"/>
            <w:tcBorders>
              <w:top w:val="nil"/>
              <w:left w:val="nil"/>
              <w:bottom w:val="single" w:sz="8" w:space="0" w:color="auto"/>
              <w:right w:val="single" w:sz="8" w:space="0" w:color="auto"/>
            </w:tcBorders>
            <w:shd w:val="clear" w:color="000000" w:fill="FFFFFF"/>
            <w:noWrap/>
            <w:vAlign w:val="center"/>
            <w:hideMark/>
          </w:tcPr>
          <w:p w14:paraId="4CA43BA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15,60%</w:t>
            </w:r>
          </w:p>
        </w:tc>
        <w:tc>
          <w:tcPr>
            <w:tcW w:w="1013" w:type="dxa"/>
            <w:tcBorders>
              <w:top w:val="nil"/>
              <w:left w:val="nil"/>
              <w:bottom w:val="single" w:sz="8" w:space="0" w:color="auto"/>
              <w:right w:val="single" w:sz="8" w:space="0" w:color="auto"/>
            </w:tcBorders>
            <w:shd w:val="clear" w:color="000000" w:fill="FFFFFF"/>
            <w:noWrap/>
            <w:vAlign w:val="center"/>
            <w:hideMark/>
          </w:tcPr>
          <w:p w14:paraId="5391A719"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15,35%</w:t>
            </w:r>
          </w:p>
        </w:tc>
        <w:tc>
          <w:tcPr>
            <w:tcW w:w="1013" w:type="dxa"/>
            <w:tcBorders>
              <w:top w:val="nil"/>
              <w:left w:val="nil"/>
              <w:bottom w:val="single" w:sz="8" w:space="0" w:color="auto"/>
              <w:right w:val="single" w:sz="8" w:space="0" w:color="auto"/>
            </w:tcBorders>
            <w:shd w:val="clear" w:color="000000" w:fill="FFFFFF"/>
            <w:noWrap/>
            <w:vAlign w:val="center"/>
            <w:hideMark/>
          </w:tcPr>
          <w:p w14:paraId="15C448B8"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15,09%</w:t>
            </w:r>
          </w:p>
        </w:tc>
        <w:tc>
          <w:tcPr>
            <w:tcW w:w="1013" w:type="dxa"/>
            <w:tcBorders>
              <w:top w:val="nil"/>
              <w:left w:val="nil"/>
              <w:bottom w:val="single" w:sz="8" w:space="0" w:color="auto"/>
              <w:right w:val="single" w:sz="8" w:space="0" w:color="auto"/>
            </w:tcBorders>
            <w:shd w:val="clear" w:color="000000" w:fill="FFFFFF"/>
            <w:noWrap/>
            <w:vAlign w:val="center"/>
            <w:hideMark/>
          </w:tcPr>
          <w:p w14:paraId="26267E2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14,81%</w:t>
            </w:r>
          </w:p>
        </w:tc>
        <w:tc>
          <w:tcPr>
            <w:tcW w:w="1013" w:type="dxa"/>
            <w:tcBorders>
              <w:top w:val="nil"/>
              <w:left w:val="nil"/>
              <w:bottom w:val="single" w:sz="8" w:space="0" w:color="auto"/>
              <w:right w:val="single" w:sz="8" w:space="0" w:color="auto"/>
            </w:tcBorders>
            <w:shd w:val="clear" w:color="000000" w:fill="FFFFFF"/>
            <w:noWrap/>
            <w:vAlign w:val="center"/>
            <w:hideMark/>
          </w:tcPr>
          <w:p w14:paraId="2DC1962D"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14,52%</w:t>
            </w:r>
          </w:p>
        </w:tc>
        <w:tc>
          <w:tcPr>
            <w:tcW w:w="1013" w:type="dxa"/>
            <w:tcBorders>
              <w:top w:val="nil"/>
              <w:left w:val="nil"/>
              <w:bottom w:val="single" w:sz="8" w:space="0" w:color="auto"/>
              <w:right w:val="single" w:sz="8" w:space="0" w:color="auto"/>
            </w:tcBorders>
            <w:shd w:val="clear" w:color="000000" w:fill="FFFFFF"/>
            <w:noWrap/>
            <w:vAlign w:val="center"/>
            <w:hideMark/>
          </w:tcPr>
          <w:p w14:paraId="76AAFC2F"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14,22%</w:t>
            </w:r>
          </w:p>
        </w:tc>
        <w:tc>
          <w:tcPr>
            <w:tcW w:w="1013" w:type="dxa"/>
            <w:tcBorders>
              <w:top w:val="nil"/>
              <w:left w:val="nil"/>
              <w:bottom w:val="single" w:sz="8" w:space="0" w:color="auto"/>
              <w:right w:val="single" w:sz="8" w:space="0" w:color="auto"/>
            </w:tcBorders>
            <w:shd w:val="clear" w:color="000000" w:fill="FFFFFF"/>
            <w:noWrap/>
            <w:vAlign w:val="center"/>
            <w:hideMark/>
          </w:tcPr>
          <w:p w14:paraId="18998DFD"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13,91%</w:t>
            </w:r>
          </w:p>
        </w:tc>
      </w:tr>
      <w:tr w:rsidR="005D6624" w:rsidRPr="004E6455" w14:paraId="7B283D5B" w14:textId="77777777" w:rsidTr="005D6624">
        <w:tc>
          <w:tcPr>
            <w:tcW w:w="2835" w:type="dxa"/>
            <w:tcBorders>
              <w:top w:val="nil"/>
              <w:left w:val="single" w:sz="8" w:space="0" w:color="auto"/>
              <w:bottom w:val="single" w:sz="8" w:space="0" w:color="auto"/>
              <w:right w:val="nil"/>
            </w:tcBorders>
            <w:shd w:val="clear" w:color="000000" w:fill="FFFFFF"/>
            <w:noWrap/>
            <w:hideMark/>
          </w:tcPr>
          <w:p w14:paraId="61FC540C" w14:textId="77777777" w:rsidR="005D6624" w:rsidRPr="00117BF8" w:rsidRDefault="005D6624" w:rsidP="005D6624">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VII. GASTOS TOTALES (II+V)</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283138BC"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2,79%</w:t>
            </w:r>
          </w:p>
        </w:tc>
        <w:tc>
          <w:tcPr>
            <w:tcW w:w="957" w:type="dxa"/>
            <w:tcBorders>
              <w:top w:val="nil"/>
              <w:left w:val="nil"/>
              <w:bottom w:val="single" w:sz="8" w:space="0" w:color="auto"/>
              <w:right w:val="single" w:sz="8" w:space="0" w:color="auto"/>
            </w:tcBorders>
            <w:shd w:val="clear" w:color="000000" w:fill="FFFFFF"/>
            <w:noWrap/>
            <w:vAlign w:val="center"/>
            <w:hideMark/>
          </w:tcPr>
          <w:p w14:paraId="035A5F1D"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3,01%</w:t>
            </w:r>
          </w:p>
        </w:tc>
        <w:tc>
          <w:tcPr>
            <w:tcW w:w="1004" w:type="dxa"/>
            <w:tcBorders>
              <w:top w:val="nil"/>
              <w:left w:val="nil"/>
              <w:bottom w:val="single" w:sz="8" w:space="0" w:color="auto"/>
              <w:right w:val="single" w:sz="8" w:space="0" w:color="auto"/>
            </w:tcBorders>
            <w:shd w:val="clear" w:color="000000" w:fill="FFFFFF"/>
            <w:noWrap/>
            <w:vAlign w:val="center"/>
            <w:hideMark/>
          </w:tcPr>
          <w:p w14:paraId="3CFF94B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8,76%</w:t>
            </w:r>
          </w:p>
        </w:tc>
        <w:tc>
          <w:tcPr>
            <w:tcW w:w="874" w:type="dxa"/>
            <w:tcBorders>
              <w:top w:val="nil"/>
              <w:left w:val="nil"/>
              <w:bottom w:val="single" w:sz="8" w:space="0" w:color="auto"/>
              <w:right w:val="single" w:sz="8" w:space="0" w:color="auto"/>
            </w:tcBorders>
            <w:shd w:val="clear" w:color="000000" w:fill="FFFFFF"/>
            <w:noWrap/>
            <w:vAlign w:val="center"/>
            <w:hideMark/>
          </w:tcPr>
          <w:p w14:paraId="33F8ADEF"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13,88%</w:t>
            </w:r>
          </w:p>
        </w:tc>
        <w:tc>
          <w:tcPr>
            <w:tcW w:w="874" w:type="dxa"/>
            <w:tcBorders>
              <w:top w:val="nil"/>
              <w:left w:val="nil"/>
              <w:bottom w:val="single" w:sz="8" w:space="0" w:color="auto"/>
              <w:right w:val="single" w:sz="8" w:space="0" w:color="auto"/>
            </w:tcBorders>
            <w:shd w:val="clear" w:color="000000" w:fill="FFFFFF"/>
            <w:noWrap/>
            <w:vAlign w:val="center"/>
            <w:hideMark/>
          </w:tcPr>
          <w:p w14:paraId="66357CEB"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16,62%</w:t>
            </w:r>
          </w:p>
        </w:tc>
        <w:tc>
          <w:tcPr>
            <w:tcW w:w="874" w:type="dxa"/>
            <w:tcBorders>
              <w:top w:val="nil"/>
              <w:left w:val="nil"/>
              <w:bottom w:val="single" w:sz="8" w:space="0" w:color="auto"/>
              <w:right w:val="single" w:sz="8" w:space="0" w:color="auto"/>
            </w:tcBorders>
            <w:shd w:val="clear" w:color="000000" w:fill="FFFFFF"/>
            <w:noWrap/>
            <w:vAlign w:val="center"/>
            <w:hideMark/>
          </w:tcPr>
          <w:p w14:paraId="2D062E1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18,70%</w:t>
            </w:r>
          </w:p>
        </w:tc>
        <w:tc>
          <w:tcPr>
            <w:tcW w:w="874" w:type="dxa"/>
            <w:tcBorders>
              <w:top w:val="nil"/>
              <w:left w:val="nil"/>
              <w:bottom w:val="single" w:sz="8" w:space="0" w:color="auto"/>
              <w:right w:val="single" w:sz="8" w:space="0" w:color="auto"/>
            </w:tcBorders>
            <w:shd w:val="clear" w:color="000000" w:fill="FFFFFF"/>
            <w:noWrap/>
            <w:vAlign w:val="center"/>
            <w:hideMark/>
          </w:tcPr>
          <w:p w14:paraId="6122353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18,37%</w:t>
            </w:r>
          </w:p>
        </w:tc>
        <w:tc>
          <w:tcPr>
            <w:tcW w:w="1013" w:type="dxa"/>
            <w:tcBorders>
              <w:top w:val="nil"/>
              <w:left w:val="nil"/>
              <w:bottom w:val="single" w:sz="8" w:space="0" w:color="auto"/>
              <w:right w:val="single" w:sz="8" w:space="0" w:color="auto"/>
            </w:tcBorders>
            <w:shd w:val="clear" w:color="000000" w:fill="FFFFFF"/>
            <w:noWrap/>
            <w:vAlign w:val="center"/>
            <w:hideMark/>
          </w:tcPr>
          <w:p w14:paraId="785F6BAB"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18,15%</w:t>
            </w:r>
          </w:p>
        </w:tc>
        <w:tc>
          <w:tcPr>
            <w:tcW w:w="1013" w:type="dxa"/>
            <w:tcBorders>
              <w:top w:val="nil"/>
              <w:left w:val="nil"/>
              <w:bottom w:val="single" w:sz="8" w:space="0" w:color="auto"/>
              <w:right w:val="single" w:sz="8" w:space="0" w:color="auto"/>
            </w:tcBorders>
            <w:shd w:val="clear" w:color="000000" w:fill="FFFFFF"/>
            <w:noWrap/>
            <w:vAlign w:val="center"/>
            <w:hideMark/>
          </w:tcPr>
          <w:p w14:paraId="7FB27B46"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18,08%</w:t>
            </w:r>
          </w:p>
        </w:tc>
        <w:tc>
          <w:tcPr>
            <w:tcW w:w="1013" w:type="dxa"/>
            <w:tcBorders>
              <w:top w:val="nil"/>
              <w:left w:val="nil"/>
              <w:bottom w:val="single" w:sz="8" w:space="0" w:color="auto"/>
              <w:right w:val="single" w:sz="8" w:space="0" w:color="auto"/>
            </w:tcBorders>
            <w:shd w:val="clear" w:color="000000" w:fill="FFFFFF"/>
            <w:noWrap/>
            <w:vAlign w:val="center"/>
            <w:hideMark/>
          </w:tcPr>
          <w:p w14:paraId="7D302BE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17,95%</w:t>
            </w:r>
          </w:p>
        </w:tc>
        <w:tc>
          <w:tcPr>
            <w:tcW w:w="1013" w:type="dxa"/>
            <w:tcBorders>
              <w:top w:val="nil"/>
              <w:left w:val="nil"/>
              <w:bottom w:val="single" w:sz="8" w:space="0" w:color="auto"/>
              <w:right w:val="single" w:sz="8" w:space="0" w:color="auto"/>
            </w:tcBorders>
            <w:shd w:val="clear" w:color="000000" w:fill="FFFFFF"/>
            <w:noWrap/>
            <w:vAlign w:val="center"/>
            <w:hideMark/>
          </w:tcPr>
          <w:p w14:paraId="3C1055E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17,81%</w:t>
            </w:r>
          </w:p>
        </w:tc>
        <w:tc>
          <w:tcPr>
            <w:tcW w:w="1013" w:type="dxa"/>
            <w:tcBorders>
              <w:top w:val="nil"/>
              <w:left w:val="nil"/>
              <w:bottom w:val="single" w:sz="8" w:space="0" w:color="auto"/>
              <w:right w:val="single" w:sz="8" w:space="0" w:color="auto"/>
            </w:tcBorders>
            <w:shd w:val="clear" w:color="000000" w:fill="FFFFFF"/>
            <w:noWrap/>
            <w:vAlign w:val="center"/>
            <w:hideMark/>
          </w:tcPr>
          <w:p w14:paraId="59BBEF1B"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17,71%</w:t>
            </w:r>
          </w:p>
        </w:tc>
        <w:tc>
          <w:tcPr>
            <w:tcW w:w="1013" w:type="dxa"/>
            <w:tcBorders>
              <w:top w:val="nil"/>
              <w:left w:val="nil"/>
              <w:bottom w:val="single" w:sz="8" w:space="0" w:color="auto"/>
              <w:right w:val="single" w:sz="8" w:space="0" w:color="auto"/>
            </w:tcBorders>
            <w:shd w:val="clear" w:color="000000" w:fill="FFFFFF"/>
            <w:noWrap/>
            <w:vAlign w:val="center"/>
            <w:hideMark/>
          </w:tcPr>
          <w:p w14:paraId="19D0D28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17,64%</w:t>
            </w:r>
          </w:p>
        </w:tc>
      </w:tr>
      <w:tr w:rsidR="005D6624" w:rsidRPr="004E6455" w14:paraId="3479BC1D" w14:textId="77777777" w:rsidTr="005D6624">
        <w:tc>
          <w:tcPr>
            <w:tcW w:w="2835" w:type="dxa"/>
            <w:tcBorders>
              <w:top w:val="nil"/>
              <w:left w:val="single" w:sz="8" w:space="0" w:color="auto"/>
              <w:bottom w:val="single" w:sz="8" w:space="0" w:color="auto"/>
              <w:right w:val="nil"/>
            </w:tcBorders>
            <w:shd w:val="clear" w:color="000000" w:fill="FFFFFF"/>
            <w:noWrap/>
            <w:hideMark/>
          </w:tcPr>
          <w:p w14:paraId="51C6C97D" w14:textId="77777777" w:rsidR="005D6624" w:rsidRPr="00117BF8" w:rsidRDefault="005D6624" w:rsidP="005D6624">
            <w:pPr>
              <w:pStyle w:val="TablaC"/>
              <w:jc w:val="left"/>
              <w:rPr>
                <w:rFonts w:ascii="Arial" w:hAnsi="Arial" w:cs="Arial"/>
                <w:b/>
                <w:sz w:val="18"/>
                <w:szCs w:val="18"/>
              </w:rPr>
            </w:pPr>
            <w:r w:rsidRPr="00117BF8">
              <w:rPr>
                <w:rFonts w:ascii="Arial" w:hAnsi="Arial" w:cs="Arial"/>
                <w:b/>
                <w:sz w:val="18"/>
                <w:szCs w:val="18"/>
              </w:rPr>
              <w:t xml:space="preserve"> IX. RESULTADO PRIMARIO (VI-VIII)</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522C9CF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-2,15%</w:t>
            </w:r>
          </w:p>
        </w:tc>
        <w:tc>
          <w:tcPr>
            <w:tcW w:w="957" w:type="dxa"/>
            <w:tcBorders>
              <w:top w:val="nil"/>
              <w:left w:val="nil"/>
              <w:bottom w:val="single" w:sz="8" w:space="0" w:color="auto"/>
              <w:right w:val="single" w:sz="8" w:space="0" w:color="auto"/>
            </w:tcBorders>
            <w:shd w:val="clear" w:color="000000" w:fill="FFFFFF"/>
            <w:noWrap/>
            <w:vAlign w:val="center"/>
            <w:hideMark/>
          </w:tcPr>
          <w:p w14:paraId="148DD64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-63,98%</w:t>
            </w:r>
          </w:p>
        </w:tc>
        <w:tc>
          <w:tcPr>
            <w:tcW w:w="1004" w:type="dxa"/>
            <w:tcBorders>
              <w:top w:val="nil"/>
              <w:left w:val="nil"/>
              <w:bottom w:val="single" w:sz="8" w:space="0" w:color="auto"/>
              <w:right w:val="single" w:sz="8" w:space="0" w:color="auto"/>
            </w:tcBorders>
            <w:shd w:val="clear" w:color="000000" w:fill="FFFFFF"/>
            <w:noWrap/>
            <w:vAlign w:val="center"/>
            <w:hideMark/>
          </w:tcPr>
          <w:p w14:paraId="2061CD3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-1266,87%</w:t>
            </w:r>
          </w:p>
        </w:tc>
        <w:tc>
          <w:tcPr>
            <w:tcW w:w="874" w:type="dxa"/>
            <w:tcBorders>
              <w:top w:val="nil"/>
              <w:left w:val="nil"/>
              <w:bottom w:val="single" w:sz="8" w:space="0" w:color="auto"/>
              <w:right w:val="single" w:sz="8" w:space="0" w:color="auto"/>
            </w:tcBorders>
            <w:shd w:val="clear" w:color="000000" w:fill="FFFFFF"/>
            <w:noWrap/>
            <w:vAlign w:val="center"/>
            <w:hideMark/>
          </w:tcPr>
          <w:p w14:paraId="63098626"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-114,37%</w:t>
            </w:r>
          </w:p>
        </w:tc>
        <w:tc>
          <w:tcPr>
            <w:tcW w:w="874" w:type="dxa"/>
            <w:tcBorders>
              <w:top w:val="nil"/>
              <w:left w:val="nil"/>
              <w:bottom w:val="single" w:sz="8" w:space="0" w:color="auto"/>
              <w:right w:val="single" w:sz="8" w:space="0" w:color="auto"/>
            </w:tcBorders>
            <w:shd w:val="clear" w:color="000000" w:fill="FFFFFF"/>
            <w:noWrap/>
            <w:vAlign w:val="center"/>
            <w:hideMark/>
          </w:tcPr>
          <w:p w14:paraId="7F6C463A"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-83,34%</w:t>
            </w:r>
          </w:p>
        </w:tc>
        <w:tc>
          <w:tcPr>
            <w:tcW w:w="874" w:type="dxa"/>
            <w:tcBorders>
              <w:top w:val="nil"/>
              <w:left w:val="nil"/>
              <w:bottom w:val="single" w:sz="8" w:space="0" w:color="auto"/>
              <w:right w:val="single" w:sz="8" w:space="0" w:color="auto"/>
            </w:tcBorders>
            <w:shd w:val="clear" w:color="000000" w:fill="FFFFFF"/>
            <w:noWrap/>
            <w:vAlign w:val="center"/>
            <w:hideMark/>
          </w:tcPr>
          <w:p w14:paraId="77CF2AE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-72,72%</w:t>
            </w:r>
          </w:p>
        </w:tc>
        <w:tc>
          <w:tcPr>
            <w:tcW w:w="874" w:type="dxa"/>
            <w:tcBorders>
              <w:top w:val="nil"/>
              <w:left w:val="nil"/>
              <w:bottom w:val="single" w:sz="8" w:space="0" w:color="auto"/>
              <w:right w:val="single" w:sz="8" w:space="0" w:color="auto"/>
            </w:tcBorders>
            <w:shd w:val="clear" w:color="000000" w:fill="FFFFFF"/>
            <w:noWrap/>
            <w:vAlign w:val="center"/>
            <w:hideMark/>
          </w:tcPr>
          <w:p w14:paraId="61AD1E3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-58,32%</w:t>
            </w:r>
          </w:p>
        </w:tc>
        <w:tc>
          <w:tcPr>
            <w:tcW w:w="1013" w:type="dxa"/>
            <w:tcBorders>
              <w:top w:val="nil"/>
              <w:left w:val="nil"/>
              <w:bottom w:val="single" w:sz="8" w:space="0" w:color="auto"/>
              <w:right w:val="single" w:sz="8" w:space="0" w:color="auto"/>
            </w:tcBorders>
            <w:shd w:val="clear" w:color="000000" w:fill="FFFFFF"/>
            <w:noWrap/>
            <w:vAlign w:val="center"/>
            <w:hideMark/>
          </w:tcPr>
          <w:p w14:paraId="496CA5B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-50,14%</w:t>
            </w:r>
          </w:p>
        </w:tc>
        <w:tc>
          <w:tcPr>
            <w:tcW w:w="1013" w:type="dxa"/>
            <w:tcBorders>
              <w:top w:val="nil"/>
              <w:left w:val="nil"/>
              <w:bottom w:val="single" w:sz="8" w:space="0" w:color="auto"/>
              <w:right w:val="single" w:sz="8" w:space="0" w:color="auto"/>
            </w:tcBorders>
            <w:shd w:val="clear" w:color="000000" w:fill="FFFFFF"/>
            <w:noWrap/>
            <w:vAlign w:val="center"/>
            <w:hideMark/>
          </w:tcPr>
          <w:p w14:paraId="681DCB0C"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-45,61%</w:t>
            </w:r>
          </w:p>
        </w:tc>
        <w:tc>
          <w:tcPr>
            <w:tcW w:w="1013" w:type="dxa"/>
            <w:tcBorders>
              <w:top w:val="nil"/>
              <w:left w:val="nil"/>
              <w:bottom w:val="single" w:sz="8" w:space="0" w:color="auto"/>
              <w:right w:val="single" w:sz="8" w:space="0" w:color="auto"/>
            </w:tcBorders>
            <w:shd w:val="clear" w:color="000000" w:fill="FFFFFF"/>
            <w:noWrap/>
            <w:vAlign w:val="center"/>
            <w:hideMark/>
          </w:tcPr>
          <w:p w14:paraId="5A037156"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-41,68%</w:t>
            </w:r>
          </w:p>
        </w:tc>
        <w:tc>
          <w:tcPr>
            <w:tcW w:w="1013" w:type="dxa"/>
            <w:tcBorders>
              <w:top w:val="nil"/>
              <w:left w:val="nil"/>
              <w:bottom w:val="single" w:sz="8" w:space="0" w:color="auto"/>
              <w:right w:val="single" w:sz="8" w:space="0" w:color="auto"/>
            </w:tcBorders>
            <w:shd w:val="clear" w:color="000000" w:fill="FFFFFF"/>
            <w:noWrap/>
            <w:vAlign w:val="center"/>
            <w:hideMark/>
          </w:tcPr>
          <w:p w14:paraId="511FD23F"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-38,32%</w:t>
            </w:r>
          </w:p>
        </w:tc>
        <w:tc>
          <w:tcPr>
            <w:tcW w:w="1013" w:type="dxa"/>
            <w:tcBorders>
              <w:top w:val="nil"/>
              <w:left w:val="nil"/>
              <w:bottom w:val="single" w:sz="8" w:space="0" w:color="auto"/>
              <w:right w:val="single" w:sz="8" w:space="0" w:color="auto"/>
            </w:tcBorders>
            <w:shd w:val="clear" w:color="000000" w:fill="FFFFFF"/>
            <w:noWrap/>
            <w:vAlign w:val="center"/>
            <w:hideMark/>
          </w:tcPr>
          <w:p w14:paraId="4CD1AB3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-35,46%</w:t>
            </w:r>
          </w:p>
        </w:tc>
        <w:tc>
          <w:tcPr>
            <w:tcW w:w="1013" w:type="dxa"/>
            <w:tcBorders>
              <w:top w:val="nil"/>
              <w:left w:val="nil"/>
              <w:bottom w:val="single" w:sz="8" w:space="0" w:color="auto"/>
              <w:right w:val="single" w:sz="8" w:space="0" w:color="auto"/>
            </w:tcBorders>
            <w:shd w:val="clear" w:color="000000" w:fill="FFFFFF"/>
            <w:noWrap/>
            <w:vAlign w:val="center"/>
            <w:hideMark/>
          </w:tcPr>
          <w:p w14:paraId="22A1CE72"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-33,06%</w:t>
            </w:r>
          </w:p>
        </w:tc>
      </w:tr>
      <w:tr w:rsidR="005D6624" w:rsidRPr="004E6455" w14:paraId="4152D141" w14:textId="77777777" w:rsidTr="005D6624">
        <w:tc>
          <w:tcPr>
            <w:tcW w:w="2835" w:type="dxa"/>
            <w:tcBorders>
              <w:top w:val="nil"/>
              <w:left w:val="single" w:sz="8" w:space="0" w:color="auto"/>
              <w:bottom w:val="single" w:sz="8" w:space="0" w:color="auto"/>
              <w:right w:val="nil"/>
            </w:tcBorders>
            <w:shd w:val="clear" w:color="auto" w:fill="auto"/>
            <w:noWrap/>
            <w:hideMark/>
          </w:tcPr>
          <w:p w14:paraId="3D327010" w14:textId="77777777" w:rsidR="005D6624" w:rsidRPr="00117BF8" w:rsidRDefault="005D6624" w:rsidP="005D6624">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X. RESULTADO FINANCIERO (VI-VII)</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14:paraId="5301F33F"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4,08%</w:t>
            </w:r>
          </w:p>
        </w:tc>
        <w:tc>
          <w:tcPr>
            <w:tcW w:w="957" w:type="dxa"/>
            <w:tcBorders>
              <w:top w:val="nil"/>
              <w:left w:val="nil"/>
              <w:bottom w:val="single" w:sz="8" w:space="0" w:color="auto"/>
              <w:right w:val="single" w:sz="8" w:space="0" w:color="auto"/>
            </w:tcBorders>
            <w:shd w:val="clear" w:color="auto" w:fill="auto"/>
            <w:noWrap/>
            <w:vAlign w:val="center"/>
            <w:hideMark/>
          </w:tcPr>
          <w:p w14:paraId="0CDDA523"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-24,78%</w:t>
            </w:r>
          </w:p>
        </w:tc>
        <w:tc>
          <w:tcPr>
            <w:tcW w:w="1004" w:type="dxa"/>
            <w:tcBorders>
              <w:top w:val="nil"/>
              <w:left w:val="nil"/>
              <w:bottom w:val="single" w:sz="8" w:space="0" w:color="auto"/>
              <w:right w:val="single" w:sz="8" w:space="0" w:color="auto"/>
            </w:tcBorders>
            <w:shd w:val="clear" w:color="auto" w:fill="auto"/>
            <w:noWrap/>
            <w:vAlign w:val="center"/>
            <w:hideMark/>
          </w:tcPr>
          <w:p w14:paraId="2E14DCC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17,27%</w:t>
            </w:r>
          </w:p>
        </w:tc>
        <w:tc>
          <w:tcPr>
            <w:tcW w:w="874" w:type="dxa"/>
            <w:tcBorders>
              <w:top w:val="nil"/>
              <w:left w:val="nil"/>
              <w:bottom w:val="single" w:sz="8" w:space="0" w:color="auto"/>
              <w:right w:val="single" w:sz="8" w:space="0" w:color="auto"/>
            </w:tcBorders>
            <w:shd w:val="clear" w:color="auto" w:fill="auto"/>
            <w:noWrap/>
            <w:vAlign w:val="center"/>
            <w:hideMark/>
          </w:tcPr>
          <w:p w14:paraId="71656B98"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225,60%</w:t>
            </w:r>
          </w:p>
        </w:tc>
        <w:tc>
          <w:tcPr>
            <w:tcW w:w="874" w:type="dxa"/>
            <w:tcBorders>
              <w:top w:val="nil"/>
              <w:left w:val="nil"/>
              <w:bottom w:val="single" w:sz="8" w:space="0" w:color="auto"/>
              <w:right w:val="single" w:sz="8" w:space="0" w:color="auto"/>
            </w:tcBorders>
            <w:shd w:val="clear" w:color="auto" w:fill="auto"/>
            <w:noWrap/>
            <w:vAlign w:val="center"/>
            <w:hideMark/>
          </w:tcPr>
          <w:p w14:paraId="5ADD88C0"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132,54%</w:t>
            </w:r>
          </w:p>
        </w:tc>
        <w:tc>
          <w:tcPr>
            <w:tcW w:w="874" w:type="dxa"/>
            <w:tcBorders>
              <w:top w:val="nil"/>
              <w:left w:val="nil"/>
              <w:bottom w:val="single" w:sz="8" w:space="0" w:color="auto"/>
              <w:right w:val="single" w:sz="8" w:space="0" w:color="auto"/>
            </w:tcBorders>
            <w:shd w:val="clear" w:color="auto" w:fill="auto"/>
            <w:noWrap/>
            <w:vAlign w:val="center"/>
            <w:hideMark/>
          </w:tcPr>
          <w:p w14:paraId="7FD4023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226,00%</w:t>
            </w:r>
          </w:p>
        </w:tc>
        <w:tc>
          <w:tcPr>
            <w:tcW w:w="874" w:type="dxa"/>
            <w:tcBorders>
              <w:top w:val="nil"/>
              <w:left w:val="nil"/>
              <w:bottom w:val="single" w:sz="8" w:space="0" w:color="auto"/>
              <w:right w:val="single" w:sz="8" w:space="0" w:color="auto"/>
            </w:tcBorders>
            <w:shd w:val="clear" w:color="auto" w:fill="auto"/>
            <w:noWrap/>
            <w:vAlign w:val="center"/>
            <w:hideMark/>
          </w:tcPr>
          <w:p w14:paraId="036506D8"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340,71%</w:t>
            </w:r>
          </w:p>
        </w:tc>
        <w:tc>
          <w:tcPr>
            <w:tcW w:w="1013" w:type="dxa"/>
            <w:tcBorders>
              <w:top w:val="nil"/>
              <w:left w:val="nil"/>
              <w:bottom w:val="single" w:sz="8" w:space="0" w:color="auto"/>
              <w:right w:val="single" w:sz="8" w:space="0" w:color="auto"/>
            </w:tcBorders>
            <w:shd w:val="clear" w:color="auto" w:fill="auto"/>
            <w:noWrap/>
            <w:vAlign w:val="center"/>
            <w:hideMark/>
          </w:tcPr>
          <w:p w14:paraId="55C43574"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557,31%</w:t>
            </w:r>
          </w:p>
        </w:tc>
        <w:tc>
          <w:tcPr>
            <w:tcW w:w="1013" w:type="dxa"/>
            <w:tcBorders>
              <w:top w:val="nil"/>
              <w:left w:val="nil"/>
              <w:bottom w:val="single" w:sz="8" w:space="0" w:color="auto"/>
              <w:right w:val="single" w:sz="8" w:space="0" w:color="auto"/>
            </w:tcBorders>
            <w:shd w:val="clear" w:color="auto" w:fill="auto"/>
            <w:noWrap/>
            <w:vAlign w:val="center"/>
            <w:hideMark/>
          </w:tcPr>
          <w:p w14:paraId="63438AB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945,86%</w:t>
            </w:r>
          </w:p>
        </w:tc>
        <w:tc>
          <w:tcPr>
            <w:tcW w:w="1013" w:type="dxa"/>
            <w:tcBorders>
              <w:top w:val="nil"/>
              <w:left w:val="nil"/>
              <w:bottom w:val="single" w:sz="8" w:space="0" w:color="auto"/>
              <w:right w:val="single" w:sz="8" w:space="0" w:color="auto"/>
            </w:tcBorders>
            <w:shd w:val="clear" w:color="auto" w:fill="auto"/>
            <w:noWrap/>
            <w:vAlign w:val="center"/>
            <w:hideMark/>
          </w:tcPr>
          <w:p w14:paraId="312C833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-6029,50%</w:t>
            </w:r>
          </w:p>
        </w:tc>
        <w:tc>
          <w:tcPr>
            <w:tcW w:w="1013" w:type="dxa"/>
            <w:tcBorders>
              <w:top w:val="nil"/>
              <w:left w:val="nil"/>
              <w:bottom w:val="single" w:sz="8" w:space="0" w:color="auto"/>
              <w:right w:val="single" w:sz="8" w:space="0" w:color="auto"/>
            </w:tcBorders>
            <w:shd w:val="clear" w:color="auto" w:fill="auto"/>
            <w:noWrap/>
            <w:vAlign w:val="center"/>
            <w:hideMark/>
          </w:tcPr>
          <w:p w14:paraId="13B1AEF1"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-816,15%</w:t>
            </w:r>
          </w:p>
        </w:tc>
        <w:tc>
          <w:tcPr>
            <w:tcW w:w="1013" w:type="dxa"/>
            <w:tcBorders>
              <w:top w:val="nil"/>
              <w:left w:val="nil"/>
              <w:bottom w:val="single" w:sz="8" w:space="0" w:color="auto"/>
              <w:right w:val="single" w:sz="8" w:space="0" w:color="auto"/>
            </w:tcBorders>
            <w:shd w:val="clear" w:color="auto" w:fill="auto"/>
            <w:noWrap/>
            <w:vAlign w:val="center"/>
            <w:hideMark/>
          </w:tcPr>
          <w:p w14:paraId="2291199C"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-450,70%</w:t>
            </w:r>
          </w:p>
        </w:tc>
        <w:tc>
          <w:tcPr>
            <w:tcW w:w="1013" w:type="dxa"/>
            <w:tcBorders>
              <w:top w:val="nil"/>
              <w:left w:val="nil"/>
              <w:bottom w:val="single" w:sz="8" w:space="0" w:color="auto"/>
              <w:right w:val="single" w:sz="8" w:space="0" w:color="auto"/>
            </w:tcBorders>
            <w:shd w:val="clear" w:color="auto" w:fill="auto"/>
            <w:noWrap/>
            <w:vAlign w:val="center"/>
            <w:hideMark/>
          </w:tcPr>
          <w:p w14:paraId="33904925" w14:textId="77777777" w:rsidR="005D6624" w:rsidRPr="00117BF8" w:rsidRDefault="005D6624" w:rsidP="005D6624">
            <w:pPr>
              <w:pStyle w:val="TablaC"/>
              <w:rPr>
                <w:rFonts w:ascii="Arial" w:hAnsi="Arial" w:cs="Arial"/>
                <w:b/>
                <w:sz w:val="18"/>
                <w:szCs w:val="18"/>
              </w:rPr>
            </w:pPr>
            <w:r w:rsidRPr="00117BF8">
              <w:rPr>
                <w:rFonts w:ascii="Arial" w:hAnsi="Arial" w:cs="Arial"/>
                <w:b/>
                <w:sz w:val="18"/>
                <w:szCs w:val="18"/>
              </w:rPr>
              <w:t>-339,78%</w:t>
            </w:r>
          </w:p>
        </w:tc>
      </w:tr>
    </w:tbl>
    <w:p w14:paraId="21328906" w14:textId="77777777" w:rsidR="005D6624" w:rsidRPr="00117BF8" w:rsidRDefault="005D6624" w:rsidP="001D3315">
      <w:pPr>
        <w:pStyle w:val="hsa"/>
        <w:rPr>
          <w:rFonts w:ascii="Arial" w:hAnsi="Arial" w:cs="Arial"/>
        </w:rPr>
      </w:pPr>
    </w:p>
    <w:p w14:paraId="2ABF7FED" w14:textId="77777777" w:rsidR="005D6624" w:rsidRPr="00117BF8" w:rsidRDefault="005D6624" w:rsidP="001D3315">
      <w:pPr>
        <w:pStyle w:val="hsa"/>
        <w:rPr>
          <w:rFonts w:ascii="Arial" w:hAnsi="Arial" w:cs="Arial"/>
        </w:rPr>
      </w:pPr>
    </w:p>
    <w:p w14:paraId="0F9B6B49" w14:textId="77777777" w:rsidR="005D6624" w:rsidRPr="00117BF8" w:rsidRDefault="005D6624" w:rsidP="001D3315">
      <w:pPr>
        <w:pStyle w:val="hsa"/>
        <w:rPr>
          <w:rFonts w:ascii="Arial" w:hAnsi="Arial" w:cs="Arial"/>
        </w:rPr>
      </w:pPr>
    </w:p>
    <w:p w14:paraId="586F8E3C" w14:textId="77777777" w:rsidR="005D6624" w:rsidRPr="00117BF8" w:rsidRDefault="005D6624" w:rsidP="001D3315">
      <w:pPr>
        <w:pStyle w:val="hsa"/>
        <w:rPr>
          <w:rFonts w:ascii="Arial" w:hAnsi="Arial" w:cs="Arial"/>
        </w:rPr>
      </w:pPr>
    </w:p>
    <w:tbl>
      <w:tblPr>
        <w:tblW w:w="15031" w:type="dxa"/>
        <w:tblInd w:w="70" w:type="dxa"/>
        <w:tblCellMar>
          <w:left w:w="70" w:type="dxa"/>
          <w:right w:w="70" w:type="dxa"/>
        </w:tblCellMar>
        <w:tblLook w:val="04A0" w:firstRow="1" w:lastRow="0" w:firstColumn="1" w:lastColumn="0" w:noHBand="0" w:noVBand="1"/>
      </w:tblPr>
      <w:tblGrid>
        <w:gridCol w:w="2835"/>
        <w:gridCol w:w="941"/>
        <w:gridCol w:w="941"/>
        <w:gridCol w:w="941"/>
        <w:gridCol w:w="941"/>
        <w:gridCol w:w="941"/>
        <w:gridCol w:w="941"/>
        <w:gridCol w:w="941"/>
        <w:gridCol w:w="1013"/>
        <w:gridCol w:w="1013"/>
        <w:gridCol w:w="1013"/>
        <w:gridCol w:w="1013"/>
        <w:gridCol w:w="1013"/>
        <w:gridCol w:w="1013"/>
      </w:tblGrid>
      <w:tr w:rsidR="005D6624" w:rsidRPr="004E6455" w14:paraId="09960100" w14:textId="77777777" w:rsidTr="00ED0443">
        <w:trPr>
          <w:trHeight w:val="364"/>
        </w:trPr>
        <w:tc>
          <w:tcPr>
            <w:tcW w:w="15031" w:type="dxa"/>
            <w:gridSpan w:val="14"/>
            <w:tcBorders>
              <w:top w:val="single" w:sz="8" w:space="0" w:color="auto"/>
              <w:left w:val="single" w:sz="8" w:space="0" w:color="auto"/>
              <w:bottom w:val="single" w:sz="8" w:space="0" w:color="000000"/>
              <w:right w:val="single" w:sz="8" w:space="0" w:color="auto"/>
            </w:tcBorders>
            <w:shd w:val="clear" w:color="auto" w:fill="0070C0"/>
            <w:noWrap/>
          </w:tcPr>
          <w:p w14:paraId="4AB06EE9" w14:textId="77777777" w:rsidR="005D6624" w:rsidRPr="00117BF8" w:rsidRDefault="00ED0443" w:rsidP="005D6624">
            <w:pPr>
              <w:pStyle w:val="TablaT"/>
              <w:rPr>
                <w:rFonts w:ascii="Arial" w:hAnsi="Arial" w:cs="Arial"/>
                <w:sz w:val="22"/>
                <w:szCs w:val="22"/>
                <w:lang w:val="es-ES_tradnl"/>
              </w:rPr>
            </w:pPr>
            <w:bookmarkStart w:id="171" w:name="_Toc493861173"/>
            <w:r w:rsidRPr="00117BF8">
              <w:rPr>
                <w:rFonts w:ascii="Arial" w:hAnsi="Arial" w:cs="Arial"/>
                <w:sz w:val="22"/>
                <w:szCs w:val="22"/>
                <w:lang w:val="es-ES_tradnl"/>
              </w:rPr>
              <w:t>Tabla A VII - 4</w:t>
            </w:r>
            <w:r w:rsidR="005D6624" w:rsidRPr="00117BF8">
              <w:rPr>
                <w:rFonts w:ascii="Arial" w:hAnsi="Arial" w:cs="Arial"/>
                <w:sz w:val="22"/>
                <w:szCs w:val="22"/>
                <w:lang w:val="es-ES_tradnl"/>
              </w:rPr>
              <w:t xml:space="preserve"> - Provincia de Buenos Aires - Administración Pública no Financiera - Proyección Alternativa 2017-2028 (2016 valores Ejecutados)</w:t>
            </w:r>
            <w:r w:rsidRPr="00117BF8">
              <w:rPr>
                <w:rFonts w:ascii="Arial" w:hAnsi="Arial" w:cs="Arial"/>
                <w:sz w:val="22"/>
                <w:szCs w:val="22"/>
                <w:lang w:val="es-ES_tradnl"/>
              </w:rPr>
              <w:t xml:space="preserve"> – Precios Constantes</w:t>
            </w:r>
            <w:bookmarkEnd w:id="171"/>
          </w:p>
          <w:p w14:paraId="6D9BB5B0" w14:textId="77777777" w:rsidR="005D6624" w:rsidRPr="00117BF8" w:rsidRDefault="005D6624" w:rsidP="005D6624">
            <w:pPr>
              <w:pStyle w:val="TablaC"/>
              <w:rPr>
                <w:rFonts w:ascii="Arial" w:hAnsi="Arial" w:cs="Arial"/>
                <w:color w:val="FFFFFF"/>
                <w:lang w:val="es-ES_tradnl"/>
              </w:rPr>
            </w:pPr>
            <w:r w:rsidRPr="00117BF8">
              <w:rPr>
                <w:rFonts w:ascii="Arial" w:hAnsi="Arial" w:cs="Arial"/>
                <w:color w:val="FFFFFF"/>
                <w:lang w:val="es-ES_tradnl"/>
              </w:rPr>
              <w:t>En millones de pesos</w:t>
            </w:r>
            <w:r w:rsidR="00ED0443" w:rsidRPr="00117BF8">
              <w:rPr>
                <w:rFonts w:ascii="Arial" w:hAnsi="Arial" w:cs="Arial"/>
                <w:color w:val="FFFFFF"/>
                <w:lang w:val="es-ES_tradnl"/>
              </w:rPr>
              <w:t xml:space="preserve"> de 2016</w:t>
            </w:r>
          </w:p>
        </w:tc>
      </w:tr>
      <w:tr w:rsidR="005D6624" w:rsidRPr="004E6455" w14:paraId="5B3CE5DA" w14:textId="77777777" w:rsidTr="00ED0443">
        <w:trPr>
          <w:trHeight w:val="364"/>
        </w:trPr>
        <w:tc>
          <w:tcPr>
            <w:tcW w:w="2835"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AB10B61" w14:textId="77777777" w:rsidR="005D6624" w:rsidRPr="00117BF8" w:rsidRDefault="005D6624" w:rsidP="005D6624">
            <w:pPr>
              <w:pStyle w:val="TablaE"/>
              <w:rPr>
                <w:rFonts w:ascii="Arial" w:hAnsi="Arial" w:cs="Arial"/>
                <w:sz w:val="20"/>
              </w:rPr>
            </w:pPr>
            <w:r w:rsidRPr="00117BF8">
              <w:rPr>
                <w:rFonts w:ascii="Arial" w:hAnsi="Arial" w:cs="Arial"/>
                <w:sz w:val="20"/>
              </w:rPr>
              <w:t>CONCEPTO</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50E72C9" w14:textId="77777777" w:rsidR="005D6624" w:rsidRPr="00117BF8" w:rsidRDefault="005D6624" w:rsidP="005D6624">
            <w:pPr>
              <w:pStyle w:val="TablaE"/>
              <w:rPr>
                <w:rFonts w:ascii="Arial" w:hAnsi="Arial" w:cs="Arial"/>
                <w:sz w:val="20"/>
              </w:rPr>
            </w:pPr>
            <w:r w:rsidRPr="00117BF8">
              <w:rPr>
                <w:rFonts w:ascii="Arial" w:hAnsi="Arial" w:cs="Arial"/>
                <w:sz w:val="20"/>
              </w:rPr>
              <w:t>2016</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6566E1A" w14:textId="77777777" w:rsidR="005D6624" w:rsidRPr="00117BF8" w:rsidRDefault="005D6624" w:rsidP="005D6624">
            <w:pPr>
              <w:pStyle w:val="TablaE"/>
              <w:rPr>
                <w:rFonts w:ascii="Arial" w:hAnsi="Arial" w:cs="Arial"/>
                <w:sz w:val="20"/>
              </w:rPr>
            </w:pPr>
            <w:r w:rsidRPr="00117BF8">
              <w:rPr>
                <w:rFonts w:ascii="Arial" w:hAnsi="Arial" w:cs="Arial"/>
                <w:sz w:val="20"/>
              </w:rPr>
              <w:t>2017</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CCA9032" w14:textId="77777777" w:rsidR="005D6624" w:rsidRPr="00117BF8" w:rsidRDefault="005D6624" w:rsidP="005D6624">
            <w:pPr>
              <w:pStyle w:val="TablaE"/>
              <w:rPr>
                <w:rFonts w:ascii="Arial" w:hAnsi="Arial" w:cs="Arial"/>
                <w:sz w:val="20"/>
              </w:rPr>
            </w:pPr>
            <w:r w:rsidRPr="00117BF8">
              <w:rPr>
                <w:rFonts w:ascii="Arial" w:hAnsi="Arial" w:cs="Arial"/>
                <w:sz w:val="20"/>
              </w:rPr>
              <w:t>2018</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20AA335" w14:textId="77777777" w:rsidR="005D6624" w:rsidRPr="00117BF8" w:rsidRDefault="005D6624" w:rsidP="005D6624">
            <w:pPr>
              <w:pStyle w:val="TablaE"/>
              <w:rPr>
                <w:rFonts w:ascii="Arial" w:hAnsi="Arial" w:cs="Arial"/>
                <w:sz w:val="20"/>
              </w:rPr>
            </w:pPr>
            <w:r w:rsidRPr="00117BF8">
              <w:rPr>
                <w:rFonts w:ascii="Arial" w:hAnsi="Arial" w:cs="Arial"/>
                <w:sz w:val="20"/>
              </w:rPr>
              <w:t>2019</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D240850" w14:textId="77777777" w:rsidR="005D6624" w:rsidRPr="00117BF8" w:rsidRDefault="005D6624" w:rsidP="005D6624">
            <w:pPr>
              <w:pStyle w:val="TablaE"/>
              <w:rPr>
                <w:rFonts w:ascii="Arial" w:hAnsi="Arial" w:cs="Arial"/>
                <w:sz w:val="20"/>
              </w:rPr>
            </w:pPr>
            <w:r w:rsidRPr="00117BF8">
              <w:rPr>
                <w:rFonts w:ascii="Arial" w:hAnsi="Arial" w:cs="Arial"/>
                <w:sz w:val="20"/>
              </w:rPr>
              <w:t>2020</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A5FB9A7" w14:textId="77777777" w:rsidR="005D6624" w:rsidRPr="00117BF8" w:rsidRDefault="005D6624" w:rsidP="005D6624">
            <w:pPr>
              <w:pStyle w:val="TablaE"/>
              <w:rPr>
                <w:rFonts w:ascii="Arial" w:hAnsi="Arial" w:cs="Arial"/>
                <w:sz w:val="20"/>
              </w:rPr>
            </w:pPr>
            <w:r w:rsidRPr="00117BF8">
              <w:rPr>
                <w:rFonts w:ascii="Arial" w:hAnsi="Arial" w:cs="Arial"/>
                <w:sz w:val="20"/>
              </w:rPr>
              <w:t>2021</w:t>
            </w:r>
          </w:p>
        </w:tc>
        <w:tc>
          <w:tcPr>
            <w:tcW w:w="874"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5623EA5" w14:textId="77777777" w:rsidR="005D6624" w:rsidRPr="00117BF8" w:rsidRDefault="005D6624" w:rsidP="005D6624">
            <w:pPr>
              <w:pStyle w:val="TablaE"/>
              <w:rPr>
                <w:rFonts w:ascii="Arial" w:hAnsi="Arial" w:cs="Arial"/>
                <w:sz w:val="20"/>
              </w:rPr>
            </w:pPr>
            <w:r w:rsidRPr="00117BF8">
              <w:rPr>
                <w:rFonts w:ascii="Arial" w:hAnsi="Arial" w:cs="Arial"/>
                <w:sz w:val="20"/>
              </w:rPr>
              <w:t>2022</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650A06E6" w14:textId="77777777" w:rsidR="005D6624" w:rsidRPr="00117BF8" w:rsidRDefault="005D6624" w:rsidP="005D6624">
            <w:pPr>
              <w:pStyle w:val="TablaE"/>
              <w:rPr>
                <w:rFonts w:ascii="Arial" w:hAnsi="Arial" w:cs="Arial"/>
                <w:sz w:val="20"/>
              </w:rPr>
            </w:pPr>
            <w:r w:rsidRPr="00117BF8">
              <w:rPr>
                <w:rFonts w:ascii="Arial" w:hAnsi="Arial" w:cs="Arial"/>
                <w:sz w:val="20"/>
              </w:rPr>
              <w:t>2023</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CB77FEB" w14:textId="77777777" w:rsidR="005D6624" w:rsidRPr="00117BF8" w:rsidRDefault="005D6624" w:rsidP="005D6624">
            <w:pPr>
              <w:pStyle w:val="TablaE"/>
              <w:rPr>
                <w:rFonts w:ascii="Arial" w:hAnsi="Arial" w:cs="Arial"/>
                <w:sz w:val="20"/>
              </w:rPr>
            </w:pPr>
            <w:r w:rsidRPr="00117BF8">
              <w:rPr>
                <w:rFonts w:ascii="Arial" w:hAnsi="Arial" w:cs="Arial"/>
                <w:sz w:val="20"/>
              </w:rPr>
              <w:t>2024</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6B33675" w14:textId="77777777" w:rsidR="005D6624" w:rsidRPr="00117BF8" w:rsidRDefault="005D6624" w:rsidP="005D6624">
            <w:pPr>
              <w:pStyle w:val="TablaE"/>
              <w:rPr>
                <w:rFonts w:ascii="Arial" w:hAnsi="Arial" w:cs="Arial"/>
                <w:sz w:val="20"/>
              </w:rPr>
            </w:pPr>
            <w:r w:rsidRPr="00117BF8">
              <w:rPr>
                <w:rFonts w:ascii="Arial" w:hAnsi="Arial" w:cs="Arial"/>
                <w:sz w:val="20"/>
              </w:rPr>
              <w:t>2025</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43D096A" w14:textId="77777777" w:rsidR="005D6624" w:rsidRPr="00117BF8" w:rsidRDefault="005D6624" w:rsidP="005D6624">
            <w:pPr>
              <w:pStyle w:val="TablaE"/>
              <w:rPr>
                <w:rFonts w:ascii="Arial" w:hAnsi="Arial" w:cs="Arial"/>
                <w:sz w:val="20"/>
              </w:rPr>
            </w:pPr>
            <w:r w:rsidRPr="00117BF8">
              <w:rPr>
                <w:rFonts w:ascii="Arial" w:hAnsi="Arial" w:cs="Arial"/>
                <w:sz w:val="20"/>
              </w:rPr>
              <w:t>2026</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49ED1FF" w14:textId="77777777" w:rsidR="005D6624" w:rsidRPr="00117BF8" w:rsidRDefault="005D6624" w:rsidP="005D6624">
            <w:pPr>
              <w:pStyle w:val="TablaE"/>
              <w:rPr>
                <w:rFonts w:ascii="Arial" w:hAnsi="Arial" w:cs="Arial"/>
                <w:sz w:val="20"/>
              </w:rPr>
            </w:pPr>
            <w:r w:rsidRPr="00117BF8">
              <w:rPr>
                <w:rFonts w:ascii="Arial" w:hAnsi="Arial" w:cs="Arial"/>
                <w:sz w:val="20"/>
              </w:rPr>
              <w:t>2027</w:t>
            </w:r>
          </w:p>
        </w:tc>
        <w:tc>
          <w:tcPr>
            <w:tcW w:w="1013"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5BEAD6BD" w14:textId="77777777" w:rsidR="005D6624" w:rsidRPr="00117BF8" w:rsidRDefault="005D6624" w:rsidP="005D6624">
            <w:pPr>
              <w:pStyle w:val="TablaE"/>
              <w:rPr>
                <w:rFonts w:ascii="Arial" w:hAnsi="Arial" w:cs="Arial"/>
                <w:sz w:val="20"/>
              </w:rPr>
            </w:pPr>
            <w:r w:rsidRPr="00117BF8">
              <w:rPr>
                <w:rFonts w:ascii="Arial" w:hAnsi="Arial" w:cs="Arial"/>
                <w:sz w:val="20"/>
              </w:rPr>
              <w:t>2028</w:t>
            </w:r>
          </w:p>
        </w:tc>
      </w:tr>
      <w:tr w:rsidR="005D6624" w:rsidRPr="004E6455" w14:paraId="4F432543" w14:textId="77777777" w:rsidTr="00ED0443">
        <w:trPr>
          <w:trHeight w:val="255"/>
        </w:trPr>
        <w:tc>
          <w:tcPr>
            <w:tcW w:w="2835" w:type="dxa"/>
            <w:vMerge/>
            <w:tcBorders>
              <w:top w:val="single" w:sz="8" w:space="0" w:color="auto"/>
              <w:left w:val="single" w:sz="8" w:space="0" w:color="auto"/>
              <w:bottom w:val="single" w:sz="8" w:space="0" w:color="000000"/>
              <w:right w:val="single" w:sz="8" w:space="0" w:color="auto"/>
            </w:tcBorders>
            <w:shd w:val="clear" w:color="auto" w:fill="0070C0"/>
            <w:hideMark/>
          </w:tcPr>
          <w:p w14:paraId="4A4ACA31"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323B8627"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30966388"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14751853"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6B32D94E"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18C7652C"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348108C0" w14:textId="77777777" w:rsidR="005D6624" w:rsidRPr="004E6455" w:rsidRDefault="005D6624" w:rsidP="005D6624">
            <w:pPr>
              <w:spacing w:after="0"/>
              <w:jc w:val="left"/>
              <w:rPr>
                <w:rFonts w:ascii="Arial" w:hAnsi="Arial" w:cs="Arial"/>
                <w:b/>
                <w:bCs/>
                <w:i/>
                <w:iCs/>
                <w:sz w:val="22"/>
                <w:szCs w:val="22"/>
                <w:lang w:val="es-AR" w:eastAsia="es-AR"/>
              </w:rPr>
            </w:pPr>
          </w:p>
        </w:tc>
        <w:tc>
          <w:tcPr>
            <w:tcW w:w="874" w:type="dxa"/>
            <w:vMerge/>
            <w:tcBorders>
              <w:top w:val="single" w:sz="8" w:space="0" w:color="auto"/>
              <w:left w:val="single" w:sz="8" w:space="0" w:color="auto"/>
              <w:bottom w:val="single" w:sz="8" w:space="0" w:color="000000"/>
              <w:right w:val="single" w:sz="8" w:space="0" w:color="auto"/>
            </w:tcBorders>
            <w:shd w:val="clear" w:color="auto" w:fill="0070C0"/>
            <w:hideMark/>
          </w:tcPr>
          <w:p w14:paraId="55397754"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18A3B998"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5C13BB28"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7BFFDD8C"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21E332E8"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2424A940" w14:textId="77777777" w:rsidR="005D6624" w:rsidRPr="004E6455" w:rsidRDefault="005D6624" w:rsidP="005D6624">
            <w:pPr>
              <w:spacing w:after="0"/>
              <w:jc w:val="left"/>
              <w:rPr>
                <w:rFonts w:ascii="Arial" w:hAnsi="Arial" w:cs="Arial"/>
                <w:b/>
                <w:bCs/>
                <w:i/>
                <w:iCs/>
                <w:sz w:val="22"/>
                <w:szCs w:val="22"/>
                <w:lang w:val="es-AR" w:eastAsia="es-AR"/>
              </w:rPr>
            </w:pPr>
          </w:p>
        </w:tc>
        <w:tc>
          <w:tcPr>
            <w:tcW w:w="1013" w:type="dxa"/>
            <w:vMerge/>
            <w:tcBorders>
              <w:top w:val="single" w:sz="8" w:space="0" w:color="auto"/>
              <w:left w:val="single" w:sz="8" w:space="0" w:color="auto"/>
              <w:bottom w:val="single" w:sz="8" w:space="0" w:color="000000"/>
              <w:right w:val="single" w:sz="8" w:space="0" w:color="auto"/>
            </w:tcBorders>
            <w:shd w:val="clear" w:color="auto" w:fill="0070C0"/>
            <w:hideMark/>
          </w:tcPr>
          <w:p w14:paraId="2D7DD438" w14:textId="77777777" w:rsidR="005D6624" w:rsidRPr="004E6455" w:rsidRDefault="005D6624" w:rsidP="005D6624">
            <w:pPr>
              <w:spacing w:after="0"/>
              <w:jc w:val="left"/>
              <w:rPr>
                <w:rFonts w:ascii="Arial" w:hAnsi="Arial" w:cs="Arial"/>
                <w:b/>
                <w:bCs/>
                <w:i/>
                <w:iCs/>
                <w:sz w:val="22"/>
                <w:szCs w:val="22"/>
                <w:lang w:val="es-AR" w:eastAsia="es-AR"/>
              </w:rPr>
            </w:pPr>
          </w:p>
        </w:tc>
      </w:tr>
      <w:tr w:rsidR="00ED0443" w:rsidRPr="004E6455" w14:paraId="28DE0A63" w14:textId="77777777" w:rsidTr="00ED0443">
        <w:tc>
          <w:tcPr>
            <w:tcW w:w="2835" w:type="dxa"/>
            <w:tcBorders>
              <w:top w:val="nil"/>
              <w:left w:val="single" w:sz="8" w:space="0" w:color="auto"/>
              <w:bottom w:val="single" w:sz="8" w:space="0" w:color="auto"/>
              <w:right w:val="nil"/>
            </w:tcBorders>
            <w:shd w:val="clear" w:color="000000" w:fill="FFFFFF"/>
            <w:noWrap/>
            <w:hideMark/>
          </w:tcPr>
          <w:p w14:paraId="5DF948AA" w14:textId="77777777" w:rsidR="00ED0443" w:rsidRPr="00117BF8" w:rsidRDefault="00ED0443" w:rsidP="005D6624">
            <w:pPr>
              <w:pStyle w:val="TablaC"/>
              <w:jc w:val="left"/>
              <w:rPr>
                <w:rFonts w:ascii="Arial" w:hAnsi="Arial" w:cs="Arial"/>
                <w:b/>
                <w:sz w:val="18"/>
                <w:szCs w:val="18"/>
              </w:rPr>
            </w:pPr>
            <w:r w:rsidRPr="00117BF8">
              <w:rPr>
                <w:rFonts w:ascii="Arial" w:hAnsi="Arial" w:cs="Arial"/>
                <w:b/>
                <w:sz w:val="18"/>
                <w:szCs w:val="18"/>
              </w:rPr>
              <w:t>I. INGRESOS CORRIENTES</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3F658CFB"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386.061,9</w:t>
            </w:r>
          </w:p>
        </w:tc>
        <w:tc>
          <w:tcPr>
            <w:tcW w:w="874" w:type="dxa"/>
            <w:tcBorders>
              <w:top w:val="nil"/>
              <w:left w:val="nil"/>
              <w:bottom w:val="single" w:sz="8" w:space="0" w:color="auto"/>
              <w:right w:val="single" w:sz="8" w:space="0" w:color="auto"/>
            </w:tcBorders>
            <w:shd w:val="clear" w:color="000000" w:fill="FFFFFF"/>
            <w:noWrap/>
            <w:vAlign w:val="center"/>
            <w:hideMark/>
          </w:tcPr>
          <w:p w14:paraId="35DE504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385.906,9</w:t>
            </w:r>
          </w:p>
        </w:tc>
        <w:tc>
          <w:tcPr>
            <w:tcW w:w="874" w:type="dxa"/>
            <w:tcBorders>
              <w:top w:val="nil"/>
              <w:left w:val="nil"/>
              <w:bottom w:val="single" w:sz="8" w:space="0" w:color="auto"/>
              <w:right w:val="single" w:sz="8" w:space="0" w:color="auto"/>
            </w:tcBorders>
            <w:shd w:val="clear" w:color="000000" w:fill="FFFFFF"/>
            <w:noWrap/>
            <w:vAlign w:val="center"/>
            <w:hideMark/>
          </w:tcPr>
          <w:p w14:paraId="2CB983A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392.800,0</w:t>
            </w:r>
          </w:p>
        </w:tc>
        <w:tc>
          <w:tcPr>
            <w:tcW w:w="874" w:type="dxa"/>
            <w:tcBorders>
              <w:top w:val="nil"/>
              <w:left w:val="nil"/>
              <w:bottom w:val="single" w:sz="8" w:space="0" w:color="auto"/>
              <w:right w:val="single" w:sz="8" w:space="0" w:color="auto"/>
            </w:tcBorders>
            <w:shd w:val="clear" w:color="000000" w:fill="FFFFFF"/>
            <w:noWrap/>
            <w:vAlign w:val="center"/>
            <w:hideMark/>
          </w:tcPr>
          <w:p w14:paraId="63FBDCA1"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403.166,1</w:t>
            </w:r>
          </w:p>
        </w:tc>
        <w:tc>
          <w:tcPr>
            <w:tcW w:w="874" w:type="dxa"/>
            <w:tcBorders>
              <w:top w:val="nil"/>
              <w:left w:val="nil"/>
              <w:bottom w:val="single" w:sz="8" w:space="0" w:color="auto"/>
              <w:right w:val="single" w:sz="8" w:space="0" w:color="auto"/>
            </w:tcBorders>
            <w:shd w:val="clear" w:color="000000" w:fill="FFFFFF"/>
            <w:noWrap/>
            <w:vAlign w:val="center"/>
            <w:hideMark/>
          </w:tcPr>
          <w:p w14:paraId="504BF337"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414.221,6</w:t>
            </w:r>
          </w:p>
        </w:tc>
        <w:tc>
          <w:tcPr>
            <w:tcW w:w="874" w:type="dxa"/>
            <w:tcBorders>
              <w:top w:val="nil"/>
              <w:left w:val="nil"/>
              <w:bottom w:val="single" w:sz="8" w:space="0" w:color="auto"/>
              <w:right w:val="single" w:sz="8" w:space="0" w:color="auto"/>
            </w:tcBorders>
            <w:shd w:val="clear" w:color="000000" w:fill="FFFFFF"/>
            <w:noWrap/>
            <w:vAlign w:val="center"/>
            <w:hideMark/>
          </w:tcPr>
          <w:p w14:paraId="0CBE5FF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422.908,2</w:t>
            </w:r>
          </w:p>
        </w:tc>
        <w:tc>
          <w:tcPr>
            <w:tcW w:w="874" w:type="dxa"/>
            <w:tcBorders>
              <w:top w:val="nil"/>
              <w:left w:val="nil"/>
              <w:bottom w:val="single" w:sz="8" w:space="0" w:color="auto"/>
              <w:right w:val="single" w:sz="8" w:space="0" w:color="auto"/>
            </w:tcBorders>
            <w:shd w:val="clear" w:color="000000" w:fill="FFFFFF"/>
            <w:noWrap/>
            <w:vAlign w:val="center"/>
            <w:hideMark/>
          </w:tcPr>
          <w:p w14:paraId="7E738E0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432.617,6</w:t>
            </w:r>
          </w:p>
        </w:tc>
        <w:tc>
          <w:tcPr>
            <w:tcW w:w="1013" w:type="dxa"/>
            <w:tcBorders>
              <w:top w:val="nil"/>
              <w:left w:val="nil"/>
              <w:bottom w:val="single" w:sz="8" w:space="0" w:color="auto"/>
              <w:right w:val="single" w:sz="8" w:space="0" w:color="auto"/>
            </w:tcBorders>
            <w:shd w:val="clear" w:color="000000" w:fill="FFFFFF"/>
            <w:noWrap/>
            <w:vAlign w:val="center"/>
            <w:hideMark/>
          </w:tcPr>
          <w:p w14:paraId="321C3E1E"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442.637,4</w:t>
            </w:r>
          </w:p>
        </w:tc>
        <w:tc>
          <w:tcPr>
            <w:tcW w:w="1013" w:type="dxa"/>
            <w:tcBorders>
              <w:top w:val="nil"/>
              <w:left w:val="nil"/>
              <w:bottom w:val="single" w:sz="8" w:space="0" w:color="auto"/>
              <w:right w:val="single" w:sz="8" w:space="0" w:color="auto"/>
            </w:tcBorders>
            <w:shd w:val="clear" w:color="000000" w:fill="FFFFFF"/>
            <w:noWrap/>
            <w:vAlign w:val="center"/>
            <w:hideMark/>
          </w:tcPr>
          <w:p w14:paraId="0087D8BF"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452.975,5</w:t>
            </w:r>
          </w:p>
        </w:tc>
        <w:tc>
          <w:tcPr>
            <w:tcW w:w="1013" w:type="dxa"/>
            <w:tcBorders>
              <w:top w:val="nil"/>
              <w:left w:val="nil"/>
              <w:bottom w:val="single" w:sz="8" w:space="0" w:color="auto"/>
              <w:right w:val="single" w:sz="8" w:space="0" w:color="auto"/>
            </w:tcBorders>
            <w:shd w:val="clear" w:color="000000" w:fill="FFFFFF"/>
            <w:noWrap/>
            <w:vAlign w:val="center"/>
            <w:hideMark/>
          </w:tcPr>
          <w:p w14:paraId="7692D4AD"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463.640,1</w:t>
            </w:r>
          </w:p>
        </w:tc>
        <w:tc>
          <w:tcPr>
            <w:tcW w:w="1013" w:type="dxa"/>
            <w:tcBorders>
              <w:top w:val="nil"/>
              <w:left w:val="nil"/>
              <w:bottom w:val="single" w:sz="8" w:space="0" w:color="auto"/>
              <w:right w:val="single" w:sz="8" w:space="0" w:color="auto"/>
            </w:tcBorders>
            <w:shd w:val="clear" w:color="000000" w:fill="FFFFFF"/>
            <w:noWrap/>
            <w:vAlign w:val="center"/>
            <w:hideMark/>
          </w:tcPr>
          <w:p w14:paraId="79F5E10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474.639,4</w:t>
            </w:r>
          </w:p>
        </w:tc>
        <w:tc>
          <w:tcPr>
            <w:tcW w:w="1013" w:type="dxa"/>
            <w:tcBorders>
              <w:top w:val="nil"/>
              <w:left w:val="nil"/>
              <w:bottom w:val="single" w:sz="8" w:space="0" w:color="auto"/>
              <w:right w:val="single" w:sz="8" w:space="0" w:color="auto"/>
            </w:tcBorders>
            <w:shd w:val="clear" w:color="000000" w:fill="FFFFFF"/>
            <w:noWrap/>
            <w:vAlign w:val="center"/>
            <w:hideMark/>
          </w:tcPr>
          <w:p w14:paraId="68C638AF"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485.982,2</w:t>
            </w:r>
          </w:p>
        </w:tc>
        <w:tc>
          <w:tcPr>
            <w:tcW w:w="1013" w:type="dxa"/>
            <w:tcBorders>
              <w:top w:val="nil"/>
              <w:left w:val="nil"/>
              <w:bottom w:val="single" w:sz="8" w:space="0" w:color="auto"/>
              <w:right w:val="single" w:sz="8" w:space="0" w:color="auto"/>
            </w:tcBorders>
            <w:shd w:val="clear" w:color="000000" w:fill="FFFFFF"/>
            <w:noWrap/>
            <w:vAlign w:val="center"/>
            <w:hideMark/>
          </w:tcPr>
          <w:p w14:paraId="1779708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497.677,6</w:t>
            </w:r>
          </w:p>
        </w:tc>
      </w:tr>
      <w:tr w:rsidR="00ED0443" w:rsidRPr="004E6455" w14:paraId="34766931" w14:textId="77777777" w:rsidTr="00ED0443">
        <w:tc>
          <w:tcPr>
            <w:tcW w:w="2835" w:type="dxa"/>
            <w:tcBorders>
              <w:top w:val="nil"/>
              <w:left w:val="single" w:sz="8" w:space="0" w:color="auto"/>
              <w:bottom w:val="nil"/>
              <w:right w:val="nil"/>
            </w:tcBorders>
            <w:shd w:val="clear" w:color="000000" w:fill="FFFFFF"/>
            <w:noWrap/>
            <w:hideMark/>
          </w:tcPr>
          <w:p w14:paraId="694145AA" w14:textId="77777777" w:rsidR="00ED0443" w:rsidRPr="00117BF8" w:rsidRDefault="00ED0443" w:rsidP="005D6624">
            <w:pPr>
              <w:pStyle w:val="TablaC"/>
              <w:jc w:val="left"/>
              <w:rPr>
                <w:rFonts w:ascii="Arial" w:hAnsi="Arial" w:cs="Arial"/>
                <w:sz w:val="18"/>
                <w:szCs w:val="18"/>
              </w:rPr>
            </w:pPr>
            <w:r w:rsidRPr="00117BF8">
              <w:rPr>
                <w:rFonts w:ascii="Arial" w:hAnsi="Arial" w:cs="Arial"/>
                <w:sz w:val="18"/>
                <w:szCs w:val="18"/>
              </w:rPr>
              <w:t xml:space="preserve">  Tributarios</w:t>
            </w:r>
          </w:p>
        </w:tc>
        <w:tc>
          <w:tcPr>
            <w:tcW w:w="874" w:type="dxa"/>
            <w:tcBorders>
              <w:top w:val="nil"/>
              <w:left w:val="single" w:sz="8" w:space="0" w:color="auto"/>
              <w:bottom w:val="nil"/>
              <w:right w:val="single" w:sz="8" w:space="0" w:color="auto"/>
            </w:tcBorders>
            <w:shd w:val="clear" w:color="000000" w:fill="FFFFFF"/>
            <w:noWrap/>
            <w:vAlign w:val="center"/>
            <w:hideMark/>
          </w:tcPr>
          <w:p w14:paraId="081A7276"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267.040,7</w:t>
            </w:r>
          </w:p>
        </w:tc>
        <w:tc>
          <w:tcPr>
            <w:tcW w:w="874" w:type="dxa"/>
            <w:tcBorders>
              <w:top w:val="nil"/>
              <w:left w:val="nil"/>
              <w:bottom w:val="nil"/>
              <w:right w:val="single" w:sz="8" w:space="0" w:color="auto"/>
            </w:tcBorders>
            <w:shd w:val="clear" w:color="000000" w:fill="FFFFFF"/>
            <w:noWrap/>
            <w:vAlign w:val="center"/>
            <w:hideMark/>
          </w:tcPr>
          <w:p w14:paraId="79A5DB53"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270.497,1</w:t>
            </w:r>
          </w:p>
        </w:tc>
        <w:tc>
          <w:tcPr>
            <w:tcW w:w="874" w:type="dxa"/>
            <w:tcBorders>
              <w:top w:val="nil"/>
              <w:left w:val="nil"/>
              <w:bottom w:val="nil"/>
              <w:right w:val="single" w:sz="8" w:space="0" w:color="auto"/>
            </w:tcBorders>
            <w:shd w:val="clear" w:color="000000" w:fill="FFFFFF"/>
            <w:noWrap/>
            <w:vAlign w:val="center"/>
            <w:hideMark/>
          </w:tcPr>
          <w:p w14:paraId="6ADC03C6"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281.405,9</w:t>
            </w:r>
          </w:p>
        </w:tc>
        <w:tc>
          <w:tcPr>
            <w:tcW w:w="874" w:type="dxa"/>
            <w:tcBorders>
              <w:top w:val="nil"/>
              <w:left w:val="nil"/>
              <w:bottom w:val="nil"/>
              <w:right w:val="single" w:sz="8" w:space="0" w:color="auto"/>
            </w:tcBorders>
            <w:shd w:val="clear" w:color="000000" w:fill="FFFFFF"/>
            <w:noWrap/>
            <w:vAlign w:val="center"/>
            <w:hideMark/>
          </w:tcPr>
          <w:p w14:paraId="1589B041"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293.850,2</w:t>
            </w:r>
          </w:p>
        </w:tc>
        <w:tc>
          <w:tcPr>
            <w:tcW w:w="874" w:type="dxa"/>
            <w:tcBorders>
              <w:top w:val="nil"/>
              <w:left w:val="nil"/>
              <w:bottom w:val="nil"/>
              <w:right w:val="single" w:sz="8" w:space="0" w:color="auto"/>
            </w:tcBorders>
            <w:shd w:val="clear" w:color="000000" w:fill="FFFFFF"/>
            <w:noWrap/>
            <w:vAlign w:val="center"/>
            <w:hideMark/>
          </w:tcPr>
          <w:p w14:paraId="5E3B61B0"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305.831,9</w:t>
            </w:r>
          </w:p>
        </w:tc>
        <w:tc>
          <w:tcPr>
            <w:tcW w:w="874" w:type="dxa"/>
            <w:tcBorders>
              <w:top w:val="nil"/>
              <w:left w:val="nil"/>
              <w:bottom w:val="nil"/>
              <w:right w:val="single" w:sz="8" w:space="0" w:color="auto"/>
            </w:tcBorders>
            <w:shd w:val="clear" w:color="000000" w:fill="FFFFFF"/>
            <w:noWrap/>
            <w:vAlign w:val="center"/>
            <w:hideMark/>
          </w:tcPr>
          <w:p w14:paraId="271F7FFF"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314.871,0</w:t>
            </w:r>
          </w:p>
        </w:tc>
        <w:tc>
          <w:tcPr>
            <w:tcW w:w="874" w:type="dxa"/>
            <w:tcBorders>
              <w:top w:val="nil"/>
              <w:left w:val="nil"/>
              <w:bottom w:val="nil"/>
              <w:right w:val="single" w:sz="8" w:space="0" w:color="auto"/>
            </w:tcBorders>
            <w:shd w:val="clear" w:color="000000" w:fill="FFFFFF"/>
            <w:noWrap/>
            <w:vAlign w:val="center"/>
            <w:hideMark/>
          </w:tcPr>
          <w:p w14:paraId="7E7E120E"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324.188,5</w:t>
            </w:r>
          </w:p>
        </w:tc>
        <w:tc>
          <w:tcPr>
            <w:tcW w:w="1013" w:type="dxa"/>
            <w:tcBorders>
              <w:top w:val="nil"/>
              <w:left w:val="nil"/>
              <w:bottom w:val="nil"/>
              <w:right w:val="single" w:sz="8" w:space="0" w:color="auto"/>
            </w:tcBorders>
            <w:shd w:val="clear" w:color="000000" w:fill="FFFFFF"/>
            <w:noWrap/>
            <w:vAlign w:val="center"/>
            <w:hideMark/>
          </w:tcPr>
          <w:p w14:paraId="45879AAC"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333.783,5</w:t>
            </w:r>
          </w:p>
        </w:tc>
        <w:tc>
          <w:tcPr>
            <w:tcW w:w="1013" w:type="dxa"/>
            <w:tcBorders>
              <w:top w:val="nil"/>
              <w:left w:val="nil"/>
              <w:bottom w:val="nil"/>
              <w:right w:val="single" w:sz="8" w:space="0" w:color="auto"/>
            </w:tcBorders>
            <w:shd w:val="clear" w:color="000000" w:fill="FFFFFF"/>
            <w:noWrap/>
            <w:vAlign w:val="center"/>
            <w:hideMark/>
          </w:tcPr>
          <w:p w14:paraId="7E458E6C"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343.664,3</w:t>
            </w:r>
          </w:p>
        </w:tc>
        <w:tc>
          <w:tcPr>
            <w:tcW w:w="1013" w:type="dxa"/>
            <w:tcBorders>
              <w:top w:val="nil"/>
              <w:left w:val="nil"/>
              <w:bottom w:val="nil"/>
              <w:right w:val="single" w:sz="8" w:space="0" w:color="auto"/>
            </w:tcBorders>
            <w:shd w:val="clear" w:color="000000" w:fill="FFFFFF"/>
            <w:noWrap/>
            <w:vAlign w:val="center"/>
            <w:hideMark/>
          </w:tcPr>
          <w:p w14:paraId="4D75D28C"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353.839,3</w:t>
            </w:r>
          </w:p>
        </w:tc>
        <w:tc>
          <w:tcPr>
            <w:tcW w:w="1013" w:type="dxa"/>
            <w:tcBorders>
              <w:top w:val="nil"/>
              <w:left w:val="nil"/>
              <w:bottom w:val="nil"/>
              <w:right w:val="single" w:sz="8" w:space="0" w:color="auto"/>
            </w:tcBorders>
            <w:shd w:val="clear" w:color="000000" w:fill="FFFFFF"/>
            <w:noWrap/>
            <w:vAlign w:val="center"/>
            <w:hideMark/>
          </w:tcPr>
          <w:p w14:paraId="3C1B34E1"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364.317,2</w:t>
            </w:r>
          </w:p>
        </w:tc>
        <w:tc>
          <w:tcPr>
            <w:tcW w:w="1013" w:type="dxa"/>
            <w:tcBorders>
              <w:top w:val="nil"/>
              <w:left w:val="nil"/>
              <w:bottom w:val="nil"/>
              <w:right w:val="single" w:sz="8" w:space="0" w:color="auto"/>
            </w:tcBorders>
            <w:shd w:val="clear" w:color="000000" w:fill="FFFFFF"/>
            <w:noWrap/>
            <w:vAlign w:val="center"/>
            <w:hideMark/>
          </w:tcPr>
          <w:p w14:paraId="7AC8646A"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375.106,8</w:t>
            </w:r>
          </w:p>
        </w:tc>
        <w:tc>
          <w:tcPr>
            <w:tcW w:w="1013" w:type="dxa"/>
            <w:tcBorders>
              <w:top w:val="nil"/>
              <w:left w:val="nil"/>
              <w:bottom w:val="nil"/>
              <w:right w:val="single" w:sz="8" w:space="0" w:color="auto"/>
            </w:tcBorders>
            <w:shd w:val="clear" w:color="000000" w:fill="FFFFFF"/>
            <w:noWrap/>
            <w:vAlign w:val="center"/>
            <w:hideMark/>
          </w:tcPr>
          <w:p w14:paraId="74C13E0D"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386.217,3</w:t>
            </w:r>
          </w:p>
        </w:tc>
      </w:tr>
      <w:tr w:rsidR="00ED0443" w:rsidRPr="004E6455" w14:paraId="73D2729D" w14:textId="77777777" w:rsidTr="00ED0443">
        <w:tc>
          <w:tcPr>
            <w:tcW w:w="2835" w:type="dxa"/>
            <w:tcBorders>
              <w:top w:val="nil"/>
              <w:left w:val="single" w:sz="8" w:space="0" w:color="auto"/>
              <w:bottom w:val="nil"/>
              <w:right w:val="nil"/>
            </w:tcBorders>
            <w:shd w:val="clear" w:color="000000" w:fill="FFFFFF"/>
            <w:noWrap/>
            <w:hideMark/>
          </w:tcPr>
          <w:p w14:paraId="3DAE4901" w14:textId="77777777" w:rsidR="00ED0443" w:rsidRPr="00117BF8" w:rsidRDefault="00ED0443" w:rsidP="005D6624">
            <w:pPr>
              <w:pStyle w:val="TablaC"/>
              <w:jc w:val="left"/>
              <w:rPr>
                <w:rFonts w:ascii="Arial" w:hAnsi="Arial" w:cs="Arial"/>
                <w:sz w:val="18"/>
                <w:szCs w:val="18"/>
                <w:lang w:val="es-ES_tradnl"/>
              </w:rPr>
            </w:pPr>
            <w:r w:rsidRPr="00117BF8">
              <w:rPr>
                <w:rFonts w:ascii="Arial" w:hAnsi="Arial" w:cs="Arial"/>
                <w:sz w:val="18"/>
                <w:szCs w:val="18"/>
                <w:lang w:val="es-ES_tradnl"/>
              </w:rPr>
              <w:t xml:space="preserve">  Contrib. a la Seguridad Social</w:t>
            </w:r>
          </w:p>
        </w:tc>
        <w:tc>
          <w:tcPr>
            <w:tcW w:w="874" w:type="dxa"/>
            <w:tcBorders>
              <w:top w:val="nil"/>
              <w:left w:val="single" w:sz="8" w:space="0" w:color="auto"/>
              <w:bottom w:val="nil"/>
              <w:right w:val="single" w:sz="8" w:space="0" w:color="auto"/>
            </w:tcBorders>
            <w:shd w:val="clear" w:color="000000" w:fill="FFFFFF"/>
            <w:noWrap/>
            <w:vAlign w:val="center"/>
            <w:hideMark/>
          </w:tcPr>
          <w:p w14:paraId="62337AC9"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66.408,7</w:t>
            </w:r>
          </w:p>
        </w:tc>
        <w:tc>
          <w:tcPr>
            <w:tcW w:w="874" w:type="dxa"/>
            <w:tcBorders>
              <w:top w:val="nil"/>
              <w:left w:val="nil"/>
              <w:bottom w:val="nil"/>
              <w:right w:val="single" w:sz="8" w:space="0" w:color="auto"/>
            </w:tcBorders>
            <w:shd w:val="clear" w:color="000000" w:fill="FFFFFF"/>
            <w:noWrap/>
            <w:vAlign w:val="center"/>
            <w:hideMark/>
          </w:tcPr>
          <w:p w14:paraId="6BFA5F89"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64.013,6</w:t>
            </w:r>
          </w:p>
        </w:tc>
        <w:tc>
          <w:tcPr>
            <w:tcW w:w="874" w:type="dxa"/>
            <w:tcBorders>
              <w:top w:val="nil"/>
              <w:left w:val="nil"/>
              <w:bottom w:val="nil"/>
              <w:right w:val="single" w:sz="8" w:space="0" w:color="auto"/>
            </w:tcBorders>
            <w:shd w:val="clear" w:color="000000" w:fill="FFFFFF"/>
            <w:noWrap/>
            <w:vAlign w:val="center"/>
            <w:hideMark/>
          </w:tcPr>
          <w:p w14:paraId="7F3007E5"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65.037,8</w:t>
            </w:r>
          </w:p>
        </w:tc>
        <w:tc>
          <w:tcPr>
            <w:tcW w:w="874" w:type="dxa"/>
            <w:tcBorders>
              <w:top w:val="nil"/>
              <w:left w:val="nil"/>
              <w:bottom w:val="nil"/>
              <w:right w:val="single" w:sz="8" w:space="0" w:color="auto"/>
            </w:tcBorders>
            <w:shd w:val="clear" w:color="000000" w:fill="FFFFFF"/>
            <w:noWrap/>
            <w:vAlign w:val="center"/>
            <w:hideMark/>
          </w:tcPr>
          <w:p w14:paraId="70ABE99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66.078,4</w:t>
            </w:r>
          </w:p>
        </w:tc>
        <w:tc>
          <w:tcPr>
            <w:tcW w:w="874" w:type="dxa"/>
            <w:tcBorders>
              <w:top w:val="nil"/>
              <w:left w:val="nil"/>
              <w:bottom w:val="nil"/>
              <w:right w:val="single" w:sz="8" w:space="0" w:color="auto"/>
            </w:tcBorders>
            <w:shd w:val="clear" w:color="000000" w:fill="FFFFFF"/>
            <w:noWrap/>
            <w:vAlign w:val="center"/>
            <w:hideMark/>
          </w:tcPr>
          <w:p w14:paraId="0E2CC9AE"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67.060,1</w:t>
            </w:r>
          </w:p>
        </w:tc>
        <w:tc>
          <w:tcPr>
            <w:tcW w:w="874" w:type="dxa"/>
            <w:tcBorders>
              <w:top w:val="nil"/>
              <w:left w:val="nil"/>
              <w:bottom w:val="nil"/>
              <w:right w:val="single" w:sz="8" w:space="0" w:color="auto"/>
            </w:tcBorders>
            <w:shd w:val="clear" w:color="000000" w:fill="FFFFFF"/>
            <w:noWrap/>
            <w:vAlign w:val="center"/>
            <w:hideMark/>
          </w:tcPr>
          <w:p w14:paraId="6741D5E0"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68.056,3</w:t>
            </w:r>
          </w:p>
        </w:tc>
        <w:tc>
          <w:tcPr>
            <w:tcW w:w="874" w:type="dxa"/>
            <w:tcBorders>
              <w:top w:val="nil"/>
              <w:left w:val="nil"/>
              <w:bottom w:val="nil"/>
              <w:right w:val="single" w:sz="8" w:space="0" w:color="auto"/>
            </w:tcBorders>
            <w:shd w:val="clear" w:color="000000" w:fill="FFFFFF"/>
            <w:noWrap/>
            <w:vAlign w:val="center"/>
            <w:hideMark/>
          </w:tcPr>
          <w:p w14:paraId="63B6DF05"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69.067,4</w:t>
            </w:r>
          </w:p>
        </w:tc>
        <w:tc>
          <w:tcPr>
            <w:tcW w:w="1013" w:type="dxa"/>
            <w:tcBorders>
              <w:top w:val="nil"/>
              <w:left w:val="nil"/>
              <w:bottom w:val="nil"/>
              <w:right w:val="single" w:sz="8" w:space="0" w:color="auto"/>
            </w:tcBorders>
            <w:shd w:val="clear" w:color="000000" w:fill="FFFFFF"/>
            <w:noWrap/>
            <w:vAlign w:val="center"/>
            <w:hideMark/>
          </w:tcPr>
          <w:p w14:paraId="7996AB30"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70.093,4</w:t>
            </w:r>
          </w:p>
        </w:tc>
        <w:tc>
          <w:tcPr>
            <w:tcW w:w="1013" w:type="dxa"/>
            <w:tcBorders>
              <w:top w:val="nil"/>
              <w:left w:val="nil"/>
              <w:bottom w:val="nil"/>
              <w:right w:val="single" w:sz="8" w:space="0" w:color="auto"/>
            </w:tcBorders>
            <w:shd w:val="clear" w:color="000000" w:fill="FFFFFF"/>
            <w:noWrap/>
            <w:vAlign w:val="center"/>
            <w:hideMark/>
          </w:tcPr>
          <w:p w14:paraId="2432519E"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71.134,8</w:t>
            </w:r>
          </w:p>
        </w:tc>
        <w:tc>
          <w:tcPr>
            <w:tcW w:w="1013" w:type="dxa"/>
            <w:tcBorders>
              <w:top w:val="nil"/>
              <w:left w:val="nil"/>
              <w:bottom w:val="nil"/>
              <w:right w:val="single" w:sz="8" w:space="0" w:color="auto"/>
            </w:tcBorders>
            <w:shd w:val="clear" w:color="000000" w:fill="FFFFFF"/>
            <w:noWrap/>
            <w:vAlign w:val="center"/>
            <w:hideMark/>
          </w:tcPr>
          <w:p w14:paraId="3971D392"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72.191,5</w:t>
            </w:r>
          </w:p>
        </w:tc>
        <w:tc>
          <w:tcPr>
            <w:tcW w:w="1013" w:type="dxa"/>
            <w:tcBorders>
              <w:top w:val="nil"/>
              <w:left w:val="nil"/>
              <w:bottom w:val="nil"/>
              <w:right w:val="single" w:sz="8" w:space="0" w:color="auto"/>
            </w:tcBorders>
            <w:shd w:val="clear" w:color="000000" w:fill="FFFFFF"/>
            <w:noWrap/>
            <w:vAlign w:val="center"/>
            <w:hideMark/>
          </w:tcPr>
          <w:p w14:paraId="5ECE523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73.264,0</w:t>
            </w:r>
          </w:p>
        </w:tc>
        <w:tc>
          <w:tcPr>
            <w:tcW w:w="1013" w:type="dxa"/>
            <w:tcBorders>
              <w:top w:val="nil"/>
              <w:left w:val="nil"/>
              <w:bottom w:val="nil"/>
              <w:right w:val="single" w:sz="8" w:space="0" w:color="auto"/>
            </w:tcBorders>
            <w:shd w:val="clear" w:color="000000" w:fill="FFFFFF"/>
            <w:noWrap/>
            <w:vAlign w:val="center"/>
            <w:hideMark/>
          </w:tcPr>
          <w:p w14:paraId="2C350171"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74.352,4</w:t>
            </w:r>
          </w:p>
        </w:tc>
        <w:tc>
          <w:tcPr>
            <w:tcW w:w="1013" w:type="dxa"/>
            <w:tcBorders>
              <w:top w:val="nil"/>
              <w:left w:val="nil"/>
              <w:bottom w:val="nil"/>
              <w:right w:val="single" w:sz="8" w:space="0" w:color="auto"/>
            </w:tcBorders>
            <w:shd w:val="clear" w:color="000000" w:fill="FFFFFF"/>
            <w:noWrap/>
            <w:vAlign w:val="center"/>
            <w:hideMark/>
          </w:tcPr>
          <w:p w14:paraId="0885106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75.457,0</w:t>
            </w:r>
          </w:p>
        </w:tc>
      </w:tr>
      <w:tr w:rsidR="00ED0443" w:rsidRPr="004E6455" w14:paraId="49043CF5" w14:textId="77777777" w:rsidTr="00ED0443">
        <w:tc>
          <w:tcPr>
            <w:tcW w:w="2835" w:type="dxa"/>
            <w:tcBorders>
              <w:top w:val="nil"/>
              <w:left w:val="single" w:sz="8" w:space="0" w:color="auto"/>
              <w:bottom w:val="nil"/>
              <w:right w:val="nil"/>
            </w:tcBorders>
            <w:shd w:val="clear" w:color="000000" w:fill="FFFFFF"/>
            <w:noWrap/>
            <w:hideMark/>
          </w:tcPr>
          <w:p w14:paraId="6B83EA44" w14:textId="77777777" w:rsidR="00ED0443" w:rsidRPr="00117BF8" w:rsidRDefault="00ED0443" w:rsidP="005D6624">
            <w:pPr>
              <w:pStyle w:val="TablaC"/>
              <w:jc w:val="left"/>
              <w:rPr>
                <w:rFonts w:ascii="Arial" w:hAnsi="Arial" w:cs="Arial"/>
                <w:sz w:val="18"/>
                <w:szCs w:val="18"/>
              </w:rPr>
            </w:pPr>
            <w:r w:rsidRPr="00117BF8">
              <w:rPr>
                <w:rFonts w:ascii="Arial" w:hAnsi="Arial" w:cs="Arial"/>
                <w:sz w:val="18"/>
                <w:szCs w:val="18"/>
              </w:rPr>
              <w:t xml:space="preserve">  No Tributarios</w:t>
            </w:r>
          </w:p>
        </w:tc>
        <w:tc>
          <w:tcPr>
            <w:tcW w:w="874" w:type="dxa"/>
            <w:tcBorders>
              <w:top w:val="nil"/>
              <w:left w:val="single" w:sz="8" w:space="0" w:color="auto"/>
              <w:bottom w:val="nil"/>
              <w:right w:val="single" w:sz="8" w:space="0" w:color="auto"/>
            </w:tcBorders>
            <w:shd w:val="clear" w:color="000000" w:fill="FFFFFF"/>
            <w:noWrap/>
            <w:vAlign w:val="center"/>
            <w:hideMark/>
          </w:tcPr>
          <w:p w14:paraId="3EBF2F02"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52.612,4</w:t>
            </w:r>
          </w:p>
        </w:tc>
        <w:tc>
          <w:tcPr>
            <w:tcW w:w="874" w:type="dxa"/>
            <w:tcBorders>
              <w:top w:val="nil"/>
              <w:left w:val="nil"/>
              <w:bottom w:val="nil"/>
              <w:right w:val="single" w:sz="8" w:space="0" w:color="auto"/>
            </w:tcBorders>
            <w:shd w:val="clear" w:color="000000" w:fill="FFFFFF"/>
            <w:noWrap/>
            <w:vAlign w:val="center"/>
            <w:hideMark/>
          </w:tcPr>
          <w:p w14:paraId="477B46C1"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51.396,2</w:t>
            </w:r>
          </w:p>
        </w:tc>
        <w:tc>
          <w:tcPr>
            <w:tcW w:w="874" w:type="dxa"/>
            <w:tcBorders>
              <w:top w:val="nil"/>
              <w:left w:val="nil"/>
              <w:bottom w:val="nil"/>
              <w:right w:val="single" w:sz="8" w:space="0" w:color="auto"/>
            </w:tcBorders>
            <w:shd w:val="clear" w:color="000000" w:fill="FFFFFF"/>
            <w:noWrap/>
            <w:vAlign w:val="center"/>
            <w:hideMark/>
          </w:tcPr>
          <w:p w14:paraId="5F562A96"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46.356,3</w:t>
            </w:r>
          </w:p>
        </w:tc>
        <w:tc>
          <w:tcPr>
            <w:tcW w:w="874" w:type="dxa"/>
            <w:tcBorders>
              <w:top w:val="nil"/>
              <w:left w:val="nil"/>
              <w:bottom w:val="nil"/>
              <w:right w:val="single" w:sz="8" w:space="0" w:color="auto"/>
            </w:tcBorders>
            <w:shd w:val="clear" w:color="000000" w:fill="FFFFFF"/>
            <w:noWrap/>
            <w:vAlign w:val="center"/>
            <w:hideMark/>
          </w:tcPr>
          <w:p w14:paraId="07AC997B"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43.237,5</w:t>
            </w:r>
          </w:p>
        </w:tc>
        <w:tc>
          <w:tcPr>
            <w:tcW w:w="874" w:type="dxa"/>
            <w:tcBorders>
              <w:top w:val="nil"/>
              <w:left w:val="nil"/>
              <w:bottom w:val="nil"/>
              <w:right w:val="single" w:sz="8" w:space="0" w:color="auto"/>
            </w:tcBorders>
            <w:shd w:val="clear" w:color="000000" w:fill="FFFFFF"/>
            <w:noWrap/>
            <w:vAlign w:val="center"/>
            <w:hideMark/>
          </w:tcPr>
          <w:p w14:paraId="0388C720"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41.329,6</w:t>
            </w:r>
          </w:p>
        </w:tc>
        <w:tc>
          <w:tcPr>
            <w:tcW w:w="874" w:type="dxa"/>
            <w:tcBorders>
              <w:top w:val="nil"/>
              <w:left w:val="nil"/>
              <w:bottom w:val="nil"/>
              <w:right w:val="single" w:sz="8" w:space="0" w:color="auto"/>
            </w:tcBorders>
            <w:shd w:val="clear" w:color="000000" w:fill="FFFFFF"/>
            <w:noWrap/>
            <w:vAlign w:val="center"/>
            <w:hideMark/>
          </w:tcPr>
          <w:p w14:paraId="314BB605"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39.980,9</w:t>
            </w:r>
          </w:p>
        </w:tc>
        <w:tc>
          <w:tcPr>
            <w:tcW w:w="874" w:type="dxa"/>
            <w:tcBorders>
              <w:top w:val="nil"/>
              <w:left w:val="nil"/>
              <w:bottom w:val="nil"/>
              <w:right w:val="single" w:sz="8" w:space="0" w:color="auto"/>
            </w:tcBorders>
            <w:shd w:val="clear" w:color="000000" w:fill="FFFFFF"/>
            <w:noWrap/>
            <w:vAlign w:val="center"/>
            <w:hideMark/>
          </w:tcPr>
          <w:p w14:paraId="4092BBC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39.361,8</w:t>
            </w:r>
          </w:p>
        </w:tc>
        <w:tc>
          <w:tcPr>
            <w:tcW w:w="1013" w:type="dxa"/>
            <w:tcBorders>
              <w:top w:val="nil"/>
              <w:left w:val="nil"/>
              <w:bottom w:val="nil"/>
              <w:right w:val="single" w:sz="8" w:space="0" w:color="auto"/>
            </w:tcBorders>
            <w:shd w:val="clear" w:color="000000" w:fill="FFFFFF"/>
            <w:noWrap/>
            <w:vAlign w:val="center"/>
            <w:hideMark/>
          </w:tcPr>
          <w:p w14:paraId="583A929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38.760,5</w:t>
            </w:r>
          </w:p>
        </w:tc>
        <w:tc>
          <w:tcPr>
            <w:tcW w:w="1013" w:type="dxa"/>
            <w:tcBorders>
              <w:top w:val="nil"/>
              <w:left w:val="nil"/>
              <w:bottom w:val="nil"/>
              <w:right w:val="single" w:sz="8" w:space="0" w:color="auto"/>
            </w:tcBorders>
            <w:shd w:val="clear" w:color="000000" w:fill="FFFFFF"/>
            <w:noWrap/>
            <w:vAlign w:val="center"/>
            <w:hideMark/>
          </w:tcPr>
          <w:p w14:paraId="5A1687C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38.176,4</w:t>
            </w:r>
          </w:p>
        </w:tc>
        <w:tc>
          <w:tcPr>
            <w:tcW w:w="1013" w:type="dxa"/>
            <w:tcBorders>
              <w:top w:val="nil"/>
              <w:left w:val="nil"/>
              <w:bottom w:val="nil"/>
              <w:right w:val="single" w:sz="8" w:space="0" w:color="auto"/>
            </w:tcBorders>
            <w:shd w:val="clear" w:color="000000" w:fill="FFFFFF"/>
            <w:noWrap/>
            <w:vAlign w:val="center"/>
            <w:hideMark/>
          </w:tcPr>
          <w:p w14:paraId="2D634D09"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37.609,2</w:t>
            </w:r>
          </w:p>
        </w:tc>
        <w:tc>
          <w:tcPr>
            <w:tcW w:w="1013" w:type="dxa"/>
            <w:tcBorders>
              <w:top w:val="nil"/>
              <w:left w:val="nil"/>
              <w:bottom w:val="nil"/>
              <w:right w:val="single" w:sz="8" w:space="0" w:color="auto"/>
            </w:tcBorders>
            <w:shd w:val="clear" w:color="000000" w:fill="FFFFFF"/>
            <w:noWrap/>
            <w:vAlign w:val="center"/>
            <w:hideMark/>
          </w:tcPr>
          <w:p w14:paraId="558F1C26"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37.058,2</w:t>
            </w:r>
          </w:p>
        </w:tc>
        <w:tc>
          <w:tcPr>
            <w:tcW w:w="1013" w:type="dxa"/>
            <w:tcBorders>
              <w:top w:val="nil"/>
              <w:left w:val="nil"/>
              <w:bottom w:val="nil"/>
              <w:right w:val="single" w:sz="8" w:space="0" w:color="auto"/>
            </w:tcBorders>
            <w:shd w:val="clear" w:color="000000" w:fill="FFFFFF"/>
            <w:noWrap/>
            <w:vAlign w:val="center"/>
            <w:hideMark/>
          </w:tcPr>
          <w:p w14:paraId="6E37BB63"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36.523,0</w:t>
            </w:r>
          </w:p>
        </w:tc>
        <w:tc>
          <w:tcPr>
            <w:tcW w:w="1013" w:type="dxa"/>
            <w:tcBorders>
              <w:top w:val="nil"/>
              <w:left w:val="nil"/>
              <w:bottom w:val="nil"/>
              <w:right w:val="single" w:sz="8" w:space="0" w:color="auto"/>
            </w:tcBorders>
            <w:shd w:val="clear" w:color="000000" w:fill="FFFFFF"/>
            <w:noWrap/>
            <w:vAlign w:val="center"/>
            <w:hideMark/>
          </w:tcPr>
          <w:p w14:paraId="6B1CC025"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36.003,2</w:t>
            </w:r>
          </w:p>
        </w:tc>
      </w:tr>
      <w:tr w:rsidR="00ED0443" w:rsidRPr="004E6455" w14:paraId="29A2BCE1" w14:textId="77777777" w:rsidTr="00ED0443">
        <w:tc>
          <w:tcPr>
            <w:tcW w:w="2835" w:type="dxa"/>
            <w:tcBorders>
              <w:top w:val="single" w:sz="8" w:space="0" w:color="auto"/>
              <w:left w:val="single" w:sz="8" w:space="0" w:color="auto"/>
              <w:bottom w:val="single" w:sz="8" w:space="0" w:color="auto"/>
              <w:right w:val="nil"/>
            </w:tcBorders>
            <w:shd w:val="clear" w:color="000000" w:fill="FFFFFF"/>
            <w:noWrap/>
            <w:hideMark/>
          </w:tcPr>
          <w:p w14:paraId="42A36409" w14:textId="77777777" w:rsidR="00ED0443" w:rsidRPr="00117BF8" w:rsidRDefault="00ED0443" w:rsidP="005D6624">
            <w:pPr>
              <w:pStyle w:val="TablaC"/>
              <w:jc w:val="left"/>
              <w:rPr>
                <w:rFonts w:ascii="Arial" w:hAnsi="Arial" w:cs="Arial"/>
                <w:b/>
                <w:sz w:val="18"/>
                <w:szCs w:val="18"/>
              </w:rPr>
            </w:pPr>
            <w:r w:rsidRPr="00117BF8">
              <w:rPr>
                <w:rFonts w:ascii="Arial" w:hAnsi="Arial" w:cs="Arial"/>
                <w:b/>
                <w:sz w:val="18"/>
                <w:szCs w:val="18"/>
              </w:rPr>
              <w:t>II. GASTOS CORRIENTES</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418FBA"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398.420,6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B339FF9"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379.213,9</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268CDF49"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385.796,6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55EC678"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395.162,1</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FF09FFE"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402.962,6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D36A82A"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410.216,8</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4DE4BBE"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416.957,2</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3F0C94DC"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424.608,0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0B797C8"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433.345,6</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7E46C80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441.276,4</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7C74450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449.478,7</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1388F5E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457.990,9</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084DBEF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467.147,7</w:t>
            </w:r>
          </w:p>
        </w:tc>
      </w:tr>
      <w:tr w:rsidR="00ED0443" w:rsidRPr="004E6455" w14:paraId="541CFC1C" w14:textId="77777777" w:rsidTr="00ED0443">
        <w:tc>
          <w:tcPr>
            <w:tcW w:w="2835" w:type="dxa"/>
            <w:tcBorders>
              <w:top w:val="nil"/>
              <w:left w:val="single" w:sz="8" w:space="0" w:color="auto"/>
              <w:bottom w:val="nil"/>
              <w:right w:val="nil"/>
            </w:tcBorders>
            <w:shd w:val="clear" w:color="000000" w:fill="FFFFFF"/>
            <w:noWrap/>
            <w:hideMark/>
          </w:tcPr>
          <w:p w14:paraId="6334C659" w14:textId="77777777" w:rsidR="00ED0443" w:rsidRPr="00117BF8" w:rsidRDefault="00ED0443" w:rsidP="005D6624">
            <w:pPr>
              <w:pStyle w:val="TablaC"/>
              <w:jc w:val="left"/>
              <w:rPr>
                <w:rFonts w:ascii="Arial" w:hAnsi="Arial" w:cs="Arial"/>
                <w:sz w:val="18"/>
                <w:szCs w:val="18"/>
              </w:rPr>
            </w:pPr>
            <w:r w:rsidRPr="00117BF8">
              <w:rPr>
                <w:rFonts w:ascii="Arial" w:hAnsi="Arial" w:cs="Arial"/>
                <w:sz w:val="18"/>
                <w:szCs w:val="18"/>
              </w:rPr>
              <w:t xml:space="preserve">  Personal</w:t>
            </w:r>
          </w:p>
        </w:tc>
        <w:tc>
          <w:tcPr>
            <w:tcW w:w="874" w:type="dxa"/>
            <w:tcBorders>
              <w:top w:val="nil"/>
              <w:left w:val="single" w:sz="8" w:space="0" w:color="auto"/>
              <w:bottom w:val="nil"/>
              <w:right w:val="single" w:sz="8" w:space="0" w:color="auto"/>
            </w:tcBorders>
            <w:shd w:val="clear" w:color="000000" w:fill="FFFFFF"/>
            <w:noWrap/>
            <w:vAlign w:val="center"/>
            <w:hideMark/>
          </w:tcPr>
          <w:p w14:paraId="7AAA3086"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198.342,5</w:t>
            </w:r>
          </w:p>
        </w:tc>
        <w:tc>
          <w:tcPr>
            <w:tcW w:w="874" w:type="dxa"/>
            <w:tcBorders>
              <w:top w:val="nil"/>
              <w:left w:val="nil"/>
              <w:bottom w:val="nil"/>
              <w:right w:val="single" w:sz="8" w:space="0" w:color="auto"/>
            </w:tcBorders>
            <w:shd w:val="clear" w:color="000000" w:fill="FFFFFF"/>
            <w:noWrap/>
            <w:vAlign w:val="center"/>
            <w:hideMark/>
          </w:tcPr>
          <w:p w14:paraId="6E148FF8"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191.189,1</w:t>
            </w:r>
          </w:p>
        </w:tc>
        <w:tc>
          <w:tcPr>
            <w:tcW w:w="874" w:type="dxa"/>
            <w:tcBorders>
              <w:top w:val="nil"/>
              <w:left w:val="nil"/>
              <w:bottom w:val="nil"/>
              <w:right w:val="single" w:sz="8" w:space="0" w:color="auto"/>
            </w:tcBorders>
            <w:shd w:val="clear" w:color="000000" w:fill="FFFFFF"/>
            <w:noWrap/>
            <w:vAlign w:val="center"/>
            <w:hideMark/>
          </w:tcPr>
          <w:p w14:paraId="25E410B6"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194.248,1</w:t>
            </w:r>
          </w:p>
        </w:tc>
        <w:tc>
          <w:tcPr>
            <w:tcW w:w="874" w:type="dxa"/>
            <w:tcBorders>
              <w:top w:val="nil"/>
              <w:left w:val="nil"/>
              <w:bottom w:val="nil"/>
              <w:right w:val="single" w:sz="8" w:space="0" w:color="auto"/>
            </w:tcBorders>
            <w:shd w:val="clear" w:color="000000" w:fill="FFFFFF"/>
            <w:noWrap/>
            <w:vAlign w:val="center"/>
            <w:hideMark/>
          </w:tcPr>
          <w:p w14:paraId="3961D415"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197.356,0</w:t>
            </w:r>
          </w:p>
        </w:tc>
        <w:tc>
          <w:tcPr>
            <w:tcW w:w="874" w:type="dxa"/>
            <w:tcBorders>
              <w:top w:val="nil"/>
              <w:left w:val="nil"/>
              <w:bottom w:val="nil"/>
              <w:right w:val="single" w:sz="8" w:space="0" w:color="auto"/>
            </w:tcBorders>
            <w:shd w:val="clear" w:color="000000" w:fill="FFFFFF"/>
            <w:noWrap/>
            <w:vAlign w:val="center"/>
            <w:hideMark/>
          </w:tcPr>
          <w:p w14:paraId="79120BC8"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200.288,0</w:t>
            </w:r>
          </w:p>
        </w:tc>
        <w:tc>
          <w:tcPr>
            <w:tcW w:w="874" w:type="dxa"/>
            <w:tcBorders>
              <w:top w:val="nil"/>
              <w:left w:val="nil"/>
              <w:bottom w:val="nil"/>
              <w:right w:val="single" w:sz="8" w:space="0" w:color="auto"/>
            </w:tcBorders>
            <w:shd w:val="clear" w:color="000000" w:fill="FFFFFF"/>
            <w:noWrap/>
            <w:vAlign w:val="center"/>
            <w:hideMark/>
          </w:tcPr>
          <w:p w14:paraId="445AF5E9"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203.263,5</w:t>
            </w:r>
          </w:p>
        </w:tc>
        <w:tc>
          <w:tcPr>
            <w:tcW w:w="874" w:type="dxa"/>
            <w:tcBorders>
              <w:top w:val="nil"/>
              <w:left w:val="nil"/>
              <w:bottom w:val="nil"/>
              <w:right w:val="single" w:sz="8" w:space="0" w:color="auto"/>
            </w:tcBorders>
            <w:shd w:val="clear" w:color="000000" w:fill="FFFFFF"/>
            <w:noWrap/>
            <w:vAlign w:val="center"/>
            <w:hideMark/>
          </w:tcPr>
          <w:p w14:paraId="7098C80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206.283,2</w:t>
            </w:r>
          </w:p>
        </w:tc>
        <w:tc>
          <w:tcPr>
            <w:tcW w:w="1013" w:type="dxa"/>
            <w:tcBorders>
              <w:top w:val="nil"/>
              <w:left w:val="nil"/>
              <w:bottom w:val="nil"/>
              <w:right w:val="single" w:sz="8" w:space="0" w:color="auto"/>
            </w:tcBorders>
            <w:shd w:val="clear" w:color="000000" w:fill="FFFFFF"/>
            <w:noWrap/>
            <w:vAlign w:val="center"/>
            <w:hideMark/>
          </w:tcPr>
          <w:p w14:paraId="303EB353"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209.347,7</w:t>
            </w:r>
          </w:p>
        </w:tc>
        <w:tc>
          <w:tcPr>
            <w:tcW w:w="1013" w:type="dxa"/>
            <w:tcBorders>
              <w:top w:val="nil"/>
              <w:left w:val="nil"/>
              <w:bottom w:val="nil"/>
              <w:right w:val="single" w:sz="8" w:space="0" w:color="auto"/>
            </w:tcBorders>
            <w:shd w:val="clear" w:color="000000" w:fill="FFFFFF"/>
            <w:noWrap/>
            <w:vAlign w:val="center"/>
            <w:hideMark/>
          </w:tcPr>
          <w:p w14:paraId="70723783"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212.457,8</w:t>
            </w:r>
          </w:p>
        </w:tc>
        <w:tc>
          <w:tcPr>
            <w:tcW w:w="1013" w:type="dxa"/>
            <w:tcBorders>
              <w:top w:val="nil"/>
              <w:left w:val="nil"/>
              <w:bottom w:val="nil"/>
              <w:right w:val="single" w:sz="8" w:space="0" w:color="auto"/>
            </w:tcBorders>
            <w:shd w:val="clear" w:color="000000" w:fill="FFFFFF"/>
            <w:noWrap/>
            <w:vAlign w:val="center"/>
            <w:hideMark/>
          </w:tcPr>
          <w:p w14:paraId="68C89DEA"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215.614,1</w:t>
            </w:r>
          </w:p>
        </w:tc>
        <w:tc>
          <w:tcPr>
            <w:tcW w:w="1013" w:type="dxa"/>
            <w:tcBorders>
              <w:top w:val="nil"/>
              <w:left w:val="nil"/>
              <w:bottom w:val="nil"/>
              <w:right w:val="single" w:sz="8" w:space="0" w:color="auto"/>
            </w:tcBorders>
            <w:shd w:val="clear" w:color="000000" w:fill="FFFFFF"/>
            <w:noWrap/>
            <w:vAlign w:val="center"/>
            <w:hideMark/>
          </w:tcPr>
          <w:p w14:paraId="735F07A0"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218.817,3</w:t>
            </w:r>
          </w:p>
        </w:tc>
        <w:tc>
          <w:tcPr>
            <w:tcW w:w="1013" w:type="dxa"/>
            <w:tcBorders>
              <w:top w:val="nil"/>
              <w:left w:val="nil"/>
              <w:bottom w:val="nil"/>
              <w:right w:val="single" w:sz="8" w:space="0" w:color="auto"/>
            </w:tcBorders>
            <w:shd w:val="clear" w:color="000000" w:fill="FFFFFF"/>
            <w:noWrap/>
            <w:vAlign w:val="center"/>
            <w:hideMark/>
          </w:tcPr>
          <w:p w14:paraId="1FB47B5D"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222.068,1</w:t>
            </w:r>
          </w:p>
        </w:tc>
        <w:tc>
          <w:tcPr>
            <w:tcW w:w="1013" w:type="dxa"/>
            <w:tcBorders>
              <w:top w:val="nil"/>
              <w:left w:val="nil"/>
              <w:bottom w:val="nil"/>
              <w:right w:val="single" w:sz="8" w:space="0" w:color="auto"/>
            </w:tcBorders>
            <w:shd w:val="clear" w:color="000000" w:fill="FFFFFF"/>
            <w:noWrap/>
            <w:vAlign w:val="center"/>
            <w:hideMark/>
          </w:tcPr>
          <w:p w14:paraId="69ED6A89"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225.367,1</w:t>
            </w:r>
          </w:p>
        </w:tc>
      </w:tr>
      <w:tr w:rsidR="00ED0443" w:rsidRPr="004E6455" w14:paraId="7EDCF4F1" w14:textId="77777777" w:rsidTr="00ED0443">
        <w:tc>
          <w:tcPr>
            <w:tcW w:w="2835" w:type="dxa"/>
            <w:tcBorders>
              <w:top w:val="nil"/>
              <w:left w:val="single" w:sz="8" w:space="0" w:color="auto"/>
              <w:bottom w:val="nil"/>
              <w:right w:val="nil"/>
            </w:tcBorders>
            <w:shd w:val="clear" w:color="000000" w:fill="FFFFFF"/>
            <w:noWrap/>
            <w:hideMark/>
          </w:tcPr>
          <w:p w14:paraId="77009F0D" w14:textId="77777777" w:rsidR="00ED0443" w:rsidRPr="00117BF8" w:rsidRDefault="00ED0443" w:rsidP="005D6624">
            <w:pPr>
              <w:pStyle w:val="TablaC"/>
              <w:jc w:val="left"/>
              <w:rPr>
                <w:rFonts w:ascii="Arial" w:hAnsi="Arial" w:cs="Arial"/>
                <w:sz w:val="18"/>
                <w:szCs w:val="18"/>
              </w:rPr>
            </w:pPr>
            <w:r w:rsidRPr="00117BF8">
              <w:rPr>
                <w:rFonts w:ascii="Arial" w:hAnsi="Arial" w:cs="Arial"/>
                <w:sz w:val="18"/>
                <w:szCs w:val="18"/>
              </w:rPr>
              <w:t xml:space="preserve">  Bienes y Servicios</w:t>
            </w:r>
          </w:p>
        </w:tc>
        <w:tc>
          <w:tcPr>
            <w:tcW w:w="874" w:type="dxa"/>
            <w:tcBorders>
              <w:top w:val="nil"/>
              <w:left w:val="single" w:sz="8" w:space="0" w:color="auto"/>
              <w:bottom w:val="nil"/>
              <w:right w:val="single" w:sz="8" w:space="0" w:color="auto"/>
            </w:tcBorders>
            <w:shd w:val="clear" w:color="000000" w:fill="FFFFFF"/>
            <w:noWrap/>
            <w:vAlign w:val="center"/>
            <w:hideMark/>
          </w:tcPr>
          <w:p w14:paraId="6DE2B09A"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19.084,4</w:t>
            </w:r>
          </w:p>
        </w:tc>
        <w:tc>
          <w:tcPr>
            <w:tcW w:w="874" w:type="dxa"/>
            <w:tcBorders>
              <w:top w:val="nil"/>
              <w:left w:val="nil"/>
              <w:bottom w:val="nil"/>
              <w:right w:val="single" w:sz="8" w:space="0" w:color="auto"/>
            </w:tcBorders>
            <w:shd w:val="clear" w:color="000000" w:fill="FFFFFF"/>
            <w:noWrap/>
            <w:vAlign w:val="center"/>
            <w:hideMark/>
          </w:tcPr>
          <w:p w14:paraId="2C9DFFF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19.599,7</w:t>
            </w:r>
          </w:p>
        </w:tc>
        <w:tc>
          <w:tcPr>
            <w:tcW w:w="874" w:type="dxa"/>
            <w:tcBorders>
              <w:top w:val="nil"/>
              <w:left w:val="nil"/>
              <w:bottom w:val="nil"/>
              <w:right w:val="single" w:sz="8" w:space="0" w:color="auto"/>
            </w:tcBorders>
            <w:shd w:val="clear" w:color="000000" w:fill="FFFFFF"/>
            <w:noWrap/>
            <w:vAlign w:val="center"/>
            <w:hideMark/>
          </w:tcPr>
          <w:p w14:paraId="4470FECB"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20.226,9</w:t>
            </w:r>
          </w:p>
        </w:tc>
        <w:tc>
          <w:tcPr>
            <w:tcW w:w="874" w:type="dxa"/>
            <w:tcBorders>
              <w:top w:val="nil"/>
              <w:left w:val="nil"/>
              <w:bottom w:val="nil"/>
              <w:right w:val="single" w:sz="8" w:space="0" w:color="auto"/>
            </w:tcBorders>
            <w:shd w:val="clear" w:color="000000" w:fill="FFFFFF"/>
            <w:noWrap/>
            <w:vAlign w:val="center"/>
            <w:hideMark/>
          </w:tcPr>
          <w:p w14:paraId="3DEB92B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20.874,1</w:t>
            </w:r>
          </w:p>
        </w:tc>
        <w:tc>
          <w:tcPr>
            <w:tcW w:w="874" w:type="dxa"/>
            <w:tcBorders>
              <w:top w:val="nil"/>
              <w:left w:val="nil"/>
              <w:bottom w:val="nil"/>
              <w:right w:val="single" w:sz="8" w:space="0" w:color="auto"/>
            </w:tcBorders>
            <w:shd w:val="clear" w:color="000000" w:fill="FFFFFF"/>
            <w:noWrap/>
            <w:vAlign w:val="center"/>
            <w:hideMark/>
          </w:tcPr>
          <w:p w14:paraId="1167DEE2"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21.494,3</w:t>
            </w:r>
          </w:p>
        </w:tc>
        <w:tc>
          <w:tcPr>
            <w:tcW w:w="874" w:type="dxa"/>
            <w:tcBorders>
              <w:top w:val="nil"/>
              <w:left w:val="nil"/>
              <w:bottom w:val="nil"/>
              <w:right w:val="single" w:sz="8" w:space="0" w:color="auto"/>
            </w:tcBorders>
            <w:shd w:val="clear" w:color="000000" w:fill="FFFFFF"/>
            <w:noWrap/>
            <w:vAlign w:val="center"/>
            <w:hideMark/>
          </w:tcPr>
          <w:p w14:paraId="58DE2F42"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22.133,0</w:t>
            </w:r>
          </w:p>
        </w:tc>
        <w:tc>
          <w:tcPr>
            <w:tcW w:w="874" w:type="dxa"/>
            <w:tcBorders>
              <w:top w:val="nil"/>
              <w:left w:val="nil"/>
              <w:bottom w:val="nil"/>
              <w:right w:val="single" w:sz="8" w:space="0" w:color="auto"/>
            </w:tcBorders>
            <w:shd w:val="clear" w:color="000000" w:fill="FFFFFF"/>
            <w:noWrap/>
            <w:vAlign w:val="center"/>
            <w:hideMark/>
          </w:tcPr>
          <w:p w14:paraId="5EC7E8CB"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22.790,6</w:t>
            </w:r>
          </w:p>
        </w:tc>
        <w:tc>
          <w:tcPr>
            <w:tcW w:w="1013" w:type="dxa"/>
            <w:tcBorders>
              <w:top w:val="nil"/>
              <w:left w:val="nil"/>
              <w:bottom w:val="nil"/>
              <w:right w:val="single" w:sz="8" w:space="0" w:color="auto"/>
            </w:tcBorders>
            <w:shd w:val="clear" w:color="000000" w:fill="FFFFFF"/>
            <w:noWrap/>
            <w:vAlign w:val="center"/>
            <w:hideMark/>
          </w:tcPr>
          <w:p w14:paraId="363A8A3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23.490,6</w:t>
            </w:r>
          </w:p>
        </w:tc>
        <w:tc>
          <w:tcPr>
            <w:tcW w:w="1013" w:type="dxa"/>
            <w:tcBorders>
              <w:top w:val="nil"/>
              <w:left w:val="nil"/>
              <w:bottom w:val="nil"/>
              <w:right w:val="single" w:sz="8" w:space="0" w:color="auto"/>
            </w:tcBorders>
            <w:shd w:val="clear" w:color="000000" w:fill="FFFFFF"/>
            <w:noWrap/>
            <w:vAlign w:val="center"/>
            <w:hideMark/>
          </w:tcPr>
          <w:p w14:paraId="7ED52AFB"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24.211,1</w:t>
            </w:r>
          </w:p>
        </w:tc>
        <w:tc>
          <w:tcPr>
            <w:tcW w:w="1013" w:type="dxa"/>
            <w:tcBorders>
              <w:top w:val="nil"/>
              <w:left w:val="nil"/>
              <w:bottom w:val="nil"/>
              <w:right w:val="single" w:sz="8" w:space="0" w:color="auto"/>
            </w:tcBorders>
            <w:shd w:val="clear" w:color="000000" w:fill="FFFFFF"/>
            <w:noWrap/>
            <w:vAlign w:val="center"/>
            <w:hideMark/>
          </w:tcPr>
          <w:p w14:paraId="52DED891"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24.952,4</w:t>
            </w:r>
          </w:p>
        </w:tc>
        <w:tc>
          <w:tcPr>
            <w:tcW w:w="1013" w:type="dxa"/>
            <w:tcBorders>
              <w:top w:val="nil"/>
              <w:left w:val="nil"/>
              <w:bottom w:val="nil"/>
              <w:right w:val="single" w:sz="8" w:space="0" w:color="auto"/>
            </w:tcBorders>
            <w:shd w:val="clear" w:color="000000" w:fill="FFFFFF"/>
            <w:noWrap/>
            <w:vAlign w:val="center"/>
            <w:hideMark/>
          </w:tcPr>
          <w:p w14:paraId="4A271668"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25.715,4</w:t>
            </w:r>
          </w:p>
        </w:tc>
        <w:tc>
          <w:tcPr>
            <w:tcW w:w="1013" w:type="dxa"/>
            <w:tcBorders>
              <w:top w:val="nil"/>
              <w:left w:val="nil"/>
              <w:bottom w:val="nil"/>
              <w:right w:val="single" w:sz="8" w:space="0" w:color="auto"/>
            </w:tcBorders>
            <w:shd w:val="clear" w:color="000000" w:fill="FFFFFF"/>
            <w:noWrap/>
            <w:vAlign w:val="center"/>
            <w:hideMark/>
          </w:tcPr>
          <w:p w14:paraId="5893648E"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26.500,7</w:t>
            </w:r>
          </w:p>
        </w:tc>
        <w:tc>
          <w:tcPr>
            <w:tcW w:w="1013" w:type="dxa"/>
            <w:tcBorders>
              <w:top w:val="nil"/>
              <w:left w:val="nil"/>
              <w:bottom w:val="nil"/>
              <w:right w:val="single" w:sz="8" w:space="0" w:color="auto"/>
            </w:tcBorders>
            <w:shd w:val="clear" w:color="000000" w:fill="FFFFFF"/>
            <w:noWrap/>
            <w:vAlign w:val="center"/>
            <w:hideMark/>
          </w:tcPr>
          <w:p w14:paraId="29856E15"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27.308,8</w:t>
            </w:r>
          </w:p>
        </w:tc>
      </w:tr>
      <w:tr w:rsidR="00ED0443" w:rsidRPr="004E6455" w14:paraId="04AC8A64" w14:textId="77777777" w:rsidTr="00ED0443">
        <w:tc>
          <w:tcPr>
            <w:tcW w:w="2835" w:type="dxa"/>
            <w:tcBorders>
              <w:top w:val="nil"/>
              <w:left w:val="single" w:sz="8" w:space="0" w:color="auto"/>
              <w:bottom w:val="nil"/>
              <w:right w:val="nil"/>
            </w:tcBorders>
            <w:shd w:val="clear" w:color="000000" w:fill="FFFFFF"/>
            <w:noWrap/>
            <w:hideMark/>
          </w:tcPr>
          <w:p w14:paraId="7DADAF2B" w14:textId="77777777" w:rsidR="00ED0443" w:rsidRPr="00117BF8" w:rsidRDefault="00ED0443" w:rsidP="005D6624">
            <w:pPr>
              <w:pStyle w:val="TablaC"/>
              <w:jc w:val="left"/>
              <w:rPr>
                <w:rFonts w:ascii="Arial" w:hAnsi="Arial" w:cs="Arial"/>
                <w:sz w:val="18"/>
                <w:szCs w:val="18"/>
              </w:rPr>
            </w:pPr>
            <w:r w:rsidRPr="00117BF8">
              <w:rPr>
                <w:rFonts w:ascii="Arial" w:hAnsi="Arial" w:cs="Arial"/>
                <w:sz w:val="18"/>
                <w:szCs w:val="18"/>
              </w:rPr>
              <w:t xml:space="preserve">  Intereses</w:t>
            </w:r>
          </w:p>
        </w:tc>
        <w:tc>
          <w:tcPr>
            <w:tcW w:w="874" w:type="dxa"/>
            <w:tcBorders>
              <w:top w:val="nil"/>
              <w:left w:val="single" w:sz="8" w:space="0" w:color="auto"/>
              <w:bottom w:val="nil"/>
              <w:right w:val="single" w:sz="8" w:space="0" w:color="auto"/>
            </w:tcBorders>
            <w:shd w:val="clear" w:color="000000" w:fill="FFFFFF"/>
            <w:noWrap/>
            <w:vAlign w:val="center"/>
            <w:hideMark/>
          </w:tcPr>
          <w:p w14:paraId="0B25FAF0"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15.978,4</w:t>
            </w:r>
          </w:p>
        </w:tc>
        <w:tc>
          <w:tcPr>
            <w:tcW w:w="874" w:type="dxa"/>
            <w:tcBorders>
              <w:top w:val="nil"/>
              <w:left w:val="nil"/>
              <w:bottom w:val="nil"/>
              <w:right w:val="single" w:sz="8" w:space="0" w:color="auto"/>
            </w:tcBorders>
            <w:shd w:val="clear" w:color="000000" w:fill="FFFFFF"/>
            <w:noWrap/>
            <w:vAlign w:val="center"/>
            <w:hideMark/>
          </w:tcPr>
          <w:p w14:paraId="4B187578"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16.901,5</w:t>
            </w:r>
          </w:p>
        </w:tc>
        <w:tc>
          <w:tcPr>
            <w:tcW w:w="874" w:type="dxa"/>
            <w:tcBorders>
              <w:top w:val="nil"/>
              <w:left w:val="nil"/>
              <w:bottom w:val="nil"/>
              <w:right w:val="single" w:sz="8" w:space="0" w:color="auto"/>
            </w:tcBorders>
            <w:shd w:val="clear" w:color="000000" w:fill="FFFFFF"/>
            <w:noWrap/>
            <w:vAlign w:val="center"/>
            <w:hideMark/>
          </w:tcPr>
          <w:p w14:paraId="045F63D9"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16.367,0</w:t>
            </w:r>
          </w:p>
        </w:tc>
        <w:tc>
          <w:tcPr>
            <w:tcW w:w="874" w:type="dxa"/>
            <w:tcBorders>
              <w:top w:val="nil"/>
              <w:left w:val="nil"/>
              <w:bottom w:val="nil"/>
              <w:right w:val="single" w:sz="8" w:space="0" w:color="auto"/>
            </w:tcBorders>
            <w:shd w:val="clear" w:color="000000" w:fill="FFFFFF"/>
            <w:noWrap/>
            <w:vAlign w:val="center"/>
            <w:hideMark/>
          </w:tcPr>
          <w:p w14:paraId="5A863AD8"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18.518,3</w:t>
            </w:r>
          </w:p>
        </w:tc>
        <w:tc>
          <w:tcPr>
            <w:tcW w:w="874" w:type="dxa"/>
            <w:tcBorders>
              <w:top w:val="nil"/>
              <w:left w:val="nil"/>
              <w:bottom w:val="nil"/>
              <w:right w:val="single" w:sz="8" w:space="0" w:color="auto"/>
            </w:tcBorders>
            <w:shd w:val="clear" w:color="000000" w:fill="FFFFFF"/>
            <w:noWrap/>
            <w:vAlign w:val="center"/>
            <w:hideMark/>
          </w:tcPr>
          <w:p w14:paraId="6A8C677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19.532,3</w:t>
            </w:r>
          </w:p>
        </w:tc>
        <w:tc>
          <w:tcPr>
            <w:tcW w:w="874" w:type="dxa"/>
            <w:tcBorders>
              <w:top w:val="nil"/>
              <w:left w:val="nil"/>
              <w:bottom w:val="nil"/>
              <w:right w:val="single" w:sz="8" w:space="0" w:color="auto"/>
            </w:tcBorders>
            <w:shd w:val="clear" w:color="000000" w:fill="FFFFFF"/>
            <w:noWrap/>
            <w:vAlign w:val="center"/>
            <w:hideMark/>
          </w:tcPr>
          <w:p w14:paraId="2769B811"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19.863,8</w:t>
            </w:r>
          </w:p>
        </w:tc>
        <w:tc>
          <w:tcPr>
            <w:tcW w:w="874" w:type="dxa"/>
            <w:tcBorders>
              <w:top w:val="nil"/>
              <w:left w:val="nil"/>
              <w:bottom w:val="nil"/>
              <w:right w:val="single" w:sz="8" w:space="0" w:color="auto"/>
            </w:tcBorders>
            <w:shd w:val="clear" w:color="000000" w:fill="FFFFFF"/>
            <w:noWrap/>
            <w:vAlign w:val="center"/>
            <w:hideMark/>
          </w:tcPr>
          <w:p w14:paraId="1DC71F5F"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19.542,1</w:t>
            </w:r>
          </w:p>
        </w:tc>
        <w:tc>
          <w:tcPr>
            <w:tcW w:w="1013" w:type="dxa"/>
            <w:tcBorders>
              <w:top w:val="nil"/>
              <w:left w:val="nil"/>
              <w:bottom w:val="nil"/>
              <w:right w:val="single" w:sz="8" w:space="0" w:color="auto"/>
            </w:tcBorders>
            <w:shd w:val="clear" w:color="000000" w:fill="FFFFFF"/>
            <w:noWrap/>
            <w:vAlign w:val="center"/>
            <w:hideMark/>
          </w:tcPr>
          <w:p w14:paraId="7B0B460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19.965,6</w:t>
            </w:r>
          </w:p>
        </w:tc>
        <w:tc>
          <w:tcPr>
            <w:tcW w:w="1013" w:type="dxa"/>
            <w:tcBorders>
              <w:top w:val="nil"/>
              <w:left w:val="nil"/>
              <w:bottom w:val="nil"/>
              <w:right w:val="single" w:sz="8" w:space="0" w:color="auto"/>
            </w:tcBorders>
            <w:shd w:val="clear" w:color="000000" w:fill="FFFFFF"/>
            <w:noWrap/>
            <w:vAlign w:val="center"/>
            <w:hideMark/>
          </w:tcPr>
          <w:p w14:paraId="7A8A04BB"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21.329,9</w:t>
            </w:r>
          </w:p>
        </w:tc>
        <w:tc>
          <w:tcPr>
            <w:tcW w:w="1013" w:type="dxa"/>
            <w:tcBorders>
              <w:top w:val="nil"/>
              <w:left w:val="nil"/>
              <w:bottom w:val="nil"/>
              <w:right w:val="single" w:sz="8" w:space="0" w:color="auto"/>
            </w:tcBorders>
            <w:shd w:val="clear" w:color="000000" w:fill="FFFFFF"/>
            <w:noWrap/>
            <w:vAlign w:val="center"/>
            <w:hideMark/>
          </w:tcPr>
          <w:p w14:paraId="1BE46EC0"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21.738,3</w:t>
            </w:r>
          </w:p>
        </w:tc>
        <w:tc>
          <w:tcPr>
            <w:tcW w:w="1013" w:type="dxa"/>
            <w:tcBorders>
              <w:top w:val="nil"/>
              <w:left w:val="nil"/>
              <w:bottom w:val="nil"/>
              <w:right w:val="single" w:sz="8" w:space="0" w:color="auto"/>
            </w:tcBorders>
            <w:shd w:val="clear" w:color="000000" w:fill="FFFFFF"/>
            <w:noWrap/>
            <w:vAlign w:val="center"/>
            <w:hideMark/>
          </w:tcPr>
          <w:p w14:paraId="2579761F"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22.265,4</w:t>
            </w:r>
          </w:p>
        </w:tc>
        <w:tc>
          <w:tcPr>
            <w:tcW w:w="1013" w:type="dxa"/>
            <w:tcBorders>
              <w:top w:val="nil"/>
              <w:left w:val="nil"/>
              <w:bottom w:val="nil"/>
              <w:right w:val="single" w:sz="8" w:space="0" w:color="auto"/>
            </w:tcBorders>
            <w:shd w:val="clear" w:color="000000" w:fill="FFFFFF"/>
            <w:noWrap/>
            <w:vAlign w:val="center"/>
            <w:hideMark/>
          </w:tcPr>
          <w:p w14:paraId="3FB549D8"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22.946,4</w:t>
            </w:r>
          </w:p>
        </w:tc>
        <w:tc>
          <w:tcPr>
            <w:tcW w:w="1013" w:type="dxa"/>
            <w:tcBorders>
              <w:top w:val="nil"/>
              <w:left w:val="nil"/>
              <w:bottom w:val="nil"/>
              <w:right w:val="single" w:sz="8" w:space="0" w:color="auto"/>
            </w:tcBorders>
            <w:shd w:val="clear" w:color="000000" w:fill="FFFFFF"/>
            <w:noWrap/>
            <w:vAlign w:val="center"/>
            <w:hideMark/>
          </w:tcPr>
          <w:p w14:paraId="28DEC15B"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24.112,1</w:t>
            </w:r>
          </w:p>
        </w:tc>
      </w:tr>
      <w:tr w:rsidR="00ED0443" w:rsidRPr="004E6455" w14:paraId="53A09CA6" w14:textId="77777777" w:rsidTr="00ED0443">
        <w:tc>
          <w:tcPr>
            <w:tcW w:w="2835" w:type="dxa"/>
            <w:tcBorders>
              <w:top w:val="nil"/>
              <w:left w:val="single" w:sz="8" w:space="0" w:color="auto"/>
              <w:bottom w:val="nil"/>
              <w:right w:val="nil"/>
            </w:tcBorders>
            <w:shd w:val="clear" w:color="000000" w:fill="FFFFFF"/>
            <w:noWrap/>
            <w:hideMark/>
          </w:tcPr>
          <w:p w14:paraId="6A45D8FF" w14:textId="77777777" w:rsidR="00ED0443" w:rsidRPr="00117BF8" w:rsidRDefault="00ED0443" w:rsidP="005D6624">
            <w:pPr>
              <w:pStyle w:val="TablaC"/>
              <w:jc w:val="left"/>
              <w:rPr>
                <w:rFonts w:ascii="Arial" w:hAnsi="Arial" w:cs="Arial"/>
                <w:sz w:val="18"/>
                <w:szCs w:val="18"/>
                <w:lang w:val="es-ES_tradnl"/>
              </w:rPr>
            </w:pPr>
            <w:r w:rsidRPr="00117BF8">
              <w:rPr>
                <w:rFonts w:ascii="Arial" w:hAnsi="Arial" w:cs="Arial"/>
                <w:sz w:val="18"/>
                <w:szCs w:val="18"/>
                <w:lang w:val="es-ES_tradnl"/>
              </w:rPr>
              <w:t xml:space="preserve">  Prestaciones de la Seguridad Social</w:t>
            </w:r>
          </w:p>
        </w:tc>
        <w:tc>
          <w:tcPr>
            <w:tcW w:w="874" w:type="dxa"/>
            <w:tcBorders>
              <w:top w:val="nil"/>
              <w:left w:val="single" w:sz="8" w:space="0" w:color="auto"/>
              <w:bottom w:val="nil"/>
              <w:right w:val="single" w:sz="8" w:space="0" w:color="auto"/>
            </w:tcBorders>
            <w:shd w:val="clear" w:color="000000" w:fill="FFFFFF"/>
            <w:noWrap/>
            <w:vAlign w:val="center"/>
            <w:hideMark/>
          </w:tcPr>
          <w:p w14:paraId="14A29118"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69.834,6</w:t>
            </w:r>
          </w:p>
        </w:tc>
        <w:tc>
          <w:tcPr>
            <w:tcW w:w="874" w:type="dxa"/>
            <w:tcBorders>
              <w:top w:val="nil"/>
              <w:left w:val="nil"/>
              <w:bottom w:val="nil"/>
              <w:right w:val="single" w:sz="8" w:space="0" w:color="auto"/>
            </w:tcBorders>
            <w:shd w:val="clear" w:color="000000" w:fill="FFFFFF"/>
            <w:noWrap/>
            <w:vAlign w:val="center"/>
            <w:hideMark/>
          </w:tcPr>
          <w:p w14:paraId="3BA5131F"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56.230,7</w:t>
            </w:r>
          </w:p>
        </w:tc>
        <w:tc>
          <w:tcPr>
            <w:tcW w:w="874" w:type="dxa"/>
            <w:tcBorders>
              <w:top w:val="nil"/>
              <w:left w:val="nil"/>
              <w:bottom w:val="nil"/>
              <w:right w:val="single" w:sz="8" w:space="0" w:color="auto"/>
            </w:tcBorders>
            <w:shd w:val="clear" w:color="000000" w:fill="FFFFFF"/>
            <w:noWrap/>
            <w:vAlign w:val="center"/>
            <w:hideMark/>
          </w:tcPr>
          <w:p w14:paraId="46DB581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57.130,4</w:t>
            </w:r>
          </w:p>
        </w:tc>
        <w:tc>
          <w:tcPr>
            <w:tcW w:w="874" w:type="dxa"/>
            <w:tcBorders>
              <w:top w:val="nil"/>
              <w:left w:val="nil"/>
              <w:bottom w:val="nil"/>
              <w:right w:val="single" w:sz="8" w:space="0" w:color="auto"/>
            </w:tcBorders>
            <w:shd w:val="clear" w:color="000000" w:fill="FFFFFF"/>
            <w:noWrap/>
            <w:vAlign w:val="center"/>
            <w:hideMark/>
          </w:tcPr>
          <w:p w14:paraId="67CF3D4D"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58.044,5</w:t>
            </w:r>
          </w:p>
        </w:tc>
        <w:tc>
          <w:tcPr>
            <w:tcW w:w="874" w:type="dxa"/>
            <w:tcBorders>
              <w:top w:val="nil"/>
              <w:left w:val="nil"/>
              <w:bottom w:val="nil"/>
              <w:right w:val="single" w:sz="8" w:space="0" w:color="auto"/>
            </w:tcBorders>
            <w:shd w:val="clear" w:color="000000" w:fill="FFFFFF"/>
            <w:noWrap/>
            <w:vAlign w:val="center"/>
            <w:hideMark/>
          </w:tcPr>
          <w:p w14:paraId="146F8FBD"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58.906,8</w:t>
            </w:r>
          </w:p>
        </w:tc>
        <w:tc>
          <w:tcPr>
            <w:tcW w:w="874" w:type="dxa"/>
            <w:tcBorders>
              <w:top w:val="nil"/>
              <w:left w:val="nil"/>
              <w:bottom w:val="nil"/>
              <w:right w:val="single" w:sz="8" w:space="0" w:color="auto"/>
            </w:tcBorders>
            <w:shd w:val="clear" w:color="000000" w:fill="FFFFFF"/>
            <w:noWrap/>
            <w:vAlign w:val="center"/>
            <w:hideMark/>
          </w:tcPr>
          <w:p w14:paraId="16E9F432"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59.781,9</w:t>
            </w:r>
          </w:p>
        </w:tc>
        <w:tc>
          <w:tcPr>
            <w:tcW w:w="874" w:type="dxa"/>
            <w:tcBorders>
              <w:top w:val="nil"/>
              <w:left w:val="nil"/>
              <w:bottom w:val="nil"/>
              <w:right w:val="single" w:sz="8" w:space="0" w:color="auto"/>
            </w:tcBorders>
            <w:shd w:val="clear" w:color="000000" w:fill="FFFFFF"/>
            <w:noWrap/>
            <w:vAlign w:val="center"/>
            <w:hideMark/>
          </w:tcPr>
          <w:p w14:paraId="2849CDED"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60.670,0</w:t>
            </w:r>
          </w:p>
        </w:tc>
        <w:tc>
          <w:tcPr>
            <w:tcW w:w="1013" w:type="dxa"/>
            <w:tcBorders>
              <w:top w:val="nil"/>
              <w:left w:val="nil"/>
              <w:bottom w:val="nil"/>
              <w:right w:val="single" w:sz="8" w:space="0" w:color="auto"/>
            </w:tcBorders>
            <w:shd w:val="clear" w:color="000000" w:fill="FFFFFF"/>
            <w:noWrap/>
            <w:vAlign w:val="center"/>
            <w:hideMark/>
          </w:tcPr>
          <w:p w14:paraId="326DB392"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61.571,4</w:t>
            </w:r>
          </w:p>
        </w:tc>
        <w:tc>
          <w:tcPr>
            <w:tcW w:w="1013" w:type="dxa"/>
            <w:tcBorders>
              <w:top w:val="nil"/>
              <w:left w:val="nil"/>
              <w:bottom w:val="nil"/>
              <w:right w:val="single" w:sz="8" w:space="0" w:color="auto"/>
            </w:tcBorders>
            <w:shd w:val="clear" w:color="000000" w:fill="FFFFFF"/>
            <w:noWrap/>
            <w:vAlign w:val="center"/>
            <w:hideMark/>
          </w:tcPr>
          <w:p w14:paraId="358EC3E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62.486,1</w:t>
            </w:r>
          </w:p>
        </w:tc>
        <w:tc>
          <w:tcPr>
            <w:tcW w:w="1013" w:type="dxa"/>
            <w:tcBorders>
              <w:top w:val="nil"/>
              <w:left w:val="nil"/>
              <w:bottom w:val="nil"/>
              <w:right w:val="single" w:sz="8" w:space="0" w:color="auto"/>
            </w:tcBorders>
            <w:shd w:val="clear" w:color="000000" w:fill="FFFFFF"/>
            <w:noWrap/>
            <w:vAlign w:val="center"/>
            <w:hideMark/>
          </w:tcPr>
          <w:p w14:paraId="40FE42EB"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63.414,4</w:t>
            </w:r>
          </w:p>
        </w:tc>
        <w:tc>
          <w:tcPr>
            <w:tcW w:w="1013" w:type="dxa"/>
            <w:tcBorders>
              <w:top w:val="nil"/>
              <w:left w:val="nil"/>
              <w:bottom w:val="nil"/>
              <w:right w:val="single" w:sz="8" w:space="0" w:color="auto"/>
            </w:tcBorders>
            <w:shd w:val="clear" w:color="000000" w:fill="FFFFFF"/>
            <w:noWrap/>
            <w:vAlign w:val="center"/>
            <w:hideMark/>
          </w:tcPr>
          <w:p w14:paraId="755A0E9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64.356,5</w:t>
            </w:r>
          </w:p>
        </w:tc>
        <w:tc>
          <w:tcPr>
            <w:tcW w:w="1013" w:type="dxa"/>
            <w:tcBorders>
              <w:top w:val="nil"/>
              <w:left w:val="nil"/>
              <w:bottom w:val="nil"/>
              <w:right w:val="single" w:sz="8" w:space="0" w:color="auto"/>
            </w:tcBorders>
            <w:shd w:val="clear" w:color="000000" w:fill="FFFFFF"/>
            <w:noWrap/>
            <w:vAlign w:val="center"/>
            <w:hideMark/>
          </w:tcPr>
          <w:p w14:paraId="1AEE4279"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65.312,5</w:t>
            </w:r>
          </w:p>
        </w:tc>
        <w:tc>
          <w:tcPr>
            <w:tcW w:w="1013" w:type="dxa"/>
            <w:tcBorders>
              <w:top w:val="nil"/>
              <w:left w:val="nil"/>
              <w:bottom w:val="nil"/>
              <w:right w:val="single" w:sz="8" w:space="0" w:color="auto"/>
            </w:tcBorders>
            <w:shd w:val="clear" w:color="000000" w:fill="FFFFFF"/>
            <w:noWrap/>
            <w:vAlign w:val="center"/>
            <w:hideMark/>
          </w:tcPr>
          <w:p w14:paraId="4178D56D"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66.282,8</w:t>
            </w:r>
          </w:p>
        </w:tc>
      </w:tr>
      <w:tr w:rsidR="00ED0443" w:rsidRPr="004E6455" w14:paraId="3FC54713" w14:textId="77777777" w:rsidTr="00ED0443">
        <w:tc>
          <w:tcPr>
            <w:tcW w:w="2835" w:type="dxa"/>
            <w:tcBorders>
              <w:top w:val="nil"/>
              <w:left w:val="single" w:sz="8" w:space="0" w:color="auto"/>
              <w:bottom w:val="nil"/>
              <w:right w:val="nil"/>
            </w:tcBorders>
            <w:shd w:val="clear" w:color="000000" w:fill="FFFFFF"/>
            <w:noWrap/>
            <w:hideMark/>
          </w:tcPr>
          <w:p w14:paraId="53A67547" w14:textId="77777777" w:rsidR="00ED0443" w:rsidRPr="00117BF8" w:rsidRDefault="00ED0443" w:rsidP="005D6624">
            <w:pPr>
              <w:pStyle w:val="TablaC"/>
              <w:jc w:val="left"/>
              <w:rPr>
                <w:rFonts w:ascii="Arial" w:hAnsi="Arial" w:cs="Arial"/>
                <w:sz w:val="18"/>
                <w:szCs w:val="18"/>
                <w:lang w:val="es-ES_tradnl"/>
              </w:rPr>
            </w:pPr>
            <w:r w:rsidRPr="00117BF8">
              <w:rPr>
                <w:rFonts w:ascii="Arial" w:hAnsi="Arial" w:cs="Arial"/>
                <w:sz w:val="18"/>
                <w:szCs w:val="18"/>
                <w:lang w:val="es-ES_tradnl"/>
              </w:rPr>
              <w:t xml:space="preserve">  Transf. Corrientes y Otros Gastos</w:t>
            </w:r>
          </w:p>
        </w:tc>
        <w:tc>
          <w:tcPr>
            <w:tcW w:w="874" w:type="dxa"/>
            <w:tcBorders>
              <w:top w:val="nil"/>
              <w:left w:val="single" w:sz="8" w:space="0" w:color="auto"/>
              <w:bottom w:val="nil"/>
              <w:right w:val="single" w:sz="8" w:space="0" w:color="auto"/>
            </w:tcBorders>
            <w:shd w:val="clear" w:color="000000" w:fill="FFFFFF"/>
            <w:noWrap/>
            <w:vAlign w:val="center"/>
            <w:hideMark/>
          </w:tcPr>
          <w:p w14:paraId="33EE10FE"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95.180,6</w:t>
            </w:r>
          </w:p>
        </w:tc>
        <w:tc>
          <w:tcPr>
            <w:tcW w:w="874" w:type="dxa"/>
            <w:tcBorders>
              <w:top w:val="nil"/>
              <w:left w:val="nil"/>
              <w:bottom w:val="nil"/>
              <w:right w:val="single" w:sz="8" w:space="0" w:color="auto"/>
            </w:tcBorders>
            <w:shd w:val="clear" w:color="000000" w:fill="FFFFFF"/>
            <w:noWrap/>
            <w:vAlign w:val="center"/>
            <w:hideMark/>
          </w:tcPr>
          <w:p w14:paraId="4F0E9ED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95.293,0</w:t>
            </w:r>
          </w:p>
        </w:tc>
        <w:tc>
          <w:tcPr>
            <w:tcW w:w="874" w:type="dxa"/>
            <w:tcBorders>
              <w:top w:val="nil"/>
              <w:left w:val="nil"/>
              <w:bottom w:val="nil"/>
              <w:right w:val="single" w:sz="8" w:space="0" w:color="auto"/>
            </w:tcBorders>
            <w:shd w:val="clear" w:color="000000" w:fill="FFFFFF"/>
            <w:noWrap/>
            <w:vAlign w:val="center"/>
            <w:hideMark/>
          </w:tcPr>
          <w:p w14:paraId="7EF06B47"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97.824,3</w:t>
            </w:r>
          </w:p>
        </w:tc>
        <w:tc>
          <w:tcPr>
            <w:tcW w:w="874" w:type="dxa"/>
            <w:tcBorders>
              <w:top w:val="nil"/>
              <w:left w:val="nil"/>
              <w:bottom w:val="nil"/>
              <w:right w:val="single" w:sz="8" w:space="0" w:color="auto"/>
            </w:tcBorders>
            <w:shd w:val="clear" w:color="000000" w:fill="FFFFFF"/>
            <w:noWrap/>
            <w:vAlign w:val="center"/>
            <w:hideMark/>
          </w:tcPr>
          <w:p w14:paraId="68508671"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100.369,1</w:t>
            </w:r>
          </w:p>
        </w:tc>
        <w:tc>
          <w:tcPr>
            <w:tcW w:w="874" w:type="dxa"/>
            <w:tcBorders>
              <w:top w:val="nil"/>
              <w:left w:val="nil"/>
              <w:bottom w:val="nil"/>
              <w:right w:val="single" w:sz="8" w:space="0" w:color="auto"/>
            </w:tcBorders>
            <w:shd w:val="clear" w:color="000000" w:fill="FFFFFF"/>
            <w:noWrap/>
            <w:vAlign w:val="center"/>
            <w:hideMark/>
          </w:tcPr>
          <w:p w14:paraId="74427C6E"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102.741,2</w:t>
            </w:r>
          </w:p>
        </w:tc>
        <w:tc>
          <w:tcPr>
            <w:tcW w:w="874" w:type="dxa"/>
            <w:tcBorders>
              <w:top w:val="nil"/>
              <w:left w:val="nil"/>
              <w:bottom w:val="nil"/>
              <w:right w:val="single" w:sz="8" w:space="0" w:color="auto"/>
            </w:tcBorders>
            <w:shd w:val="clear" w:color="000000" w:fill="FFFFFF"/>
            <w:noWrap/>
            <w:vAlign w:val="center"/>
            <w:hideMark/>
          </w:tcPr>
          <w:p w14:paraId="35AC90EE"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105.174,7</w:t>
            </w:r>
          </w:p>
        </w:tc>
        <w:tc>
          <w:tcPr>
            <w:tcW w:w="874" w:type="dxa"/>
            <w:tcBorders>
              <w:top w:val="nil"/>
              <w:left w:val="nil"/>
              <w:bottom w:val="nil"/>
              <w:right w:val="single" w:sz="8" w:space="0" w:color="auto"/>
            </w:tcBorders>
            <w:shd w:val="clear" w:color="000000" w:fill="FFFFFF"/>
            <w:noWrap/>
            <w:vAlign w:val="center"/>
            <w:hideMark/>
          </w:tcPr>
          <w:p w14:paraId="3840D5CD"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107.671,2</w:t>
            </w:r>
          </w:p>
        </w:tc>
        <w:tc>
          <w:tcPr>
            <w:tcW w:w="1013" w:type="dxa"/>
            <w:tcBorders>
              <w:top w:val="nil"/>
              <w:left w:val="nil"/>
              <w:bottom w:val="nil"/>
              <w:right w:val="single" w:sz="8" w:space="0" w:color="auto"/>
            </w:tcBorders>
            <w:shd w:val="clear" w:color="000000" w:fill="FFFFFF"/>
            <w:noWrap/>
            <w:vAlign w:val="center"/>
            <w:hideMark/>
          </w:tcPr>
          <w:p w14:paraId="2A56DD0F"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110.232,6</w:t>
            </w:r>
          </w:p>
        </w:tc>
        <w:tc>
          <w:tcPr>
            <w:tcW w:w="1013" w:type="dxa"/>
            <w:tcBorders>
              <w:top w:val="nil"/>
              <w:left w:val="nil"/>
              <w:bottom w:val="nil"/>
              <w:right w:val="single" w:sz="8" w:space="0" w:color="auto"/>
            </w:tcBorders>
            <w:shd w:val="clear" w:color="000000" w:fill="FFFFFF"/>
            <w:noWrap/>
            <w:vAlign w:val="center"/>
            <w:hideMark/>
          </w:tcPr>
          <w:p w14:paraId="616B5C24"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112.860,7</w:t>
            </w:r>
          </w:p>
        </w:tc>
        <w:tc>
          <w:tcPr>
            <w:tcW w:w="1013" w:type="dxa"/>
            <w:tcBorders>
              <w:top w:val="nil"/>
              <w:left w:val="nil"/>
              <w:bottom w:val="nil"/>
              <w:right w:val="single" w:sz="8" w:space="0" w:color="auto"/>
            </w:tcBorders>
            <w:shd w:val="clear" w:color="000000" w:fill="FFFFFF"/>
            <w:noWrap/>
            <w:vAlign w:val="center"/>
            <w:hideMark/>
          </w:tcPr>
          <w:p w14:paraId="6EBACD28"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115.557,2</w:t>
            </w:r>
          </w:p>
        </w:tc>
        <w:tc>
          <w:tcPr>
            <w:tcW w:w="1013" w:type="dxa"/>
            <w:tcBorders>
              <w:top w:val="nil"/>
              <w:left w:val="nil"/>
              <w:bottom w:val="nil"/>
              <w:right w:val="single" w:sz="8" w:space="0" w:color="auto"/>
            </w:tcBorders>
            <w:shd w:val="clear" w:color="000000" w:fill="FFFFFF"/>
            <w:noWrap/>
            <w:vAlign w:val="center"/>
            <w:hideMark/>
          </w:tcPr>
          <w:p w14:paraId="0F5D6FF2"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118.324,1</w:t>
            </w:r>
          </w:p>
        </w:tc>
        <w:tc>
          <w:tcPr>
            <w:tcW w:w="1013" w:type="dxa"/>
            <w:tcBorders>
              <w:top w:val="nil"/>
              <w:left w:val="nil"/>
              <w:bottom w:val="nil"/>
              <w:right w:val="single" w:sz="8" w:space="0" w:color="auto"/>
            </w:tcBorders>
            <w:shd w:val="clear" w:color="000000" w:fill="FFFFFF"/>
            <w:noWrap/>
            <w:vAlign w:val="center"/>
            <w:hideMark/>
          </w:tcPr>
          <w:p w14:paraId="0E9C467F"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121.163,3</w:t>
            </w:r>
          </w:p>
        </w:tc>
        <w:tc>
          <w:tcPr>
            <w:tcW w:w="1013" w:type="dxa"/>
            <w:tcBorders>
              <w:top w:val="nil"/>
              <w:left w:val="nil"/>
              <w:bottom w:val="nil"/>
              <w:right w:val="single" w:sz="8" w:space="0" w:color="auto"/>
            </w:tcBorders>
            <w:shd w:val="clear" w:color="000000" w:fill="FFFFFF"/>
            <w:noWrap/>
            <w:vAlign w:val="center"/>
            <w:hideMark/>
          </w:tcPr>
          <w:p w14:paraId="1C4936BA" w14:textId="77777777" w:rsidR="00ED0443" w:rsidRPr="00117BF8" w:rsidRDefault="00ED0443" w:rsidP="009264E9">
            <w:pPr>
              <w:pStyle w:val="TablaC"/>
              <w:rPr>
                <w:rFonts w:ascii="Arial" w:hAnsi="Arial" w:cs="Arial"/>
                <w:sz w:val="18"/>
                <w:szCs w:val="18"/>
              </w:rPr>
            </w:pPr>
            <w:r w:rsidRPr="00117BF8">
              <w:rPr>
                <w:rFonts w:ascii="Arial" w:hAnsi="Arial" w:cs="Arial"/>
                <w:sz w:val="18"/>
                <w:szCs w:val="18"/>
              </w:rPr>
              <w:t>124.076,8</w:t>
            </w:r>
          </w:p>
        </w:tc>
      </w:tr>
      <w:tr w:rsidR="00ED0443" w:rsidRPr="004E6455" w14:paraId="047AC570" w14:textId="77777777" w:rsidTr="00ED0443">
        <w:tc>
          <w:tcPr>
            <w:tcW w:w="2835" w:type="dxa"/>
            <w:tcBorders>
              <w:top w:val="single" w:sz="8" w:space="0" w:color="auto"/>
              <w:left w:val="single" w:sz="8" w:space="0" w:color="auto"/>
              <w:bottom w:val="single" w:sz="8" w:space="0" w:color="auto"/>
              <w:right w:val="nil"/>
            </w:tcBorders>
            <w:shd w:val="clear" w:color="000000" w:fill="FFFFFF"/>
            <w:noWrap/>
            <w:hideMark/>
          </w:tcPr>
          <w:p w14:paraId="0E448503" w14:textId="77777777" w:rsidR="00ED0443" w:rsidRPr="00117BF8" w:rsidRDefault="00ED0443" w:rsidP="005D6624">
            <w:pPr>
              <w:pStyle w:val="TablaC"/>
              <w:jc w:val="left"/>
              <w:rPr>
                <w:rFonts w:ascii="Arial" w:hAnsi="Arial" w:cs="Arial"/>
                <w:b/>
                <w:sz w:val="18"/>
                <w:szCs w:val="18"/>
              </w:rPr>
            </w:pPr>
            <w:r w:rsidRPr="00117BF8">
              <w:rPr>
                <w:rFonts w:ascii="Arial" w:hAnsi="Arial" w:cs="Arial"/>
                <w:b/>
                <w:sz w:val="18"/>
                <w:szCs w:val="18"/>
              </w:rPr>
              <w:t>III. RESULTADO ECONOMICO</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5AF872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-12.358,7</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9E0AC7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6.692,9</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6B448421"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7.003,4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3E8DC359"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8.004,0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F8C13C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11.259,0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BDEDEEF"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12.691,4</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501B280D"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15.660,4</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3CDC618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18.029,4</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D96339C"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19.630,0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3646D10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22.363,6</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55CD95A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25.160,7</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4AF292D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27.991,3</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56F808E9"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30.529,9</w:t>
            </w:r>
          </w:p>
        </w:tc>
      </w:tr>
      <w:tr w:rsidR="00ED0443" w:rsidRPr="004E6455" w14:paraId="0B0D5ABA" w14:textId="77777777" w:rsidTr="00ED0443">
        <w:tc>
          <w:tcPr>
            <w:tcW w:w="2835" w:type="dxa"/>
            <w:tcBorders>
              <w:top w:val="nil"/>
              <w:left w:val="single" w:sz="8" w:space="0" w:color="auto"/>
              <w:bottom w:val="single" w:sz="8" w:space="0" w:color="auto"/>
              <w:right w:val="nil"/>
            </w:tcBorders>
            <w:shd w:val="clear" w:color="000000" w:fill="FFFFFF"/>
            <w:noWrap/>
            <w:hideMark/>
          </w:tcPr>
          <w:p w14:paraId="74F517A6" w14:textId="77777777" w:rsidR="00ED0443" w:rsidRPr="00117BF8" w:rsidRDefault="00ED0443" w:rsidP="005D6624">
            <w:pPr>
              <w:pStyle w:val="TablaC"/>
              <w:jc w:val="left"/>
              <w:rPr>
                <w:rFonts w:ascii="Arial" w:hAnsi="Arial" w:cs="Arial"/>
                <w:b/>
                <w:sz w:val="18"/>
                <w:szCs w:val="18"/>
              </w:rPr>
            </w:pPr>
            <w:r w:rsidRPr="00117BF8">
              <w:rPr>
                <w:rFonts w:ascii="Arial" w:hAnsi="Arial" w:cs="Arial"/>
                <w:b/>
                <w:sz w:val="18"/>
                <w:szCs w:val="18"/>
              </w:rPr>
              <w:t>IV. INGRESOS DE CAPITAL</w:t>
            </w:r>
          </w:p>
        </w:tc>
        <w:tc>
          <w:tcPr>
            <w:tcW w:w="874" w:type="dxa"/>
            <w:tcBorders>
              <w:top w:val="nil"/>
              <w:left w:val="single" w:sz="8" w:space="0" w:color="auto"/>
              <w:bottom w:val="nil"/>
              <w:right w:val="single" w:sz="8" w:space="0" w:color="auto"/>
            </w:tcBorders>
            <w:shd w:val="clear" w:color="000000" w:fill="FFFFFF"/>
            <w:noWrap/>
            <w:vAlign w:val="center"/>
            <w:hideMark/>
          </w:tcPr>
          <w:p w14:paraId="799943D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8.035,5</w:t>
            </w:r>
          </w:p>
        </w:tc>
        <w:tc>
          <w:tcPr>
            <w:tcW w:w="874" w:type="dxa"/>
            <w:tcBorders>
              <w:top w:val="nil"/>
              <w:left w:val="nil"/>
              <w:bottom w:val="nil"/>
              <w:right w:val="single" w:sz="8" w:space="0" w:color="auto"/>
            </w:tcBorders>
            <w:shd w:val="clear" w:color="000000" w:fill="FFFFFF"/>
            <w:noWrap/>
            <w:vAlign w:val="center"/>
            <w:hideMark/>
          </w:tcPr>
          <w:p w14:paraId="07CBCDB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7.024,9</w:t>
            </w:r>
          </w:p>
        </w:tc>
        <w:tc>
          <w:tcPr>
            <w:tcW w:w="874" w:type="dxa"/>
            <w:tcBorders>
              <w:top w:val="nil"/>
              <w:left w:val="nil"/>
              <w:bottom w:val="nil"/>
              <w:right w:val="single" w:sz="8" w:space="0" w:color="auto"/>
            </w:tcBorders>
            <w:shd w:val="clear" w:color="000000" w:fill="FFFFFF"/>
            <w:noWrap/>
            <w:vAlign w:val="center"/>
            <w:hideMark/>
          </w:tcPr>
          <w:p w14:paraId="309EE9A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7.000,8</w:t>
            </w:r>
          </w:p>
        </w:tc>
        <w:tc>
          <w:tcPr>
            <w:tcW w:w="874" w:type="dxa"/>
            <w:tcBorders>
              <w:top w:val="nil"/>
              <w:left w:val="nil"/>
              <w:bottom w:val="nil"/>
              <w:right w:val="single" w:sz="8" w:space="0" w:color="auto"/>
            </w:tcBorders>
            <w:shd w:val="clear" w:color="000000" w:fill="FFFFFF"/>
            <w:noWrap/>
            <w:vAlign w:val="center"/>
            <w:hideMark/>
          </w:tcPr>
          <w:p w14:paraId="5B756F4C"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7.817,4</w:t>
            </w:r>
          </w:p>
        </w:tc>
        <w:tc>
          <w:tcPr>
            <w:tcW w:w="874" w:type="dxa"/>
            <w:tcBorders>
              <w:top w:val="nil"/>
              <w:left w:val="nil"/>
              <w:bottom w:val="nil"/>
              <w:right w:val="single" w:sz="8" w:space="0" w:color="auto"/>
            </w:tcBorders>
            <w:shd w:val="clear" w:color="000000" w:fill="FFFFFF"/>
            <w:noWrap/>
            <w:vAlign w:val="center"/>
            <w:hideMark/>
          </w:tcPr>
          <w:p w14:paraId="433B9E1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7.591,3</w:t>
            </w:r>
          </w:p>
        </w:tc>
        <w:tc>
          <w:tcPr>
            <w:tcW w:w="874" w:type="dxa"/>
            <w:tcBorders>
              <w:top w:val="nil"/>
              <w:left w:val="nil"/>
              <w:bottom w:val="nil"/>
              <w:right w:val="single" w:sz="8" w:space="0" w:color="auto"/>
            </w:tcBorders>
            <w:shd w:val="clear" w:color="000000" w:fill="FFFFFF"/>
            <w:noWrap/>
            <w:vAlign w:val="center"/>
            <w:hideMark/>
          </w:tcPr>
          <w:p w14:paraId="612C85E9"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7.460,7</w:t>
            </w:r>
          </w:p>
        </w:tc>
        <w:tc>
          <w:tcPr>
            <w:tcW w:w="874" w:type="dxa"/>
            <w:tcBorders>
              <w:top w:val="nil"/>
              <w:left w:val="nil"/>
              <w:bottom w:val="nil"/>
              <w:right w:val="single" w:sz="8" w:space="0" w:color="auto"/>
            </w:tcBorders>
            <w:shd w:val="clear" w:color="000000" w:fill="FFFFFF"/>
            <w:noWrap/>
            <w:vAlign w:val="center"/>
            <w:hideMark/>
          </w:tcPr>
          <w:p w14:paraId="041A2645"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7.460,7</w:t>
            </w:r>
          </w:p>
        </w:tc>
        <w:tc>
          <w:tcPr>
            <w:tcW w:w="1013" w:type="dxa"/>
            <w:tcBorders>
              <w:top w:val="nil"/>
              <w:left w:val="nil"/>
              <w:bottom w:val="nil"/>
              <w:right w:val="single" w:sz="8" w:space="0" w:color="auto"/>
            </w:tcBorders>
            <w:shd w:val="clear" w:color="000000" w:fill="FFFFFF"/>
            <w:noWrap/>
            <w:vAlign w:val="center"/>
            <w:hideMark/>
          </w:tcPr>
          <w:p w14:paraId="7A3AEABF"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7.460,7</w:t>
            </w:r>
          </w:p>
        </w:tc>
        <w:tc>
          <w:tcPr>
            <w:tcW w:w="1013" w:type="dxa"/>
            <w:tcBorders>
              <w:top w:val="nil"/>
              <w:left w:val="nil"/>
              <w:bottom w:val="nil"/>
              <w:right w:val="single" w:sz="8" w:space="0" w:color="auto"/>
            </w:tcBorders>
            <w:shd w:val="clear" w:color="000000" w:fill="FFFFFF"/>
            <w:noWrap/>
            <w:vAlign w:val="center"/>
            <w:hideMark/>
          </w:tcPr>
          <w:p w14:paraId="414C9EBE"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7.460,7</w:t>
            </w:r>
          </w:p>
        </w:tc>
        <w:tc>
          <w:tcPr>
            <w:tcW w:w="1013" w:type="dxa"/>
            <w:tcBorders>
              <w:top w:val="nil"/>
              <w:left w:val="nil"/>
              <w:bottom w:val="nil"/>
              <w:right w:val="single" w:sz="8" w:space="0" w:color="auto"/>
            </w:tcBorders>
            <w:shd w:val="clear" w:color="000000" w:fill="FFFFFF"/>
            <w:noWrap/>
            <w:vAlign w:val="center"/>
            <w:hideMark/>
          </w:tcPr>
          <w:p w14:paraId="3372B485"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7.460,7</w:t>
            </w:r>
          </w:p>
        </w:tc>
        <w:tc>
          <w:tcPr>
            <w:tcW w:w="1013" w:type="dxa"/>
            <w:tcBorders>
              <w:top w:val="nil"/>
              <w:left w:val="nil"/>
              <w:bottom w:val="nil"/>
              <w:right w:val="single" w:sz="8" w:space="0" w:color="auto"/>
            </w:tcBorders>
            <w:shd w:val="clear" w:color="000000" w:fill="FFFFFF"/>
            <w:noWrap/>
            <w:vAlign w:val="center"/>
            <w:hideMark/>
          </w:tcPr>
          <w:p w14:paraId="52840F75"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7.460,7</w:t>
            </w:r>
          </w:p>
        </w:tc>
        <w:tc>
          <w:tcPr>
            <w:tcW w:w="1013" w:type="dxa"/>
            <w:tcBorders>
              <w:top w:val="nil"/>
              <w:left w:val="nil"/>
              <w:bottom w:val="nil"/>
              <w:right w:val="single" w:sz="8" w:space="0" w:color="auto"/>
            </w:tcBorders>
            <w:shd w:val="clear" w:color="000000" w:fill="FFFFFF"/>
            <w:noWrap/>
            <w:vAlign w:val="center"/>
            <w:hideMark/>
          </w:tcPr>
          <w:p w14:paraId="2F51DDBC"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7.460,7</w:t>
            </w:r>
          </w:p>
        </w:tc>
        <w:tc>
          <w:tcPr>
            <w:tcW w:w="1013" w:type="dxa"/>
            <w:tcBorders>
              <w:top w:val="nil"/>
              <w:left w:val="nil"/>
              <w:bottom w:val="nil"/>
              <w:right w:val="single" w:sz="8" w:space="0" w:color="auto"/>
            </w:tcBorders>
            <w:shd w:val="clear" w:color="000000" w:fill="FFFFFF"/>
            <w:noWrap/>
            <w:vAlign w:val="center"/>
            <w:hideMark/>
          </w:tcPr>
          <w:p w14:paraId="72B45427"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7.460,7</w:t>
            </w:r>
          </w:p>
        </w:tc>
      </w:tr>
      <w:tr w:rsidR="00ED0443" w:rsidRPr="004E6455" w14:paraId="3992458D" w14:textId="77777777" w:rsidTr="00ED0443">
        <w:tc>
          <w:tcPr>
            <w:tcW w:w="2835" w:type="dxa"/>
            <w:tcBorders>
              <w:top w:val="nil"/>
              <w:left w:val="single" w:sz="8" w:space="0" w:color="auto"/>
              <w:bottom w:val="single" w:sz="8" w:space="0" w:color="auto"/>
              <w:right w:val="nil"/>
            </w:tcBorders>
            <w:shd w:val="clear" w:color="000000" w:fill="FFFFFF"/>
            <w:noWrap/>
            <w:hideMark/>
          </w:tcPr>
          <w:p w14:paraId="1A5E3D1B" w14:textId="77777777" w:rsidR="00ED0443" w:rsidRPr="00117BF8" w:rsidRDefault="00ED0443" w:rsidP="005D6624">
            <w:pPr>
              <w:pStyle w:val="TablaC"/>
              <w:jc w:val="left"/>
              <w:rPr>
                <w:rFonts w:ascii="Arial" w:hAnsi="Arial" w:cs="Arial"/>
                <w:b/>
                <w:sz w:val="18"/>
                <w:szCs w:val="18"/>
              </w:rPr>
            </w:pPr>
            <w:r w:rsidRPr="00117BF8">
              <w:rPr>
                <w:rFonts w:ascii="Arial" w:hAnsi="Arial" w:cs="Arial"/>
                <w:b/>
                <w:sz w:val="18"/>
                <w:szCs w:val="18"/>
              </w:rPr>
              <w:t xml:space="preserve"> V. GASTOS DE CAPITAL</w:t>
            </w:r>
          </w:p>
        </w:tc>
        <w:tc>
          <w:tcPr>
            <w:tcW w:w="8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C5AFCBE"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26.494,0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399EC6E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33.969,3</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B40BF58"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34.059,5</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1DF9546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36.058,0</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0126FD09"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36.772,2</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4FC5F60B"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36.885,6</w:t>
            </w:r>
          </w:p>
        </w:tc>
        <w:tc>
          <w:tcPr>
            <w:tcW w:w="874" w:type="dxa"/>
            <w:tcBorders>
              <w:top w:val="single" w:sz="8" w:space="0" w:color="auto"/>
              <w:left w:val="nil"/>
              <w:bottom w:val="single" w:sz="8" w:space="0" w:color="auto"/>
              <w:right w:val="single" w:sz="8" w:space="0" w:color="auto"/>
            </w:tcBorders>
            <w:shd w:val="clear" w:color="000000" w:fill="FFFFFF"/>
            <w:noWrap/>
            <w:vAlign w:val="center"/>
            <w:hideMark/>
          </w:tcPr>
          <w:p w14:paraId="787CF18A"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37.501,7</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C4B35DD"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38.787,3</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1C5E4D8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40.563,5</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68D02F31"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42.469,9</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15AF692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44.517,2</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0560FA4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46.717,0</w:t>
            </w:r>
          </w:p>
        </w:tc>
        <w:tc>
          <w:tcPr>
            <w:tcW w:w="1013" w:type="dxa"/>
            <w:tcBorders>
              <w:top w:val="single" w:sz="8" w:space="0" w:color="auto"/>
              <w:left w:val="nil"/>
              <w:bottom w:val="single" w:sz="8" w:space="0" w:color="auto"/>
              <w:right w:val="single" w:sz="8" w:space="0" w:color="auto"/>
            </w:tcBorders>
            <w:shd w:val="clear" w:color="000000" w:fill="FFFFFF"/>
            <w:noWrap/>
            <w:vAlign w:val="center"/>
            <w:hideMark/>
          </w:tcPr>
          <w:p w14:paraId="746DF66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49.082,1</w:t>
            </w:r>
          </w:p>
        </w:tc>
      </w:tr>
      <w:tr w:rsidR="00ED0443" w:rsidRPr="004E6455" w14:paraId="7BF2F683" w14:textId="77777777" w:rsidTr="00ED0443">
        <w:tc>
          <w:tcPr>
            <w:tcW w:w="2835" w:type="dxa"/>
            <w:tcBorders>
              <w:top w:val="nil"/>
              <w:left w:val="single" w:sz="8" w:space="0" w:color="auto"/>
              <w:bottom w:val="single" w:sz="8" w:space="0" w:color="auto"/>
              <w:right w:val="nil"/>
            </w:tcBorders>
            <w:shd w:val="clear" w:color="000000" w:fill="FFFFFF"/>
            <w:noWrap/>
            <w:hideMark/>
          </w:tcPr>
          <w:p w14:paraId="3B83095D" w14:textId="77777777" w:rsidR="00ED0443" w:rsidRPr="00117BF8" w:rsidRDefault="00ED0443" w:rsidP="005D6624">
            <w:pPr>
              <w:pStyle w:val="TablaC"/>
              <w:jc w:val="left"/>
              <w:rPr>
                <w:rFonts w:ascii="Arial" w:hAnsi="Arial" w:cs="Arial"/>
                <w:b/>
                <w:sz w:val="18"/>
                <w:szCs w:val="18"/>
              </w:rPr>
            </w:pPr>
            <w:r w:rsidRPr="00117BF8">
              <w:rPr>
                <w:rFonts w:ascii="Arial" w:hAnsi="Arial" w:cs="Arial"/>
                <w:b/>
                <w:sz w:val="18"/>
                <w:szCs w:val="18"/>
              </w:rPr>
              <w:t xml:space="preserve"> VI. INGRESOS TOTALES (I+IV)</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2D0B182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394.097,4</w:t>
            </w:r>
          </w:p>
        </w:tc>
        <w:tc>
          <w:tcPr>
            <w:tcW w:w="874" w:type="dxa"/>
            <w:tcBorders>
              <w:top w:val="nil"/>
              <w:left w:val="nil"/>
              <w:bottom w:val="single" w:sz="8" w:space="0" w:color="auto"/>
              <w:right w:val="single" w:sz="8" w:space="0" w:color="auto"/>
            </w:tcBorders>
            <w:shd w:val="clear" w:color="000000" w:fill="FFFFFF"/>
            <w:noWrap/>
            <w:vAlign w:val="center"/>
            <w:hideMark/>
          </w:tcPr>
          <w:p w14:paraId="1DA9F16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392.931,8</w:t>
            </w:r>
          </w:p>
        </w:tc>
        <w:tc>
          <w:tcPr>
            <w:tcW w:w="874" w:type="dxa"/>
            <w:tcBorders>
              <w:top w:val="nil"/>
              <w:left w:val="nil"/>
              <w:bottom w:val="single" w:sz="8" w:space="0" w:color="auto"/>
              <w:right w:val="single" w:sz="8" w:space="0" w:color="auto"/>
            </w:tcBorders>
            <w:shd w:val="clear" w:color="000000" w:fill="FFFFFF"/>
            <w:noWrap/>
            <w:vAlign w:val="center"/>
            <w:hideMark/>
          </w:tcPr>
          <w:p w14:paraId="1B9DB09E"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399.800,8</w:t>
            </w:r>
          </w:p>
        </w:tc>
        <w:tc>
          <w:tcPr>
            <w:tcW w:w="874" w:type="dxa"/>
            <w:tcBorders>
              <w:top w:val="nil"/>
              <w:left w:val="nil"/>
              <w:bottom w:val="single" w:sz="8" w:space="0" w:color="auto"/>
              <w:right w:val="single" w:sz="8" w:space="0" w:color="auto"/>
            </w:tcBorders>
            <w:shd w:val="clear" w:color="000000" w:fill="FFFFFF"/>
            <w:noWrap/>
            <w:vAlign w:val="center"/>
            <w:hideMark/>
          </w:tcPr>
          <w:p w14:paraId="0B8D4E7B"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410.983,5</w:t>
            </w:r>
          </w:p>
        </w:tc>
        <w:tc>
          <w:tcPr>
            <w:tcW w:w="874" w:type="dxa"/>
            <w:tcBorders>
              <w:top w:val="nil"/>
              <w:left w:val="nil"/>
              <w:bottom w:val="single" w:sz="8" w:space="0" w:color="auto"/>
              <w:right w:val="single" w:sz="8" w:space="0" w:color="auto"/>
            </w:tcBorders>
            <w:shd w:val="clear" w:color="000000" w:fill="FFFFFF"/>
            <w:noWrap/>
            <w:vAlign w:val="center"/>
            <w:hideMark/>
          </w:tcPr>
          <w:p w14:paraId="4708772F"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421.812,9</w:t>
            </w:r>
          </w:p>
        </w:tc>
        <w:tc>
          <w:tcPr>
            <w:tcW w:w="874" w:type="dxa"/>
            <w:tcBorders>
              <w:top w:val="nil"/>
              <w:left w:val="nil"/>
              <w:bottom w:val="single" w:sz="8" w:space="0" w:color="auto"/>
              <w:right w:val="single" w:sz="8" w:space="0" w:color="auto"/>
            </w:tcBorders>
            <w:shd w:val="clear" w:color="000000" w:fill="FFFFFF"/>
            <w:noWrap/>
            <w:vAlign w:val="center"/>
            <w:hideMark/>
          </w:tcPr>
          <w:p w14:paraId="2AD1304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430.368,9</w:t>
            </w:r>
          </w:p>
        </w:tc>
        <w:tc>
          <w:tcPr>
            <w:tcW w:w="874" w:type="dxa"/>
            <w:tcBorders>
              <w:top w:val="nil"/>
              <w:left w:val="nil"/>
              <w:bottom w:val="single" w:sz="8" w:space="0" w:color="auto"/>
              <w:right w:val="single" w:sz="8" w:space="0" w:color="auto"/>
            </w:tcBorders>
            <w:shd w:val="clear" w:color="000000" w:fill="FFFFFF"/>
            <w:noWrap/>
            <w:vAlign w:val="center"/>
            <w:hideMark/>
          </w:tcPr>
          <w:p w14:paraId="3634C97D"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440.078,3</w:t>
            </w:r>
          </w:p>
        </w:tc>
        <w:tc>
          <w:tcPr>
            <w:tcW w:w="1013" w:type="dxa"/>
            <w:tcBorders>
              <w:top w:val="nil"/>
              <w:left w:val="nil"/>
              <w:bottom w:val="single" w:sz="8" w:space="0" w:color="auto"/>
              <w:right w:val="single" w:sz="8" w:space="0" w:color="auto"/>
            </w:tcBorders>
            <w:shd w:val="clear" w:color="000000" w:fill="FFFFFF"/>
            <w:noWrap/>
            <w:vAlign w:val="center"/>
            <w:hideMark/>
          </w:tcPr>
          <w:p w14:paraId="222289C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450.098,1</w:t>
            </w:r>
          </w:p>
        </w:tc>
        <w:tc>
          <w:tcPr>
            <w:tcW w:w="1013" w:type="dxa"/>
            <w:tcBorders>
              <w:top w:val="nil"/>
              <w:left w:val="nil"/>
              <w:bottom w:val="single" w:sz="8" w:space="0" w:color="auto"/>
              <w:right w:val="single" w:sz="8" w:space="0" w:color="auto"/>
            </w:tcBorders>
            <w:shd w:val="clear" w:color="000000" w:fill="FFFFFF"/>
            <w:noWrap/>
            <w:vAlign w:val="center"/>
            <w:hideMark/>
          </w:tcPr>
          <w:p w14:paraId="220BF76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460.436,2</w:t>
            </w:r>
          </w:p>
        </w:tc>
        <w:tc>
          <w:tcPr>
            <w:tcW w:w="1013" w:type="dxa"/>
            <w:tcBorders>
              <w:top w:val="nil"/>
              <w:left w:val="nil"/>
              <w:bottom w:val="single" w:sz="8" w:space="0" w:color="auto"/>
              <w:right w:val="single" w:sz="8" w:space="0" w:color="auto"/>
            </w:tcBorders>
            <w:shd w:val="clear" w:color="000000" w:fill="FFFFFF"/>
            <w:noWrap/>
            <w:vAlign w:val="center"/>
            <w:hideMark/>
          </w:tcPr>
          <w:p w14:paraId="401DE92E"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471.100,7</w:t>
            </w:r>
          </w:p>
        </w:tc>
        <w:tc>
          <w:tcPr>
            <w:tcW w:w="1013" w:type="dxa"/>
            <w:tcBorders>
              <w:top w:val="nil"/>
              <w:left w:val="nil"/>
              <w:bottom w:val="single" w:sz="8" w:space="0" w:color="auto"/>
              <w:right w:val="single" w:sz="8" w:space="0" w:color="auto"/>
            </w:tcBorders>
            <w:shd w:val="clear" w:color="000000" w:fill="FFFFFF"/>
            <w:noWrap/>
            <w:vAlign w:val="center"/>
            <w:hideMark/>
          </w:tcPr>
          <w:p w14:paraId="5687523E"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482.100,1</w:t>
            </w:r>
          </w:p>
        </w:tc>
        <w:tc>
          <w:tcPr>
            <w:tcW w:w="1013" w:type="dxa"/>
            <w:tcBorders>
              <w:top w:val="nil"/>
              <w:left w:val="nil"/>
              <w:bottom w:val="single" w:sz="8" w:space="0" w:color="auto"/>
              <w:right w:val="single" w:sz="8" w:space="0" w:color="auto"/>
            </w:tcBorders>
            <w:shd w:val="clear" w:color="000000" w:fill="FFFFFF"/>
            <w:noWrap/>
            <w:vAlign w:val="center"/>
            <w:hideMark/>
          </w:tcPr>
          <w:p w14:paraId="206AE7C5"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493.442,9</w:t>
            </w:r>
          </w:p>
        </w:tc>
        <w:tc>
          <w:tcPr>
            <w:tcW w:w="1013" w:type="dxa"/>
            <w:tcBorders>
              <w:top w:val="nil"/>
              <w:left w:val="nil"/>
              <w:bottom w:val="single" w:sz="8" w:space="0" w:color="auto"/>
              <w:right w:val="single" w:sz="8" w:space="0" w:color="auto"/>
            </w:tcBorders>
            <w:shd w:val="clear" w:color="000000" w:fill="FFFFFF"/>
            <w:noWrap/>
            <w:vAlign w:val="center"/>
            <w:hideMark/>
          </w:tcPr>
          <w:p w14:paraId="404A42D7"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505.138,3</w:t>
            </w:r>
          </w:p>
        </w:tc>
      </w:tr>
      <w:tr w:rsidR="00ED0443" w:rsidRPr="004E6455" w14:paraId="35D916FC" w14:textId="77777777" w:rsidTr="00ED0443">
        <w:tc>
          <w:tcPr>
            <w:tcW w:w="2835" w:type="dxa"/>
            <w:tcBorders>
              <w:top w:val="nil"/>
              <w:left w:val="single" w:sz="8" w:space="0" w:color="auto"/>
              <w:bottom w:val="single" w:sz="8" w:space="0" w:color="auto"/>
              <w:right w:val="nil"/>
            </w:tcBorders>
            <w:shd w:val="clear" w:color="000000" w:fill="FFFFFF"/>
            <w:noWrap/>
            <w:hideMark/>
          </w:tcPr>
          <w:p w14:paraId="32E7F993" w14:textId="77777777" w:rsidR="00ED0443" w:rsidRPr="00117BF8" w:rsidRDefault="00ED0443" w:rsidP="005D6624">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VII. GASTOS TOTALES (II+V)</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085E4B28"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424.914,5</w:t>
            </w:r>
          </w:p>
        </w:tc>
        <w:tc>
          <w:tcPr>
            <w:tcW w:w="874" w:type="dxa"/>
            <w:tcBorders>
              <w:top w:val="nil"/>
              <w:left w:val="nil"/>
              <w:bottom w:val="single" w:sz="8" w:space="0" w:color="auto"/>
              <w:right w:val="single" w:sz="8" w:space="0" w:color="auto"/>
            </w:tcBorders>
            <w:shd w:val="clear" w:color="000000" w:fill="FFFFFF"/>
            <w:noWrap/>
            <w:vAlign w:val="center"/>
            <w:hideMark/>
          </w:tcPr>
          <w:p w14:paraId="2475ED5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413.183,3</w:t>
            </w:r>
          </w:p>
        </w:tc>
        <w:tc>
          <w:tcPr>
            <w:tcW w:w="874" w:type="dxa"/>
            <w:tcBorders>
              <w:top w:val="nil"/>
              <w:left w:val="nil"/>
              <w:bottom w:val="single" w:sz="8" w:space="0" w:color="auto"/>
              <w:right w:val="single" w:sz="8" w:space="0" w:color="auto"/>
            </w:tcBorders>
            <w:shd w:val="clear" w:color="000000" w:fill="FFFFFF"/>
            <w:noWrap/>
            <w:vAlign w:val="center"/>
            <w:hideMark/>
          </w:tcPr>
          <w:p w14:paraId="5B1ED1BC"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419.856,1</w:t>
            </w:r>
          </w:p>
        </w:tc>
        <w:tc>
          <w:tcPr>
            <w:tcW w:w="874" w:type="dxa"/>
            <w:tcBorders>
              <w:top w:val="nil"/>
              <w:left w:val="nil"/>
              <w:bottom w:val="single" w:sz="8" w:space="0" w:color="auto"/>
              <w:right w:val="single" w:sz="8" w:space="0" w:color="auto"/>
            </w:tcBorders>
            <w:shd w:val="clear" w:color="000000" w:fill="FFFFFF"/>
            <w:noWrap/>
            <w:vAlign w:val="center"/>
            <w:hideMark/>
          </w:tcPr>
          <w:p w14:paraId="4860FCCD"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431.220,0</w:t>
            </w:r>
          </w:p>
        </w:tc>
        <w:tc>
          <w:tcPr>
            <w:tcW w:w="874" w:type="dxa"/>
            <w:tcBorders>
              <w:top w:val="nil"/>
              <w:left w:val="nil"/>
              <w:bottom w:val="single" w:sz="8" w:space="0" w:color="auto"/>
              <w:right w:val="single" w:sz="8" w:space="0" w:color="auto"/>
            </w:tcBorders>
            <w:shd w:val="clear" w:color="000000" w:fill="FFFFFF"/>
            <w:noWrap/>
            <w:vAlign w:val="center"/>
            <w:hideMark/>
          </w:tcPr>
          <w:p w14:paraId="4BCF26B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439.734,8</w:t>
            </w:r>
          </w:p>
        </w:tc>
        <w:tc>
          <w:tcPr>
            <w:tcW w:w="874" w:type="dxa"/>
            <w:tcBorders>
              <w:top w:val="nil"/>
              <w:left w:val="nil"/>
              <w:bottom w:val="single" w:sz="8" w:space="0" w:color="auto"/>
              <w:right w:val="single" w:sz="8" w:space="0" w:color="auto"/>
            </w:tcBorders>
            <w:shd w:val="clear" w:color="000000" w:fill="FFFFFF"/>
            <w:noWrap/>
            <w:vAlign w:val="center"/>
            <w:hideMark/>
          </w:tcPr>
          <w:p w14:paraId="650CA63F"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447.102,4</w:t>
            </w:r>
          </w:p>
        </w:tc>
        <w:tc>
          <w:tcPr>
            <w:tcW w:w="874" w:type="dxa"/>
            <w:tcBorders>
              <w:top w:val="nil"/>
              <w:left w:val="nil"/>
              <w:bottom w:val="single" w:sz="8" w:space="0" w:color="auto"/>
              <w:right w:val="single" w:sz="8" w:space="0" w:color="auto"/>
            </w:tcBorders>
            <w:shd w:val="clear" w:color="000000" w:fill="FFFFFF"/>
            <w:noWrap/>
            <w:vAlign w:val="center"/>
            <w:hideMark/>
          </w:tcPr>
          <w:p w14:paraId="3152BD71"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454.458,9</w:t>
            </w:r>
          </w:p>
        </w:tc>
        <w:tc>
          <w:tcPr>
            <w:tcW w:w="1013" w:type="dxa"/>
            <w:tcBorders>
              <w:top w:val="nil"/>
              <w:left w:val="nil"/>
              <w:bottom w:val="single" w:sz="8" w:space="0" w:color="auto"/>
              <w:right w:val="single" w:sz="8" w:space="0" w:color="auto"/>
            </w:tcBorders>
            <w:shd w:val="clear" w:color="000000" w:fill="FFFFFF"/>
            <w:noWrap/>
            <w:vAlign w:val="center"/>
            <w:hideMark/>
          </w:tcPr>
          <w:p w14:paraId="4E3A69DF"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463.395,3</w:t>
            </w:r>
          </w:p>
        </w:tc>
        <w:tc>
          <w:tcPr>
            <w:tcW w:w="1013" w:type="dxa"/>
            <w:tcBorders>
              <w:top w:val="nil"/>
              <w:left w:val="nil"/>
              <w:bottom w:val="single" w:sz="8" w:space="0" w:color="auto"/>
              <w:right w:val="single" w:sz="8" w:space="0" w:color="auto"/>
            </w:tcBorders>
            <w:shd w:val="clear" w:color="000000" w:fill="FFFFFF"/>
            <w:noWrap/>
            <w:vAlign w:val="center"/>
            <w:hideMark/>
          </w:tcPr>
          <w:p w14:paraId="31FC7757"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473.909,1</w:t>
            </w:r>
          </w:p>
        </w:tc>
        <w:tc>
          <w:tcPr>
            <w:tcW w:w="1013" w:type="dxa"/>
            <w:tcBorders>
              <w:top w:val="nil"/>
              <w:left w:val="nil"/>
              <w:bottom w:val="single" w:sz="8" w:space="0" w:color="auto"/>
              <w:right w:val="single" w:sz="8" w:space="0" w:color="auto"/>
            </w:tcBorders>
            <w:shd w:val="clear" w:color="000000" w:fill="FFFFFF"/>
            <w:noWrap/>
            <w:vAlign w:val="center"/>
            <w:hideMark/>
          </w:tcPr>
          <w:p w14:paraId="3D7B0A97"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483.746,4</w:t>
            </w:r>
          </w:p>
        </w:tc>
        <w:tc>
          <w:tcPr>
            <w:tcW w:w="1013" w:type="dxa"/>
            <w:tcBorders>
              <w:top w:val="nil"/>
              <w:left w:val="nil"/>
              <w:bottom w:val="single" w:sz="8" w:space="0" w:color="auto"/>
              <w:right w:val="single" w:sz="8" w:space="0" w:color="auto"/>
            </w:tcBorders>
            <w:shd w:val="clear" w:color="000000" w:fill="FFFFFF"/>
            <w:noWrap/>
            <w:vAlign w:val="center"/>
            <w:hideMark/>
          </w:tcPr>
          <w:p w14:paraId="34520F5C"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493.995,9</w:t>
            </w:r>
          </w:p>
        </w:tc>
        <w:tc>
          <w:tcPr>
            <w:tcW w:w="1013" w:type="dxa"/>
            <w:tcBorders>
              <w:top w:val="nil"/>
              <w:left w:val="nil"/>
              <w:bottom w:val="single" w:sz="8" w:space="0" w:color="auto"/>
              <w:right w:val="single" w:sz="8" w:space="0" w:color="auto"/>
            </w:tcBorders>
            <w:shd w:val="clear" w:color="000000" w:fill="FFFFFF"/>
            <w:noWrap/>
            <w:vAlign w:val="center"/>
            <w:hideMark/>
          </w:tcPr>
          <w:p w14:paraId="4B24015B"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504.708,0</w:t>
            </w:r>
          </w:p>
        </w:tc>
        <w:tc>
          <w:tcPr>
            <w:tcW w:w="1013" w:type="dxa"/>
            <w:tcBorders>
              <w:top w:val="nil"/>
              <w:left w:val="nil"/>
              <w:bottom w:val="single" w:sz="8" w:space="0" w:color="auto"/>
              <w:right w:val="single" w:sz="8" w:space="0" w:color="auto"/>
            </w:tcBorders>
            <w:shd w:val="clear" w:color="000000" w:fill="FFFFFF"/>
            <w:noWrap/>
            <w:vAlign w:val="center"/>
            <w:hideMark/>
          </w:tcPr>
          <w:p w14:paraId="3F54DE18"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516.229,8</w:t>
            </w:r>
          </w:p>
        </w:tc>
      </w:tr>
      <w:tr w:rsidR="00ED0443" w:rsidRPr="004E6455" w14:paraId="7C8CDC8B" w14:textId="77777777" w:rsidTr="00ED0443">
        <w:tc>
          <w:tcPr>
            <w:tcW w:w="2835" w:type="dxa"/>
            <w:tcBorders>
              <w:top w:val="nil"/>
              <w:left w:val="single" w:sz="8" w:space="0" w:color="auto"/>
              <w:bottom w:val="single" w:sz="8" w:space="0" w:color="auto"/>
              <w:right w:val="nil"/>
            </w:tcBorders>
            <w:shd w:val="clear" w:color="000000" w:fill="FFFFFF"/>
            <w:noWrap/>
            <w:hideMark/>
          </w:tcPr>
          <w:p w14:paraId="64539A56" w14:textId="77777777" w:rsidR="00ED0443" w:rsidRPr="00117BF8" w:rsidRDefault="00ED0443" w:rsidP="005D6624">
            <w:pPr>
              <w:pStyle w:val="TablaC"/>
              <w:jc w:val="left"/>
              <w:rPr>
                <w:rFonts w:ascii="Arial" w:hAnsi="Arial" w:cs="Arial"/>
                <w:b/>
                <w:sz w:val="18"/>
                <w:szCs w:val="18"/>
              </w:rPr>
            </w:pPr>
            <w:r w:rsidRPr="00117BF8">
              <w:rPr>
                <w:rFonts w:ascii="Arial" w:hAnsi="Arial" w:cs="Arial"/>
                <w:b/>
                <w:sz w:val="18"/>
                <w:szCs w:val="18"/>
              </w:rPr>
              <w:t xml:space="preserve"> IX. RESULTADO PRIMARIO (VI-VIII)</w:t>
            </w:r>
          </w:p>
        </w:tc>
        <w:tc>
          <w:tcPr>
            <w:tcW w:w="874" w:type="dxa"/>
            <w:tcBorders>
              <w:top w:val="nil"/>
              <w:left w:val="single" w:sz="8" w:space="0" w:color="auto"/>
              <w:bottom w:val="single" w:sz="8" w:space="0" w:color="auto"/>
              <w:right w:val="single" w:sz="8" w:space="0" w:color="auto"/>
            </w:tcBorders>
            <w:shd w:val="clear" w:color="000000" w:fill="FFFFFF"/>
            <w:noWrap/>
            <w:vAlign w:val="center"/>
            <w:hideMark/>
          </w:tcPr>
          <w:p w14:paraId="7654B87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-14.838,8</w:t>
            </w:r>
          </w:p>
        </w:tc>
        <w:tc>
          <w:tcPr>
            <w:tcW w:w="874" w:type="dxa"/>
            <w:tcBorders>
              <w:top w:val="nil"/>
              <w:left w:val="nil"/>
              <w:bottom w:val="single" w:sz="8" w:space="0" w:color="auto"/>
              <w:right w:val="single" w:sz="8" w:space="0" w:color="auto"/>
            </w:tcBorders>
            <w:shd w:val="clear" w:color="000000" w:fill="FFFFFF"/>
            <w:noWrap/>
            <w:vAlign w:val="center"/>
            <w:hideMark/>
          </w:tcPr>
          <w:p w14:paraId="2B34DA2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-3.350,0</w:t>
            </w:r>
          </w:p>
        </w:tc>
        <w:tc>
          <w:tcPr>
            <w:tcW w:w="874" w:type="dxa"/>
            <w:tcBorders>
              <w:top w:val="nil"/>
              <w:left w:val="nil"/>
              <w:bottom w:val="single" w:sz="8" w:space="0" w:color="auto"/>
              <w:right w:val="single" w:sz="8" w:space="0" w:color="auto"/>
            </w:tcBorders>
            <w:shd w:val="clear" w:color="000000" w:fill="FFFFFF"/>
            <w:noWrap/>
            <w:vAlign w:val="center"/>
            <w:hideMark/>
          </w:tcPr>
          <w:p w14:paraId="25A139C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-3.688,3</w:t>
            </w:r>
          </w:p>
        </w:tc>
        <w:tc>
          <w:tcPr>
            <w:tcW w:w="874" w:type="dxa"/>
            <w:tcBorders>
              <w:top w:val="nil"/>
              <w:left w:val="nil"/>
              <w:bottom w:val="single" w:sz="8" w:space="0" w:color="auto"/>
              <w:right w:val="single" w:sz="8" w:space="0" w:color="auto"/>
            </w:tcBorders>
            <w:shd w:val="clear" w:color="000000" w:fill="FFFFFF"/>
            <w:noWrap/>
            <w:vAlign w:val="center"/>
            <w:hideMark/>
          </w:tcPr>
          <w:p w14:paraId="3532183A"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-1.718,2</w:t>
            </w:r>
          </w:p>
        </w:tc>
        <w:tc>
          <w:tcPr>
            <w:tcW w:w="874" w:type="dxa"/>
            <w:tcBorders>
              <w:top w:val="nil"/>
              <w:left w:val="nil"/>
              <w:bottom w:val="single" w:sz="8" w:space="0" w:color="auto"/>
              <w:right w:val="single" w:sz="8" w:space="0" w:color="auto"/>
            </w:tcBorders>
            <w:shd w:val="clear" w:color="000000" w:fill="FFFFFF"/>
            <w:noWrap/>
            <w:vAlign w:val="center"/>
            <w:hideMark/>
          </w:tcPr>
          <w:p w14:paraId="5DD844DB"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1.610,4</w:t>
            </w:r>
          </w:p>
        </w:tc>
        <w:tc>
          <w:tcPr>
            <w:tcW w:w="874" w:type="dxa"/>
            <w:tcBorders>
              <w:top w:val="nil"/>
              <w:left w:val="nil"/>
              <w:bottom w:val="single" w:sz="8" w:space="0" w:color="auto"/>
              <w:right w:val="single" w:sz="8" w:space="0" w:color="auto"/>
            </w:tcBorders>
            <w:shd w:val="clear" w:color="000000" w:fill="FFFFFF"/>
            <w:noWrap/>
            <w:vAlign w:val="center"/>
            <w:hideMark/>
          </w:tcPr>
          <w:p w14:paraId="4CD672F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3.130,3</w:t>
            </w:r>
          </w:p>
        </w:tc>
        <w:tc>
          <w:tcPr>
            <w:tcW w:w="874" w:type="dxa"/>
            <w:tcBorders>
              <w:top w:val="nil"/>
              <w:left w:val="nil"/>
              <w:bottom w:val="single" w:sz="8" w:space="0" w:color="auto"/>
              <w:right w:val="single" w:sz="8" w:space="0" w:color="auto"/>
            </w:tcBorders>
            <w:shd w:val="clear" w:color="000000" w:fill="FFFFFF"/>
            <w:noWrap/>
            <w:vAlign w:val="center"/>
            <w:hideMark/>
          </w:tcPr>
          <w:p w14:paraId="5A04DBF9"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5.161,5</w:t>
            </w:r>
          </w:p>
        </w:tc>
        <w:tc>
          <w:tcPr>
            <w:tcW w:w="1013" w:type="dxa"/>
            <w:tcBorders>
              <w:top w:val="nil"/>
              <w:left w:val="nil"/>
              <w:bottom w:val="single" w:sz="8" w:space="0" w:color="auto"/>
              <w:right w:val="single" w:sz="8" w:space="0" w:color="auto"/>
            </w:tcBorders>
            <w:shd w:val="clear" w:color="000000" w:fill="FFFFFF"/>
            <w:noWrap/>
            <w:vAlign w:val="center"/>
            <w:hideMark/>
          </w:tcPr>
          <w:p w14:paraId="0777B76D"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6.668,4</w:t>
            </w:r>
          </w:p>
        </w:tc>
        <w:tc>
          <w:tcPr>
            <w:tcW w:w="1013" w:type="dxa"/>
            <w:tcBorders>
              <w:top w:val="nil"/>
              <w:left w:val="nil"/>
              <w:bottom w:val="single" w:sz="8" w:space="0" w:color="auto"/>
              <w:right w:val="single" w:sz="8" w:space="0" w:color="auto"/>
            </w:tcBorders>
            <w:shd w:val="clear" w:color="000000" w:fill="FFFFFF"/>
            <w:noWrap/>
            <w:vAlign w:val="center"/>
            <w:hideMark/>
          </w:tcPr>
          <w:p w14:paraId="16C48D84"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7.857,1</w:t>
            </w:r>
          </w:p>
        </w:tc>
        <w:tc>
          <w:tcPr>
            <w:tcW w:w="1013" w:type="dxa"/>
            <w:tcBorders>
              <w:top w:val="nil"/>
              <w:left w:val="nil"/>
              <w:bottom w:val="single" w:sz="8" w:space="0" w:color="auto"/>
              <w:right w:val="single" w:sz="8" w:space="0" w:color="auto"/>
            </w:tcBorders>
            <w:shd w:val="clear" w:color="000000" w:fill="FFFFFF"/>
            <w:noWrap/>
            <w:vAlign w:val="center"/>
            <w:hideMark/>
          </w:tcPr>
          <w:p w14:paraId="0D75CE48"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9.092,7</w:t>
            </w:r>
          </w:p>
        </w:tc>
        <w:tc>
          <w:tcPr>
            <w:tcW w:w="1013" w:type="dxa"/>
            <w:tcBorders>
              <w:top w:val="nil"/>
              <w:left w:val="nil"/>
              <w:bottom w:val="single" w:sz="8" w:space="0" w:color="auto"/>
              <w:right w:val="single" w:sz="8" w:space="0" w:color="auto"/>
            </w:tcBorders>
            <w:shd w:val="clear" w:color="000000" w:fill="FFFFFF"/>
            <w:noWrap/>
            <w:vAlign w:val="center"/>
            <w:hideMark/>
          </w:tcPr>
          <w:p w14:paraId="7B77650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10.369,6</w:t>
            </w:r>
          </w:p>
        </w:tc>
        <w:tc>
          <w:tcPr>
            <w:tcW w:w="1013" w:type="dxa"/>
            <w:tcBorders>
              <w:top w:val="nil"/>
              <w:left w:val="nil"/>
              <w:bottom w:val="single" w:sz="8" w:space="0" w:color="auto"/>
              <w:right w:val="single" w:sz="8" w:space="0" w:color="auto"/>
            </w:tcBorders>
            <w:shd w:val="clear" w:color="000000" w:fill="FFFFFF"/>
            <w:noWrap/>
            <w:vAlign w:val="center"/>
            <w:hideMark/>
          </w:tcPr>
          <w:p w14:paraId="2E6B2185"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11.681,3</w:t>
            </w:r>
          </w:p>
        </w:tc>
        <w:tc>
          <w:tcPr>
            <w:tcW w:w="1013" w:type="dxa"/>
            <w:tcBorders>
              <w:top w:val="nil"/>
              <w:left w:val="nil"/>
              <w:bottom w:val="single" w:sz="8" w:space="0" w:color="auto"/>
              <w:right w:val="single" w:sz="8" w:space="0" w:color="auto"/>
            </w:tcBorders>
            <w:shd w:val="clear" w:color="000000" w:fill="FFFFFF"/>
            <w:noWrap/>
            <w:vAlign w:val="center"/>
            <w:hideMark/>
          </w:tcPr>
          <w:p w14:paraId="5EF1C7DA"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13.020,5</w:t>
            </w:r>
          </w:p>
        </w:tc>
      </w:tr>
      <w:tr w:rsidR="00ED0443" w:rsidRPr="004E6455" w14:paraId="795503B6" w14:textId="77777777" w:rsidTr="00ED0443">
        <w:tc>
          <w:tcPr>
            <w:tcW w:w="2835" w:type="dxa"/>
            <w:tcBorders>
              <w:top w:val="nil"/>
              <w:left w:val="single" w:sz="8" w:space="0" w:color="auto"/>
              <w:bottom w:val="single" w:sz="8" w:space="0" w:color="auto"/>
              <w:right w:val="nil"/>
            </w:tcBorders>
            <w:shd w:val="clear" w:color="auto" w:fill="auto"/>
            <w:noWrap/>
            <w:hideMark/>
          </w:tcPr>
          <w:p w14:paraId="42F5C558" w14:textId="77777777" w:rsidR="00ED0443" w:rsidRPr="00117BF8" w:rsidRDefault="00ED0443" w:rsidP="005D6624">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X. RESULTADO FINANCIERO (VI-VII)</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14:paraId="69A09CC1"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-30.817,2</w:t>
            </w:r>
          </w:p>
        </w:tc>
        <w:tc>
          <w:tcPr>
            <w:tcW w:w="874" w:type="dxa"/>
            <w:tcBorders>
              <w:top w:val="nil"/>
              <w:left w:val="nil"/>
              <w:bottom w:val="single" w:sz="8" w:space="0" w:color="auto"/>
              <w:right w:val="single" w:sz="8" w:space="0" w:color="auto"/>
            </w:tcBorders>
            <w:shd w:val="clear" w:color="auto" w:fill="auto"/>
            <w:noWrap/>
            <w:vAlign w:val="center"/>
            <w:hideMark/>
          </w:tcPr>
          <w:p w14:paraId="51AA8582"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-20.251,5</w:t>
            </w:r>
          </w:p>
        </w:tc>
        <w:tc>
          <w:tcPr>
            <w:tcW w:w="874" w:type="dxa"/>
            <w:tcBorders>
              <w:top w:val="nil"/>
              <w:left w:val="nil"/>
              <w:bottom w:val="single" w:sz="8" w:space="0" w:color="auto"/>
              <w:right w:val="single" w:sz="8" w:space="0" w:color="auto"/>
            </w:tcBorders>
            <w:shd w:val="clear" w:color="auto" w:fill="auto"/>
            <w:noWrap/>
            <w:vAlign w:val="center"/>
            <w:hideMark/>
          </w:tcPr>
          <w:p w14:paraId="15D0AD9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-20.055,3</w:t>
            </w:r>
          </w:p>
        </w:tc>
        <w:tc>
          <w:tcPr>
            <w:tcW w:w="874" w:type="dxa"/>
            <w:tcBorders>
              <w:top w:val="nil"/>
              <w:left w:val="nil"/>
              <w:bottom w:val="single" w:sz="8" w:space="0" w:color="auto"/>
              <w:right w:val="single" w:sz="8" w:space="0" w:color="auto"/>
            </w:tcBorders>
            <w:shd w:val="clear" w:color="auto" w:fill="auto"/>
            <w:noWrap/>
            <w:vAlign w:val="center"/>
            <w:hideMark/>
          </w:tcPr>
          <w:p w14:paraId="019F1EEB"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-20.236,5</w:t>
            </w:r>
          </w:p>
        </w:tc>
        <w:tc>
          <w:tcPr>
            <w:tcW w:w="874" w:type="dxa"/>
            <w:tcBorders>
              <w:top w:val="nil"/>
              <w:left w:val="nil"/>
              <w:bottom w:val="single" w:sz="8" w:space="0" w:color="auto"/>
              <w:right w:val="single" w:sz="8" w:space="0" w:color="auto"/>
            </w:tcBorders>
            <w:shd w:val="clear" w:color="auto" w:fill="auto"/>
            <w:noWrap/>
            <w:vAlign w:val="center"/>
            <w:hideMark/>
          </w:tcPr>
          <w:p w14:paraId="5071DA4A"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-17.921,9</w:t>
            </w:r>
          </w:p>
        </w:tc>
        <w:tc>
          <w:tcPr>
            <w:tcW w:w="874" w:type="dxa"/>
            <w:tcBorders>
              <w:top w:val="nil"/>
              <w:left w:val="nil"/>
              <w:bottom w:val="single" w:sz="8" w:space="0" w:color="auto"/>
              <w:right w:val="single" w:sz="8" w:space="0" w:color="auto"/>
            </w:tcBorders>
            <w:shd w:val="clear" w:color="auto" w:fill="auto"/>
            <w:noWrap/>
            <w:vAlign w:val="center"/>
            <w:hideMark/>
          </w:tcPr>
          <w:p w14:paraId="3AD01636"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-16.733,5</w:t>
            </w:r>
          </w:p>
        </w:tc>
        <w:tc>
          <w:tcPr>
            <w:tcW w:w="874" w:type="dxa"/>
            <w:tcBorders>
              <w:top w:val="nil"/>
              <w:left w:val="nil"/>
              <w:bottom w:val="single" w:sz="8" w:space="0" w:color="auto"/>
              <w:right w:val="single" w:sz="8" w:space="0" w:color="auto"/>
            </w:tcBorders>
            <w:shd w:val="clear" w:color="auto" w:fill="auto"/>
            <w:noWrap/>
            <w:vAlign w:val="center"/>
            <w:hideMark/>
          </w:tcPr>
          <w:p w14:paraId="5BF0E5F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-14.380,6</w:t>
            </w:r>
          </w:p>
        </w:tc>
        <w:tc>
          <w:tcPr>
            <w:tcW w:w="1013" w:type="dxa"/>
            <w:tcBorders>
              <w:top w:val="nil"/>
              <w:left w:val="nil"/>
              <w:bottom w:val="single" w:sz="8" w:space="0" w:color="auto"/>
              <w:right w:val="single" w:sz="8" w:space="0" w:color="auto"/>
            </w:tcBorders>
            <w:shd w:val="clear" w:color="auto" w:fill="auto"/>
            <w:noWrap/>
            <w:vAlign w:val="center"/>
            <w:hideMark/>
          </w:tcPr>
          <w:p w14:paraId="43B21D9A"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-13.297,2</w:t>
            </w:r>
          </w:p>
        </w:tc>
        <w:tc>
          <w:tcPr>
            <w:tcW w:w="1013" w:type="dxa"/>
            <w:tcBorders>
              <w:top w:val="nil"/>
              <w:left w:val="nil"/>
              <w:bottom w:val="single" w:sz="8" w:space="0" w:color="auto"/>
              <w:right w:val="single" w:sz="8" w:space="0" w:color="auto"/>
            </w:tcBorders>
            <w:shd w:val="clear" w:color="auto" w:fill="auto"/>
            <w:noWrap/>
            <w:vAlign w:val="center"/>
            <w:hideMark/>
          </w:tcPr>
          <w:p w14:paraId="232668A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-13.472,9</w:t>
            </w:r>
          </w:p>
        </w:tc>
        <w:tc>
          <w:tcPr>
            <w:tcW w:w="1013" w:type="dxa"/>
            <w:tcBorders>
              <w:top w:val="nil"/>
              <w:left w:val="nil"/>
              <w:bottom w:val="single" w:sz="8" w:space="0" w:color="auto"/>
              <w:right w:val="single" w:sz="8" w:space="0" w:color="auto"/>
            </w:tcBorders>
            <w:shd w:val="clear" w:color="auto" w:fill="auto"/>
            <w:noWrap/>
            <w:vAlign w:val="center"/>
            <w:hideMark/>
          </w:tcPr>
          <w:p w14:paraId="1388872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-12.645,6</w:t>
            </w:r>
          </w:p>
        </w:tc>
        <w:tc>
          <w:tcPr>
            <w:tcW w:w="1013" w:type="dxa"/>
            <w:tcBorders>
              <w:top w:val="nil"/>
              <w:left w:val="nil"/>
              <w:bottom w:val="single" w:sz="8" w:space="0" w:color="auto"/>
              <w:right w:val="single" w:sz="8" w:space="0" w:color="auto"/>
            </w:tcBorders>
            <w:shd w:val="clear" w:color="auto" w:fill="auto"/>
            <w:noWrap/>
            <w:vAlign w:val="center"/>
            <w:hideMark/>
          </w:tcPr>
          <w:p w14:paraId="77B5085A"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-11.895,8</w:t>
            </w:r>
          </w:p>
        </w:tc>
        <w:tc>
          <w:tcPr>
            <w:tcW w:w="1013" w:type="dxa"/>
            <w:tcBorders>
              <w:top w:val="nil"/>
              <w:left w:val="nil"/>
              <w:bottom w:val="single" w:sz="8" w:space="0" w:color="auto"/>
              <w:right w:val="single" w:sz="8" w:space="0" w:color="auto"/>
            </w:tcBorders>
            <w:shd w:val="clear" w:color="auto" w:fill="auto"/>
            <w:noWrap/>
            <w:vAlign w:val="center"/>
            <w:hideMark/>
          </w:tcPr>
          <w:p w14:paraId="770E5F33"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-11.265,1</w:t>
            </w:r>
          </w:p>
        </w:tc>
        <w:tc>
          <w:tcPr>
            <w:tcW w:w="1013" w:type="dxa"/>
            <w:tcBorders>
              <w:top w:val="nil"/>
              <w:left w:val="nil"/>
              <w:bottom w:val="single" w:sz="8" w:space="0" w:color="auto"/>
              <w:right w:val="single" w:sz="8" w:space="0" w:color="auto"/>
            </w:tcBorders>
            <w:shd w:val="clear" w:color="auto" w:fill="auto"/>
            <w:noWrap/>
            <w:vAlign w:val="center"/>
            <w:hideMark/>
          </w:tcPr>
          <w:p w14:paraId="7D672720" w14:textId="77777777" w:rsidR="00ED0443" w:rsidRPr="00117BF8" w:rsidRDefault="00ED0443" w:rsidP="009264E9">
            <w:pPr>
              <w:pStyle w:val="TablaC"/>
              <w:rPr>
                <w:rFonts w:ascii="Arial" w:hAnsi="Arial" w:cs="Arial"/>
                <w:b/>
                <w:sz w:val="18"/>
                <w:szCs w:val="18"/>
              </w:rPr>
            </w:pPr>
            <w:r w:rsidRPr="00117BF8">
              <w:rPr>
                <w:rFonts w:ascii="Arial" w:hAnsi="Arial" w:cs="Arial"/>
                <w:b/>
                <w:sz w:val="18"/>
                <w:szCs w:val="18"/>
              </w:rPr>
              <w:t>-11.091,6</w:t>
            </w:r>
          </w:p>
        </w:tc>
      </w:tr>
    </w:tbl>
    <w:p w14:paraId="4D7C5E85" w14:textId="77777777" w:rsidR="005D6624" w:rsidRPr="00117BF8" w:rsidRDefault="005D6624" w:rsidP="001D3315">
      <w:pPr>
        <w:pStyle w:val="hsa"/>
        <w:rPr>
          <w:rFonts w:ascii="Arial" w:hAnsi="Arial" w:cs="Arial"/>
        </w:rPr>
      </w:pPr>
    </w:p>
    <w:p w14:paraId="3742E278" w14:textId="77777777" w:rsidR="00ED0443" w:rsidRPr="00117BF8" w:rsidRDefault="00ED0443" w:rsidP="001D3315">
      <w:pPr>
        <w:pStyle w:val="hsa"/>
        <w:rPr>
          <w:rFonts w:ascii="Arial" w:hAnsi="Arial" w:cs="Arial"/>
        </w:rPr>
      </w:pPr>
    </w:p>
    <w:p w14:paraId="1BF6DA61" w14:textId="77777777" w:rsidR="00ED0443" w:rsidRPr="00117BF8" w:rsidRDefault="00ED0443" w:rsidP="001D3315">
      <w:pPr>
        <w:pStyle w:val="hsa"/>
        <w:rPr>
          <w:rFonts w:ascii="Arial" w:hAnsi="Arial" w:cs="Arial"/>
        </w:rPr>
      </w:pPr>
    </w:p>
    <w:tbl>
      <w:tblPr>
        <w:tblW w:w="15143" w:type="dxa"/>
        <w:tblInd w:w="70" w:type="dxa"/>
        <w:tblCellMar>
          <w:left w:w="70" w:type="dxa"/>
          <w:right w:w="70" w:type="dxa"/>
        </w:tblCellMar>
        <w:tblLook w:val="04A0" w:firstRow="1" w:lastRow="0" w:firstColumn="1" w:lastColumn="0" w:noHBand="0" w:noVBand="1"/>
      </w:tblPr>
      <w:tblGrid>
        <w:gridCol w:w="2835"/>
        <w:gridCol w:w="1021"/>
        <w:gridCol w:w="1021"/>
        <w:gridCol w:w="1021"/>
        <w:gridCol w:w="1021"/>
        <w:gridCol w:w="1021"/>
        <w:gridCol w:w="1021"/>
        <w:gridCol w:w="1021"/>
        <w:gridCol w:w="1021"/>
        <w:gridCol w:w="1021"/>
        <w:gridCol w:w="1021"/>
        <w:gridCol w:w="1021"/>
        <w:gridCol w:w="1077"/>
      </w:tblGrid>
      <w:tr w:rsidR="00ED0443" w:rsidRPr="004E6455" w14:paraId="5D0242C0" w14:textId="77777777" w:rsidTr="00ED0443">
        <w:trPr>
          <w:trHeight w:val="364"/>
        </w:trPr>
        <w:tc>
          <w:tcPr>
            <w:tcW w:w="15143" w:type="dxa"/>
            <w:gridSpan w:val="13"/>
            <w:tcBorders>
              <w:top w:val="single" w:sz="8" w:space="0" w:color="auto"/>
              <w:left w:val="single" w:sz="8" w:space="0" w:color="auto"/>
              <w:bottom w:val="single" w:sz="8" w:space="0" w:color="000000"/>
              <w:right w:val="single" w:sz="8" w:space="0" w:color="auto"/>
            </w:tcBorders>
            <w:shd w:val="clear" w:color="auto" w:fill="0070C0"/>
            <w:noWrap/>
          </w:tcPr>
          <w:p w14:paraId="68248B56" w14:textId="77777777" w:rsidR="00ED0443" w:rsidRPr="00117BF8" w:rsidRDefault="00ED0443" w:rsidP="0069589D">
            <w:pPr>
              <w:pStyle w:val="TablaT"/>
              <w:rPr>
                <w:rFonts w:ascii="Arial" w:hAnsi="Arial" w:cs="Arial"/>
                <w:sz w:val="22"/>
                <w:szCs w:val="22"/>
                <w:lang w:val="es-ES_tradnl"/>
              </w:rPr>
            </w:pPr>
            <w:bookmarkStart w:id="172" w:name="_Toc493861174"/>
            <w:r w:rsidRPr="00117BF8">
              <w:rPr>
                <w:rFonts w:ascii="Arial" w:hAnsi="Arial" w:cs="Arial"/>
                <w:sz w:val="22"/>
                <w:szCs w:val="22"/>
                <w:lang w:val="es-ES_tradnl"/>
              </w:rPr>
              <w:t>Tabla A VII - 5 - Provincia de Buenos Aires - Administración Pública no Financiera - Proyección Alternativa 2017-2028 (2016 valores Ejecutados) – Variacione</w:t>
            </w:r>
            <w:r w:rsidR="0069589D" w:rsidRPr="00117BF8">
              <w:rPr>
                <w:rFonts w:ascii="Arial" w:hAnsi="Arial" w:cs="Arial"/>
                <w:sz w:val="22"/>
                <w:szCs w:val="22"/>
                <w:lang w:val="es-ES_tradnl"/>
              </w:rPr>
              <w:t>s</w:t>
            </w:r>
            <w:r w:rsidRPr="00117BF8">
              <w:rPr>
                <w:rFonts w:ascii="Arial" w:hAnsi="Arial" w:cs="Arial"/>
                <w:sz w:val="22"/>
                <w:szCs w:val="22"/>
                <w:lang w:val="es-ES_tradnl"/>
              </w:rPr>
              <w:t xml:space="preserve"> anuales a Precios Constantes</w:t>
            </w:r>
            <w:bookmarkEnd w:id="172"/>
          </w:p>
        </w:tc>
      </w:tr>
      <w:tr w:rsidR="00ED0443" w:rsidRPr="004E6455" w14:paraId="4110A91B" w14:textId="77777777" w:rsidTr="00ED0443">
        <w:trPr>
          <w:trHeight w:val="364"/>
        </w:trPr>
        <w:tc>
          <w:tcPr>
            <w:tcW w:w="2835"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AC797CB" w14:textId="77777777" w:rsidR="00ED0443" w:rsidRPr="00117BF8" w:rsidRDefault="00ED0443" w:rsidP="009264E9">
            <w:pPr>
              <w:pStyle w:val="TablaE"/>
              <w:rPr>
                <w:rFonts w:ascii="Arial" w:hAnsi="Arial" w:cs="Arial"/>
                <w:sz w:val="20"/>
              </w:rPr>
            </w:pPr>
            <w:r w:rsidRPr="00117BF8">
              <w:rPr>
                <w:rFonts w:ascii="Arial" w:hAnsi="Arial" w:cs="Arial"/>
                <w:sz w:val="20"/>
              </w:rPr>
              <w:t>CONCEPTO</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6170AA2" w14:textId="77777777" w:rsidR="00ED0443" w:rsidRPr="00117BF8" w:rsidRDefault="00ED0443" w:rsidP="009264E9">
            <w:pPr>
              <w:pStyle w:val="TablaE"/>
              <w:rPr>
                <w:rFonts w:ascii="Arial" w:hAnsi="Arial" w:cs="Arial"/>
                <w:sz w:val="20"/>
              </w:rPr>
            </w:pPr>
            <w:r w:rsidRPr="00117BF8">
              <w:rPr>
                <w:rFonts w:ascii="Arial" w:hAnsi="Arial" w:cs="Arial"/>
                <w:sz w:val="20"/>
              </w:rPr>
              <w:t>2017</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CFFB20F" w14:textId="77777777" w:rsidR="00ED0443" w:rsidRPr="00117BF8" w:rsidRDefault="00ED0443" w:rsidP="009264E9">
            <w:pPr>
              <w:pStyle w:val="TablaE"/>
              <w:rPr>
                <w:rFonts w:ascii="Arial" w:hAnsi="Arial" w:cs="Arial"/>
                <w:sz w:val="20"/>
              </w:rPr>
            </w:pPr>
            <w:r w:rsidRPr="00117BF8">
              <w:rPr>
                <w:rFonts w:ascii="Arial" w:hAnsi="Arial" w:cs="Arial"/>
                <w:sz w:val="20"/>
              </w:rPr>
              <w:t>2018</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85EAEAF" w14:textId="77777777" w:rsidR="00ED0443" w:rsidRPr="00117BF8" w:rsidRDefault="00ED0443" w:rsidP="009264E9">
            <w:pPr>
              <w:pStyle w:val="TablaE"/>
              <w:rPr>
                <w:rFonts w:ascii="Arial" w:hAnsi="Arial" w:cs="Arial"/>
                <w:sz w:val="20"/>
              </w:rPr>
            </w:pPr>
            <w:r w:rsidRPr="00117BF8">
              <w:rPr>
                <w:rFonts w:ascii="Arial" w:hAnsi="Arial" w:cs="Arial"/>
                <w:sz w:val="20"/>
              </w:rPr>
              <w:t>2019</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360431E" w14:textId="77777777" w:rsidR="00ED0443" w:rsidRPr="00117BF8" w:rsidRDefault="00ED0443" w:rsidP="009264E9">
            <w:pPr>
              <w:pStyle w:val="TablaE"/>
              <w:rPr>
                <w:rFonts w:ascii="Arial" w:hAnsi="Arial" w:cs="Arial"/>
                <w:sz w:val="20"/>
              </w:rPr>
            </w:pPr>
            <w:r w:rsidRPr="00117BF8">
              <w:rPr>
                <w:rFonts w:ascii="Arial" w:hAnsi="Arial" w:cs="Arial"/>
                <w:sz w:val="20"/>
              </w:rPr>
              <w:t>2020</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4EFBC40B" w14:textId="77777777" w:rsidR="00ED0443" w:rsidRPr="00117BF8" w:rsidRDefault="00ED0443" w:rsidP="009264E9">
            <w:pPr>
              <w:pStyle w:val="TablaE"/>
              <w:rPr>
                <w:rFonts w:ascii="Arial" w:hAnsi="Arial" w:cs="Arial"/>
                <w:sz w:val="20"/>
              </w:rPr>
            </w:pPr>
            <w:r w:rsidRPr="00117BF8">
              <w:rPr>
                <w:rFonts w:ascii="Arial" w:hAnsi="Arial" w:cs="Arial"/>
                <w:sz w:val="20"/>
              </w:rPr>
              <w:t>2021</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B9CB470" w14:textId="77777777" w:rsidR="00ED0443" w:rsidRPr="00117BF8" w:rsidRDefault="00ED0443" w:rsidP="009264E9">
            <w:pPr>
              <w:pStyle w:val="TablaE"/>
              <w:rPr>
                <w:rFonts w:ascii="Arial" w:hAnsi="Arial" w:cs="Arial"/>
                <w:sz w:val="20"/>
              </w:rPr>
            </w:pPr>
            <w:r w:rsidRPr="00117BF8">
              <w:rPr>
                <w:rFonts w:ascii="Arial" w:hAnsi="Arial" w:cs="Arial"/>
                <w:sz w:val="20"/>
              </w:rPr>
              <w:t>2022</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35C2E961" w14:textId="77777777" w:rsidR="00ED0443" w:rsidRPr="00117BF8" w:rsidRDefault="00ED0443" w:rsidP="009264E9">
            <w:pPr>
              <w:pStyle w:val="TablaE"/>
              <w:rPr>
                <w:rFonts w:ascii="Arial" w:hAnsi="Arial" w:cs="Arial"/>
                <w:sz w:val="20"/>
              </w:rPr>
            </w:pPr>
            <w:r w:rsidRPr="00117BF8">
              <w:rPr>
                <w:rFonts w:ascii="Arial" w:hAnsi="Arial" w:cs="Arial"/>
                <w:sz w:val="20"/>
              </w:rPr>
              <w:t>2023</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11800D07" w14:textId="77777777" w:rsidR="00ED0443" w:rsidRPr="00117BF8" w:rsidRDefault="00ED0443" w:rsidP="009264E9">
            <w:pPr>
              <w:pStyle w:val="TablaE"/>
              <w:rPr>
                <w:rFonts w:ascii="Arial" w:hAnsi="Arial" w:cs="Arial"/>
                <w:sz w:val="20"/>
              </w:rPr>
            </w:pPr>
            <w:r w:rsidRPr="00117BF8">
              <w:rPr>
                <w:rFonts w:ascii="Arial" w:hAnsi="Arial" w:cs="Arial"/>
                <w:sz w:val="20"/>
              </w:rPr>
              <w:t>2024</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8807066" w14:textId="77777777" w:rsidR="00ED0443" w:rsidRPr="00117BF8" w:rsidRDefault="00ED0443" w:rsidP="009264E9">
            <w:pPr>
              <w:pStyle w:val="TablaE"/>
              <w:rPr>
                <w:rFonts w:ascii="Arial" w:hAnsi="Arial" w:cs="Arial"/>
                <w:sz w:val="20"/>
              </w:rPr>
            </w:pPr>
            <w:r w:rsidRPr="00117BF8">
              <w:rPr>
                <w:rFonts w:ascii="Arial" w:hAnsi="Arial" w:cs="Arial"/>
                <w:sz w:val="20"/>
              </w:rPr>
              <w:t>2025</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7264F55C" w14:textId="77777777" w:rsidR="00ED0443" w:rsidRPr="00117BF8" w:rsidRDefault="00ED0443" w:rsidP="009264E9">
            <w:pPr>
              <w:pStyle w:val="TablaE"/>
              <w:rPr>
                <w:rFonts w:ascii="Arial" w:hAnsi="Arial" w:cs="Arial"/>
                <w:sz w:val="20"/>
              </w:rPr>
            </w:pPr>
            <w:r w:rsidRPr="00117BF8">
              <w:rPr>
                <w:rFonts w:ascii="Arial" w:hAnsi="Arial" w:cs="Arial"/>
                <w:sz w:val="20"/>
              </w:rPr>
              <w:t>2026</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2625B173" w14:textId="77777777" w:rsidR="00ED0443" w:rsidRPr="00117BF8" w:rsidRDefault="00ED0443" w:rsidP="009264E9">
            <w:pPr>
              <w:pStyle w:val="TablaE"/>
              <w:rPr>
                <w:rFonts w:ascii="Arial" w:hAnsi="Arial" w:cs="Arial"/>
                <w:sz w:val="20"/>
              </w:rPr>
            </w:pPr>
            <w:r w:rsidRPr="00117BF8">
              <w:rPr>
                <w:rFonts w:ascii="Arial" w:hAnsi="Arial" w:cs="Arial"/>
                <w:sz w:val="20"/>
              </w:rPr>
              <w:t>2027</w:t>
            </w:r>
          </w:p>
        </w:tc>
        <w:tc>
          <w:tcPr>
            <w:tcW w:w="1077" w:type="dxa"/>
            <w:vMerge w:val="restart"/>
            <w:tcBorders>
              <w:top w:val="single" w:sz="8" w:space="0" w:color="auto"/>
              <w:left w:val="single" w:sz="8" w:space="0" w:color="auto"/>
              <w:bottom w:val="single" w:sz="8" w:space="0" w:color="000000"/>
              <w:right w:val="single" w:sz="8" w:space="0" w:color="auto"/>
            </w:tcBorders>
            <w:shd w:val="clear" w:color="auto" w:fill="0070C0"/>
            <w:noWrap/>
            <w:hideMark/>
          </w:tcPr>
          <w:p w14:paraId="0F155954" w14:textId="77777777" w:rsidR="00ED0443" w:rsidRPr="00117BF8" w:rsidRDefault="00ED0443" w:rsidP="009264E9">
            <w:pPr>
              <w:pStyle w:val="TablaE"/>
              <w:rPr>
                <w:rFonts w:ascii="Arial" w:hAnsi="Arial" w:cs="Arial"/>
                <w:sz w:val="20"/>
              </w:rPr>
            </w:pPr>
            <w:r w:rsidRPr="00117BF8">
              <w:rPr>
                <w:rFonts w:ascii="Arial" w:hAnsi="Arial" w:cs="Arial"/>
                <w:sz w:val="20"/>
              </w:rPr>
              <w:t>2028</w:t>
            </w:r>
          </w:p>
        </w:tc>
      </w:tr>
      <w:tr w:rsidR="00ED0443" w:rsidRPr="004E6455" w14:paraId="40083A53" w14:textId="77777777" w:rsidTr="00ED0443">
        <w:trPr>
          <w:trHeight w:val="255"/>
        </w:trPr>
        <w:tc>
          <w:tcPr>
            <w:tcW w:w="2835" w:type="dxa"/>
            <w:vMerge/>
            <w:tcBorders>
              <w:top w:val="single" w:sz="8" w:space="0" w:color="auto"/>
              <w:left w:val="single" w:sz="8" w:space="0" w:color="auto"/>
              <w:bottom w:val="single" w:sz="8" w:space="0" w:color="000000"/>
              <w:right w:val="single" w:sz="8" w:space="0" w:color="auto"/>
            </w:tcBorders>
            <w:shd w:val="clear" w:color="auto" w:fill="0070C0"/>
            <w:hideMark/>
          </w:tcPr>
          <w:p w14:paraId="3734567D"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6DE6BF8A"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484F11EF"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1C6FE0F5"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0B15D666"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5FCEADCA"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16EE1B11"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4791183E"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245BDDCA"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73584AFF"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1D4216D2" w14:textId="77777777" w:rsidR="00ED0443" w:rsidRPr="004E6455" w:rsidRDefault="00ED0443" w:rsidP="009264E9">
            <w:pPr>
              <w:spacing w:after="0"/>
              <w:jc w:val="left"/>
              <w:rPr>
                <w:rFonts w:ascii="Arial" w:hAnsi="Arial" w:cs="Arial"/>
                <w:b/>
                <w:bCs/>
                <w:i/>
                <w:iCs/>
                <w:sz w:val="22"/>
                <w:szCs w:val="22"/>
                <w:lang w:val="es-AR" w:eastAsia="es-AR"/>
              </w:rPr>
            </w:pPr>
          </w:p>
        </w:tc>
        <w:tc>
          <w:tcPr>
            <w:tcW w:w="1021" w:type="dxa"/>
            <w:vMerge/>
            <w:tcBorders>
              <w:top w:val="single" w:sz="8" w:space="0" w:color="auto"/>
              <w:left w:val="single" w:sz="8" w:space="0" w:color="auto"/>
              <w:bottom w:val="single" w:sz="8" w:space="0" w:color="000000"/>
              <w:right w:val="single" w:sz="8" w:space="0" w:color="auto"/>
            </w:tcBorders>
            <w:shd w:val="clear" w:color="auto" w:fill="0070C0"/>
            <w:hideMark/>
          </w:tcPr>
          <w:p w14:paraId="0B722546" w14:textId="77777777" w:rsidR="00ED0443" w:rsidRPr="004E6455" w:rsidRDefault="00ED0443" w:rsidP="009264E9">
            <w:pPr>
              <w:spacing w:after="0"/>
              <w:jc w:val="left"/>
              <w:rPr>
                <w:rFonts w:ascii="Arial" w:hAnsi="Arial" w:cs="Arial"/>
                <w:b/>
                <w:bCs/>
                <w:i/>
                <w:iCs/>
                <w:sz w:val="22"/>
                <w:szCs w:val="22"/>
                <w:lang w:val="es-AR" w:eastAsia="es-AR"/>
              </w:rPr>
            </w:pPr>
          </w:p>
        </w:tc>
        <w:tc>
          <w:tcPr>
            <w:tcW w:w="1077" w:type="dxa"/>
            <w:vMerge/>
            <w:tcBorders>
              <w:top w:val="single" w:sz="8" w:space="0" w:color="auto"/>
              <w:left w:val="single" w:sz="8" w:space="0" w:color="auto"/>
              <w:bottom w:val="single" w:sz="8" w:space="0" w:color="000000"/>
              <w:right w:val="single" w:sz="8" w:space="0" w:color="auto"/>
            </w:tcBorders>
            <w:shd w:val="clear" w:color="auto" w:fill="0070C0"/>
            <w:hideMark/>
          </w:tcPr>
          <w:p w14:paraId="350C9DA3" w14:textId="77777777" w:rsidR="00ED0443" w:rsidRPr="004E6455" w:rsidRDefault="00ED0443" w:rsidP="009264E9">
            <w:pPr>
              <w:spacing w:after="0"/>
              <w:jc w:val="left"/>
              <w:rPr>
                <w:rFonts w:ascii="Arial" w:hAnsi="Arial" w:cs="Arial"/>
                <w:b/>
                <w:bCs/>
                <w:i/>
                <w:iCs/>
                <w:sz w:val="22"/>
                <w:szCs w:val="22"/>
                <w:lang w:val="es-AR" w:eastAsia="es-AR"/>
              </w:rPr>
            </w:pPr>
          </w:p>
        </w:tc>
      </w:tr>
      <w:tr w:rsidR="00ED0443" w:rsidRPr="004E6455" w14:paraId="377B360D" w14:textId="77777777" w:rsidTr="00ED0443">
        <w:tc>
          <w:tcPr>
            <w:tcW w:w="2835" w:type="dxa"/>
            <w:tcBorders>
              <w:top w:val="single" w:sz="8" w:space="0" w:color="000000"/>
              <w:left w:val="single" w:sz="8" w:space="0" w:color="auto"/>
              <w:bottom w:val="single" w:sz="8" w:space="0" w:color="auto"/>
              <w:right w:val="single" w:sz="4" w:space="0" w:color="auto"/>
            </w:tcBorders>
            <w:shd w:val="clear" w:color="000000" w:fill="FFFFFF"/>
            <w:noWrap/>
            <w:hideMark/>
          </w:tcPr>
          <w:p w14:paraId="16B26044" w14:textId="77777777" w:rsidR="00ED0443" w:rsidRPr="00117BF8" w:rsidRDefault="00ED0443" w:rsidP="009264E9">
            <w:pPr>
              <w:pStyle w:val="TablaC"/>
              <w:jc w:val="left"/>
              <w:rPr>
                <w:rFonts w:ascii="Arial" w:hAnsi="Arial" w:cs="Arial"/>
                <w:b/>
                <w:sz w:val="18"/>
                <w:szCs w:val="18"/>
              </w:rPr>
            </w:pPr>
            <w:r w:rsidRPr="00117BF8">
              <w:rPr>
                <w:rFonts w:ascii="Arial" w:hAnsi="Arial" w:cs="Arial"/>
                <w:b/>
                <w:sz w:val="18"/>
                <w:szCs w:val="18"/>
              </w:rPr>
              <w:t>I. INGRESOS CORRIENTES</w:t>
            </w:r>
          </w:p>
        </w:tc>
        <w:tc>
          <w:tcPr>
            <w:tcW w:w="1021" w:type="dxa"/>
            <w:tcBorders>
              <w:top w:val="single" w:sz="8" w:space="0" w:color="000000"/>
              <w:left w:val="single" w:sz="4" w:space="0" w:color="auto"/>
              <w:bottom w:val="single" w:sz="8" w:space="0" w:color="auto"/>
              <w:right w:val="single" w:sz="8" w:space="0" w:color="auto"/>
            </w:tcBorders>
            <w:shd w:val="clear" w:color="000000" w:fill="FFFFFF"/>
            <w:noWrap/>
            <w:vAlign w:val="center"/>
            <w:hideMark/>
          </w:tcPr>
          <w:p w14:paraId="5423C993" w14:textId="77777777" w:rsidR="00ED0443" w:rsidRPr="00117BF8" w:rsidRDefault="00ED0443" w:rsidP="009264E9">
            <w:pPr>
              <w:pStyle w:val="TablaC"/>
              <w:rPr>
                <w:rFonts w:ascii="Arial" w:hAnsi="Arial" w:cs="Arial"/>
                <w:b/>
                <w:sz w:val="18"/>
              </w:rPr>
            </w:pPr>
            <w:r w:rsidRPr="00117BF8">
              <w:rPr>
                <w:rFonts w:ascii="Arial" w:hAnsi="Arial" w:cs="Arial"/>
                <w:b/>
                <w:sz w:val="18"/>
              </w:rPr>
              <w:t>0,0%</w:t>
            </w:r>
          </w:p>
        </w:tc>
        <w:tc>
          <w:tcPr>
            <w:tcW w:w="1021" w:type="dxa"/>
            <w:tcBorders>
              <w:top w:val="nil"/>
              <w:left w:val="nil"/>
              <w:bottom w:val="single" w:sz="8" w:space="0" w:color="auto"/>
              <w:right w:val="single" w:sz="8" w:space="0" w:color="auto"/>
            </w:tcBorders>
            <w:shd w:val="clear" w:color="000000" w:fill="FFFFFF"/>
            <w:noWrap/>
            <w:vAlign w:val="center"/>
            <w:hideMark/>
          </w:tcPr>
          <w:p w14:paraId="7BF8E111" w14:textId="77777777" w:rsidR="00ED0443" w:rsidRPr="00117BF8" w:rsidRDefault="00ED0443" w:rsidP="009264E9">
            <w:pPr>
              <w:pStyle w:val="TablaC"/>
              <w:rPr>
                <w:rFonts w:ascii="Arial" w:hAnsi="Arial" w:cs="Arial"/>
                <w:b/>
                <w:sz w:val="18"/>
              </w:rPr>
            </w:pPr>
            <w:r w:rsidRPr="00117BF8">
              <w:rPr>
                <w:rFonts w:ascii="Arial" w:hAnsi="Arial" w:cs="Arial"/>
                <w:b/>
                <w:sz w:val="18"/>
              </w:rPr>
              <w:t>1,8%</w:t>
            </w:r>
          </w:p>
        </w:tc>
        <w:tc>
          <w:tcPr>
            <w:tcW w:w="1021" w:type="dxa"/>
            <w:tcBorders>
              <w:top w:val="nil"/>
              <w:left w:val="nil"/>
              <w:bottom w:val="single" w:sz="8" w:space="0" w:color="auto"/>
              <w:right w:val="single" w:sz="8" w:space="0" w:color="auto"/>
            </w:tcBorders>
            <w:shd w:val="clear" w:color="000000" w:fill="FFFFFF"/>
            <w:noWrap/>
            <w:vAlign w:val="center"/>
            <w:hideMark/>
          </w:tcPr>
          <w:p w14:paraId="15DF531F" w14:textId="77777777" w:rsidR="00ED0443" w:rsidRPr="00117BF8" w:rsidRDefault="00ED0443" w:rsidP="009264E9">
            <w:pPr>
              <w:pStyle w:val="TablaC"/>
              <w:rPr>
                <w:rFonts w:ascii="Arial" w:hAnsi="Arial" w:cs="Arial"/>
                <w:b/>
                <w:sz w:val="18"/>
              </w:rPr>
            </w:pPr>
            <w:r w:rsidRPr="00117BF8">
              <w:rPr>
                <w:rFonts w:ascii="Arial" w:hAnsi="Arial" w:cs="Arial"/>
                <w:b/>
                <w:sz w:val="18"/>
              </w:rPr>
              <w:t>2,6%</w:t>
            </w:r>
          </w:p>
        </w:tc>
        <w:tc>
          <w:tcPr>
            <w:tcW w:w="1021" w:type="dxa"/>
            <w:tcBorders>
              <w:top w:val="nil"/>
              <w:left w:val="nil"/>
              <w:bottom w:val="single" w:sz="8" w:space="0" w:color="auto"/>
              <w:right w:val="single" w:sz="8" w:space="0" w:color="auto"/>
            </w:tcBorders>
            <w:shd w:val="clear" w:color="000000" w:fill="FFFFFF"/>
            <w:noWrap/>
            <w:vAlign w:val="center"/>
            <w:hideMark/>
          </w:tcPr>
          <w:p w14:paraId="33848F2C" w14:textId="77777777" w:rsidR="00ED0443" w:rsidRPr="00117BF8" w:rsidRDefault="00ED0443" w:rsidP="009264E9">
            <w:pPr>
              <w:pStyle w:val="TablaC"/>
              <w:rPr>
                <w:rFonts w:ascii="Arial" w:hAnsi="Arial" w:cs="Arial"/>
                <w:b/>
                <w:sz w:val="18"/>
              </w:rPr>
            </w:pPr>
            <w:r w:rsidRPr="00117BF8">
              <w:rPr>
                <w:rFonts w:ascii="Arial" w:hAnsi="Arial" w:cs="Arial"/>
                <w:b/>
                <w:sz w:val="18"/>
              </w:rPr>
              <w:t>2,7%</w:t>
            </w:r>
          </w:p>
        </w:tc>
        <w:tc>
          <w:tcPr>
            <w:tcW w:w="1021" w:type="dxa"/>
            <w:tcBorders>
              <w:top w:val="nil"/>
              <w:left w:val="nil"/>
              <w:bottom w:val="single" w:sz="8" w:space="0" w:color="auto"/>
              <w:right w:val="single" w:sz="8" w:space="0" w:color="auto"/>
            </w:tcBorders>
            <w:shd w:val="clear" w:color="000000" w:fill="FFFFFF"/>
            <w:noWrap/>
            <w:vAlign w:val="center"/>
            <w:hideMark/>
          </w:tcPr>
          <w:p w14:paraId="7F756CB0" w14:textId="77777777" w:rsidR="00ED0443" w:rsidRPr="00117BF8" w:rsidRDefault="00ED0443" w:rsidP="009264E9">
            <w:pPr>
              <w:pStyle w:val="TablaC"/>
              <w:rPr>
                <w:rFonts w:ascii="Arial" w:hAnsi="Arial" w:cs="Arial"/>
                <w:b/>
                <w:sz w:val="18"/>
              </w:rPr>
            </w:pPr>
            <w:r w:rsidRPr="00117BF8">
              <w:rPr>
                <w:rFonts w:ascii="Arial" w:hAnsi="Arial" w:cs="Arial"/>
                <w:b/>
                <w:sz w:val="18"/>
              </w:rPr>
              <w:t>2,1%</w:t>
            </w:r>
          </w:p>
        </w:tc>
        <w:tc>
          <w:tcPr>
            <w:tcW w:w="1021" w:type="dxa"/>
            <w:tcBorders>
              <w:top w:val="nil"/>
              <w:left w:val="nil"/>
              <w:bottom w:val="single" w:sz="8" w:space="0" w:color="auto"/>
              <w:right w:val="single" w:sz="8" w:space="0" w:color="auto"/>
            </w:tcBorders>
            <w:shd w:val="clear" w:color="000000" w:fill="FFFFFF"/>
            <w:noWrap/>
            <w:vAlign w:val="center"/>
            <w:hideMark/>
          </w:tcPr>
          <w:p w14:paraId="56D796BE"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27BEEC23"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6275D0E1"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5CDB4398" w14:textId="77777777" w:rsidR="00ED0443" w:rsidRPr="00117BF8" w:rsidRDefault="00ED0443" w:rsidP="009264E9">
            <w:pPr>
              <w:pStyle w:val="TablaC"/>
              <w:rPr>
                <w:rFonts w:ascii="Arial" w:hAnsi="Arial" w:cs="Arial"/>
                <w:b/>
                <w:sz w:val="18"/>
              </w:rPr>
            </w:pPr>
            <w:r w:rsidRPr="00117BF8">
              <w:rPr>
                <w:rFonts w:ascii="Arial" w:hAnsi="Arial" w:cs="Arial"/>
                <w:b/>
                <w:sz w:val="18"/>
              </w:rPr>
              <w:t>2,4%</w:t>
            </w:r>
          </w:p>
        </w:tc>
        <w:tc>
          <w:tcPr>
            <w:tcW w:w="1021" w:type="dxa"/>
            <w:tcBorders>
              <w:top w:val="nil"/>
              <w:left w:val="nil"/>
              <w:bottom w:val="single" w:sz="8" w:space="0" w:color="auto"/>
              <w:right w:val="single" w:sz="8" w:space="0" w:color="auto"/>
            </w:tcBorders>
            <w:shd w:val="clear" w:color="000000" w:fill="FFFFFF"/>
            <w:noWrap/>
            <w:vAlign w:val="center"/>
            <w:hideMark/>
          </w:tcPr>
          <w:p w14:paraId="62BD01B9" w14:textId="77777777" w:rsidR="00ED0443" w:rsidRPr="00117BF8" w:rsidRDefault="00ED0443" w:rsidP="009264E9">
            <w:pPr>
              <w:pStyle w:val="TablaC"/>
              <w:rPr>
                <w:rFonts w:ascii="Arial" w:hAnsi="Arial" w:cs="Arial"/>
                <w:b/>
                <w:sz w:val="18"/>
              </w:rPr>
            </w:pPr>
            <w:r w:rsidRPr="00117BF8">
              <w:rPr>
                <w:rFonts w:ascii="Arial" w:hAnsi="Arial" w:cs="Arial"/>
                <w:b/>
                <w:sz w:val="18"/>
              </w:rPr>
              <w:t>2,37%</w:t>
            </w:r>
          </w:p>
        </w:tc>
        <w:tc>
          <w:tcPr>
            <w:tcW w:w="1021" w:type="dxa"/>
            <w:tcBorders>
              <w:top w:val="nil"/>
              <w:left w:val="nil"/>
              <w:bottom w:val="single" w:sz="8" w:space="0" w:color="auto"/>
              <w:right w:val="single" w:sz="8" w:space="0" w:color="auto"/>
            </w:tcBorders>
            <w:shd w:val="clear" w:color="000000" w:fill="FFFFFF"/>
            <w:noWrap/>
            <w:vAlign w:val="center"/>
            <w:hideMark/>
          </w:tcPr>
          <w:p w14:paraId="07F7F871" w14:textId="77777777" w:rsidR="00ED0443" w:rsidRPr="00117BF8" w:rsidRDefault="00ED0443" w:rsidP="009264E9">
            <w:pPr>
              <w:pStyle w:val="TablaC"/>
              <w:rPr>
                <w:rFonts w:ascii="Arial" w:hAnsi="Arial" w:cs="Arial"/>
                <w:b/>
                <w:sz w:val="18"/>
              </w:rPr>
            </w:pPr>
            <w:r w:rsidRPr="00117BF8">
              <w:rPr>
                <w:rFonts w:ascii="Arial" w:hAnsi="Arial" w:cs="Arial"/>
                <w:b/>
                <w:sz w:val="18"/>
              </w:rPr>
              <w:t>2,39%</w:t>
            </w:r>
          </w:p>
        </w:tc>
        <w:tc>
          <w:tcPr>
            <w:tcW w:w="1077" w:type="dxa"/>
            <w:tcBorders>
              <w:top w:val="nil"/>
              <w:left w:val="nil"/>
              <w:bottom w:val="single" w:sz="8" w:space="0" w:color="auto"/>
              <w:right w:val="single" w:sz="8" w:space="0" w:color="auto"/>
            </w:tcBorders>
            <w:shd w:val="clear" w:color="000000" w:fill="FFFFFF"/>
            <w:noWrap/>
            <w:vAlign w:val="center"/>
            <w:hideMark/>
          </w:tcPr>
          <w:p w14:paraId="4F02BF8C" w14:textId="77777777" w:rsidR="00ED0443" w:rsidRPr="00117BF8" w:rsidRDefault="00ED0443" w:rsidP="009264E9">
            <w:pPr>
              <w:pStyle w:val="TablaC"/>
              <w:rPr>
                <w:rFonts w:ascii="Arial" w:hAnsi="Arial" w:cs="Arial"/>
                <w:b/>
                <w:sz w:val="18"/>
              </w:rPr>
            </w:pPr>
            <w:r w:rsidRPr="00117BF8">
              <w:rPr>
                <w:rFonts w:ascii="Arial" w:hAnsi="Arial" w:cs="Arial"/>
                <w:b/>
                <w:sz w:val="18"/>
              </w:rPr>
              <w:t>2,41%</w:t>
            </w:r>
          </w:p>
        </w:tc>
      </w:tr>
      <w:tr w:rsidR="00ED0443" w:rsidRPr="004E6455" w14:paraId="3946D1B4" w14:textId="77777777" w:rsidTr="00ED0443">
        <w:tc>
          <w:tcPr>
            <w:tcW w:w="2835" w:type="dxa"/>
            <w:tcBorders>
              <w:top w:val="nil"/>
              <w:left w:val="single" w:sz="8" w:space="0" w:color="auto"/>
              <w:bottom w:val="nil"/>
              <w:right w:val="single" w:sz="4" w:space="0" w:color="auto"/>
            </w:tcBorders>
            <w:shd w:val="clear" w:color="000000" w:fill="FFFFFF"/>
            <w:noWrap/>
            <w:hideMark/>
          </w:tcPr>
          <w:p w14:paraId="0CD5628C" w14:textId="77777777" w:rsidR="00ED0443" w:rsidRPr="00117BF8" w:rsidRDefault="00ED0443" w:rsidP="009264E9">
            <w:pPr>
              <w:pStyle w:val="TablaC"/>
              <w:jc w:val="left"/>
              <w:rPr>
                <w:rFonts w:ascii="Arial" w:hAnsi="Arial" w:cs="Arial"/>
                <w:sz w:val="18"/>
                <w:szCs w:val="18"/>
              </w:rPr>
            </w:pPr>
            <w:r w:rsidRPr="00117BF8">
              <w:rPr>
                <w:rFonts w:ascii="Arial" w:hAnsi="Arial" w:cs="Arial"/>
                <w:sz w:val="18"/>
                <w:szCs w:val="18"/>
              </w:rPr>
              <w:t xml:space="preserve">  Tributarios</w:t>
            </w:r>
          </w:p>
        </w:tc>
        <w:tc>
          <w:tcPr>
            <w:tcW w:w="1021" w:type="dxa"/>
            <w:tcBorders>
              <w:top w:val="nil"/>
              <w:left w:val="single" w:sz="4" w:space="0" w:color="auto"/>
              <w:bottom w:val="nil"/>
              <w:right w:val="single" w:sz="8" w:space="0" w:color="auto"/>
            </w:tcBorders>
            <w:shd w:val="clear" w:color="000000" w:fill="FFFFFF"/>
            <w:noWrap/>
            <w:vAlign w:val="center"/>
            <w:hideMark/>
          </w:tcPr>
          <w:p w14:paraId="713255D2" w14:textId="77777777" w:rsidR="00ED0443" w:rsidRPr="00117BF8" w:rsidRDefault="00ED0443" w:rsidP="009264E9">
            <w:pPr>
              <w:pStyle w:val="TablaC"/>
              <w:rPr>
                <w:rFonts w:ascii="Arial" w:hAnsi="Arial" w:cs="Arial"/>
                <w:sz w:val="18"/>
              </w:rPr>
            </w:pPr>
            <w:r w:rsidRPr="00117BF8">
              <w:rPr>
                <w:rFonts w:ascii="Arial" w:hAnsi="Arial" w:cs="Arial"/>
                <w:sz w:val="18"/>
              </w:rPr>
              <w:t>1,3%</w:t>
            </w:r>
          </w:p>
        </w:tc>
        <w:tc>
          <w:tcPr>
            <w:tcW w:w="1021" w:type="dxa"/>
            <w:tcBorders>
              <w:top w:val="nil"/>
              <w:left w:val="nil"/>
              <w:bottom w:val="nil"/>
              <w:right w:val="single" w:sz="8" w:space="0" w:color="auto"/>
            </w:tcBorders>
            <w:shd w:val="clear" w:color="000000" w:fill="FFFFFF"/>
            <w:noWrap/>
            <w:vAlign w:val="center"/>
            <w:hideMark/>
          </w:tcPr>
          <w:p w14:paraId="331345A3" w14:textId="77777777" w:rsidR="00ED0443" w:rsidRPr="00117BF8" w:rsidRDefault="00ED0443" w:rsidP="009264E9">
            <w:pPr>
              <w:pStyle w:val="TablaC"/>
              <w:rPr>
                <w:rFonts w:ascii="Arial" w:hAnsi="Arial" w:cs="Arial"/>
                <w:sz w:val="18"/>
              </w:rPr>
            </w:pPr>
            <w:r w:rsidRPr="00117BF8">
              <w:rPr>
                <w:rFonts w:ascii="Arial" w:hAnsi="Arial" w:cs="Arial"/>
                <w:sz w:val="18"/>
              </w:rPr>
              <w:t>4,0%</w:t>
            </w:r>
          </w:p>
        </w:tc>
        <w:tc>
          <w:tcPr>
            <w:tcW w:w="1021" w:type="dxa"/>
            <w:tcBorders>
              <w:top w:val="nil"/>
              <w:left w:val="nil"/>
              <w:bottom w:val="nil"/>
              <w:right w:val="single" w:sz="8" w:space="0" w:color="auto"/>
            </w:tcBorders>
            <w:shd w:val="clear" w:color="000000" w:fill="FFFFFF"/>
            <w:noWrap/>
            <w:vAlign w:val="center"/>
            <w:hideMark/>
          </w:tcPr>
          <w:p w14:paraId="05634ADF" w14:textId="77777777" w:rsidR="00ED0443" w:rsidRPr="00117BF8" w:rsidRDefault="00ED0443" w:rsidP="009264E9">
            <w:pPr>
              <w:pStyle w:val="TablaC"/>
              <w:rPr>
                <w:rFonts w:ascii="Arial" w:hAnsi="Arial" w:cs="Arial"/>
                <w:sz w:val="18"/>
              </w:rPr>
            </w:pPr>
            <w:r w:rsidRPr="00117BF8">
              <w:rPr>
                <w:rFonts w:ascii="Arial" w:hAnsi="Arial" w:cs="Arial"/>
                <w:sz w:val="18"/>
              </w:rPr>
              <w:t>4,4%</w:t>
            </w:r>
          </w:p>
        </w:tc>
        <w:tc>
          <w:tcPr>
            <w:tcW w:w="1021" w:type="dxa"/>
            <w:tcBorders>
              <w:top w:val="nil"/>
              <w:left w:val="nil"/>
              <w:bottom w:val="nil"/>
              <w:right w:val="single" w:sz="8" w:space="0" w:color="auto"/>
            </w:tcBorders>
            <w:shd w:val="clear" w:color="000000" w:fill="FFFFFF"/>
            <w:noWrap/>
            <w:vAlign w:val="center"/>
            <w:hideMark/>
          </w:tcPr>
          <w:p w14:paraId="4D3BF985" w14:textId="77777777" w:rsidR="00ED0443" w:rsidRPr="00117BF8" w:rsidRDefault="00ED0443" w:rsidP="009264E9">
            <w:pPr>
              <w:pStyle w:val="TablaC"/>
              <w:rPr>
                <w:rFonts w:ascii="Arial" w:hAnsi="Arial" w:cs="Arial"/>
                <w:sz w:val="18"/>
              </w:rPr>
            </w:pPr>
            <w:r w:rsidRPr="00117BF8">
              <w:rPr>
                <w:rFonts w:ascii="Arial" w:hAnsi="Arial" w:cs="Arial"/>
                <w:sz w:val="18"/>
              </w:rPr>
              <w:t>4,1%</w:t>
            </w:r>
          </w:p>
        </w:tc>
        <w:tc>
          <w:tcPr>
            <w:tcW w:w="1021" w:type="dxa"/>
            <w:tcBorders>
              <w:top w:val="nil"/>
              <w:left w:val="nil"/>
              <w:bottom w:val="nil"/>
              <w:right w:val="single" w:sz="8" w:space="0" w:color="auto"/>
            </w:tcBorders>
            <w:shd w:val="clear" w:color="000000" w:fill="FFFFFF"/>
            <w:noWrap/>
            <w:vAlign w:val="center"/>
            <w:hideMark/>
          </w:tcPr>
          <w:p w14:paraId="10E0391D"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04FBC031"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4908C32F"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7034C26E"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3313E66E"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1D7BD62A"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32D3D8AF"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77" w:type="dxa"/>
            <w:tcBorders>
              <w:top w:val="nil"/>
              <w:left w:val="nil"/>
              <w:bottom w:val="nil"/>
              <w:right w:val="single" w:sz="8" w:space="0" w:color="auto"/>
            </w:tcBorders>
            <w:shd w:val="clear" w:color="000000" w:fill="FFFFFF"/>
            <w:noWrap/>
            <w:vAlign w:val="center"/>
            <w:hideMark/>
          </w:tcPr>
          <w:p w14:paraId="042C79BC"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r>
      <w:tr w:rsidR="00ED0443" w:rsidRPr="004E6455" w14:paraId="6C9168F5" w14:textId="77777777" w:rsidTr="00ED0443">
        <w:tc>
          <w:tcPr>
            <w:tcW w:w="2835" w:type="dxa"/>
            <w:tcBorders>
              <w:top w:val="nil"/>
              <w:left w:val="single" w:sz="8" w:space="0" w:color="auto"/>
              <w:bottom w:val="nil"/>
              <w:right w:val="single" w:sz="4" w:space="0" w:color="auto"/>
            </w:tcBorders>
            <w:shd w:val="clear" w:color="000000" w:fill="FFFFFF"/>
            <w:noWrap/>
            <w:hideMark/>
          </w:tcPr>
          <w:p w14:paraId="6CE7A6E7" w14:textId="77777777" w:rsidR="00ED0443" w:rsidRPr="00117BF8" w:rsidRDefault="00ED0443" w:rsidP="009264E9">
            <w:pPr>
              <w:pStyle w:val="TablaC"/>
              <w:jc w:val="left"/>
              <w:rPr>
                <w:rFonts w:ascii="Arial" w:hAnsi="Arial" w:cs="Arial"/>
                <w:sz w:val="18"/>
                <w:szCs w:val="18"/>
                <w:lang w:val="es-ES_tradnl"/>
              </w:rPr>
            </w:pPr>
            <w:r w:rsidRPr="00117BF8">
              <w:rPr>
                <w:rFonts w:ascii="Arial" w:hAnsi="Arial" w:cs="Arial"/>
                <w:sz w:val="18"/>
                <w:szCs w:val="18"/>
                <w:lang w:val="es-ES_tradnl"/>
              </w:rPr>
              <w:t xml:space="preserve">  Contrib. a la Seguridad Social</w:t>
            </w:r>
          </w:p>
        </w:tc>
        <w:tc>
          <w:tcPr>
            <w:tcW w:w="1021" w:type="dxa"/>
            <w:tcBorders>
              <w:top w:val="nil"/>
              <w:left w:val="single" w:sz="4" w:space="0" w:color="auto"/>
              <w:bottom w:val="nil"/>
              <w:right w:val="single" w:sz="8" w:space="0" w:color="auto"/>
            </w:tcBorders>
            <w:shd w:val="clear" w:color="000000" w:fill="FFFFFF"/>
            <w:noWrap/>
            <w:vAlign w:val="center"/>
            <w:hideMark/>
          </w:tcPr>
          <w:p w14:paraId="0DFAD4D2" w14:textId="77777777" w:rsidR="00ED0443" w:rsidRPr="00117BF8" w:rsidRDefault="00ED0443" w:rsidP="009264E9">
            <w:pPr>
              <w:pStyle w:val="TablaC"/>
              <w:rPr>
                <w:rFonts w:ascii="Arial" w:hAnsi="Arial" w:cs="Arial"/>
                <w:sz w:val="18"/>
              </w:rPr>
            </w:pPr>
            <w:r w:rsidRPr="00117BF8">
              <w:rPr>
                <w:rFonts w:ascii="Arial" w:hAnsi="Arial" w:cs="Arial"/>
                <w:sz w:val="18"/>
              </w:rPr>
              <w:t>-3,6%</w:t>
            </w:r>
          </w:p>
        </w:tc>
        <w:tc>
          <w:tcPr>
            <w:tcW w:w="1021" w:type="dxa"/>
            <w:tcBorders>
              <w:top w:val="nil"/>
              <w:left w:val="nil"/>
              <w:bottom w:val="nil"/>
              <w:right w:val="single" w:sz="8" w:space="0" w:color="auto"/>
            </w:tcBorders>
            <w:shd w:val="clear" w:color="000000" w:fill="FFFFFF"/>
            <w:noWrap/>
            <w:vAlign w:val="center"/>
            <w:hideMark/>
          </w:tcPr>
          <w:p w14:paraId="6AC33B27" w14:textId="77777777" w:rsidR="00ED0443" w:rsidRPr="00117BF8" w:rsidRDefault="00ED0443" w:rsidP="009264E9">
            <w:pPr>
              <w:pStyle w:val="TablaC"/>
              <w:rPr>
                <w:rFonts w:ascii="Arial" w:hAnsi="Arial" w:cs="Arial"/>
                <w:sz w:val="18"/>
              </w:rPr>
            </w:pPr>
            <w:r w:rsidRPr="00117BF8">
              <w:rPr>
                <w:rFonts w:ascii="Arial" w:hAnsi="Arial" w:cs="Arial"/>
                <w:sz w:val="18"/>
              </w:rPr>
              <w:t>1,6%</w:t>
            </w:r>
          </w:p>
        </w:tc>
        <w:tc>
          <w:tcPr>
            <w:tcW w:w="1021" w:type="dxa"/>
            <w:tcBorders>
              <w:top w:val="nil"/>
              <w:left w:val="nil"/>
              <w:bottom w:val="nil"/>
              <w:right w:val="single" w:sz="8" w:space="0" w:color="auto"/>
            </w:tcBorders>
            <w:shd w:val="clear" w:color="000000" w:fill="FFFFFF"/>
            <w:noWrap/>
            <w:vAlign w:val="center"/>
            <w:hideMark/>
          </w:tcPr>
          <w:p w14:paraId="5EC13037" w14:textId="77777777" w:rsidR="00ED0443" w:rsidRPr="00117BF8" w:rsidRDefault="00ED0443" w:rsidP="009264E9">
            <w:pPr>
              <w:pStyle w:val="TablaC"/>
              <w:rPr>
                <w:rFonts w:ascii="Arial" w:hAnsi="Arial" w:cs="Arial"/>
                <w:sz w:val="18"/>
              </w:rPr>
            </w:pPr>
            <w:r w:rsidRPr="00117BF8">
              <w:rPr>
                <w:rFonts w:ascii="Arial" w:hAnsi="Arial" w:cs="Arial"/>
                <w:sz w:val="18"/>
              </w:rPr>
              <w:t>1,6%</w:t>
            </w:r>
          </w:p>
        </w:tc>
        <w:tc>
          <w:tcPr>
            <w:tcW w:w="1021" w:type="dxa"/>
            <w:tcBorders>
              <w:top w:val="nil"/>
              <w:left w:val="nil"/>
              <w:bottom w:val="nil"/>
              <w:right w:val="single" w:sz="8" w:space="0" w:color="auto"/>
            </w:tcBorders>
            <w:shd w:val="clear" w:color="000000" w:fill="FFFFFF"/>
            <w:noWrap/>
            <w:vAlign w:val="center"/>
            <w:hideMark/>
          </w:tcPr>
          <w:p w14:paraId="3463A125"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6D29E93F"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7BE609CC"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4312D750"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44DAE9CF"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1D488A8F"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02F85A0F"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0CA39737"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77" w:type="dxa"/>
            <w:tcBorders>
              <w:top w:val="nil"/>
              <w:left w:val="nil"/>
              <w:bottom w:val="nil"/>
              <w:right w:val="single" w:sz="8" w:space="0" w:color="auto"/>
            </w:tcBorders>
            <w:shd w:val="clear" w:color="000000" w:fill="FFFFFF"/>
            <w:noWrap/>
            <w:vAlign w:val="center"/>
            <w:hideMark/>
          </w:tcPr>
          <w:p w14:paraId="7AECE16F"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r>
      <w:tr w:rsidR="00ED0443" w:rsidRPr="004E6455" w14:paraId="795B109A" w14:textId="77777777" w:rsidTr="00ED0443">
        <w:tc>
          <w:tcPr>
            <w:tcW w:w="2835" w:type="dxa"/>
            <w:tcBorders>
              <w:top w:val="nil"/>
              <w:left w:val="single" w:sz="8" w:space="0" w:color="auto"/>
              <w:bottom w:val="nil"/>
              <w:right w:val="single" w:sz="4" w:space="0" w:color="auto"/>
            </w:tcBorders>
            <w:shd w:val="clear" w:color="000000" w:fill="FFFFFF"/>
            <w:noWrap/>
            <w:hideMark/>
          </w:tcPr>
          <w:p w14:paraId="2174637C" w14:textId="77777777" w:rsidR="00ED0443" w:rsidRPr="00117BF8" w:rsidRDefault="00ED0443" w:rsidP="009264E9">
            <w:pPr>
              <w:pStyle w:val="TablaC"/>
              <w:jc w:val="left"/>
              <w:rPr>
                <w:rFonts w:ascii="Arial" w:hAnsi="Arial" w:cs="Arial"/>
                <w:sz w:val="18"/>
                <w:szCs w:val="18"/>
              </w:rPr>
            </w:pPr>
            <w:r w:rsidRPr="00117BF8">
              <w:rPr>
                <w:rFonts w:ascii="Arial" w:hAnsi="Arial" w:cs="Arial"/>
                <w:sz w:val="18"/>
                <w:szCs w:val="18"/>
              </w:rPr>
              <w:t xml:space="preserve">  No Tributarios</w:t>
            </w:r>
          </w:p>
        </w:tc>
        <w:tc>
          <w:tcPr>
            <w:tcW w:w="1021" w:type="dxa"/>
            <w:tcBorders>
              <w:top w:val="nil"/>
              <w:left w:val="single" w:sz="4" w:space="0" w:color="auto"/>
              <w:bottom w:val="nil"/>
              <w:right w:val="single" w:sz="8" w:space="0" w:color="auto"/>
            </w:tcBorders>
            <w:shd w:val="clear" w:color="000000" w:fill="FFFFFF"/>
            <w:noWrap/>
            <w:vAlign w:val="center"/>
            <w:hideMark/>
          </w:tcPr>
          <w:p w14:paraId="091955DB" w14:textId="77777777" w:rsidR="00ED0443" w:rsidRPr="00117BF8" w:rsidRDefault="00ED0443" w:rsidP="009264E9">
            <w:pPr>
              <w:pStyle w:val="TablaC"/>
              <w:rPr>
                <w:rFonts w:ascii="Arial" w:hAnsi="Arial" w:cs="Arial"/>
                <w:sz w:val="18"/>
              </w:rPr>
            </w:pPr>
            <w:r w:rsidRPr="00117BF8">
              <w:rPr>
                <w:rFonts w:ascii="Arial" w:hAnsi="Arial" w:cs="Arial"/>
                <w:sz w:val="18"/>
              </w:rPr>
              <w:t>-2,3%</w:t>
            </w:r>
          </w:p>
        </w:tc>
        <w:tc>
          <w:tcPr>
            <w:tcW w:w="1021" w:type="dxa"/>
            <w:tcBorders>
              <w:top w:val="nil"/>
              <w:left w:val="nil"/>
              <w:bottom w:val="nil"/>
              <w:right w:val="single" w:sz="8" w:space="0" w:color="auto"/>
            </w:tcBorders>
            <w:shd w:val="clear" w:color="000000" w:fill="FFFFFF"/>
            <w:noWrap/>
            <w:vAlign w:val="center"/>
            <w:hideMark/>
          </w:tcPr>
          <w:p w14:paraId="2BFF62D0" w14:textId="77777777" w:rsidR="00ED0443" w:rsidRPr="00117BF8" w:rsidRDefault="00ED0443" w:rsidP="009264E9">
            <w:pPr>
              <w:pStyle w:val="TablaC"/>
              <w:rPr>
                <w:rFonts w:ascii="Arial" w:hAnsi="Arial" w:cs="Arial"/>
                <w:sz w:val="18"/>
              </w:rPr>
            </w:pPr>
            <w:r w:rsidRPr="00117BF8">
              <w:rPr>
                <w:rFonts w:ascii="Arial" w:hAnsi="Arial" w:cs="Arial"/>
                <w:sz w:val="18"/>
              </w:rPr>
              <w:t>-9,8%</w:t>
            </w:r>
          </w:p>
        </w:tc>
        <w:tc>
          <w:tcPr>
            <w:tcW w:w="1021" w:type="dxa"/>
            <w:tcBorders>
              <w:top w:val="nil"/>
              <w:left w:val="nil"/>
              <w:bottom w:val="nil"/>
              <w:right w:val="single" w:sz="8" w:space="0" w:color="auto"/>
            </w:tcBorders>
            <w:shd w:val="clear" w:color="000000" w:fill="FFFFFF"/>
            <w:noWrap/>
            <w:vAlign w:val="center"/>
            <w:hideMark/>
          </w:tcPr>
          <w:p w14:paraId="7F7E9E80" w14:textId="77777777" w:rsidR="00ED0443" w:rsidRPr="00117BF8" w:rsidRDefault="00ED0443" w:rsidP="009264E9">
            <w:pPr>
              <w:pStyle w:val="TablaC"/>
              <w:rPr>
                <w:rFonts w:ascii="Arial" w:hAnsi="Arial" w:cs="Arial"/>
                <w:sz w:val="18"/>
              </w:rPr>
            </w:pPr>
            <w:r w:rsidRPr="00117BF8">
              <w:rPr>
                <w:rFonts w:ascii="Arial" w:hAnsi="Arial" w:cs="Arial"/>
                <w:sz w:val="18"/>
              </w:rPr>
              <w:t>-6,7%</w:t>
            </w:r>
          </w:p>
        </w:tc>
        <w:tc>
          <w:tcPr>
            <w:tcW w:w="1021" w:type="dxa"/>
            <w:tcBorders>
              <w:top w:val="nil"/>
              <w:left w:val="nil"/>
              <w:bottom w:val="nil"/>
              <w:right w:val="single" w:sz="8" w:space="0" w:color="auto"/>
            </w:tcBorders>
            <w:shd w:val="clear" w:color="000000" w:fill="FFFFFF"/>
            <w:noWrap/>
            <w:vAlign w:val="center"/>
            <w:hideMark/>
          </w:tcPr>
          <w:p w14:paraId="379385A4" w14:textId="77777777" w:rsidR="00ED0443" w:rsidRPr="00117BF8" w:rsidRDefault="00ED0443" w:rsidP="009264E9">
            <w:pPr>
              <w:pStyle w:val="TablaC"/>
              <w:rPr>
                <w:rFonts w:ascii="Arial" w:hAnsi="Arial" w:cs="Arial"/>
                <w:sz w:val="18"/>
              </w:rPr>
            </w:pPr>
            <w:r w:rsidRPr="00117BF8">
              <w:rPr>
                <w:rFonts w:ascii="Arial" w:hAnsi="Arial" w:cs="Arial"/>
                <w:sz w:val="18"/>
              </w:rPr>
              <w:t>-4,4%</w:t>
            </w:r>
          </w:p>
        </w:tc>
        <w:tc>
          <w:tcPr>
            <w:tcW w:w="1021" w:type="dxa"/>
            <w:tcBorders>
              <w:top w:val="nil"/>
              <w:left w:val="nil"/>
              <w:bottom w:val="nil"/>
              <w:right w:val="single" w:sz="8" w:space="0" w:color="auto"/>
            </w:tcBorders>
            <w:shd w:val="clear" w:color="000000" w:fill="FFFFFF"/>
            <w:noWrap/>
            <w:vAlign w:val="center"/>
            <w:hideMark/>
          </w:tcPr>
          <w:p w14:paraId="317AC935" w14:textId="77777777" w:rsidR="00ED0443" w:rsidRPr="00117BF8" w:rsidRDefault="00ED0443" w:rsidP="009264E9">
            <w:pPr>
              <w:pStyle w:val="TablaC"/>
              <w:rPr>
                <w:rFonts w:ascii="Arial" w:hAnsi="Arial" w:cs="Arial"/>
                <w:sz w:val="18"/>
              </w:rPr>
            </w:pPr>
            <w:r w:rsidRPr="00117BF8">
              <w:rPr>
                <w:rFonts w:ascii="Arial" w:hAnsi="Arial" w:cs="Arial"/>
                <w:sz w:val="18"/>
              </w:rPr>
              <w:t>-3,3%</w:t>
            </w:r>
          </w:p>
        </w:tc>
        <w:tc>
          <w:tcPr>
            <w:tcW w:w="1021" w:type="dxa"/>
            <w:tcBorders>
              <w:top w:val="nil"/>
              <w:left w:val="nil"/>
              <w:bottom w:val="nil"/>
              <w:right w:val="single" w:sz="8" w:space="0" w:color="auto"/>
            </w:tcBorders>
            <w:shd w:val="clear" w:color="000000" w:fill="FFFFFF"/>
            <w:noWrap/>
            <w:vAlign w:val="center"/>
            <w:hideMark/>
          </w:tcPr>
          <w:p w14:paraId="4E85CDEB"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7E399E23"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0374A8E4"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2D7FF631"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21147498"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28C9A6F0" w14:textId="77777777" w:rsidR="00ED0443" w:rsidRPr="00117BF8" w:rsidRDefault="00ED0443" w:rsidP="009264E9">
            <w:pPr>
              <w:pStyle w:val="TablaC"/>
              <w:rPr>
                <w:rFonts w:ascii="Arial" w:hAnsi="Arial" w:cs="Arial"/>
                <w:sz w:val="18"/>
              </w:rPr>
            </w:pPr>
            <w:r w:rsidRPr="00117BF8">
              <w:rPr>
                <w:rFonts w:ascii="Arial" w:hAnsi="Arial" w:cs="Arial"/>
                <w:sz w:val="18"/>
              </w:rPr>
              <w:t>-1,4%</w:t>
            </w:r>
          </w:p>
        </w:tc>
        <w:tc>
          <w:tcPr>
            <w:tcW w:w="1077" w:type="dxa"/>
            <w:tcBorders>
              <w:top w:val="nil"/>
              <w:left w:val="nil"/>
              <w:bottom w:val="nil"/>
              <w:right w:val="single" w:sz="8" w:space="0" w:color="auto"/>
            </w:tcBorders>
            <w:shd w:val="clear" w:color="000000" w:fill="FFFFFF"/>
            <w:noWrap/>
            <w:vAlign w:val="center"/>
            <w:hideMark/>
          </w:tcPr>
          <w:p w14:paraId="5B16161C" w14:textId="77777777" w:rsidR="00ED0443" w:rsidRPr="00117BF8" w:rsidRDefault="00ED0443" w:rsidP="009264E9">
            <w:pPr>
              <w:pStyle w:val="TablaC"/>
              <w:rPr>
                <w:rFonts w:ascii="Arial" w:hAnsi="Arial" w:cs="Arial"/>
                <w:sz w:val="18"/>
              </w:rPr>
            </w:pPr>
            <w:r w:rsidRPr="00117BF8">
              <w:rPr>
                <w:rFonts w:ascii="Arial" w:hAnsi="Arial" w:cs="Arial"/>
                <w:sz w:val="18"/>
              </w:rPr>
              <w:t>-1,4%</w:t>
            </w:r>
          </w:p>
        </w:tc>
      </w:tr>
      <w:tr w:rsidR="00ED0443" w:rsidRPr="004E6455" w14:paraId="069FAFED" w14:textId="77777777" w:rsidTr="00ED0443">
        <w:tc>
          <w:tcPr>
            <w:tcW w:w="2835" w:type="dxa"/>
            <w:tcBorders>
              <w:top w:val="single" w:sz="8" w:space="0" w:color="auto"/>
              <w:left w:val="single" w:sz="8" w:space="0" w:color="auto"/>
              <w:bottom w:val="single" w:sz="8" w:space="0" w:color="auto"/>
              <w:right w:val="single" w:sz="4" w:space="0" w:color="auto"/>
            </w:tcBorders>
            <w:shd w:val="clear" w:color="000000" w:fill="FFFFFF"/>
            <w:noWrap/>
            <w:hideMark/>
          </w:tcPr>
          <w:p w14:paraId="3598DB62" w14:textId="77777777" w:rsidR="00ED0443" w:rsidRPr="00117BF8" w:rsidRDefault="00ED0443" w:rsidP="009264E9">
            <w:pPr>
              <w:pStyle w:val="TablaC"/>
              <w:jc w:val="left"/>
              <w:rPr>
                <w:rFonts w:ascii="Arial" w:hAnsi="Arial" w:cs="Arial"/>
                <w:b/>
                <w:sz w:val="18"/>
                <w:szCs w:val="18"/>
              </w:rPr>
            </w:pPr>
            <w:r w:rsidRPr="00117BF8">
              <w:rPr>
                <w:rFonts w:ascii="Arial" w:hAnsi="Arial" w:cs="Arial"/>
                <w:b/>
                <w:sz w:val="18"/>
                <w:szCs w:val="18"/>
              </w:rPr>
              <w:t>II. GASTOS CORRIENTES</w:t>
            </w:r>
          </w:p>
        </w:tc>
        <w:tc>
          <w:tcPr>
            <w:tcW w:w="1021"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42506C2" w14:textId="77777777" w:rsidR="00ED0443" w:rsidRPr="00117BF8" w:rsidRDefault="00ED0443" w:rsidP="009264E9">
            <w:pPr>
              <w:pStyle w:val="TablaC"/>
              <w:rPr>
                <w:rFonts w:ascii="Arial" w:hAnsi="Arial" w:cs="Arial"/>
                <w:b/>
                <w:sz w:val="18"/>
              </w:rPr>
            </w:pPr>
            <w:r w:rsidRPr="00117BF8">
              <w:rPr>
                <w:rFonts w:ascii="Arial" w:hAnsi="Arial" w:cs="Arial"/>
                <w:b/>
                <w:sz w:val="18"/>
              </w:rPr>
              <w:t>-4,8%</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5B81173E" w14:textId="77777777" w:rsidR="00ED0443" w:rsidRPr="00117BF8" w:rsidRDefault="00ED0443" w:rsidP="009264E9">
            <w:pPr>
              <w:pStyle w:val="TablaC"/>
              <w:rPr>
                <w:rFonts w:ascii="Arial" w:hAnsi="Arial" w:cs="Arial"/>
                <w:b/>
                <w:sz w:val="18"/>
              </w:rPr>
            </w:pPr>
            <w:r w:rsidRPr="00117BF8">
              <w:rPr>
                <w:rFonts w:ascii="Arial" w:hAnsi="Arial" w:cs="Arial"/>
                <w:b/>
                <w:sz w:val="18"/>
              </w:rPr>
              <w:t>1,7%</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02658C67" w14:textId="77777777" w:rsidR="00ED0443" w:rsidRPr="00117BF8" w:rsidRDefault="00ED0443" w:rsidP="009264E9">
            <w:pPr>
              <w:pStyle w:val="TablaC"/>
              <w:rPr>
                <w:rFonts w:ascii="Arial" w:hAnsi="Arial" w:cs="Arial"/>
                <w:b/>
                <w:sz w:val="18"/>
              </w:rPr>
            </w:pPr>
            <w:r w:rsidRPr="00117BF8">
              <w:rPr>
                <w:rFonts w:ascii="Arial" w:hAnsi="Arial" w:cs="Arial"/>
                <w:b/>
                <w:sz w:val="18"/>
              </w:rPr>
              <w:t>2,4%</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0CC80DF5" w14:textId="77777777" w:rsidR="00ED0443" w:rsidRPr="00117BF8" w:rsidRDefault="00ED0443" w:rsidP="009264E9">
            <w:pPr>
              <w:pStyle w:val="TablaC"/>
              <w:rPr>
                <w:rFonts w:ascii="Arial" w:hAnsi="Arial" w:cs="Arial"/>
                <w:b/>
                <w:sz w:val="18"/>
              </w:rPr>
            </w:pPr>
            <w:r w:rsidRPr="00117BF8">
              <w:rPr>
                <w:rFonts w:ascii="Arial" w:hAnsi="Arial" w:cs="Arial"/>
                <w:b/>
                <w:sz w:val="18"/>
              </w:rPr>
              <w:t>2,0%</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71CC2EDE" w14:textId="77777777" w:rsidR="00ED0443" w:rsidRPr="00117BF8" w:rsidRDefault="00ED0443" w:rsidP="009264E9">
            <w:pPr>
              <w:pStyle w:val="TablaC"/>
              <w:rPr>
                <w:rFonts w:ascii="Arial" w:hAnsi="Arial" w:cs="Arial"/>
                <w:b/>
                <w:sz w:val="18"/>
              </w:rPr>
            </w:pPr>
            <w:r w:rsidRPr="00117BF8">
              <w:rPr>
                <w:rFonts w:ascii="Arial" w:hAnsi="Arial" w:cs="Arial"/>
                <w:b/>
                <w:sz w:val="18"/>
              </w:rPr>
              <w:t>1,8%</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412EFAB1" w14:textId="77777777" w:rsidR="00ED0443" w:rsidRPr="00117BF8" w:rsidRDefault="00ED0443" w:rsidP="009264E9">
            <w:pPr>
              <w:pStyle w:val="TablaC"/>
              <w:rPr>
                <w:rFonts w:ascii="Arial" w:hAnsi="Arial" w:cs="Arial"/>
                <w:b/>
                <w:sz w:val="18"/>
              </w:rPr>
            </w:pPr>
            <w:r w:rsidRPr="00117BF8">
              <w:rPr>
                <w:rFonts w:ascii="Arial" w:hAnsi="Arial" w:cs="Arial"/>
                <w:b/>
                <w:sz w:val="18"/>
              </w:rPr>
              <w:t>1,6%</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42543330" w14:textId="77777777" w:rsidR="00ED0443" w:rsidRPr="00117BF8" w:rsidRDefault="00ED0443" w:rsidP="009264E9">
            <w:pPr>
              <w:pStyle w:val="TablaC"/>
              <w:rPr>
                <w:rFonts w:ascii="Arial" w:hAnsi="Arial" w:cs="Arial"/>
                <w:b/>
                <w:sz w:val="18"/>
              </w:rPr>
            </w:pPr>
            <w:r w:rsidRPr="00117BF8">
              <w:rPr>
                <w:rFonts w:ascii="Arial" w:hAnsi="Arial" w:cs="Arial"/>
                <w:b/>
                <w:sz w:val="18"/>
              </w:rPr>
              <w:t>1,8%</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333C9EF1" w14:textId="77777777" w:rsidR="00ED0443" w:rsidRPr="00117BF8" w:rsidRDefault="00ED0443" w:rsidP="009264E9">
            <w:pPr>
              <w:pStyle w:val="TablaC"/>
              <w:rPr>
                <w:rFonts w:ascii="Arial" w:hAnsi="Arial" w:cs="Arial"/>
                <w:b/>
                <w:sz w:val="18"/>
              </w:rPr>
            </w:pPr>
            <w:r w:rsidRPr="00117BF8">
              <w:rPr>
                <w:rFonts w:ascii="Arial" w:hAnsi="Arial" w:cs="Arial"/>
                <w:b/>
                <w:sz w:val="18"/>
              </w:rPr>
              <w:t>2,1%</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37AA499C" w14:textId="77777777" w:rsidR="00ED0443" w:rsidRPr="00117BF8" w:rsidRDefault="00ED0443" w:rsidP="009264E9">
            <w:pPr>
              <w:pStyle w:val="TablaC"/>
              <w:rPr>
                <w:rFonts w:ascii="Arial" w:hAnsi="Arial" w:cs="Arial"/>
                <w:b/>
                <w:sz w:val="18"/>
              </w:rPr>
            </w:pPr>
            <w:r w:rsidRPr="00117BF8">
              <w:rPr>
                <w:rFonts w:ascii="Arial" w:hAnsi="Arial" w:cs="Arial"/>
                <w:b/>
                <w:sz w:val="18"/>
              </w:rPr>
              <w:t>1,8%</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1AD6B925" w14:textId="77777777" w:rsidR="00ED0443" w:rsidRPr="00117BF8" w:rsidRDefault="00ED0443" w:rsidP="009264E9">
            <w:pPr>
              <w:pStyle w:val="TablaC"/>
              <w:rPr>
                <w:rFonts w:ascii="Arial" w:hAnsi="Arial" w:cs="Arial"/>
                <w:b/>
                <w:sz w:val="18"/>
              </w:rPr>
            </w:pPr>
            <w:r w:rsidRPr="00117BF8">
              <w:rPr>
                <w:rFonts w:ascii="Arial" w:hAnsi="Arial" w:cs="Arial"/>
                <w:b/>
                <w:sz w:val="18"/>
              </w:rPr>
              <w:t>1,9%</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3A898141" w14:textId="77777777" w:rsidR="00ED0443" w:rsidRPr="00117BF8" w:rsidRDefault="00ED0443" w:rsidP="009264E9">
            <w:pPr>
              <w:pStyle w:val="TablaC"/>
              <w:rPr>
                <w:rFonts w:ascii="Arial" w:hAnsi="Arial" w:cs="Arial"/>
                <w:b/>
                <w:sz w:val="18"/>
              </w:rPr>
            </w:pPr>
            <w:r w:rsidRPr="00117BF8">
              <w:rPr>
                <w:rFonts w:ascii="Arial" w:hAnsi="Arial" w:cs="Arial"/>
                <w:b/>
                <w:sz w:val="18"/>
              </w:rPr>
              <w:t>1,9%</w:t>
            </w:r>
          </w:p>
        </w:tc>
        <w:tc>
          <w:tcPr>
            <w:tcW w:w="1077" w:type="dxa"/>
            <w:tcBorders>
              <w:top w:val="single" w:sz="8" w:space="0" w:color="auto"/>
              <w:left w:val="nil"/>
              <w:bottom w:val="single" w:sz="8" w:space="0" w:color="auto"/>
              <w:right w:val="single" w:sz="8" w:space="0" w:color="auto"/>
            </w:tcBorders>
            <w:shd w:val="clear" w:color="000000" w:fill="FFFFFF"/>
            <w:noWrap/>
            <w:vAlign w:val="center"/>
            <w:hideMark/>
          </w:tcPr>
          <w:p w14:paraId="48307906" w14:textId="77777777" w:rsidR="00ED0443" w:rsidRPr="00117BF8" w:rsidRDefault="00ED0443" w:rsidP="009264E9">
            <w:pPr>
              <w:pStyle w:val="TablaC"/>
              <w:rPr>
                <w:rFonts w:ascii="Arial" w:hAnsi="Arial" w:cs="Arial"/>
                <w:b/>
                <w:sz w:val="18"/>
              </w:rPr>
            </w:pPr>
            <w:r w:rsidRPr="00117BF8">
              <w:rPr>
                <w:rFonts w:ascii="Arial" w:hAnsi="Arial" w:cs="Arial"/>
                <w:b/>
                <w:sz w:val="18"/>
              </w:rPr>
              <w:t>2,0%</w:t>
            </w:r>
          </w:p>
        </w:tc>
      </w:tr>
      <w:tr w:rsidR="00ED0443" w:rsidRPr="004E6455" w14:paraId="57A2EB4D" w14:textId="77777777" w:rsidTr="00ED0443">
        <w:tc>
          <w:tcPr>
            <w:tcW w:w="2835" w:type="dxa"/>
            <w:tcBorders>
              <w:top w:val="nil"/>
              <w:left w:val="single" w:sz="8" w:space="0" w:color="auto"/>
              <w:bottom w:val="nil"/>
              <w:right w:val="single" w:sz="4" w:space="0" w:color="auto"/>
            </w:tcBorders>
            <w:shd w:val="clear" w:color="000000" w:fill="FFFFFF"/>
            <w:noWrap/>
            <w:hideMark/>
          </w:tcPr>
          <w:p w14:paraId="372CDB49" w14:textId="77777777" w:rsidR="00ED0443" w:rsidRPr="00117BF8" w:rsidRDefault="00ED0443" w:rsidP="009264E9">
            <w:pPr>
              <w:pStyle w:val="TablaC"/>
              <w:jc w:val="left"/>
              <w:rPr>
                <w:rFonts w:ascii="Arial" w:hAnsi="Arial" w:cs="Arial"/>
                <w:sz w:val="18"/>
                <w:szCs w:val="18"/>
              </w:rPr>
            </w:pPr>
            <w:r w:rsidRPr="00117BF8">
              <w:rPr>
                <w:rFonts w:ascii="Arial" w:hAnsi="Arial" w:cs="Arial"/>
                <w:sz w:val="18"/>
                <w:szCs w:val="18"/>
              </w:rPr>
              <w:t xml:space="preserve">  Personal</w:t>
            </w:r>
          </w:p>
        </w:tc>
        <w:tc>
          <w:tcPr>
            <w:tcW w:w="1021" w:type="dxa"/>
            <w:tcBorders>
              <w:top w:val="nil"/>
              <w:left w:val="single" w:sz="4" w:space="0" w:color="auto"/>
              <w:bottom w:val="nil"/>
              <w:right w:val="single" w:sz="8" w:space="0" w:color="auto"/>
            </w:tcBorders>
            <w:shd w:val="clear" w:color="000000" w:fill="FFFFFF"/>
            <w:noWrap/>
            <w:vAlign w:val="center"/>
            <w:hideMark/>
          </w:tcPr>
          <w:p w14:paraId="4EE53E3C" w14:textId="77777777" w:rsidR="00ED0443" w:rsidRPr="00117BF8" w:rsidRDefault="00ED0443" w:rsidP="009264E9">
            <w:pPr>
              <w:pStyle w:val="TablaC"/>
              <w:rPr>
                <w:rFonts w:ascii="Arial" w:hAnsi="Arial" w:cs="Arial"/>
                <w:sz w:val="18"/>
              </w:rPr>
            </w:pPr>
            <w:r w:rsidRPr="00117BF8">
              <w:rPr>
                <w:rFonts w:ascii="Arial" w:hAnsi="Arial" w:cs="Arial"/>
                <w:sz w:val="18"/>
              </w:rPr>
              <w:t>-3,6%</w:t>
            </w:r>
          </w:p>
        </w:tc>
        <w:tc>
          <w:tcPr>
            <w:tcW w:w="1021" w:type="dxa"/>
            <w:tcBorders>
              <w:top w:val="nil"/>
              <w:left w:val="nil"/>
              <w:bottom w:val="nil"/>
              <w:right w:val="single" w:sz="8" w:space="0" w:color="auto"/>
            </w:tcBorders>
            <w:shd w:val="clear" w:color="000000" w:fill="FFFFFF"/>
            <w:noWrap/>
            <w:vAlign w:val="center"/>
            <w:hideMark/>
          </w:tcPr>
          <w:p w14:paraId="4B915EE9" w14:textId="77777777" w:rsidR="00ED0443" w:rsidRPr="00117BF8" w:rsidRDefault="00ED0443" w:rsidP="009264E9">
            <w:pPr>
              <w:pStyle w:val="TablaC"/>
              <w:rPr>
                <w:rFonts w:ascii="Arial" w:hAnsi="Arial" w:cs="Arial"/>
                <w:sz w:val="18"/>
              </w:rPr>
            </w:pPr>
            <w:r w:rsidRPr="00117BF8">
              <w:rPr>
                <w:rFonts w:ascii="Arial" w:hAnsi="Arial" w:cs="Arial"/>
                <w:sz w:val="18"/>
              </w:rPr>
              <w:t>1,6%</w:t>
            </w:r>
          </w:p>
        </w:tc>
        <w:tc>
          <w:tcPr>
            <w:tcW w:w="1021" w:type="dxa"/>
            <w:tcBorders>
              <w:top w:val="nil"/>
              <w:left w:val="nil"/>
              <w:bottom w:val="nil"/>
              <w:right w:val="single" w:sz="8" w:space="0" w:color="auto"/>
            </w:tcBorders>
            <w:shd w:val="clear" w:color="000000" w:fill="FFFFFF"/>
            <w:noWrap/>
            <w:vAlign w:val="center"/>
            <w:hideMark/>
          </w:tcPr>
          <w:p w14:paraId="22F2E5B1" w14:textId="77777777" w:rsidR="00ED0443" w:rsidRPr="00117BF8" w:rsidRDefault="00ED0443" w:rsidP="009264E9">
            <w:pPr>
              <w:pStyle w:val="TablaC"/>
              <w:rPr>
                <w:rFonts w:ascii="Arial" w:hAnsi="Arial" w:cs="Arial"/>
                <w:sz w:val="18"/>
              </w:rPr>
            </w:pPr>
            <w:r w:rsidRPr="00117BF8">
              <w:rPr>
                <w:rFonts w:ascii="Arial" w:hAnsi="Arial" w:cs="Arial"/>
                <w:sz w:val="18"/>
              </w:rPr>
              <w:t>1,6%</w:t>
            </w:r>
          </w:p>
        </w:tc>
        <w:tc>
          <w:tcPr>
            <w:tcW w:w="1021" w:type="dxa"/>
            <w:tcBorders>
              <w:top w:val="nil"/>
              <w:left w:val="nil"/>
              <w:bottom w:val="nil"/>
              <w:right w:val="single" w:sz="8" w:space="0" w:color="auto"/>
            </w:tcBorders>
            <w:shd w:val="clear" w:color="000000" w:fill="FFFFFF"/>
            <w:noWrap/>
            <w:vAlign w:val="center"/>
            <w:hideMark/>
          </w:tcPr>
          <w:p w14:paraId="5B6270FF"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6A95BB3A"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0D3CA30C"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6A47CA50"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5F295FCA"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514CA478"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044E7281"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508B6959"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77" w:type="dxa"/>
            <w:tcBorders>
              <w:top w:val="nil"/>
              <w:left w:val="nil"/>
              <w:bottom w:val="nil"/>
              <w:right w:val="single" w:sz="8" w:space="0" w:color="auto"/>
            </w:tcBorders>
            <w:shd w:val="clear" w:color="000000" w:fill="FFFFFF"/>
            <w:noWrap/>
            <w:vAlign w:val="center"/>
            <w:hideMark/>
          </w:tcPr>
          <w:p w14:paraId="0F5554CD"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r>
      <w:tr w:rsidR="00ED0443" w:rsidRPr="004E6455" w14:paraId="0FC17BB8" w14:textId="77777777" w:rsidTr="00ED0443">
        <w:tc>
          <w:tcPr>
            <w:tcW w:w="2835" w:type="dxa"/>
            <w:tcBorders>
              <w:top w:val="nil"/>
              <w:left w:val="single" w:sz="8" w:space="0" w:color="auto"/>
              <w:bottom w:val="nil"/>
              <w:right w:val="single" w:sz="4" w:space="0" w:color="auto"/>
            </w:tcBorders>
            <w:shd w:val="clear" w:color="000000" w:fill="FFFFFF"/>
            <w:noWrap/>
            <w:hideMark/>
          </w:tcPr>
          <w:p w14:paraId="2029D6F8" w14:textId="77777777" w:rsidR="00ED0443" w:rsidRPr="00117BF8" w:rsidRDefault="00ED0443" w:rsidP="009264E9">
            <w:pPr>
              <w:pStyle w:val="TablaC"/>
              <w:jc w:val="left"/>
              <w:rPr>
                <w:rFonts w:ascii="Arial" w:hAnsi="Arial" w:cs="Arial"/>
                <w:sz w:val="18"/>
                <w:szCs w:val="18"/>
              </w:rPr>
            </w:pPr>
            <w:r w:rsidRPr="00117BF8">
              <w:rPr>
                <w:rFonts w:ascii="Arial" w:hAnsi="Arial" w:cs="Arial"/>
                <w:sz w:val="18"/>
                <w:szCs w:val="18"/>
              </w:rPr>
              <w:t xml:space="preserve">  Bienes y Servicios</w:t>
            </w:r>
          </w:p>
        </w:tc>
        <w:tc>
          <w:tcPr>
            <w:tcW w:w="1021" w:type="dxa"/>
            <w:tcBorders>
              <w:top w:val="nil"/>
              <w:left w:val="single" w:sz="4" w:space="0" w:color="auto"/>
              <w:bottom w:val="nil"/>
              <w:right w:val="single" w:sz="8" w:space="0" w:color="auto"/>
            </w:tcBorders>
            <w:shd w:val="clear" w:color="000000" w:fill="FFFFFF"/>
            <w:noWrap/>
            <w:vAlign w:val="center"/>
            <w:hideMark/>
          </w:tcPr>
          <w:p w14:paraId="0028B473" w14:textId="77777777" w:rsidR="00ED0443" w:rsidRPr="00117BF8" w:rsidRDefault="00ED0443" w:rsidP="009264E9">
            <w:pPr>
              <w:pStyle w:val="TablaC"/>
              <w:rPr>
                <w:rFonts w:ascii="Arial" w:hAnsi="Arial" w:cs="Arial"/>
                <w:sz w:val="18"/>
              </w:rPr>
            </w:pPr>
            <w:r w:rsidRPr="00117BF8">
              <w:rPr>
                <w:rFonts w:ascii="Arial" w:hAnsi="Arial" w:cs="Arial"/>
                <w:sz w:val="18"/>
              </w:rPr>
              <w:t>2,7%</w:t>
            </w:r>
          </w:p>
        </w:tc>
        <w:tc>
          <w:tcPr>
            <w:tcW w:w="1021" w:type="dxa"/>
            <w:tcBorders>
              <w:top w:val="nil"/>
              <w:left w:val="nil"/>
              <w:bottom w:val="nil"/>
              <w:right w:val="single" w:sz="8" w:space="0" w:color="auto"/>
            </w:tcBorders>
            <w:shd w:val="clear" w:color="000000" w:fill="FFFFFF"/>
            <w:noWrap/>
            <w:vAlign w:val="center"/>
            <w:hideMark/>
          </w:tcPr>
          <w:p w14:paraId="349F56C7" w14:textId="77777777" w:rsidR="00ED0443" w:rsidRPr="00117BF8" w:rsidRDefault="00ED0443" w:rsidP="009264E9">
            <w:pPr>
              <w:pStyle w:val="TablaC"/>
              <w:rPr>
                <w:rFonts w:ascii="Arial" w:hAnsi="Arial" w:cs="Arial"/>
                <w:sz w:val="18"/>
              </w:rPr>
            </w:pPr>
            <w:r w:rsidRPr="00117BF8">
              <w:rPr>
                <w:rFonts w:ascii="Arial" w:hAnsi="Arial" w:cs="Arial"/>
                <w:sz w:val="18"/>
              </w:rPr>
              <w:t>3,2%</w:t>
            </w:r>
          </w:p>
        </w:tc>
        <w:tc>
          <w:tcPr>
            <w:tcW w:w="1021" w:type="dxa"/>
            <w:tcBorders>
              <w:top w:val="nil"/>
              <w:left w:val="nil"/>
              <w:bottom w:val="nil"/>
              <w:right w:val="single" w:sz="8" w:space="0" w:color="auto"/>
            </w:tcBorders>
            <w:shd w:val="clear" w:color="000000" w:fill="FFFFFF"/>
            <w:noWrap/>
            <w:vAlign w:val="center"/>
            <w:hideMark/>
          </w:tcPr>
          <w:p w14:paraId="5FD0D035" w14:textId="77777777" w:rsidR="00ED0443" w:rsidRPr="00117BF8" w:rsidRDefault="00ED0443" w:rsidP="009264E9">
            <w:pPr>
              <w:pStyle w:val="TablaC"/>
              <w:rPr>
                <w:rFonts w:ascii="Arial" w:hAnsi="Arial" w:cs="Arial"/>
                <w:sz w:val="18"/>
              </w:rPr>
            </w:pPr>
            <w:r w:rsidRPr="00117BF8">
              <w:rPr>
                <w:rFonts w:ascii="Arial" w:hAnsi="Arial" w:cs="Arial"/>
                <w:sz w:val="18"/>
              </w:rPr>
              <w:t>3,2%</w:t>
            </w:r>
          </w:p>
        </w:tc>
        <w:tc>
          <w:tcPr>
            <w:tcW w:w="1021" w:type="dxa"/>
            <w:tcBorders>
              <w:top w:val="nil"/>
              <w:left w:val="nil"/>
              <w:bottom w:val="nil"/>
              <w:right w:val="single" w:sz="8" w:space="0" w:color="auto"/>
            </w:tcBorders>
            <w:shd w:val="clear" w:color="000000" w:fill="FFFFFF"/>
            <w:noWrap/>
            <w:vAlign w:val="center"/>
            <w:hideMark/>
          </w:tcPr>
          <w:p w14:paraId="68D06727"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1E124492"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3DDD631D"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c>
          <w:tcPr>
            <w:tcW w:w="1021" w:type="dxa"/>
            <w:tcBorders>
              <w:top w:val="nil"/>
              <w:left w:val="nil"/>
              <w:bottom w:val="nil"/>
              <w:right w:val="single" w:sz="8" w:space="0" w:color="auto"/>
            </w:tcBorders>
            <w:shd w:val="clear" w:color="000000" w:fill="FFFFFF"/>
            <w:noWrap/>
            <w:vAlign w:val="center"/>
            <w:hideMark/>
          </w:tcPr>
          <w:p w14:paraId="713033B6" w14:textId="77777777" w:rsidR="00ED0443" w:rsidRPr="00117BF8" w:rsidRDefault="00ED0443" w:rsidP="009264E9">
            <w:pPr>
              <w:pStyle w:val="TablaC"/>
              <w:rPr>
                <w:rFonts w:ascii="Arial" w:hAnsi="Arial" w:cs="Arial"/>
                <w:sz w:val="18"/>
              </w:rPr>
            </w:pPr>
            <w:r w:rsidRPr="00117BF8">
              <w:rPr>
                <w:rFonts w:ascii="Arial" w:hAnsi="Arial" w:cs="Arial"/>
                <w:sz w:val="18"/>
              </w:rPr>
              <w:t>3,1%</w:t>
            </w:r>
          </w:p>
        </w:tc>
        <w:tc>
          <w:tcPr>
            <w:tcW w:w="1021" w:type="dxa"/>
            <w:tcBorders>
              <w:top w:val="nil"/>
              <w:left w:val="nil"/>
              <w:bottom w:val="nil"/>
              <w:right w:val="single" w:sz="8" w:space="0" w:color="auto"/>
            </w:tcBorders>
            <w:shd w:val="clear" w:color="000000" w:fill="FFFFFF"/>
            <w:noWrap/>
            <w:vAlign w:val="center"/>
            <w:hideMark/>
          </w:tcPr>
          <w:p w14:paraId="613CC7B3" w14:textId="77777777" w:rsidR="00ED0443" w:rsidRPr="00117BF8" w:rsidRDefault="00ED0443" w:rsidP="009264E9">
            <w:pPr>
              <w:pStyle w:val="TablaC"/>
              <w:rPr>
                <w:rFonts w:ascii="Arial" w:hAnsi="Arial" w:cs="Arial"/>
                <w:sz w:val="18"/>
              </w:rPr>
            </w:pPr>
            <w:r w:rsidRPr="00117BF8">
              <w:rPr>
                <w:rFonts w:ascii="Arial" w:hAnsi="Arial" w:cs="Arial"/>
                <w:sz w:val="18"/>
              </w:rPr>
              <w:t>3,1%</w:t>
            </w:r>
          </w:p>
        </w:tc>
        <w:tc>
          <w:tcPr>
            <w:tcW w:w="1021" w:type="dxa"/>
            <w:tcBorders>
              <w:top w:val="nil"/>
              <w:left w:val="nil"/>
              <w:bottom w:val="nil"/>
              <w:right w:val="single" w:sz="8" w:space="0" w:color="auto"/>
            </w:tcBorders>
            <w:shd w:val="clear" w:color="000000" w:fill="FFFFFF"/>
            <w:noWrap/>
            <w:vAlign w:val="center"/>
            <w:hideMark/>
          </w:tcPr>
          <w:p w14:paraId="73C5FE28" w14:textId="77777777" w:rsidR="00ED0443" w:rsidRPr="00117BF8" w:rsidRDefault="00ED0443" w:rsidP="009264E9">
            <w:pPr>
              <w:pStyle w:val="TablaC"/>
              <w:rPr>
                <w:rFonts w:ascii="Arial" w:hAnsi="Arial" w:cs="Arial"/>
                <w:sz w:val="18"/>
              </w:rPr>
            </w:pPr>
            <w:r w:rsidRPr="00117BF8">
              <w:rPr>
                <w:rFonts w:ascii="Arial" w:hAnsi="Arial" w:cs="Arial"/>
                <w:sz w:val="18"/>
              </w:rPr>
              <w:t>3,1%</w:t>
            </w:r>
          </w:p>
        </w:tc>
        <w:tc>
          <w:tcPr>
            <w:tcW w:w="1021" w:type="dxa"/>
            <w:tcBorders>
              <w:top w:val="nil"/>
              <w:left w:val="nil"/>
              <w:bottom w:val="nil"/>
              <w:right w:val="single" w:sz="8" w:space="0" w:color="auto"/>
            </w:tcBorders>
            <w:shd w:val="clear" w:color="000000" w:fill="FFFFFF"/>
            <w:noWrap/>
            <w:vAlign w:val="center"/>
            <w:hideMark/>
          </w:tcPr>
          <w:p w14:paraId="0DB44676" w14:textId="77777777" w:rsidR="00ED0443" w:rsidRPr="00117BF8" w:rsidRDefault="00ED0443" w:rsidP="009264E9">
            <w:pPr>
              <w:pStyle w:val="TablaC"/>
              <w:rPr>
                <w:rFonts w:ascii="Arial" w:hAnsi="Arial" w:cs="Arial"/>
                <w:sz w:val="18"/>
              </w:rPr>
            </w:pPr>
            <w:r w:rsidRPr="00117BF8">
              <w:rPr>
                <w:rFonts w:ascii="Arial" w:hAnsi="Arial" w:cs="Arial"/>
                <w:sz w:val="18"/>
              </w:rPr>
              <w:t>3,1%</w:t>
            </w:r>
          </w:p>
        </w:tc>
        <w:tc>
          <w:tcPr>
            <w:tcW w:w="1021" w:type="dxa"/>
            <w:tcBorders>
              <w:top w:val="nil"/>
              <w:left w:val="nil"/>
              <w:bottom w:val="nil"/>
              <w:right w:val="single" w:sz="8" w:space="0" w:color="auto"/>
            </w:tcBorders>
            <w:shd w:val="clear" w:color="000000" w:fill="FFFFFF"/>
            <w:noWrap/>
            <w:vAlign w:val="center"/>
            <w:hideMark/>
          </w:tcPr>
          <w:p w14:paraId="57FFCF25" w14:textId="77777777" w:rsidR="00ED0443" w:rsidRPr="00117BF8" w:rsidRDefault="00ED0443" w:rsidP="009264E9">
            <w:pPr>
              <w:pStyle w:val="TablaC"/>
              <w:rPr>
                <w:rFonts w:ascii="Arial" w:hAnsi="Arial" w:cs="Arial"/>
                <w:sz w:val="18"/>
              </w:rPr>
            </w:pPr>
            <w:r w:rsidRPr="00117BF8">
              <w:rPr>
                <w:rFonts w:ascii="Arial" w:hAnsi="Arial" w:cs="Arial"/>
                <w:sz w:val="18"/>
              </w:rPr>
              <w:t>3,1%</w:t>
            </w:r>
          </w:p>
        </w:tc>
        <w:tc>
          <w:tcPr>
            <w:tcW w:w="1077" w:type="dxa"/>
            <w:tcBorders>
              <w:top w:val="nil"/>
              <w:left w:val="nil"/>
              <w:bottom w:val="nil"/>
              <w:right w:val="single" w:sz="8" w:space="0" w:color="auto"/>
            </w:tcBorders>
            <w:shd w:val="clear" w:color="000000" w:fill="FFFFFF"/>
            <w:noWrap/>
            <w:vAlign w:val="center"/>
            <w:hideMark/>
          </w:tcPr>
          <w:p w14:paraId="0BBA93B7" w14:textId="77777777" w:rsidR="00ED0443" w:rsidRPr="00117BF8" w:rsidRDefault="00ED0443" w:rsidP="009264E9">
            <w:pPr>
              <w:pStyle w:val="TablaC"/>
              <w:rPr>
                <w:rFonts w:ascii="Arial" w:hAnsi="Arial" w:cs="Arial"/>
                <w:sz w:val="18"/>
              </w:rPr>
            </w:pPr>
            <w:r w:rsidRPr="00117BF8">
              <w:rPr>
                <w:rFonts w:ascii="Arial" w:hAnsi="Arial" w:cs="Arial"/>
                <w:sz w:val="18"/>
              </w:rPr>
              <w:t>3,0%</w:t>
            </w:r>
          </w:p>
        </w:tc>
      </w:tr>
      <w:tr w:rsidR="00ED0443" w:rsidRPr="004E6455" w14:paraId="583007E1" w14:textId="77777777" w:rsidTr="00ED0443">
        <w:tc>
          <w:tcPr>
            <w:tcW w:w="2835" w:type="dxa"/>
            <w:tcBorders>
              <w:top w:val="nil"/>
              <w:left w:val="single" w:sz="8" w:space="0" w:color="auto"/>
              <w:bottom w:val="nil"/>
              <w:right w:val="single" w:sz="4" w:space="0" w:color="auto"/>
            </w:tcBorders>
            <w:shd w:val="clear" w:color="000000" w:fill="FFFFFF"/>
            <w:noWrap/>
            <w:hideMark/>
          </w:tcPr>
          <w:p w14:paraId="0CB40A14" w14:textId="77777777" w:rsidR="00ED0443" w:rsidRPr="00117BF8" w:rsidRDefault="00ED0443" w:rsidP="009264E9">
            <w:pPr>
              <w:pStyle w:val="TablaC"/>
              <w:jc w:val="left"/>
              <w:rPr>
                <w:rFonts w:ascii="Arial" w:hAnsi="Arial" w:cs="Arial"/>
                <w:sz w:val="18"/>
                <w:szCs w:val="18"/>
              </w:rPr>
            </w:pPr>
            <w:r w:rsidRPr="00117BF8">
              <w:rPr>
                <w:rFonts w:ascii="Arial" w:hAnsi="Arial" w:cs="Arial"/>
                <w:sz w:val="18"/>
                <w:szCs w:val="18"/>
              </w:rPr>
              <w:t xml:space="preserve">  Intereses</w:t>
            </w:r>
          </w:p>
        </w:tc>
        <w:tc>
          <w:tcPr>
            <w:tcW w:w="1021" w:type="dxa"/>
            <w:tcBorders>
              <w:top w:val="nil"/>
              <w:left w:val="single" w:sz="4" w:space="0" w:color="auto"/>
              <w:bottom w:val="nil"/>
              <w:right w:val="single" w:sz="8" w:space="0" w:color="auto"/>
            </w:tcBorders>
            <w:shd w:val="clear" w:color="000000" w:fill="FFFFFF"/>
            <w:noWrap/>
            <w:vAlign w:val="center"/>
            <w:hideMark/>
          </w:tcPr>
          <w:p w14:paraId="71F358A3" w14:textId="77777777" w:rsidR="00ED0443" w:rsidRPr="00117BF8" w:rsidRDefault="00ED0443" w:rsidP="009264E9">
            <w:pPr>
              <w:pStyle w:val="TablaC"/>
              <w:rPr>
                <w:rFonts w:ascii="Arial" w:hAnsi="Arial" w:cs="Arial"/>
                <w:sz w:val="18"/>
              </w:rPr>
            </w:pPr>
            <w:r w:rsidRPr="00117BF8">
              <w:rPr>
                <w:rFonts w:ascii="Arial" w:hAnsi="Arial" w:cs="Arial"/>
                <w:sz w:val="18"/>
              </w:rPr>
              <w:t>5,8%</w:t>
            </w:r>
          </w:p>
        </w:tc>
        <w:tc>
          <w:tcPr>
            <w:tcW w:w="1021" w:type="dxa"/>
            <w:tcBorders>
              <w:top w:val="nil"/>
              <w:left w:val="nil"/>
              <w:bottom w:val="nil"/>
              <w:right w:val="single" w:sz="8" w:space="0" w:color="auto"/>
            </w:tcBorders>
            <w:shd w:val="clear" w:color="000000" w:fill="FFFFFF"/>
            <w:noWrap/>
            <w:vAlign w:val="center"/>
            <w:hideMark/>
          </w:tcPr>
          <w:p w14:paraId="1F9C47F9" w14:textId="77777777" w:rsidR="00ED0443" w:rsidRPr="00117BF8" w:rsidRDefault="00ED0443" w:rsidP="009264E9">
            <w:pPr>
              <w:pStyle w:val="TablaC"/>
              <w:rPr>
                <w:rFonts w:ascii="Arial" w:hAnsi="Arial" w:cs="Arial"/>
                <w:sz w:val="18"/>
              </w:rPr>
            </w:pPr>
            <w:r w:rsidRPr="00117BF8">
              <w:rPr>
                <w:rFonts w:ascii="Arial" w:hAnsi="Arial" w:cs="Arial"/>
                <w:sz w:val="18"/>
              </w:rPr>
              <w:t>-3,2%</w:t>
            </w:r>
          </w:p>
        </w:tc>
        <w:tc>
          <w:tcPr>
            <w:tcW w:w="1021" w:type="dxa"/>
            <w:tcBorders>
              <w:top w:val="nil"/>
              <w:left w:val="nil"/>
              <w:bottom w:val="nil"/>
              <w:right w:val="single" w:sz="8" w:space="0" w:color="auto"/>
            </w:tcBorders>
            <w:shd w:val="clear" w:color="000000" w:fill="FFFFFF"/>
            <w:noWrap/>
            <w:vAlign w:val="center"/>
            <w:hideMark/>
          </w:tcPr>
          <w:p w14:paraId="4981DE85" w14:textId="77777777" w:rsidR="00ED0443" w:rsidRPr="00117BF8" w:rsidRDefault="00ED0443" w:rsidP="009264E9">
            <w:pPr>
              <w:pStyle w:val="TablaC"/>
              <w:rPr>
                <w:rFonts w:ascii="Arial" w:hAnsi="Arial" w:cs="Arial"/>
                <w:sz w:val="18"/>
              </w:rPr>
            </w:pPr>
            <w:r w:rsidRPr="00117BF8">
              <w:rPr>
                <w:rFonts w:ascii="Arial" w:hAnsi="Arial" w:cs="Arial"/>
                <w:sz w:val="18"/>
              </w:rPr>
              <w:t>13,1%</w:t>
            </w:r>
          </w:p>
        </w:tc>
        <w:tc>
          <w:tcPr>
            <w:tcW w:w="1021" w:type="dxa"/>
            <w:tcBorders>
              <w:top w:val="nil"/>
              <w:left w:val="nil"/>
              <w:bottom w:val="nil"/>
              <w:right w:val="single" w:sz="8" w:space="0" w:color="auto"/>
            </w:tcBorders>
            <w:shd w:val="clear" w:color="000000" w:fill="FFFFFF"/>
            <w:noWrap/>
            <w:vAlign w:val="center"/>
            <w:hideMark/>
          </w:tcPr>
          <w:p w14:paraId="16425D99" w14:textId="77777777" w:rsidR="00ED0443" w:rsidRPr="00117BF8" w:rsidRDefault="00ED0443" w:rsidP="009264E9">
            <w:pPr>
              <w:pStyle w:val="TablaC"/>
              <w:rPr>
                <w:rFonts w:ascii="Arial" w:hAnsi="Arial" w:cs="Arial"/>
                <w:sz w:val="18"/>
              </w:rPr>
            </w:pPr>
            <w:r w:rsidRPr="00117BF8">
              <w:rPr>
                <w:rFonts w:ascii="Arial" w:hAnsi="Arial" w:cs="Arial"/>
                <w:sz w:val="18"/>
              </w:rPr>
              <w:t>5,5%</w:t>
            </w:r>
          </w:p>
        </w:tc>
        <w:tc>
          <w:tcPr>
            <w:tcW w:w="1021" w:type="dxa"/>
            <w:tcBorders>
              <w:top w:val="nil"/>
              <w:left w:val="nil"/>
              <w:bottom w:val="nil"/>
              <w:right w:val="single" w:sz="8" w:space="0" w:color="auto"/>
            </w:tcBorders>
            <w:shd w:val="clear" w:color="000000" w:fill="FFFFFF"/>
            <w:noWrap/>
            <w:vAlign w:val="center"/>
            <w:hideMark/>
          </w:tcPr>
          <w:p w14:paraId="0B0D82CA" w14:textId="77777777" w:rsidR="00ED0443" w:rsidRPr="00117BF8" w:rsidRDefault="00ED0443" w:rsidP="009264E9">
            <w:pPr>
              <w:pStyle w:val="TablaC"/>
              <w:rPr>
                <w:rFonts w:ascii="Arial" w:hAnsi="Arial" w:cs="Arial"/>
                <w:sz w:val="18"/>
              </w:rPr>
            </w:pPr>
            <w:r w:rsidRPr="00117BF8">
              <w:rPr>
                <w:rFonts w:ascii="Arial" w:hAnsi="Arial" w:cs="Arial"/>
                <w:sz w:val="18"/>
              </w:rPr>
              <w:t>1,7%</w:t>
            </w:r>
          </w:p>
        </w:tc>
        <w:tc>
          <w:tcPr>
            <w:tcW w:w="1021" w:type="dxa"/>
            <w:tcBorders>
              <w:top w:val="nil"/>
              <w:left w:val="nil"/>
              <w:bottom w:val="nil"/>
              <w:right w:val="single" w:sz="8" w:space="0" w:color="auto"/>
            </w:tcBorders>
            <w:shd w:val="clear" w:color="000000" w:fill="FFFFFF"/>
            <w:noWrap/>
            <w:vAlign w:val="center"/>
            <w:hideMark/>
          </w:tcPr>
          <w:p w14:paraId="205F2872" w14:textId="77777777" w:rsidR="00ED0443" w:rsidRPr="00117BF8" w:rsidRDefault="00ED0443" w:rsidP="009264E9">
            <w:pPr>
              <w:pStyle w:val="TablaC"/>
              <w:rPr>
                <w:rFonts w:ascii="Arial" w:hAnsi="Arial" w:cs="Arial"/>
                <w:sz w:val="18"/>
              </w:rPr>
            </w:pPr>
            <w:r w:rsidRPr="00117BF8">
              <w:rPr>
                <w:rFonts w:ascii="Arial" w:hAnsi="Arial" w:cs="Arial"/>
                <w:sz w:val="18"/>
              </w:rPr>
              <w:t>-1,6%</w:t>
            </w:r>
          </w:p>
        </w:tc>
        <w:tc>
          <w:tcPr>
            <w:tcW w:w="1021" w:type="dxa"/>
            <w:tcBorders>
              <w:top w:val="nil"/>
              <w:left w:val="nil"/>
              <w:bottom w:val="nil"/>
              <w:right w:val="single" w:sz="8" w:space="0" w:color="auto"/>
            </w:tcBorders>
            <w:shd w:val="clear" w:color="000000" w:fill="FFFFFF"/>
            <w:noWrap/>
            <w:vAlign w:val="center"/>
            <w:hideMark/>
          </w:tcPr>
          <w:p w14:paraId="7D9F6591" w14:textId="77777777" w:rsidR="00ED0443" w:rsidRPr="00117BF8" w:rsidRDefault="00ED0443" w:rsidP="009264E9">
            <w:pPr>
              <w:pStyle w:val="TablaC"/>
              <w:rPr>
                <w:rFonts w:ascii="Arial" w:hAnsi="Arial" w:cs="Arial"/>
                <w:sz w:val="18"/>
              </w:rPr>
            </w:pPr>
            <w:r w:rsidRPr="00117BF8">
              <w:rPr>
                <w:rFonts w:ascii="Arial" w:hAnsi="Arial" w:cs="Arial"/>
                <w:sz w:val="18"/>
              </w:rPr>
              <w:t>2,2%</w:t>
            </w:r>
          </w:p>
        </w:tc>
        <w:tc>
          <w:tcPr>
            <w:tcW w:w="1021" w:type="dxa"/>
            <w:tcBorders>
              <w:top w:val="nil"/>
              <w:left w:val="nil"/>
              <w:bottom w:val="nil"/>
              <w:right w:val="single" w:sz="8" w:space="0" w:color="auto"/>
            </w:tcBorders>
            <w:shd w:val="clear" w:color="000000" w:fill="FFFFFF"/>
            <w:noWrap/>
            <w:vAlign w:val="center"/>
            <w:hideMark/>
          </w:tcPr>
          <w:p w14:paraId="670868CE" w14:textId="77777777" w:rsidR="00ED0443" w:rsidRPr="00117BF8" w:rsidRDefault="00ED0443" w:rsidP="009264E9">
            <w:pPr>
              <w:pStyle w:val="TablaC"/>
              <w:rPr>
                <w:rFonts w:ascii="Arial" w:hAnsi="Arial" w:cs="Arial"/>
                <w:sz w:val="18"/>
              </w:rPr>
            </w:pPr>
            <w:r w:rsidRPr="00117BF8">
              <w:rPr>
                <w:rFonts w:ascii="Arial" w:hAnsi="Arial" w:cs="Arial"/>
                <w:sz w:val="18"/>
              </w:rPr>
              <w:t>6,8%</w:t>
            </w:r>
          </w:p>
        </w:tc>
        <w:tc>
          <w:tcPr>
            <w:tcW w:w="1021" w:type="dxa"/>
            <w:tcBorders>
              <w:top w:val="nil"/>
              <w:left w:val="nil"/>
              <w:bottom w:val="nil"/>
              <w:right w:val="single" w:sz="8" w:space="0" w:color="auto"/>
            </w:tcBorders>
            <w:shd w:val="clear" w:color="000000" w:fill="FFFFFF"/>
            <w:noWrap/>
            <w:vAlign w:val="center"/>
            <w:hideMark/>
          </w:tcPr>
          <w:p w14:paraId="48A98DDD" w14:textId="77777777" w:rsidR="00ED0443" w:rsidRPr="00117BF8" w:rsidRDefault="00ED0443" w:rsidP="009264E9">
            <w:pPr>
              <w:pStyle w:val="TablaC"/>
              <w:rPr>
                <w:rFonts w:ascii="Arial" w:hAnsi="Arial" w:cs="Arial"/>
                <w:sz w:val="18"/>
              </w:rPr>
            </w:pPr>
            <w:r w:rsidRPr="00117BF8">
              <w:rPr>
                <w:rFonts w:ascii="Arial" w:hAnsi="Arial" w:cs="Arial"/>
                <w:sz w:val="18"/>
              </w:rPr>
              <w:t>1,9%</w:t>
            </w:r>
          </w:p>
        </w:tc>
        <w:tc>
          <w:tcPr>
            <w:tcW w:w="1021" w:type="dxa"/>
            <w:tcBorders>
              <w:top w:val="nil"/>
              <w:left w:val="nil"/>
              <w:bottom w:val="nil"/>
              <w:right w:val="single" w:sz="8" w:space="0" w:color="auto"/>
            </w:tcBorders>
            <w:shd w:val="clear" w:color="000000" w:fill="FFFFFF"/>
            <w:noWrap/>
            <w:vAlign w:val="center"/>
            <w:hideMark/>
          </w:tcPr>
          <w:p w14:paraId="2BB427C2"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21" w:type="dxa"/>
            <w:tcBorders>
              <w:top w:val="nil"/>
              <w:left w:val="nil"/>
              <w:bottom w:val="nil"/>
              <w:right w:val="single" w:sz="8" w:space="0" w:color="auto"/>
            </w:tcBorders>
            <w:shd w:val="clear" w:color="000000" w:fill="FFFFFF"/>
            <w:noWrap/>
            <w:vAlign w:val="center"/>
            <w:hideMark/>
          </w:tcPr>
          <w:p w14:paraId="39661A77" w14:textId="77777777" w:rsidR="00ED0443" w:rsidRPr="00117BF8" w:rsidRDefault="00ED0443" w:rsidP="009264E9">
            <w:pPr>
              <w:pStyle w:val="TablaC"/>
              <w:rPr>
                <w:rFonts w:ascii="Arial" w:hAnsi="Arial" w:cs="Arial"/>
                <w:sz w:val="18"/>
              </w:rPr>
            </w:pPr>
            <w:r w:rsidRPr="00117BF8">
              <w:rPr>
                <w:rFonts w:ascii="Arial" w:hAnsi="Arial" w:cs="Arial"/>
                <w:sz w:val="18"/>
              </w:rPr>
              <w:t>3,1%</w:t>
            </w:r>
          </w:p>
        </w:tc>
        <w:tc>
          <w:tcPr>
            <w:tcW w:w="1077" w:type="dxa"/>
            <w:tcBorders>
              <w:top w:val="nil"/>
              <w:left w:val="nil"/>
              <w:bottom w:val="nil"/>
              <w:right w:val="single" w:sz="8" w:space="0" w:color="auto"/>
            </w:tcBorders>
            <w:shd w:val="clear" w:color="000000" w:fill="FFFFFF"/>
            <w:noWrap/>
            <w:vAlign w:val="center"/>
            <w:hideMark/>
          </w:tcPr>
          <w:p w14:paraId="1D120AAB" w14:textId="77777777" w:rsidR="00ED0443" w:rsidRPr="00117BF8" w:rsidRDefault="00ED0443" w:rsidP="009264E9">
            <w:pPr>
              <w:pStyle w:val="TablaC"/>
              <w:rPr>
                <w:rFonts w:ascii="Arial" w:hAnsi="Arial" w:cs="Arial"/>
                <w:sz w:val="18"/>
              </w:rPr>
            </w:pPr>
            <w:r w:rsidRPr="00117BF8">
              <w:rPr>
                <w:rFonts w:ascii="Arial" w:hAnsi="Arial" w:cs="Arial"/>
                <w:sz w:val="18"/>
              </w:rPr>
              <w:t>5,1%</w:t>
            </w:r>
          </w:p>
        </w:tc>
      </w:tr>
      <w:tr w:rsidR="00ED0443" w:rsidRPr="004E6455" w14:paraId="3CB41E3E" w14:textId="77777777" w:rsidTr="00ED0443">
        <w:tc>
          <w:tcPr>
            <w:tcW w:w="2835" w:type="dxa"/>
            <w:tcBorders>
              <w:top w:val="nil"/>
              <w:left w:val="single" w:sz="8" w:space="0" w:color="auto"/>
              <w:bottom w:val="nil"/>
              <w:right w:val="single" w:sz="4" w:space="0" w:color="auto"/>
            </w:tcBorders>
            <w:shd w:val="clear" w:color="000000" w:fill="FFFFFF"/>
            <w:noWrap/>
            <w:hideMark/>
          </w:tcPr>
          <w:p w14:paraId="45AB20B3" w14:textId="77777777" w:rsidR="00ED0443" w:rsidRPr="00117BF8" w:rsidRDefault="00ED0443" w:rsidP="009264E9">
            <w:pPr>
              <w:pStyle w:val="TablaC"/>
              <w:jc w:val="left"/>
              <w:rPr>
                <w:rFonts w:ascii="Arial" w:hAnsi="Arial" w:cs="Arial"/>
                <w:sz w:val="18"/>
                <w:szCs w:val="18"/>
                <w:lang w:val="es-ES_tradnl"/>
              </w:rPr>
            </w:pPr>
            <w:r w:rsidRPr="00117BF8">
              <w:rPr>
                <w:rFonts w:ascii="Arial" w:hAnsi="Arial" w:cs="Arial"/>
                <w:sz w:val="18"/>
                <w:szCs w:val="18"/>
                <w:lang w:val="es-ES_tradnl"/>
              </w:rPr>
              <w:t xml:space="preserve">  Prestaciones de la Seguridad Social</w:t>
            </w:r>
          </w:p>
        </w:tc>
        <w:tc>
          <w:tcPr>
            <w:tcW w:w="1021" w:type="dxa"/>
            <w:tcBorders>
              <w:top w:val="nil"/>
              <w:left w:val="single" w:sz="4" w:space="0" w:color="auto"/>
              <w:bottom w:val="nil"/>
              <w:right w:val="single" w:sz="8" w:space="0" w:color="auto"/>
            </w:tcBorders>
            <w:shd w:val="clear" w:color="000000" w:fill="FFFFFF"/>
            <w:noWrap/>
            <w:vAlign w:val="center"/>
            <w:hideMark/>
          </w:tcPr>
          <w:p w14:paraId="51124453" w14:textId="77777777" w:rsidR="00ED0443" w:rsidRPr="00117BF8" w:rsidRDefault="00ED0443" w:rsidP="009264E9">
            <w:pPr>
              <w:pStyle w:val="TablaC"/>
              <w:rPr>
                <w:rFonts w:ascii="Arial" w:hAnsi="Arial" w:cs="Arial"/>
                <w:sz w:val="18"/>
              </w:rPr>
            </w:pPr>
            <w:r w:rsidRPr="00117BF8">
              <w:rPr>
                <w:rFonts w:ascii="Arial" w:hAnsi="Arial" w:cs="Arial"/>
                <w:sz w:val="18"/>
              </w:rPr>
              <w:t>-19,5%</w:t>
            </w:r>
          </w:p>
        </w:tc>
        <w:tc>
          <w:tcPr>
            <w:tcW w:w="1021" w:type="dxa"/>
            <w:tcBorders>
              <w:top w:val="nil"/>
              <w:left w:val="nil"/>
              <w:bottom w:val="nil"/>
              <w:right w:val="single" w:sz="8" w:space="0" w:color="auto"/>
            </w:tcBorders>
            <w:shd w:val="clear" w:color="000000" w:fill="FFFFFF"/>
            <w:noWrap/>
            <w:vAlign w:val="center"/>
            <w:hideMark/>
          </w:tcPr>
          <w:p w14:paraId="44D40110" w14:textId="77777777" w:rsidR="00ED0443" w:rsidRPr="00117BF8" w:rsidRDefault="00ED0443" w:rsidP="009264E9">
            <w:pPr>
              <w:pStyle w:val="TablaC"/>
              <w:rPr>
                <w:rFonts w:ascii="Arial" w:hAnsi="Arial" w:cs="Arial"/>
                <w:sz w:val="18"/>
              </w:rPr>
            </w:pPr>
            <w:r w:rsidRPr="00117BF8">
              <w:rPr>
                <w:rFonts w:ascii="Arial" w:hAnsi="Arial" w:cs="Arial"/>
                <w:sz w:val="18"/>
              </w:rPr>
              <w:t>1,6%</w:t>
            </w:r>
          </w:p>
        </w:tc>
        <w:tc>
          <w:tcPr>
            <w:tcW w:w="1021" w:type="dxa"/>
            <w:tcBorders>
              <w:top w:val="nil"/>
              <w:left w:val="nil"/>
              <w:bottom w:val="nil"/>
              <w:right w:val="single" w:sz="8" w:space="0" w:color="auto"/>
            </w:tcBorders>
            <w:shd w:val="clear" w:color="000000" w:fill="FFFFFF"/>
            <w:noWrap/>
            <w:vAlign w:val="center"/>
            <w:hideMark/>
          </w:tcPr>
          <w:p w14:paraId="1439A5A5" w14:textId="77777777" w:rsidR="00ED0443" w:rsidRPr="00117BF8" w:rsidRDefault="00ED0443" w:rsidP="009264E9">
            <w:pPr>
              <w:pStyle w:val="TablaC"/>
              <w:rPr>
                <w:rFonts w:ascii="Arial" w:hAnsi="Arial" w:cs="Arial"/>
                <w:sz w:val="18"/>
              </w:rPr>
            </w:pPr>
            <w:r w:rsidRPr="00117BF8">
              <w:rPr>
                <w:rFonts w:ascii="Arial" w:hAnsi="Arial" w:cs="Arial"/>
                <w:sz w:val="18"/>
              </w:rPr>
              <w:t>1,6%</w:t>
            </w:r>
          </w:p>
        </w:tc>
        <w:tc>
          <w:tcPr>
            <w:tcW w:w="1021" w:type="dxa"/>
            <w:tcBorders>
              <w:top w:val="nil"/>
              <w:left w:val="nil"/>
              <w:bottom w:val="nil"/>
              <w:right w:val="single" w:sz="8" w:space="0" w:color="auto"/>
            </w:tcBorders>
            <w:shd w:val="clear" w:color="000000" w:fill="FFFFFF"/>
            <w:noWrap/>
            <w:vAlign w:val="center"/>
            <w:hideMark/>
          </w:tcPr>
          <w:p w14:paraId="029474D3"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145279E1"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3B1A5B32"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7D296F51"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39A074AE"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5BA91399"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0061AD00"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21" w:type="dxa"/>
            <w:tcBorders>
              <w:top w:val="nil"/>
              <w:left w:val="nil"/>
              <w:bottom w:val="nil"/>
              <w:right w:val="single" w:sz="8" w:space="0" w:color="auto"/>
            </w:tcBorders>
            <w:shd w:val="clear" w:color="000000" w:fill="FFFFFF"/>
            <w:noWrap/>
            <w:vAlign w:val="center"/>
            <w:hideMark/>
          </w:tcPr>
          <w:p w14:paraId="3E36995D"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c>
          <w:tcPr>
            <w:tcW w:w="1077" w:type="dxa"/>
            <w:tcBorders>
              <w:top w:val="nil"/>
              <w:left w:val="nil"/>
              <w:bottom w:val="nil"/>
              <w:right w:val="single" w:sz="8" w:space="0" w:color="auto"/>
            </w:tcBorders>
            <w:shd w:val="clear" w:color="000000" w:fill="FFFFFF"/>
            <w:noWrap/>
            <w:vAlign w:val="center"/>
            <w:hideMark/>
          </w:tcPr>
          <w:p w14:paraId="4FA65FC0" w14:textId="77777777" w:rsidR="00ED0443" w:rsidRPr="00117BF8" w:rsidRDefault="00ED0443" w:rsidP="009264E9">
            <w:pPr>
              <w:pStyle w:val="TablaC"/>
              <w:rPr>
                <w:rFonts w:ascii="Arial" w:hAnsi="Arial" w:cs="Arial"/>
                <w:sz w:val="18"/>
              </w:rPr>
            </w:pPr>
            <w:r w:rsidRPr="00117BF8">
              <w:rPr>
                <w:rFonts w:ascii="Arial" w:hAnsi="Arial" w:cs="Arial"/>
                <w:sz w:val="18"/>
              </w:rPr>
              <w:t>1,5%</w:t>
            </w:r>
          </w:p>
        </w:tc>
      </w:tr>
      <w:tr w:rsidR="00ED0443" w:rsidRPr="004E6455" w14:paraId="1E449215" w14:textId="77777777" w:rsidTr="00ED0443">
        <w:tc>
          <w:tcPr>
            <w:tcW w:w="2835" w:type="dxa"/>
            <w:tcBorders>
              <w:top w:val="nil"/>
              <w:left w:val="single" w:sz="8" w:space="0" w:color="auto"/>
              <w:bottom w:val="nil"/>
              <w:right w:val="single" w:sz="4" w:space="0" w:color="auto"/>
            </w:tcBorders>
            <w:shd w:val="clear" w:color="000000" w:fill="FFFFFF"/>
            <w:noWrap/>
            <w:hideMark/>
          </w:tcPr>
          <w:p w14:paraId="64F91407" w14:textId="77777777" w:rsidR="00ED0443" w:rsidRPr="00117BF8" w:rsidRDefault="00ED0443" w:rsidP="009264E9">
            <w:pPr>
              <w:pStyle w:val="TablaC"/>
              <w:jc w:val="left"/>
              <w:rPr>
                <w:rFonts w:ascii="Arial" w:hAnsi="Arial" w:cs="Arial"/>
                <w:sz w:val="18"/>
                <w:szCs w:val="18"/>
                <w:lang w:val="es-ES_tradnl"/>
              </w:rPr>
            </w:pPr>
            <w:r w:rsidRPr="00117BF8">
              <w:rPr>
                <w:rFonts w:ascii="Arial" w:hAnsi="Arial" w:cs="Arial"/>
                <w:sz w:val="18"/>
                <w:szCs w:val="18"/>
                <w:lang w:val="es-ES_tradnl"/>
              </w:rPr>
              <w:t xml:space="preserve">  Transf. Corrientes y Otros Gastos</w:t>
            </w:r>
          </w:p>
        </w:tc>
        <w:tc>
          <w:tcPr>
            <w:tcW w:w="1021" w:type="dxa"/>
            <w:tcBorders>
              <w:top w:val="nil"/>
              <w:left w:val="single" w:sz="4" w:space="0" w:color="auto"/>
              <w:bottom w:val="nil"/>
              <w:right w:val="single" w:sz="8" w:space="0" w:color="auto"/>
            </w:tcBorders>
            <w:shd w:val="clear" w:color="000000" w:fill="FFFFFF"/>
            <w:noWrap/>
            <w:vAlign w:val="center"/>
            <w:hideMark/>
          </w:tcPr>
          <w:p w14:paraId="428232C6" w14:textId="77777777" w:rsidR="00ED0443" w:rsidRPr="00117BF8" w:rsidRDefault="00ED0443" w:rsidP="009264E9">
            <w:pPr>
              <w:pStyle w:val="TablaC"/>
              <w:rPr>
                <w:rFonts w:ascii="Arial" w:hAnsi="Arial" w:cs="Arial"/>
                <w:sz w:val="18"/>
              </w:rPr>
            </w:pPr>
            <w:r w:rsidRPr="00117BF8">
              <w:rPr>
                <w:rFonts w:ascii="Arial" w:hAnsi="Arial" w:cs="Arial"/>
                <w:sz w:val="18"/>
              </w:rPr>
              <w:t>0,1%</w:t>
            </w:r>
          </w:p>
        </w:tc>
        <w:tc>
          <w:tcPr>
            <w:tcW w:w="1021" w:type="dxa"/>
            <w:tcBorders>
              <w:top w:val="nil"/>
              <w:left w:val="nil"/>
              <w:bottom w:val="nil"/>
              <w:right w:val="single" w:sz="8" w:space="0" w:color="auto"/>
            </w:tcBorders>
            <w:shd w:val="clear" w:color="000000" w:fill="FFFFFF"/>
            <w:noWrap/>
            <w:vAlign w:val="center"/>
            <w:hideMark/>
          </w:tcPr>
          <w:p w14:paraId="17E2B4CB" w14:textId="77777777" w:rsidR="00ED0443" w:rsidRPr="00117BF8" w:rsidRDefault="00ED0443" w:rsidP="009264E9">
            <w:pPr>
              <w:pStyle w:val="TablaC"/>
              <w:rPr>
                <w:rFonts w:ascii="Arial" w:hAnsi="Arial" w:cs="Arial"/>
                <w:sz w:val="18"/>
              </w:rPr>
            </w:pPr>
            <w:r w:rsidRPr="00117BF8">
              <w:rPr>
                <w:rFonts w:ascii="Arial" w:hAnsi="Arial" w:cs="Arial"/>
                <w:sz w:val="18"/>
              </w:rPr>
              <w:t>2,7%</w:t>
            </w:r>
          </w:p>
        </w:tc>
        <w:tc>
          <w:tcPr>
            <w:tcW w:w="1021" w:type="dxa"/>
            <w:tcBorders>
              <w:top w:val="nil"/>
              <w:left w:val="nil"/>
              <w:bottom w:val="nil"/>
              <w:right w:val="single" w:sz="8" w:space="0" w:color="auto"/>
            </w:tcBorders>
            <w:shd w:val="clear" w:color="000000" w:fill="FFFFFF"/>
            <w:noWrap/>
            <w:vAlign w:val="center"/>
            <w:hideMark/>
          </w:tcPr>
          <w:p w14:paraId="6F3E8192" w14:textId="77777777" w:rsidR="00ED0443" w:rsidRPr="00117BF8" w:rsidRDefault="00ED0443" w:rsidP="009264E9">
            <w:pPr>
              <w:pStyle w:val="TablaC"/>
              <w:rPr>
                <w:rFonts w:ascii="Arial" w:hAnsi="Arial" w:cs="Arial"/>
                <w:sz w:val="18"/>
              </w:rPr>
            </w:pPr>
            <w:r w:rsidRPr="00117BF8">
              <w:rPr>
                <w:rFonts w:ascii="Arial" w:hAnsi="Arial" w:cs="Arial"/>
                <w:sz w:val="18"/>
              </w:rPr>
              <w:t>2,6%</w:t>
            </w:r>
          </w:p>
        </w:tc>
        <w:tc>
          <w:tcPr>
            <w:tcW w:w="1021" w:type="dxa"/>
            <w:tcBorders>
              <w:top w:val="nil"/>
              <w:left w:val="nil"/>
              <w:bottom w:val="nil"/>
              <w:right w:val="single" w:sz="8" w:space="0" w:color="auto"/>
            </w:tcBorders>
            <w:shd w:val="clear" w:color="000000" w:fill="FFFFFF"/>
            <w:noWrap/>
            <w:vAlign w:val="center"/>
            <w:hideMark/>
          </w:tcPr>
          <w:p w14:paraId="4BFDB639"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21" w:type="dxa"/>
            <w:tcBorders>
              <w:top w:val="nil"/>
              <w:left w:val="nil"/>
              <w:bottom w:val="nil"/>
              <w:right w:val="single" w:sz="8" w:space="0" w:color="auto"/>
            </w:tcBorders>
            <w:shd w:val="clear" w:color="000000" w:fill="FFFFFF"/>
            <w:noWrap/>
            <w:vAlign w:val="center"/>
            <w:hideMark/>
          </w:tcPr>
          <w:p w14:paraId="5F449008"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21" w:type="dxa"/>
            <w:tcBorders>
              <w:top w:val="nil"/>
              <w:left w:val="nil"/>
              <w:bottom w:val="nil"/>
              <w:right w:val="single" w:sz="8" w:space="0" w:color="auto"/>
            </w:tcBorders>
            <w:shd w:val="clear" w:color="000000" w:fill="FFFFFF"/>
            <w:noWrap/>
            <w:vAlign w:val="center"/>
            <w:hideMark/>
          </w:tcPr>
          <w:p w14:paraId="64566F40"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21" w:type="dxa"/>
            <w:tcBorders>
              <w:top w:val="nil"/>
              <w:left w:val="nil"/>
              <w:bottom w:val="nil"/>
              <w:right w:val="single" w:sz="8" w:space="0" w:color="auto"/>
            </w:tcBorders>
            <w:shd w:val="clear" w:color="000000" w:fill="FFFFFF"/>
            <w:noWrap/>
            <w:vAlign w:val="center"/>
            <w:hideMark/>
          </w:tcPr>
          <w:p w14:paraId="62F6DD1D"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21" w:type="dxa"/>
            <w:tcBorders>
              <w:top w:val="nil"/>
              <w:left w:val="nil"/>
              <w:bottom w:val="nil"/>
              <w:right w:val="single" w:sz="8" w:space="0" w:color="auto"/>
            </w:tcBorders>
            <w:shd w:val="clear" w:color="000000" w:fill="FFFFFF"/>
            <w:noWrap/>
            <w:vAlign w:val="center"/>
            <w:hideMark/>
          </w:tcPr>
          <w:p w14:paraId="338D8CD5"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21" w:type="dxa"/>
            <w:tcBorders>
              <w:top w:val="nil"/>
              <w:left w:val="nil"/>
              <w:bottom w:val="nil"/>
              <w:right w:val="single" w:sz="8" w:space="0" w:color="auto"/>
            </w:tcBorders>
            <w:shd w:val="clear" w:color="000000" w:fill="FFFFFF"/>
            <w:noWrap/>
            <w:vAlign w:val="center"/>
            <w:hideMark/>
          </w:tcPr>
          <w:p w14:paraId="5860A56A"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21" w:type="dxa"/>
            <w:tcBorders>
              <w:top w:val="nil"/>
              <w:left w:val="nil"/>
              <w:bottom w:val="nil"/>
              <w:right w:val="single" w:sz="8" w:space="0" w:color="auto"/>
            </w:tcBorders>
            <w:shd w:val="clear" w:color="000000" w:fill="FFFFFF"/>
            <w:noWrap/>
            <w:vAlign w:val="center"/>
            <w:hideMark/>
          </w:tcPr>
          <w:p w14:paraId="0EB6ABC7"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21" w:type="dxa"/>
            <w:tcBorders>
              <w:top w:val="nil"/>
              <w:left w:val="nil"/>
              <w:bottom w:val="nil"/>
              <w:right w:val="single" w:sz="8" w:space="0" w:color="auto"/>
            </w:tcBorders>
            <w:shd w:val="clear" w:color="000000" w:fill="FFFFFF"/>
            <w:noWrap/>
            <w:vAlign w:val="center"/>
            <w:hideMark/>
          </w:tcPr>
          <w:p w14:paraId="10E8A3B9"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c>
          <w:tcPr>
            <w:tcW w:w="1077" w:type="dxa"/>
            <w:tcBorders>
              <w:top w:val="nil"/>
              <w:left w:val="nil"/>
              <w:bottom w:val="nil"/>
              <w:right w:val="single" w:sz="8" w:space="0" w:color="auto"/>
            </w:tcBorders>
            <w:shd w:val="clear" w:color="000000" w:fill="FFFFFF"/>
            <w:noWrap/>
            <w:vAlign w:val="center"/>
            <w:hideMark/>
          </w:tcPr>
          <w:p w14:paraId="47DDAD0C" w14:textId="77777777" w:rsidR="00ED0443" w:rsidRPr="00117BF8" w:rsidRDefault="00ED0443" w:rsidP="009264E9">
            <w:pPr>
              <w:pStyle w:val="TablaC"/>
              <w:rPr>
                <w:rFonts w:ascii="Arial" w:hAnsi="Arial" w:cs="Arial"/>
                <w:sz w:val="18"/>
              </w:rPr>
            </w:pPr>
            <w:r w:rsidRPr="00117BF8">
              <w:rPr>
                <w:rFonts w:ascii="Arial" w:hAnsi="Arial" w:cs="Arial"/>
                <w:sz w:val="18"/>
              </w:rPr>
              <w:t>2,4%</w:t>
            </w:r>
          </w:p>
        </w:tc>
      </w:tr>
      <w:tr w:rsidR="00ED0443" w:rsidRPr="004E6455" w14:paraId="07D07DA7" w14:textId="77777777" w:rsidTr="00ED0443">
        <w:tc>
          <w:tcPr>
            <w:tcW w:w="2835" w:type="dxa"/>
            <w:tcBorders>
              <w:top w:val="single" w:sz="8" w:space="0" w:color="auto"/>
              <w:left w:val="single" w:sz="8" w:space="0" w:color="auto"/>
              <w:bottom w:val="single" w:sz="8" w:space="0" w:color="auto"/>
              <w:right w:val="single" w:sz="4" w:space="0" w:color="auto"/>
            </w:tcBorders>
            <w:shd w:val="clear" w:color="000000" w:fill="FFFFFF"/>
            <w:noWrap/>
            <w:hideMark/>
          </w:tcPr>
          <w:p w14:paraId="47A4F89C" w14:textId="77777777" w:rsidR="00ED0443" w:rsidRPr="00117BF8" w:rsidRDefault="00ED0443" w:rsidP="009264E9">
            <w:pPr>
              <w:pStyle w:val="TablaC"/>
              <w:jc w:val="left"/>
              <w:rPr>
                <w:rFonts w:ascii="Arial" w:hAnsi="Arial" w:cs="Arial"/>
                <w:b/>
                <w:sz w:val="18"/>
                <w:szCs w:val="18"/>
              </w:rPr>
            </w:pPr>
            <w:r w:rsidRPr="00117BF8">
              <w:rPr>
                <w:rFonts w:ascii="Arial" w:hAnsi="Arial" w:cs="Arial"/>
                <w:b/>
                <w:sz w:val="18"/>
                <w:szCs w:val="18"/>
              </w:rPr>
              <w:t>III. RESULTADO ECONOMICO</w:t>
            </w:r>
          </w:p>
        </w:tc>
        <w:tc>
          <w:tcPr>
            <w:tcW w:w="1021"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1EE24F5E" w14:textId="77777777" w:rsidR="00ED0443" w:rsidRPr="00117BF8" w:rsidRDefault="00ED0443" w:rsidP="009264E9">
            <w:pPr>
              <w:pStyle w:val="TablaC"/>
              <w:rPr>
                <w:rFonts w:ascii="Arial" w:hAnsi="Arial" w:cs="Arial"/>
                <w:b/>
                <w:sz w:val="18"/>
              </w:rPr>
            </w:pPr>
            <w:r w:rsidRPr="00117BF8">
              <w:rPr>
                <w:rFonts w:ascii="Arial" w:hAnsi="Arial" w:cs="Arial"/>
                <w:b/>
                <w:sz w:val="18"/>
              </w:rPr>
              <w:t>-154,2%</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6B0B82B1" w14:textId="77777777" w:rsidR="00ED0443" w:rsidRPr="00117BF8" w:rsidRDefault="00ED0443" w:rsidP="009264E9">
            <w:pPr>
              <w:pStyle w:val="TablaC"/>
              <w:rPr>
                <w:rFonts w:ascii="Arial" w:hAnsi="Arial" w:cs="Arial"/>
                <w:b/>
                <w:sz w:val="18"/>
              </w:rPr>
            </w:pPr>
            <w:r w:rsidRPr="00117BF8">
              <w:rPr>
                <w:rFonts w:ascii="Arial" w:hAnsi="Arial" w:cs="Arial"/>
                <w:b/>
                <w:sz w:val="18"/>
              </w:rPr>
              <w:t>4,6%</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33A1AD53" w14:textId="77777777" w:rsidR="00ED0443" w:rsidRPr="00117BF8" w:rsidRDefault="00ED0443" w:rsidP="009264E9">
            <w:pPr>
              <w:pStyle w:val="TablaC"/>
              <w:rPr>
                <w:rFonts w:ascii="Arial" w:hAnsi="Arial" w:cs="Arial"/>
                <w:b/>
                <w:sz w:val="18"/>
              </w:rPr>
            </w:pPr>
            <w:r w:rsidRPr="00117BF8">
              <w:rPr>
                <w:rFonts w:ascii="Arial" w:hAnsi="Arial" w:cs="Arial"/>
                <w:b/>
                <w:sz w:val="18"/>
              </w:rPr>
              <w:t>14,3%</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5C8307B7" w14:textId="77777777" w:rsidR="00ED0443" w:rsidRPr="00117BF8" w:rsidRDefault="00ED0443" w:rsidP="009264E9">
            <w:pPr>
              <w:pStyle w:val="TablaC"/>
              <w:rPr>
                <w:rFonts w:ascii="Arial" w:hAnsi="Arial" w:cs="Arial"/>
                <w:b/>
                <w:sz w:val="18"/>
              </w:rPr>
            </w:pPr>
            <w:r w:rsidRPr="00117BF8">
              <w:rPr>
                <w:rFonts w:ascii="Arial" w:hAnsi="Arial" w:cs="Arial"/>
                <w:b/>
                <w:sz w:val="18"/>
              </w:rPr>
              <w:t>40,7%</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29CBEB06" w14:textId="77777777" w:rsidR="00ED0443" w:rsidRPr="00117BF8" w:rsidRDefault="00ED0443" w:rsidP="009264E9">
            <w:pPr>
              <w:pStyle w:val="TablaC"/>
              <w:rPr>
                <w:rFonts w:ascii="Arial" w:hAnsi="Arial" w:cs="Arial"/>
                <w:b/>
                <w:sz w:val="18"/>
              </w:rPr>
            </w:pPr>
            <w:r w:rsidRPr="00117BF8">
              <w:rPr>
                <w:rFonts w:ascii="Arial" w:hAnsi="Arial" w:cs="Arial"/>
                <w:b/>
                <w:sz w:val="18"/>
              </w:rPr>
              <w:t>12,7%</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0F03FC1B" w14:textId="77777777" w:rsidR="00ED0443" w:rsidRPr="00117BF8" w:rsidRDefault="00ED0443" w:rsidP="009264E9">
            <w:pPr>
              <w:pStyle w:val="TablaC"/>
              <w:rPr>
                <w:rFonts w:ascii="Arial" w:hAnsi="Arial" w:cs="Arial"/>
                <w:b/>
                <w:sz w:val="18"/>
              </w:rPr>
            </w:pPr>
            <w:r w:rsidRPr="00117BF8">
              <w:rPr>
                <w:rFonts w:ascii="Arial" w:hAnsi="Arial" w:cs="Arial"/>
                <w:b/>
                <w:sz w:val="18"/>
              </w:rPr>
              <w:t>23,4%</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26EB50C2" w14:textId="77777777" w:rsidR="00ED0443" w:rsidRPr="00117BF8" w:rsidRDefault="00ED0443" w:rsidP="009264E9">
            <w:pPr>
              <w:pStyle w:val="TablaC"/>
              <w:rPr>
                <w:rFonts w:ascii="Arial" w:hAnsi="Arial" w:cs="Arial"/>
                <w:b/>
                <w:sz w:val="18"/>
              </w:rPr>
            </w:pPr>
            <w:r w:rsidRPr="00117BF8">
              <w:rPr>
                <w:rFonts w:ascii="Arial" w:hAnsi="Arial" w:cs="Arial"/>
                <w:b/>
                <w:sz w:val="18"/>
              </w:rPr>
              <w:t>15,1%</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2C85D7C1" w14:textId="77777777" w:rsidR="00ED0443" w:rsidRPr="00117BF8" w:rsidRDefault="00ED0443" w:rsidP="009264E9">
            <w:pPr>
              <w:pStyle w:val="TablaC"/>
              <w:rPr>
                <w:rFonts w:ascii="Arial" w:hAnsi="Arial" w:cs="Arial"/>
                <w:b/>
                <w:sz w:val="18"/>
              </w:rPr>
            </w:pPr>
            <w:r w:rsidRPr="00117BF8">
              <w:rPr>
                <w:rFonts w:ascii="Arial" w:hAnsi="Arial" w:cs="Arial"/>
                <w:b/>
                <w:sz w:val="18"/>
              </w:rPr>
              <w:t>8,9%</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25B2C036" w14:textId="77777777" w:rsidR="00ED0443" w:rsidRPr="00117BF8" w:rsidRDefault="00ED0443" w:rsidP="009264E9">
            <w:pPr>
              <w:pStyle w:val="TablaC"/>
              <w:rPr>
                <w:rFonts w:ascii="Arial" w:hAnsi="Arial" w:cs="Arial"/>
                <w:b/>
                <w:sz w:val="18"/>
              </w:rPr>
            </w:pPr>
            <w:r w:rsidRPr="00117BF8">
              <w:rPr>
                <w:rFonts w:ascii="Arial" w:hAnsi="Arial" w:cs="Arial"/>
                <w:b/>
                <w:sz w:val="18"/>
              </w:rPr>
              <w:t>13,9%</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55849AD4" w14:textId="77777777" w:rsidR="00ED0443" w:rsidRPr="00117BF8" w:rsidRDefault="00ED0443" w:rsidP="009264E9">
            <w:pPr>
              <w:pStyle w:val="TablaC"/>
              <w:rPr>
                <w:rFonts w:ascii="Arial" w:hAnsi="Arial" w:cs="Arial"/>
                <w:b/>
                <w:sz w:val="18"/>
              </w:rPr>
            </w:pPr>
            <w:r w:rsidRPr="00117BF8">
              <w:rPr>
                <w:rFonts w:ascii="Arial" w:hAnsi="Arial" w:cs="Arial"/>
                <w:b/>
                <w:sz w:val="18"/>
              </w:rPr>
              <w:t>12,5%</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5B348E3B" w14:textId="77777777" w:rsidR="00ED0443" w:rsidRPr="00117BF8" w:rsidRDefault="00ED0443" w:rsidP="009264E9">
            <w:pPr>
              <w:pStyle w:val="TablaC"/>
              <w:rPr>
                <w:rFonts w:ascii="Arial" w:hAnsi="Arial" w:cs="Arial"/>
                <w:b/>
                <w:sz w:val="18"/>
              </w:rPr>
            </w:pPr>
            <w:r w:rsidRPr="00117BF8">
              <w:rPr>
                <w:rFonts w:ascii="Arial" w:hAnsi="Arial" w:cs="Arial"/>
                <w:b/>
                <w:sz w:val="18"/>
              </w:rPr>
              <w:t>11,2%</w:t>
            </w:r>
          </w:p>
        </w:tc>
        <w:tc>
          <w:tcPr>
            <w:tcW w:w="1077" w:type="dxa"/>
            <w:tcBorders>
              <w:top w:val="single" w:sz="8" w:space="0" w:color="auto"/>
              <w:left w:val="nil"/>
              <w:bottom w:val="single" w:sz="8" w:space="0" w:color="auto"/>
              <w:right w:val="single" w:sz="8" w:space="0" w:color="auto"/>
            </w:tcBorders>
            <w:shd w:val="clear" w:color="000000" w:fill="FFFFFF"/>
            <w:noWrap/>
            <w:vAlign w:val="center"/>
            <w:hideMark/>
          </w:tcPr>
          <w:p w14:paraId="0A4157C3" w14:textId="77777777" w:rsidR="00ED0443" w:rsidRPr="00117BF8" w:rsidRDefault="00ED0443" w:rsidP="009264E9">
            <w:pPr>
              <w:pStyle w:val="TablaC"/>
              <w:rPr>
                <w:rFonts w:ascii="Arial" w:hAnsi="Arial" w:cs="Arial"/>
                <w:b/>
                <w:sz w:val="18"/>
              </w:rPr>
            </w:pPr>
            <w:r w:rsidRPr="00117BF8">
              <w:rPr>
                <w:rFonts w:ascii="Arial" w:hAnsi="Arial" w:cs="Arial"/>
                <w:b/>
                <w:sz w:val="18"/>
              </w:rPr>
              <w:t>9,1%</w:t>
            </w:r>
          </w:p>
        </w:tc>
      </w:tr>
      <w:tr w:rsidR="00ED0443" w:rsidRPr="004E6455" w14:paraId="28D62846" w14:textId="77777777" w:rsidTr="00ED0443">
        <w:tc>
          <w:tcPr>
            <w:tcW w:w="2835" w:type="dxa"/>
            <w:tcBorders>
              <w:top w:val="nil"/>
              <w:left w:val="single" w:sz="8" w:space="0" w:color="auto"/>
              <w:bottom w:val="single" w:sz="8" w:space="0" w:color="auto"/>
              <w:right w:val="single" w:sz="4" w:space="0" w:color="auto"/>
            </w:tcBorders>
            <w:shd w:val="clear" w:color="000000" w:fill="FFFFFF"/>
            <w:noWrap/>
            <w:hideMark/>
          </w:tcPr>
          <w:p w14:paraId="647130C7" w14:textId="77777777" w:rsidR="00ED0443" w:rsidRPr="00117BF8" w:rsidRDefault="00ED0443" w:rsidP="009264E9">
            <w:pPr>
              <w:pStyle w:val="TablaC"/>
              <w:jc w:val="left"/>
              <w:rPr>
                <w:rFonts w:ascii="Arial" w:hAnsi="Arial" w:cs="Arial"/>
                <w:b/>
                <w:sz w:val="18"/>
                <w:szCs w:val="18"/>
              </w:rPr>
            </w:pPr>
            <w:r w:rsidRPr="00117BF8">
              <w:rPr>
                <w:rFonts w:ascii="Arial" w:hAnsi="Arial" w:cs="Arial"/>
                <w:b/>
                <w:sz w:val="18"/>
                <w:szCs w:val="18"/>
              </w:rPr>
              <w:t>IV. INGRESOS DE CAPITAL</w:t>
            </w:r>
          </w:p>
        </w:tc>
        <w:tc>
          <w:tcPr>
            <w:tcW w:w="1021" w:type="dxa"/>
            <w:tcBorders>
              <w:top w:val="nil"/>
              <w:left w:val="single" w:sz="4" w:space="0" w:color="auto"/>
              <w:bottom w:val="nil"/>
              <w:right w:val="single" w:sz="8" w:space="0" w:color="auto"/>
            </w:tcBorders>
            <w:shd w:val="clear" w:color="000000" w:fill="FFFFFF"/>
            <w:noWrap/>
            <w:vAlign w:val="center"/>
            <w:hideMark/>
          </w:tcPr>
          <w:p w14:paraId="65693C93" w14:textId="77777777" w:rsidR="00ED0443" w:rsidRPr="00117BF8" w:rsidRDefault="00ED0443" w:rsidP="009264E9">
            <w:pPr>
              <w:pStyle w:val="TablaC"/>
              <w:rPr>
                <w:rFonts w:ascii="Arial" w:hAnsi="Arial" w:cs="Arial"/>
                <w:b/>
                <w:sz w:val="18"/>
              </w:rPr>
            </w:pPr>
            <w:r w:rsidRPr="00117BF8">
              <w:rPr>
                <w:rFonts w:ascii="Arial" w:hAnsi="Arial" w:cs="Arial"/>
                <w:b/>
                <w:sz w:val="18"/>
              </w:rPr>
              <w:t>-12,6%</w:t>
            </w:r>
          </w:p>
        </w:tc>
        <w:tc>
          <w:tcPr>
            <w:tcW w:w="1021" w:type="dxa"/>
            <w:tcBorders>
              <w:top w:val="nil"/>
              <w:left w:val="nil"/>
              <w:bottom w:val="nil"/>
              <w:right w:val="single" w:sz="8" w:space="0" w:color="auto"/>
            </w:tcBorders>
            <w:shd w:val="clear" w:color="000000" w:fill="FFFFFF"/>
            <w:noWrap/>
            <w:vAlign w:val="center"/>
            <w:hideMark/>
          </w:tcPr>
          <w:p w14:paraId="1145BE07" w14:textId="77777777" w:rsidR="00ED0443" w:rsidRPr="00117BF8" w:rsidRDefault="00ED0443" w:rsidP="009264E9">
            <w:pPr>
              <w:pStyle w:val="TablaC"/>
              <w:rPr>
                <w:rFonts w:ascii="Arial" w:hAnsi="Arial" w:cs="Arial"/>
                <w:b/>
                <w:sz w:val="18"/>
              </w:rPr>
            </w:pPr>
            <w:r w:rsidRPr="00117BF8">
              <w:rPr>
                <w:rFonts w:ascii="Arial" w:hAnsi="Arial" w:cs="Arial"/>
                <w:b/>
                <w:sz w:val="18"/>
              </w:rPr>
              <w:t>-0,3%</w:t>
            </w:r>
          </w:p>
        </w:tc>
        <w:tc>
          <w:tcPr>
            <w:tcW w:w="1021" w:type="dxa"/>
            <w:tcBorders>
              <w:top w:val="nil"/>
              <w:left w:val="nil"/>
              <w:bottom w:val="nil"/>
              <w:right w:val="single" w:sz="8" w:space="0" w:color="auto"/>
            </w:tcBorders>
            <w:shd w:val="clear" w:color="000000" w:fill="FFFFFF"/>
            <w:noWrap/>
            <w:vAlign w:val="center"/>
            <w:hideMark/>
          </w:tcPr>
          <w:p w14:paraId="3B97D83A" w14:textId="77777777" w:rsidR="00ED0443" w:rsidRPr="00117BF8" w:rsidRDefault="00ED0443" w:rsidP="009264E9">
            <w:pPr>
              <w:pStyle w:val="TablaC"/>
              <w:rPr>
                <w:rFonts w:ascii="Arial" w:hAnsi="Arial" w:cs="Arial"/>
                <w:b/>
                <w:sz w:val="18"/>
              </w:rPr>
            </w:pPr>
            <w:r w:rsidRPr="00117BF8">
              <w:rPr>
                <w:rFonts w:ascii="Arial" w:hAnsi="Arial" w:cs="Arial"/>
                <w:b/>
                <w:sz w:val="18"/>
              </w:rPr>
              <w:t>11,7%</w:t>
            </w:r>
          </w:p>
        </w:tc>
        <w:tc>
          <w:tcPr>
            <w:tcW w:w="1021" w:type="dxa"/>
            <w:tcBorders>
              <w:top w:val="nil"/>
              <w:left w:val="nil"/>
              <w:bottom w:val="nil"/>
              <w:right w:val="single" w:sz="8" w:space="0" w:color="auto"/>
            </w:tcBorders>
            <w:shd w:val="clear" w:color="000000" w:fill="FFFFFF"/>
            <w:noWrap/>
            <w:vAlign w:val="center"/>
            <w:hideMark/>
          </w:tcPr>
          <w:p w14:paraId="4B4F0010" w14:textId="77777777" w:rsidR="00ED0443" w:rsidRPr="00117BF8" w:rsidRDefault="00ED0443" w:rsidP="009264E9">
            <w:pPr>
              <w:pStyle w:val="TablaC"/>
              <w:rPr>
                <w:rFonts w:ascii="Arial" w:hAnsi="Arial" w:cs="Arial"/>
                <w:b/>
                <w:sz w:val="18"/>
              </w:rPr>
            </w:pPr>
            <w:r w:rsidRPr="00117BF8">
              <w:rPr>
                <w:rFonts w:ascii="Arial" w:hAnsi="Arial" w:cs="Arial"/>
                <w:b/>
                <w:sz w:val="18"/>
              </w:rPr>
              <w:t>-2,9%</w:t>
            </w:r>
          </w:p>
        </w:tc>
        <w:tc>
          <w:tcPr>
            <w:tcW w:w="1021" w:type="dxa"/>
            <w:tcBorders>
              <w:top w:val="nil"/>
              <w:left w:val="nil"/>
              <w:bottom w:val="nil"/>
              <w:right w:val="single" w:sz="8" w:space="0" w:color="auto"/>
            </w:tcBorders>
            <w:shd w:val="clear" w:color="000000" w:fill="FFFFFF"/>
            <w:noWrap/>
            <w:vAlign w:val="center"/>
            <w:hideMark/>
          </w:tcPr>
          <w:p w14:paraId="30C23B3B" w14:textId="77777777" w:rsidR="00ED0443" w:rsidRPr="00117BF8" w:rsidRDefault="00ED0443" w:rsidP="009264E9">
            <w:pPr>
              <w:pStyle w:val="TablaC"/>
              <w:rPr>
                <w:rFonts w:ascii="Arial" w:hAnsi="Arial" w:cs="Arial"/>
                <w:b/>
                <w:sz w:val="18"/>
              </w:rPr>
            </w:pPr>
            <w:r w:rsidRPr="00117BF8">
              <w:rPr>
                <w:rFonts w:ascii="Arial" w:hAnsi="Arial" w:cs="Arial"/>
                <w:b/>
                <w:sz w:val="18"/>
              </w:rPr>
              <w:t>-1,7%</w:t>
            </w:r>
          </w:p>
        </w:tc>
        <w:tc>
          <w:tcPr>
            <w:tcW w:w="1021" w:type="dxa"/>
            <w:tcBorders>
              <w:top w:val="nil"/>
              <w:left w:val="nil"/>
              <w:bottom w:val="nil"/>
              <w:right w:val="single" w:sz="8" w:space="0" w:color="auto"/>
            </w:tcBorders>
            <w:shd w:val="clear" w:color="000000" w:fill="FFFFFF"/>
            <w:noWrap/>
            <w:vAlign w:val="center"/>
            <w:hideMark/>
          </w:tcPr>
          <w:p w14:paraId="266722F9" w14:textId="77777777" w:rsidR="00ED0443" w:rsidRPr="00117BF8" w:rsidRDefault="00ED0443" w:rsidP="009264E9">
            <w:pPr>
              <w:pStyle w:val="TablaC"/>
              <w:rPr>
                <w:rFonts w:ascii="Arial" w:hAnsi="Arial" w:cs="Arial"/>
                <w:b/>
                <w:sz w:val="18"/>
              </w:rPr>
            </w:pPr>
            <w:r w:rsidRPr="00117BF8">
              <w:rPr>
                <w:rFonts w:ascii="Arial" w:hAnsi="Arial" w:cs="Arial"/>
                <w:b/>
                <w:sz w:val="18"/>
              </w:rPr>
              <w:t>0,0%</w:t>
            </w:r>
          </w:p>
        </w:tc>
        <w:tc>
          <w:tcPr>
            <w:tcW w:w="1021" w:type="dxa"/>
            <w:tcBorders>
              <w:top w:val="nil"/>
              <w:left w:val="nil"/>
              <w:bottom w:val="nil"/>
              <w:right w:val="single" w:sz="8" w:space="0" w:color="auto"/>
            </w:tcBorders>
            <w:shd w:val="clear" w:color="000000" w:fill="FFFFFF"/>
            <w:noWrap/>
            <w:vAlign w:val="center"/>
            <w:hideMark/>
          </w:tcPr>
          <w:p w14:paraId="5DB56A72" w14:textId="77777777" w:rsidR="00ED0443" w:rsidRPr="00117BF8" w:rsidRDefault="00ED0443" w:rsidP="009264E9">
            <w:pPr>
              <w:pStyle w:val="TablaC"/>
              <w:rPr>
                <w:rFonts w:ascii="Arial" w:hAnsi="Arial" w:cs="Arial"/>
                <w:b/>
                <w:sz w:val="18"/>
              </w:rPr>
            </w:pPr>
            <w:r w:rsidRPr="00117BF8">
              <w:rPr>
                <w:rFonts w:ascii="Arial" w:hAnsi="Arial" w:cs="Arial"/>
                <w:b/>
                <w:sz w:val="18"/>
              </w:rPr>
              <w:t>0,0%</w:t>
            </w:r>
          </w:p>
        </w:tc>
        <w:tc>
          <w:tcPr>
            <w:tcW w:w="1021" w:type="dxa"/>
            <w:tcBorders>
              <w:top w:val="nil"/>
              <w:left w:val="nil"/>
              <w:bottom w:val="nil"/>
              <w:right w:val="single" w:sz="8" w:space="0" w:color="auto"/>
            </w:tcBorders>
            <w:shd w:val="clear" w:color="000000" w:fill="FFFFFF"/>
            <w:noWrap/>
            <w:vAlign w:val="center"/>
            <w:hideMark/>
          </w:tcPr>
          <w:p w14:paraId="13C175E7" w14:textId="77777777" w:rsidR="00ED0443" w:rsidRPr="00117BF8" w:rsidRDefault="00ED0443" w:rsidP="009264E9">
            <w:pPr>
              <w:pStyle w:val="TablaC"/>
              <w:rPr>
                <w:rFonts w:ascii="Arial" w:hAnsi="Arial" w:cs="Arial"/>
                <w:b/>
                <w:sz w:val="18"/>
              </w:rPr>
            </w:pPr>
            <w:r w:rsidRPr="00117BF8">
              <w:rPr>
                <w:rFonts w:ascii="Arial" w:hAnsi="Arial" w:cs="Arial"/>
                <w:b/>
                <w:sz w:val="18"/>
              </w:rPr>
              <w:t>0,0%</w:t>
            </w:r>
          </w:p>
        </w:tc>
        <w:tc>
          <w:tcPr>
            <w:tcW w:w="1021" w:type="dxa"/>
            <w:tcBorders>
              <w:top w:val="nil"/>
              <w:left w:val="nil"/>
              <w:bottom w:val="nil"/>
              <w:right w:val="single" w:sz="8" w:space="0" w:color="auto"/>
            </w:tcBorders>
            <w:shd w:val="clear" w:color="000000" w:fill="FFFFFF"/>
            <w:noWrap/>
            <w:vAlign w:val="center"/>
            <w:hideMark/>
          </w:tcPr>
          <w:p w14:paraId="7FD4D443" w14:textId="77777777" w:rsidR="00ED0443" w:rsidRPr="00117BF8" w:rsidRDefault="00ED0443" w:rsidP="009264E9">
            <w:pPr>
              <w:pStyle w:val="TablaC"/>
              <w:rPr>
                <w:rFonts w:ascii="Arial" w:hAnsi="Arial" w:cs="Arial"/>
                <w:b/>
                <w:sz w:val="18"/>
              </w:rPr>
            </w:pPr>
            <w:r w:rsidRPr="00117BF8">
              <w:rPr>
                <w:rFonts w:ascii="Arial" w:hAnsi="Arial" w:cs="Arial"/>
                <w:b/>
                <w:sz w:val="18"/>
              </w:rPr>
              <w:t>0,0%</w:t>
            </w:r>
          </w:p>
        </w:tc>
        <w:tc>
          <w:tcPr>
            <w:tcW w:w="1021" w:type="dxa"/>
            <w:tcBorders>
              <w:top w:val="nil"/>
              <w:left w:val="nil"/>
              <w:bottom w:val="nil"/>
              <w:right w:val="single" w:sz="8" w:space="0" w:color="auto"/>
            </w:tcBorders>
            <w:shd w:val="clear" w:color="000000" w:fill="FFFFFF"/>
            <w:noWrap/>
            <w:vAlign w:val="center"/>
            <w:hideMark/>
          </w:tcPr>
          <w:p w14:paraId="22E01B22" w14:textId="77777777" w:rsidR="00ED0443" w:rsidRPr="00117BF8" w:rsidRDefault="00ED0443" w:rsidP="009264E9">
            <w:pPr>
              <w:pStyle w:val="TablaC"/>
              <w:rPr>
                <w:rFonts w:ascii="Arial" w:hAnsi="Arial" w:cs="Arial"/>
                <w:b/>
                <w:sz w:val="18"/>
              </w:rPr>
            </w:pPr>
            <w:r w:rsidRPr="00117BF8">
              <w:rPr>
                <w:rFonts w:ascii="Arial" w:hAnsi="Arial" w:cs="Arial"/>
                <w:b/>
                <w:sz w:val="18"/>
              </w:rPr>
              <w:t>0,0%</w:t>
            </w:r>
          </w:p>
        </w:tc>
        <w:tc>
          <w:tcPr>
            <w:tcW w:w="1021" w:type="dxa"/>
            <w:tcBorders>
              <w:top w:val="nil"/>
              <w:left w:val="nil"/>
              <w:bottom w:val="nil"/>
              <w:right w:val="single" w:sz="8" w:space="0" w:color="auto"/>
            </w:tcBorders>
            <w:shd w:val="clear" w:color="000000" w:fill="FFFFFF"/>
            <w:noWrap/>
            <w:vAlign w:val="center"/>
            <w:hideMark/>
          </w:tcPr>
          <w:p w14:paraId="0A7DA685" w14:textId="77777777" w:rsidR="00ED0443" w:rsidRPr="00117BF8" w:rsidRDefault="00ED0443" w:rsidP="009264E9">
            <w:pPr>
              <w:pStyle w:val="TablaC"/>
              <w:rPr>
                <w:rFonts w:ascii="Arial" w:hAnsi="Arial" w:cs="Arial"/>
                <w:b/>
                <w:sz w:val="18"/>
              </w:rPr>
            </w:pPr>
            <w:r w:rsidRPr="00117BF8">
              <w:rPr>
                <w:rFonts w:ascii="Arial" w:hAnsi="Arial" w:cs="Arial"/>
                <w:b/>
                <w:sz w:val="18"/>
              </w:rPr>
              <w:t>0,0%</w:t>
            </w:r>
          </w:p>
        </w:tc>
        <w:tc>
          <w:tcPr>
            <w:tcW w:w="1077" w:type="dxa"/>
            <w:tcBorders>
              <w:top w:val="nil"/>
              <w:left w:val="nil"/>
              <w:bottom w:val="nil"/>
              <w:right w:val="single" w:sz="8" w:space="0" w:color="auto"/>
            </w:tcBorders>
            <w:shd w:val="clear" w:color="000000" w:fill="FFFFFF"/>
            <w:noWrap/>
            <w:vAlign w:val="center"/>
            <w:hideMark/>
          </w:tcPr>
          <w:p w14:paraId="1169F484" w14:textId="77777777" w:rsidR="00ED0443" w:rsidRPr="00117BF8" w:rsidRDefault="00ED0443" w:rsidP="009264E9">
            <w:pPr>
              <w:pStyle w:val="TablaC"/>
              <w:rPr>
                <w:rFonts w:ascii="Arial" w:hAnsi="Arial" w:cs="Arial"/>
                <w:b/>
                <w:sz w:val="18"/>
              </w:rPr>
            </w:pPr>
            <w:r w:rsidRPr="00117BF8">
              <w:rPr>
                <w:rFonts w:ascii="Arial" w:hAnsi="Arial" w:cs="Arial"/>
                <w:b/>
                <w:sz w:val="18"/>
              </w:rPr>
              <w:t>0,0%</w:t>
            </w:r>
          </w:p>
        </w:tc>
      </w:tr>
      <w:tr w:rsidR="00ED0443" w:rsidRPr="004E6455" w14:paraId="5898672B" w14:textId="77777777" w:rsidTr="00ED0443">
        <w:tc>
          <w:tcPr>
            <w:tcW w:w="2835" w:type="dxa"/>
            <w:tcBorders>
              <w:top w:val="nil"/>
              <w:left w:val="single" w:sz="8" w:space="0" w:color="auto"/>
              <w:bottom w:val="single" w:sz="8" w:space="0" w:color="auto"/>
              <w:right w:val="single" w:sz="4" w:space="0" w:color="auto"/>
            </w:tcBorders>
            <w:shd w:val="clear" w:color="000000" w:fill="FFFFFF"/>
            <w:noWrap/>
            <w:hideMark/>
          </w:tcPr>
          <w:p w14:paraId="3AD3C15F" w14:textId="77777777" w:rsidR="00ED0443" w:rsidRPr="00117BF8" w:rsidRDefault="00ED0443" w:rsidP="009264E9">
            <w:pPr>
              <w:pStyle w:val="TablaC"/>
              <w:jc w:val="left"/>
              <w:rPr>
                <w:rFonts w:ascii="Arial" w:hAnsi="Arial" w:cs="Arial"/>
                <w:b/>
                <w:sz w:val="18"/>
                <w:szCs w:val="18"/>
              </w:rPr>
            </w:pPr>
            <w:r w:rsidRPr="00117BF8">
              <w:rPr>
                <w:rFonts w:ascii="Arial" w:hAnsi="Arial" w:cs="Arial"/>
                <w:b/>
                <w:sz w:val="18"/>
                <w:szCs w:val="18"/>
              </w:rPr>
              <w:t xml:space="preserve"> V. GASTOS DE CAPITAL</w:t>
            </w:r>
          </w:p>
        </w:tc>
        <w:tc>
          <w:tcPr>
            <w:tcW w:w="1021"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8AE3F56" w14:textId="77777777" w:rsidR="00ED0443" w:rsidRPr="00117BF8" w:rsidRDefault="00ED0443" w:rsidP="009264E9">
            <w:pPr>
              <w:pStyle w:val="TablaC"/>
              <w:rPr>
                <w:rFonts w:ascii="Arial" w:hAnsi="Arial" w:cs="Arial"/>
                <w:b/>
                <w:sz w:val="18"/>
              </w:rPr>
            </w:pPr>
            <w:r w:rsidRPr="00117BF8">
              <w:rPr>
                <w:rFonts w:ascii="Arial" w:hAnsi="Arial" w:cs="Arial"/>
                <w:b/>
                <w:sz w:val="18"/>
              </w:rPr>
              <w:t>28,2%</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7FC0C0AC" w14:textId="77777777" w:rsidR="00ED0443" w:rsidRPr="00117BF8" w:rsidRDefault="00ED0443" w:rsidP="009264E9">
            <w:pPr>
              <w:pStyle w:val="TablaC"/>
              <w:rPr>
                <w:rFonts w:ascii="Arial" w:hAnsi="Arial" w:cs="Arial"/>
                <w:b/>
                <w:sz w:val="18"/>
              </w:rPr>
            </w:pPr>
            <w:r w:rsidRPr="00117BF8">
              <w:rPr>
                <w:rFonts w:ascii="Arial" w:hAnsi="Arial" w:cs="Arial"/>
                <w:b/>
                <w:sz w:val="18"/>
              </w:rPr>
              <w:t>0,3%</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20AC7F0C" w14:textId="77777777" w:rsidR="00ED0443" w:rsidRPr="00117BF8" w:rsidRDefault="00ED0443" w:rsidP="009264E9">
            <w:pPr>
              <w:pStyle w:val="TablaC"/>
              <w:rPr>
                <w:rFonts w:ascii="Arial" w:hAnsi="Arial" w:cs="Arial"/>
                <w:b/>
                <w:sz w:val="18"/>
              </w:rPr>
            </w:pPr>
            <w:r w:rsidRPr="00117BF8">
              <w:rPr>
                <w:rFonts w:ascii="Arial" w:hAnsi="Arial" w:cs="Arial"/>
                <w:b/>
                <w:sz w:val="18"/>
              </w:rPr>
              <w:t>5,9%</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1492ACE1" w14:textId="77777777" w:rsidR="00ED0443" w:rsidRPr="00117BF8" w:rsidRDefault="00ED0443" w:rsidP="009264E9">
            <w:pPr>
              <w:pStyle w:val="TablaC"/>
              <w:rPr>
                <w:rFonts w:ascii="Arial" w:hAnsi="Arial" w:cs="Arial"/>
                <w:b/>
                <w:sz w:val="18"/>
              </w:rPr>
            </w:pPr>
            <w:r w:rsidRPr="00117BF8">
              <w:rPr>
                <w:rFonts w:ascii="Arial" w:hAnsi="Arial" w:cs="Arial"/>
                <w:b/>
                <w:sz w:val="18"/>
              </w:rPr>
              <w:t>2,0%</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59FEEC15" w14:textId="77777777" w:rsidR="00ED0443" w:rsidRPr="00117BF8" w:rsidRDefault="00ED0443" w:rsidP="009264E9">
            <w:pPr>
              <w:pStyle w:val="TablaC"/>
              <w:rPr>
                <w:rFonts w:ascii="Arial" w:hAnsi="Arial" w:cs="Arial"/>
                <w:b/>
                <w:sz w:val="18"/>
              </w:rPr>
            </w:pPr>
            <w:r w:rsidRPr="00117BF8">
              <w:rPr>
                <w:rFonts w:ascii="Arial" w:hAnsi="Arial" w:cs="Arial"/>
                <w:b/>
                <w:sz w:val="18"/>
              </w:rPr>
              <w:t>0,3%</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23B3D240" w14:textId="77777777" w:rsidR="00ED0443" w:rsidRPr="00117BF8" w:rsidRDefault="00ED0443" w:rsidP="009264E9">
            <w:pPr>
              <w:pStyle w:val="TablaC"/>
              <w:rPr>
                <w:rFonts w:ascii="Arial" w:hAnsi="Arial" w:cs="Arial"/>
                <w:b/>
                <w:sz w:val="18"/>
              </w:rPr>
            </w:pPr>
            <w:r w:rsidRPr="00117BF8">
              <w:rPr>
                <w:rFonts w:ascii="Arial" w:hAnsi="Arial" w:cs="Arial"/>
                <w:b/>
                <w:sz w:val="18"/>
              </w:rPr>
              <w:t>1,7%</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449594F3" w14:textId="77777777" w:rsidR="00ED0443" w:rsidRPr="00117BF8" w:rsidRDefault="00ED0443" w:rsidP="009264E9">
            <w:pPr>
              <w:pStyle w:val="TablaC"/>
              <w:rPr>
                <w:rFonts w:ascii="Arial" w:hAnsi="Arial" w:cs="Arial"/>
                <w:b/>
                <w:sz w:val="18"/>
              </w:rPr>
            </w:pPr>
            <w:r w:rsidRPr="00117BF8">
              <w:rPr>
                <w:rFonts w:ascii="Arial" w:hAnsi="Arial" w:cs="Arial"/>
                <w:b/>
                <w:sz w:val="18"/>
              </w:rPr>
              <w:t>3,4%</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398014DB" w14:textId="77777777" w:rsidR="00ED0443" w:rsidRPr="00117BF8" w:rsidRDefault="00ED0443" w:rsidP="009264E9">
            <w:pPr>
              <w:pStyle w:val="TablaC"/>
              <w:rPr>
                <w:rFonts w:ascii="Arial" w:hAnsi="Arial" w:cs="Arial"/>
                <w:b/>
                <w:sz w:val="18"/>
              </w:rPr>
            </w:pPr>
            <w:r w:rsidRPr="00117BF8">
              <w:rPr>
                <w:rFonts w:ascii="Arial" w:hAnsi="Arial" w:cs="Arial"/>
                <w:b/>
                <w:sz w:val="18"/>
              </w:rPr>
              <w:t>4,6%</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01ACE297" w14:textId="77777777" w:rsidR="00ED0443" w:rsidRPr="00117BF8" w:rsidRDefault="00ED0443" w:rsidP="009264E9">
            <w:pPr>
              <w:pStyle w:val="TablaC"/>
              <w:rPr>
                <w:rFonts w:ascii="Arial" w:hAnsi="Arial" w:cs="Arial"/>
                <w:b/>
                <w:sz w:val="18"/>
              </w:rPr>
            </w:pPr>
            <w:r w:rsidRPr="00117BF8">
              <w:rPr>
                <w:rFonts w:ascii="Arial" w:hAnsi="Arial" w:cs="Arial"/>
                <w:b/>
                <w:sz w:val="18"/>
              </w:rPr>
              <w:t>4,7%</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607D63D7" w14:textId="77777777" w:rsidR="00ED0443" w:rsidRPr="00117BF8" w:rsidRDefault="00ED0443" w:rsidP="009264E9">
            <w:pPr>
              <w:pStyle w:val="TablaC"/>
              <w:rPr>
                <w:rFonts w:ascii="Arial" w:hAnsi="Arial" w:cs="Arial"/>
                <w:b/>
                <w:sz w:val="18"/>
              </w:rPr>
            </w:pPr>
            <w:r w:rsidRPr="00117BF8">
              <w:rPr>
                <w:rFonts w:ascii="Arial" w:hAnsi="Arial" w:cs="Arial"/>
                <w:b/>
                <w:sz w:val="18"/>
              </w:rPr>
              <w:t>4,8%</w:t>
            </w:r>
          </w:p>
        </w:tc>
        <w:tc>
          <w:tcPr>
            <w:tcW w:w="1021" w:type="dxa"/>
            <w:tcBorders>
              <w:top w:val="single" w:sz="8" w:space="0" w:color="auto"/>
              <w:left w:val="nil"/>
              <w:bottom w:val="single" w:sz="8" w:space="0" w:color="auto"/>
              <w:right w:val="single" w:sz="8" w:space="0" w:color="auto"/>
            </w:tcBorders>
            <w:shd w:val="clear" w:color="000000" w:fill="FFFFFF"/>
            <w:noWrap/>
            <w:vAlign w:val="center"/>
            <w:hideMark/>
          </w:tcPr>
          <w:p w14:paraId="456C16A9" w14:textId="77777777" w:rsidR="00ED0443" w:rsidRPr="00117BF8" w:rsidRDefault="00ED0443" w:rsidP="009264E9">
            <w:pPr>
              <w:pStyle w:val="TablaC"/>
              <w:rPr>
                <w:rFonts w:ascii="Arial" w:hAnsi="Arial" w:cs="Arial"/>
                <w:b/>
                <w:sz w:val="18"/>
              </w:rPr>
            </w:pPr>
            <w:r w:rsidRPr="00117BF8">
              <w:rPr>
                <w:rFonts w:ascii="Arial" w:hAnsi="Arial" w:cs="Arial"/>
                <w:b/>
                <w:sz w:val="18"/>
              </w:rPr>
              <w:t>4,9%</w:t>
            </w:r>
          </w:p>
        </w:tc>
        <w:tc>
          <w:tcPr>
            <w:tcW w:w="1077" w:type="dxa"/>
            <w:tcBorders>
              <w:top w:val="single" w:sz="8" w:space="0" w:color="auto"/>
              <w:left w:val="nil"/>
              <w:bottom w:val="single" w:sz="8" w:space="0" w:color="auto"/>
              <w:right w:val="single" w:sz="8" w:space="0" w:color="auto"/>
            </w:tcBorders>
            <w:shd w:val="clear" w:color="000000" w:fill="FFFFFF"/>
            <w:noWrap/>
            <w:vAlign w:val="center"/>
            <w:hideMark/>
          </w:tcPr>
          <w:p w14:paraId="5EAE1CEC" w14:textId="77777777" w:rsidR="00ED0443" w:rsidRPr="00117BF8" w:rsidRDefault="00ED0443" w:rsidP="009264E9">
            <w:pPr>
              <w:pStyle w:val="TablaC"/>
              <w:rPr>
                <w:rFonts w:ascii="Arial" w:hAnsi="Arial" w:cs="Arial"/>
                <w:b/>
                <w:sz w:val="18"/>
              </w:rPr>
            </w:pPr>
            <w:r w:rsidRPr="00117BF8">
              <w:rPr>
                <w:rFonts w:ascii="Arial" w:hAnsi="Arial" w:cs="Arial"/>
                <w:b/>
                <w:sz w:val="18"/>
              </w:rPr>
              <w:t>5,1%</w:t>
            </w:r>
          </w:p>
        </w:tc>
      </w:tr>
      <w:tr w:rsidR="00ED0443" w:rsidRPr="004E6455" w14:paraId="6A45DC3F" w14:textId="77777777" w:rsidTr="00ED0443">
        <w:tc>
          <w:tcPr>
            <w:tcW w:w="2835" w:type="dxa"/>
            <w:tcBorders>
              <w:top w:val="nil"/>
              <w:left w:val="single" w:sz="8" w:space="0" w:color="auto"/>
              <w:bottom w:val="single" w:sz="8" w:space="0" w:color="auto"/>
              <w:right w:val="single" w:sz="4" w:space="0" w:color="auto"/>
            </w:tcBorders>
            <w:shd w:val="clear" w:color="000000" w:fill="FFFFFF"/>
            <w:noWrap/>
            <w:hideMark/>
          </w:tcPr>
          <w:p w14:paraId="69BAC9DD" w14:textId="77777777" w:rsidR="00ED0443" w:rsidRPr="00117BF8" w:rsidRDefault="00ED0443" w:rsidP="009264E9">
            <w:pPr>
              <w:pStyle w:val="TablaC"/>
              <w:jc w:val="left"/>
              <w:rPr>
                <w:rFonts w:ascii="Arial" w:hAnsi="Arial" w:cs="Arial"/>
                <w:b/>
                <w:sz w:val="18"/>
                <w:szCs w:val="18"/>
              </w:rPr>
            </w:pPr>
            <w:r w:rsidRPr="00117BF8">
              <w:rPr>
                <w:rFonts w:ascii="Arial" w:hAnsi="Arial" w:cs="Arial"/>
                <w:b/>
                <w:sz w:val="18"/>
                <w:szCs w:val="18"/>
              </w:rPr>
              <w:t xml:space="preserve"> VI. INGRESOS TOTALES (I+IV)</w:t>
            </w:r>
          </w:p>
        </w:tc>
        <w:tc>
          <w:tcPr>
            <w:tcW w:w="1021" w:type="dxa"/>
            <w:tcBorders>
              <w:top w:val="nil"/>
              <w:left w:val="single" w:sz="4" w:space="0" w:color="auto"/>
              <w:bottom w:val="single" w:sz="8" w:space="0" w:color="auto"/>
              <w:right w:val="single" w:sz="8" w:space="0" w:color="auto"/>
            </w:tcBorders>
            <w:shd w:val="clear" w:color="000000" w:fill="FFFFFF"/>
            <w:noWrap/>
            <w:vAlign w:val="center"/>
            <w:hideMark/>
          </w:tcPr>
          <w:p w14:paraId="3DDF1D0B" w14:textId="77777777" w:rsidR="00ED0443" w:rsidRPr="00117BF8" w:rsidRDefault="00ED0443" w:rsidP="009264E9">
            <w:pPr>
              <w:pStyle w:val="TablaC"/>
              <w:rPr>
                <w:rFonts w:ascii="Arial" w:hAnsi="Arial" w:cs="Arial"/>
                <w:b/>
                <w:sz w:val="18"/>
              </w:rPr>
            </w:pPr>
            <w:r w:rsidRPr="00117BF8">
              <w:rPr>
                <w:rFonts w:ascii="Arial" w:hAnsi="Arial" w:cs="Arial"/>
                <w:b/>
                <w:sz w:val="18"/>
              </w:rPr>
              <w:t>-0,3%</w:t>
            </w:r>
          </w:p>
        </w:tc>
        <w:tc>
          <w:tcPr>
            <w:tcW w:w="1021" w:type="dxa"/>
            <w:tcBorders>
              <w:top w:val="nil"/>
              <w:left w:val="nil"/>
              <w:bottom w:val="single" w:sz="8" w:space="0" w:color="auto"/>
              <w:right w:val="single" w:sz="8" w:space="0" w:color="auto"/>
            </w:tcBorders>
            <w:shd w:val="clear" w:color="000000" w:fill="FFFFFF"/>
            <w:noWrap/>
            <w:vAlign w:val="center"/>
            <w:hideMark/>
          </w:tcPr>
          <w:p w14:paraId="336A0F35" w14:textId="77777777" w:rsidR="00ED0443" w:rsidRPr="00117BF8" w:rsidRDefault="00ED0443" w:rsidP="009264E9">
            <w:pPr>
              <w:pStyle w:val="TablaC"/>
              <w:rPr>
                <w:rFonts w:ascii="Arial" w:hAnsi="Arial" w:cs="Arial"/>
                <w:b/>
                <w:sz w:val="18"/>
              </w:rPr>
            </w:pPr>
            <w:r w:rsidRPr="00117BF8">
              <w:rPr>
                <w:rFonts w:ascii="Arial" w:hAnsi="Arial" w:cs="Arial"/>
                <w:b/>
                <w:sz w:val="18"/>
              </w:rPr>
              <w:t>1,7%</w:t>
            </w:r>
          </w:p>
        </w:tc>
        <w:tc>
          <w:tcPr>
            <w:tcW w:w="1021" w:type="dxa"/>
            <w:tcBorders>
              <w:top w:val="nil"/>
              <w:left w:val="nil"/>
              <w:bottom w:val="single" w:sz="8" w:space="0" w:color="auto"/>
              <w:right w:val="single" w:sz="8" w:space="0" w:color="auto"/>
            </w:tcBorders>
            <w:shd w:val="clear" w:color="000000" w:fill="FFFFFF"/>
            <w:noWrap/>
            <w:vAlign w:val="center"/>
            <w:hideMark/>
          </w:tcPr>
          <w:p w14:paraId="06D6206D" w14:textId="77777777" w:rsidR="00ED0443" w:rsidRPr="00117BF8" w:rsidRDefault="00ED0443" w:rsidP="009264E9">
            <w:pPr>
              <w:pStyle w:val="TablaC"/>
              <w:rPr>
                <w:rFonts w:ascii="Arial" w:hAnsi="Arial" w:cs="Arial"/>
                <w:b/>
                <w:sz w:val="18"/>
              </w:rPr>
            </w:pPr>
            <w:r w:rsidRPr="00117BF8">
              <w:rPr>
                <w:rFonts w:ascii="Arial" w:hAnsi="Arial" w:cs="Arial"/>
                <w:b/>
                <w:sz w:val="18"/>
              </w:rPr>
              <w:t>2,8%</w:t>
            </w:r>
          </w:p>
        </w:tc>
        <w:tc>
          <w:tcPr>
            <w:tcW w:w="1021" w:type="dxa"/>
            <w:tcBorders>
              <w:top w:val="nil"/>
              <w:left w:val="nil"/>
              <w:bottom w:val="single" w:sz="8" w:space="0" w:color="auto"/>
              <w:right w:val="single" w:sz="8" w:space="0" w:color="auto"/>
            </w:tcBorders>
            <w:shd w:val="clear" w:color="000000" w:fill="FFFFFF"/>
            <w:noWrap/>
            <w:vAlign w:val="center"/>
            <w:hideMark/>
          </w:tcPr>
          <w:p w14:paraId="5FA6A39A" w14:textId="77777777" w:rsidR="00ED0443" w:rsidRPr="00117BF8" w:rsidRDefault="00ED0443" w:rsidP="009264E9">
            <w:pPr>
              <w:pStyle w:val="TablaC"/>
              <w:rPr>
                <w:rFonts w:ascii="Arial" w:hAnsi="Arial" w:cs="Arial"/>
                <w:b/>
                <w:sz w:val="18"/>
              </w:rPr>
            </w:pPr>
            <w:r w:rsidRPr="00117BF8">
              <w:rPr>
                <w:rFonts w:ascii="Arial" w:hAnsi="Arial" w:cs="Arial"/>
                <w:b/>
                <w:sz w:val="18"/>
              </w:rPr>
              <w:t>2,6%</w:t>
            </w:r>
          </w:p>
        </w:tc>
        <w:tc>
          <w:tcPr>
            <w:tcW w:w="1021" w:type="dxa"/>
            <w:tcBorders>
              <w:top w:val="nil"/>
              <w:left w:val="nil"/>
              <w:bottom w:val="single" w:sz="8" w:space="0" w:color="auto"/>
              <w:right w:val="single" w:sz="8" w:space="0" w:color="auto"/>
            </w:tcBorders>
            <w:shd w:val="clear" w:color="000000" w:fill="FFFFFF"/>
            <w:noWrap/>
            <w:vAlign w:val="center"/>
            <w:hideMark/>
          </w:tcPr>
          <w:p w14:paraId="16DF3905" w14:textId="77777777" w:rsidR="00ED0443" w:rsidRPr="00117BF8" w:rsidRDefault="00ED0443" w:rsidP="009264E9">
            <w:pPr>
              <w:pStyle w:val="TablaC"/>
              <w:rPr>
                <w:rFonts w:ascii="Arial" w:hAnsi="Arial" w:cs="Arial"/>
                <w:b/>
                <w:sz w:val="18"/>
              </w:rPr>
            </w:pPr>
            <w:r w:rsidRPr="00117BF8">
              <w:rPr>
                <w:rFonts w:ascii="Arial" w:hAnsi="Arial" w:cs="Arial"/>
                <w:b/>
                <w:sz w:val="18"/>
              </w:rPr>
              <w:t>2,0%</w:t>
            </w:r>
          </w:p>
        </w:tc>
        <w:tc>
          <w:tcPr>
            <w:tcW w:w="1021" w:type="dxa"/>
            <w:tcBorders>
              <w:top w:val="nil"/>
              <w:left w:val="nil"/>
              <w:bottom w:val="single" w:sz="8" w:space="0" w:color="auto"/>
              <w:right w:val="single" w:sz="8" w:space="0" w:color="auto"/>
            </w:tcBorders>
            <w:shd w:val="clear" w:color="000000" w:fill="FFFFFF"/>
            <w:noWrap/>
            <w:vAlign w:val="center"/>
            <w:hideMark/>
          </w:tcPr>
          <w:p w14:paraId="0C9B21C7"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366B822C"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556D9246"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67915B6C"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4E6D2FD3"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4DD09994" w14:textId="77777777" w:rsidR="00ED0443" w:rsidRPr="00117BF8" w:rsidRDefault="00ED0443" w:rsidP="009264E9">
            <w:pPr>
              <w:pStyle w:val="TablaC"/>
              <w:rPr>
                <w:rFonts w:ascii="Arial" w:hAnsi="Arial" w:cs="Arial"/>
                <w:b/>
                <w:sz w:val="18"/>
              </w:rPr>
            </w:pPr>
            <w:r w:rsidRPr="00117BF8">
              <w:rPr>
                <w:rFonts w:ascii="Arial" w:hAnsi="Arial" w:cs="Arial"/>
                <w:b/>
                <w:sz w:val="18"/>
              </w:rPr>
              <w:t>2,4%</w:t>
            </w:r>
          </w:p>
        </w:tc>
        <w:tc>
          <w:tcPr>
            <w:tcW w:w="1077" w:type="dxa"/>
            <w:tcBorders>
              <w:top w:val="nil"/>
              <w:left w:val="nil"/>
              <w:bottom w:val="single" w:sz="8" w:space="0" w:color="auto"/>
              <w:right w:val="single" w:sz="8" w:space="0" w:color="auto"/>
            </w:tcBorders>
            <w:shd w:val="clear" w:color="000000" w:fill="FFFFFF"/>
            <w:noWrap/>
            <w:vAlign w:val="center"/>
            <w:hideMark/>
          </w:tcPr>
          <w:p w14:paraId="56A09A22" w14:textId="77777777" w:rsidR="00ED0443" w:rsidRPr="00117BF8" w:rsidRDefault="00ED0443" w:rsidP="009264E9">
            <w:pPr>
              <w:pStyle w:val="TablaC"/>
              <w:rPr>
                <w:rFonts w:ascii="Arial" w:hAnsi="Arial" w:cs="Arial"/>
                <w:b/>
                <w:sz w:val="18"/>
              </w:rPr>
            </w:pPr>
            <w:r w:rsidRPr="00117BF8">
              <w:rPr>
                <w:rFonts w:ascii="Arial" w:hAnsi="Arial" w:cs="Arial"/>
                <w:b/>
                <w:sz w:val="18"/>
              </w:rPr>
              <w:t>2,4%</w:t>
            </w:r>
          </w:p>
        </w:tc>
      </w:tr>
      <w:tr w:rsidR="00ED0443" w:rsidRPr="004E6455" w14:paraId="708E4315" w14:textId="77777777" w:rsidTr="00ED0443">
        <w:tc>
          <w:tcPr>
            <w:tcW w:w="2835" w:type="dxa"/>
            <w:tcBorders>
              <w:top w:val="nil"/>
              <w:left w:val="single" w:sz="8" w:space="0" w:color="auto"/>
              <w:bottom w:val="single" w:sz="8" w:space="0" w:color="auto"/>
              <w:right w:val="single" w:sz="4" w:space="0" w:color="auto"/>
            </w:tcBorders>
            <w:shd w:val="clear" w:color="000000" w:fill="FFFFFF"/>
            <w:noWrap/>
            <w:hideMark/>
          </w:tcPr>
          <w:p w14:paraId="151F4B2F" w14:textId="77777777" w:rsidR="00ED0443" w:rsidRPr="00117BF8" w:rsidRDefault="00ED0443" w:rsidP="009264E9">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VII. GASTOS TOTALES (II+V)</w:t>
            </w:r>
          </w:p>
        </w:tc>
        <w:tc>
          <w:tcPr>
            <w:tcW w:w="1021" w:type="dxa"/>
            <w:tcBorders>
              <w:top w:val="nil"/>
              <w:left w:val="single" w:sz="4" w:space="0" w:color="auto"/>
              <w:bottom w:val="single" w:sz="8" w:space="0" w:color="auto"/>
              <w:right w:val="single" w:sz="8" w:space="0" w:color="auto"/>
            </w:tcBorders>
            <w:shd w:val="clear" w:color="000000" w:fill="FFFFFF"/>
            <w:noWrap/>
            <w:vAlign w:val="center"/>
            <w:hideMark/>
          </w:tcPr>
          <w:p w14:paraId="6C940BEF" w14:textId="77777777" w:rsidR="00ED0443" w:rsidRPr="00117BF8" w:rsidRDefault="00ED0443" w:rsidP="009264E9">
            <w:pPr>
              <w:pStyle w:val="TablaC"/>
              <w:rPr>
                <w:rFonts w:ascii="Arial" w:hAnsi="Arial" w:cs="Arial"/>
                <w:b/>
                <w:sz w:val="18"/>
              </w:rPr>
            </w:pPr>
            <w:r w:rsidRPr="00117BF8">
              <w:rPr>
                <w:rFonts w:ascii="Arial" w:hAnsi="Arial" w:cs="Arial"/>
                <w:b/>
                <w:sz w:val="18"/>
              </w:rPr>
              <w:t>-2,8%</w:t>
            </w:r>
          </w:p>
        </w:tc>
        <w:tc>
          <w:tcPr>
            <w:tcW w:w="1021" w:type="dxa"/>
            <w:tcBorders>
              <w:top w:val="nil"/>
              <w:left w:val="nil"/>
              <w:bottom w:val="single" w:sz="8" w:space="0" w:color="auto"/>
              <w:right w:val="single" w:sz="8" w:space="0" w:color="auto"/>
            </w:tcBorders>
            <w:shd w:val="clear" w:color="000000" w:fill="FFFFFF"/>
            <w:noWrap/>
            <w:vAlign w:val="center"/>
            <w:hideMark/>
          </w:tcPr>
          <w:p w14:paraId="069AC311" w14:textId="77777777" w:rsidR="00ED0443" w:rsidRPr="00117BF8" w:rsidRDefault="00ED0443" w:rsidP="009264E9">
            <w:pPr>
              <w:pStyle w:val="TablaC"/>
              <w:rPr>
                <w:rFonts w:ascii="Arial" w:hAnsi="Arial" w:cs="Arial"/>
                <w:b/>
                <w:sz w:val="18"/>
              </w:rPr>
            </w:pPr>
            <w:r w:rsidRPr="00117BF8">
              <w:rPr>
                <w:rFonts w:ascii="Arial" w:hAnsi="Arial" w:cs="Arial"/>
                <w:b/>
                <w:sz w:val="18"/>
              </w:rPr>
              <w:t>1,6%</w:t>
            </w:r>
          </w:p>
        </w:tc>
        <w:tc>
          <w:tcPr>
            <w:tcW w:w="1021" w:type="dxa"/>
            <w:tcBorders>
              <w:top w:val="nil"/>
              <w:left w:val="nil"/>
              <w:bottom w:val="single" w:sz="8" w:space="0" w:color="auto"/>
              <w:right w:val="single" w:sz="8" w:space="0" w:color="auto"/>
            </w:tcBorders>
            <w:shd w:val="clear" w:color="000000" w:fill="FFFFFF"/>
            <w:noWrap/>
            <w:vAlign w:val="center"/>
            <w:hideMark/>
          </w:tcPr>
          <w:p w14:paraId="7A3A24BC" w14:textId="77777777" w:rsidR="00ED0443" w:rsidRPr="00117BF8" w:rsidRDefault="00ED0443" w:rsidP="009264E9">
            <w:pPr>
              <w:pStyle w:val="TablaC"/>
              <w:rPr>
                <w:rFonts w:ascii="Arial" w:hAnsi="Arial" w:cs="Arial"/>
                <w:b/>
                <w:sz w:val="18"/>
              </w:rPr>
            </w:pPr>
            <w:r w:rsidRPr="00117BF8">
              <w:rPr>
                <w:rFonts w:ascii="Arial" w:hAnsi="Arial" w:cs="Arial"/>
                <w:b/>
                <w:sz w:val="18"/>
              </w:rPr>
              <w:t>2,7%</w:t>
            </w:r>
          </w:p>
        </w:tc>
        <w:tc>
          <w:tcPr>
            <w:tcW w:w="1021" w:type="dxa"/>
            <w:tcBorders>
              <w:top w:val="nil"/>
              <w:left w:val="nil"/>
              <w:bottom w:val="single" w:sz="8" w:space="0" w:color="auto"/>
              <w:right w:val="single" w:sz="8" w:space="0" w:color="auto"/>
            </w:tcBorders>
            <w:shd w:val="clear" w:color="000000" w:fill="FFFFFF"/>
            <w:noWrap/>
            <w:vAlign w:val="center"/>
            <w:hideMark/>
          </w:tcPr>
          <w:p w14:paraId="23A03E07" w14:textId="77777777" w:rsidR="00ED0443" w:rsidRPr="00117BF8" w:rsidRDefault="00ED0443" w:rsidP="009264E9">
            <w:pPr>
              <w:pStyle w:val="TablaC"/>
              <w:rPr>
                <w:rFonts w:ascii="Arial" w:hAnsi="Arial" w:cs="Arial"/>
                <w:b/>
                <w:sz w:val="18"/>
              </w:rPr>
            </w:pPr>
            <w:r w:rsidRPr="00117BF8">
              <w:rPr>
                <w:rFonts w:ascii="Arial" w:hAnsi="Arial" w:cs="Arial"/>
                <w:b/>
                <w:sz w:val="18"/>
              </w:rPr>
              <w:t>2,0%</w:t>
            </w:r>
          </w:p>
        </w:tc>
        <w:tc>
          <w:tcPr>
            <w:tcW w:w="1021" w:type="dxa"/>
            <w:tcBorders>
              <w:top w:val="nil"/>
              <w:left w:val="nil"/>
              <w:bottom w:val="single" w:sz="8" w:space="0" w:color="auto"/>
              <w:right w:val="single" w:sz="8" w:space="0" w:color="auto"/>
            </w:tcBorders>
            <w:shd w:val="clear" w:color="000000" w:fill="FFFFFF"/>
            <w:noWrap/>
            <w:vAlign w:val="center"/>
            <w:hideMark/>
          </w:tcPr>
          <w:p w14:paraId="55786497" w14:textId="77777777" w:rsidR="00ED0443" w:rsidRPr="00117BF8" w:rsidRDefault="00ED0443" w:rsidP="009264E9">
            <w:pPr>
              <w:pStyle w:val="TablaC"/>
              <w:rPr>
                <w:rFonts w:ascii="Arial" w:hAnsi="Arial" w:cs="Arial"/>
                <w:b/>
                <w:sz w:val="18"/>
              </w:rPr>
            </w:pPr>
            <w:r w:rsidRPr="00117BF8">
              <w:rPr>
                <w:rFonts w:ascii="Arial" w:hAnsi="Arial" w:cs="Arial"/>
                <w:b/>
                <w:sz w:val="18"/>
              </w:rPr>
              <w:t>1,7%</w:t>
            </w:r>
          </w:p>
        </w:tc>
        <w:tc>
          <w:tcPr>
            <w:tcW w:w="1021" w:type="dxa"/>
            <w:tcBorders>
              <w:top w:val="nil"/>
              <w:left w:val="nil"/>
              <w:bottom w:val="single" w:sz="8" w:space="0" w:color="auto"/>
              <w:right w:val="single" w:sz="8" w:space="0" w:color="auto"/>
            </w:tcBorders>
            <w:shd w:val="clear" w:color="000000" w:fill="FFFFFF"/>
            <w:noWrap/>
            <w:vAlign w:val="center"/>
            <w:hideMark/>
          </w:tcPr>
          <w:p w14:paraId="06B7CABA" w14:textId="77777777" w:rsidR="00ED0443" w:rsidRPr="00117BF8" w:rsidRDefault="00ED0443" w:rsidP="009264E9">
            <w:pPr>
              <w:pStyle w:val="TablaC"/>
              <w:rPr>
                <w:rFonts w:ascii="Arial" w:hAnsi="Arial" w:cs="Arial"/>
                <w:b/>
                <w:sz w:val="18"/>
              </w:rPr>
            </w:pPr>
            <w:r w:rsidRPr="00117BF8">
              <w:rPr>
                <w:rFonts w:ascii="Arial" w:hAnsi="Arial" w:cs="Arial"/>
                <w:b/>
                <w:sz w:val="18"/>
              </w:rPr>
              <w:t>1,6%</w:t>
            </w:r>
          </w:p>
        </w:tc>
        <w:tc>
          <w:tcPr>
            <w:tcW w:w="1021" w:type="dxa"/>
            <w:tcBorders>
              <w:top w:val="nil"/>
              <w:left w:val="nil"/>
              <w:bottom w:val="single" w:sz="8" w:space="0" w:color="auto"/>
              <w:right w:val="single" w:sz="8" w:space="0" w:color="auto"/>
            </w:tcBorders>
            <w:shd w:val="clear" w:color="000000" w:fill="FFFFFF"/>
            <w:noWrap/>
            <w:vAlign w:val="center"/>
            <w:hideMark/>
          </w:tcPr>
          <w:p w14:paraId="53E8FB30" w14:textId="77777777" w:rsidR="00ED0443" w:rsidRPr="00117BF8" w:rsidRDefault="00ED0443" w:rsidP="009264E9">
            <w:pPr>
              <w:pStyle w:val="TablaC"/>
              <w:rPr>
                <w:rFonts w:ascii="Arial" w:hAnsi="Arial" w:cs="Arial"/>
                <w:b/>
                <w:sz w:val="18"/>
              </w:rPr>
            </w:pPr>
            <w:r w:rsidRPr="00117BF8">
              <w:rPr>
                <w:rFonts w:ascii="Arial" w:hAnsi="Arial" w:cs="Arial"/>
                <w:b/>
                <w:sz w:val="18"/>
              </w:rPr>
              <w:t>2,0%</w:t>
            </w:r>
          </w:p>
        </w:tc>
        <w:tc>
          <w:tcPr>
            <w:tcW w:w="1021" w:type="dxa"/>
            <w:tcBorders>
              <w:top w:val="nil"/>
              <w:left w:val="nil"/>
              <w:bottom w:val="single" w:sz="8" w:space="0" w:color="auto"/>
              <w:right w:val="single" w:sz="8" w:space="0" w:color="auto"/>
            </w:tcBorders>
            <w:shd w:val="clear" w:color="000000" w:fill="FFFFFF"/>
            <w:noWrap/>
            <w:vAlign w:val="center"/>
            <w:hideMark/>
          </w:tcPr>
          <w:p w14:paraId="2BF9546E"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c>
          <w:tcPr>
            <w:tcW w:w="1021" w:type="dxa"/>
            <w:tcBorders>
              <w:top w:val="nil"/>
              <w:left w:val="nil"/>
              <w:bottom w:val="single" w:sz="8" w:space="0" w:color="auto"/>
              <w:right w:val="single" w:sz="8" w:space="0" w:color="auto"/>
            </w:tcBorders>
            <w:shd w:val="clear" w:color="000000" w:fill="FFFFFF"/>
            <w:noWrap/>
            <w:vAlign w:val="center"/>
            <w:hideMark/>
          </w:tcPr>
          <w:p w14:paraId="1728BA55" w14:textId="77777777" w:rsidR="00ED0443" w:rsidRPr="00117BF8" w:rsidRDefault="00ED0443" w:rsidP="009264E9">
            <w:pPr>
              <w:pStyle w:val="TablaC"/>
              <w:rPr>
                <w:rFonts w:ascii="Arial" w:hAnsi="Arial" w:cs="Arial"/>
                <w:b/>
                <w:sz w:val="18"/>
              </w:rPr>
            </w:pPr>
            <w:r w:rsidRPr="00117BF8">
              <w:rPr>
                <w:rFonts w:ascii="Arial" w:hAnsi="Arial" w:cs="Arial"/>
                <w:b/>
                <w:sz w:val="18"/>
              </w:rPr>
              <w:t>2,1%</w:t>
            </w:r>
          </w:p>
        </w:tc>
        <w:tc>
          <w:tcPr>
            <w:tcW w:w="1021" w:type="dxa"/>
            <w:tcBorders>
              <w:top w:val="nil"/>
              <w:left w:val="nil"/>
              <w:bottom w:val="single" w:sz="8" w:space="0" w:color="auto"/>
              <w:right w:val="single" w:sz="8" w:space="0" w:color="auto"/>
            </w:tcBorders>
            <w:shd w:val="clear" w:color="000000" w:fill="FFFFFF"/>
            <w:noWrap/>
            <w:vAlign w:val="center"/>
            <w:hideMark/>
          </w:tcPr>
          <w:p w14:paraId="10811577" w14:textId="77777777" w:rsidR="00ED0443" w:rsidRPr="00117BF8" w:rsidRDefault="00ED0443" w:rsidP="009264E9">
            <w:pPr>
              <w:pStyle w:val="TablaC"/>
              <w:rPr>
                <w:rFonts w:ascii="Arial" w:hAnsi="Arial" w:cs="Arial"/>
                <w:b/>
                <w:sz w:val="18"/>
              </w:rPr>
            </w:pPr>
            <w:r w:rsidRPr="00117BF8">
              <w:rPr>
                <w:rFonts w:ascii="Arial" w:hAnsi="Arial" w:cs="Arial"/>
                <w:b/>
                <w:sz w:val="18"/>
              </w:rPr>
              <w:t>2,1%</w:t>
            </w:r>
          </w:p>
        </w:tc>
        <w:tc>
          <w:tcPr>
            <w:tcW w:w="1021" w:type="dxa"/>
            <w:tcBorders>
              <w:top w:val="nil"/>
              <w:left w:val="nil"/>
              <w:bottom w:val="single" w:sz="8" w:space="0" w:color="auto"/>
              <w:right w:val="single" w:sz="8" w:space="0" w:color="auto"/>
            </w:tcBorders>
            <w:shd w:val="clear" w:color="000000" w:fill="FFFFFF"/>
            <w:noWrap/>
            <w:vAlign w:val="center"/>
            <w:hideMark/>
          </w:tcPr>
          <w:p w14:paraId="43212DC1" w14:textId="77777777" w:rsidR="00ED0443" w:rsidRPr="00117BF8" w:rsidRDefault="00ED0443" w:rsidP="009264E9">
            <w:pPr>
              <w:pStyle w:val="TablaC"/>
              <w:rPr>
                <w:rFonts w:ascii="Arial" w:hAnsi="Arial" w:cs="Arial"/>
                <w:b/>
                <w:sz w:val="18"/>
              </w:rPr>
            </w:pPr>
            <w:r w:rsidRPr="00117BF8">
              <w:rPr>
                <w:rFonts w:ascii="Arial" w:hAnsi="Arial" w:cs="Arial"/>
                <w:b/>
                <w:sz w:val="18"/>
              </w:rPr>
              <w:t>2,2%</w:t>
            </w:r>
          </w:p>
        </w:tc>
        <w:tc>
          <w:tcPr>
            <w:tcW w:w="1077" w:type="dxa"/>
            <w:tcBorders>
              <w:top w:val="nil"/>
              <w:left w:val="nil"/>
              <w:bottom w:val="single" w:sz="8" w:space="0" w:color="auto"/>
              <w:right w:val="single" w:sz="8" w:space="0" w:color="auto"/>
            </w:tcBorders>
            <w:shd w:val="clear" w:color="000000" w:fill="FFFFFF"/>
            <w:noWrap/>
            <w:vAlign w:val="center"/>
            <w:hideMark/>
          </w:tcPr>
          <w:p w14:paraId="6AE50F71" w14:textId="77777777" w:rsidR="00ED0443" w:rsidRPr="00117BF8" w:rsidRDefault="00ED0443" w:rsidP="009264E9">
            <w:pPr>
              <w:pStyle w:val="TablaC"/>
              <w:rPr>
                <w:rFonts w:ascii="Arial" w:hAnsi="Arial" w:cs="Arial"/>
                <w:b/>
                <w:sz w:val="18"/>
              </w:rPr>
            </w:pPr>
            <w:r w:rsidRPr="00117BF8">
              <w:rPr>
                <w:rFonts w:ascii="Arial" w:hAnsi="Arial" w:cs="Arial"/>
                <w:b/>
                <w:sz w:val="18"/>
              </w:rPr>
              <w:t>2,3%</w:t>
            </w:r>
          </w:p>
        </w:tc>
      </w:tr>
      <w:tr w:rsidR="00ED0443" w:rsidRPr="004E6455" w14:paraId="57D8B103" w14:textId="77777777" w:rsidTr="00ED0443">
        <w:tc>
          <w:tcPr>
            <w:tcW w:w="2835" w:type="dxa"/>
            <w:tcBorders>
              <w:top w:val="nil"/>
              <w:left w:val="single" w:sz="8" w:space="0" w:color="auto"/>
              <w:bottom w:val="single" w:sz="8" w:space="0" w:color="auto"/>
              <w:right w:val="single" w:sz="4" w:space="0" w:color="auto"/>
            </w:tcBorders>
            <w:shd w:val="clear" w:color="000000" w:fill="FFFFFF"/>
            <w:noWrap/>
            <w:hideMark/>
          </w:tcPr>
          <w:p w14:paraId="1CB05F29" w14:textId="77777777" w:rsidR="00ED0443" w:rsidRPr="00117BF8" w:rsidRDefault="00ED0443" w:rsidP="009264E9">
            <w:pPr>
              <w:pStyle w:val="TablaC"/>
              <w:jc w:val="left"/>
              <w:rPr>
                <w:rFonts w:ascii="Arial" w:hAnsi="Arial" w:cs="Arial"/>
                <w:b/>
                <w:sz w:val="18"/>
                <w:szCs w:val="18"/>
              </w:rPr>
            </w:pPr>
            <w:r w:rsidRPr="00117BF8">
              <w:rPr>
                <w:rFonts w:ascii="Arial" w:hAnsi="Arial" w:cs="Arial"/>
                <w:b/>
                <w:sz w:val="18"/>
                <w:szCs w:val="18"/>
              </w:rPr>
              <w:t xml:space="preserve"> IX. RESULTADO PRIMARIO (VI-VIII)</w:t>
            </w:r>
          </w:p>
        </w:tc>
        <w:tc>
          <w:tcPr>
            <w:tcW w:w="1021" w:type="dxa"/>
            <w:tcBorders>
              <w:top w:val="nil"/>
              <w:left w:val="single" w:sz="4" w:space="0" w:color="auto"/>
              <w:bottom w:val="single" w:sz="8" w:space="0" w:color="auto"/>
              <w:right w:val="single" w:sz="8" w:space="0" w:color="auto"/>
            </w:tcBorders>
            <w:shd w:val="clear" w:color="000000" w:fill="FFFFFF"/>
            <w:noWrap/>
            <w:vAlign w:val="center"/>
            <w:hideMark/>
          </w:tcPr>
          <w:p w14:paraId="353F7C57" w14:textId="77777777" w:rsidR="00ED0443" w:rsidRPr="00117BF8" w:rsidRDefault="00ED0443" w:rsidP="009264E9">
            <w:pPr>
              <w:pStyle w:val="TablaC"/>
              <w:rPr>
                <w:rFonts w:ascii="Arial" w:hAnsi="Arial" w:cs="Arial"/>
                <w:b/>
                <w:sz w:val="18"/>
              </w:rPr>
            </w:pPr>
            <w:r w:rsidRPr="00117BF8">
              <w:rPr>
                <w:rFonts w:ascii="Arial" w:hAnsi="Arial" w:cs="Arial"/>
                <w:b/>
                <w:sz w:val="18"/>
              </w:rPr>
              <w:t>-77,4%</w:t>
            </w:r>
          </w:p>
        </w:tc>
        <w:tc>
          <w:tcPr>
            <w:tcW w:w="1021" w:type="dxa"/>
            <w:tcBorders>
              <w:top w:val="nil"/>
              <w:left w:val="nil"/>
              <w:bottom w:val="single" w:sz="8" w:space="0" w:color="auto"/>
              <w:right w:val="single" w:sz="8" w:space="0" w:color="auto"/>
            </w:tcBorders>
            <w:shd w:val="clear" w:color="000000" w:fill="FFFFFF"/>
            <w:noWrap/>
            <w:vAlign w:val="center"/>
            <w:hideMark/>
          </w:tcPr>
          <w:p w14:paraId="5F91E447" w14:textId="77777777" w:rsidR="00ED0443" w:rsidRPr="00117BF8" w:rsidRDefault="00ED0443" w:rsidP="009264E9">
            <w:pPr>
              <w:pStyle w:val="TablaC"/>
              <w:rPr>
                <w:rFonts w:ascii="Arial" w:hAnsi="Arial" w:cs="Arial"/>
                <w:b/>
                <w:sz w:val="18"/>
              </w:rPr>
            </w:pPr>
            <w:r w:rsidRPr="00117BF8">
              <w:rPr>
                <w:rFonts w:ascii="Arial" w:hAnsi="Arial" w:cs="Arial"/>
                <w:b/>
                <w:sz w:val="18"/>
              </w:rPr>
              <w:t>10,1%</w:t>
            </w:r>
          </w:p>
        </w:tc>
        <w:tc>
          <w:tcPr>
            <w:tcW w:w="1021" w:type="dxa"/>
            <w:tcBorders>
              <w:top w:val="nil"/>
              <w:left w:val="nil"/>
              <w:bottom w:val="single" w:sz="8" w:space="0" w:color="auto"/>
              <w:right w:val="single" w:sz="8" w:space="0" w:color="auto"/>
            </w:tcBorders>
            <w:shd w:val="clear" w:color="000000" w:fill="FFFFFF"/>
            <w:noWrap/>
            <w:vAlign w:val="center"/>
            <w:hideMark/>
          </w:tcPr>
          <w:p w14:paraId="7AEF6D5A" w14:textId="77777777" w:rsidR="00ED0443" w:rsidRPr="00117BF8" w:rsidRDefault="00ED0443" w:rsidP="009264E9">
            <w:pPr>
              <w:pStyle w:val="TablaC"/>
              <w:rPr>
                <w:rFonts w:ascii="Arial" w:hAnsi="Arial" w:cs="Arial"/>
                <w:b/>
                <w:sz w:val="18"/>
              </w:rPr>
            </w:pPr>
            <w:r w:rsidRPr="00117BF8">
              <w:rPr>
                <w:rFonts w:ascii="Arial" w:hAnsi="Arial" w:cs="Arial"/>
                <w:b/>
                <w:sz w:val="18"/>
              </w:rPr>
              <w:t>-53,4%</w:t>
            </w:r>
          </w:p>
        </w:tc>
        <w:tc>
          <w:tcPr>
            <w:tcW w:w="1021" w:type="dxa"/>
            <w:tcBorders>
              <w:top w:val="nil"/>
              <w:left w:val="nil"/>
              <w:bottom w:val="single" w:sz="8" w:space="0" w:color="auto"/>
              <w:right w:val="single" w:sz="8" w:space="0" w:color="auto"/>
            </w:tcBorders>
            <w:shd w:val="clear" w:color="000000" w:fill="FFFFFF"/>
            <w:noWrap/>
            <w:vAlign w:val="center"/>
            <w:hideMark/>
          </w:tcPr>
          <w:p w14:paraId="4E4315AC" w14:textId="77777777" w:rsidR="00ED0443" w:rsidRPr="00117BF8" w:rsidRDefault="00ED0443" w:rsidP="009264E9">
            <w:pPr>
              <w:pStyle w:val="TablaC"/>
              <w:rPr>
                <w:rFonts w:ascii="Arial" w:hAnsi="Arial" w:cs="Arial"/>
                <w:b/>
                <w:sz w:val="18"/>
              </w:rPr>
            </w:pPr>
            <w:r w:rsidRPr="00117BF8">
              <w:rPr>
                <w:rFonts w:ascii="Arial" w:hAnsi="Arial" w:cs="Arial"/>
                <w:b/>
                <w:sz w:val="18"/>
              </w:rPr>
              <w:t>-193,7%</w:t>
            </w:r>
          </w:p>
        </w:tc>
        <w:tc>
          <w:tcPr>
            <w:tcW w:w="1021" w:type="dxa"/>
            <w:tcBorders>
              <w:top w:val="nil"/>
              <w:left w:val="nil"/>
              <w:bottom w:val="single" w:sz="8" w:space="0" w:color="auto"/>
              <w:right w:val="single" w:sz="8" w:space="0" w:color="auto"/>
            </w:tcBorders>
            <w:shd w:val="clear" w:color="000000" w:fill="FFFFFF"/>
            <w:noWrap/>
            <w:vAlign w:val="center"/>
            <w:hideMark/>
          </w:tcPr>
          <w:p w14:paraId="7EA34A9C" w14:textId="77777777" w:rsidR="00ED0443" w:rsidRPr="00117BF8" w:rsidRDefault="00ED0443" w:rsidP="009264E9">
            <w:pPr>
              <w:pStyle w:val="TablaC"/>
              <w:rPr>
                <w:rFonts w:ascii="Arial" w:hAnsi="Arial" w:cs="Arial"/>
                <w:b/>
                <w:sz w:val="18"/>
              </w:rPr>
            </w:pPr>
            <w:r w:rsidRPr="00117BF8">
              <w:rPr>
                <w:rFonts w:ascii="Arial" w:hAnsi="Arial" w:cs="Arial"/>
                <w:b/>
                <w:sz w:val="18"/>
              </w:rPr>
              <w:t>94,4%</w:t>
            </w:r>
          </w:p>
        </w:tc>
        <w:tc>
          <w:tcPr>
            <w:tcW w:w="1021" w:type="dxa"/>
            <w:tcBorders>
              <w:top w:val="nil"/>
              <w:left w:val="nil"/>
              <w:bottom w:val="single" w:sz="8" w:space="0" w:color="auto"/>
              <w:right w:val="single" w:sz="8" w:space="0" w:color="auto"/>
            </w:tcBorders>
            <w:shd w:val="clear" w:color="000000" w:fill="FFFFFF"/>
            <w:noWrap/>
            <w:vAlign w:val="center"/>
            <w:hideMark/>
          </w:tcPr>
          <w:p w14:paraId="59724EC9" w14:textId="77777777" w:rsidR="00ED0443" w:rsidRPr="00117BF8" w:rsidRDefault="00ED0443" w:rsidP="009264E9">
            <w:pPr>
              <w:pStyle w:val="TablaC"/>
              <w:rPr>
                <w:rFonts w:ascii="Arial" w:hAnsi="Arial" w:cs="Arial"/>
                <w:b/>
                <w:sz w:val="18"/>
              </w:rPr>
            </w:pPr>
            <w:r w:rsidRPr="00117BF8">
              <w:rPr>
                <w:rFonts w:ascii="Arial" w:hAnsi="Arial" w:cs="Arial"/>
                <w:b/>
                <w:sz w:val="18"/>
              </w:rPr>
              <w:t>64,9%</w:t>
            </w:r>
          </w:p>
        </w:tc>
        <w:tc>
          <w:tcPr>
            <w:tcW w:w="1021" w:type="dxa"/>
            <w:tcBorders>
              <w:top w:val="nil"/>
              <w:left w:val="nil"/>
              <w:bottom w:val="single" w:sz="8" w:space="0" w:color="auto"/>
              <w:right w:val="single" w:sz="8" w:space="0" w:color="auto"/>
            </w:tcBorders>
            <w:shd w:val="clear" w:color="000000" w:fill="FFFFFF"/>
            <w:noWrap/>
            <w:vAlign w:val="center"/>
            <w:hideMark/>
          </w:tcPr>
          <w:p w14:paraId="114568A3" w14:textId="77777777" w:rsidR="00ED0443" w:rsidRPr="00117BF8" w:rsidRDefault="00ED0443" w:rsidP="009264E9">
            <w:pPr>
              <w:pStyle w:val="TablaC"/>
              <w:rPr>
                <w:rFonts w:ascii="Arial" w:hAnsi="Arial" w:cs="Arial"/>
                <w:b/>
                <w:sz w:val="18"/>
              </w:rPr>
            </w:pPr>
            <w:r w:rsidRPr="00117BF8">
              <w:rPr>
                <w:rFonts w:ascii="Arial" w:hAnsi="Arial" w:cs="Arial"/>
                <w:b/>
                <w:sz w:val="18"/>
              </w:rPr>
              <w:t>29,2%</w:t>
            </w:r>
          </w:p>
        </w:tc>
        <w:tc>
          <w:tcPr>
            <w:tcW w:w="1021" w:type="dxa"/>
            <w:tcBorders>
              <w:top w:val="nil"/>
              <w:left w:val="nil"/>
              <w:bottom w:val="single" w:sz="8" w:space="0" w:color="auto"/>
              <w:right w:val="single" w:sz="8" w:space="0" w:color="auto"/>
            </w:tcBorders>
            <w:shd w:val="clear" w:color="000000" w:fill="FFFFFF"/>
            <w:noWrap/>
            <w:vAlign w:val="center"/>
            <w:hideMark/>
          </w:tcPr>
          <w:p w14:paraId="2ECBF31B" w14:textId="77777777" w:rsidR="00ED0443" w:rsidRPr="00117BF8" w:rsidRDefault="00ED0443" w:rsidP="009264E9">
            <w:pPr>
              <w:pStyle w:val="TablaC"/>
              <w:rPr>
                <w:rFonts w:ascii="Arial" w:hAnsi="Arial" w:cs="Arial"/>
                <w:b/>
                <w:sz w:val="18"/>
              </w:rPr>
            </w:pPr>
            <w:r w:rsidRPr="00117BF8">
              <w:rPr>
                <w:rFonts w:ascii="Arial" w:hAnsi="Arial" w:cs="Arial"/>
                <w:b/>
                <w:sz w:val="18"/>
              </w:rPr>
              <w:t>17,8%</w:t>
            </w:r>
          </w:p>
        </w:tc>
        <w:tc>
          <w:tcPr>
            <w:tcW w:w="1021" w:type="dxa"/>
            <w:tcBorders>
              <w:top w:val="nil"/>
              <w:left w:val="nil"/>
              <w:bottom w:val="single" w:sz="8" w:space="0" w:color="auto"/>
              <w:right w:val="single" w:sz="8" w:space="0" w:color="auto"/>
            </w:tcBorders>
            <w:shd w:val="clear" w:color="000000" w:fill="FFFFFF"/>
            <w:noWrap/>
            <w:vAlign w:val="center"/>
            <w:hideMark/>
          </w:tcPr>
          <w:p w14:paraId="613A2DFF" w14:textId="77777777" w:rsidR="00ED0443" w:rsidRPr="00117BF8" w:rsidRDefault="00ED0443" w:rsidP="009264E9">
            <w:pPr>
              <w:pStyle w:val="TablaC"/>
              <w:rPr>
                <w:rFonts w:ascii="Arial" w:hAnsi="Arial" w:cs="Arial"/>
                <w:b/>
                <w:sz w:val="18"/>
              </w:rPr>
            </w:pPr>
            <w:r w:rsidRPr="00117BF8">
              <w:rPr>
                <w:rFonts w:ascii="Arial" w:hAnsi="Arial" w:cs="Arial"/>
                <w:b/>
                <w:sz w:val="18"/>
              </w:rPr>
              <w:t>15,7%</w:t>
            </w:r>
          </w:p>
        </w:tc>
        <w:tc>
          <w:tcPr>
            <w:tcW w:w="1021" w:type="dxa"/>
            <w:tcBorders>
              <w:top w:val="nil"/>
              <w:left w:val="nil"/>
              <w:bottom w:val="single" w:sz="8" w:space="0" w:color="auto"/>
              <w:right w:val="single" w:sz="8" w:space="0" w:color="auto"/>
            </w:tcBorders>
            <w:shd w:val="clear" w:color="000000" w:fill="FFFFFF"/>
            <w:noWrap/>
            <w:vAlign w:val="center"/>
            <w:hideMark/>
          </w:tcPr>
          <w:p w14:paraId="10036BA7" w14:textId="77777777" w:rsidR="00ED0443" w:rsidRPr="00117BF8" w:rsidRDefault="00ED0443" w:rsidP="009264E9">
            <w:pPr>
              <w:pStyle w:val="TablaC"/>
              <w:rPr>
                <w:rFonts w:ascii="Arial" w:hAnsi="Arial" w:cs="Arial"/>
                <w:b/>
                <w:sz w:val="18"/>
              </w:rPr>
            </w:pPr>
            <w:r w:rsidRPr="00117BF8">
              <w:rPr>
                <w:rFonts w:ascii="Arial" w:hAnsi="Arial" w:cs="Arial"/>
                <w:b/>
                <w:sz w:val="18"/>
              </w:rPr>
              <w:t>14,0%</w:t>
            </w:r>
          </w:p>
        </w:tc>
        <w:tc>
          <w:tcPr>
            <w:tcW w:w="1021" w:type="dxa"/>
            <w:tcBorders>
              <w:top w:val="nil"/>
              <w:left w:val="nil"/>
              <w:bottom w:val="single" w:sz="8" w:space="0" w:color="auto"/>
              <w:right w:val="single" w:sz="8" w:space="0" w:color="auto"/>
            </w:tcBorders>
            <w:shd w:val="clear" w:color="000000" w:fill="FFFFFF"/>
            <w:noWrap/>
            <w:vAlign w:val="center"/>
            <w:hideMark/>
          </w:tcPr>
          <w:p w14:paraId="6E459B3D" w14:textId="77777777" w:rsidR="00ED0443" w:rsidRPr="00117BF8" w:rsidRDefault="00ED0443" w:rsidP="009264E9">
            <w:pPr>
              <w:pStyle w:val="TablaC"/>
              <w:rPr>
                <w:rFonts w:ascii="Arial" w:hAnsi="Arial" w:cs="Arial"/>
                <w:b/>
                <w:sz w:val="18"/>
              </w:rPr>
            </w:pPr>
            <w:r w:rsidRPr="00117BF8">
              <w:rPr>
                <w:rFonts w:ascii="Arial" w:hAnsi="Arial" w:cs="Arial"/>
                <w:b/>
                <w:sz w:val="18"/>
              </w:rPr>
              <w:t>12,6%</w:t>
            </w:r>
          </w:p>
        </w:tc>
        <w:tc>
          <w:tcPr>
            <w:tcW w:w="1077" w:type="dxa"/>
            <w:tcBorders>
              <w:top w:val="nil"/>
              <w:left w:val="nil"/>
              <w:bottom w:val="single" w:sz="8" w:space="0" w:color="auto"/>
              <w:right w:val="single" w:sz="8" w:space="0" w:color="auto"/>
            </w:tcBorders>
            <w:shd w:val="clear" w:color="000000" w:fill="FFFFFF"/>
            <w:noWrap/>
            <w:vAlign w:val="center"/>
            <w:hideMark/>
          </w:tcPr>
          <w:p w14:paraId="7F616E7D" w14:textId="77777777" w:rsidR="00ED0443" w:rsidRPr="00117BF8" w:rsidRDefault="00ED0443" w:rsidP="009264E9">
            <w:pPr>
              <w:pStyle w:val="TablaC"/>
              <w:rPr>
                <w:rFonts w:ascii="Arial" w:hAnsi="Arial" w:cs="Arial"/>
                <w:b/>
                <w:sz w:val="18"/>
              </w:rPr>
            </w:pPr>
            <w:r w:rsidRPr="00117BF8">
              <w:rPr>
                <w:rFonts w:ascii="Arial" w:hAnsi="Arial" w:cs="Arial"/>
                <w:b/>
                <w:sz w:val="18"/>
              </w:rPr>
              <w:t>11,5%</w:t>
            </w:r>
          </w:p>
        </w:tc>
      </w:tr>
      <w:tr w:rsidR="00ED0443" w:rsidRPr="004E6455" w14:paraId="0E4186F0" w14:textId="77777777" w:rsidTr="00ED0443">
        <w:tc>
          <w:tcPr>
            <w:tcW w:w="2835" w:type="dxa"/>
            <w:tcBorders>
              <w:top w:val="nil"/>
              <w:left w:val="single" w:sz="8" w:space="0" w:color="auto"/>
              <w:bottom w:val="single" w:sz="8" w:space="0" w:color="auto"/>
              <w:right w:val="single" w:sz="4" w:space="0" w:color="auto"/>
            </w:tcBorders>
            <w:shd w:val="clear" w:color="auto" w:fill="auto"/>
            <w:noWrap/>
            <w:hideMark/>
          </w:tcPr>
          <w:p w14:paraId="2F0BA6D1" w14:textId="77777777" w:rsidR="00ED0443" w:rsidRPr="00117BF8" w:rsidRDefault="00ED0443" w:rsidP="009264E9">
            <w:pPr>
              <w:pStyle w:val="TablaC"/>
              <w:jc w:val="left"/>
              <w:rPr>
                <w:rFonts w:ascii="Arial" w:hAnsi="Arial" w:cs="Arial"/>
                <w:b/>
                <w:sz w:val="18"/>
                <w:szCs w:val="18"/>
                <w:lang w:val="es-ES_tradnl"/>
              </w:rPr>
            </w:pPr>
            <w:r w:rsidRPr="00117BF8">
              <w:rPr>
                <w:rFonts w:ascii="Arial" w:hAnsi="Arial" w:cs="Arial"/>
                <w:b/>
                <w:sz w:val="18"/>
                <w:szCs w:val="18"/>
                <w:lang w:val="es-ES_tradnl"/>
              </w:rPr>
              <w:t xml:space="preserve"> X. RESULTADO FINANCIERO (VI-VII)</w:t>
            </w:r>
          </w:p>
        </w:tc>
        <w:tc>
          <w:tcPr>
            <w:tcW w:w="1021" w:type="dxa"/>
            <w:tcBorders>
              <w:top w:val="nil"/>
              <w:left w:val="single" w:sz="4" w:space="0" w:color="auto"/>
              <w:bottom w:val="single" w:sz="8" w:space="0" w:color="auto"/>
              <w:right w:val="single" w:sz="8" w:space="0" w:color="auto"/>
            </w:tcBorders>
            <w:shd w:val="clear" w:color="auto" w:fill="auto"/>
            <w:noWrap/>
            <w:vAlign w:val="center"/>
            <w:hideMark/>
          </w:tcPr>
          <w:p w14:paraId="6D0B7AE3" w14:textId="77777777" w:rsidR="00ED0443" w:rsidRPr="00117BF8" w:rsidRDefault="00ED0443" w:rsidP="009264E9">
            <w:pPr>
              <w:pStyle w:val="TablaC"/>
              <w:rPr>
                <w:rFonts w:ascii="Arial" w:hAnsi="Arial" w:cs="Arial"/>
                <w:b/>
                <w:sz w:val="18"/>
              </w:rPr>
            </w:pPr>
            <w:r w:rsidRPr="00117BF8">
              <w:rPr>
                <w:rFonts w:ascii="Arial" w:hAnsi="Arial" w:cs="Arial"/>
                <w:b/>
                <w:sz w:val="18"/>
              </w:rPr>
              <w:t>-34,3%</w:t>
            </w:r>
          </w:p>
        </w:tc>
        <w:tc>
          <w:tcPr>
            <w:tcW w:w="1021" w:type="dxa"/>
            <w:tcBorders>
              <w:top w:val="nil"/>
              <w:left w:val="nil"/>
              <w:bottom w:val="single" w:sz="8" w:space="0" w:color="auto"/>
              <w:right w:val="single" w:sz="8" w:space="0" w:color="auto"/>
            </w:tcBorders>
            <w:shd w:val="clear" w:color="auto" w:fill="auto"/>
            <w:noWrap/>
            <w:vAlign w:val="center"/>
            <w:hideMark/>
          </w:tcPr>
          <w:p w14:paraId="6C7643EF" w14:textId="77777777" w:rsidR="00ED0443" w:rsidRPr="00117BF8" w:rsidRDefault="00ED0443" w:rsidP="009264E9">
            <w:pPr>
              <w:pStyle w:val="TablaC"/>
              <w:rPr>
                <w:rFonts w:ascii="Arial" w:hAnsi="Arial" w:cs="Arial"/>
                <w:b/>
                <w:sz w:val="18"/>
              </w:rPr>
            </w:pPr>
            <w:r w:rsidRPr="00117BF8">
              <w:rPr>
                <w:rFonts w:ascii="Arial" w:hAnsi="Arial" w:cs="Arial"/>
                <w:b/>
                <w:sz w:val="18"/>
              </w:rPr>
              <w:t>-1,0%</w:t>
            </w:r>
          </w:p>
        </w:tc>
        <w:tc>
          <w:tcPr>
            <w:tcW w:w="1021" w:type="dxa"/>
            <w:tcBorders>
              <w:top w:val="nil"/>
              <w:left w:val="nil"/>
              <w:bottom w:val="single" w:sz="8" w:space="0" w:color="auto"/>
              <w:right w:val="single" w:sz="8" w:space="0" w:color="auto"/>
            </w:tcBorders>
            <w:shd w:val="clear" w:color="auto" w:fill="auto"/>
            <w:noWrap/>
            <w:vAlign w:val="center"/>
            <w:hideMark/>
          </w:tcPr>
          <w:p w14:paraId="10191034" w14:textId="77777777" w:rsidR="00ED0443" w:rsidRPr="00117BF8" w:rsidRDefault="00ED0443" w:rsidP="009264E9">
            <w:pPr>
              <w:pStyle w:val="TablaC"/>
              <w:rPr>
                <w:rFonts w:ascii="Arial" w:hAnsi="Arial" w:cs="Arial"/>
                <w:b/>
                <w:sz w:val="18"/>
              </w:rPr>
            </w:pPr>
            <w:r w:rsidRPr="00117BF8">
              <w:rPr>
                <w:rFonts w:ascii="Arial" w:hAnsi="Arial" w:cs="Arial"/>
                <w:b/>
                <w:sz w:val="18"/>
              </w:rPr>
              <w:t>0,9%</w:t>
            </w:r>
          </w:p>
        </w:tc>
        <w:tc>
          <w:tcPr>
            <w:tcW w:w="1021" w:type="dxa"/>
            <w:tcBorders>
              <w:top w:val="nil"/>
              <w:left w:val="nil"/>
              <w:bottom w:val="single" w:sz="8" w:space="0" w:color="auto"/>
              <w:right w:val="single" w:sz="8" w:space="0" w:color="auto"/>
            </w:tcBorders>
            <w:shd w:val="clear" w:color="auto" w:fill="auto"/>
            <w:noWrap/>
            <w:vAlign w:val="center"/>
            <w:hideMark/>
          </w:tcPr>
          <w:p w14:paraId="2C8F4F6B" w14:textId="77777777" w:rsidR="00ED0443" w:rsidRPr="00117BF8" w:rsidRDefault="00ED0443" w:rsidP="009264E9">
            <w:pPr>
              <w:pStyle w:val="TablaC"/>
              <w:rPr>
                <w:rFonts w:ascii="Arial" w:hAnsi="Arial" w:cs="Arial"/>
                <w:b/>
                <w:sz w:val="18"/>
              </w:rPr>
            </w:pPr>
            <w:r w:rsidRPr="00117BF8">
              <w:rPr>
                <w:rFonts w:ascii="Arial" w:hAnsi="Arial" w:cs="Arial"/>
                <w:b/>
                <w:sz w:val="18"/>
              </w:rPr>
              <w:t>-11,4%</w:t>
            </w:r>
          </w:p>
        </w:tc>
        <w:tc>
          <w:tcPr>
            <w:tcW w:w="1021" w:type="dxa"/>
            <w:tcBorders>
              <w:top w:val="nil"/>
              <w:left w:val="nil"/>
              <w:bottom w:val="single" w:sz="8" w:space="0" w:color="auto"/>
              <w:right w:val="single" w:sz="8" w:space="0" w:color="auto"/>
            </w:tcBorders>
            <w:shd w:val="clear" w:color="auto" w:fill="auto"/>
            <w:noWrap/>
            <w:vAlign w:val="center"/>
            <w:hideMark/>
          </w:tcPr>
          <w:p w14:paraId="10E67C03" w14:textId="77777777" w:rsidR="00ED0443" w:rsidRPr="00117BF8" w:rsidRDefault="00ED0443" w:rsidP="009264E9">
            <w:pPr>
              <w:pStyle w:val="TablaC"/>
              <w:rPr>
                <w:rFonts w:ascii="Arial" w:hAnsi="Arial" w:cs="Arial"/>
                <w:b/>
                <w:sz w:val="18"/>
              </w:rPr>
            </w:pPr>
            <w:r w:rsidRPr="00117BF8">
              <w:rPr>
                <w:rFonts w:ascii="Arial" w:hAnsi="Arial" w:cs="Arial"/>
                <w:b/>
                <w:sz w:val="18"/>
              </w:rPr>
              <w:t>-6,6%</w:t>
            </w:r>
          </w:p>
        </w:tc>
        <w:tc>
          <w:tcPr>
            <w:tcW w:w="1021" w:type="dxa"/>
            <w:tcBorders>
              <w:top w:val="nil"/>
              <w:left w:val="nil"/>
              <w:bottom w:val="single" w:sz="8" w:space="0" w:color="auto"/>
              <w:right w:val="single" w:sz="8" w:space="0" w:color="auto"/>
            </w:tcBorders>
            <w:shd w:val="clear" w:color="auto" w:fill="auto"/>
            <w:noWrap/>
            <w:vAlign w:val="center"/>
            <w:hideMark/>
          </w:tcPr>
          <w:p w14:paraId="75304525" w14:textId="77777777" w:rsidR="00ED0443" w:rsidRPr="00117BF8" w:rsidRDefault="00ED0443" w:rsidP="009264E9">
            <w:pPr>
              <w:pStyle w:val="TablaC"/>
              <w:rPr>
                <w:rFonts w:ascii="Arial" w:hAnsi="Arial" w:cs="Arial"/>
                <w:b/>
                <w:sz w:val="18"/>
              </w:rPr>
            </w:pPr>
            <w:r w:rsidRPr="00117BF8">
              <w:rPr>
                <w:rFonts w:ascii="Arial" w:hAnsi="Arial" w:cs="Arial"/>
                <w:b/>
                <w:sz w:val="18"/>
              </w:rPr>
              <w:t>-14,1%</w:t>
            </w:r>
          </w:p>
        </w:tc>
        <w:tc>
          <w:tcPr>
            <w:tcW w:w="1021" w:type="dxa"/>
            <w:tcBorders>
              <w:top w:val="nil"/>
              <w:left w:val="nil"/>
              <w:bottom w:val="single" w:sz="8" w:space="0" w:color="auto"/>
              <w:right w:val="single" w:sz="8" w:space="0" w:color="auto"/>
            </w:tcBorders>
            <w:shd w:val="clear" w:color="auto" w:fill="auto"/>
            <w:noWrap/>
            <w:vAlign w:val="center"/>
            <w:hideMark/>
          </w:tcPr>
          <w:p w14:paraId="57D99646" w14:textId="77777777" w:rsidR="00ED0443" w:rsidRPr="00117BF8" w:rsidRDefault="00ED0443" w:rsidP="009264E9">
            <w:pPr>
              <w:pStyle w:val="TablaC"/>
              <w:rPr>
                <w:rFonts w:ascii="Arial" w:hAnsi="Arial" w:cs="Arial"/>
                <w:b/>
                <w:sz w:val="18"/>
              </w:rPr>
            </w:pPr>
            <w:r w:rsidRPr="00117BF8">
              <w:rPr>
                <w:rFonts w:ascii="Arial" w:hAnsi="Arial" w:cs="Arial"/>
                <w:b/>
                <w:sz w:val="18"/>
              </w:rPr>
              <w:t>-7,5%</w:t>
            </w:r>
          </w:p>
        </w:tc>
        <w:tc>
          <w:tcPr>
            <w:tcW w:w="1021" w:type="dxa"/>
            <w:tcBorders>
              <w:top w:val="nil"/>
              <w:left w:val="nil"/>
              <w:bottom w:val="single" w:sz="8" w:space="0" w:color="auto"/>
              <w:right w:val="single" w:sz="8" w:space="0" w:color="auto"/>
            </w:tcBorders>
            <w:shd w:val="clear" w:color="auto" w:fill="auto"/>
            <w:noWrap/>
            <w:vAlign w:val="center"/>
            <w:hideMark/>
          </w:tcPr>
          <w:p w14:paraId="5166E2C1" w14:textId="77777777" w:rsidR="00ED0443" w:rsidRPr="00117BF8" w:rsidRDefault="00ED0443" w:rsidP="009264E9">
            <w:pPr>
              <w:pStyle w:val="TablaC"/>
              <w:rPr>
                <w:rFonts w:ascii="Arial" w:hAnsi="Arial" w:cs="Arial"/>
                <w:b/>
                <w:sz w:val="18"/>
              </w:rPr>
            </w:pPr>
            <w:r w:rsidRPr="00117BF8">
              <w:rPr>
                <w:rFonts w:ascii="Arial" w:hAnsi="Arial" w:cs="Arial"/>
                <w:b/>
                <w:sz w:val="18"/>
              </w:rPr>
              <w:t>1,3%</w:t>
            </w:r>
          </w:p>
        </w:tc>
        <w:tc>
          <w:tcPr>
            <w:tcW w:w="1021" w:type="dxa"/>
            <w:tcBorders>
              <w:top w:val="nil"/>
              <w:left w:val="nil"/>
              <w:bottom w:val="single" w:sz="8" w:space="0" w:color="auto"/>
              <w:right w:val="single" w:sz="8" w:space="0" w:color="auto"/>
            </w:tcBorders>
            <w:shd w:val="clear" w:color="auto" w:fill="auto"/>
            <w:noWrap/>
            <w:vAlign w:val="center"/>
            <w:hideMark/>
          </w:tcPr>
          <w:p w14:paraId="7315F275" w14:textId="77777777" w:rsidR="00ED0443" w:rsidRPr="00117BF8" w:rsidRDefault="00ED0443" w:rsidP="009264E9">
            <w:pPr>
              <w:pStyle w:val="TablaC"/>
              <w:rPr>
                <w:rFonts w:ascii="Arial" w:hAnsi="Arial" w:cs="Arial"/>
                <w:b/>
                <w:sz w:val="18"/>
              </w:rPr>
            </w:pPr>
            <w:r w:rsidRPr="00117BF8">
              <w:rPr>
                <w:rFonts w:ascii="Arial" w:hAnsi="Arial" w:cs="Arial"/>
                <w:b/>
                <w:sz w:val="18"/>
              </w:rPr>
              <w:t>-6,1%</w:t>
            </w:r>
          </w:p>
        </w:tc>
        <w:tc>
          <w:tcPr>
            <w:tcW w:w="1021" w:type="dxa"/>
            <w:tcBorders>
              <w:top w:val="nil"/>
              <w:left w:val="nil"/>
              <w:bottom w:val="single" w:sz="8" w:space="0" w:color="auto"/>
              <w:right w:val="single" w:sz="8" w:space="0" w:color="auto"/>
            </w:tcBorders>
            <w:shd w:val="clear" w:color="auto" w:fill="auto"/>
            <w:noWrap/>
            <w:vAlign w:val="center"/>
            <w:hideMark/>
          </w:tcPr>
          <w:p w14:paraId="2C03655F" w14:textId="77777777" w:rsidR="00ED0443" w:rsidRPr="00117BF8" w:rsidRDefault="00ED0443" w:rsidP="009264E9">
            <w:pPr>
              <w:pStyle w:val="TablaC"/>
              <w:rPr>
                <w:rFonts w:ascii="Arial" w:hAnsi="Arial" w:cs="Arial"/>
                <w:b/>
                <w:sz w:val="18"/>
              </w:rPr>
            </w:pPr>
            <w:r w:rsidRPr="00117BF8">
              <w:rPr>
                <w:rFonts w:ascii="Arial" w:hAnsi="Arial" w:cs="Arial"/>
                <w:b/>
                <w:sz w:val="18"/>
              </w:rPr>
              <w:t>-5,9%</w:t>
            </w:r>
          </w:p>
        </w:tc>
        <w:tc>
          <w:tcPr>
            <w:tcW w:w="1021" w:type="dxa"/>
            <w:tcBorders>
              <w:top w:val="nil"/>
              <w:left w:val="nil"/>
              <w:bottom w:val="single" w:sz="8" w:space="0" w:color="auto"/>
              <w:right w:val="single" w:sz="8" w:space="0" w:color="auto"/>
            </w:tcBorders>
            <w:shd w:val="clear" w:color="auto" w:fill="auto"/>
            <w:noWrap/>
            <w:vAlign w:val="center"/>
            <w:hideMark/>
          </w:tcPr>
          <w:p w14:paraId="1954B286" w14:textId="77777777" w:rsidR="00ED0443" w:rsidRPr="00117BF8" w:rsidRDefault="00ED0443" w:rsidP="009264E9">
            <w:pPr>
              <w:pStyle w:val="TablaC"/>
              <w:rPr>
                <w:rFonts w:ascii="Arial" w:hAnsi="Arial" w:cs="Arial"/>
                <w:b/>
                <w:sz w:val="18"/>
              </w:rPr>
            </w:pPr>
            <w:r w:rsidRPr="00117BF8">
              <w:rPr>
                <w:rFonts w:ascii="Arial" w:hAnsi="Arial" w:cs="Arial"/>
                <w:b/>
                <w:sz w:val="18"/>
              </w:rPr>
              <w:t>-5,3%</w:t>
            </w:r>
          </w:p>
        </w:tc>
        <w:tc>
          <w:tcPr>
            <w:tcW w:w="1077" w:type="dxa"/>
            <w:tcBorders>
              <w:top w:val="nil"/>
              <w:left w:val="nil"/>
              <w:bottom w:val="single" w:sz="8" w:space="0" w:color="auto"/>
              <w:right w:val="single" w:sz="8" w:space="0" w:color="auto"/>
            </w:tcBorders>
            <w:shd w:val="clear" w:color="auto" w:fill="auto"/>
            <w:noWrap/>
            <w:vAlign w:val="center"/>
            <w:hideMark/>
          </w:tcPr>
          <w:p w14:paraId="61517D51" w14:textId="77777777" w:rsidR="00ED0443" w:rsidRPr="00117BF8" w:rsidRDefault="00ED0443" w:rsidP="009264E9">
            <w:pPr>
              <w:pStyle w:val="TablaC"/>
              <w:rPr>
                <w:rFonts w:ascii="Arial" w:hAnsi="Arial" w:cs="Arial"/>
                <w:b/>
                <w:sz w:val="18"/>
              </w:rPr>
            </w:pPr>
            <w:r w:rsidRPr="00117BF8">
              <w:rPr>
                <w:rFonts w:ascii="Arial" w:hAnsi="Arial" w:cs="Arial"/>
                <w:b/>
                <w:sz w:val="18"/>
              </w:rPr>
              <w:t>-1,5%</w:t>
            </w:r>
          </w:p>
        </w:tc>
      </w:tr>
    </w:tbl>
    <w:p w14:paraId="208CAB94" w14:textId="77777777" w:rsidR="006E3D99" w:rsidRPr="00117BF8" w:rsidRDefault="006E3D99" w:rsidP="00647E88">
      <w:pPr>
        <w:pStyle w:val="hsa"/>
        <w:rPr>
          <w:rFonts w:ascii="Arial" w:eastAsia="Calibri" w:hAnsi="Arial" w:cs="Arial"/>
        </w:rPr>
        <w:sectPr w:rsidR="006E3D99" w:rsidRPr="00117BF8" w:rsidSect="006E3D99">
          <w:headerReference w:type="default" r:id="rId92"/>
          <w:footerReference w:type="default" r:id="rId93"/>
          <w:pgSz w:w="16839" w:h="11907" w:orient="landscape" w:code="9"/>
          <w:pgMar w:top="1134" w:right="993" w:bottom="900" w:left="720" w:header="708" w:footer="425" w:gutter="0"/>
          <w:cols w:space="720"/>
          <w:docGrid w:linePitch="326"/>
        </w:sectPr>
      </w:pPr>
    </w:p>
    <w:p w14:paraId="25B5EFB6" w14:textId="77777777" w:rsidR="00142925" w:rsidRPr="00117BF8" w:rsidRDefault="00142925" w:rsidP="00117BF8">
      <w:pPr>
        <w:pStyle w:val="Heading1"/>
        <w:spacing w:before="0" w:after="180"/>
        <w:rPr>
          <w:rFonts w:ascii="Arial" w:eastAsia="Calibri" w:hAnsi="Arial" w:cs="Arial"/>
          <w:sz w:val="22"/>
          <w:szCs w:val="22"/>
        </w:rPr>
      </w:pPr>
      <w:bookmarkStart w:id="173" w:name="_Toc494040360"/>
      <w:r w:rsidRPr="00117BF8">
        <w:rPr>
          <w:rFonts w:ascii="Arial" w:eastAsia="Calibri" w:hAnsi="Arial" w:cs="Arial"/>
          <w:sz w:val="22"/>
          <w:szCs w:val="22"/>
        </w:rPr>
        <w:t xml:space="preserve">Anexo VIII –  </w:t>
      </w:r>
      <w:r w:rsidR="00632D53" w:rsidRPr="00117BF8">
        <w:rPr>
          <w:rFonts w:ascii="Arial" w:eastAsia="Calibri" w:hAnsi="Arial" w:cs="Arial"/>
          <w:sz w:val="22"/>
          <w:szCs w:val="22"/>
        </w:rPr>
        <w:t>Ciclo de Proyectos de Inversión con Financiamiento Internacional - PBA</w:t>
      </w:r>
      <w:bookmarkEnd w:id="173"/>
    </w:p>
    <w:p w14:paraId="4FB9CDF1" w14:textId="77777777" w:rsidR="00D50D07" w:rsidRPr="00117BF8" w:rsidRDefault="00117BF8" w:rsidP="00664310">
      <w:pPr>
        <w:pStyle w:val="Hfuente"/>
        <w:rPr>
          <w:rFonts w:ascii="Arial" w:eastAsia="Calibri" w:hAnsi="Arial" w:cs="Arial"/>
        </w:rPr>
      </w:pPr>
      <w:r w:rsidRPr="00117BF8">
        <w:rPr>
          <w:rFonts w:ascii="Arial" w:eastAsia="Calibri" w:hAnsi="Arial" w:cs="Arial"/>
        </w:rPr>
        <w:pict w14:anchorId="2BBC64F7">
          <v:shape id="_x0000_i1068" type="#_x0000_t75" style="width:473.3pt;height:626.7pt">
            <v:imagedata r:id="rId94" o:title=""/>
          </v:shape>
        </w:pict>
      </w:r>
    </w:p>
    <w:p w14:paraId="0EA4A396" w14:textId="77777777" w:rsidR="00C76069" w:rsidRPr="00117BF8" w:rsidRDefault="00117BF8" w:rsidP="00664310">
      <w:pPr>
        <w:pStyle w:val="Hfuente"/>
        <w:rPr>
          <w:rFonts w:ascii="Arial" w:eastAsia="Calibri" w:hAnsi="Arial" w:cs="Arial"/>
        </w:rPr>
      </w:pPr>
      <w:r w:rsidRPr="00117BF8">
        <w:rPr>
          <w:rFonts w:ascii="Arial" w:eastAsia="Calibri" w:hAnsi="Arial" w:cs="Arial"/>
        </w:rPr>
        <w:pict w14:anchorId="2BBC64F8">
          <v:shape id="_x0000_i1069" type="#_x0000_t75" style="width:459.55pt;height:648.65pt">
            <v:imagedata r:id="rId95" o:title=""/>
          </v:shape>
        </w:pict>
      </w:r>
    </w:p>
    <w:p w14:paraId="2326871E" w14:textId="77777777" w:rsidR="00C76069" w:rsidRPr="00117BF8" w:rsidRDefault="00C76069" w:rsidP="00664310">
      <w:pPr>
        <w:pStyle w:val="Hfuente"/>
        <w:rPr>
          <w:rFonts w:ascii="Arial" w:eastAsia="Calibri" w:hAnsi="Arial" w:cs="Arial"/>
        </w:rPr>
      </w:pPr>
    </w:p>
    <w:p w14:paraId="181A6145" w14:textId="77777777" w:rsidR="00C76069" w:rsidRPr="00117BF8" w:rsidRDefault="00117BF8" w:rsidP="00664310">
      <w:pPr>
        <w:pStyle w:val="Hfuente"/>
        <w:rPr>
          <w:rFonts w:ascii="Arial" w:eastAsia="Calibri" w:hAnsi="Arial" w:cs="Arial"/>
        </w:rPr>
      </w:pPr>
      <w:r w:rsidRPr="00117BF8">
        <w:rPr>
          <w:rFonts w:ascii="Arial" w:eastAsia="Calibri" w:hAnsi="Arial" w:cs="Arial"/>
        </w:rPr>
        <w:pict w14:anchorId="2BBC64F9">
          <v:shape id="_x0000_i1070" type="#_x0000_t75" style="width:462.7pt;height:627.95pt">
            <v:imagedata r:id="rId96" o:title=""/>
          </v:shape>
        </w:pict>
      </w:r>
    </w:p>
    <w:p w14:paraId="1F6503D3" w14:textId="77777777" w:rsidR="00C76069" w:rsidRPr="00117BF8" w:rsidRDefault="00C76069" w:rsidP="00664310">
      <w:pPr>
        <w:pStyle w:val="Hfuente"/>
        <w:rPr>
          <w:rFonts w:ascii="Arial" w:eastAsia="Calibri" w:hAnsi="Arial" w:cs="Arial"/>
        </w:rPr>
      </w:pPr>
    </w:p>
    <w:p w14:paraId="01507712" w14:textId="77777777" w:rsidR="00C76069" w:rsidRPr="00117BF8" w:rsidRDefault="00117BF8" w:rsidP="00664310">
      <w:pPr>
        <w:pStyle w:val="Hfuente"/>
        <w:rPr>
          <w:rFonts w:ascii="Arial" w:eastAsia="Calibri" w:hAnsi="Arial" w:cs="Arial"/>
        </w:rPr>
      </w:pPr>
      <w:r w:rsidRPr="00117BF8">
        <w:rPr>
          <w:rFonts w:ascii="Arial" w:eastAsia="Calibri" w:hAnsi="Arial" w:cs="Arial"/>
        </w:rPr>
        <w:pict w14:anchorId="2BBC64FA">
          <v:shape id="_x0000_i1071" type="#_x0000_t75" style="width:456.4pt;height:626.7pt">
            <v:imagedata r:id="rId97" o:title=""/>
          </v:shape>
        </w:pict>
      </w:r>
    </w:p>
    <w:p w14:paraId="2C7C2076" w14:textId="77777777" w:rsidR="00C76069" w:rsidRPr="00117BF8" w:rsidRDefault="00C76069" w:rsidP="00664310">
      <w:pPr>
        <w:pStyle w:val="Hfuente"/>
        <w:rPr>
          <w:rFonts w:ascii="Arial" w:eastAsia="Calibri" w:hAnsi="Arial" w:cs="Arial"/>
        </w:rPr>
      </w:pPr>
    </w:p>
    <w:p w14:paraId="30F60F4F" w14:textId="77777777" w:rsidR="00C76069" w:rsidRPr="00117BF8" w:rsidRDefault="00117BF8" w:rsidP="00664310">
      <w:pPr>
        <w:pStyle w:val="Hfuente"/>
        <w:rPr>
          <w:rFonts w:ascii="Arial" w:eastAsia="Calibri" w:hAnsi="Arial" w:cs="Arial"/>
        </w:rPr>
      </w:pPr>
      <w:r w:rsidRPr="00117BF8">
        <w:rPr>
          <w:rFonts w:ascii="Arial" w:eastAsia="Calibri" w:hAnsi="Arial" w:cs="Arial"/>
        </w:rPr>
        <w:pict w14:anchorId="2BBC64FB">
          <v:shape id="_x0000_i1072" type="#_x0000_t75" style="width:452.65pt;height:650.5pt">
            <v:imagedata r:id="rId98" o:title=""/>
          </v:shape>
        </w:pict>
      </w:r>
    </w:p>
    <w:p w14:paraId="45CF2B61" w14:textId="10572DF2" w:rsidR="00C76069" w:rsidRPr="00117BF8" w:rsidRDefault="00C76069" w:rsidP="00664310">
      <w:pPr>
        <w:pStyle w:val="Hfuente"/>
        <w:rPr>
          <w:rFonts w:ascii="Arial" w:eastAsia="Calibri" w:hAnsi="Arial" w:cs="Arial"/>
        </w:rPr>
      </w:pPr>
    </w:p>
    <w:sectPr w:rsidR="00C76069" w:rsidRPr="00117BF8" w:rsidSect="00FE6AAF">
      <w:headerReference w:type="default" r:id="rId99"/>
      <w:footerReference w:type="default" r:id="rId100"/>
      <w:pgSz w:w="11907" w:h="16839" w:code="9"/>
      <w:pgMar w:top="993" w:right="900" w:bottom="720" w:left="1134" w:header="708" w:footer="425"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3" w:author="Sasaki, Keisuke" w:date="2017-09-22T14:20:00Z" w:initials="SK">
    <w:p w14:paraId="79675B0E" w14:textId="77777777" w:rsidR="00117BF8" w:rsidRDefault="00117BF8">
      <w:pPr>
        <w:pStyle w:val="CommentText"/>
      </w:pPr>
      <w:r>
        <w:rPr>
          <w:rStyle w:val="CommentReference"/>
        </w:rPr>
        <w:annotationRef/>
      </w:r>
      <w:r>
        <w:rPr>
          <w:noProof/>
        </w:rPr>
        <w:t>incluir 2016</w:t>
      </w:r>
    </w:p>
  </w:comment>
  <w:comment w:id="135" w:author="Sasaki, Keisuke" w:date="2017-09-22T14:20:00Z" w:initials="SK">
    <w:p w14:paraId="0D1D1303" w14:textId="77777777" w:rsidR="00117BF8" w:rsidRDefault="00117BF8">
      <w:pPr>
        <w:pStyle w:val="CommentText"/>
      </w:pPr>
      <w:r>
        <w:rPr>
          <w:rStyle w:val="CommentReference"/>
        </w:rPr>
        <w:annotationRef/>
      </w:r>
      <w:r>
        <w:rPr>
          <w:noProof/>
        </w:rPr>
        <w:t>incluir 2016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675B0E" w15:done="0"/>
  <w15:commentEx w15:paraId="0D1D130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675B0E" w16cid:durableId="1D727110"/>
  <w16cid:commentId w16cid:paraId="0D1D1303" w16cid:durableId="1D7271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AD4D2" w14:textId="77777777" w:rsidR="00117BF8" w:rsidRDefault="00117BF8">
      <w:r>
        <w:separator/>
      </w:r>
    </w:p>
  </w:endnote>
  <w:endnote w:type="continuationSeparator" w:id="0">
    <w:p w14:paraId="220B3ED1" w14:textId="77777777" w:rsidR="00117BF8" w:rsidRDefault="00117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4E6455" w14:paraId="33D4A39A" w14:textId="77777777" w:rsidTr="002C49F2">
      <w:tc>
        <w:tcPr>
          <w:tcW w:w="5070" w:type="dxa"/>
          <w:shd w:val="clear" w:color="auto" w:fill="auto"/>
        </w:tcPr>
        <w:p w14:paraId="438CC9C5" w14:textId="6740C310" w:rsidR="00117BF8" w:rsidRPr="00883D17" w:rsidRDefault="00117BF8" w:rsidP="00883D17">
          <w:pPr>
            <w:pStyle w:val="Footer"/>
            <w:spacing w:after="0"/>
            <w:rPr>
              <w:sz w:val="16"/>
              <w:szCs w:val="16"/>
            </w:rPr>
          </w:pPr>
        </w:p>
      </w:tc>
      <w:tc>
        <w:tcPr>
          <w:tcW w:w="4323" w:type="dxa"/>
          <w:shd w:val="clear" w:color="auto" w:fill="auto"/>
        </w:tcPr>
        <w:p w14:paraId="0B255FB0" w14:textId="51BDF2B0"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sidR="00BF5B8E">
            <w:rPr>
              <w:rFonts w:ascii="Arial" w:hAnsi="Arial" w:cs="Arial"/>
              <w:noProof/>
              <w:sz w:val="16"/>
              <w:szCs w:val="16"/>
            </w:rPr>
            <w:t>5</w:t>
          </w:r>
          <w:r w:rsidRPr="00117BF8">
            <w:rPr>
              <w:rFonts w:ascii="Arial" w:hAnsi="Arial" w:cs="Arial"/>
              <w:sz w:val="16"/>
              <w:szCs w:val="16"/>
            </w:rPr>
            <w:fldChar w:fldCharType="end"/>
          </w:r>
        </w:p>
      </w:tc>
    </w:tr>
  </w:tbl>
  <w:p w14:paraId="7F951B6A" w14:textId="77777777" w:rsidR="00117BF8" w:rsidRPr="00B80E03" w:rsidRDefault="00117BF8" w:rsidP="00B80E03">
    <w:pPr>
      <w:pStyle w:val="Footer"/>
      <w:spacing w:after="0"/>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09" w:type="dxa"/>
      <w:tblLook w:val="04A0" w:firstRow="1" w:lastRow="0" w:firstColumn="1" w:lastColumn="0" w:noHBand="0" w:noVBand="1"/>
    </w:tblPr>
    <w:tblGrid>
      <w:gridCol w:w="5070"/>
      <w:gridCol w:w="9639"/>
    </w:tblGrid>
    <w:tr w:rsidR="00117BF8" w:rsidRPr="005A28C7" w14:paraId="5D6EB829" w14:textId="77777777" w:rsidTr="00B458C1">
      <w:tc>
        <w:tcPr>
          <w:tcW w:w="5070" w:type="dxa"/>
          <w:shd w:val="clear" w:color="auto" w:fill="auto"/>
        </w:tcPr>
        <w:p w14:paraId="2E67872A" w14:textId="66E9FA50" w:rsidR="00117BF8" w:rsidRPr="00883D17" w:rsidRDefault="00117BF8" w:rsidP="00883D17">
          <w:pPr>
            <w:pStyle w:val="Footer"/>
            <w:spacing w:after="0"/>
            <w:rPr>
              <w:sz w:val="16"/>
              <w:szCs w:val="16"/>
            </w:rPr>
          </w:pPr>
        </w:p>
      </w:tc>
      <w:tc>
        <w:tcPr>
          <w:tcW w:w="9639" w:type="dxa"/>
          <w:shd w:val="clear" w:color="auto" w:fill="auto"/>
        </w:tcPr>
        <w:p w14:paraId="54B92289" w14:textId="654FBC36"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90</w:t>
          </w:r>
          <w:r w:rsidRPr="00117BF8">
            <w:rPr>
              <w:rFonts w:ascii="Arial" w:hAnsi="Arial" w:cs="Arial"/>
              <w:sz w:val="16"/>
              <w:szCs w:val="16"/>
            </w:rPr>
            <w:fldChar w:fldCharType="end"/>
          </w:r>
        </w:p>
      </w:tc>
    </w:tr>
  </w:tbl>
  <w:p w14:paraId="7B9BE74A" w14:textId="77777777" w:rsidR="00117BF8" w:rsidRPr="00B80E03" w:rsidRDefault="00117BF8" w:rsidP="00B80E03">
    <w:pPr>
      <w:pStyle w:val="Footer"/>
      <w:spacing w:after="0"/>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593C9A" w14:paraId="40E10928" w14:textId="77777777" w:rsidTr="002C49F2">
      <w:tc>
        <w:tcPr>
          <w:tcW w:w="5070" w:type="dxa"/>
          <w:shd w:val="clear" w:color="auto" w:fill="auto"/>
        </w:tcPr>
        <w:p w14:paraId="64BA73D9" w14:textId="580C1891" w:rsidR="00117BF8" w:rsidRPr="00117BF8" w:rsidRDefault="00117BF8" w:rsidP="00883D17">
          <w:pPr>
            <w:pStyle w:val="Footer"/>
            <w:spacing w:after="0"/>
            <w:rPr>
              <w:rFonts w:ascii="Arial" w:hAnsi="Arial" w:cs="Arial"/>
              <w:sz w:val="16"/>
              <w:szCs w:val="16"/>
            </w:rPr>
          </w:pPr>
        </w:p>
      </w:tc>
      <w:tc>
        <w:tcPr>
          <w:tcW w:w="4323" w:type="dxa"/>
          <w:shd w:val="clear" w:color="auto" w:fill="auto"/>
        </w:tcPr>
        <w:p w14:paraId="5FFB25AB" w14:textId="03D0772C"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92</w:t>
          </w:r>
          <w:r w:rsidRPr="00117BF8">
            <w:rPr>
              <w:rFonts w:ascii="Arial" w:hAnsi="Arial" w:cs="Arial"/>
              <w:sz w:val="16"/>
              <w:szCs w:val="16"/>
            </w:rPr>
            <w:fldChar w:fldCharType="end"/>
          </w:r>
        </w:p>
      </w:tc>
    </w:tr>
  </w:tbl>
  <w:p w14:paraId="14291CEC" w14:textId="77777777" w:rsidR="00117BF8" w:rsidRPr="00117BF8" w:rsidRDefault="00117BF8" w:rsidP="00B80E03">
    <w:pPr>
      <w:pStyle w:val="Footer"/>
      <w:spacing w:after="0"/>
      <w:rPr>
        <w:rFonts w:ascii="Arial" w:hAnsi="Arial" w:cs="Arial"/>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42" w:type="dxa"/>
      <w:tblLook w:val="04A0" w:firstRow="1" w:lastRow="0" w:firstColumn="1" w:lastColumn="0" w:noHBand="0" w:noVBand="1"/>
    </w:tblPr>
    <w:tblGrid>
      <w:gridCol w:w="5070"/>
      <w:gridCol w:w="9072"/>
    </w:tblGrid>
    <w:tr w:rsidR="00117BF8" w:rsidRPr="00883D17" w14:paraId="3EFE48E1" w14:textId="77777777" w:rsidTr="00B458C1">
      <w:tc>
        <w:tcPr>
          <w:tcW w:w="5070" w:type="dxa"/>
          <w:shd w:val="clear" w:color="auto" w:fill="auto"/>
        </w:tcPr>
        <w:p w14:paraId="0BFA8D95" w14:textId="73869D70" w:rsidR="00117BF8" w:rsidRPr="00883D17" w:rsidRDefault="00117BF8" w:rsidP="00883D17">
          <w:pPr>
            <w:pStyle w:val="Footer"/>
            <w:spacing w:after="0"/>
            <w:rPr>
              <w:sz w:val="16"/>
              <w:szCs w:val="16"/>
            </w:rPr>
          </w:pPr>
        </w:p>
      </w:tc>
      <w:tc>
        <w:tcPr>
          <w:tcW w:w="9072" w:type="dxa"/>
          <w:shd w:val="clear" w:color="auto" w:fill="auto"/>
        </w:tcPr>
        <w:p w14:paraId="26164268" w14:textId="1B718C44"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97</w:t>
          </w:r>
          <w:r w:rsidRPr="00117BF8">
            <w:rPr>
              <w:rFonts w:ascii="Arial" w:hAnsi="Arial" w:cs="Arial"/>
              <w:sz w:val="16"/>
              <w:szCs w:val="16"/>
            </w:rPr>
            <w:fldChar w:fldCharType="end"/>
          </w:r>
        </w:p>
      </w:tc>
    </w:tr>
  </w:tbl>
  <w:p w14:paraId="3C3EA2F3" w14:textId="77777777" w:rsidR="00117BF8" w:rsidRPr="00B80E03" w:rsidRDefault="00117BF8" w:rsidP="00B80E03">
    <w:pPr>
      <w:pStyle w:val="Footer"/>
      <w:spacing w:after="0"/>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883D17" w14:paraId="64053759" w14:textId="77777777" w:rsidTr="005B00B2">
      <w:tc>
        <w:tcPr>
          <w:tcW w:w="5070" w:type="dxa"/>
          <w:shd w:val="clear" w:color="auto" w:fill="auto"/>
        </w:tcPr>
        <w:p w14:paraId="5C0D7250" w14:textId="5DDA1605" w:rsidR="00117BF8" w:rsidRPr="00883D17" w:rsidRDefault="00117BF8" w:rsidP="005B00B2">
          <w:pPr>
            <w:pStyle w:val="Footer"/>
            <w:spacing w:after="0"/>
            <w:rPr>
              <w:sz w:val="16"/>
              <w:szCs w:val="16"/>
            </w:rPr>
          </w:pPr>
        </w:p>
      </w:tc>
      <w:tc>
        <w:tcPr>
          <w:tcW w:w="4323" w:type="dxa"/>
          <w:shd w:val="clear" w:color="auto" w:fill="auto"/>
        </w:tcPr>
        <w:p w14:paraId="0AE73C69" w14:textId="0EB6ACD8" w:rsidR="00117BF8" w:rsidRPr="00117BF8" w:rsidRDefault="00117BF8" w:rsidP="005B00B2">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100</w:t>
          </w:r>
          <w:r w:rsidRPr="00117BF8">
            <w:rPr>
              <w:rFonts w:ascii="Arial" w:hAnsi="Arial" w:cs="Arial"/>
              <w:sz w:val="16"/>
              <w:szCs w:val="16"/>
            </w:rPr>
            <w:fldChar w:fldCharType="end"/>
          </w:r>
        </w:p>
      </w:tc>
    </w:tr>
  </w:tbl>
  <w:p w14:paraId="37293BCE" w14:textId="77777777" w:rsidR="00117BF8" w:rsidRPr="00B80E03" w:rsidRDefault="00117BF8" w:rsidP="00B80E03">
    <w:pPr>
      <w:pStyle w:val="Footer"/>
      <w:spacing w:after="0"/>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25" w:type="dxa"/>
      <w:tblLook w:val="04A0" w:firstRow="1" w:lastRow="0" w:firstColumn="1" w:lastColumn="0" w:noHBand="0" w:noVBand="1"/>
    </w:tblPr>
    <w:tblGrid>
      <w:gridCol w:w="5070"/>
      <w:gridCol w:w="9355"/>
    </w:tblGrid>
    <w:tr w:rsidR="00117BF8" w:rsidRPr="00883D17" w14:paraId="1EF71F1C" w14:textId="77777777" w:rsidTr="00135C07">
      <w:tc>
        <w:tcPr>
          <w:tcW w:w="5070" w:type="dxa"/>
          <w:shd w:val="clear" w:color="auto" w:fill="auto"/>
        </w:tcPr>
        <w:p w14:paraId="36144127" w14:textId="009552A3" w:rsidR="00117BF8" w:rsidRPr="00883D17" w:rsidRDefault="00117BF8" w:rsidP="00444838">
          <w:pPr>
            <w:pStyle w:val="Footer"/>
            <w:spacing w:after="0"/>
            <w:rPr>
              <w:sz w:val="16"/>
              <w:szCs w:val="16"/>
            </w:rPr>
          </w:pPr>
        </w:p>
      </w:tc>
      <w:tc>
        <w:tcPr>
          <w:tcW w:w="9355" w:type="dxa"/>
          <w:shd w:val="clear" w:color="auto" w:fill="auto"/>
        </w:tcPr>
        <w:p w14:paraId="42144711" w14:textId="600AC25E" w:rsidR="00117BF8" w:rsidRPr="00117BF8" w:rsidRDefault="00117BF8" w:rsidP="00444838">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102</w:t>
          </w:r>
          <w:r w:rsidRPr="00117BF8">
            <w:rPr>
              <w:rFonts w:ascii="Arial" w:hAnsi="Arial" w:cs="Arial"/>
              <w:sz w:val="16"/>
              <w:szCs w:val="16"/>
            </w:rPr>
            <w:fldChar w:fldCharType="end"/>
          </w:r>
        </w:p>
      </w:tc>
    </w:tr>
  </w:tbl>
  <w:p w14:paraId="0971370A" w14:textId="77777777" w:rsidR="00117BF8" w:rsidRPr="00B80E03" w:rsidRDefault="00117BF8" w:rsidP="00B80E03">
    <w:pPr>
      <w:pStyle w:val="Footer"/>
      <w:spacing w:after="0"/>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883D17" w14:paraId="7F6B3B87" w14:textId="77777777" w:rsidTr="005B00B2">
      <w:tc>
        <w:tcPr>
          <w:tcW w:w="5070" w:type="dxa"/>
          <w:shd w:val="clear" w:color="auto" w:fill="auto"/>
        </w:tcPr>
        <w:p w14:paraId="520EF8E5" w14:textId="2992D89C" w:rsidR="00117BF8" w:rsidRPr="00883D17" w:rsidRDefault="00117BF8" w:rsidP="005B00B2">
          <w:pPr>
            <w:pStyle w:val="Footer"/>
            <w:spacing w:after="0"/>
            <w:rPr>
              <w:sz w:val="16"/>
              <w:szCs w:val="16"/>
            </w:rPr>
          </w:pPr>
        </w:p>
      </w:tc>
      <w:tc>
        <w:tcPr>
          <w:tcW w:w="4323" w:type="dxa"/>
          <w:shd w:val="clear" w:color="auto" w:fill="auto"/>
        </w:tcPr>
        <w:p w14:paraId="236F49B4" w14:textId="13996E8D" w:rsidR="00117BF8" w:rsidRPr="00117BF8" w:rsidRDefault="00117BF8" w:rsidP="005B00B2">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105</w:t>
          </w:r>
          <w:r w:rsidRPr="00117BF8">
            <w:rPr>
              <w:rFonts w:ascii="Arial" w:hAnsi="Arial" w:cs="Arial"/>
              <w:sz w:val="16"/>
              <w:szCs w:val="16"/>
            </w:rPr>
            <w:fldChar w:fldCharType="end"/>
          </w:r>
        </w:p>
      </w:tc>
    </w:tr>
  </w:tbl>
  <w:p w14:paraId="4FD7B2A3" w14:textId="77777777" w:rsidR="00117BF8" w:rsidRPr="00B80E03" w:rsidRDefault="00117BF8" w:rsidP="00B80E03">
    <w:pPr>
      <w:pStyle w:val="Footer"/>
      <w:spacing w:after="0"/>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25" w:type="dxa"/>
      <w:tblLook w:val="04A0" w:firstRow="1" w:lastRow="0" w:firstColumn="1" w:lastColumn="0" w:noHBand="0" w:noVBand="1"/>
    </w:tblPr>
    <w:tblGrid>
      <w:gridCol w:w="5070"/>
      <w:gridCol w:w="4323"/>
      <w:gridCol w:w="5032"/>
    </w:tblGrid>
    <w:tr w:rsidR="00117BF8" w:rsidRPr="00720160" w14:paraId="670D1A12" w14:textId="77777777" w:rsidTr="004759F4">
      <w:tc>
        <w:tcPr>
          <w:tcW w:w="5070" w:type="dxa"/>
          <w:shd w:val="clear" w:color="auto" w:fill="auto"/>
        </w:tcPr>
        <w:p w14:paraId="7B3ECED2" w14:textId="4726B63B" w:rsidR="00117BF8" w:rsidRPr="00883D17" w:rsidRDefault="00117BF8" w:rsidP="00444838">
          <w:pPr>
            <w:pStyle w:val="Footer"/>
            <w:spacing w:after="0"/>
            <w:rPr>
              <w:sz w:val="16"/>
              <w:szCs w:val="16"/>
            </w:rPr>
          </w:pPr>
          <w:r w:rsidRPr="00883D17">
            <w:rPr>
              <w:sz w:val="16"/>
              <w:szCs w:val="16"/>
            </w:rPr>
            <w:fldChar w:fldCharType="begin"/>
          </w:r>
          <w:r w:rsidRPr="00883D17">
            <w:rPr>
              <w:sz w:val="16"/>
              <w:szCs w:val="16"/>
            </w:rPr>
            <w:instrText xml:space="preserve"> FILENAME   \* MERGEFORMAT </w:instrText>
          </w:r>
          <w:r w:rsidRPr="00883D17">
            <w:rPr>
              <w:sz w:val="16"/>
              <w:szCs w:val="16"/>
            </w:rPr>
            <w:fldChar w:fldCharType="separate"/>
          </w:r>
          <w:r w:rsidRPr="00883D17">
            <w:rPr>
              <w:sz w:val="16"/>
              <w:szCs w:val="16"/>
            </w:rPr>
            <w:fldChar w:fldCharType="end"/>
          </w:r>
        </w:p>
      </w:tc>
      <w:tc>
        <w:tcPr>
          <w:tcW w:w="9355" w:type="dxa"/>
          <w:gridSpan w:val="2"/>
          <w:shd w:val="clear" w:color="auto" w:fill="auto"/>
        </w:tcPr>
        <w:p w14:paraId="339144E7" w14:textId="332D1C67" w:rsidR="00117BF8" w:rsidRPr="00117BF8" w:rsidRDefault="00117BF8" w:rsidP="00444838">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110</w:t>
          </w:r>
          <w:r w:rsidRPr="00117BF8">
            <w:rPr>
              <w:rFonts w:ascii="Arial" w:hAnsi="Arial" w:cs="Arial"/>
              <w:sz w:val="16"/>
              <w:szCs w:val="16"/>
            </w:rPr>
            <w:fldChar w:fldCharType="end"/>
          </w:r>
        </w:p>
      </w:tc>
    </w:tr>
    <w:tr w:rsidR="00117BF8" w:rsidRPr="00883D17" w14:paraId="422AB69D" w14:textId="77777777" w:rsidTr="004759F4">
      <w:trPr>
        <w:gridAfter w:val="1"/>
        <w:wAfter w:w="5032" w:type="dxa"/>
      </w:trPr>
      <w:tc>
        <w:tcPr>
          <w:tcW w:w="5070" w:type="dxa"/>
          <w:shd w:val="clear" w:color="auto" w:fill="auto"/>
        </w:tcPr>
        <w:p w14:paraId="7CAE21AA" w14:textId="77777777" w:rsidR="00117BF8" w:rsidRPr="00883D17" w:rsidRDefault="00117BF8" w:rsidP="005B00B2">
          <w:pPr>
            <w:pStyle w:val="Footer"/>
            <w:spacing w:after="0"/>
            <w:rPr>
              <w:sz w:val="16"/>
              <w:szCs w:val="16"/>
            </w:rPr>
          </w:pPr>
        </w:p>
      </w:tc>
      <w:tc>
        <w:tcPr>
          <w:tcW w:w="4323" w:type="dxa"/>
          <w:shd w:val="clear" w:color="auto" w:fill="auto"/>
        </w:tcPr>
        <w:p w14:paraId="3F4E83FF" w14:textId="77777777" w:rsidR="00117BF8" w:rsidRPr="00883D17" w:rsidRDefault="00117BF8" w:rsidP="005B00B2">
          <w:pPr>
            <w:pStyle w:val="Footer"/>
            <w:spacing w:after="0"/>
            <w:jc w:val="right"/>
            <w:rPr>
              <w:sz w:val="16"/>
              <w:szCs w:val="16"/>
            </w:rPr>
          </w:pPr>
        </w:p>
      </w:tc>
    </w:tr>
  </w:tbl>
  <w:p w14:paraId="7BAC6ADD" w14:textId="77777777" w:rsidR="00117BF8" w:rsidRPr="00B80E03" w:rsidRDefault="00117BF8" w:rsidP="00B80E03">
    <w:pPr>
      <w:pStyle w:val="Footer"/>
      <w:spacing w:after="0"/>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BA6BC3" w14:paraId="565433FB" w14:textId="77777777" w:rsidTr="005B00B2">
      <w:tc>
        <w:tcPr>
          <w:tcW w:w="5070" w:type="dxa"/>
          <w:shd w:val="clear" w:color="auto" w:fill="auto"/>
        </w:tcPr>
        <w:p w14:paraId="3283401F" w14:textId="2DEE1567" w:rsidR="00117BF8" w:rsidRPr="00883D17" w:rsidRDefault="00117BF8" w:rsidP="005B00B2">
          <w:pPr>
            <w:pStyle w:val="Footer"/>
            <w:spacing w:after="0"/>
            <w:rPr>
              <w:sz w:val="16"/>
              <w:szCs w:val="16"/>
            </w:rPr>
          </w:pPr>
        </w:p>
      </w:tc>
      <w:tc>
        <w:tcPr>
          <w:tcW w:w="4323" w:type="dxa"/>
          <w:shd w:val="clear" w:color="auto" w:fill="auto"/>
        </w:tcPr>
        <w:p w14:paraId="703FB01D" w14:textId="49930DB4" w:rsidR="00117BF8" w:rsidRPr="00117BF8" w:rsidRDefault="00117BF8" w:rsidP="005B00B2">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115</w:t>
          </w:r>
          <w:r w:rsidRPr="00117BF8">
            <w:rPr>
              <w:rFonts w:ascii="Arial" w:hAnsi="Arial" w:cs="Arial"/>
              <w:sz w:val="16"/>
              <w:szCs w:val="16"/>
            </w:rPr>
            <w:fldChar w:fldCharType="end"/>
          </w:r>
        </w:p>
      </w:tc>
    </w:tr>
  </w:tbl>
  <w:p w14:paraId="775B104D" w14:textId="77777777" w:rsidR="00117BF8" w:rsidRPr="00B80E03" w:rsidRDefault="00117BF8" w:rsidP="00B80E03">
    <w:pPr>
      <w:pStyle w:val="Footer"/>
      <w:spacing w:after="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25" w:type="dxa"/>
      <w:tblLook w:val="04A0" w:firstRow="1" w:lastRow="0" w:firstColumn="1" w:lastColumn="0" w:noHBand="0" w:noVBand="1"/>
    </w:tblPr>
    <w:tblGrid>
      <w:gridCol w:w="5070"/>
      <w:gridCol w:w="9355"/>
    </w:tblGrid>
    <w:tr w:rsidR="00117BF8" w:rsidRPr="00883D17" w14:paraId="7698AE66" w14:textId="77777777" w:rsidTr="00197371">
      <w:tc>
        <w:tcPr>
          <w:tcW w:w="5070" w:type="dxa"/>
          <w:shd w:val="clear" w:color="auto" w:fill="auto"/>
        </w:tcPr>
        <w:p w14:paraId="7EC4AAE0" w14:textId="4947A948" w:rsidR="00117BF8" w:rsidRPr="00883D17" w:rsidRDefault="00117BF8" w:rsidP="00883D17">
          <w:pPr>
            <w:pStyle w:val="Footer"/>
            <w:spacing w:after="0"/>
            <w:rPr>
              <w:sz w:val="16"/>
              <w:szCs w:val="16"/>
            </w:rPr>
          </w:pPr>
        </w:p>
      </w:tc>
      <w:tc>
        <w:tcPr>
          <w:tcW w:w="9355" w:type="dxa"/>
          <w:shd w:val="clear" w:color="auto" w:fill="auto"/>
        </w:tcPr>
        <w:p w14:paraId="59DC6196" w14:textId="69112729"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31</w:t>
          </w:r>
          <w:r w:rsidRPr="00117BF8">
            <w:rPr>
              <w:rFonts w:ascii="Arial" w:hAnsi="Arial" w:cs="Arial"/>
              <w:sz w:val="16"/>
              <w:szCs w:val="16"/>
            </w:rPr>
            <w:fldChar w:fldCharType="end"/>
          </w:r>
        </w:p>
      </w:tc>
    </w:tr>
  </w:tbl>
  <w:p w14:paraId="5A67895F" w14:textId="77777777" w:rsidR="00117BF8" w:rsidRPr="00B80E03" w:rsidRDefault="00117BF8" w:rsidP="00B80E03">
    <w:pPr>
      <w:pStyle w:val="Footer"/>
      <w:spacing w:after="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883D17" w14:paraId="0A1195C8" w14:textId="77777777" w:rsidTr="002C49F2">
      <w:tc>
        <w:tcPr>
          <w:tcW w:w="5070" w:type="dxa"/>
          <w:shd w:val="clear" w:color="auto" w:fill="auto"/>
        </w:tcPr>
        <w:p w14:paraId="6DD95E94" w14:textId="2724DFCF" w:rsidR="00117BF8" w:rsidRPr="00883D17" w:rsidRDefault="00117BF8" w:rsidP="00883D17">
          <w:pPr>
            <w:pStyle w:val="Footer"/>
            <w:spacing w:after="0"/>
            <w:rPr>
              <w:sz w:val="16"/>
              <w:szCs w:val="16"/>
            </w:rPr>
          </w:pPr>
        </w:p>
      </w:tc>
      <w:tc>
        <w:tcPr>
          <w:tcW w:w="4323" w:type="dxa"/>
          <w:shd w:val="clear" w:color="auto" w:fill="auto"/>
        </w:tcPr>
        <w:p w14:paraId="470E48F4" w14:textId="73D9BACF"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36</w:t>
          </w:r>
          <w:r w:rsidRPr="00117BF8">
            <w:rPr>
              <w:rFonts w:ascii="Arial" w:hAnsi="Arial" w:cs="Arial"/>
              <w:sz w:val="16"/>
              <w:szCs w:val="16"/>
            </w:rPr>
            <w:fldChar w:fldCharType="end"/>
          </w:r>
        </w:p>
      </w:tc>
    </w:tr>
  </w:tbl>
  <w:p w14:paraId="5FABC4AA" w14:textId="77777777" w:rsidR="00117BF8" w:rsidRPr="00B80E03" w:rsidRDefault="00117BF8" w:rsidP="00B80E03">
    <w:pPr>
      <w:pStyle w:val="Footer"/>
      <w:spacing w:after="0"/>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25" w:type="dxa"/>
      <w:tblLook w:val="04A0" w:firstRow="1" w:lastRow="0" w:firstColumn="1" w:lastColumn="0" w:noHBand="0" w:noVBand="1"/>
    </w:tblPr>
    <w:tblGrid>
      <w:gridCol w:w="5070"/>
      <w:gridCol w:w="9355"/>
    </w:tblGrid>
    <w:tr w:rsidR="00117BF8" w:rsidRPr="00883D17" w14:paraId="4282B730" w14:textId="77777777" w:rsidTr="00197371">
      <w:tc>
        <w:tcPr>
          <w:tcW w:w="5070" w:type="dxa"/>
          <w:shd w:val="clear" w:color="auto" w:fill="auto"/>
        </w:tcPr>
        <w:p w14:paraId="527AF573" w14:textId="095B0527" w:rsidR="00117BF8" w:rsidRPr="00883D17" w:rsidRDefault="00117BF8" w:rsidP="00883D17">
          <w:pPr>
            <w:pStyle w:val="Footer"/>
            <w:spacing w:after="0"/>
            <w:rPr>
              <w:sz w:val="16"/>
              <w:szCs w:val="16"/>
            </w:rPr>
          </w:pPr>
          <w:r w:rsidRPr="00883D17">
            <w:rPr>
              <w:sz w:val="16"/>
              <w:szCs w:val="16"/>
            </w:rPr>
            <w:fldChar w:fldCharType="begin"/>
          </w:r>
          <w:r w:rsidRPr="00883D17">
            <w:rPr>
              <w:sz w:val="16"/>
              <w:szCs w:val="16"/>
            </w:rPr>
            <w:instrText xml:space="preserve"> FILENAME   \* MERGEFORMAT </w:instrText>
          </w:r>
          <w:r w:rsidRPr="00883D17">
            <w:rPr>
              <w:sz w:val="16"/>
              <w:szCs w:val="16"/>
            </w:rPr>
            <w:fldChar w:fldCharType="separate"/>
          </w:r>
          <w:r w:rsidRPr="00883D17">
            <w:rPr>
              <w:sz w:val="16"/>
              <w:szCs w:val="16"/>
            </w:rPr>
            <w:fldChar w:fldCharType="end"/>
          </w:r>
        </w:p>
      </w:tc>
      <w:tc>
        <w:tcPr>
          <w:tcW w:w="9355" w:type="dxa"/>
          <w:shd w:val="clear" w:color="auto" w:fill="auto"/>
        </w:tcPr>
        <w:p w14:paraId="52272351" w14:textId="7BFAC94C"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37</w:t>
          </w:r>
          <w:r w:rsidRPr="00117BF8">
            <w:rPr>
              <w:rFonts w:ascii="Arial" w:hAnsi="Arial" w:cs="Arial"/>
              <w:sz w:val="16"/>
              <w:szCs w:val="16"/>
            </w:rPr>
            <w:fldChar w:fldCharType="end"/>
          </w:r>
        </w:p>
      </w:tc>
    </w:tr>
  </w:tbl>
  <w:p w14:paraId="2BBA8155" w14:textId="77777777" w:rsidR="00117BF8" w:rsidRPr="00B80E03" w:rsidRDefault="00117BF8" w:rsidP="00B80E03">
    <w:pPr>
      <w:pStyle w:val="Footer"/>
      <w:spacing w:after="0"/>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883D17" w14:paraId="63525044" w14:textId="77777777" w:rsidTr="002C49F2">
      <w:tc>
        <w:tcPr>
          <w:tcW w:w="5070" w:type="dxa"/>
          <w:shd w:val="clear" w:color="auto" w:fill="auto"/>
        </w:tcPr>
        <w:p w14:paraId="772B7AD8" w14:textId="2634EED8" w:rsidR="00117BF8" w:rsidRPr="00883D17" w:rsidRDefault="00117BF8" w:rsidP="00883D17">
          <w:pPr>
            <w:pStyle w:val="Footer"/>
            <w:spacing w:after="0"/>
            <w:rPr>
              <w:sz w:val="16"/>
              <w:szCs w:val="16"/>
            </w:rPr>
          </w:pPr>
        </w:p>
      </w:tc>
      <w:tc>
        <w:tcPr>
          <w:tcW w:w="4323" w:type="dxa"/>
          <w:shd w:val="clear" w:color="auto" w:fill="auto"/>
        </w:tcPr>
        <w:p w14:paraId="5A149984" w14:textId="3EE95F23"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51</w:t>
          </w:r>
          <w:r w:rsidRPr="00117BF8">
            <w:rPr>
              <w:rFonts w:ascii="Arial" w:hAnsi="Arial" w:cs="Arial"/>
              <w:sz w:val="16"/>
              <w:szCs w:val="16"/>
            </w:rPr>
            <w:fldChar w:fldCharType="end"/>
          </w:r>
        </w:p>
      </w:tc>
    </w:tr>
  </w:tbl>
  <w:p w14:paraId="67DE2F72" w14:textId="77777777" w:rsidR="00117BF8" w:rsidRPr="00B80E03" w:rsidRDefault="00117BF8" w:rsidP="00896310">
    <w:pPr>
      <w:pStyle w:val="Footer"/>
      <w:tabs>
        <w:tab w:val="clear" w:pos="4419"/>
        <w:tab w:val="clear" w:pos="8838"/>
        <w:tab w:val="left" w:pos="2100"/>
      </w:tabs>
      <w:spacing w:after="0"/>
      <w:rPr>
        <w:sz w:val="16"/>
        <w:szCs w:val="16"/>
      </w:rPr>
    </w:pPr>
    <w:r>
      <w:rPr>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25" w:type="dxa"/>
      <w:tblLook w:val="04A0" w:firstRow="1" w:lastRow="0" w:firstColumn="1" w:lastColumn="0" w:noHBand="0" w:noVBand="1"/>
    </w:tblPr>
    <w:tblGrid>
      <w:gridCol w:w="5070"/>
      <w:gridCol w:w="9355"/>
    </w:tblGrid>
    <w:tr w:rsidR="00117BF8" w:rsidRPr="00883D17" w14:paraId="099C4732" w14:textId="77777777" w:rsidTr="00135C07">
      <w:tc>
        <w:tcPr>
          <w:tcW w:w="5070" w:type="dxa"/>
          <w:shd w:val="clear" w:color="auto" w:fill="auto"/>
        </w:tcPr>
        <w:p w14:paraId="5155A8A7" w14:textId="21AE562B" w:rsidR="00117BF8" w:rsidRPr="00883D17" w:rsidRDefault="00117BF8" w:rsidP="00444838">
          <w:pPr>
            <w:pStyle w:val="Footer"/>
            <w:spacing w:after="0"/>
            <w:rPr>
              <w:sz w:val="16"/>
              <w:szCs w:val="16"/>
            </w:rPr>
          </w:pPr>
        </w:p>
      </w:tc>
      <w:tc>
        <w:tcPr>
          <w:tcW w:w="9355" w:type="dxa"/>
          <w:shd w:val="clear" w:color="auto" w:fill="auto"/>
        </w:tcPr>
        <w:p w14:paraId="5E33F073" w14:textId="3B6F3A68" w:rsidR="00117BF8" w:rsidRPr="00117BF8" w:rsidRDefault="00117BF8" w:rsidP="00444838">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54</w:t>
          </w:r>
          <w:r w:rsidRPr="00117BF8">
            <w:rPr>
              <w:rFonts w:ascii="Arial" w:hAnsi="Arial" w:cs="Arial"/>
              <w:sz w:val="16"/>
              <w:szCs w:val="16"/>
            </w:rPr>
            <w:fldChar w:fldCharType="end"/>
          </w:r>
        </w:p>
      </w:tc>
    </w:tr>
  </w:tbl>
  <w:p w14:paraId="4B63ED5B" w14:textId="77777777" w:rsidR="00117BF8" w:rsidRPr="00B80E03" w:rsidRDefault="00117BF8" w:rsidP="00896310">
    <w:pPr>
      <w:pStyle w:val="Footer"/>
      <w:tabs>
        <w:tab w:val="clear" w:pos="4419"/>
        <w:tab w:val="clear" w:pos="8838"/>
        <w:tab w:val="left" w:pos="2100"/>
      </w:tabs>
      <w:spacing w:after="0"/>
      <w:rPr>
        <w:sz w:val="16"/>
        <w:szCs w:val="16"/>
      </w:rPr>
    </w:pPr>
    <w:r>
      <w:rPr>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883D17" w14:paraId="5CD784F4" w14:textId="77777777" w:rsidTr="002C49F2">
      <w:tc>
        <w:tcPr>
          <w:tcW w:w="5070" w:type="dxa"/>
          <w:shd w:val="clear" w:color="auto" w:fill="auto"/>
        </w:tcPr>
        <w:p w14:paraId="66841F7F" w14:textId="4121772E" w:rsidR="00117BF8" w:rsidRPr="00883D17" w:rsidRDefault="00117BF8" w:rsidP="00883D17">
          <w:pPr>
            <w:pStyle w:val="Footer"/>
            <w:spacing w:after="0"/>
            <w:rPr>
              <w:sz w:val="16"/>
              <w:szCs w:val="16"/>
            </w:rPr>
          </w:pPr>
        </w:p>
      </w:tc>
      <w:tc>
        <w:tcPr>
          <w:tcW w:w="4323" w:type="dxa"/>
          <w:shd w:val="clear" w:color="auto" w:fill="auto"/>
        </w:tcPr>
        <w:p w14:paraId="75B9329C" w14:textId="45FBB2CD"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64</w:t>
          </w:r>
          <w:r w:rsidRPr="00117BF8">
            <w:rPr>
              <w:rFonts w:ascii="Arial" w:hAnsi="Arial" w:cs="Arial"/>
              <w:sz w:val="16"/>
              <w:szCs w:val="16"/>
            </w:rPr>
            <w:fldChar w:fldCharType="end"/>
          </w:r>
        </w:p>
      </w:tc>
    </w:tr>
  </w:tbl>
  <w:p w14:paraId="53146F43" w14:textId="77777777" w:rsidR="00117BF8" w:rsidRPr="00B80E03" w:rsidRDefault="00117BF8" w:rsidP="00896310">
    <w:pPr>
      <w:pStyle w:val="Footer"/>
      <w:tabs>
        <w:tab w:val="clear" w:pos="4419"/>
        <w:tab w:val="clear" w:pos="8838"/>
        <w:tab w:val="left" w:pos="2100"/>
      </w:tabs>
      <w:spacing w:after="0"/>
      <w:rPr>
        <w:sz w:val="16"/>
        <w:szCs w:val="16"/>
      </w:rPr>
    </w:pPr>
    <w:r>
      <w:rPr>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25" w:type="dxa"/>
      <w:tblLook w:val="04A0" w:firstRow="1" w:lastRow="0" w:firstColumn="1" w:lastColumn="0" w:noHBand="0" w:noVBand="1"/>
    </w:tblPr>
    <w:tblGrid>
      <w:gridCol w:w="5070"/>
      <w:gridCol w:w="9355"/>
    </w:tblGrid>
    <w:tr w:rsidR="00117BF8" w:rsidRPr="00AF0E82" w14:paraId="0BD73763" w14:textId="77777777" w:rsidTr="00135C07">
      <w:tc>
        <w:tcPr>
          <w:tcW w:w="5070" w:type="dxa"/>
          <w:shd w:val="clear" w:color="auto" w:fill="auto"/>
        </w:tcPr>
        <w:p w14:paraId="09B363AA" w14:textId="668F41C5" w:rsidR="00117BF8" w:rsidRPr="00883D17" w:rsidRDefault="00117BF8" w:rsidP="00444838">
          <w:pPr>
            <w:pStyle w:val="Footer"/>
            <w:spacing w:after="0"/>
            <w:rPr>
              <w:sz w:val="16"/>
              <w:szCs w:val="16"/>
            </w:rPr>
          </w:pPr>
        </w:p>
      </w:tc>
      <w:tc>
        <w:tcPr>
          <w:tcW w:w="9355" w:type="dxa"/>
          <w:shd w:val="clear" w:color="auto" w:fill="auto"/>
        </w:tcPr>
        <w:p w14:paraId="420318B2" w14:textId="7CADABC1" w:rsidR="00117BF8" w:rsidRPr="00117BF8" w:rsidRDefault="00117BF8" w:rsidP="00444838">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67</w:t>
          </w:r>
          <w:r w:rsidRPr="00117BF8">
            <w:rPr>
              <w:rFonts w:ascii="Arial" w:hAnsi="Arial" w:cs="Arial"/>
              <w:sz w:val="16"/>
              <w:szCs w:val="16"/>
            </w:rPr>
            <w:fldChar w:fldCharType="end"/>
          </w:r>
        </w:p>
      </w:tc>
    </w:tr>
  </w:tbl>
  <w:p w14:paraId="5A7498D2" w14:textId="77777777" w:rsidR="00117BF8" w:rsidRPr="00B80E03" w:rsidRDefault="00117BF8" w:rsidP="00896310">
    <w:pPr>
      <w:pStyle w:val="Footer"/>
      <w:tabs>
        <w:tab w:val="clear" w:pos="4419"/>
        <w:tab w:val="clear" w:pos="8838"/>
        <w:tab w:val="left" w:pos="2100"/>
      </w:tabs>
      <w:spacing w:after="0"/>
      <w:rPr>
        <w:sz w:val="16"/>
        <w:szCs w:val="16"/>
      </w:rPr>
    </w:pPr>
    <w:r>
      <w:rPr>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93" w:type="dxa"/>
      <w:tblLook w:val="04A0" w:firstRow="1" w:lastRow="0" w:firstColumn="1" w:lastColumn="0" w:noHBand="0" w:noVBand="1"/>
    </w:tblPr>
    <w:tblGrid>
      <w:gridCol w:w="5070"/>
      <w:gridCol w:w="4323"/>
    </w:tblGrid>
    <w:tr w:rsidR="00117BF8" w:rsidRPr="00CF312E" w14:paraId="648DEFC2" w14:textId="77777777" w:rsidTr="002C49F2">
      <w:tc>
        <w:tcPr>
          <w:tcW w:w="5070" w:type="dxa"/>
          <w:shd w:val="clear" w:color="auto" w:fill="auto"/>
        </w:tcPr>
        <w:p w14:paraId="5B822BB3" w14:textId="32919A0F" w:rsidR="00117BF8" w:rsidRPr="00883D17" w:rsidRDefault="00117BF8" w:rsidP="00883D17">
          <w:pPr>
            <w:pStyle w:val="Footer"/>
            <w:spacing w:after="0"/>
            <w:rPr>
              <w:sz w:val="16"/>
              <w:szCs w:val="16"/>
            </w:rPr>
          </w:pPr>
          <w:r w:rsidRPr="00883D17">
            <w:rPr>
              <w:sz w:val="16"/>
              <w:szCs w:val="16"/>
            </w:rPr>
            <w:fldChar w:fldCharType="begin"/>
          </w:r>
          <w:r w:rsidRPr="00883D17">
            <w:rPr>
              <w:sz w:val="16"/>
              <w:szCs w:val="16"/>
            </w:rPr>
            <w:instrText xml:space="preserve"> FILENAME   \* MERGEFORMAT </w:instrText>
          </w:r>
          <w:r w:rsidRPr="00883D17">
            <w:rPr>
              <w:sz w:val="16"/>
              <w:szCs w:val="16"/>
            </w:rPr>
            <w:fldChar w:fldCharType="separate"/>
          </w:r>
          <w:r w:rsidRPr="00883D17">
            <w:rPr>
              <w:sz w:val="16"/>
              <w:szCs w:val="16"/>
            </w:rPr>
            <w:fldChar w:fldCharType="end"/>
          </w:r>
        </w:p>
      </w:tc>
      <w:tc>
        <w:tcPr>
          <w:tcW w:w="4323" w:type="dxa"/>
          <w:shd w:val="clear" w:color="auto" w:fill="auto"/>
        </w:tcPr>
        <w:p w14:paraId="2BD34F17" w14:textId="69047838" w:rsidR="00117BF8" w:rsidRPr="00117BF8" w:rsidRDefault="00117BF8" w:rsidP="00883D17">
          <w:pPr>
            <w:pStyle w:val="Footer"/>
            <w:spacing w:after="0"/>
            <w:jc w:val="right"/>
            <w:rPr>
              <w:rFonts w:ascii="Arial" w:hAnsi="Arial" w:cs="Arial"/>
              <w:sz w:val="16"/>
              <w:szCs w:val="16"/>
            </w:rPr>
          </w:pPr>
          <w:r w:rsidRPr="00117BF8">
            <w:rPr>
              <w:rFonts w:ascii="Arial" w:hAnsi="Arial" w:cs="Arial"/>
              <w:sz w:val="16"/>
              <w:szCs w:val="16"/>
            </w:rPr>
            <w:t xml:space="preserve">Pág. </w:t>
          </w:r>
          <w:r w:rsidRPr="00117BF8">
            <w:rPr>
              <w:rFonts w:ascii="Arial" w:hAnsi="Arial" w:cs="Arial"/>
              <w:sz w:val="16"/>
              <w:szCs w:val="16"/>
            </w:rPr>
            <w:fldChar w:fldCharType="begin"/>
          </w:r>
          <w:r w:rsidRPr="00117BF8">
            <w:rPr>
              <w:rFonts w:ascii="Arial" w:hAnsi="Arial" w:cs="Arial"/>
              <w:sz w:val="16"/>
              <w:szCs w:val="16"/>
            </w:rPr>
            <w:instrText>PAGE   \* MERGEFORMAT</w:instrText>
          </w:r>
          <w:r w:rsidRPr="00117BF8">
            <w:rPr>
              <w:rFonts w:ascii="Arial" w:hAnsi="Arial" w:cs="Arial"/>
              <w:sz w:val="16"/>
              <w:szCs w:val="16"/>
            </w:rPr>
            <w:fldChar w:fldCharType="separate"/>
          </w:r>
          <w:r>
            <w:rPr>
              <w:rFonts w:ascii="Arial" w:hAnsi="Arial" w:cs="Arial"/>
              <w:noProof/>
              <w:sz w:val="16"/>
              <w:szCs w:val="16"/>
            </w:rPr>
            <w:t>89</w:t>
          </w:r>
          <w:r w:rsidRPr="00117BF8">
            <w:rPr>
              <w:rFonts w:ascii="Arial" w:hAnsi="Arial" w:cs="Arial"/>
              <w:sz w:val="16"/>
              <w:szCs w:val="16"/>
            </w:rPr>
            <w:fldChar w:fldCharType="end"/>
          </w:r>
        </w:p>
      </w:tc>
    </w:tr>
  </w:tbl>
  <w:p w14:paraId="3433CD7A" w14:textId="77777777" w:rsidR="00117BF8" w:rsidRPr="00B80E03" w:rsidRDefault="00117BF8" w:rsidP="00896310">
    <w:pPr>
      <w:pStyle w:val="Footer"/>
      <w:tabs>
        <w:tab w:val="clear" w:pos="4419"/>
        <w:tab w:val="clear" w:pos="8838"/>
        <w:tab w:val="left" w:pos="2100"/>
      </w:tabs>
      <w:spacing w:after="0"/>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C62B4" w14:textId="77777777" w:rsidR="00117BF8" w:rsidRDefault="00117BF8">
      <w:r>
        <w:separator/>
      </w:r>
    </w:p>
  </w:footnote>
  <w:footnote w:type="continuationSeparator" w:id="0">
    <w:p w14:paraId="3E68E099" w14:textId="77777777" w:rsidR="00117BF8" w:rsidRDefault="00117BF8">
      <w:r>
        <w:continuationSeparator/>
      </w:r>
    </w:p>
  </w:footnote>
  <w:footnote w:id="1">
    <w:p w14:paraId="5601E72F" w14:textId="0A69D42D" w:rsidR="00117BF8" w:rsidRPr="00117BF8" w:rsidRDefault="00117BF8" w:rsidP="00117BF8">
      <w:pPr>
        <w:pStyle w:val="FootnoteText"/>
        <w:spacing w:after="0"/>
        <w:ind w:left="270" w:hanging="270"/>
        <w:rPr>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sidRPr="00117BF8">
        <w:rPr>
          <w:rFonts w:ascii="Arial" w:hAnsi="Arial" w:cs="Arial"/>
          <w:sz w:val="18"/>
          <w:szCs w:val="18"/>
        </w:rPr>
        <w:tab/>
        <w:t>Este documento fue preparado por el consultor Horacio Seillant y revisado por el equipo del Banco en septiembre de 2017.</w:t>
      </w:r>
    </w:p>
  </w:footnote>
  <w:footnote w:id="2">
    <w:p w14:paraId="51D4455A" w14:textId="062DEA2B" w:rsidR="00117BF8" w:rsidRPr="00117BF8" w:rsidRDefault="00117BF8" w:rsidP="00117BF8">
      <w:pPr>
        <w:pStyle w:val="hsaNotalapie"/>
        <w:ind w:left="270"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sidRPr="00117BF8">
        <w:rPr>
          <w:rFonts w:ascii="Arial" w:hAnsi="Arial" w:cs="Arial"/>
          <w:sz w:val="18"/>
          <w:szCs w:val="18"/>
        </w:rPr>
        <w:tab/>
        <w:t>Autopistas de Buenos Aires S.A. -AUBASA – tiene por objeto la construcción, conservación y explotación de rutas y autopistas bajo el régimen de concesión mediante el cobro de tarifas o peaje en la Provincia de Buenos Aires. Las acciones de la sociedad corresponden en un noventa y tres por ciento (93%) del capital social a la Provincia de Buenos Aires, cuya titularidad detenta la Secretaría de Servicios Públicos, y en un siete por ciento (7%) que será destinado a los empleados que adhieren al Programa de Propiedad Accionaria del Personal.</w:t>
      </w:r>
    </w:p>
  </w:footnote>
  <w:footnote w:id="3">
    <w:p w14:paraId="57755C85" w14:textId="0FFA4DA0" w:rsidR="00117BF8" w:rsidRPr="00117BF8" w:rsidRDefault="00117BF8" w:rsidP="00117BF8">
      <w:pPr>
        <w:pStyle w:val="hsaNotalapie"/>
        <w:ind w:left="270"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sidRPr="00117BF8">
        <w:rPr>
          <w:rFonts w:ascii="Arial" w:hAnsi="Arial" w:cs="Arial"/>
          <w:sz w:val="18"/>
          <w:szCs w:val="18"/>
        </w:rPr>
        <w:tab/>
        <w:t>Administración Pública No Financiera está conformada por la administración central, los organismos descentralizados, las empresas y sociedades del estado provincial, los fondos fiduciarios integrados total o mayoritariamente con fondos provinciales y las Instituciones de Seguridad Social (que funcionan como un sistema solidario).</w:t>
      </w:r>
    </w:p>
  </w:footnote>
  <w:footnote w:id="4">
    <w:p w14:paraId="4C6B3774" w14:textId="3CC7DC5D" w:rsidR="00117BF8" w:rsidRPr="00117BF8" w:rsidRDefault="00117BF8" w:rsidP="008A09DB">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eastAsia="Calibri" w:hAnsi="Arial" w:cs="Arial"/>
          <w:sz w:val="18"/>
          <w:szCs w:val="18"/>
        </w:rPr>
        <w:t>La variación nominal del PBG de 2016 se estima en igual magnitud que el PIB nacional</w:t>
      </w:r>
    </w:p>
  </w:footnote>
  <w:footnote w:id="5">
    <w:p w14:paraId="031A494F" w14:textId="25C7040C" w:rsidR="00117BF8" w:rsidRPr="00BA271A" w:rsidRDefault="00117BF8" w:rsidP="00117BF8">
      <w:pPr>
        <w:pStyle w:val="hsaNotalapie"/>
        <w:ind w:left="270" w:hanging="270"/>
        <w:jc w:val="both"/>
        <w:rPr>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Estimado en base al promedio 2016 respecto del correspondiente al año 2015 del Indicador Trimestral de Actividad Económica (ITAE).</w:t>
      </w:r>
    </w:p>
  </w:footnote>
  <w:footnote w:id="6">
    <w:p w14:paraId="227AFF98" w14:textId="374C7756" w:rsidR="00117BF8" w:rsidRPr="00117BF8" w:rsidRDefault="00117BF8" w:rsidP="00117BF8">
      <w:pPr>
        <w:pStyle w:val="hsaNotalapie"/>
        <w:ind w:left="270" w:hanging="270"/>
        <w:jc w:val="both"/>
        <w:rPr>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 xml:space="preserve">La Administración Pública No Financiera incluye a: </w:t>
      </w:r>
    </w:p>
    <w:p w14:paraId="63AC1DEB" w14:textId="77777777" w:rsidR="00117BF8" w:rsidRPr="00117BF8" w:rsidRDefault="00117BF8" w:rsidP="00117BF8">
      <w:pPr>
        <w:pStyle w:val="hsaNotalapie"/>
        <w:ind w:left="270"/>
        <w:jc w:val="both"/>
        <w:rPr>
          <w:rFonts w:ascii="Arial" w:hAnsi="Arial" w:cs="Arial"/>
          <w:sz w:val="18"/>
          <w:szCs w:val="18"/>
          <w:lang w:val="es-AR" w:eastAsia="es-AR"/>
        </w:rPr>
      </w:pPr>
      <w:r w:rsidRPr="00117BF8">
        <w:rPr>
          <w:rFonts w:ascii="Arial" w:hAnsi="Arial" w:cs="Arial"/>
          <w:sz w:val="18"/>
          <w:szCs w:val="18"/>
          <w:lang w:val="es-AR" w:eastAsia="es-AR"/>
        </w:rPr>
        <w:t xml:space="preserve">1) la Administración Central: Poder Ejecutivo, Poder Legislativo, Poder Judicial y Cuentas Especiales; </w:t>
      </w:r>
    </w:p>
    <w:p w14:paraId="5D04BDF3" w14:textId="77777777" w:rsidR="00117BF8" w:rsidRPr="00117BF8" w:rsidRDefault="00117BF8" w:rsidP="00117BF8">
      <w:pPr>
        <w:pStyle w:val="hsaNotalapie"/>
        <w:ind w:left="270"/>
        <w:jc w:val="both"/>
        <w:rPr>
          <w:rFonts w:ascii="Arial" w:hAnsi="Arial" w:cs="Arial"/>
          <w:sz w:val="18"/>
          <w:szCs w:val="18"/>
          <w:lang w:val="es-AR" w:eastAsia="es-AR"/>
        </w:rPr>
      </w:pPr>
      <w:r w:rsidRPr="00117BF8">
        <w:rPr>
          <w:rFonts w:ascii="Arial" w:hAnsi="Arial" w:cs="Arial"/>
          <w:sz w:val="18"/>
          <w:szCs w:val="18"/>
          <w:lang w:val="es-AR" w:eastAsia="es-AR"/>
        </w:rPr>
        <w:t>2) los Organismos Descentralizados: Instituto de Cultura de la Provincia, Organismo Provincial para el Desarrollo Sostenible, ARBA, E.A. Astillero Rio Santiago, COR.FO Rio Colorado, Dirección de Vialidad, SPAR, Instituto de Vivienda, U.E. Programa Ferroviario Provincial, OCEBA, OCABA, Autoridad del</w:t>
      </w:r>
      <w:r w:rsidRPr="007C35E8">
        <w:rPr>
          <w:lang w:val="es-AR" w:eastAsia="es-AR"/>
        </w:rPr>
        <w:t xml:space="preserve"> </w:t>
      </w:r>
      <w:r w:rsidRPr="00117BF8">
        <w:rPr>
          <w:rFonts w:ascii="Arial" w:hAnsi="Arial" w:cs="Arial"/>
          <w:sz w:val="18"/>
          <w:szCs w:val="18"/>
          <w:lang w:val="es-AR" w:eastAsia="es-AR"/>
        </w:rPr>
        <w:t xml:space="preserve">Agua, Comité de Cuenca del Rio Reconquista, Patronato de Liberados, Comité de Investigaciones Científicas, Dirección General de Cultura y Educación, UPSO y Unidad Pedagógica Provincial. </w:t>
      </w:r>
    </w:p>
    <w:p w14:paraId="19F7FD9A" w14:textId="77777777" w:rsidR="00117BF8" w:rsidRPr="00117BF8" w:rsidRDefault="00117BF8" w:rsidP="00117BF8">
      <w:pPr>
        <w:pStyle w:val="hsaNotalapie"/>
        <w:ind w:left="270"/>
        <w:jc w:val="both"/>
        <w:rPr>
          <w:rFonts w:ascii="Arial" w:hAnsi="Arial" w:cs="Arial"/>
          <w:sz w:val="18"/>
          <w:szCs w:val="18"/>
          <w:lang w:val="es-AR"/>
        </w:rPr>
      </w:pPr>
      <w:r w:rsidRPr="00117BF8">
        <w:rPr>
          <w:rFonts w:ascii="Arial" w:hAnsi="Arial" w:cs="Arial"/>
          <w:sz w:val="18"/>
          <w:szCs w:val="18"/>
          <w:lang w:val="es-AR" w:eastAsia="es-AR"/>
        </w:rPr>
        <w:t>3) las Instituciones de la Seguridad Social: Caja de Retiro, Jubilaciones y Pensiones de la Policía, Caja de Retiro, Jubilaciones y Pensiones del Banco Provincia e Instituto de Previsión Social.</w:t>
      </w:r>
    </w:p>
  </w:footnote>
  <w:footnote w:id="7">
    <w:p w14:paraId="59C8CD1E" w14:textId="77979923" w:rsidR="00117BF8" w:rsidRPr="00117BF8" w:rsidRDefault="00117BF8" w:rsidP="00117BF8">
      <w:pPr>
        <w:pStyle w:val="hsaNotalapie"/>
        <w:ind w:left="270"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http://www.iprofesional.com/adjuntos/pdf/2017/09/447888.pdf</w:t>
      </w:r>
    </w:p>
  </w:footnote>
  <w:footnote w:id="8">
    <w:p w14:paraId="0771DF61" w14:textId="5120C81A" w:rsidR="00117BF8" w:rsidRPr="00117BF8" w:rsidRDefault="00117BF8" w:rsidP="00117BF8">
      <w:pPr>
        <w:pStyle w:val="hsaNotalapie"/>
        <w:ind w:left="270"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El gasto público corriente primario neto será entendido como los egresos corrientes primarios excluidos: a) los gastos financiados con préstamos de organismos internacionales, b) las transferencias por coparticipación a Municipios y Comunas, c) los gastos corrientes financiados con</w:t>
      </w:r>
      <w:r>
        <w:t xml:space="preserve"> aportes no </w:t>
      </w:r>
      <w:r w:rsidRPr="00117BF8">
        <w:rPr>
          <w:rFonts w:ascii="Arial" w:hAnsi="Arial" w:cs="Arial"/>
          <w:sz w:val="18"/>
          <w:szCs w:val="18"/>
        </w:rPr>
        <w:t>automáticos transferidos por el Gobierno Nacional a las jurisdicciones que tengan asignación a una erogación específica, d) los gastos corrientes destinados al cumplimiento de políticas públicas nacionales, que sean definidas como políticas de Estado por futuras leyes nacionales. Adicionalmente, y solo en aquellas jurisdicciones que en el año previo a su evaluación hayan ejecutado el presupuesto (base devengado) con resultado financiero positivo, se deducirán los gastos operativos asociados a nuevas inversiones en infraestructura en las áreas de educación, salud y seguridad.</w:t>
      </w:r>
    </w:p>
  </w:footnote>
  <w:footnote w:id="9">
    <w:p w14:paraId="369339CC" w14:textId="5F6D8A99" w:rsidR="00117BF8" w:rsidRPr="00342FF2" w:rsidRDefault="00117BF8" w:rsidP="00117BF8">
      <w:pPr>
        <w:pStyle w:val="hsaNotalapie"/>
        <w:ind w:left="270" w:hanging="270"/>
        <w:jc w:val="both"/>
        <w:rPr>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El gasto público primario neto excluirá: a) los gastos corrientes detallados en la nota al pie previa; b) los gastos de capital financiados con recursos afectados cualquiera sea su fuente de financiamiento, y c) los gastos de capital destinados al cumplimiento de políticas públicas nacionales definidas por futuras leyes nacionales como política de Estado.</w:t>
      </w:r>
    </w:p>
  </w:footnote>
  <w:footnote w:id="10">
    <w:p w14:paraId="491D0B5E" w14:textId="19CE2725" w:rsidR="00117BF8" w:rsidRPr="00117BF8" w:rsidRDefault="00117BF8" w:rsidP="00117BF8">
      <w:pPr>
        <w:pStyle w:val="hsaNotalapie"/>
        <w:ind w:left="270"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eastAsia="Calibri" w:hAnsi="Arial" w:cs="Arial"/>
          <w:sz w:val="18"/>
          <w:szCs w:val="18"/>
        </w:rPr>
        <w:t>Para esto se utilizó el índice de precios implícitos del PIB. Durante los últimos años se ha cuestionado la representatividad de los índices de precios y algunos de los más utilizados han sufrido discontinuidad en las series, el índice de precios implícitos del PIB ha tenido menos cuestionamientos y no ha sufrido discontinuidad en su cálculo, de todas maneras con niveles altos de inflación las series a precios constantes deben utilizarse sólo como referencia. Se advierte que se considera el índice del PIB que es nacional en lugar del PBG que es provincial, debido a que este último no se encuentra disponible para 2016. Se ha realizado hasta el 2015 un análisis similar con el índice PBG, los resultados sustanciales no se modifican.</w:t>
      </w:r>
    </w:p>
  </w:footnote>
  <w:footnote w:id="11">
    <w:p w14:paraId="7A4A0131" w14:textId="753980D3" w:rsidR="00117BF8" w:rsidRPr="00117BF8" w:rsidRDefault="00117BF8" w:rsidP="00FA2295">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No se han publicado aún los valores del PBG para el año 2016.</w:t>
      </w:r>
    </w:p>
  </w:footnote>
  <w:footnote w:id="12">
    <w:p w14:paraId="041CB229" w14:textId="77777777" w:rsidR="00117BF8" w:rsidRPr="00117BF8" w:rsidRDefault="00117BF8" w:rsidP="00117BF8">
      <w:pPr>
        <w:pStyle w:val="hsaNotalapie"/>
        <w:ind w:left="270" w:hanging="270"/>
        <w:jc w:val="both"/>
        <w:rPr>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sidRPr="00117BF8">
        <w:rPr>
          <w:rFonts w:ascii="Arial" w:hAnsi="Arial" w:cs="Arial"/>
          <w:i/>
          <w:iCs/>
          <w:sz w:val="18"/>
          <w:szCs w:val="18"/>
        </w:rPr>
        <w:t xml:space="preserve">Impuesto sobre los Ingresos Brutos. </w:t>
      </w:r>
      <w:r w:rsidRPr="00117BF8">
        <w:rPr>
          <w:rFonts w:ascii="Arial" w:hAnsi="Arial" w:cs="Arial"/>
          <w:sz w:val="18"/>
          <w:szCs w:val="18"/>
        </w:rPr>
        <w:t xml:space="preserve">Este impuesto es la fuente de recursos impositivos más importante. Grava los ingresos brutos producto del ejercicio habitual a título oneroso en jurisdicción de la Provincia de las actividades comerciales, industriales y de servicios, las alícuotas varían desde el 0,1% al 15%. No constituyen actividades gravadas el trabajo personal realizado en relación de dependencia, el desempeño de cargos públicos y las exportaciones de bienes y servicios. Son actividades exentas las ejercidas por el Estado Nacional, Provincial y la Ciudad de Buenos Aires, Bolsas de Comercio y Mercados de Valores, los establecimientos educativos privados, las congregaciones religiosas, entre otras. La tasa aplicable a las bebidas alcohólicas, al juego y otras actividades consideradas nocivas para la salud por la Provincia son mayores. La Provincia ha descentralizado en los municipios la administración del impuesto correspondiente a determinados contribuyentes. Del producido, el 43,25% corresponde a la Provincia; el 25% se aplica al Fondo Provincial Compensador de Mantenimiento de Establecimientos Educativos; 4,25% a ARBA para financiar sus gastos y el 5% se distribuye entre los Municipios con destino al tratamiento y disposición final de residuos. El 22,5% restante, es asignado a los Municipios en concepto de retribución por la administración del tributo. </w:t>
      </w:r>
    </w:p>
    <w:p w14:paraId="5BEB7E06" w14:textId="77777777" w:rsidR="00117BF8" w:rsidRPr="00117BF8" w:rsidRDefault="00117BF8" w:rsidP="00117BF8">
      <w:pPr>
        <w:pStyle w:val="hsaNotalapie"/>
        <w:ind w:left="270"/>
        <w:jc w:val="both"/>
        <w:rPr>
          <w:rFonts w:ascii="Arial" w:hAnsi="Arial" w:cs="Arial"/>
          <w:color w:val="auto"/>
          <w:sz w:val="18"/>
          <w:szCs w:val="18"/>
        </w:rPr>
      </w:pPr>
      <w:r w:rsidRPr="00117BF8">
        <w:rPr>
          <w:rFonts w:ascii="Arial" w:hAnsi="Arial" w:cs="Arial"/>
          <w:i/>
          <w:iCs/>
          <w:sz w:val="18"/>
          <w:szCs w:val="18"/>
        </w:rPr>
        <w:t>Impuesto Inmobiliario</w:t>
      </w:r>
      <w:r w:rsidRPr="00117BF8">
        <w:rPr>
          <w:rFonts w:ascii="Arial" w:hAnsi="Arial" w:cs="Arial"/>
          <w:sz w:val="18"/>
          <w:szCs w:val="18"/>
        </w:rPr>
        <w:t xml:space="preserve">. Tributan este impuesto los titulares de dominio, los usufructuarios y los poseedores a título de dueño de inmuebles situados en la provincia. El importe a tributar se determina aplicando una tasa sobre la valuación fiscal de las propiedades urbanas y rurales ubicadas en la Provincia. Las propiedades pertenecientes al Estado Nacional, a las provincias y municipalidades, los templos religiosos, las organizaciones sin fines de lucro, universidades, monumentos históricos, bibliotecas públicas, organizaciones para el cuidado de la salud y </w:t>
      </w:r>
      <w:r w:rsidRPr="00117BF8">
        <w:rPr>
          <w:rFonts w:ascii="Arial" w:hAnsi="Arial" w:cs="Arial"/>
          <w:color w:val="auto"/>
          <w:sz w:val="18"/>
          <w:szCs w:val="18"/>
        </w:rPr>
        <w:t xml:space="preserve">asistencia social gratuita, estaciones de bomberos, entre otras, están exentas de este impuesto. La Provincia otorga un descuento del 100% del impuesto inmobiliario a las propiedades localizadas en aéreas con necesidades básica insatisfechas valuadas en menos de ARS 25.000 y sean propiedad de jubilados o pensionados individualmente o como una partida sin dividir. La Provincia ha delegado a las municipalidades el derecho de administrar el impuesto inmobiliario rural para incrementar la eficiencia en la gestión operativa del mismo. El producido de dicho impuesto corresponde a la Provincia, con excepción del 12%, que es destinado al Fondo Compensador de Mantenimiento y Obras Viales; del 3%, asignado al Fondo de Fortalecimiento de Programas Sociales y Saneamiento Ambiental y del 20%, asignado a los municipios en concepto de retribución por la administración del tributo. </w:t>
      </w:r>
    </w:p>
    <w:p w14:paraId="744E8FAE" w14:textId="77777777" w:rsidR="00117BF8" w:rsidRPr="00117BF8" w:rsidRDefault="00117BF8" w:rsidP="00117BF8">
      <w:pPr>
        <w:pStyle w:val="hsaNotalapie"/>
        <w:ind w:left="270"/>
        <w:jc w:val="both"/>
        <w:rPr>
          <w:rFonts w:ascii="Arial" w:hAnsi="Arial" w:cs="Arial"/>
          <w:color w:val="auto"/>
          <w:sz w:val="18"/>
          <w:szCs w:val="18"/>
        </w:rPr>
      </w:pPr>
      <w:r w:rsidRPr="00117BF8">
        <w:rPr>
          <w:rFonts w:ascii="Arial" w:hAnsi="Arial" w:cs="Arial"/>
          <w:i/>
          <w:iCs/>
          <w:color w:val="auto"/>
          <w:sz w:val="18"/>
          <w:szCs w:val="18"/>
        </w:rPr>
        <w:t>Impuesto Automotor</w:t>
      </w:r>
      <w:r w:rsidRPr="00117BF8">
        <w:rPr>
          <w:rFonts w:ascii="Arial" w:hAnsi="Arial" w:cs="Arial"/>
          <w:color w:val="auto"/>
          <w:sz w:val="18"/>
          <w:szCs w:val="18"/>
        </w:rPr>
        <w:t xml:space="preserve">. La Provincia recauda un impuesto a los automotores registrados en su territorio. La alícuota de este impuesto (desde 3,55% al 6,37%) es determinada teniendo en cuenta el modelo, año, marca, categoría y valuación del vehículo, y se fija anualmente en la ley impositiva. La base imponible de cada vehículo es calculada como un porcentaje de la valuación determinada por la Dirección Nacional de los Registros Nacionales de la Propiedad del Automotor y Créditos Prendarios. La Política Tributaria distingue entre vehículos destinados a la producción y al consumo. A los primeros, al asemejarlos a bienes de capital, los grava con una alícuota inferior. La Provincia ha descentralizado en los Municipios la facultad de recaudar el impuesto automotor sobre modelos fabricados entre 1990 y 2004. La recaudación así obtenida por cada Municipio corresponde íntegramente al mismo y constituye un recurso propio de libre disponibilidad. </w:t>
      </w:r>
    </w:p>
    <w:p w14:paraId="04EB0ECF" w14:textId="77777777" w:rsidR="00117BF8" w:rsidRPr="00117BF8" w:rsidRDefault="00117BF8" w:rsidP="00117BF8">
      <w:pPr>
        <w:pStyle w:val="hsaNotalapie"/>
        <w:ind w:left="270"/>
        <w:jc w:val="both"/>
        <w:rPr>
          <w:rFonts w:ascii="Arial" w:hAnsi="Arial" w:cs="Arial"/>
          <w:color w:val="auto"/>
          <w:sz w:val="18"/>
          <w:szCs w:val="18"/>
        </w:rPr>
      </w:pPr>
      <w:r w:rsidRPr="00117BF8">
        <w:rPr>
          <w:rFonts w:ascii="Arial" w:hAnsi="Arial" w:cs="Arial"/>
          <w:i/>
          <w:iCs/>
          <w:color w:val="auto"/>
          <w:sz w:val="18"/>
          <w:szCs w:val="18"/>
        </w:rPr>
        <w:t>Impuesto de Sellos</w:t>
      </w:r>
      <w:r w:rsidRPr="00117BF8">
        <w:rPr>
          <w:rFonts w:ascii="Arial" w:hAnsi="Arial" w:cs="Arial"/>
          <w:color w:val="auto"/>
          <w:sz w:val="18"/>
          <w:szCs w:val="18"/>
        </w:rPr>
        <w:t xml:space="preserve">. Son gravados por este impuesto los actos, contratos y operaciones de carácter oneroso, formalizados en el territorio de la Provincia, a través de instrumentos públicos o privados. La alícuota de este impuesto oscila entre el 0,24% y el 12% (o en el caso de billetes de lotería asciende a 24%) del valor del acuerdo o transacción subyacente, dependiendo de la naturaleza de los mismos. La responsabilidad es solidaria de todas las partes, lo cual significa que cada una de las partes intervinientes responde por el total del impuesto. </w:t>
      </w:r>
    </w:p>
    <w:p w14:paraId="48A3D3C5" w14:textId="77777777" w:rsidR="00117BF8" w:rsidRPr="000A7742" w:rsidRDefault="00117BF8" w:rsidP="00117BF8">
      <w:pPr>
        <w:pStyle w:val="hsaNotalapie"/>
        <w:ind w:left="180" w:firstLine="90"/>
        <w:jc w:val="both"/>
        <w:rPr>
          <w:lang w:val="es-AR"/>
        </w:rPr>
      </w:pPr>
      <w:r w:rsidRPr="00117BF8">
        <w:rPr>
          <w:rFonts w:ascii="Arial" w:hAnsi="Arial" w:cs="Arial"/>
          <w:sz w:val="18"/>
          <w:szCs w:val="18"/>
          <w:lang w:val="es-AR"/>
        </w:rPr>
        <w:t>Fuente: Prospecto de Emisión de Deuda del 8/2/17</w:t>
      </w:r>
    </w:p>
  </w:footnote>
  <w:footnote w:id="13">
    <w:p w14:paraId="50000BBA" w14:textId="093F8DAF" w:rsidR="00117BF8" w:rsidRPr="00117BF8" w:rsidRDefault="00117BF8" w:rsidP="00117BF8">
      <w:pPr>
        <w:pStyle w:val="hsaNotalapie"/>
        <w:ind w:left="270" w:hanging="270"/>
        <w:jc w:val="both"/>
        <w:rPr>
          <w:rFonts w:ascii="Arial" w:hAnsi="Arial" w:cs="Arial"/>
          <w:color w:val="auto"/>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color w:val="auto"/>
          <w:sz w:val="18"/>
          <w:szCs w:val="18"/>
        </w:rPr>
        <w:t xml:space="preserve">Según el </w:t>
      </w:r>
      <w:r w:rsidRPr="00117BF8">
        <w:rPr>
          <w:rFonts w:ascii="Arial" w:hAnsi="Arial" w:cs="Arial"/>
          <w:color w:val="auto"/>
          <w:sz w:val="18"/>
          <w:szCs w:val="18"/>
          <w:shd w:val="clear" w:color="auto" w:fill="FFFFFF"/>
        </w:rPr>
        <w:t>Indicador Trimestral de Actividad Económica (ITAE) de la Provincia de Buenos Aires, la variación interanual para cada trimestre 2016 fue:</w:t>
      </w:r>
      <w:r w:rsidRPr="00117BF8">
        <w:rPr>
          <w:rFonts w:ascii="Arial" w:hAnsi="Arial" w:cs="Arial"/>
          <w:color w:val="auto"/>
          <w:sz w:val="18"/>
          <w:szCs w:val="18"/>
        </w:rPr>
        <w:t xml:space="preserve"> </w:t>
      </w:r>
      <w:r w:rsidRPr="00117BF8">
        <w:rPr>
          <w:rFonts w:ascii="Arial" w:hAnsi="Arial" w:cs="Arial"/>
          <w:color w:val="auto"/>
          <w:sz w:val="18"/>
          <w:szCs w:val="18"/>
          <w:lang w:val="es-AR" w:eastAsia="es-AR"/>
        </w:rPr>
        <w:t>-1,3%, -1,8%, -3,3%, -2,6%.</w:t>
      </w:r>
    </w:p>
  </w:footnote>
  <w:footnote w:id="14">
    <w:p w14:paraId="2CCEAC46" w14:textId="46E33DFD" w:rsidR="00117BF8" w:rsidRPr="00117BF8" w:rsidRDefault="00117BF8" w:rsidP="00117BF8">
      <w:pPr>
        <w:pStyle w:val="hsaNotalapie"/>
        <w:ind w:left="270"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 xml:space="preserve">Bajo el sistema de coparticipación federal de impuestos, el gobierno nacional debe transferir a un fondo de coparticipación creado a ese efecto, 64% de los ingresos provenientes del impuesto a las ganancias, 89% de los ingresos provenientes del impuesto al valor agregado, el 100% del impuesto a la ganancia mínima presunta, el 30% del impuesto a los débitos y créditos bancarios, entre otros. De estos recursos, ARS 549,6 millones son destinados al Fondo de Desequilibrios Fiscales Provinciales. De los recursos restantes, el 15% se destina al Sistema Previsional y el 85% se distribuye de la siguiente manera: el 42,3% es destinado al gobierno nacional, a la Ciudad de Buenos Aires y a la Provincia de Tierra del Fuego, el 1% es retenido en un fondo especial para situaciones de emergencias y aproximadamente 56,66% es distribuido a las provincias de acuerdo con los porcentajes establecidos en la Ley de Coparticipación de Impuestos Nacionales. A la Provincia le corresponde el 21,7% de los fondos a distribuir entre las provincias. La Provincia debe transferir una porción de ese monto a las municipalidades, disponiendo de los fondos remanentes en forma discrecional. El 18 de mayo de 2016, el gobierno nacional y los gobernadores de la mayoría de las provincias, incluida la Provincia de Buenos Aires, y el vice jefe de la Ciudad de Buenos Aires firmaron un acuerdo a fin de reducir gradualmente la mencionada deducción del 15,0% de los recursos coparticipables, a una tasa anual del 3%, desde 2016 a 2020. </w:t>
      </w:r>
      <w:r w:rsidRPr="00117BF8">
        <w:rPr>
          <w:rFonts w:ascii="Arial" w:hAnsi="Arial" w:cs="Arial"/>
          <w:sz w:val="18"/>
          <w:szCs w:val="18"/>
          <w:lang w:val="es-AR"/>
        </w:rPr>
        <w:t>Fuente: Prospecto de Emisión de Deuda del 8/2/17</w:t>
      </w:r>
    </w:p>
  </w:footnote>
  <w:footnote w:id="15">
    <w:p w14:paraId="0FB3BAC5" w14:textId="1B92C2C4" w:rsidR="00117BF8" w:rsidRPr="00117BF8" w:rsidRDefault="00117BF8" w:rsidP="00117BF8">
      <w:pPr>
        <w:pStyle w:val="hsaNotalapie"/>
        <w:ind w:left="270"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Los organismos de Seguridad Social funcionan como un sistema solidario.</w:t>
      </w:r>
    </w:p>
  </w:footnote>
  <w:footnote w:id="16">
    <w:p w14:paraId="7D10DA06" w14:textId="05F14E94" w:rsidR="00117BF8" w:rsidRPr="004B73A2" w:rsidRDefault="00117BF8" w:rsidP="00117BF8">
      <w:pPr>
        <w:pStyle w:val="hsaNotalapie"/>
        <w:ind w:left="270" w:hanging="270"/>
        <w:jc w:val="both"/>
        <w:rPr>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Estos aportes consisten básicamente en transferencias discrecionales a las provincias, conocidas como Aportes del Tesoro Nacional, para satisfacer necesidades especiales o de emergencia o para financiar ciertos gastos de interés nacional.</w:t>
      </w:r>
    </w:p>
  </w:footnote>
  <w:footnote w:id="17">
    <w:p w14:paraId="0A891CCE" w14:textId="663799B5" w:rsidR="00117BF8" w:rsidRPr="00117BF8" w:rsidRDefault="00117BF8" w:rsidP="00117BF8">
      <w:pPr>
        <w:pStyle w:val="hsaNotalapie"/>
        <w:ind w:left="270" w:right="-135"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Según la planta prevista en los presupuestos para Seguridad entre 2016 y 2014 el crecimiento fue 41%.</w:t>
      </w:r>
    </w:p>
  </w:footnote>
  <w:footnote w:id="18">
    <w:p w14:paraId="4922D1CB" w14:textId="28489945" w:rsidR="00117BF8" w:rsidRPr="00117BF8" w:rsidRDefault="00117BF8" w:rsidP="00117BF8">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La Provincia coparticipa de la recaudación tributaria a los municipios. Los porcentajes y maneras son diferentes según el impuesto y a cargo de quién esté la recaudación.</w:t>
      </w:r>
    </w:p>
  </w:footnote>
  <w:footnote w:id="19">
    <w:p w14:paraId="57D7331C" w14:textId="216060EE" w:rsidR="00117BF8" w:rsidRPr="00117BF8" w:rsidRDefault="00117BF8" w:rsidP="0003477B">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Mensaje de elevación del Presupuesto.</w:t>
      </w:r>
    </w:p>
  </w:footnote>
  <w:footnote w:id="20">
    <w:p w14:paraId="75D09541" w14:textId="1C5FC5C6" w:rsidR="00117BF8" w:rsidRPr="00117BF8" w:rsidRDefault="00117BF8" w:rsidP="0003477B">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EL CER es un índice que se deriva del incremento de los precios al consumidor.</w:t>
      </w:r>
    </w:p>
  </w:footnote>
  <w:footnote w:id="21">
    <w:p w14:paraId="5DFAE7E1" w14:textId="3AB8A93C" w:rsidR="00117BF8" w:rsidRPr="00117BF8" w:rsidRDefault="00117BF8" w:rsidP="00117BF8">
      <w:pPr>
        <w:pStyle w:val="hsaNotalapie"/>
        <w:ind w:left="270" w:hanging="270"/>
        <w:jc w:val="both"/>
        <w:rPr>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Los representantes de la Provincia informan que en 2013, el INDEC modificó su metodología de cálculo del PBI y año base para calcular el PBI a precios constantes de 2004. Así, este organismo publicó una nueva serie a partir de 2004 a precios corrientes y a precios constantes y que por esta razón la Dirección Provincial de Estadística de la Provincia de Buenos Aires, se encuentra abocada a implementar estos cambios en sus cálculos del PBG, y próximamente publicará una serie completa con estos nuevos datos. En este marco, la Provincia utiliza para proyecciones y cálculos de indicadores de evolución de distintas variables (como por ejemplo, indicadores de deuda) un valor de PBG que sea compatible con los valores de PBI publicados por el Indec bajo la nueva metodología. Así, contempla para este cálculo la participación histórica del producto provincial en el producto nacional, que promedió aproximadamente el 36% en el período 2009 – 2012 (últimos datos comparables) (Esto fue informado en diferentes reuniones y por mail del 7/9/2017.</w:t>
      </w:r>
    </w:p>
    <w:p w14:paraId="7D9E99F2" w14:textId="67C7BEA2" w:rsidR="00117BF8" w:rsidRPr="00117BF8" w:rsidRDefault="00117BF8" w:rsidP="00117BF8">
      <w:pPr>
        <w:pStyle w:val="hsaNotalapie"/>
        <w:ind w:left="270"/>
        <w:jc w:val="both"/>
        <w:rPr>
          <w:rFonts w:ascii="Arial" w:hAnsi="Arial" w:cs="Arial"/>
          <w:sz w:val="18"/>
          <w:szCs w:val="18"/>
        </w:rPr>
      </w:pPr>
      <w:r w:rsidRPr="00117BF8">
        <w:rPr>
          <w:rFonts w:ascii="Arial" w:hAnsi="Arial" w:cs="Arial"/>
          <w:sz w:val="18"/>
          <w:szCs w:val="18"/>
        </w:rPr>
        <w:t>La forma de cálculo de este PBG se detalla en el prospecto de Emisión de deuda del 8/2/17 (Pags 92</w:t>
      </w:r>
      <w:r>
        <w:rPr>
          <w:rFonts w:ascii="Arial" w:hAnsi="Arial" w:cs="Arial"/>
          <w:sz w:val="18"/>
          <w:szCs w:val="18"/>
        </w:rPr>
        <w:t>-</w:t>
      </w:r>
      <w:r w:rsidRPr="00117BF8">
        <w:rPr>
          <w:rFonts w:ascii="Arial" w:hAnsi="Arial" w:cs="Arial"/>
          <w:sz w:val="18"/>
          <w:szCs w:val="18"/>
        </w:rPr>
        <w:t xml:space="preserve"> 93 de la versión en español):</w:t>
      </w:r>
    </w:p>
    <w:p w14:paraId="4884D8BE" w14:textId="21B7D474" w:rsidR="00117BF8" w:rsidRPr="00117BF8" w:rsidRDefault="00117BF8" w:rsidP="00117BF8">
      <w:pPr>
        <w:pStyle w:val="hsaNotalapie"/>
        <w:ind w:left="270"/>
        <w:rPr>
          <w:rFonts w:ascii="Arial" w:hAnsi="Arial" w:cs="Arial"/>
          <w:sz w:val="18"/>
          <w:szCs w:val="18"/>
        </w:rPr>
      </w:pPr>
      <w:r w:rsidRPr="00117BF8">
        <w:rPr>
          <w:rFonts w:ascii="Arial" w:hAnsi="Arial" w:cs="Arial"/>
          <w:sz w:val="18"/>
          <w:szCs w:val="18"/>
        </w:rPr>
        <w:t xml:space="preserve">“PBG 2011-2012: el PBG se calcula teniendo en cuenta la (i) participación del PBG en el PBI, calculado bajo la vieja metodología, para 2011 y 2012 (35,9% y 36,8%, respectivamente) y (ii) el PBI para 2011 y 2012, publicado por INDEC, calculado bajo la metodología vigente. </w:t>
      </w:r>
    </w:p>
    <w:p w14:paraId="2B7BC65E" w14:textId="77777777" w:rsidR="00117BF8" w:rsidRPr="00783BCC" w:rsidRDefault="00117BF8" w:rsidP="00117BF8">
      <w:pPr>
        <w:pStyle w:val="hsaNotalapie"/>
        <w:jc w:val="both"/>
        <w:rPr>
          <w:lang w:val="es-AR"/>
        </w:rPr>
      </w:pPr>
      <w:r w:rsidRPr="00117BF8">
        <w:rPr>
          <w:rFonts w:ascii="Arial" w:hAnsi="Arial" w:cs="Arial"/>
          <w:sz w:val="18"/>
          <w:szCs w:val="18"/>
        </w:rPr>
        <w:t>PBG para 2013-2015: el PBG se calcula teniendo en cuenta la (i) participación promedio del PBG en el PBI, calculado bajo la vieja metodología, durante el periodo 2009-2012 (aproximadamente 35,8%), y (ii) el PBI para el período 2013-2015 publicado por INDEC, calculado bajo la metodología vigente.”</w:t>
      </w:r>
    </w:p>
  </w:footnote>
  <w:footnote w:id="22">
    <w:p w14:paraId="4675D9B7" w14:textId="2BF68F25" w:rsidR="00117BF8" w:rsidRPr="00117BF8" w:rsidRDefault="00117BF8" w:rsidP="0003477B">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No se encuentran disponibles los datos del PBG para el año 2016, se sume igual evolución que el PIB nacional (Caída de 2,2% y en precios corrientes aumento del 37,5%)</w:t>
      </w:r>
    </w:p>
  </w:footnote>
  <w:footnote w:id="23">
    <w:p w14:paraId="322E2BF4" w14:textId="65A24C6E" w:rsidR="00117BF8" w:rsidRPr="00117BF8" w:rsidRDefault="00117BF8" w:rsidP="0003477B">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http://www.ec.gba.gov.ar/areas/hacienda/PolTributaria/recaudacion_provincial.php</w:t>
      </w:r>
    </w:p>
  </w:footnote>
  <w:footnote w:id="24">
    <w:p w14:paraId="30590DC0" w14:textId="4E61D683" w:rsidR="00117BF8" w:rsidRPr="00117BF8" w:rsidRDefault="00117BF8" w:rsidP="0003477B">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 xml:space="preserve">Datos del año 2013, </w:t>
      </w:r>
      <w:r w:rsidRPr="00AF0E82">
        <w:rPr>
          <w:rFonts w:ascii="Arial" w:hAnsi="Arial" w:cs="Arial"/>
          <w:sz w:val="18"/>
          <w:szCs w:val="18"/>
          <w:lang w:val="es-AR"/>
        </w:rPr>
        <w:t>último</w:t>
      </w:r>
      <w:r w:rsidRPr="00117BF8">
        <w:rPr>
          <w:rFonts w:ascii="Arial" w:hAnsi="Arial" w:cs="Arial"/>
          <w:sz w:val="18"/>
          <w:szCs w:val="18"/>
          <w:lang w:val="es-AR"/>
        </w:rPr>
        <w:t xml:space="preserve"> año disponible para todas las provincias analizadas</w:t>
      </w:r>
    </w:p>
  </w:footnote>
  <w:footnote w:id="25">
    <w:p w14:paraId="63715DFB" w14:textId="1A6F33E3" w:rsidR="00117BF8" w:rsidRPr="00117BF8" w:rsidRDefault="00117BF8" w:rsidP="0003477B">
      <w:pPr>
        <w:pStyle w:val="hsaNotalapie"/>
        <w:ind w:left="270" w:hanging="270"/>
        <w:rPr>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 xml:space="preserve">IERAL - Año 11 - Edición Nº 27 - 27 de </w:t>
      </w:r>
      <w:r w:rsidRPr="00AF0E82">
        <w:rPr>
          <w:rFonts w:ascii="Arial" w:hAnsi="Arial" w:cs="Arial"/>
          <w:sz w:val="18"/>
          <w:szCs w:val="18"/>
        </w:rPr>
        <w:t>enero</w:t>
      </w:r>
      <w:r w:rsidRPr="00117BF8">
        <w:rPr>
          <w:rFonts w:ascii="Arial" w:hAnsi="Arial" w:cs="Arial"/>
          <w:sz w:val="18"/>
          <w:szCs w:val="18"/>
        </w:rPr>
        <w:t xml:space="preserve"> de 2016</w:t>
      </w:r>
    </w:p>
  </w:footnote>
  <w:footnote w:id="26">
    <w:p w14:paraId="0F2F6138" w14:textId="37264C34" w:rsidR="00117BF8" w:rsidRPr="00117BF8" w:rsidRDefault="00117BF8" w:rsidP="00117BF8">
      <w:pPr>
        <w:pStyle w:val="hsaNotalapie"/>
        <w:ind w:left="270" w:hanging="270"/>
        <w:jc w:val="both"/>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Se considera la serie desde 1993 debido a que luego de la hiperinflación de 1989, se considera que las</w:t>
      </w:r>
      <w:r>
        <w:rPr>
          <w:rFonts w:ascii="Arial" w:hAnsi="Arial" w:cs="Arial"/>
          <w:sz w:val="18"/>
          <w:szCs w:val="18"/>
          <w:lang w:val="es-AR"/>
        </w:rPr>
        <w:t xml:space="preserve"> </w:t>
      </w:r>
      <w:r w:rsidRPr="00117BF8">
        <w:rPr>
          <w:rFonts w:ascii="Arial" w:hAnsi="Arial" w:cs="Arial"/>
          <w:sz w:val="18"/>
          <w:szCs w:val="18"/>
          <w:lang w:val="es-AR"/>
        </w:rPr>
        <w:t>variables macro se estabilizaron y porque las series de PBI a precios constante utilizan como base año 1993 y 2004.</w:t>
      </w:r>
    </w:p>
  </w:footnote>
  <w:footnote w:id="27">
    <w:p w14:paraId="27B15E90" w14:textId="2932DC75" w:rsidR="00117BF8" w:rsidRPr="00526DE1" w:rsidRDefault="00117BF8" w:rsidP="00117BF8">
      <w:pPr>
        <w:pStyle w:val="hsaNotalapie"/>
        <w:ind w:left="270" w:hanging="270"/>
        <w:jc w:val="both"/>
        <w:rPr>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Indice cuarto trimestre 2016 respecto de cuarto trimestre 2015, fuente INDEC</w:t>
      </w:r>
    </w:p>
  </w:footnote>
  <w:footnote w:id="28">
    <w:p w14:paraId="5A857D26" w14:textId="3F7346B1" w:rsidR="00117BF8" w:rsidRPr="00117BF8" w:rsidRDefault="00117BF8" w:rsidP="00CF312E">
      <w:pPr>
        <w:pStyle w:val="hsaNotalapie"/>
        <w:ind w:left="270" w:hanging="270"/>
        <w:rPr>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Fuente: Ministerio de Economía de la Provincia de Buenos Aires, Subsecretaría de Coordinación Económica, Dirección Provincial de Estadística.</w:t>
      </w:r>
    </w:p>
  </w:footnote>
  <w:footnote w:id="29">
    <w:p w14:paraId="4E1EF58B" w14:textId="7FEDEC36" w:rsidR="00117BF8" w:rsidRPr="00117BF8" w:rsidRDefault="00117BF8" w:rsidP="00CF312E">
      <w:pPr>
        <w:pStyle w:val="hsaNotalapie"/>
        <w:ind w:left="270" w:hanging="270"/>
        <w:rPr>
          <w:rFonts w:ascii="Arial" w:hAnsi="Arial" w:cs="Arial"/>
          <w:sz w:val="18"/>
          <w:szCs w:val="18"/>
          <w:lang w:val="es-AR"/>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Mail del 15/9/17</w:t>
      </w:r>
    </w:p>
  </w:footnote>
  <w:footnote w:id="30">
    <w:p w14:paraId="14BEAE10" w14:textId="044CD71A" w:rsidR="00117BF8" w:rsidRPr="00117BF8" w:rsidRDefault="00117BF8" w:rsidP="00117BF8">
      <w:pPr>
        <w:pStyle w:val="hsaNotalapie"/>
        <w:ind w:left="270" w:hanging="270"/>
        <w:jc w:val="both"/>
        <w:rPr>
          <w:rStyle w:val="Hyperlink"/>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hyperlink r:id="rId1" w:history="1">
        <w:r w:rsidRPr="00117BF8">
          <w:rPr>
            <w:rStyle w:val="Hyperlink"/>
            <w:rFonts w:ascii="Arial" w:hAnsi="Arial" w:cs="Arial"/>
            <w:sz w:val="18"/>
            <w:szCs w:val="18"/>
          </w:rPr>
          <w:t>http://www.ambito.com/897277-responsabilidad-fiscal-primer-paso-de-pacto-con-provincias</w:t>
        </w:r>
      </w:hyperlink>
    </w:p>
    <w:p w14:paraId="72286A1C" w14:textId="77777777" w:rsidR="00117BF8" w:rsidRPr="00EF7F62" w:rsidRDefault="00117BF8" w:rsidP="00117BF8">
      <w:pPr>
        <w:pStyle w:val="hsaNotalapie"/>
        <w:ind w:firstLine="270"/>
        <w:jc w:val="both"/>
        <w:rPr>
          <w:lang w:val="es-AR"/>
        </w:rPr>
      </w:pPr>
      <w:hyperlink r:id="rId2" w:history="1">
        <w:r w:rsidRPr="00117BF8">
          <w:rPr>
            <w:rStyle w:val="Hyperlink"/>
            <w:rFonts w:ascii="Arial" w:hAnsi="Arial" w:cs="Arial"/>
            <w:sz w:val="18"/>
            <w:szCs w:val="18"/>
          </w:rPr>
          <w:t>http://www.lanacion.com.ar/2063083-el-acuerdo-por-la-ley-de-responsabilidad-fiscal</w:t>
        </w:r>
      </w:hyperlink>
    </w:p>
  </w:footnote>
  <w:footnote w:id="31">
    <w:p w14:paraId="137BAD42" w14:textId="16E97DD8" w:rsidR="00117BF8" w:rsidRPr="00117BF8" w:rsidRDefault="00117BF8" w:rsidP="00117BF8">
      <w:pPr>
        <w:pStyle w:val="hsaNotalapie"/>
        <w:ind w:left="270" w:hanging="270"/>
        <w:jc w:val="both"/>
        <w:rPr>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hyperlink r:id="rId3" w:history="1">
        <w:r w:rsidRPr="00117BF8">
          <w:rPr>
            <w:rStyle w:val="Hyperlink"/>
            <w:rFonts w:ascii="Arial" w:hAnsi="Arial" w:cs="Arial"/>
            <w:sz w:val="18"/>
            <w:szCs w:val="18"/>
          </w:rPr>
          <w:t>http://www.ec.gba.gov.ar/areas/finanzas/deuda/mercado%20de%20capitales/prospectos/</w:t>
        </w:r>
      </w:hyperlink>
    </w:p>
  </w:footnote>
  <w:footnote w:id="32">
    <w:p w14:paraId="0AB284D6" w14:textId="008C4B8A" w:rsidR="00117BF8" w:rsidRPr="00C24935" w:rsidRDefault="00117BF8" w:rsidP="00117BF8">
      <w:pPr>
        <w:pStyle w:val="hsaNotalapie"/>
        <w:ind w:left="270" w:hanging="270"/>
        <w:jc w:val="both"/>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lang w:val="es-AR"/>
        </w:rPr>
        <w:t>La calificación Baa.ar indica una capacidad de pago promedio con relación a otros emisores locales. El modificador 3 indica que la calificación se ubica en el rango más bajo de su categoría. La categoría Baa3.ar equivale a la categoría regulatoria BBB (-)</w:t>
      </w:r>
    </w:p>
  </w:footnote>
  <w:footnote w:id="33">
    <w:p w14:paraId="7D9EC0A2" w14:textId="17040ABA" w:rsidR="00117BF8" w:rsidRPr="00117BF8" w:rsidRDefault="00117BF8" w:rsidP="00117BF8">
      <w:pPr>
        <w:pStyle w:val="hsaNotalapie"/>
        <w:ind w:left="270" w:hanging="270"/>
        <w:jc w:val="both"/>
        <w:rPr>
          <w:rFonts w:ascii="Arial" w:hAnsi="Arial" w:cs="Arial"/>
          <w:sz w:val="18"/>
          <w:szCs w:val="18"/>
        </w:rPr>
      </w:pPr>
      <w:r w:rsidRPr="00117BF8">
        <w:rPr>
          <w:rStyle w:val="FootnoteReference"/>
          <w:rFonts w:ascii="Arial" w:hAnsi="Arial" w:cs="Arial"/>
          <w:sz w:val="18"/>
          <w:szCs w:val="18"/>
        </w:rPr>
        <w:footnoteRef/>
      </w:r>
      <w:r w:rsidRPr="00117BF8">
        <w:rPr>
          <w:rFonts w:ascii="Arial" w:hAnsi="Arial" w:cs="Arial"/>
          <w:sz w:val="18"/>
          <w:szCs w:val="18"/>
        </w:rPr>
        <w:t xml:space="preserve"> </w:t>
      </w:r>
      <w:r>
        <w:rPr>
          <w:rFonts w:ascii="Arial" w:hAnsi="Arial" w:cs="Arial"/>
          <w:sz w:val="18"/>
          <w:szCs w:val="18"/>
        </w:rPr>
        <w:tab/>
      </w:r>
      <w:r w:rsidRPr="00117BF8">
        <w:rPr>
          <w:rFonts w:ascii="Arial" w:hAnsi="Arial" w:cs="Arial"/>
          <w:sz w:val="18"/>
          <w:szCs w:val="18"/>
        </w:rPr>
        <w:t>Los representantes de la Provincia informan que en 2013, el INDEC modificó su metodología de cálculo del PBI y año base para calcular el PBI a precios constantes de 2004. Así, este organismo publicó una nueva serie a partir de 2004 a precios corrientes y a precios constantes y que por esta razón la Dirección Provincial de Estadística de la Provincia de Buenos Aires, se encuentra abocada a implementar estos cambios en sus cálculos del PBG, y próximamente publicará una serie completa con estos nuevos datos. En este marco, la Provincia utiliza para proyecciones y cálculos de indicadores de evolución de distintas variables (como por ejemplo, indicadores de deuda) un valor de PBG que sea compatible con los valores de PBI publicados por el Indec bajo la nueva metodología. Así, contempla para este cálculo la participación histórica del producto provincial en el producto nacional, que promedió aproximadamente el 36% en el período 2009 – 2012 (últimos datos comparables) (Esto fue informado en diferentes reuniones y por mail del 7/9/2017.</w:t>
      </w:r>
    </w:p>
    <w:p w14:paraId="4E50FE36" w14:textId="77777777" w:rsidR="00117BF8" w:rsidRPr="00117BF8" w:rsidRDefault="00117BF8" w:rsidP="00117BF8">
      <w:pPr>
        <w:pStyle w:val="hsaNotalapie"/>
        <w:ind w:left="270"/>
        <w:jc w:val="both"/>
        <w:rPr>
          <w:rFonts w:ascii="Arial" w:hAnsi="Arial" w:cs="Arial"/>
          <w:sz w:val="18"/>
          <w:szCs w:val="18"/>
        </w:rPr>
      </w:pPr>
      <w:r w:rsidRPr="00117BF8">
        <w:rPr>
          <w:rFonts w:ascii="Arial" w:hAnsi="Arial" w:cs="Arial"/>
          <w:sz w:val="18"/>
          <w:szCs w:val="18"/>
        </w:rPr>
        <w:t>La forma de cálculo de este PBG se detalla en el prospecto de Emisión de deuda del 8/2/17 (Pags 92 93 de la versión en español):</w:t>
      </w:r>
    </w:p>
    <w:p w14:paraId="14354519" w14:textId="53463E55" w:rsidR="00117BF8" w:rsidRPr="00117BF8" w:rsidRDefault="00117BF8" w:rsidP="00117BF8">
      <w:pPr>
        <w:pStyle w:val="hsaNotalapie"/>
        <w:ind w:left="270"/>
        <w:jc w:val="both"/>
        <w:rPr>
          <w:rFonts w:ascii="Arial" w:hAnsi="Arial" w:cs="Arial"/>
          <w:sz w:val="18"/>
          <w:szCs w:val="18"/>
        </w:rPr>
      </w:pPr>
      <w:r w:rsidRPr="00117BF8">
        <w:rPr>
          <w:rFonts w:ascii="Arial" w:hAnsi="Arial" w:cs="Arial"/>
          <w:sz w:val="18"/>
          <w:szCs w:val="18"/>
        </w:rPr>
        <w:t xml:space="preserve">“PBG 2011-2012: el PBG se calcula teniendo en cuenta la (i) participación del PBG en el PBI, calculado bajo la vieja metodología, para 2011 y 2012 (35,9% y 36,8%, respectivamente) y (ii) el PBI para 2011 y 2012, publicado por INDEC, calculado bajo la metodología vigente. </w:t>
      </w:r>
    </w:p>
    <w:p w14:paraId="5AA87DA3" w14:textId="77777777" w:rsidR="00117BF8" w:rsidRPr="00117BF8" w:rsidRDefault="00117BF8" w:rsidP="00117BF8">
      <w:pPr>
        <w:pStyle w:val="hsaNotalapie"/>
        <w:ind w:left="270"/>
        <w:jc w:val="both"/>
        <w:rPr>
          <w:rFonts w:ascii="Arial" w:hAnsi="Arial" w:cs="Arial"/>
          <w:sz w:val="18"/>
          <w:szCs w:val="18"/>
          <w:lang w:val="es-AR"/>
        </w:rPr>
      </w:pPr>
      <w:r w:rsidRPr="00117BF8">
        <w:rPr>
          <w:rFonts w:ascii="Arial" w:hAnsi="Arial" w:cs="Arial"/>
          <w:sz w:val="18"/>
          <w:szCs w:val="18"/>
        </w:rPr>
        <w:t>PBG para 2013-2015: el PBG se calcula teniendo en cuenta la (i) participación promedio del PBG en el PBI, calculado bajo la vieja metodología, durante el periodo 2009-2012 (aproximadamente 35,8%), y (ii) el PBI para el período 2013-2015 publicado por INDEC, calculado bajo la metodología vigente.”</w:t>
      </w:r>
    </w:p>
    <w:p w14:paraId="0CE8C0D7" w14:textId="77777777" w:rsidR="00117BF8" w:rsidRPr="00117BF8" w:rsidRDefault="00117BF8">
      <w:pPr>
        <w:pStyle w:val="FootnoteText"/>
        <w:rPr>
          <w:rFonts w:ascii="Arial" w:hAnsi="Arial" w:cs="Arial"/>
          <w:sz w:val="18"/>
          <w:szCs w:val="18"/>
          <w:lang w:val="es-A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12DDEF63" w14:textId="77777777" w:rsidTr="00125BB8">
      <w:tc>
        <w:tcPr>
          <w:tcW w:w="3686" w:type="dxa"/>
          <w:vAlign w:val="center"/>
        </w:tcPr>
        <w:p w14:paraId="673999B2" w14:textId="77777777" w:rsidR="00117BF8" w:rsidRPr="00125BB8" w:rsidRDefault="00117BF8" w:rsidP="004613D1">
          <w:pPr>
            <w:pStyle w:val="Header"/>
            <w:spacing w:after="120"/>
            <w:jc w:val="left"/>
            <w:rPr>
              <w:rFonts w:ascii="Calibri" w:hAnsi="Calibri"/>
              <w:b/>
            </w:rPr>
          </w:pPr>
        </w:p>
      </w:tc>
      <w:tc>
        <w:tcPr>
          <w:tcW w:w="5103" w:type="dxa"/>
        </w:tcPr>
        <w:p w14:paraId="27CA319C" w14:textId="77777777" w:rsidR="00117BF8" w:rsidRPr="00DE05B1" w:rsidRDefault="00117BF8" w:rsidP="00125BB8">
          <w:pPr>
            <w:pStyle w:val="Header"/>
            <w:spacing w:after="120"/>
            <w:jc w:val="right"/>
            <w:rPr>
              <w:rFonts w:ascii="Calibri" w:hAnsi="Calibri" w:cs="Calibri"/>
              <w:i/>
              <w:sz w:val="20"/>
            </w:rPr>
          </w:pPr>
        </w:p>
      </w:tc>
    </w:tr>
  </w:tbl>
  <w:p w14:paraId="673567E7"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47605999" w14:textId="77777777" w:rsidTr="00125BB8">
      <w:tc>
        <w:tcPr>
          <w:tcW w:w="3686" w:type="dxa"/>
          <w:vAlign w:val="center"/>
        </w:tcPr>
        <w:p w14:paraId="00C31334" w14:textId="382C706F" w:rsidR="00117BF8" w:rsidRPr="00125BB8" w:rsidRDefault="00117BF8" w:rsidP="004613D1">
          <w:pPr>
            <w:pStyle w:val="Header"/>
            <w:spacing w:after="120"/>
            <w:jc w:val="left"/>
            <w:rPr>
              <w:rFonts w:ascii="Calibri" w:hAnsi="Calibri"/>
              <w:b/>
            </w:rPr>
          </w:pPr>
        </w:p>
      </w:tc>
      <w:tc>
        <w:tcPr>
          <w:tcW w:w="5103" w:type="dxa"/>
        </w:tcPr>
        <w:p w14:paraId="56C464EA" w14:textId="4F74710A" w:rsidR="00117BF8" w:rsidRPr="00DE05B1" w:rsidRDefault="00117BF8" w:rsidP="003B4EBF">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565A19CC"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Ind w:w="-72" w:type="dxa"/>
      <w:tblLayout w:type="fixed"/>
      <w:tblCellMar>
        <w:left w:w="70" w:type="dxa"/>
        <w:right w:w="70" w:type="dxa"/>
      </w:tblCellMar>
      <w:tblLook w:val="0000" w:firstRow="0" w:lastRow="0" w:firstColumn="0" w:lastColumn="0" w:noHBand="0" w:noVBand="0"/>
    </w:tblPr>
    <w:tblGrid>
      <w:gridCol w:w="3686"/>
      <w:gridCol w:w="10631"/>
    </w:tblGrid>
    <w:tr w:rsidR="00117BF8" w:rsidRPr="007035BD" w14:paraId="7C350C36" w14:textId="77777777" w:rsidTr="00896310">
      <w:tc>
        <w:tcPr>
          <w:tcW w:w="3686" w:type="dxa"/>
          <w:vAlign w:val="center"/>
        </w:tcPr>
        <w:p w14:paraId="46488E14" w14:textId="3BE604CA" w:rsidR="00117BF8" w:rsidRPr="00125BB8" w:rsidRDefault="00117BF8" w:rsidP="00E82448">
          <w:pPr>
            <w:pStyle w:val="Header"/>
            <w:spacing w:after="120"/>
            <w:jc w:val="left"/>
            <w:rPr>
              <w:rFonts w:ascii="Calibri" w:hAnsi="Calibri"/>
              <w:b/>
            </w:rPr>
          </w:pPr>
        </w:p>
      </w:tc>
      <w:tc>
        <w:tcPr>
          <w:tcW w:w="10631" w:type="dxa"/>
        </w:tcPr>
        <w:p w14:paraId="687F7193" w14:textId="3517A12E" w:rsidR="00117BF8" w:rsidRPr="00DE05B1" w:rsidRDefault="00117BF8" w:rsidP="00E82448">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1A225E78"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3048F963" w14:textId="77777777" w:rsidTr="00125BB8">
      <w:tc>
        <w:tcPr>
          <w:tcW w:w="3686" w:type="dxa"/>
          <w:vAlign w:val="center"/>
        </w:tcPr>
        <w:p w14:paraId="7133F3EC" w14:textId="20DB0E2A" w:rsidR="00117BF8" w:rsidRPr="00125BB8" w:rsidRDefault="00117BF8" w:rsidP="004613D1">
          <w:pPr>
            <w:pStyle w:val="Header"/>
            <w:spacing w:after="120"/>
            <w:jc w:val="left"/>
            <w:rPr>
              <w:rFonts w:ascii="Calibri" w:hAnsi="Calibri"/>
              <w:b/>
            </w:rPr>
          </w:pPr>
        </w:p>
      </w:tc>
      <w:tc>
        <w:tcPr>
          <w:tcW w:w="5103" w:type="dxa"/>
        </w:tcPr>
        <w:p w14:paraId="71219473" w14:textId="0703A9B1" w:rsidR="00117BF8" w:rsidRPr="00DE05B1" w:rsidRDefault="00117BF8" w:rsidP="00117BF8">
          <w:pPr>
            <w:pStyle w:val="Header"/>
            <w:spacing w:after="120"/>
            <w:ind w:right="110"/>
            <w:jc w:val="right"/>
            <w:rPr>
              <w:rFonts w:ascii="Calibri" w:hAnsi="Calibri" w:cs="Calibri"/>
              <w:i/>
              <w:sz w:val="20"/>
            </w:rPr>
          </w:pPr>
        </w:p>
      </w:tc>
    </w:tr>
  </w:tbl>
  <w:p w14:paraId="7A941D4F"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601" w:type="dxa"/>
      <w:tblInd w:w="-72" w:type="dxa"/>
      <w:tblLayout w:type="fixed"/>
      <w:tblCellMar>
        <w:left w:w="70" w:type="dxa"/>
        <w:right w:w="70" w:type="dxa"/>
      </w:tblCellMar>
      <w:tblLook w:val="0000" w:firstRow="0" w:lastRow="0" w:firstColumn="0" w:lastColumn="0" w:noHBand="0" w:noVBand="0"/>
    </w:tblPr>
    <w:tblGrid>
      <w:gridCol w:w="3686"/>
      <w:gridCol w:w="10915"/>
    </w:tblGrid>
    <w:tr w:rsidR="00117BF8" w:rsidRPr="007035BD" w14:paraId="299BA881" w14:textId="77777777" w:rsidTr="00B458C1">
      <w:tc>
        <w:tcPr>
          <w:tcW w:w="3686" w:type="dxa"/>
          <w:vAlign w:val="center"/>
        </w:tcPr>
        <w:p w14:paraId="5E8B16B1" w14:textId="42E3FFEB" w:rsidR="00117BF8" w:rsidRPr="00125BB8" w:rsidRDefault="00117BF8" w:rsidP="004613D1">
          <w:pPr>
            <w:pStyle w:val="Header"/>
            <w:spacing w:after="120"/>
            <w:jc w:val="left"/>
            <w:rPr>
              <w:rFonts w:ascii="Calibri" w:hAnsi="Calibri"/>
              <w:b/>
            </w:rPr>
          </w:pPr>
        </w:p>
      </w:tc>
      <w:tc>
        <w:tcPr>
          <w:tcW w:w="10915" w:type="dxa"/>
        </w:tcPr>
        <w:p w14:paraId="18F27C6A" w14:textId="39860E93" w:rsidR="00117BF8" w:rsidRPr="00DE05B1" w:rsidRDefault="00117BF8" w:rsidP="003B4EBF">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539C26F7"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2D056CB6" w14:textId="77777777" w:rsidTr="00125BB8">
      <w:tc>
        <w:tcPr>
          <w:tcW w:w="3686" w:type="dxa"/>
          <w:vAlign w:val="center"/>
        </w:tcPr>
        <w:p w14:paraId="6F59EB1E" w14:textId="35996812" w:rsidR="00117BF8" w:rsidRPr="00125BB8" w:rsidRDefault="00117BF8" w:rsidP="004613D1">
          <w:pPr>
            <w:pStyle w:val="Header"/>
            <w:spacing w:after="120"/>
            <w:jc w:val="left"/>
            <w:rPr>
              <w:rFonts w:ascii="Calibri" w:hAnsi="Calibri"/>
              <w:b/>
            </w:rPr>
          </w:pPr>
        </w:p>
      </w:tc>
      <w:tc>
        <w:tcPr>
          <w:tcW w:w="5103" w:type="dxa"/>
        </w:tcPr>
        <w:p w14:paraId="679DD51B" w14:textId="2E539872" w:rsidR="00117BF8" w:rsidRPr="00DE05B1" w:rsidRDefault="00117BF8" w:rsidP="003B4EBF">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44285E47"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6" w:type="dxa"/>
      <w:tblInd w:w="-72" w:type="dxa"/>
      <w:tblLayout w:type="fixed"/>
      <w:tblCellMar>
        <w:left w:w="70" w:type="dxa"/>
        <w:right w:w="70" w:type="dxa"/>
      </w:tblCellMar>
      <w:tblLook w:val="0000" w:firstRow="0" w:lastRow="0" w:firstColumn="0" w:lastColumn="0" w:noHBand="0" w:noVBand="0"/>
    </w:tblPr>
    <w:tblGrid>
      <w:gridCol w:w="3686"/>
      <w:gridCol w:w="10490"/>
    </w:tblGrid>
    <w:tr w:rsidR="00117BF8" w:rsidRPr="007035BD" w14:paraId="39DB48AF" w14:textId="77777777" w:rsidTr="00B458C1">
      <w:tc>
        <w:tcPr>
          <w:tcW w:w="3686" w:type="dxa"/>
          <w:vAlign w:val="center"/>
        </w:tcPr>
        <w:p w14:paraId="22E5DC60" w14:textId="631753A2" w:rsidR="00117BF8" w:rsidRPr="00125BB8" w:rsidRDefault="00117BF8" w:rsidP="004613D1">
          <w:pPr>
            <w:pStyle w:val="Header"/>
            <w:spacing w:after="120"/>
            <w:jc w:val="left"/>
            <w:rPr>
              <w:rFonts w:ascii="Calibri" w:hAnsi="Calibri"/>
              <w:b/>
            </w:rPr>
          </w:pPr>
        </w:p>
      </w:tc>
      <w:tc>
        <w:tcPr>
          <w:tcW w:w="10490" w:type="dxa"/>
        </w:tcPr>
        <w:p w14:paraId="674414B5" w14:textId="6D3A6020" w:rsidR="00117BF8" w:rsidRPr="00DE05B1" w:rsidRDefault="00117BF8" w:rsidP="003B4EBF">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2C802EC0"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CF1BC" w14:textId="77777777" w:rsidR="00117BF8" w:rsidRPr="00125BB8" w:rsidRDefault="00117BF8" w:rsidP="00125BB8">
    <w:pPr>
      <w:pStyle w:val="Header"/>
      <w:spacing w:after="0"/>
      <w:rPr>
        <w:noProof/>
        <w:sz w:val="16"/>
        <w:szCs w:val="16"/>
      </w:rPr>
    </w:pPr>
  </w:p>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21B598F2" w14:textId="77777777" w:rsidTr="005B00B2">
      <w:tc>
        <w:tcPr>
          <w:tcW w:w="3686" w:type="dxa"/>
          <w:vAlign w:val="center"/>
        </w:tcPr>
        <w:p w14:paraId="58E28666" w14:textId="0E52CE99" w:rsidR="00117BF8" w:rsidRPr="00125BB8" w:rsidRDefault="00117BF8" w:rsidP="005B00B2">
          <w:pPr>
            <w:pStyle w:val="Header"/>
            <w:spacing w:after="120"/>
            <w:jc w:val="left"/>
            <w:rPr>
              <w:rFonts w:ascii="Calibri" w:hAnsi="Calibri"/>
              <w:b/>
            </w:rPr>
          </w:pPr>
        </w:p>
      </w:tc>
      <w:tc>
        <w:tcPr>
          <w:tcW w:w="5103" w:type="dxa"/>
        </w:tcPr>
        <w:p w14:paraId="054ACD60" w14:textId="52D55992" w:rsidR="00117BF8" w:rsidRPr="00DE05B1" w:rsidRDefault="00117BF8" w:rsidP="005B00B2">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4EB930D0" w14:textId="77777777" w:rsidR="00117BF8" w:rsidRPr="00125BB8" w:rsidRDefault="00117BF8" w:rsidP="00125BB8">
    <w:pPr>
      <w:pStyle w:val="Header"/>
      <w:spacing w:after="0"/>
      <w:rPr>
        <w:noProof/>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FB08" w14:textId="77777777" w:rsidR="00117BF8" w:rsidRPr="00125BB8" w:rsidRDefault="00117BF8" w:rsidP="00125BB8">
    <w:pPr>
      <w:pStyle w:val="Header"/>
      <w:spacing w:after="0"/>
      <w:rPr>
        <w:noProof/>
        <w:sz w:val="16"/>
        <w:szCs w:val="16"/>
      </w:rPr>
    </w:pPr>
  </w:p>
  <w:tbl>
    <w:tblPr>
      <w:tblW w:w="14317" w:type="dxa"/>
      <w:tblInd w:w="-72" w:type="dxa"/>
      <w:tblLayout w:type="fixed"/>
      <w:tblCellMar>
        <w:left w:w="70" w:type="dxa"/>
        <w:right w:w="70" w:type="dxa"/>
      </w:tblCellMar>
      <w:tblLook w:val="0000" w:firstRow="0" w:lastRow="0" w:firstColumn="0" w:lastColumn="0" w:noHBand="0" w:noVBand="0"/>
    </w:tblPr>
    <w:tblGrid>
      <w:gridCol w:w="3686"/>
      <w:gridCol w:w="10631"/>
    </w:tblGrid>
    <w:tr w:rsidR="00117BF8" w:rsidRPr="007035BD" w14:paraId="7428FD7E" w14:textId="77777777" w:rsidTr="00896310">
      <w:tc>
        <w:tcPr>
          <w:tcW w:w="3686" w:type="dxa"/>
          <w:vAlign w:val="center"/>
        </w:tcPr>
        <w:p w14:paraId="5B373B4B" w14:textId="128BB1CF" w:rsidR="00117BF8" w:rsidRPr="00125BB8" w:rsidRDefault="00117BF8" w:rsidP="00E82448">
          <w:pPr>
            <w:pStyle w:val="Header"/>
            <w:spacing w:after="120"/>
            <w:jc w:val="left"/>
            <w:rPr>
              <w:rFonts w:ascii="Calibri" w:hAnsi="Calibri"/>
              <w:b/>
            </w:rPr>
          </w:pPr>
        </w:p>
      </w:tc>
      <w:tc>
        <w:tcPr>
          <w:tcW w:w="10631" w:type="dxa"/>
        </w:tcPr>
        <w:p w14:paraId="70EAA0D5" w14:textId="1FE3C8A6" w:rsidR="00117BF8" w:rsidRPr="00DE05B1" w:rsidRDefault="00117BF8" w:rsidP="00E82448">
          <w:pPr>
            <w:pStyle w:val="Header"/>
            <w:spacing w:after="120"/>
            <w:jc w:val="right"/>
            <w:rPr>
              <w:rFonts w:ascii="Calibri" w:hAnsi="Calibri" w:cs="Calibri"/>
              <w:i/>
              <w:sz w:val="20"/>
            </w:rPr>
          </w:pPr>
        </w:p>
      </w:tc>
    </w:tr>
  </w:tbl>
  <w:p w14:paraId="6391BD30" w14:textId="77777777" w:rsidR="00117BF8" w:rsidRPr="00125BB8" w:rsidRDefault="00117BF8" w:rsidP="00125BB8">
    <w:pPr>
      <w:pStyle w:val="Header"/>
      <w:spacing w:after="0"/>
      <w:rPr>
        <w:noProof/>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BE63" w14:textId="77777777" w:rsidR="00117BF8" w:rsidRPr="00125BB8" w:rsidRDefault="00117BF8" w:rsidP="00125BB8">
    <w:pPr>
      <w:pStyle w:val="Header"/>
      <w:spacing w:after="0"/>
      <w:rPr>
        <w:noProof/>
        <w:sz w:val="16"/>
        <w:szCs w:val="16"/>
      </w:rPr>
    </w:pPr>
  </w:p>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4F669608" w14:textId="77777777" w:rsidTr="005B00B2">
      <w:tc>
        <w:tcPr>
          <w:tcW w:w="3686" w:type="dxa"/>
          <w:vAlign w:val="center"/>
        </w:tcPr>
        <w:p w14:paraId="0423A673" w14:textId="7B8FF1E1" w:rsidR="00117BF8" w:rsidRPr="00125BB8" w:rsidRDefault="00117BF8" w:rsidP="005B00B2">
          <w:pPr>
            <w:pStyle w:val="Header"/>
            <w:spacing w:after="120"/>
            <w:jc w:val="left"/>
            <w:rPr>
              <w:rFonts w:ascii="Calibri" w:hAnsi="Calibri"/>
              <w:b/>
            </w:rPr>
          </w:pPr>
        </w:p>
      </w:tc>
      <w:tc>
        <w:tcPr>
          <w:tcW w:w="5103" w:type="dxa"/>
        </w:tcPr>
        <w:p w14:paraId="66B52C04" w14:textId="038F3FE5" w:rsidR="00117BF8" w:rsidRPr="00DE05B1" w:rsidRDefault="00117BF8" w:rsidP="005B00B2">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2D967F0F" w14:textId="77777777" w:rsidR="00117BF8" w:rsidRPr="00125BB8" w:rsidRDefault="00117BF8" w:rsidP="00125BB8">
    <w:pPr>
      <w:pStyle w:val="Header"/>
      <w:spacing w:after="0"/>
      <w:rPr>
        <w:noProof/>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D0C1A" w14:textId="77777777" w:rsidR="00117BF8" w:rsidRPr="00125BB8" w:rsidRDefault="00117BF8" w:rsidP="00125BB8">
    <w:pPr>
      <w:pStyle w:val="Header"/>
      <w:spacing w:after="0"/>
      <w:rPr>
        <w:noProof/>
        <w:sz w:val="16"/>
        <w:szCs w:val="16"/>
      </w:rPr>
    </w:pPr>
  </w:p>
  <w:tbl>
    <w:tblPr>
      <w:tblW w:w="14317" w:type="dxa"/>
      <w:tblInd w:w="-72" w:type="dxa"/>
      <w:tblLayout w:type="fixed"/>
      <w:tblCellMar>
        <w:left w:w="70" w:type="dxa"/>
        <w:right w:w="70" w:type="dxa"/>
      </w:tblCellMar>
      <w:tblLook w:val="0000" w:firstRow="0" w:lastRow="0" w:firstColumn="0" w:lastColumn="0" w:noHBand="0" w:noVBand="0"/>
    </w:tblPr>
    <w:tblGrid>
      <w:gridCol w:w="3686"/>
      <w:gridCol w:w="10631"/>
    </w:tblGrid>
    <w:tr w:rsidR="00117BF8" w:rsidRPr="007035BD" w14:paraId="05133DB6" w14:textId="77777777" w:rsidTr="00896310">
      <w:tc>
        <w:tcPr>
          <w:tcW w:w="3686" w:type="dxa"/>
          <w:vAlign w:val="center"/>
        </w:tcPr>
        <w:p w14:paraId="2ED5FD77" w14:textId="018C96CB" w:rsidR="00117BF8" w:rsidRPr="00125BB8" w:rsidRDefault="00117BF8" w:rsidP="00E82448">
          <w:pPr>
            <w:pStyle w:val="Header"/>
            <w:spacing w:after="120"/>
            <w:jc w:val="left"/>
            <w:rPr>
              <w:rFonts w:ascii="Calibri" w:hAnsi="Calibri"/>
              <w:b/>
            </w:rPr>
          </w:pPr>
        </w:p>
      </w:tc>
      <w:tc>
        <w:tcPr>
          <w:tcW w:w="10631" w:type="dxa"/>
        </w:tcPr>
        <w:p w14:paraId="626984A9" w14:textId="4B1030A3" w:rsidR="00117BF8" w:rsidRPr="00DE05B1" w:rsidRDefault="00117BF8" w:rsidP="00E82448">
          <w:pPr>
            <w:pStyle w:val="Header"/>
            <w:spacing w:after="120"/>
            <w:jc w:val="right"/>
            <w:rPr>
              <w:rFonts w:ascii="Calibri" w:hAnsi="Calibri" w:cs="Calibri"/>
              <w:i/>
              <w:sz w:val="20"/>
            </w:rPr>
          </w:pPr>
        </w:p>
      </w:tc>
    </w:tr>
  </w:tbl>
  <w:p w14:paraId="4E331B53" w14:textId="77777777" w:rsidR="00117BF8" w:rsidRPr="00125BB8" w:rsidRDefault="00117BF8" w:rsidP="00125BB8">
    <w:pPr>
      <w:pStyle w:val="Header"/>
      <w:spacing w:after="0"/>
      <w:rPr>
        <w:noProo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9414C" w14:textId="77777777" w:rsidR="00117BF8" w:rsidRDefault="00117B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E9D8F" w14:textId="77777777" w:rsidR="00117BF8" w:rsidRPr="00125BB8" w:rsidRDefault="00117BF8" w:rsidP="00125BB8">
    <w:pPr>
      <w:pStyle w:val="Header"/>
      <w:spacing w:after="0"/>
      <w:rPr>
        <w:noProof/>
        <w:sz w:val="16"/>
        <w:szCs w:val="16"/>
      </w:rPr>
    </w:pPr>
  </w:p>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56F2E7E4" w14:textId="77777777" w:rsidTr="005B00B2">
      <w:tc>
        <w:tcPr>
          <w:tcW w:w="3686" w:type="dxa"/>
          <w:vAlign w:val="center"/>
        </w:tcPr>
        <w:p w14:paraId="466F6252" w14:textId="3A6D2212" w:rsidR="00117BF8" w:rsidRPr="00125BB8" w:rsidRDefault="00117BF8" w:rsidP="005B00B2">
          <w:pPr>
            <w:pStyle w:val="Header"/>
            <w:spacing w:after="120"/>
            <w:jc w:val="left"/>
            <w:rPr>
              <w:rFonts w:ascii="Calibri" w:hAnsi="Calibri"/>
              <w:b/>
            </w:rPr>
          </w:pPr>
        </w:p>
      </w:tc>
      <w:tc>
        <w:tcPr>
          <w:tcW w:w="5103" w:type="dxa"/>
        </w:tcPr>
        <w:p w14:paraId="3A1BC8CB" w14:textId="0BB806EB" w:rsidR="00117BF8" w:rsidRPr="00DE05B1" w:rsidRDefault="00117BF8" w:rsidP="005B00B2">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3FB6EEFE" w14:textId="77777777" w:rsidR="00117BF8" w:rsidRPr="00125BB8" w:rsidRDefault="00117BF8" w:rsidP="00125BB8">
    <w:pPr>
      <w:pStyle w:val="Header"/>
      <w:spacing w:after="0"/>
      <w:rPr>
        <w:noProo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488ED2FB" w14:textId="77777777" w:rsidTr="00125BB8">
      <w:tc>
        <w:tcPr>
          <w:tcW w:w="3686" w:type="dxa"/>
          <w:vAlign w:val="center"/>
        </w:tcPr>
        <w:p w14:paraId="5206428D" w14:textId="7C5F5B5C" w:rsidR="00117BF8" w:rsidRPr="00125BB8" w:rsidRDefault="00117BF8" w:rsidP="004613D1">
          <w:pPr>
            <w:pStyle w:val="Header"/>
            <w:spacing w:after="120"/>
            <w:jc w:val="left"/>
            <w:rPr>
              <w:rFonts w:ascii="Calibri" w:hAnsi="Calibri"/>
              <w:b/>
            </w:rPr>
          </w:pPr>
        </w:p>
      </w:tc>
      <w:tc>
        <w:tcPr>
          <w:tcW w:w="5103" w:type="dxa"/>
        </w:tcPr>
        <w:p w14:paraId="55340ACA" w14:textId="5E0E5787" w:rsidR="00117BF8" w:rsidRPr="00DE05B1" w:rsidRDefault="00117BF8" w:rsidP="003B4EBF">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2A40BABB"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C1F6F" w14:textId="77777777" w:rsidR="00117BF8" w:rsidRDefault="00117B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Ind w:w="-72" w:type="dxa"/>
      <w:tblLayout w:type="fixed"/>
      <w:tblCellMar>
        <w:left w:w="70" w:type="dxa"/>
        <w:right w:w="70" w:type="dxa"/>
      </w:tblCellMar>
      <w:tblLook w:val="0000" w:firstRow="0" w:lastRow="0" w:firstColumn="0" w:lastColumn="0" w:noHBand="0" w:noVBand="0"/>
    </w:tblPr>
    <w:tblGrid>
      <w:gridCol w:w="3686"/>
      <w:gridCol w:w="10631"/>
    </w:tblGrid>
    <w:tr w:rsidR="00117BF8" w:rsidRPr="007035BD" w14:paraId="2F4FA37F" w14:textId="77777777" w:rsidTr="00197371">
      <w:tc>
        <w:tcPr>
          <w:tcW w:w="3686" w:type="dxa"/>
          <w:vAlign w:val="center"/>
        </w:tcPr>
        <w:p w14:paraId="74AEA3A3" w14:textId="3A8821AB" w:rsidR="00117BF8" w:rsidRPr="00125BB8" w:rsidRDefault="00117BF8" w:rsidP="004613D1">
          <w:pPr>
            <w:pStyle w:val="Header"/>
            <w:spacing w:after="120"/>
            <w:jc w:val="left"/>
            <w:rPr>
              <w:rFonts w:ascii="Calibri" w:hAnsi="Calibri"/>
              <w:b/>
            </w:rPr>
          </w:pPr>
        </w:p>
      </w:tc>
      <w:tc>
        <w:tcPr>
          <w:tcW w:w="10631" w:type="dxa"/>
        </w:tcPr>
        <w:p w14:paraId="6AC8AADC" w14:textId="30FF32AB" w:rsidR="00117BF8" w:rsidRPr="00DE05B1" w:rsidRDefault="00117BF8" w:rsidP="003B4EBF">
          <w:pPr>
            <w:pStyle w:val="Header"/>
            <w:spacing w:after="120"/>
            <w:jc w:val="right"/>
            <w:rPr>
              <w:rFonts w:ascii="Calibri" w:hAnsi="Calibri" w:cs="Calibri"/>
              <w:i/>
              <w:sz w:val="20"/>
            </w:rPr>
          </w:pPr>
        </w:p>
      </w:tc>
    </w:tr>
  </w:tbl>
  <w:p w14:paraId="1D40166E"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681AE5CA" w14:textId="77777777" w:rsidTr="00125BB8">
      <w:tc>
        <w:tcPr>
          <w:tcW w:w="3686" w:type="dxa"/>
          <w:vAlign w:val="center"/>
        </w:tcPr>
        <w:p w14:paraId="57C0ECCF" w14:textId="5D35FCDB" w:rsidR="00117BF8" w:rsidRPr="00125BB8" w:rsidRDefault="00117BF8" w:rsidP="004613D1">
          <w:pPr>
            <w:pStyle w:val="Header"/>
            <w:spacing w:after="120"/>
            <w:jc w:val="left"/>
            <w:rPr>
              <w:rFonts w:ascii="Calibri" w:hAnsi="Calibri"/>
              <w:b/>
            </w:rPr>
          </w:pPr>
        </w:p>
      </w:tc>
      <w:tc>
        <w:tcPr>
          <w:tcW w:w="5103" w:type="dxa"/>
        </w:tcPr>
        <w:p w14:paraId="1F49AA67" w14:textId="5297DDCD" w:rsidR="00117BF8" w:rsidRPr="00DE05B1" w:rsidRDefault="00117BF8" w:rsidP="003B4EBF">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6AEE754F"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Ind w:w="-72" w:type="dxa"/>
      <w:tblLayout w:type="fixed"/>
      <w:tblCellMar>
        <w:left w:w="70" w:type="dxa"/>
        <w:right w:w="70" w:type="dxa"/>
      </w:tblCellMar>
      <w:tblLook w:val="0000" w:firstRow="0" w:lastRow="0" w:firstColumn="0" w:lastColumn="0" w:noHBand="0" w:noVBand="0"/>
    </w:tblPr>
    <w:tblGrid>
      <w:gridCol w:w="3686"/>
      <w:gridCol w:w="10631"/>
    </w:tblGrid>
    <w:tr w:rsidR="00117BF8" w:rsidRPr="007035BD" w14:paraId="6F393A3F" w14:textId="77777777" w:rsidTr="00197371">
      <w:tc>
        <w:tcPr>
          <w:tcW w:w="3686" w:type="dxa"/>
          <w:vAlign w:val="center"/>
        </w:tcPr>
        <w:p w14:paraId="422AC47E" w14:textId="4CAAD5F9" w:rsidR="00117BF8" w:rsidRPr="00125BB8" w:rsidRDefault="00117BF8" w:rsidP="00197371">
          <w:pPr>
            <w:pStyle w:val="Header"/>
            <w:tabs>
              <w:tab w:val="clear" w:pos="8838"/>
            </w:tabs>
            <w:spacing w:after="120"/>
            <w:jc w:val="left"/>
            <w:rPr>
              <w:rFonts w:ascii="Calibri" w:hAnsi="Calibri"/>
              <w:b/>
            </w:rPr>
          </w:pPr>
        </w:p>
      </w:tc>
      <w:tc>
        <w:tcPr>
          <w:tcW w:w="10631" w:type="dxa"/>
        </w:tcPr>
        <w:p w14:paraId="7DC0F9B9" w14:textId="2E0ED054" w:rsidR="00117BF8" w:rsidRPr="00DE05B1" w:rsidRDefault="00117BF8" w:rsidP="003B4EBF">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017C6F76"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2" w:type="dxa"/>
      <w:tblLayout w:type="fixed"/>
      <w:tblCellMar>
        <w:left w:w="70" w:type="dxa"/>
        <w:right w:w="70" w:type="dxa"/>
      </w:tblCellMar>
      <w:tblLook w:val="0000" w:firstRow="0" w:lastRow="0" w:firstColumn="0" w:lastColumn="0" w:noHBand="0" w:noVBand="0"/>
    </w:tblPr>
    <w:tblGrid>
      <w:gridCol w:w="3686"/>
      <w:gridCol w:w="5103"/>
    </w:tblGrid>
    <w:tr w:rsidR="00117BF8" w:rsidRPr="007035BD" w14:paraId="41765670" w14:textId="77777777" w:rsidTr="00125BB8">
      <w:tc>
        <w:tcPr>
          <w:tcW w:w="3686" w:type="dxa"/>
          <w:vAlign w:val="center"/>
        </w:tcPr>
        <w:p w14:paraId="45D9D204" w14:textId="49DA0D9B" w:rsidR="00117BF8" w:rsidRPr="00125BB8" w:rsidRDefault="00117BF8" w:rsidP="004613D1">
          <w:pPr>
            <w:pStyle w:val="Header"/>
            <w:spacing w:after="120"/>
            <w:jc w:val="left"/>
            <w:rPr>
              <w:rFonts w:ascii="Calibri" w:hAnsi="Calibri"/>
              <w:b/>
            </w:rPr>
          </w:pPr>
        </w:p>
      </w:tc>
      <w:tc>
        <w:tcPr>
          <w:tcW w:w="5103" w:type="dxa"/>
        </w:tcPr>
        <w:p w14:paraId="505AAB9C" w14:textId="7E79EAE2" w:rsidR="00117BF8" w:rsidRPr="00DE05B1" w:rsidRDefault="00117BF8" w:rsidP="003B4EBF">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73DEED90"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Ind w:w="-72" w:type="dxa"/>
      <w:tblLayout w:type="fixed"/>
      <w:tblCellMar>
        <w:left w:w="70" w:type="dxa"/>
        <w:right w:w="70" w:type="dxa"/>
      </w:tblCellMar>
      <w:tblLook w:val="0000" w:firstRow="0" w:lastRow="0" w:firstColumn="0" w:lastColumn="0" w:noHBand="0" w:noVBand="0"/>
    </w:tblPr>
    <w:tblGrid>
      <w:gridCol w:w="3686"/>
      <w:gridCol w:w="10631"/>
    </w:tblGrid>
    <w:tr w:rsidR="00117BF8" w:rsidRPr="007035BD" w14:paraId="6B7A1A7B" w14:textId="77777777" w:rsidTr="00896310">
      <w:tc>
        <w:tcPr>
          <w:tcW w:w="3686" w:type="dxa"/>
          <w:vAlign w:val="center"/>
        </w:tcPr>
        <w:p w14:paraId="6CA4032A" w14:textId="57BB88FE" w:rsidR="00117BF8" w:rsidRPr="00125BB8" w:rsidRDefault="00117BF8" w:rsidP="00E82448">
          <w:pPr>
            <w:pStyle w:val="Header"/>
            <w:spacing w:after="120"/>
            <w:jc w:val="left"/>
            <w:rPr>
              <w:rFonts w:ascii="Calibri" w:hAnsi="Calibri"/>
              <w:b/>
            </w:rPr>
          </w:pPr>
        </w:p>
      </w:tc>
      <w:tc>
        <w:tcPr>
          <w:tcW w:w="10631" w:type="dxa"/>
        </w:tcPr>
        <w:p w14:paraId="6B1A4FF3" w14:textId="5AD7BE5A" w:rsidR="00117BF8" w:rsidRPr="00DE05B1" w:rsidRDefault="00117BF8" w:rsidP="00E82448">
          <w:pPr>
            <w:pStyle w:val="Header"/>
            <w:spacing w:after="120"/>
            <w:jc w:val="right"/>
            <w:rPr>
              <w:rFonts w:ascii="Calibri" w:hAnsi="Calibri" w:cs="Calibri"/>
              <w:i/>
              <w:sz w:val="20"/>
            </w:rPr>
          </w:pPr>
          <w:r w:rsidRPr="00DE05B1">
            <w:rPr>
              <w:rFonts w:ascii="Calibri" w:hAnsi="Calibri" w:cs="Calibri"/>
              <w:bCs/>
              <w:sz w:val="22"/>
              <w:szCs w:val="22"/>
              <w:lang w:val="es-ES_tradnl"/>
            </w:rPr>
            <w:t xml:space="preserve"> </w:t>
          </w:r>
        </w:p>
      </w:tc>
    </w:tr>
  </w:tbl>
  <w:p w14:paraId="4656CE9A" w14:textId="77777777" w:rsidR="00117BF8" w:rsidRPr="00125BB8" w:rsidRDefault="00117BF8" w:rsidP="00125BB8">
    <w:pPr>
      <w:pStyle w:val="Header"/>
      <w:spacing w:after="0"/>
      <w:rPr>
        <w:noProof/>
        <w:sz w:val="16"/>
        <w:szCs w:val="16"/>
      </w:rPr>
    </w:pPr>
    <w:r w:rsidRPr="00125BB8">
      <w:rPr>
        <w:noProof/>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FC"/>
      </v:shape>
    </w:pict>
  </w:numPicBullet>
  <w:abstractNum w:abstractNumId="0" w15:restartNumberingAfterBreak="0">
    <w:nsid w:val="070D2F63"/>
    <w:multiLevelType w:val="hybridMultilevel"/>
    <w:tmpl w:val="4F221C6A"/>
    <w:lvl w:ilvl="0" w:tplc="02F2424C">
      <w:start w:val="1"/>
      <w:numFmt w:val="lowerLetter"/>
      <w:lvlText w:val="%1)"/>
      <w:lvlJc w:val="left"/>
      <w:pPr>
        <w:ind w:left="360" w:hanging="360"/>
      </w:pPr>
      <w:rPr>
        <w:rFonts w:hint="default"/>
      </w:rPr>
    </w:lvl>
    <w:lvl w:ilvl="1" w:tplc="2C0A0003">
      <w:start w:val="1"/>
      <w:numFmt w:val="bullet"/>
      <w:lvlText w:val="o"/>
      <w:lvlJc w:val="left"/>
      <w:pPr>
        <w:ind w:left="1080" w:hanging="360"/>
      </w:pPr>
      <w:rPr>
        <w:rFonts w:ascii="Courier New" w:hAnsi="Courier New" w:cs="Courier New" w:hint="default"/>
      </w:r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 w15:restartNumberingAfterBreak="0">
    <w:nsid w:val="114E7DE0"/>
    <w:multiLevelType w:val="multilevel"/>
    <w:tmpl w:val="2F6E0D32"/>
    <w:lvl w:ilvl="0">
      <w:start w:val="1"/>
      <w:numFmt w:val="decimal"/>
      <w:pStyle w:val="Heading1"/>
      <w:lvlText w:val="%1"/>
      <w:lvlJc w:val="left"/>
      <w:pPr>
        <w:tabs>
          <w:tab w:val="num" w:pos="432"/>
        </w:tabs>
        <w:ind w:left="432" w:hanging="432"/>
      </w:pPr>
      <w:rPr>
        <w:sz w:val="22"/>
        <w:szCs w:val="22"/>
      </w:rPr>
    </w:lvl>
    <w:lvl w:ilvl="1">
      <w:start w:val="1"/>
      <w:numFmt w:val="decimal"/>
      <w:pStyle w:val="Heading2"/>
      <w:lvlText w:val="%1.%2"/>
      <w:lvlJc w:val="left"/>
      <w:pPr>
        <w:tabs>
          <w:tab w:val="num" w:pos="576"/>
        </w:tabs>
        <w:ind w:left="576" w:hanging="576"/>
      </w:pPr>
      <w:rPr>
        <w:sz w:val="22"/>
        <w:szCs w:val="22"/>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34A3E6D"/>
    <w:multiLevelType w:val="hybridMultilevel"/>
    <w:tmpl w:val="5B763728"/>
    <w:lvl w:ilvl="0" w:tplc="2C0A0017">
      <w:start w:val="1"/>
      <w:numFmt w:val="lowerLetter"/>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15:restartNumberingAfterBreak="0">
    <w:nsid w:val="17210D62"/>
    <w:multiLevelType w:val="hybridMultilevel"/>
    <w:tmpl w:val="247ADAA2"/>
    <w:lvl w:ilvl="0" w:tplc="2C0A0017">
      <w:start w:val="1"/>
      <w:numFmt w:val="lowerLetter"/>
      <w:lvlText w:val="%1)"/>
      <w:lvlJc w:val="left"/>
      <w:pPr>
        <w:ind w:left="360" w:hanging="360"/>
      </w:pPr>
    </w:lvl>
    <w:lvl w:ilvl="1" w:tplc="2C0A000D">
      <w:start w:val="1"/>
      <w:numFmt w:val="bullet"/>
      <w:lvlText w:val=""/>
      <w:lvlJc w:val="left"/>
      <w:pPr>
        <w:ind w:left="1080" w:hanging="360"/>
      </w:pPr>
      <w:rPr>
        <w:rFonts w:ascii="Wingdings" w:hAnsi="Wingdings" w:hint="default"/>
      </w:r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 w15:restartNumberingAfterBreak="0">
    <w:nsid w:val="1FA47D51"/>
    <w:multiLevelType w:val="hybridMultilevel"/>
    <w:tmpl w:val="C7746782"/>
    <w:lvl w:ilvl="0" w:tplc="358CC414">
      <w:start w:val="1"/>
      <w:numFmt w:val="bullet"/>
      <w:pStyle w:val="HPUN"/>
      <w:lvlText w:val="o"/>
      <w:lvlJc w:val="left"/>
      <w:pPr>
        <w:tabs>
          <w:tab w:val="num" w:pos="1776"/>
        </w:tabs>
        <w:ind w:left="1776" w:hanging="360"/>
      </w:pPr>
      <w:rPr>
        <w:rFonts w:ascii="Courier New" w:hAnsi="Courier New" w:cs="Courier New"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5" w15:restartNumberingAfterBreak="0">
    <w:nsid w:val="296C58F9"/>
    <w:multiLevelType w:val="multilevel"/>
    <w:tmpl w:val="BBC2A4A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pStyle w:val="Ttulo4"/>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5233A6E"/>
    <w:multiLevelType w:val="multilevel"/>
    <w:tmpl w:val="95521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820B3F"/>
    <w:multiLevelType w:val="singleLevel"/>
    <w:tmpl w:val="1C0C81AE"/>
    <w:lvl w:ilvl="0">
      <w:start w:val="1"/>
      <w:numFmt w:val="bullet"/>
      <w:pStyle w:val="hvieta"/>
      <w:lvlText w:val=""/>
      <w:lvlJc w:val="left"/>
      <w:pPr>
        <w:tabs>
          <w:tab w:val="num" w:pos="360"/>
        </w:tabs>
        <w:ind w:left="360" w:hanging="360"/>
      </w:pPr>
      <w:rPr>
        <w:rFonts w:ascii="Wingdings" w:hAnsi="Wingdings" w:hint="default"/>
      </w:rPr>
    </w:lvl>
  </w:abstractNum>
  <w:abstractNum w:abstractNumId="8" w15:restartNumberingAfterBreak="0">
    <w:nsid w:val="4787418B"/>
    <w:multiLevelType w:val="singleLevel"/>
    <w:tmpl w:val="3918B788"/>
    <w:lvl w:ilvl="0">
      <w:start w:val="1"/>
      <w:numFmt w:val="bullet"/>
      <w:pStyle w:val="HPUN0"/>
      <w:lvlText w:val=""/>
      <w:lvlPicBulletId w:val="0"/>
      <w:lvlJc w:val="left"/>
      <w:pPr>
        <w:tabs>
          <w:tab w:val="num" w:pos="360"/>
        </w:tabs>
        <w:ind w:left="360" w:hanging="360"/>
      </w:pPr>
      <w:rPr>
        <w:rFonts w:ascii="Symbol" w:hAnsi="Symbol" w:hint="default"/>
        <w:sz w:val="16"/>
      </w:rPr>
    </w:lvl>
  </w:abstractNum>
  <w:abstractNum w:abstractNumId="9" w15:restartNumberingAfterBreak="0">
    <w:nsid w:val="4F8021CB"/>
    <w:multiLevelType w:val="hybridMultilevel"/>
    <w:tmpl w:val="39607C48"/>
    <w:lvl w:ilvl="0" w:tplc="3E5A647E">
      <w:start w:val="1"/>
      <w:numFmt w:val="lowerLetter"/>
      <w:pStyle w:val="hnum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5E907440"/>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3C24DE0"/>
    <w:multiLevelType w:val="hybridMultilevel"/>
    <w:tmpl w:val="9F0C0848"/>
    <w:lvl w:ilvl="0" w:tplc="02F2424C">
      <w:start w:val="1"/>
      <w:numFmt w:val="lowerLetter"/>
      <w:lvlText w:val="%1)"/>
      <w:lvlJc w:val="left"/>
      <w:pPr>
        <w:ind w:left="360" w:hanging="360"/>
      </w:pPr>
      <w:rPr>
        <w:rFonts w:hint="default"/>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15:restartNumberingAfterBreak="0">
    <w:nsid w:val="79B27B6E"/>
    <w:multiLevelType w:val="hybridMultilevel"/>
    <w:tmpl w:val="0C00DF2C"/>
    <w:lvl w:ilvl="0" w:tplc="02F2424C">
      <w:start w:val="1"/>
      <w:numFmt w:val="lowerLetter"/>
      <w:lvlText w:val="%1)"/>
      <w:lvlJc w:val="left"/>
      <w:pPr>
        <w:ind w:left="360" w:hanging="360"/>
      </w:pPr>
      <w:rPr>
        <w:rFonts w:hint="default"/>
      </w:rPr>
    </w:lvl>
    <w:lvl w:ilvl="1" w:tplc="2C0A001B">
      <w:start w:val="1"/>
      <w:numFmt w:val="lowerRoman"/>
      <w:lvlText w:val="%2."/>
      <w:lvlJc w:val="righ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3" w15:restartNumberingAfterBreak="0">
    <w:nsid w:val="7AE3197C"/>
    <w:multiLevelType w:val="hybridMultilevel"/>
    <w:tmpl w:val="E1D64892"/>
    <w:lvl w:ilvl="0" w:tplc="2C0A0017">
      <w:start w:val="1"/>
      <w:numFmt w:val="lowerLetter"/>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15:restartNumberingAfterBreak="0">
    <w:nsid w:val="7E4E3A62"/>
    <w:multiLevelType w:val="singleLevel"/>
    <w:tmpl w:val="A54E3408"/>
    <w:lvl w:ilvl="0">
      <w:start w:val="1"/>
      <w:numFmt w:val="bullet"/>
      <w:pStyle w:val="hpun1"/>
      <w:lvlText w:val="o"/>
      <w:lvlJc w:val="left"/>
      <w:pPr>
        <w:tabs>
          <w:tab w:val="num" w:pos="1494"/>
        </w:tabs>
        <w:ind w:left="1134" w:firstLine="0"/>
      </w:pPr>
      <w:rPr>
        <w:rFonts w:hint="default"/>
      </w:rPr>
    </w:lvl>
  </w:abstractNum>
  <w:num w:numId="1">
    <w:abstractNumId w:val="5"/>
  </w:num>
  <w:num w:numId="2">
    <w:abstractNumId w:val="14"/>
  </w:num>
  <w:num w:numId="3">
    <w:abstractNumId w:val="8"/>
  </w:num>
  <w:num w:numId="4">
    <w:abstractNumId w:val="7"/>
  </w:num>
  <w:num w:numId="5">
    <w:abstractNumId w:val="1"/>
  </w:num>
  <w:num w:numId="6">
    <w:abstractNumId w:val="4"/>
  </w:num>
  <w:num w:numId="7">
    <w:abstractNumId w:val="9"/>
  </w:num>
  <w:num w:numId="8">
    <w:abstractNumId w:val="6"/>
  </w:num>
  <w:num w:numId="9">
    <w:abstractNumId w:val="2"/>
  </w:num>
  <w:num w:numId="10">
    <w:abstractNumId w:val="8"/>
  </w:num>
  <w:num w:numId="11">
    <w:abstractNumId w:val="8"/>
  </w:num>
  <w:num w:numId="12">
    <w:abstractNumId w:val="8"/>
  </w:num>
  <w:num w:numId="13">
    <w:abstractNumId w:val="8"/>
  </w:num>
  <w:num w:numId="14">
    <w:abstractNumId w:val="3"/>
  </w:num>
  <w:num w:numId="15">
    <w:abstractNumId w:val="13"/>
  </w:num>
  <w:num w:numId="16">
    <w:abstractNumId w:val="8"/>
  </w:num>
  <w:num w:numId="17">
    <w:abstractNumId w:val="11"/>
  </w:num>
  <w:num w:numId="18">
    <w:abstractNumId w:val="12"/>
  </w:num>
  <w:num w:numId="19">
    <w:abstractNumId w:val="8"/>
  </w:num>
  <w:num w:numId="20">
    <w:abstractNumId w:val="0"/>
  </w:num>
  <w:num w:numId="21">
    <w:abstractNumId w:val="8"/>
  </w:num>
  <w:num w:numId="22">
    <w:abstractNumId w:val="8"/>
  </w:num>
  <w:num w:numId="23">
    <w:abstractNumId w:val="8"/>
  </w:num>
  <w:num w:numId="24">
    <w:abstractNumId w:val="8"/>
  </w:num>
  <w:num w:numId="25">
    <w:abstractNumId w:val="10"/>
  </w:num>
  <w:num w:numId="26">
    <w:abstractNumId w:val="1"/>
  </w:num>
  <w:num w:numId="27">
    <w:abstractNumId w:val="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saki, Keisuke">
    <w15:presenceInfo w15:providerId="AD" w15:userId="S-1-5-21-3560232635-1406422398-2702866923-66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gutterAtTop/>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es-AR" w:vendorID="9" w:dllVersion="512" w:checkStyle="1"/>
  <w:activeWritingStyle w:appName="MSWord" w:lang="pt-BR" w:vendorID="1" w:dllVersion="513" w:checkStyle="1"/>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796E"/>
    <w:rsid w:val="00003514"/>
    <w:rsid w:val="00003D7F"/>
    <w:rsid w:val="0000405B"/>
    <w:rsid w:val="00007A17"/>
    <w:rsid w:val="000100A1"/>
    <w:rsid w:val="00010C77"/>
    <w:rsid w:val="00010EA2"/>
    <w:rsid w:val="00011B48"/>
    <w:rsid w:val="00012675"/>
    <w:rsid w:val="00012CD1"/>
    <w:rsid w:val="0001323D"/>
    <w:rsid w:val="00014CFF"/>
    <w:rsid w:val="0001559B"/>
    <w:rsid w:val="00015C1E"/>
    <w:rsid w:val="00020BC2"/>
    <w:rsid w:val="00020F05"/>
    <w:rsid w:val="00023C0E"/>
    <w:rsid w:val="00023D54"/>
    <w:rsid w:val="00024AC8"/>
    <w:rsid w:val="00025692"/>
    <w:rsid w:val="00027107"/>
    <w:rsid w:val="000306D5"/>
    <w:rsid w:val="00031DF5"/>
    <w:rsid w:val="000326B7"/>
    <w:rsid w:val="00032AAD"/>
    <w:rsid w:val="00033946"/>
    <w:rsid w:val="000343B4"/>
    <w:rsid w:val="0003470E"/>
    <w:rsid w:val="0003477B"/>
    <w:rsid w:val="00035385"/>
    <w:rsid w:val="000442F1"/>
    <w:rsid w:val="00047324"/>
    <w:rsid w:val="00052A70"/>
    <w:rsid w:val="00055189"/>
    <w:rsid w:val="000562A2"/>
    <w:rsid w:val="00060F2F"/>
    <w:rsid w:val="0006238D"/>
    <w:rsid w:val="000662AA"/>
    <w:rsid w:val="00071B86"/>
    <w:rsid w:val="000740A8"/>
    <w:rsid w:val="0007505B"/>
    <w:rsid w:val="000778D0"/>
    <w:rsid w:val="000837EC"/>
    <w:rsid w:val="00083D5C"/>
    <w:rsid w:val="000847A1"/>
    <w:rsid w:val="00084AD2"/>
    <w:rsid w:val="00084D41"/>
    <w:rsid w:val="00084E7D"/>
    <w:rsid w:val="000901E5"/>
    <w:rsid w:val="00090DCB"/>
    <w:rsid w:val="00091758"/>
    <w:rsid w:val="000931D1"/>
    <w:rsid w:val="00095E3E"/>
    <w:rsid w:val="00096DC8"/>
    <w:rsid w:val="00097D20"/>
    <w:rsid w:val="00097F5C"/>
    <w:rsid w:val="000A1DCD"/>
    <w:rsid w:val="000A30B6"/>
    <w:rsid w:val="000A5F5A"/>
    <w:rsid w:val="000A7659"/>
    <w:rsid w:val="000A7742"/>
    <w:rsid w:val="000B3E59"/>
    <w:rsid w:val="000B577C"/>
    <w:rsid w:val="000B5B13"/>
    <w:rsid w:val="000B5FA1"/>
    <w:rsid w:val="000B7726"/>
    <w:rsid w:val="000C076F"/>
    <w:rsid w:val="000C2DED"/>
    <w:rsid w:val="000C39E1"/>
    <w:rsid w:val="000C4093"/>
    <w:rsid w:val="000C43C4"/>
    <w:rsid w:val="000C64A0"/>
    <w:rsid w:val="000C737B"/>
    <w:rsid w:val="000C7EA7"/>
    <w:rsid w:val="000D106C"/>
    <w:rsid w:val="000D4582"/>
    <w:rsid w:val="000D4F59"/>
    <w:rsid w:val="000D6555"/>
    <w:rsid w:val="000D791F"/>
    <w:rsid w:val="000E08EF"/>
    <w:rsid w:val="000E272D"/>
    <w:rsid w:val="000E29F8"/>
    <w:rsid w:val="000E2F2E"/>
    <w:rsid w:val="000E5D6C"/>
    <w:rsid w:val="000E6084"/>
    <w:rsid w:val="000F172F"/>
    <w:rsid w:val="000F459A"/>
    <w:rsid w:val="000F472B"/>
    <w:rsid w:val="000F5830"/>
    <w:rsid w:val="000F751D"/>
    <w:rsid w:val="000F77B2"/>
    <w:rsid w:val="001014F4"/>
    <w:rsid w:val="00102E1A"/>
    <w:rsid w:val="00104210"/>
    <w:rsid w:val="00104293"/>
    <w:rsid w:val="001043B7"/>
    <w:rsid w:val="00104ACF"/>
    <w:rsid w:val="0010517A"/>
    <w:rsid w:val="001066FF"/>
    <w:rsid w:val="00112299"/>
    <w:rsid w:val="001146B9"/>
    <w:rsid w:val="001159F4"/>
    <w:rsid w:val="00116116"/>
    <w:rsid w:val="00116AA3"/>
    <w:rsid w:val="00117BF8"/>
    <w:rsid w:val="00120314"/>
    <w:rsid w:val="00123437"/>
    <w:rsid w:val="00123EE5"/>
    <w:rsid w:val="00124528"/>
    <w:rsid w:val="0012519D"/>
    <w:rsid w:val="00125BB8"/>
    <w:rsid w:val="001332F1"/>
    <w:rsid w:val="001333E6"/>
    <w:rsid w:val="001344BA"/>
    <w:rsid w:val="001346A1"/>
    <w:rsid w:val="00135B31"/>
    <w:rsid w:val="00135C07"/>
    <w:rsid w:val="00137C31"/>
    <w:rsid w:val="001403EB"/>
    <w:rsid w:val="00140993"/>
    <w:rsid w:val="00142925"/>
    <w:rsid w:val="001429DE"/>
    <w:rsid w:val="00142F4E"/>
    <w:rsid w:val="00146C42"/>
    <w:rsid w:val="00147A34"/>
    <w:rsid w:val="0015320B"/>
    <w:rsid w:val="001543ED"/>
    <w:rsid w:val="001556C2"/>
    <w:rsid w:val="0015690B"/>
    <w:rsid w:val="00157180"/>
    <w:rsid w:val="00160163"/>
    <w:rsid w:val="00161187"/>
    <w:rsid w:val="00166962"/>
    <w:rsid w:val="00167F67"/>
    <w:rsid w:val="001724E8"/>
    <w:rsid w:val="00172DCE"/>
    <w:rsid w:val="00175DC7"/>
    <w:rsid w:val="00180E36"/>
    <w:rsid w:val="00180E83"/>
    <w:rsid w:val="0018355A"/>
    <w:rsid w:val="00184D69"/>
    <w:rsid w:val="00185401"/>
    <w:rsid w:val="00185C92"/>
    <w:rsid w:val="00186356"/>
    <w:rsid w:val="001872C5"/>
    <w:rsid w:val="00194344"/>
    <w:rsid w:val="00195ED4"/>
    <w:rsid w:val="00196273"/>
    <w:rsid w:val="0019642E"/>
    <w:rsid w:val="00196CE8"/>
    <w:rsid w:val="00197371"/>
    <w:rsid w:val="001A40CE"/>
    <w:rsid w:val="001A5499"/>
    <w:rsid w:val="001A55AD"/>
    <w:rsid w:val="001A6233"/>
    <w:rsid w:val="001B0CE5"/>
    <w:rsid w:val="001B357A"/>
    <w:rsid w:val="001B642F"/>
    <w:rsid w:val="001B67BE"/>
    <w:rsid w:val="001B685C"/>
    <w:rsid w:val="001B6BDD"/>
    <w:rsid w:val="001B78A1"/>
    <w:rsid w:val="001B7969"/>
    <w:rsid w:val="001B7ED0"/>
    <w:rsid w:val="001C17F3"/>
    <w:rsid w:val="001C2546"/>
    <w:rsid w:val="001C28B2"/>
    <w:rsid w:val="001C4DBE"/>
    <w:rsid w:val="001D23D9"/>
    <w:rsid w:val="001D2DFE"/>
    <w:rsid w:val="001D3315"/>
    <w:rsid w:val="001D52DC"/>
    <w:rsid w:val="001D5546"/>
    <w:rsid w:val="001E44CC"/>
    <w:rsid w:val="001E529B"/>
    <w:rsid w:val="001E641C"/>
    <w:rsid w:val="001E7531"/>
    <w:rsid w:val="001F1197"/>
    <w:rsid w:val="001F3AB7"/>
    <w:rsid w:val="001F49CD"/>
    <w:rsid w:val="001F4A68"/>
    <w:rsid w:val="001F60C1"/>
    <w:rsid w:val="001F7845"/>
    <w:rsid w:val="001F7B9F"/>
    <w:rsid w:val="002000C4"/>
    <w:rsid w:val="002009BF"/>
    <w:rsid w:val="00200FE3"/>
    <w:rsid w:val="00201B07"/>
    <w:rsid w:val="00201E0C"/>
    <w:rsid w:val="00202039"/>
    <w:rsid w:val="00202482"/>
    <w:rsid w:val="00204265"/>
    <w:rsid w:val="0020654C"/>
    <w:rsid w:val="002122A0"/>
    <w:rsid w:val="0021263A"/>
    <w:rsid w:val="00212A49"/>
    <w:rsid w:val="0021410D"/>
    <w:rsid w:val="00214B21"/>
    <w:rsid w:val="00214DB0"/>
    <w:rsid w:val="002152D4"/>
    <w:rsid w:val="002172ED"/>
    <w:rsid w:val="002177B8"/>
    <w:rsid w:val="0022036C"/>
    <w:rsid w:val="00221C20"/>
    <w:rsid w:val="00222EB4"/>
    <w:rsid w:val="00223A7A"/>
    <w:rsid w:val="0022483C"/>
    <w:rsid w:val="00225120"/>
    <w:rsid w:val="0022599E"/>
    <w:rsid w:val="002272DF"/>
    <w:rsid w:val="0023184D"/>
    <w:rsid w:val="00231A35"/>
    <w:rsid w:val="00233242"/>
    <w:rsid w:val="002333C1"/>
    <w:rsid w:val="00235C78"/>
    <w:rsid w:val="002363E0"/>
    <w:rsid w:val="00236908"/>
    <w:rsid w:val="00237844"/>
    <w:rsid w:val="00242BC4"/>
    <w:rsid w:val="00244AC5"/>
    <w:rsid w:val="00245144"/>
    <w:rsid w:val="00251EAE"/>
    <w:rsid w:val="00252C4D"/>
    <w:rsid w:val="00252C5A"/>
    <w:rsid w:val="00254C76"/>
    <w:rsid w:val="00261A59"/>
    <w:rsid w:val="00267899"/>
    <w:rsid w:val="002702FA"/>
    <w:rsid w:val="002736A0"/>
    <w:rsid w:val="00274F58"/>
    <w:rsid w:val="0027592D"/>
    <w:rsid w:val="00280473"/>
    <w:rsid w:val="00280482"/>
    <w:rsid w:val="00280750"/>
    <w:rsid w:val="002812F6"/>
    <w:rsid w:val="00284AE4"/>
    <w:rsid w:val="00284C1B"/>
    <w:rsid w:val="00284D95"/>
    <w:rsid w:val="00285631"/>
    <w:rsid w:val="002857C6"/>
    <w:rsid w:val="00286304"/>
    <w:rsid w:val="002864A5"/>
    <w:rsid w:val="002873F1"/>
    <w:rsid w:val="00291E34"/>
    <w:rsid w:val="0029241F"/>
    <w:rsid w:val="00292C39"/>
    <w:rsid w:val="00294281"/>
    <w:rsid w:val="002943FF"/>
    <w:rsid w:val="002962E9"/>
    <w:rsid w:val="002A2EA0"/>
    <w:rsid w:val="002A4145"/>
    <w:rsid w:val="002A4D9E"/>
    <w:rsid w:val="002A68D9"/>
    <w:rsid w:val="002B2845"/>
    <w:rsid w:val="002B6125"/>
    <w:rsid w:val="002B740A"/>
    <w:rsid w:val="002B7F69"/>
    <w:rsid w:val="002C082B"/>
    <w:rsid w:val="002C2F7A"/>
    <w:rsid w:val="002C3683"/>
    <w:rsid w:val="002C49F2"/>
    <w:rsid w:val="002C5E71"/>
    <w:rsid w:val="002C77C7"/>
    <w:rsid w:val="002D3326"/>
    <w:rsid w:val="002D3409"/>
    <w:rsid w:val="002D4839"/>
    <w:rsid w:val="002D4D86"/>
    <w:rsid w:val="002D4F1E"/>
    <w:rsid w:val="002D5BD3"/>
    <w:rsid w:val="002D5DE2"/>
    <w:rsid w:val="002D799C"/>
    <w:rsid w:val="002E0088"/>
    <w:rsid w:val="002E00DF"/>
    <w:rsid w:val="002E0458"/>
    <w:rsid w:val="002E2478"/>
    <w:rsid w:val="002E286B"/>
    <w:rsid w:val="002E29A2"/>
    <w:rsid w:val="002F1769"/>
    <w:rsid w:val="002F1C82"/>
    <w:rsid w:val="002F233C"/>
    <w:rsid w:val="002F43BF"/>
    <w:rsid w:val="002F5F02"/>
    <w:rsid w:val="002F7875"/>
    <w:rsid w:val="002F7C93"/>
    <w:rsid w:val="0030117C"/>
    <w:rsid w:val="003024E7"/>
    <w:rsid w:val="003029AB"/>
    <w:rsid w:val="00303899"/>
    <w:rsid w:val="00303FF8"/>
    <w:rsid w:val="00305CE8"/>
    <w:rsid w:val="00306531"/>
    <w:rsid w:val="003068EC"/>
    <w:rsid w:val="003117A9"/>
    <w:rsid w:val="0031207B"/>
    <w:rsid w:val="00312A08"/>
    <w:rsid w:val="00312CB3"/>
    <w:rsid w:val="003137B3"/>
    <w:rsid w:val="003142D4"/>
    <w:rsid w:val="003148FA"/>
    <w:rsid w:val="003150B9"/>
    <w:rsid w:val="00315343"/>
    <w:rsid w:val="00323DF5"/>
    <w:rsid w:val="003249B2"/>
    <w:rsid w:val="00325450"/>
    <w:rsid w:val="003323BC"/>
    <w:rsid w:val="003337D0"/>
    <w:rsid w:val="00341AC6"/>
    <w:rsid w:val="00342B8A"/>
    <w:rsid w:val="00342FF2"/>
    <w:rsid w:val="00344321"/>
    <w:rsid w:val="0034693D"/>
    <w:rsid w:val="00346A54"/>
    <w:rsid w:val="00346D52"/>
    <w:rsid w:val="0034788B"/>
    <w:rsid w:val="00347923"/>
    <w:rsid w:val="00351A48"/>
    <w:rsid w:val="00355530"/>
    <w:rsid w:val="00355746"/>
    <w:rsid w:val="00355F40"/>
    <w:rsid w:val="00356E71"/>
    <w:rsid w:val="0036116A"/>
    <w:rsid w:val="00361F1A"/>
    <w:rsid w:val="00364B53"/>
    <w:rsid w:val="003659A4"/>
    <w:rsid w:val="00370D63"/>
    <w:rsid w:val="00371757"/>
    <w:rsid w:val="00371839"/>
    <w:rsid w:val="00372863"/>
    <w:rsid w:val="00373DF3"/>
    <w:rsid w:val="00374AC5"/>
    <w:rsid w:val="00375461"/>
    <w:rsid w:val="003764AD"/>
    <w:rsid w:val="00376F68"/>
    <w:rsid w:val="00382516"/>
    <w:rsid w:val="00383592"/>
    <w:rsid w:val="00383EF1"/>
    <w:rsid w:val="003855BE"/>
    <w:rsid w:val="00385D09"/>
    <w:rsid w:val="00390109"/>
    <w:rsid w:val="00390179"/>
    <w:rsid w:val="00391B42"/>
    <w:rsid w:val="00392967"/>
    <w:rsid w:val="003A11C0"/>
    <w:rsid w:val="003A3DAC"/>
    <w:rsid w:val="003A40A4"/>
    <w:rsid w:val="003A6618"/>
    <w:rsid w:val="003A70B4"/>
    <w:rsid w:val="003B04A8"/>
    <w:rsid w:val="003B10AE"/>
    <w:rsid w:val="003B2E3F"/>
    <w:rsid w:val="003B383A"/>
    <w:rsid w:val="003B4EBF"/>
    <w:rsid w:val="003C0966"/>
    <w:rsid w:val="003C0BD4"/>
    <w:rsid w:val="003C0D15"/>
    <w:rsid w:val="003C119F"/>
    <w:rsid w:val="003C137F"/>
    <w:rsid w:val="003C143F"/>
    <w:rsid w:val="003C1F21"/>
    <w:rsid w:val="003C20F2"/>
    <w:rsid w:val="003C4F96"/>
    <w:rsid w:val="003C6193"/>
    <w:rsid w:val="003D05FF"/>
    <w:rsid w:val="003D1088"/>
    <w:rsid w:val="003D1089"/>
    <w:rsid w:val="003D12EF"/>
    <w:rsid w:val="003D24F0"/>
    <w:rsid w:val="003D390D"/>
    <w:rsid w:val="003D3FE5"/>
    <w:rsid w:val="003D42A6"/>
    <w:rsid w:val="003D7986"/>
    <w:rsid w:val="003D7C63"/>
    <w:rsid w:val="003E1D13"/>
    <w:rsid w:val="003E2350"/>
    <w:rsid w:val="003E629A"/>
    <w:rsid w:val="003E724F"/>
    <w:rsid w:val="003F16A1"/>
    <w:rsid w:val="003F1948"/>
    <w:rsid w:val="003F38A8"/>
    <w:rsid w:val="003F4530"/>
    <w:rsid w:val="003F46E6"/>
    <w:rsid w:val="003F7E75"/>
    <w:rsid w:val="004020C5"/>
    <w:rsid w:val="00403373"/>
    <w:rsid w:val="0040400E"/>
    <w:rsid w:val="00404148"/>
    <w:rsid w:val="004068C4"/>
    <w:rsid w:val="00407DC0"/>
    <w:rsid w:val="00411E91"/>
    <w:rsid w:val="00413AC5"/>
    <w:rsid w:val="00415463"/>
    <w:rsid w:val="00416D05"/>
    <w:rsid w:val="004206A5"/>
    <w:rsid w:val="00420D91"/>
    <w:rsid w:val="00421A25"/>
    <w:rsid w:val="00421D7D"/>
    <w:rsid w:val="00423957"/>
    <w:rsid w:val="00425D02"/>
    <w:rsid w:val="00434693"/>
    <w:rsid w:val="00434C3F"/>
    <w:rsid w:val="0043542C"/>
    <w:rsid w:val="004414D1"/>
    <w:rsid w:val="004424D9"/>
    <w:rsid w:val="00442EDF"/>
    <w:rsid w:val="0044364D"/>
    <w:rsid w:val="00443F74"/>
    <w:rsid w:val="00444838"/>
    <w:rsid w:val="00444D7C"/>
    <w:rsid w:val="00446921"/>
    <w:rsid w:val="00446D8E"/>
    <w:rsid w:val="00450149"/>
    <w:rsid w:val="004548C0"/>
    <w:rsid w:val="00457909"/>
    <w:rsid w:val="0046080C"/>
    <w:rsid w:val="004613D1"/>
    <w:rsid w:val="004632AC"/>
    <w:rsid w:val="00472605"/>
    <w:rsid w:val="004759F4"/>
    <w:rsid w:val="0047642F"/>
    <w:rsid w:val="00477B23"/>
    <w:rsid w:val="00477DF5"/>
    <w:rsid w:val="00480639"/>
    <w:rsid w:val="004811C1"/>
    <w:rsid w:val="00483786"/>
    <w:rsid w:val="00485343"/>
    <w:rsid w:val="00486149"/>
    <w:rsid w:val="00486606"/>
    <w:rsid w:val="004921D4"/>
    <w:rsid w:val="0049289C"/>
    <w:rsid w:val="00496AA6"/>
    <w:rsid w:val="00497C60"/>
    <w:rsid w:val="004A1FED"/>
    <w:rsid w:val="004A2007"/>
    <w:rsid w:val="004A4725"/>
    <w:rsid w:val="004A49C4"/>
    <w:rsid w:val="004A596D"/>
    <w:rsid w:val="004B01DE"/>
    <w:rsid w:val="004B08C9"/>
    <w:rsid w:val="004B5629"/>
    <w:rsid w:val="004B5BA0"/>
    <w:rsid w:val="004B73A2"/>
    <w:rsid w:val="004C0214"/>
    <w:rsid w:val="004C072B"/>
    <w:rsid w:val="004C0952"/>
    <w:rsid w:val="004C1130"/>
    <w:rsid w:val="004C1AEB"/>
    <w:rsid w:val="004C1D60"/>
    <w:rsid w:val="004C2B32"/>
    <w:rsid w:val="004C3C73"/>
    <w:rsid w:val="004C48D2"/>
    <w:rsid w:val="004C5BCA"/>
    <w:rsid w:val="004D08A0"/>
    <w:rsid w:val="004D18C4"/>
    <w:rsid w:val="004D19B3"/>
    <w:rsid w:val="004D1E33"/>
    <w:rsid w:val="004D2204"/>
    <w:rsid w:val="004D3744"/>
    <w:rsid w:val="004D5273"/>
    <w:rsid w:val="004D700A"/>
    <w:rsid w:val="004E036C"/>
    <w:rsid w:val="004E18AA"/>
    <w:rsid w:val="004E20AB"/>
    <w:rsid w:val="004E281E"/>
    <w:rsid w:val="004E5805"/>
    <w:rsid w:val="004E58FE"/>
    <w:rsid w:val="004E6455"/>
    <w:rsid w:val="004F0535"/>
    <w:rsid w:val="004F330A"/>
    <w:rsid w:val="004F3D41"/>
    <w:rsid w:val="004F498E"/>
    <w:rsid w:val="004F4C91"/>
    <w:rsid w:val="004F6C64"/>
    <w:rsid w:val="0050257E"/>
    <w:rsid w:val="00502A78"/>
    <w:rsid w:val="005036B0"/>
    <w:rsid w:val="00503FB4"/>
    <w:rsid w:val="00504AF2"/>
    <w:rsid w:val="00504C4A"/>
    <w:rsid w:val="0050738E"/>
    <w:rsid w:val="005077F8"/>
    <w:rsid w:val="005109A2"/>
    <w:rsid w:val="00510F5B"/>
    <w:rsid w:val="00510F64"/>
    <w:rsid w:val="00511960"/>
    <w:rsid w:val="00511EEA"/>
    <w:rsid w:val="00514292"/>
    <w:rsid w:val="00514BE4"/>
    <w:rsid w:val="005167A2"/>
    <w:rsid w:val="0051732D"/>
    <w:rsid w:val="00520B91"/>
    <w:rsid w:val="0052251F"/>
    <w:rsid w:val="00525D76"/>
    <w:rsid w:val="00525DDB"/>
    <w:rsid w:val="00526CA8"/>
    <w:rsid w:val="00526DE1"/>
    <w:rsid w:val="00531817"/>
    <w:rsid w:val="00532D31"/>
    <w:rsid w:val="005347B2"/>
    <w:rsid w:val="00534EB2"/>
    <w:rsid w:val="005368EC"/>
    <w:rsid w:val="005411D5"/>
    <w:rsid w:val="005422DC"/>
    <w:rsid w:val="00542D66"/>
    <w:rsid w:val="00545BE7"/>
    <w:rsid w:val="0054760B"/>
    <w:rsid w:val="00547C99"/>
    <w:rsid w:val="00550472"/>
    <w:rsid w:val="00552CF8"/>
    <w:rsid w:val="00553F9F"/>
    <w:rsid w:val="00554FF5"/>
    <w:rsid w:val="005608C1"/>
    <w:rsid w:val="00561A84"/>
    <w:rsid w:val="005632B5"/>
    <w:rsid w:val="00564531"/>
    <w:rsid w:val="0056492C"/>
    <w:rsid w:val="00564B2F"/>
    <w:rsid w:val="00564CD1"/>
    <w:rsid w:val="00565130"/>
    <w:rsid w:val="0056572A"/>
    <w:rsid w:val="00565746"/>
    <w:rsid w:val="00565EEF"/>
    <w:rsid w:val="00566937"/>
    <w:rsid w:val="00570295"/>
    <w:rsid w:val="00570AD1"/>
    <w:rsid w:val="005723BA"/>
    <w:rsid w:val="005729F6"/>
    <w:rsid w:val="00573E33"/>
    <w:rsid w:val="00574A4F"/>
    <w:rsid w:val="005767DE"/>
    <w:rsid w:val="00576EF0"/>
    <w:rsid w:val="00582269"/>
    <w:rsid w:val="0058282D"/>
    <w:rsid w:val="00584E1F"/>
    <w:rsid w:val="005857B1"/>
    <w:rsid w:val="005860EE"/>
    <w:rsid w:val="00586124"/>
    <w:rsid w:val="00586997"/>
    <w:rsid w:val="00586EF6"/>
    <w:rsid w:val="00591D59"/>
    <w:rsid w:val="00592206"/>
    <w:rsid w:val="00592EEE"/>
    <w:rsid w:val="00593674"/>
    <w:rsid w:val="00593C9A"/>
    <w:rsid w:val="00597000"/>
    <w:rsid w:val="005970D2"/>
    <w:rsid w:val="005A0469"/>
    <w:rsid w:val="005A0FEC"/>
    <w:rsid w:val="005A1547"/>
    <w:rsid w:val="005A1904"/>
    <w:rsid w:val="005A28C7"/>
    <w:rsid w:val="005A31CB"/>
    <w:rsid w:val="005A32BC"/>
    <w:rsid w:val="005A464B"/>
    <w:rsid w:val="005A622C"/>
    <w:rsid w:val="005A6429"/>
    <w:rsid w:val="005A718B"/>
    <w:rsid w:val="005A7E6C"/>
    <w:rsid w:val="005A7F36"/>
    <w:rsid w:val="005B00B2"/>
    <w:rsid w:val="005B18C0"/>
    <w:rsid w:val="005B540F"/>
    <w:rsid w:val="005B6EC5"/>
    <w:rsid w:val="005C0B23"/>
    <w:rsid w:val="005C22EF"/>
    <w:rsid w:val="005C2F32"/>
    <w:rsid w:val="005C42F3"/>
    <w:rsid w:val="005C6F47"/>
    <w:rsid w:val="005C7F8A"/>
    <w:rsid w:val="005D63A9"/>
    <w:rsid w:val="005D6624"/>
    <w:rsid w:val="005E0823"/>
    <w:rsid w:val="005E0AA0"/>
    <w:rsid w:val="005E11B2"/>
    <w:rsid w:val="005E1F05"/>
    <w:rsid w:val="005E22D8"/>
    <w:rsid w:val="005E34E7"/>
    <w:rsid w:val="005E3C62"/>
    <w:rsid w:val="005E40F6"/>
    <w:rsid w:val="005E4A1D"/>
    <w:rsid w:val="005E50B9"/>
    <w:rsid w:val="005F107C"/>
    <w:rsid w:val="005F1757"/>
    <w:rsid w:val="005F6AD9"/>
    <w:rsid w:val="005F7EE2"/>
    <w:rsid w:val="005F7FE8"/>
    <w:rsid w:val="0060097F"/>
    <w:rsid w:val="00601A7A"/>
    <w:rsid w:val="00601F5D"/>
    <w:rsid w:val="00603073"/>
    <w:rsid w:val="006031E6"/>
    <w:rsid w:val="00606302"/>
    <w:rsid w:val="00607C02"/>
    <w:rsid w:val="00607F48"/>
    <w:rsid w:val="00610504"/>
    <w:rsid w:val="00610539"/>
    <w:rsid w:val="0061094C"/>
    <w:rsid w:val="00611FB6"/>
    <w:rsid w:val="006122B8"/>
    <w:rsid w:val="00613085"/>
    <w:rsid w:val="006143A6"/>
    <w:rsid w:val="00614E2A"/>
    <w:rsid w:val="0061569E"/>
    <w:rsid w:val="00622D48"/>
    <w:rsid w:val="00622FEE"/>
    <w:rsid w:val="00623C42"/>
    <w:rsid w:val="00624224"/>
    <w:rsid w:val="00625B4C"/>
    <w:rsid w:val="00626CED"/>
    <w:rsid w:val="00627C66"/>
    <w:rsid w:val="00630CD4"/>
    <w:rsid w:val="0063168A"/>
    <w:rsid w:val="00632D53"/>
    <w:rsid w:val="006334D8"/>
    <w:rsid w:val="00634B29"/>
    <w:rsid w:val="00635A32"/>
    <w:rsid w:val="006363F9"/>
    <w:rsid w:val="00636BEB"/>
    <w:rsid w:val="00637C09"/>
    <w:rsid w:val="0064204B"/>
    <w:rsid w:val="006466C4"/>
    <w:rsid w:val="00647345"/>
    <w:rsid w:val="0064763E"/>
    <w:rsid w:val="00647E88"/>
    <w:rsid w:val="00647FC4"/>
    <w:rsid w:val="006500F9"/>
    <w:rsid w:val="00653290"/>
    <w:rsid w:val="0065410B"/>
    <w:rsid w:val="006552D8"/>
    <w:rsid w:val="00655C81"/>
    <w:rsid w:val="006603EC"/>
    <w:rsid w:val="0066203F"/>
    <w:rsid w:val="006623C8"/>
    <w:rsid w:val="006642E9"/>
    <w:rsid w:val="00664310"/>
    <w:rsid w:val="00664AA2"/>
    <w:rsid w:val="00671597"/>
    <w:rsid w:val="00672CB6"/>
    <w:rsid w:val="00673201"/>
    <w:rsid w:val="00674133"/>
    <w:rsid w:val="00674867"/>
    <w:rsid w:val="0067717F"/>
    <w:rsid w:val="00680A96"/>
    <w:rsid w:val="00680CA9"/>
    <w:rsid w:val="00681728"/>
    <w:rsid w:val="00682307"/>
    <w:rsid w:val="006826AC"/>
    <w:rsid w:val="0068490D"/>
    <w:rsid w:val="00686B7C"/>
    <w:rsid w:val="00687080"/>
    <w:rsid w:val="006901B8"/>
    <w:rsid w:val="00690211"/>
    <w:rsid w:val="006910F0"/>
    <w:rsid w:val="00691361"/>
    <w:rsid w:val="00692FF6"/>
    <w:rsid w:val="00693105"/>
    <w:rsid w:val="0069589D"/>
    <w:rsid w:val="00695AD1"/>
    <w:rsid w:val="00695D34"/>
    <w:rsid w:val="00697F95"/>
    <w:rsid w:val="006A1969"/>
    <w:rsid w:val="006A29EB"/>
    <w:rsid w:val="006A4255"/>
    <w:rsid w:val="006A6E99"/>
    <w:rsid w:val="006B1982"/>
    <w:rsid w:val="006B3C34"/>
    <w:rsid w:val="006B4853"/>
    <w:rsid w:val="006B7232"/>
    <w:rsid w:val="006C33A8"/>
    <w:rsid w:val="006C3533"/>
    <w:rsid w:val="006C3DDD"/>
    <w:rsid w:val="006C435C"/>
    <w:rsid w:val="006C44AF"/>
    <w:rsid w:val="006C5ACF"/>
    <w:rsid w:val="006C69CB"/>
    <w:rsid w:val="006D22B0"/>
    <w:rsid w:val="006D2470"/>
    <w:rsid w:val="006D5A61"/>
    <w:rsid w:val="006E0974"/>
    <w:rsid w:val="006E16FA"/>
    <w:rsid w:val="006E2094"/>
    <w:rsid w:val="006E3D99"/>
    <w:rsid w:val="006E4DEC"/>
    <w:rsid w:val="006E6C6D"/>
    <w:rsid w:val="006E6ED4"/>
    <w:rsid w:val="006E7B1E"/>
    <w:rsid w:val="006E7B38"/>
    <w:rsid w:val="006F6508"/>
    <w:rsid w:val="00700D11"/>
    <w:rsid w:val="007023B0"/>
    <w:rsid w:val="00702BA5"/>
    <w:rsid w:val="007035BD"/>
    <w:rsid w:val="00707DAF"/>
    <w:rsid w:val="00711E46"/>
    <w:rsid w:val="0071571E"/>
    <w:rsid w:val="00716F81"/>
    <w:rsid w:val="00717782"/>
    <w:rsid w:val="00720160"/>
    <w:rsid w:val="00721069"/>
    <w:rsid w:val="00723B50"/>
    <w:rsid w:val="00724BDE"/>
    <w:rsid w:val="00725AD6"/>
    <w:rsid w:val="00727A25"/>
    <w:rsid w:val="00732309"/>
    <w:rsid w:val="00732373"/>
    <w:rsid w:val="007400ED"/>
    <w:rsid w:val="0074039F"/>
    <w:rsid w:val="00740BD1"/>
    <w:rsid w:val="00743C75"/>
    <w:rsid w:val="00745005"/>
    <w:rsid w:val="007454D0"/>
    <w:rsid w:val="00746F3C"/>
    <w:rsid w:val="0075266A"/>
    <w:rsid w:val="00752E0F"/>
    <w:rsid w:val="007540E7"/>
    <w:rsid w:val="00755237"/>
    <w:rsid w:val="00757E5F"/>
    <w:rsid w:val="00760AFE"/>
    <w:rsid w:val="00761263"/>
    <w:rsid w:val="007635F9"/>
    <w:rsid w:val="00763F3A"/>
    <w:rsid w:val="00764BC2"/>
    <w:rsid w:val="0076506A"/>
    <w:rsid w:val="00767686"/>
    <w:rsid w:val="00770940"/>
    <w:rsid w:val="00774EB8"/>
    <w:rsid w:val="007752B5"/>
    <w:rsid w:val="00775772"/>
    <w:rsid w:val="007777B3"/>
    <w:rsid w:val="00777963"/>
    <w:rsid w:val="00777FB0"/>
    <w:rsid w:val="00781824"/>
    <w:rsid w:val="007820CA"/>
    <w:rsid w:val="007829B5"/>
    <w:rsid w:val="00782AFD"/>
    <w:rsid w:val="00783571"/>
    <w:rsid w:val="00783BCC"/>
    <w:rsid w:val="00783F99"/>
    <w:rsid w:val="007841B3"/>
    <w:rsid w:val="0078561F"/>
    <w:rsid w:val="007862AC"/>
    <w:rsid w:val="007868CE"/>
    <w:rsid w:val="00786C56"/>
    <w:rsid w:val="007907CC"/>
    <w:rsid w:val="00791BDB"/>
    <w:rsid w:val="0079292A"/>
    <w:rsid w:val="00793E21"/>
    <w:rsid w:val="007951C2"/>
    <w:rsid w:val="007A21E3"/>
    <w:rsid w:val="007A36B4"/>
    <w:rsid w:val="007A4468"/>
    <w:rsid w:val="007A5CF4"/>
    <w:rsid w:val="007B2646"/>
    <w:rsid w:val="007B365F"/>
    <w:rsid w:val="007B44FB"/>
    <w:rsid w:val="007B6981"/>
    <w:rsid w:val="007C2740"/>
    <w:rsid w:val="007C35E8"/>
    <w:rsid w:val="007C3E9D"/>
    <w:rsid w:val="007C439E"/>
    <w:rsid w:val="007C663B"/>
    <w:rsid w:val="007C7F33"/>
    <w:rsid w:val="007D1ABA"/>
    <w:rsid w:val="007D1D63"/>
    <w:rsid w:val="007D3AD5"/>
    <w:rsid w:val="007D463A"/>
    <w:rsid w:val="007D61D1"/>
    <w:rsid w:val="007D69F3"/>
    <w:rsid w:val="007D7B31"/>
    <w:rsid w:val="007E0714"/>
    <w:rsid w:val="007E1C54"/>
    <w:rsid w:val="007E27C6"/>
    <w:rsid w:val="007F0127"/>
    <w:rsid w:val="007F0234"/>
    <w:rsid w:val="007F2E01"/>
    <w:rsid w:val="007F4911"/>
    <w:rsid w:val="00800531"/>
    <w:rsid w:val="00800FF6"/>
    <w:rsid w:val="0080301A"/>
    <w:rsid w:val="00803C41"/>
    <w:rsid w:val="008045B0"/>
    <w:rsid w:val="00804634"/>
    <w:rsid w:val="00805CED"/>
    <w:rsid w:val="00806C63"/>
    <w:rsid w:val="008078C8"/>
    <w:rsid w:val="00807DD4"/>
    <w:rsid w:val="008107A3"/>
    <w:rsid w:val="00810C21"/>
    <w:rsid w:val="00811F9E"/>
    <w:rsid w:val="0081307F"/>
    <w:rsid w:val="00813A48"/>
    <w:rsid w:val="0081784C"/>
    <w:rsid w:val="008203B8"/>
    <w:rsid w:val="00820A26"/>
    <w:rsid w:val="00820FFA"/>
    <w:rsid w:val="008212DB"/>
    <w:rsid w:val="00821575"/>
    <w:rsid w:val="0082343D"/>
    <w:rsid w:val="00824DF4"/>
    <w:rsid w:val="008306C8"/>
    <w:rsid w:val="00831D84"/>
    <w:rsid w:val="008351F2"/>
    <w:rsid w:val="008353CE"/>
    <w:rsid w:val="008358CF"/>
    <w:rsid w:val="0083755D"/>
    <w:rsid w:val="00837AE9"/>
    <w:rsid w:val="00841B0B"/>
    <w:rsid w:val="00847B32"/>
    <w:rsid w:val="0085006B"/>
    <w:rsid w:val="008505CC"/>
    <w:rsid w:val="00850F09"/>
    <w:rsid w:val="008520A1"/>
    <w:rsid w:val="008558CC"/>
    <w:rsid w:val="0085771A"/>
    <w:rsid w:val="00857A09"/>
    <w:rsid w:val="0086088E"/>
    <w:rsid w:val="00861A54"/>
    <w:rsid w:val="00863EC2"/>
    <w:rsid w:val="00865680"/>
    <w:rsid w:val="00870C3C"/>
    <w:rsid w:val="00876413"/>
    <w:rsid w:val="008775A2"/>
    <w:rsid w:val="00877D0E"/>
    <w:rsid w:val="00880EC6"/>
    <w:rsid w:val="00881125"/>
    <w:rsid w:val="00883677"/>
    <w:rsid w:val="00883D17"/>
    <w:rsid w:val="00884412"/>
    <w:rsid w:val="00890C92"/>
    <w:rsid w:val="00895261"/>
    <w:rsid w:val="00896310"/>
    <w:rsid w:val="008A09DB"/>
    <w:rsid w:val="008A1948"/>
    <w:rsid w:val="008A2C3F"/>
    <w:rsid w:val="008A35C8"/>
    <w:rsid w:val="008A4342"/>
    <w:rsid w:val="008A5C16"/>
    <w:rsid w:val="008A73D1"/>
    <w:rsid w:val="008B138A"/>
    <w:rsid w:val="008B1AD1"/>
    <w:rsid w:val="008B1BE9"/>
    <w:rsid w:val="008B3D4A"/>
    <w:rsid w:val="008B505C"/>
    <w:rsid w:val="008B60F0"/>
    <w:rsid w:val="008B6BDD"/>
    <w:rsid w:val="008B6C99"/>
    <w:rsid w:val="008B7151"/>
    <w:rsid w:val="008C07EA"/>
    <w:rsid w:val="008C3EA0"/>
    <w:rsid w:val="008C7CE5"/>
    <w:rsid w:val="008D04D4"/>
    <w:rsid w:val="008D0595"/>
    <w:rsid w:val="008D208B"/>
    <w:rsid w:val="008D2178"/>
    <w:rsid w:val="008D290B"/>
    <w:rsid w:val="008D3232"/>
    <w:rsid w:val="008D3EAB"/>
    <w:rsid w:val="008D51E7"/>
    <w:rsid w:val="008D6BEF"/>
    <w:rsid w:val="008E382E"/>
    <w:rsid w:val="008E555C"/>
    <w:rsid w:val="008E5B99"/>
    <w:rsid w:val="008E6B0C"/>
    <w:rsid w:val="008F1288"/>
    <w:rsid w:val="008F1E35"/>
    <w:rsid w:val="008F32CE"/>
    <w:rsid w:val="008F3A4A"/>
    <w:rsid w:val="008F5159"/>
    <w:rsid w:val="008F5204"/>
    <w:rsid w:val="009035A6"/>
    <w:rsid w:val="00903B65"/>
    <w:rsid w:val="00903CC4"/>
    <w:rsid w:val="00903FBB"/>
    <w:rsid w:val="00905D02"/>
    <w:rsid w:val="009062C3"/>
    <w:rsid w:val="0090705D"/>
    <w:rsid w:val="00913457"/>
    <w:rsid w:val="00914009"/>
    <w:rsid w:val="00917666"/>
    <w:rsid w:val="00920FA2"/>
    <w:rsid w:val="0092206B"/>
    <w:rsid w:val="009243FC"/>
    <w:rsid w:val="00924A40"/>
    <w:rsid w:val="009264E9"/>
    <w:rsid w:val="009274DD"/>
    <w:rsid w:val="009305DC"/>
    <w:rsid w:val="009312C3"/>
    <w:rsid w:val="00932433"/>
    <w:rsid w:val="009349E6"/>
    <w:rsid w:val="00936E9D"/>
    <w:rsid w:val="00936FF4"/>
    <w:rsid w:val="00937D16"/>
    <w:rsid w:val="00941578"/>
    <w:rsid w:val="00941D07"/>
    <w:rsid w:val="009446AB"/>
    <w:rsid w:val="00944F30"/>
    <w:rsid w:val="0094524C"/>
    <w:rsid w:val="00945ABE"/>
    <w:rsid w:val="00945B22"/>
    <w:rsid w:val="0094732D"/>
    <w:rsid w:val="00952785"/>
    <w:rsid w:val="00960D7C"/>
    <w:rsid w:val="00961B7E"/>
    <w:rsid w:val="0096267D"/>
    <w:rsid w:val="00962A45"/>
    <w:rsid w:val="009635E3"/>
    <w:rsid w:val="009642DB"/>
    <w:rsid w:val="009666AF"/>
    <w:rsid w:val="00966A47"/>
    <w:rsid w:val="00970C39"/>
    <w:rsid w:val="00970F58"/>
    <w:rsid w:val="0097172B"/>
    <w:rsid w:val="009752BE"/>
    <w:rsid w:val="00975332"/>
    <w:rsid w:val="00976DAC"/>
    <w:rsid w:val="009779CF"/>
    <w:rsid w:val="00977B2A"/>
    <w:rsid w:val="009808C0"/>
    <w:rsid w:val="009817B1"/>
    <w:rsid w:val="00984C35"/>
    <w:rsid w:val="00985AC5"/>
    <w:rsid w:val="00986A0E"/>
    <w:rsid w:val="00990283"/>
    <w:rsid w:val="00993F71"/>
    <w:rsid w:val="00997641"/>
    <w:rsid w:val="009979A8"/>
    <w:rsid w:val="009A059C"/>
    <w:rsid w:val="009A0DD3"/>
    <w:rsid w:val="009A21A7"/>
    <w:rsid w:val="009A343E"/>
    <w:rsid w:val="009A7072"/>
    <w:rsid w:val="009B1A22"/>
    <w:rsid w:val="009B4C1F"/>
    <w:rsid w:val="009B4F35"/>
    <w:rsid w:val="009B578F"/>
    <w:rsid w:val="009C6A75"/>
    <w:rsid w:val="009C7457"/>
    <w:rsid w:val="009D0173"/>
    <w:rsid w:val="009D035E"/>
    <w:rsid w:val="009D14CF"/>
    <w:rsid w:val="009D2B99"/>
    <w:rsid w:val="009D315A"/>
    <w:rsid w:val="009D35D5"/>
    <w:rsid w:val="009E0B61"/>
    <w:rsid w:val="009E1466"/>
    <w:rsid w:val="009E1D4A"/>
    <w:rsid w:val="009E351C"/>
    <w:rsid w:val="009E41B3"/>
    <w:rsid w:val="009E7BA6"/>
    <w:rsid w:val="009F073E"/>
    <w:rsid w:val="009F0FF1"/>
    <w:rsid w:val="009F19ED"/>
    <w:rsid w:val="009F25FA"/>
    <w:rsid w:val="009F29A2"/>
    <w:rsid w:val="009F2D78"/>
    <w:rsid w:val="009F316C"/>
    <w:rsid w:val="009F3528"/>
    <w:rsid w:val="009F42C3"/>
    <w:rsid w:val="009F4F22"/>
    <w:rsid w:val="009F594F"/>
    <w:rsid w:val="00A00681"/>
    <w:rsid w:val="00A027E0"/>
    <w:rsid w:val="00A0330E"/>
    <w:rsid w:val="00A03977"/>
    <w:rsid w:val="00A03D93"/>
    <w:rsid w:val="00A03DD6"/>
    <w:rsid w:val="00A048AC"/>
    <w:rsid w:val="00A04AEE"/>
    <w:rsid w:val="00A04FDB"/>
    <w:rsid w:val="00A052A9"/>
    <w:rsid w:val="00A05569"/>
    <w:rsid w:val="00A06DF1"/>
    <w:rsid w:val="00A07D3C"/>
    <w:rsid w:val="00A07D5B"/>
    <w:rsid w:val="00A14C9C"/>
    <w:rsid w:val="00A175FF"/>
    <w:rsid w:val="00A21FD9"/>
    <w:rsid w:val="00A235AE"/>
    <w:rsid w:val="00A25B46"/>
    <w:rsid w:val="00A25D8F"/>
    <w:rsid w:val="00A31F45"/>
    <w:rsid w:val="00A324E0"/>
    <w:rsid w:val="00A37DED"/>
    <w:rsid w:val="00A4195B"/>
    <w:rsid w:val="00A42012"/>
    <w:rsid w:val="00A503AD"/>
    <w:rsid w:val="00A5245F"/>
    <w:rsid w:val="00A52599"/>
    <w:rsid w:val="00A52C92"/>
    <w:rsid w:val="00A5498E"/>
    <w:rsid w:val="00A56600"/>
    <w:rsid w:val="00A5673B"/>
    <w:rsid w:val="00A615D4"/>
    <w:rsid w:val="00A62368"/>
    <w:rsid w:val="00A629A1"/>
    <w:rsid w:val="00A630BC"/>
    <w:rsid w:val="00A646B9"/>
    <w:rsid w:val="00A650CB"/>
    <w:rsid w:val="00A65398"/>
    <w:rsid w:val="00A6673E"/>
    <w:rsid w:val="00A7000F"/>
    <w:rsid w:val="00A705A1"/>
    <w:rsid w:val="00A709CE"/>
    <w:rsid w:val="00A70DCB"/>
    <w:rsid w:val="00A72099"/>
    <w:rsid w:val="00A724F9"/>
    <w:rsid w:val="00A72F4D"/>
    <w:rsid w:val="00A732ED"/>
    <w:rsid w:val="00A81289"/>
    <w:rsid w:val="00A81FA3"/>
    <w:rsid w:val="00A8213E"/>
    <w:rsid w:val="00A837F0"/>
    <w:rsid w:val="00A86108"/>
    <w:rsid w:val="00A87D18"/>
    <w:rsid w:val="00A90280"/>
    <w:rsid w:val="00A92FDC"/>
    <w:rsid w:val="00A94666"/>
    <w:rsid w:val="00A95C63"/>
    <w:rsid w:val="00A96AB5"/>
    <w:rsid w:val="00A972AC"/>
    <w:rsid w:val="00AA11C2"/>
    <w:rsid w:val="00AA2411"/>
    <w:rsid w:val="00AA3686"/>
    <w:rsid w:val="00AA3986"/>
    <w:rsid w:val="00AA4E5F"/>
    <w:rsid w:val="00AA5286"/>
    <w:rsid w:val="00AA6E6D"/>
    <w:rsid w:val="00AB0C58"/>
    <w:rsid w:val="00AB3866"/>
    <w:rsid w:val="00AB4B1B"/>
    <w:rsid w:val="00AB4C5A"/>
    <w:rsid w:val="00AB6601"/>
    <w:rsid w:val="00AB6B1E"/>
    <w:rsid w:val="00AB6DD7"/>
    <w:rsid w:val="00AB7DA8"/>
    <w:rsid w:val="00AC0F0D"/>
    <w:rsid w:val="00AC2AA5"/>
    <w:rsid w:val="00AC38B2"/>
    <w:rsid w:val="00AC3EC3"/>
    <w:rsid w:val="00AC65C7"/>
    <w:rsid w:val="00AC7EE5"/>
    <w:rsid w:val="00AD07B3"/>
    <w:rsid w:val="00AD2CC2"/>
    <w:rsid w:val="00AD4AF8"/>
    <w:rsid w:val="00AD5886"/>
    <w:rsid w:val="00AD60FB"/>
    <w:rsid w:val="00AD63FB"/>
    <w:rsid w:val="00AE1707"/>
    <w:rsid w:val="00AE3363"/>
    <w:rsid w:val="00AE3562"/>
    <w:rsid w:val="00AE37AC"/>
    <w:rsid w:val="00AE62FF"/>
    <w:rsid w:val="00AF0E82"/>
    <w:rsid w:val="00AF1337"/>
    <w:rsid w:val="00AF2D70"/>
    <w:rsid w:val="00AF3ED9"/>
    <w:rsid w:val="00AF5ACA"/>
    <w:rsid w:val="00AF6E1E"/>
    <w:rsid w:val="00AF75C5"/>
    <w:rsid w:val="00B012BB"/>
    <w:rsid w:val="00B035A4"/>
    <w:rsid w:val="00B042DC"/>
    <w:rsid w:val="00B05717"/>
    <w:rsid w:val="00B0592D"/>
    <w:rsid w:val="00B06701"/>
    <w:rsid w:val="00B075ED"/>
    <w:rsid w:val="00B14A1F"/>
    <w:rsid w:val="00B1577A"/>
    <w:rsid w:val="00B165F5"/>
    <w:rsid w:val="00B16AC8"/>
    <w:rsid w:val="00B17DE5"/>
    <w:rsid w:val="00B17EC6"/>
    <w:rsid w:val="00B20D9F"/>
    <w:rsid w:val="00B24010"/>
    <w:rsid w:val="00B253E0"/>
    <w:rsid w:val="00B254A9"/>
    <w:rsid w:val="00B26A87"/>
    <w:rsid w:val="00B307FE"/>
    <w:rsid w:val="00B30B52"/>
    <w:rsid w:val="00B31839"/>
    <w:rsid w:val="00B346CF"/>
    <w:rsid w:val="00B358A2"/>
    <w:rsid w:val="00B3680F"/>
    <w:rsid w:val="00B40304"/>
    <w:rsid w:val="00B4243A"/>
    <w:rsid w:val="00B43954"/>
    <w:rsid w:val="00B443CA"/>
    <w:rsid w:val="00B45785"/>
    <w:rsid w:val="00B458C1"/>
    <w:rsid w:val="00B4626D"/>
    <w:rsid w:val="00B47F5E"/>
    <w:rsid w:val="00B50029"/>
    <w:rsid w:val="00B50340"/>
    <w:rsid w:val="00B519F3"/>
    <w:rsid w:val="00B54766"/>
    <w:rsid w:val="00B60374"/>
    <w:rsid w:val="00B6136C"/>
    <w:rsid w:val="00B61EA3"/>
    <w:rsid w:val="00B637DF"/>
    <w:rsid w:val="00B65261"/>
    <w:rsid w:val="00B712F1"/>
    <w:rsid w:val="00B72479"/>
    <w:rsid w:val="00B80B1B"/>
    <w:rsid w:val="00B80D34"/>
    <w:rsid w:val="00B80E03"/>
    <w:rsid w:val="00B81033"/>
    <w:rsid w:val="00B811F7"/>
    <w:rsid w:val="00B8231B"/>
    <w:rsid w:val="00B829E2"/>
    <w:rsid w:val="00B82A95"/>
    <w:rsid w:val="00B84EAE"/>
    <w:rsid w:val="00B86965"/>
    <w:rsid w:val="00B879FE"/>
    <w:rsid w:val="00B90ADB"/>
    <w:rsid w:val="00B91A3E"/>
    <w:rsid w:val="00B93076"/>
    <w:rsid w:val="00B964AA"/>
    <w:rsid w:val="00B96E99"/>
    <w:rsid w:val="00BA143D"/>
    <w:rsid w:val="00BA17FF"/>
    <w:rsid w:val="00BA271A"/>
    <w:rsid w:val="00BA3138"/>
    <w:rsid w:val="00BA6BC3"/>
    <w:rsid w:val="00BA78F0"/>
    <w:rsid w:val="00BA796E"/>
    <w:rsid w:val="00BB0C04"/>
    <w:rsid w:val="00BB314B"/>
    <w:rsid w:val="00BB4B35"/>
    <w:rsid w:val="00BC0108"/>
    <w:rsid w:val="00BC0FCD"/>
    <w:rsid w:val="00BC31B1"/>
    <w:rsid w:val="00BC368D"/>
    <w:rsid w:val="00BC4590"/>
    <w:rsid w:val="00BC53E2"/>
    <w:rsid w:val="00BC7EFE"/>
    <w:rsid w:val="00BD0C60"/>
    <w:rsid w:val="00BD359F"/>
    <w:rsid w:val="00BD47EF"/>
    <w:rsid w:val="00BE0F43"/>
    <w:rsid w:val="00BE205C"/>
    <w:rsid w:val="00BE29FD"/>
    <w:rsid w:val="00BE475E"/>
    <w:rsid w:val="00BE5D62"/>
    <w:rsid w:val="00BF16C5"/>
    <w:rsid w:val="00BF23E2"/>
    <w:rsid w:val="00BF5B8E"/>
    <w:rsid w:val="00BF5FD7"/>
    <w:rsid w:val="00BF7F03"/>
    <w:rsid w:val="00C00291"/>
    <w:rsid w:val="00C007D0"/>
    <w:rsid w:val="00C1000D"/>
    <w:rsid w:val="00C10987"/>
    <w:rsid w:val="00C10FDF"/>
    <w:rsid w:val="00C11082"/>
    <w:rsid w:val="00C135C8"/>
    <w:rsid w:val="00C16A7F"/>
    <w:rsid w:val="00C16C55"/>
    <w:rsid w:val="00C17E98"/>
    <w:rsid w:val="00C207C2"/>
    <w:rsid w:val="00C22FDF"/>
    <w:rsid w:val="00C2311E"/>
    <w:rsid w:val="00C236C4"/>
    <w:rsid w:val="00C248A5"/>
    <w:rsid w:val="00C24935"/>
    <w:rsid w:val="00C26D20"/>
    <w:rsid w:val="00C27EB7"/>
    <w:rsid w:val="00C3055B"/>
    <w:rsid w:val="00C3115D"/>
    <w:rsid w:val="00C31A26"/>
    <w:rsid w:val="00C31BDB"/>
    <w:rsid w:val="00C3205A"/>
    <w:rsid w:val="00C34C0D"/>
    <w:rsid w:val="00C372B7"/>
    <w:rsid w:val="00C42335"/>
    <w:rsid w:val="00C42B03"/>
    <w:rsid w:val="00C43799"/>
    <w:rsid w:val="00C449B0"/>
    <w:rsid w:val="00C44A98"/>
    <w:rsid w:val="00C45B70"/>
    <w:rsid w:val="00C475E8"/>
    <w:rsid w:val="00C54A76"/>
    <w:rsid w:val="00C56823"/>
    <w:rsid w:val="00C5715E"/>
    <w:rsid w:val="00C57D83"/>
    <w:rsid w:val="00C6180C"/>
    <w:rsid w:val="00C61A4E"/>
    <w:rsid w:val="00C634D2"/>
    <w:rsid w:val="00C63D5F"/>
    <w:rsid w:val="00C6645C"/>
    <w:rsid w:val="00C666CC"/>
    <w:rsid w:val="00C667FA"/>
    <w:rsid w:val="00C74C9B"/>
    <w:rsid w:val="00C759CB"/>
    <w:rsid w:val="00C76069"/>
    <w:rsid w:val="00C76157"/>
    <w:rsid w:val="00C76F57"/>
    <w:rsid w:val="00C778EB"/>
    <w:rsid w:val="00C80357"/>
    <w:rsid w:val="00C80798"/>
    <w:rsid w:val="00C80FB9"/>
    <w:rsid w:val="00C829EF"/>
    <w:rsid w:val="00C83B4D"/>
    <w:rsid w:val="00C91BFB"/>
    <w:rsid w:val="00CA03F0"/>
    <w:rsid w:val="00CA1086"/>
    <w:rsid w:val="00CA29CB"/>
    <w:rsid w:val="00CA6641"/>
    <w:rsid w:val="00CA6DB3"/>
    <w:rsid w:val="00CB25D0"/>
    <w:rsid w:val="00CB28DE"/>
    <w:rsid w:val="00CB408D"/>
    <w:rsid w:val="00CB466B"/>
    <w:rsid w:val="00CC1D9B"/>
    <w:rsid w:val="00CC1F1A"/>
    <w:rsid w:val="00CC4D69"/>
    <w:rsid w:val="00CC69DC"/>
    <w:rsid w:val="00CC7136"/>
    <w:rsid w:val="00CD1A53"/>
    <w:rsid w:val="00CD1EA2"/>
    <w:rsid w:val="00CD3C07"/>
    <w:rsid w:val="00CD62A1"/>
    <w:rsid w:val="00CE1715"/>
    <w:rsid w:val="00CE3B2F"/>
    <w:rsid w:val="00CE43C5"/>
    <w:rsid w:val="00CF178D"/>
    <w:rsid w:val="00CF1A92"/>
    <w:rsid w:val="00CF312E"/>
    <w:rsid w:val="00CF6C9A"/>
    <w:rsid w:val="00D00FF8"/>
    <w:rsid w:val="00D01429"/>
    <w:rsid w:val="00D01576"/>
    <w:rsid w:val="00D036C0"/>
    <w:rsid w:val="00D05307"/>
    <w:rsid w:val="00D05CA4"/>
    <w:rsid w:val="00D07BDF"/>
    <w:rsid w:val="00D105EF"/>
    <w:rsid w:val="00D10A77"/>
    <w:rsid w:val="00D10B48"/>
    <w:rsid w:val="00D124F9"/>
    <w:rsid w:val="00D147AF"/>
    <w:rsid w:val="00D1512A"/>
    <w:rsid w:val="00D15E3A"/>
    <w:rsid w:val="00D15F7D"/>
    <w:rsid w:val="00D15FB5"/>
    <w:rsid w:val="00D200CD"/>
    <w:rsid w:val="00D25671"/>
    <w:rsid w:val="00D2642B"/>
    <w:rsid w:val="00D26FA0"/>
    <w:rsid w:val="00D2709C"/>
    <w:rsid w:val="00D27722"/>
    <w:rsid w:val="00D30ABC"/>
    <w:rsid w:val="00D3262D"/>
    <w:rsid w:val="00D3564D"/>
    <w:rsid w:val="00D36210"/>
    <w:rsid w:val="00D403AB"/>
    <w:rsid w:val="00D413F9"/>
    <w:rsid w:val="00D41BD2"/>
    <w:rsid w:val="00D43A56"/>
    <w:rsid w:val="00D44050"/>
    <w:rsid w:val="00D50D07"/>
    <w:rsid w:val="00D52463"/>
    <w:rsid w:val="00D535CA"/>
    <w:rsid w:val="00D53AA9"/>
    <w:rsid w:val="00D53DC2"/>
    <w:rsid w:val="00D54114"/>
    <w:rsid w:val="00D57113"/>
    <w:rsid w:val="00D6034B"/>
    <w:rsid w:val="00D608A8"/>
    <w:rsid w:val="00D61798"/>
    <w:rsid w:val="00D71205"/>
    <w:rsid w:val="00D71BA0"/>
    <w:rsid w:val="00D72499"/>
    <w:rsid w:val="00D75328"/>
    <w:rsid w:val="00D75B49"/>
    <w:rsid w:val="00D8011B"/>
    <w:rsid w:val="00D8030E"/>
    <w:rsid w:val="00D80F71"/>
    <w:rsid w:val="00D82CB5"/>
    <w:rsid w:val="00D84255"/>
    <w:rsid w:val="00D852CB"/>
    <w:rsid w:val="00D90F79"/>
    <w:rsid w:val="00D91C1D"/>
    <w:rsid w:val="00D91DDC"/>
    <w:rsid w:val="00D93A0F"/>
    <w:rsid w:val="00D93C0F"/>
    <w:rsid w:val="00D94480"/>
    <w:rsid w:val="00D94D12"/>
    <w:rsid w:val="00D94ECD"/>
    <w:rsid w:val="00D95085"/>
    <w:rsid w:val="00D95636"/>
    <w:rsid w:val="00D96155"/>
    <w:rsid w:val="00D96C32"/>
    <w:rsid w:val="00D976B7"/>
    <w:rsid w:val="00DA13E4"/>
    <w:rsid w:val="00DA3942"/>
    <w:rsid w:val="00DA4CF6"/>
    <w:rsid w:val="00DA6762"/>
    <w:rsid w:val="00DA6874"/>
    <w:rsid w:val="00DA6996"/>
    <w:rsid w:val="00DA6F38"/>
    <w:rsid w:val="00DA6F4F"/>
    <w:rsid w:val="00DA7361"/>
    <w:rsid w:val="00DB1B32"/>
    <w:rsid w:val="00DB2731"/>
    <w:rsid w:val="00DB3C8F"/>
    <w:rsid w:val="00DB52C3"/>
    <w:rsid w:val="00DB55C8"/>
    <w:rsid w:val="00DB6C19"/>
    <w:rsid w:val="00DC1DD2"/>
    <w:rsid w:val="00DC461D"/>
    <w:rsid w:val="00DD2872"/>
    <w:rsid w:val="00DD28D1"/>
    <w:rsid w:val="00DD2F7D"/>
    <w:rsid w:val="00DD5925"/>
    <w:rsid w:val="00DD6663"/>
    <w:rsid w:val="00DD6BEF"/>
    <w:rsid w:val="00DD6C98"/>
    <w:rsid w:val="00DE05B1"/>
    <w:rsid w:val="00DE40DE"/>
    <w:rsid w:val="00DE5CB1"/>
    <w:rsid w:val="00DE61B8"/>
    <w:rsid w:val="00DE6A7C"/>
    <w:rsid w:val="00DE7B38"/>
    <w:rsid w:val="00DF10F2"/>
    <w:rsid w:val="00DF1766"/>
    <w:rsid w:val="00DF4AA4"/>
    <w:rsid w:val="00DF60B7"/>
    <w:rsid w:val="00E00EE3"/>
    <w:rsid w:val="00E05267"/>
    <w:rsid w:val="00E06D68"/>
    <w:rsid w:val="00E07DC5"/>
    <w:rsid w:val="00E106E7"/>
    <w:rsid w:val="00E117CB"/>
    <w:rsid w:val="00E135AD"/>
    <w:rsid w:val="00E138D1"/>
    <w:rsid w:val="00E1470B"/>
    <w:rsid w:val="00E15B57"/>
    <w:rsid w:val="00E17241"/>
    <w:rsid w:val="00E2004D"/>
    <w:rsid w:val="00E212F6"/>
    <w:rsid w:val="00E23C24"/>
    <w:rsid w:val="00E24599"/>
    <w:rsid w:val="00E25C90"/>
    <w:rsid w:val="00E26793"/>
    <w:rsid w:val="00E2744B"/>
    <w:rsid w:val="00E279BE"/>
    <w:rsid w:val="00E3283B"/>
    <w:rsid w:val="00E32C60"/>
    <w:rsid w:val="00E3489A"/>
    <w:rsid w:val="00E34A51"/>
    <w:rsid w:val="00E34F7C"/>
    <w:rsid w:val="00E37318"/>
    <w:rsid w:val="00E401C3"/>
    <w:rsid w:val="00E4023E"/>
    <w:rsid w:val="00E42214"/>
    <w:rsid w:val="00E426A6"/>
    <w:rsid w:val="00E459ED"/>
    <w:rsid w:val="00E52693"/>
    <w:rsid w:val="00E528A1"/>
    <w:rsid w:val="00E57567"/>
    <w:rsid w:val="00E6150A"/>
    <w:rsid w:val="00E629BE"/>
    <w:rsid w:val="00E66991"/>
    <w:rsid w:val="00E671EE"/>
    <w:rsid w:val="00E6733C"/>
    <w:rsid w:val="00E71B84"/>
    <w:rsid w:val="00E739C1"/>
    <w:rsid w:val="00E74CF8"/>
    <w:rsid w:val="00E82448"/>
    <w:rsid w:val="00E90920"/>
    <w:rsid w:val="00E946C6"/>
    <w:rsid w:val="00E951B4"/>
    <w:rsid w:val="00E95BDB"/>
    <w:rsid w:val="00E95F91"/>
    <w:rsid w:val="00E97F92"/>
    <w:rsid w:val="00EA1F56"/>
    <w:rsid w:val="00EA2D51"/>
    <w:rsid w:val="00EA35C1"/>
    <w:rsid w:val="00EA4631"/>
    <w:rsid w:val="00EA527E"/>
    <w:rsid w:val="00EA56F5"/>
    <w:rsid w:val="00EA745A"/>
    <w:rsid w:val="00EB2E13"/>
    <w:rsid w:val="00EB312B"/>
    <w:rsid w:val="00EB4093"/>
    <w:rsid w:val="00EB7B47"/>
    <w:rsid w:val="00EB7FD5"/>
    <w:rsid w:val="00EC0892"/>
    <w:rsid w:val="00EC141E"/>
    <w:rsid w:val="00EC48C1"/>
    <w:rsid w:val="00EC4C0A"/>
    <w:rsid w:val="00EC4C2B"/>
    <w:rsid w:val="00ED0443"/>
    <w:rsid w:val="00ED0B44"/>
    <w:rsid w:val="00ED1952"/>
    <w:rsid w:val="00ED2370"/>
    <w:rsid w:val="00ED2AFC"/>
    <w:rsid w:val="00ED48D1"/>
    <w:rsid w:val="00ED6046"/>
    <w:rsid w:val="00ED71F8"/>
    <w:rsid w:val="00EE15A4"/>
    <w:rsid w:val="00EE1F5A"/>
    <w:rsid w:val="00EE26E5"/>
    <w:rsid w:val="00EE32BC"/>
    <w:rsid w:val="00EE4C11"/>
    <w:rsid w:val="00EE5F4C"/>
    <w:rsid w:val="00EE6C60"/>
    <w:rsid w:val="00EE6FE1"/>
    <w:rsid w:val="00EE7BE8"/>
    <w:rsid w:val="00EF4B3F"/>
    <w:rsid w:val="00EF5604"/>
    <w:rsid w:val="00EF5D45"/>
    <w:rsid w:val="00EF6DFB"/>
    <w:rsid w:val="00EF7F62"/>
    <w:rsid w:val="00F01532"/>
    <w:rsid w:val="00F026B4"/>
    <w:rsid w:val="00F03923"/>
    <w:rsid w:val="00F03B30"/>
    <w:rsid w:val="00F03C2F"/>
    <w:rsid w:val="00F05B4A"/>
    <w:rsid w:val="00F05DC7"/>
    <w:rsid w:val="00F06B5B"/>
    <w:rsid w:val="00F0711D"/>
    <w:rsid w:val="00F0736F"/>
    <w:rsid w:val="00F1153C"/>
    <w:rsid w:val="00F11F89"/>
    <w:rsid w:val="00F132D4"/>
    <w:rsid w:val="00F13B58"/>
    <w:rsid w:val="00F14271"/>
    <w:rsid w:val="00F14DB6"/>
    <w:rsid w:val="00F15FC7"/>
    <w:rsid w:val="00F2059E"/>
    <w:rsid w:val="00F20957"/>
    <w:rsid w:val="00F22191"/>
    <w:rsid w:val="00F2408B"/>
    <w:rsid w:val="00F25A51"/>
    <w:rsid w:val="00F2726F"/>
    <w:rsid w:val="00F2750D"/>
    <w:rsid w:val="00F27BF4"/>
    <w:rsid w:val="00F27CA4"/>
    <w:rsid w:val="00F30582"/>
    <w:rsid w:val="00F31465"/>
    <w:rsid w:val="00F335CD"/>
    <w:rsid w:val="00F36A02"/>
    <w:rsid w:val="00F36A29"/>
    <w:rsid w:val="00F37402"/>
    <w:rsid w:val="00F379A0"/>
    <w:rsid w:val="00F42FE4"/>
    <w:rsid w:val="00F43075"/>
    <w:rsid w:val="00F43337"/>
    <w:rsid w:val="00F446BB"/>
    <w:rsid w:val="00F44A27"/>
    <w:rsid w:val="00F5517F"/>
    <w:rsid w:val="00F55AB9"/>
    <w:rsid w:val="00F55FEA"/>
    <w:rsid w:val="00F57CA6"/>
    <w:rsid w:val="00F65EF3"/>
    <w:rsid w:val="00F662C2"/>
    <w:rsid w:val="00F674B2"/>
    <w:rsid w:val="00F679B3"/>
    <w:rsid w:val="00F7012A"/>
    <w:rsid w:val="00F76192"/>
    <w:rsid w:val="00F77F02"/>
    <w:rsid w:val="00F816E5"/>
    <w:rsid w:val="00F818F8"/>
    <w:rsid w:val="00F82721"/>
    <w:rsid w:val="00F85540"/>
    <w:rsid w:val="00F85C8E"/>
    <w:rsid w:val="00F87E48"/>
    <w:rsid w:val="00F90A0C"/>
    <w:rsid w:val="00F92BF0"/>
    <w:rsid w:val="00F952A4"/>
    <w:rsid w:val="00F974CC"/>
    <w:rsid w:val="00FA2295"/>
    <w:rsid w:val="00FA33C8"/>
    <w:rsid w:val="00FA40DC"/>
    <w:rsid w:val="00FA669A"/>
    <w:rsid w:val="00FB1D80"/>
    <w:rsid w:val="00FB5791"/>
    <w:rsid w:val="00FB7A3D"/>
    <w:rsid w:val="00FC1F4B"/>
    <w:rsid w:val="00FC28DC"/>
    <w:rsid w:val="00FC59B2"/>
    <w:rsid w:val="00FD0582"/>
    <w:rsid w:val="00FD20E8"/>
    <w:rsid w:val="00FD3973"/>
    <w:rsid w:val="00FD43F5"/>
    <w:rsid w:val="00FD6F97"/>
    <w:rsid w:val="00FD707C"/>
    <w:rsid w:val="00FD79D4"/>
    <w:rsid w:val="00FE0F5C"/>
    <w:rsid w:val="00FE1FC6"/>
    <w:rsid w:val="00FE37B2"/>
    <w:rsid w:val="00FE4DEA"/>
    <w:rsid w:val="00FE5147"/>
    <w:rsid w:val="00FE56A3"/>
    <w:rsid w:val="00FE64BB"/>
    <w:rsid w:val="00FE6AAF"/>
    <w:rsid w:val="00FE73FD"/>
    <w:rsid w:val="00FF091E"/>
    <w:rsid w:val="00FF1C7F"/>
    <w:rsid w:val="00FF33B5"/>
    <w:rsid w:val="00FF39F2"/>
    <w:rsid w:val="00FF3BC5"/>
    <w:rsid w:val="00FF4C8B"/>
    <w:rsid w:val="00FF6292"/>
    <w:rsid w:val="00FF683A"/>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BC427C"/>
  <w15:docId w15:val="{5F1F9C73-74FC-4133-B8AA-16DE92C1F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271A"/>
    <w:pPr>
      <w:spacing w:after="240"/>
      <w:jc w:val="both"/>
    </w:pPr>
    <w:rPr>
      <w:sz w:val="24"/>
      <w:lang w:val="es-ES" w:eastAsia="es-ES"/>
    </w:rPr>
  </w:style>
  <w:style w:type="paragraph" w:styleId="Heading1">
    <w:name w:val="heading 1"/>
    <w:basedOn w:val="hsa"/>
    <w:next w:val="hsa"/>
    <w:link w:val="Heading1Char"/>
    <w:qFormat/>
    <w:pPr>
      <w:keepNext/>
      <w:numPr>
        <w:numId w:val="5"/>
      </w:numPr>
      <w:spacing w:before="240" w:after="360"/>
      <w:jc w:val="left"/>
      <w:outlineLvl w:val="0"/>
    </w:pPr>
    <w:rPr>
      <w:b/>
      <w:caps/>
    </w:rPr>
  </w:style>
  <w:style w:type="paragraph" w:styleId="Heading2">
    <w:name w:val="heading 2"/>
    <w:basedOn w:val="Heading1"/>
    <w:next w:val="hsa"/>
    <w:qFormat/>
    <w:pPr>
      <w:numPr>
        <w:ilvl w:val="1"/>
      </w:numPr>
      <w:spacing w:after="240"/>
      <w:outlineLvl w:val="1"/>
    </w:pPr>
    <w:rPr>
      <w:caps w:val="0"/>
    </w:rPr>
  </w:style>
  <w:style w:type="paragraph" w:styleId="Heading3">
    <w:name w:val="heading 3"/>
    <w:basedOn w:val="Heading2"/>
    <w:next w:val="hsa"/>
    <w:autoRedefine/>
    <w:qFormat/>
    <w:rsid w:val="0003477B"/>
    <w:pPr>
      <w:numPr>
        <w:ilvl w:val="2"/>
      </w:numPr>
      <w:spacing w:before="0" w:after="180"/>
      <w:outlineLvl w:val="2"/>
    </w:pPr>
    <w:rPr>
      <w:rFonts w:ascii="Arial" w:eastAsia="Calibri" w:hAnsi="Arial" w:cs="Arial"/>
      <w:b w:val="0"/>
      <w:u w:val="single"/>
    </w:rPr>
  </w:style>
  <w:style w:type="paragraph" w:styleId="Heading4">
    <w:name w:val="heading 4"/>
    <w:basedOn w:val="Heading3"/>
    <w:next w:val="hsa"/>
    <w:qFormat/>
    <w:pPr>
      <w:numPr>
        <w:ilvl w:val="3"/>
      </w:numPr>
      <w:outlineLvl w:val="3"/>
    </w:pPr>
    <w:rPr>
      <w:i/>
      <w:u w:val="none"/>
      <w:lang w:val="es-ES_tradnl"/>
    </w:rPr>
  </w:style>
  <w:style w:type="paragraph" w:styleId="Heading5">
    <w:name w:val="heading 5"/>
    <w:basedOn w:val="Normal"/>
    <w:next w:val="Normal"/>
    <w:qFormat/>
    <w:pPr>
      <w:keepNext/>
      <w:numPr>
        <w:ilvl w:val="4"/>
        <w:numId w:val="5"/>
      </w:numPr>
      <w:outlineLvl w:val="4"/>
    </w:pPr>
  </w:style>
  <w:style w:type="paragraph" w:styleId="Heading6">
    <w:name w:val="heading 6"/>
    <w:basedOn w:val="Normal"/>
    <w:next w:val="Normal"/>
    <w:qFormat/>
    <w:pPr>
      <w:keepNext/>
      <w:numPr>
        <w:ilvl w:val="5"/>
        <w:numId w:val="5"/>
      </w:numPr>
      <w:jc w:val="center"/>
      <w:outlineLvl w:val="5"/>
    </w:pPr>
    <w:rPr>
      <w:rFonts w:ascii="Arial" w:hAnsi="Arial" w:cs="Arial"/>
      <w:b/>
      <w:bCs/>
      <w:sz w:val="18"/>
    </w:rPr>
  </w:style>
  <w:style w:type="paragraph" w:styleId="Heading7">
    <w:name w:val="heading 7"/>
    <w:basedOn w:val="Normal"/>
    <w:next w:val="Normal"/>
    <w:qFormat/>
    <w:pPr>
      <w:keepNext/>
      <w:spacing w:before="120" w:after="120"/>
      <w:jc w:val="center"/>
      <w:outlineLvl w:val="6"/>
    </w:pPr>
    <w:rPr>
      <w:rFonts w:ascii="Arial" w:hAnsi="Arial" w:cs="Arial"/>
      <w:b/>
      <w:bCs/>
      <w:sz w:val="22"/>
    </w:rPr>
  </w:style>
  <w:style w:type="paragraph" w:styleId="Heading8">
    <w:name w:val="heading 8"/>
    <w:basedOn w:val="Normal"/>
    <w:next w:val="Normal"/>
    <w:qFormat/>
    <w:pPr>
      <w:keepNext/>
      <w:outlineLvl w:val="7"/>
    </w:pPr>
    <w:rPr>
      <w:rFonts w:ascii="Arial" w:hAnsi="Arial" w:cs="Arial"/>
      <w:b/>
      <w:bCs/>
    </w:rPr>
  </w:style>
  <w:style w:type="paragraph" w:styleId="Heading9">
    <w:name w:val="heading 9"/>
    <w:basedOn w:val="Normal"/>
    <w:next w:val="Normal"/>
    <w:qFormat/>
    <w:pPr>
      <w:keepNext/>
      <w:jc w:val="center"/>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sa">
    <w:name w:val="hsa"/>
    <w:basedOn w:val="Normal"/>
    <w:link w:val="hsaCar"/>
    <w:qFormat/>
    <w:rsid w:val="00DB55C8"/>
    <w:pPr>
      <w:spacing w:after="180" w:line="264" w:lineRule="auto"/>
    </w:pPr>
    <w:rPr>
      <w:rFonts w:ascii="Calibri" w:hAnsi="Calibri"/>
    </w:rPr>
  </w:style>
  <w:style w:type="paragraph" w:styleId="Header">
    <w:name w:val="header"/>
    <w:basedOn w:val="Normal"/>
    <w:pPr>
      <w:tabs>
        <w:tab w:val="center" w:pos="4419"/>
        <w:tab w:val="right" w:pos="8838"/>
      </w:tabs>
    </w:pPr>
  </w:style>
  <w:style w:type="paragraph" w:customStyle="1" w:styleId="hfecha">
    <w:name w:val="hfecha"/>
    <w:basedOn w:val="hsa"/>
    <w:next w:val="hsa"/>
    <w:pPr>
      <w:jc w:val="right"/>
    </w:pPr>
  </w:style>
  <w:style w:type="paragraph" w:customStyle="1" w:styleId="hvieta">
    <w:name w:val="hviñeta"/>
    <w:basedOn w:val="hsa"/>
    <w:pPr>
      <w:numPr>
        <w:numId w:val="4"/>
      </w:numPr>
      <w:spacing w:line="240" w:lineRule="auto"/>
    </w:pPr>
  </w:style>
  <w:style w:type="paragraph" w:customStyle="1" w:styleId="hnumer">
    <w:name w:val="hnumer"/>
    <w:basedOn w:val="hvieta"/>
    <w:rsid w:val="006E2094"/>
    <w:pPr>
      <w:numPr>
        <w:numId w:val="7"/>
      </w:numPr>
    </w:pPr>
  </w:style>
  <w:style w:type="paragraph" w:customStyle="1" w:styleId="Ttulo4">
    <w:name w:val="Título4"/>
    <w:basedOn w:val="Heading3"/>
    <w:next w:val="hsa"/>
    <w:pPr>
      <w:numPr>
        <w:ilvl w:val="3"/>
        <w:numId w:val="1"/>
      </w:numPr>
      <w:ind w:left="646" w:hanging="646"/>
      <w:outlineLvl w:val="3"/>
    </w:pPr>
    <w:rPr>
      <w:i/>
    </w:rPr>
  </w:style>
  <w:style w:type="paragraph" w:styleId="Footer">
    <w:name w:val="footer"/>
    <w:basedOn w:val="Normal"/>
    <w:link w:val="FooterChar"/>
    <w:uiPriority w:val="99"/>
    <w:pPr>
      <w:tabs>
        <w:tab w:val="center" w:pos="4419"/>
        <w:tab w:val="right" w:pos="8838"/>
      </w:tabs>
    </w:pPr>
  </w:style>
  <w:style w:type="character" w:styleId="PageNumber">
    <w:name w:val="page number"/>
    <w:basedOn w:val="DefaultParagraphFont"/>
    <w:uiPriority w:val="99"/>
  </w:style>
  <w:style w:type="paragraph" w:customStyle="1" w:styleId="hsa3">
    <w:name w:val="hsa3"/>
    <w:basedOn w:val="hsa"/>
    <w:next w:val="hsa"/>
    <w:pPr>
      <w:keepNext/>
      <w:jc w:val="left"/>
    </w:pPr>
    <w:rPr>
      <w:b/>
    </w:rPr>
  </w:style>
  <w:style w:type="paragraph" w:customStyle="1" w:styleId="hsa1">
    <w:name w:val="hsa1"/>
    <w:basedOn w:val="hsa3"/>
    <w:next w:val="hsa"/>
    <w:pPr>
      <w:pageBreakBefore/>
      <w:spacing w:after="360"/>
      <w:jc w:val="center"/>
    </w:pPr>
    <w:rPr>
      <w:caps/>
    </w:rPr>
  </w:style>
  <w:style w:type="paragraph" w:styleId="TableofFigures">
    <w:name w:val="table of figures"/>
    <w:basedOn w:val="Normal"/>
    <w:next w:val="Normal"/>
    <w:uiPriority w:val="99"/>
    <w:pPr>
      <w:spacing w:after="0"/>
      <w:jc w:val="left"/>
    </w:pPr>
    <w:rPr>
      <w:rFonts w:ascii="Calibri" w:hAnsi="Calibri" w:cs="Calibri"/>
      <w:i/>
      <w:iCs/>
      <w:sz w:val="20"/>
    </w:rPr>
  </w:style>
  <w:style w:type="paragraph" w:customStyle="1" w:styleId="hsa4">
    <w:name w:val="hsa4"/>
    <w:basedOn w:val="hsa3"/>
    <w:next w:val="hsa"/>
    <w:rPr>
      <w:b w:val="0"/>
      <w:u w:val="single"/>
    </w:rPr>
  </w:style>
  <w:style w:type="paragraph" w:styleId="TOC2">
    <w:name w:val="toc 2"/>
    <w:basedOn w:val="Normal"/>
    <w:next w:val="Normal"/>
    <w:autoRedefine/>
    <w:uiPriority w:val="39"/>
    <w:rsid w:val="00F77F02"/>
    <w:pPr>
      <w:spacing w:after="120"/>
    </w:pPr>
    <w:rPr>
      <w:rFonts w:ascii="Calibri" w:hAnsi="Calibri"/>
      <w:b/>
      <w:smallCaps/>
      <w:noProof/>
      <w:sz w:val="22"/>
    </w:rPr>
  </w:style>
  <w:style w:type="paragraph" w:customStyle="1" w:styleId="TablaE">
    <w:name w:val="TablaE"/>
    <w:basedOn w:val="hsa3"/>
    <w:rsid w:val="003F38A8"/>
    <w:pPr>
      <w:spacing w:after="120" w:line="240" w:lineRule="auto"/>
      <w:jc w:val="center"/>
    </w:pPr>
    <w:rPr>
      <w:snapToGrid w:val="0"/>
      <w:color w:val="FFFFFF"/>
    </w:rPr>
  </w:style>
  <w:style w:type="paragraph" w:customStyle="1" w:styleId="TablaT">
    <w:name w:val="TablaT"/>
    <w:basedOn w:val="TablaE"/>
    <w:rsid w:val="00421D7D"/>
    <w:pPr>
      <w:spacing w:after="240"/>
    </w:pPr>
    <w:rPr>
      <w:lang w:val="en-US" w:eastAsia="en-US"/>
    </w:rPr>
  </w:style>
  <w:style w:type="paragraph" w:customStyle="1" w:styleId="TablaC">
    <w:name w:val="TablaC"/>
    <w:basedOn w:val="TablaT"/>
    <w:rsid w:val="00903CC4"/>
    <w:pPr>
      <w:spacing w:after="60"/>
      <w:jc w:val="right"/>
    </w:pPr>
    <w:rPr>
      <w:b w:val="0"/>
      <w:color w:val="auto"/>
      <w:sz w:val="22"/>
    </w:rPr>
  </w:style>
  <w:style w:type="paragraph" w:customStyle="1" w:styleId="hsaborr">
    <w:name w:val="hsaborr"/>
    <w:basedOn w:val="hsa"/>
    <w:pPr>
      <w:spacing w:after="0" w:line="240" w:lineRule="auto"/>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uiPriority w:val="39"/>
    <w:rsid w:val="00F77F02"/>
    <w:pPr>
      <w:tabs>
        <w:tab w:val="left" w:pos="330"/>
        <w:tab w:val="right" w:leader="dot" w:pos="8495"/>
      </w:tabs>
      <w:spacing w:before="240"/>
    </w:pPr>
    <w:rPr>
      <w:rFonts w:ascii="Calibri" w:hAnsi="Calibri" w:cs="Calibri"/>
      <w:b/>
      <w:caps/>
      <w:noProof/>
      <w:sz w:val="22"/>
      <w:u w:val="single"/>
    </w:rPr>
  </w:style>
  <w:style w:type="paragraph" w:styleId="TOC3">
    <w:name w:val="toc 3"/>
    <w:basedOn w:val="Normal"/>
    <w:next w:val="Normal"/>
    <w:autoRedefine/>
    <w:uiPriority w:val="39"/>
    <w:rsid w:val="00F77F02"/>
    <w:pPr>
      <w:tabs>
        <w:tab w:val="left" w:pos="660"/>
        <w:tab w:val="right" w:leader="dot" w:pos="8495"/>
      </w:tabs>
    </w:pPr>
    <w:rPr>
      <w:rFonts w:ascii="Calibri" w:hAnsi="Calibri"/>
      <w:smallCaps/>
      <w:sz w:val="22"/>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paragraph" w:customStyle="1" w:styleId="hpun1">
    <w:name w:val="hpun"/>
    <w:basedOn w:val="hvieta"/>
    <w:pPr>
      <w:numPr>
        <w:numId w:val="2"/>
      </w:numPr>
      <w:spacing w:after="120"/>
      <w:ind w:left="1491" w:hanging="357"/>
    </w:pPr>
  </w:style>
  <w:style w:type="paragraph" w:styleId="Title">
    <w:name w:val="Title"/>
    <w:basedOn w:val="Normal"/>
    <w:qFormat/>
    <w:pPr>
      <w:spacing w:before="120" w:after="120"/>
      <w:jc w:val="center"/>
    </w:pPr>
    <w:rPr>
      <w:rFonts w:ascii="Arial" w:hAnsi="Arial" w:cs="Arial"/>
      <w:b/>
      <w:bCs/>
      <w:sz w:val="22"/>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
    <w:name w:val="Body Text"/>
    <w:basedOn w:val="Normal"/>
    <w:pPr>
      <w:keepNext/>
      <w:keepLines/>
      <w:spacing w:before="120" w:after="120"/>
      <w:jc w:val="center"/>
    </w:pPr>
    <w:rPr>
      <w:rFonts w:ascii="Arial" w:hAnsi="Arial" w:cs="Arial"/>
      <w:b/>
      <w:bCs/>
    </w:rPr>
  </w:style>
  <w:style w:type="paragraph" w:styleId="Subtitle">
    <w:name w:val="Subtitle"/>
    <w:basedOn w:val="Normal"/>
    <w:qFormat/>
    <w:pPr>
      <w:spacing w:before="120" w:after="120"/>
      <w:jc w:val="center"/>
    </w:pPr>
    <w:rPr>
      <w:rFonts w:ascii="Arial" w:hAnsi="Arial" w:cs="Arial"/>
      <w:b/>
      <w:bCs/>
      <w:sz w:val="22"/>
    </w:rPr>
  </w:style>
  <w:style w:type="paragraph" w:styleId="BodyText2">
    <w:name w:val="Body Text 2"/>
    <w:basedOn w:val="Normal"/>
    <w:pPr>
      <w:spacing w:before="120" w:after="120"/>
    </w:pPr>
    <w:rPr>
      <w:rFonts w:ascii="Arial" w:hAnsi="Arial" w:cs="Arial"/>
      <w:sz w:val="22"/>
    </w:rPr>
  </w:style>
  <w:style w:type="paragraph" w:styleId="BodyText3">
    <w:name w:val="Body Text 3"/>
    <w:basedOn w:val="Normal"/>
    <w:pPr>
      <w:spacing w:before="120" w:after="120"/>
    </w:pPr>
    <w:rPr>
      <w:rFonts w:ascii="Arial" w:hAnsi="Arial" w:cs="Arial"/>
      <w:sz w:val="22"/>
    </w:rPr>
  </w:style>
  <w:style w:type="paragraph" w:customStyle="1" w:styleId="TableSmHeading">
    <w:name w:val="Table_Sm_Heading"/>
    <w:basedOn w:val="Normal"/>
    <w:pPr>
      <w:keepNext/>
      <w:keepLines/>
      <w:suppressAutoHyphens/>
      <w:spacing w:before="60" w:after="40"/>
    </w:pPr>
    <w:rPr>
      <w:rFonts w:ascii="Arial" w:hAnsi="Arial"/>
      <w:b/>
      <w:sz w:val="16"/>
      <w:lang w:val="en-US"/>
    </w:rPr>
  </w:style>
  <w:style w:type="paragraph" w:customStyle="1" w:styleId="TitTabla">
    <w:name w:val="Tit Tabla"/>
    <w:basedOn w:val="hsa3"/>
    <w:pPr>
      <w:keepLines/>
      <w:spacing w:before="120" w:after="120" w:line="240" w:lineRule="auto"/>
      <w:jc w:val="center"/>
    </w:pPr>
  </w:style>
  <w:style w:type="paragraph" w:customStyle="1" w:styleId="titgraf">
    <w:name w:val="tit graf"/>
    <w:basedOn w:val="TitTabla"/>
  </w:style>
  <w:style w:type="paragraph" w:customStyle="1" w:styleId="TableMedium">
    <w:name w:val="Table_Medium"/>
    <w:basedOn w:val="Normal"/>
    <w:pPr>
      <w:suppressAutoHyphens/>
      <w:spacing w:before="40" w:after="40"/>
    </w:pPr>
    <w:rPr>
      <w:rFonts w:ascii="Arial" w:hAnsi="Arial"/>
      <w:sz w:val="18"/>
      <w:lang w:val="en-US"/>
    </w:rPr>
  </w:style>
  <w:style w:type="paragraph" w:customStyle="1" w:styleId="h">
    <w:name w:val="h"/>
    <w:basedOn w:val="hsa"/>
    <w:next w:val="hsa"/>
    <w:rPr>
      <w:lang w:val="es-ES_tradnl"/>
    </w:rPr>
  </w:style>
  <w:style w:type="paragraph" w:styleId="IndexHeading">
    <w:name w:val="index heading"/>
    <w:basedOn w:val="Normal"/>
    <w:next w:val="Index1"/>
    <w:semiHidden/>
    <w:pPr>
      <w:spacing w:after="0"/>
      <w:jc w:val="left"/>
    </w:pPr>
    <w:rPr>
      <w:sz w:val="20"/>
      <w:lang w:val="es-ES_tradnl" w:eastAsia="en-US" w:bidi="he-IL"/>
    </w:rPr>
  </w:style>
  <w:style w:type="paragraph" w:styleId="Index1">
    <w:name w:val="index 1"/>
    <w:basedOn w:val="Normal"/>
    <w:next w:val="Normal"/>
    <w:autoRedefine/>
    <w:semiHidden/>
    <w:pPr>
      <w:ind w:left="240" w:hanging="240"/>
    </w:pPr>
  </w:style>
  <w:style w:type="paragraph" w:styleId="Caption">
    <w:name w:val="caption"/>
    <w:basedOn w:val="Normal"/>
    <w:next w:val="Normal"/>
    <w:qFormat/>
    <w:pPr>
      <w:spacing w:before="120" w:after="120"/>
    </w:pPr>
    <w:rPr>
      <w:b/>
    </w:rPr>
  </w:style>
  <w:style w:type="paragraph" w:customStyle="1" w:styleId="hen">
    <w:name w:val="hen"/>
    <w:basedOn w:val="h"/>
    <w:pPr>
      <w:spacing w:line="240" w:lineRule="auto"/>
      <w:ind w:left="1418" w:hanging="284"/>
    </w:pPr>
  </w:style>
  <w:style w:type="paragraph" w:customStyle="1" w:styleId="HPUN0">
    <w:name w:val="HPUN"/>
    <w:basedOn w:val="hen"/>
    <w:pPr>
      <w:numPr>
        <w:numId w:val="3"/>
      </w:numPr>
      <w:spacing w:after="120"/>
    </w:pPr>
  </w:style>
  <w:style w:type="paragraph" w:customStyle="1" w:styleId="h3">
    <w:name w:val="h3"/>
    <w:basedOn w:val="Normal"/>
    <w:next w:val="h"/>
    <w:rsid w:val="006B4853"/>
    <w:pPr>
      <w:keepNext/>
      <w:keepLines/>
      <w:spacing w:before="240" w:line="360" w:lineRule="auto"/>
      <w:jc w:val="left"/>
    </w:pPr>
    <w:rPr>
      <w:rFonts w:ascii="Calibri" w:hAnsi="Calibri"/>
      <w:b/>
      <w:lang w:val="es-ES_tradnl"/>
    </w:rPr>
  </w:style>
  <w:style w:type="character" w:customStyle="1" w:styleId="TitTablaChar">
    <w:name w:val="Tit Tabla Char"/>
    <w:rPr>
      <w:b/>
      <w:noProof w:val="0"/>
      <w:sz w:val="24"/>
      <w:lang w:val="es-ES" w:eastAsia="es-ES" w:bidi="ar-SA"/>
    </w:rPr>
  </w:style>
  <w:style w:type="character" w:customStyle="1" w:styleId="hsa3Char">
    <w:name w:val="hsa3 Char"/>
    <w:rPr>
      <w:b/>
      <w:noProof w:val="0"/>
      <w:sz w:val="24"/>
      <w:lang w:val="es-ES" w:eastAsia="es-ES" w:bidi="ar-SA"/>
    </w:rPr>
  </w:style>
  <w:style w:type="paragraph" w:customStyle="1" w:styleId="hviesq">
    <w:name w:val="hviñ esq"/>
    <w:basedOn w:val="hvieta"/>
    <w:pPr>
      <w:numPr>
        <w:numId w:val="0"/>
      </w:numPr>
      <w:tabs>
        <w:tab w:val="num" w:pos="360"/>
      </w:tabs>
      <w:spacing w:after="120"/>
      <w:ind w:left="360" w:hanging="360"/>
    </w:pPr>
  </w:style>
  <w:style w:type="paragraph" w:customStyle="1" w:styleId="xl26">
    <w:name w:val="xl26"/>
    <w:basedOn w:val="Normal"/>
    <w:pPr>
      <w:pBdr>
        <w:top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27">
    <w:name w:val="xl27"/>
    <w:basedOn w:val="Normal"/>
    <w:pPr>
      <w:spacing w:before="100" w:beforeAutospacing="1" w:after="100" w:afterAutospacing="1"/>
      <w:jc w:val="left"/>
    </w:pPr>
    <w:rPr>
      <w:rFonts w:ascii="Arial" w:eastAsia="Arial Unicode MS" w:hAnsi="Arial" w:cs="Arial"/>
      <w:sz w:val="16"/>
      <w:szCs w:val="16"/>
    </w:rPr>
  </w:style>
  <w:style w:type="paragraph" w:customStyle="1" w:styleId="xl28">
    <w:name w:val="xl28"/>
    <w:basedOn w:val="Normal"/>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0">
    <w:name w:val="xl30"/>
    <w:basedOn w:val="Normal"/>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1">
    <w:name w:val="xl31"/>
    <w:basedOn w:val="Normal"/>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2">
    <w:name w:val="xl32"/>
    <w:basedOn w:val="Normal"/>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pPr>
      <w:pBdr>
        <w:lef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4">
    <w:name w:val="xl34"/>
    <w:basedOn w:val="Normal"/>
    <w:pPr>
      <w:pBdr>
        <w:top w:val="single" w:sz="4" w:space="0" w:color="auto"/>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pPr>
      <w:spacing w:before="100" w:beforeAutospacing="1" w:after="100" w:afterAutospacing="1"/>
      <w:jc w:val="left"/>
    </w:pPr>
    <w:rPr>
      <w:rFonts w:ascii="Arial" w:eastAsia="Arial Unicode MS" w:hAnsi="Arial" w:cs="Arial"/>
      <w:color w:val="FF0000"/>
      <w:sz w:val="16"/>
      <w:szCs w:val="16"/>
    </w:rPr>
  </w:style>
  <w:style w:type="paragraph" w:customStyle="1" w:styleId="xl36">
    <w:name w:val="xl36"/>
    <w:basedOn w:val="Normal"/>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7">
    <w:name w:val="xl37"/>
    <w:basedOn w:val="Normal"/>
    <w:pPr>
      <w:pBdr>
        <w:top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8">
    <w:name w:val="xl38"/>
    <w:basedOn w:val="Normal"/>
    <w:pPr>
      <w:pBdr>
        <w:bottom w:val="single" w:sz="4" w:space="0" w:color="auto"/>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pPr>
      <w:pBdr>
        <w:left w:val="single" w:sz="4" w:space="0" w:color="auto"/>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2">
    <w:name w:val="xl42"/>
    <w:basedOn w:val="Normal"/>
    <w:pPr>
      <w:spacing w:before="100" w:beforeAutospacing="1" w:after="100" w:afterAutospacing="1"/>
      <w:jc w:val="left"/>
    </w:pPr>
    <w:rPr>
      <w:rFonts w:ascii="Arial" w:eastAsia="Arial Unicode MS" w:hAnsi="Arial" w:cs="Arial"/>
      <w:sz w:val="16"/>
      <w:szCs w:val="16"/>
    </w:rPr>
  </w:style>
  <w:style w:type="paragraph" w:customStyle="1" w:styleId="xl43">
    <w:name w:val="xl43"/>
    <w:basedOn w:val="Normal"/>
    <w:pPr>
      <w:spacing w:before="100" w:beforeAutospacing="1" w:after="100" w:afterAutospacing="1"/>
      <w:jc w:val="left"/>
    </w:pPr>
    <w:rPr>
      <w:rFonts w:ascii="Arial" w:eastAsia="Arial Unicode MS" w:hAnsi="Arial" w:cs="Arial"/>
      <w:sz w:val="14"/>
      <w:szCs w:val="14"/>
    </w:rPr>
  </w:style>
  <w:style w:type="paragraph" w:customStyle="1" w:styleId="xl44">
    <w:name w:val="xl44"/>
    <w:basedOn w:val="Normal"/>
    <w:pPr>
      <w:pBdr>
        <w:top w:val="single" w:sz="4" w:space="0" w:color="auto"/>
        <w:lef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5">
    <w:name w:val="xl45"/>
    <w:basedOn w:val="Normal"/>
    <w:pPr>
      <w:pBdr>
        <w:top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6">
    <w:name w:val="xl46"/>
    <w:basedOn w:val="Normal"/>
    <w:pPr>
      <w:pBdr>
        <w:top w:val="single" w:sz="4" w:space="0" w:color="auto"/>
        <w:left w:val="single" w:sz="4" w:space="0" w:color="auto"/>
      </w:pBdr>
      <w:spacing w:before="100" w:beforeAutospacing="1" w:after="100" w:afterAutospacing="1"/>
      <w:jc w:val="left"/>
    </w:pPr>
    <w:rPr>
      <w:rFonts w:ascii="Arial" w:eastAsia="Arial Unicode MS" w:hAnsi="Arial" w:cs="Arial"/>
      <w:b/>
      <w:bCs/>
      <w:color w:val="000000"/>
      <w:sz w:val="16"/>
      <w:szCs w:val="16"/>
    </w:rPr>
  </w:style>
  <w:style w:type="paragraph" w:customStyle="1" w:styleId="xl47">
    <w:name w:val="xl47"/>
    <w:basedOn w:val="Normal"/>
    <w:pPr>
      <w:pBdr>
        <w:top w:val="single" w:sz="4" w:space="0" w:color="auto"/>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8">
    <w:name w:val="xl48"/>
    <w:basedOn w:val="Normal"/>
    <w:pPr>
      <w:pBdr>
        <w:top w:val="single" w:sz="4" w:space="0" w:color="auto"/>
        <w:right w:val="single" w:sz="4" w:space="0" w:color="auto"/>
      </w:pBdr>
      <w:spacing w:before="100" w:beforeAutospacing="1" w:after="100" w:afterAutospacing="1"/>
      <w:jc w:val="left"/>
    </w:pPr>
    <w:rPr>
      <w:rFonts w:ascii="Arial" w:eastAsia="Arial Unicode MS" w:hAnsi="Arial" w:cs="Arial"/>
      <w:sz w:val="16"/>
      <w:szCs w:val="16"/>
    </w:rPr>
  </w:style>
  <w:style w:type="paragraph" w:styleId="BalloonText">
    <w:name w:val="Balloon Text"/>
    <w:basedOn w:val="Normal"/>
    <w:semiHidden/>
    <w:rsid w:val="00774EB8"/>
    <w:rPr>
      <w:rFonts w:ascii="Tahoma" w:hAnsi="Tahoma" w:cs="Tahoma"/>
      <w:sz w:val="16"/>
      <w:szCs w:val="16"/>
    </w:rPr>
  </w:style>
  <w:style w:type="table" w:styleId="TableGrid">
    <w:name w:val="Table Grid"/>
    <w:basedOn w:val="TableNormal"/>
    <w:uiPriority w:val="59"/>
    <w:rsid w:val="008E5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aNotalapie">
    <w:name w:val="hsa Nota la pie"/>
    <w:rsid w:val="00ED48D1"/>
    <w:pPr>
      <w:autoSpaceDE w:val="0"/>
      <w:autoSpaceDN w:val="0"/>
      <w:adjustRightInd w:val="0"/>
    </w:pPr>
    <w:rPr>
      <w:rFonts w:ascii="Calibri" w:hAnsi="Calibri"/>
      <w:color w:val="000000"/>
      <w:szCs w:val="24"/>
      <w:lang w:val="es-ES" w:eastAsia="es-ES"/>
    </w:rPr>
  </w:style>
  <w:style w:type="paragraph" w:customStyle="1" w:styleId="HPUN">
    <w:name w:val="H PUN"/>
    <w:basedOn w:val="Normal"/>
    <w:rsid w:val="00010C77"/>
    <w:pPr>
      <w:numPr>
        <w:numId w:val="6"/>
      </w:numPr>
    </w:pPr>
    <w:rPr>
      <w:rFonts w:ascii="Calibri" w:hAnsi="Calibri"/>
    </w:rPr>
  </w:style>
  <w:style w:type="character" w:customStyle="1" w:styleId="hsaCar">
    <w:name w:val="hsa Car"/>
    <w:link w:val="hsa"/>
    <w:rsid w:val="00DB55C8"/>
    <w:rPr>
      <w:rFonts w:ascii="Calibri" w:hAnsi="Calibri"/>
      <w:sz w:val="24"/>
      <w:lang w:val="es-ES" w:eastAsia="es-ES"/>
    </w:rPr>
  </w:style>
  <w:style w:type="paragraph" w:customStyle="1" w:styleId="EstiloTablaCTimesNewRomanIzquierda">
    <w:name w:val="Estilo TablaC + Times New Roman Izquierda"/>
    <w:basedOn w:val="TablaC"/>
    <w:rsid w:val="00AB4B1B"/>
    <w:pPr>
      <w:jc w:val="left"/>
    </w:pPr>
  </w:style>
  <w:style w:type="paragraph" w:customStyle="1" w:styleId="Default">
    <w:name w:val="Default"/>
    <w:rsid w:val="00FB5791"/>
    <w:pPr>
      <w:autoSpaceDE w:val="0"/>
      <w:autoSpaceDN w:val="0"/>
      <w:adjustRightInd w:val="0"/>
    </w:pPr>
    <w:rPr>
      <w:color w:val="000000"/>
      <w:sz w:val="24"/>
      <w:szCs w:val="24"/>
      <w:lang w:val="es-AR" w:eastAsia="es-AR"/>
    </w:rPr>
  </w:style>
  <w:style w:type="character" w:styleId="Emphasis">
    <w:name w:val="Emphasis"/>
    <w:uiPriority w:val="20"/>
    <w:qFormat/>
    <w:rsid w:val="00574A4F"/>
    <w:rPr>
      <w:i/>
      <w:iCs/>
    </w:rPr>
  </w:style>
  <w:style w:type="paragraph" w:customStyle="1" w:styleId="brdrb">
    <w:name w:val="brdrb"/>
    <w:basedOn w:val="Normal"/>
    <w:rsid w:val="00574A4F"/>
    <w:pPr>
      <w:spacing w:before="100" w:beforeAutospacing="1" w:after="100" w:afterAutospacing="1"/>
      <w:jc w:val="left"/>
    </w:pPr>
    <w:rPr>
      <w:szCs w:val="24"/>
      <w:lang w:val="es-AR" w:eastAsia="es-AR"/>
    </w:rPr>
  </w:style>
  <w:style w:type="character" w:styleId="Strong">
    <w:name w:val="Strong"/>
    <w:uiPriority w:val="22"/>
    <w:qFormat/>
    <w:rsid w:val="00574A4F"/>
    <w:rPr>
      <w:b/>
      <w:bCs/>
    </w:rPr>
  </w:style>
  <w:style w:type="character" w:customStyle="1" w:styleId="flri">
    <w:name w:val="fl_ri"/>
    <w:rsid w:val="00574A4F"/>
  </w:style>
  <w:style w:type="paragraph" w:styleId="NormalWeb">
    <w:name w:val="Normal (Web)"/>
    <w:basedOn w:val="Normal"/>
    <w:uiPriority w:val="99"/>
    <w:unhideWhenUsed/>
    <w:rsid w:val="002857C6"/>
    <w:pPr>
      <w:spacing w:before="100" w:beforeAutospacing="1" w:after="100" w:afterAutospacing="1"/>
      <w:jc w:val="left"/>
    </w:pPr>
    <w:rPr>
      <w:szCs w:val="24"/>
      <w:lang w:val="es-AR" w:eastAsia="es-AR"/>
    </w:rPr>
  </w:style>
  <w:style w:type="character" w:customStyle="1" w:styleId="FooterChar">
    <w:name w:val="Footer Char"/>
    <w:link w:val="Footer"/>
    <w:uiPriority w:val="99"/>
    <w:rsid w:val="00214B21"/>
    <w:rPr>
      <w:sz w:val="24"/>
      <w:lang w:val="es-ES" w:eastAsia="es-ES"/>
    </w:rPr>
  </w:style>
  <w:style w:type="paragraph" w:styleId="ListParagraph">
    <w:name w:val="List Paragraph"/>
    <w:aliases w:val="titulo 5,titulo 3,Bullets,Lista vistosa - Énfasis 11,fuente"/>
    <w:basedOn w:val="Normal"/>
    <w:link w:val="ListParagraphChar"/>
    <w:uiPriority w:val="34"/>
    <w:qFormat/>
    <w:rsid w:val="00084D41"/>
    <w:pPr>
      <w:spacing w:after="0"/>
      <w:ind w:left="720"/>
      <w:jc w:val="left"/>
    </w:pPr>
    <w:rPr>
      <w:rFonts w:ascii="Arial" w:hAnsi="Arial"/>
      <w:szCs w:val="24"/>
      <w:lang w:val="es-ES_tradnl"/>
    </w:rPr>
  </w:style>
  <w:style w:type="character" w:customStyle="1" w:styleId="ListParagraphChar">
    <w:name w:val="List Paragraph Char"/>
    <w:aliases w:val="titulo 5 Char,titulo 3 Char,Bullets Char,Lista vistosa - Énfasis 11 Char,fuente Char"/>
    <w:link w:val="ListParagraph"/>
    <w:uiPriority w:val="34"/>
    <w:locked/>
    <w:rsid w:val="00084D41"/>
    <w:rPr>
      <w:rFonts w:ascii="Arial" w:hAnsi="Arial"/>
      <w:sz w:val="24"/>
      <w:szCs w:val="24"/>
      <w:lang w:val="es-ES_tradnl" w:eastAsia="es-ES"/>
    </w:rPr>
  </w:style>
  <w:style w:type="paragraph" w:styleId="ListBullet2">
    <w:name w:val="List Bullet 2"/>
    <w:basedOn w:val="Normal"/>
    <w:autoRedefine/>
    <w:uiPriority w:val="99"/>
    <w:rsid w:val="00084D41"/>
    <w:pPr>
      <w:tabs>
        <w:tab w:val="left" w:pos="720"/>
      </w:tabs>
      <w:spacing w:after="0"/>
      <w:ind w:right="-86"/>
    </w:pPr>
    <w:rPr>
      <w:rFonts w:ascii="Arial" w:hAnsi="Arial" w:cs="Arial"/>
      <w:sz w:val="20"/>
      <w:lang w:val="es-BO" w:eastAsia="es-BO"/>
    </w:rPr>
  </w:style>
  <w:style w:type="character" w:customStyle="1" w:styleId="Heading1Char">
    <w:name w:val="Heading 1 Char"/>
    <w:link w:val="Heading1"/>
    <w:rsid w:val="0047642F"/>
    <w:rPr>
      <w:rFonts w:ascii="Calibri" w:hAnsi="Calibri"/>
      <w:b/>
      <w:caps/>
      <w:sz w:val="24"/>
      <w:lang w:val="es-ES" w:eastAsia="es-ES"/>
    </w:rPr>
  </w:style>
  <w:style w:type="paragraph" w:customStyle="1" w:styleId="Notaalpie">
    <w:name w:val="Nota al pie"/>
    <w:basedOn w:val="hsa"/>
    <w:qFormat/>
    <w:rsid w:val="007C35E8"/>
    <w:pPr>
      <w:spacing w:after="60" w:line="240" w:lineRule="auto"/>
    </w:pPr>
    <w:rPr>
      <w:rFonts w:cs="Calibri"/>
      <w:sz w:val="20"/>
      <w:szCs w:val="26"/>
    </w:rPr>
  </w:style>
  <w:style w:type="character" w:styleId="CommentReference">
    <w:name w:val="annotation reference"/>
    <w:rsid w:val="003C137F"/>
    <w:rPr>
      <w:sz w:val="16"/>
      <w:szCs w:val="16"/>
    </w:rPr>
  </w:style>
  <w:style w:type="paragraph" w:styleId="CommentText">
    <w:name w:val="annotation text"/>
    <w:basedOn w:val="Normal"/>
    <w:link w:val="CommentTextChar"/>
    <w:rsid w:val="003C137F"/>
    <w:rPr>
      <w:sz w:val="20"/>
    </w:rPr>
  </w:style>
  <w:style w:type="character" w:customStyle="1" w:styleId="CommentTextChar">
    <w:name w:val="Comment Text Char"/>
    <w:link w:val="CommentText"/>
    <w:rsid w:val="003C137F"/>
    <w:rPr>
      <w:lang w:val="es-ES" w:eastAsia="es-ES"/>
    </w:rPr>
  </w:style>
  <w:style w:type="paragraph" w:styleId="CommentSubject">
    <w:name w:val="annotation subject"/>
    <w:basedOn w:val="CommentText"/>
    <w:next w:val="CommentText"/>
    <w:link w:val="CommentSubjectChar"/>
    <w:rsid w:val="003C137F"/>
    <w:rPr>
      <w:b/>
      <w:bCs/>
    </w:rPr>
  </w:style>
  <w:style w:type="character" w:customStyle="1" w:styleId="CommentSubjectChar">
    <w:name w:val="Comment Subject Char"/>
    <w:link w:val="CommentSubject"/>
    <w:rsid w:val="003C137F"/>
    <w:rPr>
      <w:b/>
      <w:bCs/>
      <w:lang w:val="es-ES" w:eastAsia="es-ES"/>
    </w:rPr>
  </w:style>
  <w:style w:type="paragraph" w:styleId="TOCHeading">
    <w:name w:val="TOC Heading"/>
    <w:basedOn w:val="Heading1"/>
    <w:next w:val="Normal"/>
    <w:uiPriority w:val="39"/>
    <w:semiHidden/>
    <w:unhideWhenUsed/>
    <w:qFormat/>
    <w:rsid w:val="009B4C1F"/>
    <w:pPr>
      <w:keepLines/>
      <w:numPr>
        <w:numId w:val="0"/>
      </w:numPr>
      <w:spacing w:before="480" w:after="0" w:line="276" w:lineRule="auto"/>
      <w:outlineLvl w:val="9"/>
    </w:pPr>
    <w:rPr>
      <w:rFonts w:ascii="Cambria" w:hAnsi="Cambria"/>
      <w:bCs/>
      <w:caps w:val="0"/>
      <w:color w:val="365F91"/>
      <w:sz w:val="28"/>
      <w:szCs w:val="28"/>
      <w:lang w:val="es-AR" w:eastAsia="es-AR"/>
    </w:rPr>
  </w:style>
  <w:style w:type="table" w:styleId="TableClassic2">
    <w:name w:val="Table Classic 2"/>
    <w:basedOn w:val="TableNormal"/>
    <w:rsid w:val="00903CC4"/>
    <w:pPr>
      <w:spacing w:after="24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rsid w:val="00903CC4"/>
    <w:pPr>
      <w:spacing w:after="24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1">
    <w:name w:val="Medium Grid 3 Accent 1"/>
    <w:basedOn w:val="TableNormal"/>
    <w:uiPriority w:val="69"/>
    <w:rsid w:val="00903CC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1-Accent5">
    <w:name w:val="Medium Shading 1 Accent 5"/>
    <w:basedOn w:val="TableNormal"/>
    <w:uiPriority w:val="63"/>
    <w:rsid w:val="00903CC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Shading-Accent1">
    <w:name w:val="Light Shading Accent 1"/>
    <w:basedOn w:val="TableNormal"/>
    <w:uiPriority w:val="60"/>
    <w:rsid w:val="00E15B5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63"/>
    <w:rsid w:val="00E15B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List4">
    <w:name w:val="Table List 4"/>
    <w:basedOn w:val="TableNormal"/>
    <w:rsid w:val="00C57D83"/>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fuente">
    <w:name w:val="Hfuente"/>
    <w:basedOn w:val="hsa"/>
    <w:link w:val="HfuenteCar"/>
    <w:qFormat/>
    <w:rsid w:val="00BA271A"/>
    <w:pPr>
      <w:spacing w:line="240" w:lineRule="auto"/>
    </w:pPr>
    <w:rPr>
      <w:sz w:val="20"/>
    </w:rPr>
  </w:style>
  <w:style w:type="paragraph" w:customStyle="1" w:styleId="EstiloTablaTSinNegritaBlanco">
    <w:name w:val="Estilo TablaT + Sin Negrita Blanco"/>
    <w:basedOn w:val="TablaT"/>
    <w:rsid w:val="00525D76"/>
  </w:style>
  <w:style w:type="character" w:customStyle="1" w:styleId="HfuenteCar">
    <w:name w:val="Hfuente Car"/>
    <w:link w:val="Hfuente"/>
    <w:rsid w:val="00BA271A"/>
    <w:rPr>
      <w:rFonts w:ascii="Calibri" w:hAnsi="Calibri"/>
      <w:sz w:val="24"/>
      <w:lang w:val="es-ES" w:eastAsia="es-ES"/>
    </w:rPr>
  </w:style>
  <w:style w:type="table" w:styleId="LightGrid-Accent5">
    <w:name w:val="Light Grid Accent 5"/>
    <w:basedOn w:val="TableNormal"/>
    <w:uiPriority w:val="62"/>
    <w:rsid w:val="001B796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EndnoteText">
    <w:name w:val="endnote text"/>
    <w:basedOn w:val="Normal"/>
    <w:link w:val="EndnoteTextChar"/>
    <w:rsid w:val="009274DD"/>
    <w:rPr>
      <w:sz w:val="20"/>
    </w:rPr>
  </w:style>
  <w:style w:type="character" w:customStyle="1" w:styleId="EndnoteTextChar">
    <w:name w:val="Endnote Text Char"/>
    <w:link w:val="EndnoteText"/>
    <w:rsid w:val="009274DD"/>
    <w:rPr>
      <w:lang w:val="es-ES" w:eastAsia="es-ES"/>
    </w:rPr>
  </w:style>
  <w:style w:type="character" w:styleId="EndnoteReference">
    <w:name w:val="endnote reference"/>
    <w:rsid w:val="009274DD"/>
    <w:rPr>
      <w:vertAlign w:val="superscript"/>
    </w:rPr>
  </w:style>
  <w:style w:type="paragraph" w:customStyle="1" w:styleId="estilo1">
    <w:name w:val="estilo1"/>
    <w:basedOn w:val="Normal"/>
    <w:rsid w:val="00DE6A7C"/>
    <w:pPr>
      <w:spacing w:before="100" w:beforeAutospacing="1" w:after="100" w:afterAutospacing="1"/>
      <w:jc w:val="left"/>
    </w:pPr>
    <w:rPr>
      <w:rFonts w:ascii="Verdana" w:eastAsia="Calibri" w:hAnsi="Verdana"/>
      <w:szCs w:val="24"/>
      <w:lang w:val="es-AR" w:eastAsia="es-AR"/>
    </w:rPr>
  </w:style>
  <w:style w:type="paragraph" w:styleId="Revision">
    <w:name w:val="Revision"/>
    <w:hidden/>
    <w:uiPriority w:val="99"/>
    <w:semiHidden/>
    <w:rsid w:val="00F43075"/>
    <w:rPr>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1678">
      <w:bodyDiv w:val="1"/>
      <w:marLeft w:val="0"/>
      <w:marRight w:val="0"/>
      <w:marTop w:val="0"/>
      <w:marBottom w:val="0"/>
      <w:divBdr>
        <w:top w:val="none" w:sz="0" w:space="0" w:color="auto"/>
        <w:left w:val="none" w:sz="0" w:space="0" w:color="auto"/>
        <w:bottom w:val="none" w:sz="0" w:space="0" w:color="auto"/>
        <w:right w:val="none" w:sz="0" w:space="0" w:color="auto"/>
      </w:divBdr>
    </w:div>
    <w:div w:id="30347070">
      <w:bodyDiv w:val="1"/>
      <w:marLeft w:val="0"/>
      <w:marRight w:val="0"/>
      <w:marTop w:val="0"/>
      <w:marBottom w:val="0"/>
      <w:divBdr>
        <w:top w:val="none" w:sz="0" w:space="0" w:color="auto"/>
        <w:left w:val="none" w:sz="0" w:space="0" w:color="auto"/>
        <w:bottom w:val="none" w:sz="0" w:space="0" w:color="auto"/>
        <w:right w:val="none" w:sz="0" w:space="0" w:color="auto"/>
      </w:divBdr>
    </w:div>
    <w:div w:id="60103277">
      <w:bodyDiv w:val="1"/>
      <w:marLeft w:val="0"/>
      <w:marRight w:val="0"/>
      <w:marTop w:val="0"/>
      <w:marBottom w:val="0"/>
      <w:divBdr>
        <w:top w:val="none" w:sz="0" w:space="0" w:color="auto"/>
        <w:left w:val="none" w:sz="0" w:space="0" w:color="auto"/>
        <w:bottom w:val="none" w:sz="0" w:space="0" w:color="auto"/>
        <w:right w:val="none" w:sz="0" w:space="0" w:color="auto"/>
      </w:divBdr>
    </w:div>
    <w:div w:id="72506678">
      <w:bodyDiv w:val="1"/>
      <w:marLeft w:val="0"/>
      <w:marRight w:val="0"/>
      <w:marTop w:val="0"/>
      <w:marBottom w:val="0"/>
      <w:divBdr>
        <w:top w:val="none" w:sz="0" w:space="0" w:color="auto"/>
        <w:left w:val="none" w:sz="0" w:space="0" w:color="auto"/>
        <w:bottom w:val="none" w:sz="0" w:space="0" w:color="auto"/>
        <w:right w:val="none" w:sz="0" w:space="0" w:color="auto"/>
      </w:divBdr>
    </w:div>
    <w:div w:id="80108256">
      <w:bodyDiv w:val="1"/>
      <w:marLeft w:val="0"/>
      <w:marRight w:val="0"/>
      <w:marTop w:val="0"/>
      <w:marBottom w:val="0"/>
      <w:divBdr>
        <w:top w:val="none" w:sz="0" w:space="0" w:color="auto"/>
        <w:left w:val="none" w:sz="0" w:space="0" w:color="auto"/>
        <w:bottom w:val="none" w:sz="0" w:space="0" w:color="auto"/>
        <w:right w:val="none" w:sz="0" w:space="0" w:color="auto"/>
      </w:divBdr>
    </w:div>
    <w:div w:id="105081958">
      <w:bodyDiv w:val="1"/>
      <w:marLeft w:val="0"/>
      <w:marRight w:val="0"/>
      <w:marTop w:val="0"/>
      <w:marBottom w:val="0"/>
      <w:divBdr>
        <w:top w:val="none" w:sz="0" w:space="0" w:color="auto"/>
        <w:left w:val="none" w:sz="0" w:space="0" w:color="auto"/>
        <w:bottom w:val="none" w:sz="0" w:space="0" w:color="auto"/>
        <w:right w:val="none" w:sz="0" w:space="0" w:color="auto"/>
      </w:divBdr>
    </w:div>
    <w:div w:id="109858456">
      <w:bodyDiv w:val="1"/>
      <w:marLeft w:val="0"/>
      <w:marRight w:val="0"/>
      <w:marTop w:val="0"/>
      <w:marBottom w:val="0"/>
      <w:divBdr>
        <w:top w:val="none" w:sz="0" w:space="0" w:color="auto"/>
        <w:left w:val="none" w:sz="0" w:space="0" w:color="auto"/>
        <w:bottom w:val="none" w:sz="0" w:space="0" w:color="auto"/>
        <w:right w:val="none" w:sz="0" w:space="0" w:color="auto"/>
      </w:divBdr>
    </w:div>
    <w:div w:id="137261757">
      <w:bodyDiv w:val="1"/>
      <w:marLeft w:val="0"/>
      <w:marRight w:val="0"/>
      <w:marTop w:val="0"/>
      <w:marBottom w:val="0"/>
      <w:divBdr>
        <w:top w:val="none" w:sz="0" w:space="0" w:color="auto"/>
        <w:left w:val="none" w:sz="0" w:space="0" w:color="auto"/>
        <w:bottom w:val="none" w:sz="0" w:space="0" w:color="auto"/>
        <w:right w:val="none" w:sz="0" w:space="0" w:color="auto"/>
      </w:divBdr>
    </w:div>
    <w:div w:id="137380190">
      <w:bodyDiv w:val="1"/>
      <w:marLeft w:val="0"/>
      <w:marRight w:val="0"/>
      <w:marTop w:val="0"/>
      <w:marBottom w:val="0"/>
      <w:divBdr>
        <w:top w:val="none" w:sz="0" w:space="0" w:color="auto"/>
        <w:left w:val="none" w:sz="0" w:space="0" w:color="auto"/>
        <w:bottom w:val="none" w:sz="0" w:space="0" w:color="auto"/>
        <w:right w:val="none" w:sz="0" w:space="0" w:color="auto"/>
      </w:divBdr>
    </w:div>
    <w:div w:id="141584775">
      <w:bodyDiv w:val="1"/>
      <w:marLeft w:val="0"/>
      <w:marRight w:val="0"/>
      <w:marTop w:val="0"/>
      <w:marBottom w:val="0"/>
      <w:divBdr>
        <w:top w:val="none" w:sz="0" w:space="0" w:color="auto"/>
        <w:left w:val="none" w:sz="0" w:space="0" w:color="auto"/>
        <w:bottom w:val="none" w:sz="0" w:space="0" w:color="auto"/>
        <w:right w:val="none" w:sz="0" w:space="0" w:color="auto"/>
      </w:divBdr>
    </w:div>
    <w:div w:id="145322344">
      <w:bodyDiv w:val="1"/>
      <w:marLeft w:val="0"/>
      <w:marRight w:val="0"/>
      <w:marTop w:val="0"/>
      <w:marBottom w:val="0"/>
      <w:divBdr>
        <w:top w:val="none" w:sz="0" w:space="0" w:color="auto"/>
        <w:left w:val="none" w:sz="0" w:space="0" w:color="auto"/>
        <w:bottom w:val="none" w:sz="0" w:space="0" w:color="auto"/>
        <w:right w:val="none" w:sz="0" w:space="0" w:color="auto"/>
      </w:divBdr>
    </w:div>
    <w:div w:id="151458761">
      <w:bodyDiv w:val="1"/>
      <w:marLeft w:val="0"/>
      <w:marRight w:val="0"/>
      <w:marTop w:val="0"/>
      <w:marBottom w:val="0"/>
      <w:divBdr>
        <w:top w:val="none" w:sz="0" w:space="0" w:color="auto"/>
        <w:left w:val="none" w:sz="0" w:space="0" w:color="auto"/>
        <w:bottom w:val="none" w:sz="0" w:space="0" w:color="auto"/>
        <w:right w:val="none" w:sz="0" w:space="0" w:color="auto"/>
      </w:divBdr>
    </w:div>
    <w:div w:id="154762318">
      <w:bodyDiv w:val="1"/>
      <w:marLeft w:val="0"/>
      <w:marRight w:val="0"/>
      <w:marTop w:val="0"/>
      <w:marBottom w:val="0"/>
      <w:divBdr>
        <w:top w:val="none" w:sz="0" w:space="0" w:color="auto"/>
        <w:left w:val="none" w:sz="0" w:space="0" w:color="auto"/>
        <w:bottom w:val="none" w:sz="0" w:space="0" w:color="auto"/>
        <w:right w:val="none" w:sz="0" w:space="0" w:color="auto"/>
      </w:divBdr>
    </w:div>
    <w:div w:id="185608136">
      <w:bodyDiv w:val="1"/>
      <w:marLeft w:val="0"/>
      <w:marRight w:val="0"/>
      <w:marTop w:val="0"/>
      <w:marBottom w:val="0"/>
      <w:divBdr>
        <w:top w:val="none" w:sz="0" w:space="0" w:color="auto"/>
        <w:left w:val="none" w:sz="0" w:space="0" w:color="auto"/>
        <w:bottom w:val="none" w:sz="0" w:space="0" w:color="auto"/>
        <w:right w:val="none" w:sz="0" w:space="0" w:color="auto"/>
      </w:divBdr>
    </w:div>
    <w:div w:id="188228152">
      <w:bodyDiv w:val="1"/>
      <w:marLeft w:val="0"/>
      <w:marRight w:val="0"/>
      <w:marTop w:val="0"/>
      <w:marBottom w:val="0"/>
      <w:divBdr>
        <w:top w:val="none" w:sz="0" w:space="0" w:color="auto"/>
        <w:left w:val="none" w:sz="0" w:space="0" w:color="auto"/>
        <w:bottom w:val="none" w:sz="0" w:space="0" w:color="auto"/>
        <w:right w:val="none" w:sz="0" w:space="0" w:color="auto"/>
      </w:divBdr>
    </w:div>
    <w:div w:id="188645284">
      <w:bodyDiv w:val="1"/>
      <w:marLeft w:val="0"/>
      <w:marRight w:val="0"/>
      <w:marTop w:val="0"/>
      <w:marBottom w:val="0"/>
      <w:divBdr>
        <w:top w:val="none" w:sz="0" w:space="0" w:color="auto"/>
        <w:left w:val="none" w:sz="0" w:space="0" w:color="auto"/>
        <w:bottom w:val="none" w:sz="0" w:space="0" w:color="auto"/>
        <w:right w:val="none" w:sz="0" w:space="0" w:color="auto"/>
      </w:divBdr>
    </w:div>
    <w:div w:id="223415445">
      <w:bodyDiv w:val="1"/>
      <w:marLeft w:val="0"/>
      <w:marRight w:val="0"/>
      <w:marTop w:val="0"/>
      <w:marBottom w:val="0"/>
      <w:divBdr>
        <w:top w:val="none" w:sz="0" w:space="0" w:color="auto"/>
        <w:left w:val="none" w:sz="0" w:space="0" w:color="auto"/>
        <w:bottom w:val="none" w:sz="0" w:space="0" w:color="auto"/>
        <w:right w:val="none" w:sz="0" w:space="0" w:color="auto"/>
      </w:divBdr>
    </w:div>
    <w:div w:id="226771741">
      <w:bodyDiv w:val="1"/>
      <w:marLeft w:val="0"/>
      <w:marRight w:val="0"/>
      <w:marTop w:val="0"/>
      <w:marBottom w:val="0"/>
      <w:divBdr>
        <w:top w:val="none" w:sz="0" w:space="0" w:color="auto"/>
        <w:left w:val="none" w:sz="0" w:space="0" w:color="auto"/>
        <w:bottom w:val="none" w:sz="0" w:space="0" w:color="auto"/>
        <w:right w:val="none" w:sz="0" w:space="0" w:color="auto"/>
      </w:divBdr>
    </w:div>
    <w:div w:id="236405721">
      <w:bodyDiv w:val="1"/>
      <w:marLeft w:val="0"/>
      <w:marRight w:val="0"/>
      <w:marTop w:val="0"/>
      <w:marBottom w:val="0"/>
      <w:divBdr>
        <w:top w:val="none" w:sz="0" w:space="0" w:color="auto"/>
        <w:left w:val="none" w:sz="0" w:space="0" w:color="auto"/>
        <w:bottom w:val="none" w:sz="0" w:space="0" w:color="auto"/>
        <w:right w:val="none" w:sz="0" w:space="0" w:color="auto"/>
      </w:divBdr>
    </w:div>
    <w:div w:id="237448520">
      <w:bodyDiv w:val="1"/>
      <w:marLeft w:val="0"/>
      <w:marRight w:val="0"/>
      <w:marTop w:val="0"/>
      <w:marBottom w:val="0"/>
      <w:divBdr>
        <w:top w:val="none" w:sz="0" w:space="0" w:color="auto"/>
        <w:left w:val="none" w:sz="0" w:space="0" w:color="auto"/>
        <w:bottom w:val="none" w:sz="0" w:space="0" w:color="auto"/>
        <w:right w:val="none" w:sz="0" w:space="0" w:color="auto"/>
      </w:divBdr>
    </w:div>
    <w:div w:id="238253101">
      <w:bodyDiv w:val="1"/>
      <w:marLeft w:val="0"/>
      <w:marRight w:val="0"/>
      <w:marTop w:val="0"/>
      <w:marBottom w:val="0"/>
      <w:divBdr>
        <w:top w:val="none" w:sz="0" w:space="0" w:color="auto"/>
        <w:left w:val="none" w:sz="0" w:space="0" w:color="auto"/>
        <w:bottom w:val="none" w:sz="0" w:space="0" w:color="auto"/>
        <w:right w:val="none" w:sz="0" w:space="0" w:color="auto"/>
      </w:divBdr>
    </w:div>
    <w:div w:id="248201385">
      <w:bodyDiv w:val="1"/>
      <w:marLeft w:val="0"/>
      <w:marRight w:val="0"/>
      <w:marTop w:val="0"/>
      <w:marBottom w:val="0"/>
      <w:divBdr>
        <w:top w:val="none" w:sz="0" w:space="0" w:color="auto"/>
        <w:left w:val="none" w:sz="0" w:space="0" w:color="auto"/>
        <w:bottom w:val="none" w:sz="0" w:space="0" w:color="auto"/>
        <w:right w:val="none" w:sz="0" w:space="0" w:color="auto"/>
      </w:divBdr>
    </w:div>
    <w:div w:id="248347229">
      <w:bodyDiv w:val="1"/>
      <w:marLeft w:val="0"/>
      <w:marRight w:val="0"/>
      <w:marTop w:val="0"/>
      <w:marBottom w:val="0"/>
      <w:divBdr>
        <w:top w:val="none" w:sz="0" w:space="0" w:color="auto"/>
        <w:left w:val="none" w:sz="0" w:space="0" w:color="auto"/>
        <w:bottom w:val="none" w:sz="0" w:space="0" w:color="auto"/>
        <w:right w:val="none" w:sz="0" w:space="0" w:color="auto"/>
      </w:divBdr>
    </w:div>
    <w:div w:id="260378961">
      <w:bodyDiv w:val="1"/>
      <w:marLeft w:val="0"/>
      <w:marRight w:val="0"/>
      <w:marTop w:val="0"/>
      <w:marBottom w:val="0"/>
      <w:divBdr>
        <w:top w:val="none" w:sz="0" w:space="0" w:color="auto"/>
        <w:left w:val="none" w:sz="0" w:space="0" w:color="auto"/>
        <w:bottom w:val="none" w:sz="0" w:space="0" w:color="auto"/>
        <w:right w:val="none" w:sz="0" w:space="0" w:color="auto"/>
      </w:divBdr>
    </w:div>
    <w:div w:id="263459632">
      <w:bodyDiv w:val="1"/>
      <w:marLeft w:val="0"/>
      <w:marRight w:val="0"/>
      <w:marTop w:val="0"/>
      <w:marBottom w:val="0"/>
      <w:divBdr>
        <w:top w:val="none" w:sz="0" w:space="0" w:color="auto"/>
        <w:left w:val="none" w:sz="0" w:space="0" w:color="auto"/>
        <w:bottom w:val="none" w:sz="0" w:space="0" w:color="auto"/>
        <w:right w:val="none" w:sz="0" w:space="0" w:color="auto"/>
      </w:divBdr>
    </w:div>
    <w:div w:id="274870274">
      <w:bodyDiv w:val="1"/>
      <w:marLeft w:val="0"/>
      <w:marRight w:val="0"/>
      <w:marTop w:val="0"/>
      <w:marBottom w:val="0"/>
      <w:divBdr>
        <w:top w:val="none" w:sz="0" w:space="0" w:color="auto"/>
        <w:left w:val="none" w:sz="0" w:space="0" w:color="auto"/>
        <w:bottom w:val="none" w:sz="0" w:space="0" w:color="auto"/>
        <w:right w:val="none" w:sz="0" w:space="0" w:color="auto"/>
      </w:divBdr>
    </w:div>
    <w:div w:id="277638620">
      <w:bodyDiv w:val="1"/>
      <w:marLeft w:val="0"/>
      <w:marRight w:val="0"/>
      <w:marTop w:val="0"/>
      <w:marBottom w:val="0"/>
      <w:divBdr>
        <w:top w:val="none" w:sz="0" w:space="0" w:color="auto"/>
        <w:left w:val="none" w:sz="0" w:space="0" w:color="auto"/>
        <w:bottom w:val="none" w:sz="0" w:space="0" w:color="auto"/>
        <w:right w:val="none" w:sz="0" w:space="0" w:color="auto"/>
      </w:divBdr>
    </w:div>
    <w:div w:id="278880080">
      <w:bodyDiv w:val="1"/>
      <w:marLeft w:val="0"/>
      <w:marRight w:val="0"/>
      <w:marTop w:val="0"/>
      <w:marBottom w:val="0"/>
      <w:divBdr>
        <w:top w:val="none" w:sz="0" w:space="0" w:color="auto"/>
        <w:left w:val="none" w:sz="0" w:space="0" w:color="auto"/>
        <w:bottom w:val="none" w:sz="0" w:space="0" w:color="auto"/>
        <w:right w:val="none" w:sz="0" w:space="0" w:color="auto"/>
      </w:divBdr>
    </w:div>
    <w:div w:id="282079365">
      <w:bodyDiv w:val="1"/>
      <w:marLeft w:val="0"/>
      <w:marRight w:val="0"/>
      <w:marTop w:val="0"/>
      <w:marBottom w:val="0"/>
      <w:divBdr>
        <w:top w:val="none" w:sz="0" w:space="0" w:color="auto"/>
        <w:left w:val="none" w:sz="0" w:space="0" w:color="auto"/>
        <w:bottom w:val="none" w:sz="0" w:space="0" w:color="auto"/>
        <w:right w:val="none" w:sz="0" w:space="0" w:color="auto"/>
      </w:divBdr>
    </w:div>
    <w:div w:id="330834311">
      <w:bodyDiv w:val="1"/>
      <w:marLeft w:val="0"/>
      <w:marRight w:val="0"/>
      <w:marTop w:val="0"/>
      <w:marBottom w:val="0"/>
      <w:divBdr>
        <w:top w:val="none" w:sz="0" w:space="0" w:color="auto"/>
        <w:left w:val="none" w:sz="0" w:space="0" w:color="auto"/>
        <w:bottom w:val="none" w:sz="0" w:space="0" w:color="auto"/>
        <w:right w:val="none" w:sz="0" w:space="0" w:color="auto"/>
      </w:divBdr>
    </w:div>
    <w:div w:id="346568232">
      <w:bodyDiv w:val="1"/>
      <w:marLeft w:val="0"/>
      <w:marRight w:val="0"/>
      <w:marTop w:val="0"/>
      <w:marBottom w:val="0"/>
      <w:divBdr>
        <w:top w:val="none" w:sz="0" w:space="0" w:color="auto"/>
        <w:left w:val="none" w:sz="0" w:space="0" w:color="auto"/>
        <w:bottom w:val="none" w:sz="0" w:space="0" w:color="auto"/>
        <w:right w:val="none" w:sz="0" w:space="0" w:color="auto"/>
      </w:divBdr>
    </w:div>
    <w:div w:id="361133885">
      <w:bodyDiv w:val="1"/>
      <w:marLeft w:val="0"/>
      <w:marRight w:val="0"/>
      <w:marTop w:val="0"/>
      <w:marBottom w:val="0"/>
      <w:divBdr>
        <w:top w:val="none" w:sz="0" w:space="0" w:color="auto"/>
        <w:left w:val="none" w:sz="0" w:space="0" w:color="auto"/>
        <w:bottom w:val="none" w:sz="0" w:space="0" w:color="auto"/>
        <w:right w:val="none" w:sz="0" w:space="0" w:color="auto"/>
      </w:divBdr>
    </w:div>
    <w:div w:id="363093049">
      <w:bodyDiv w:val="1"/>
      <w:marLeft w:val="0"/>
      <w:marRight w:val="0"/>
      <w:marTop w:val="0"/>
      <w:marBottom w:val="0"/>
      <w:divBdr>
        <w:top w:val="none" w:sz="0" w:space="0" w:color="auto"/>
        <w:left w:val="none" w:sz="0" w:space="0" w:color="auto"/>
        <w:bottom w:val="none" w:sz="0" w:space="0" w:color="auto"/>
        <w:right w:val="none" w:sz="0" w:space="0" w:color="auto"/>
      </w:divBdr>
    </w:div>
    <w:div w:id="374283340">
      <w:bodyDiv w:val="1"/>
      <w:marLeft w:val="0"/>
      <w:marRight w:val="0"/>
      <w:marTop w:val="0"/>
      <w:marBottom w:val="0"/>
      <w:divBdr>
        <w:top w:val="none" w:sz="0" w:space="0" w:color="auto"/>
        <w:left w:val="none" w:sz="0" w:space="0" w:color="auto"/>
        <w:bottom w:val="none" w:sz="0" w:space="0" w:color="auto"/>
        <w:right w:val="none" w:sz="0" w:space="0" w:color="auto"/>
      </w:divBdr>
    </w:div>
    <w:div w:id="388578155">
      <w:bodyDiv w:val="1"/>
      <w:marLeft w:val="0"/>
      <w:marRight w:val="0"/>
      <w:marTop w:val="0"/>
      <w:marBottom w:val="0"/>
      <w:divBdr>
        <w:top w:val="none" w:sz="0" w:space="0" w:color="auto"/>
        <w:left w:val="none" w:sz="0" w:space="0" w:color="auto"/>
        <w:bottom w:val="none" w:sz="0" w:space="0" w:color="auto"/>
        <w:right w:val="none" w:sz="0" w:space="0" w:color="auto"/>
      </w:divBdr>
    </w:div>
    <w:div w:id="395396668">
      <w:bodyDiv w:val="1"/>
      <w:marLeft w:val="0"/>
      <w:marRight w:val="0"/>
      <w:marTop w:val="0"/>
      <w:marBottom w:val="0"/>
      <w:divBdr>
        <w:top w:val="none" w:sz="0" w:space="0" w:color="auto"/>
        <w:left w:val="none" w:sz="0" w:space="0" w:color="auto"/>
        <w:bottom w:val="none" w:sz="0" w:space="0" w:color="auto"/>
        <w:right w:val="none" w:sz="0" w:space="0" w:color="auto"/>
      </w:divBdr>
    </w:div>
    <w:div w:id="399794347">
      <w:bodyDiv w:val="1"/>
      <w:marLeft w:val="0"/>
      <w:marRight w:val="0"/>
      <w:marTop w:val="0"/>
      <w:marBottom w:val="0"/>
      <w:divBdr>
        <w:top w:val="none" w:sz="0" w:space="0" w:color="auto"/>
        <w:left w:val="none" w:sz="0" w:space="0" w:color="auto"/>
        <w:bottom w:val="none" w:sz="0" w:space="0" w:color="auto"/>
        <w:right w:val="none" w:sz="0" w:space="0" w:color="auto"/>
      </w:divBdr>
    </w:div>
    <w:div w:id="400444333">
      <w:bodyDiv w:val="1"/>
      <w:marLeft w:val="0"/>
      <w:marRight w:val="0"/>
      <w:marTop w:val="0"/>
      <w:marBottom w:val="0"/>
      <w:divBdr>
        <w:top w:val="none" w:sz="0" w:space="0" w:color="auto"/>
        <w:left w:val="none" w:sz="0" w:space="0" w:color="auto"/>
        <w:bottom w:val="none" w:sz="0" w:space="0" w:color="auto"/>
        <w:right w:val="none" w:sz="0" w:space="0" w:color="auto"/>
      </w:divBdr>
    </w:div>
    <w:div w:id="401682541">
      <w:bodyDiv w:val="1"/>
      <w:marLeft w:val="0"/>
      <w:marRight w:val="0"/>
      <w:marTop w:val="0"/>
      <w:marBottom w:val="0"/>
      <w:divBdr>
        <w:top w:val="none" w:sz="0" w:space="0" w:color="auto"/>
        <w:left w:val="none" w:sz="0" w:space="0" w:color="auto"/>
        <w:bottom w:val="none" w:sz="0" w:space="0" w:color="auto"/>
        <w:right w:val="none" w:sz="0" w:space="0" w:color="auto"/>
      </w:divBdr>
    </w:div>
    <w:div w:id="421949108">
      <w:bodyDiv w:val="1"/>
      <w:marLeft w:val="0"/>
      <w:marRight w:val="0"/>
      <w:marTop w:val="0"/>
      <w:marBottom w:val="0"/>
      <w:divBdr>
        <w:top w:val="none" w:sz="0" w:space="0" w:color="auto"/>
        <w:left w:val="none" w:sz="0" w:space="0" w:color="auto"/>
        <w:bottom w:val="none" w:sz="0" w:space="0" w:color="auto"/>
        <w:right w:val="none" w:sz="0" w:space="0" w:color="auto"/>
      </w:divBdr>
    </w:div>
    <w:div w:id="427233650">
      <w:bodyDiv w:val="1"/>
      <w:marLeft w:val="0"/>
      <w:marRight w:val="0"/>
      <w:marTop w:val="0"/>
      <w:marBottom w:val="0"/>
      <w:divBdr>
        <w:top w:val="none" w:sz="0" w:space="0" w:color="auto"/>
        <w:left w:val="none" w:sz="0" w:space="0" w:color="auto"/>
        <w:bottom w:val="none" w:sz="0" w:space="0" w:color="auto"/>
        <w:right w:val="none" w:sz="0" w:space="0" w:color="auto"/>
      </w:divBdr>
    </w:div>
    <w:div w:id="428699673">
      <w:bodyDiv w:val="1"/>
      <w:marLeft w:val="0"/>
      <w:marRight w:val="0"/>
      <w:marTop w:val="0"/>
      <w:marBottom w:val="0"/>
      <w:divBdr>
        <w:top w:val="none" w:sz="0" w:space="0" w:color="auto"/>
        <w:left w:val="none" w:sz="0" w:space="0" w:color="auto"/>
        <w:bottom w:val="none" w:sz="0" w:space="0" w:color="auto"/>
        <w:right w:val="none" w:sz="0" w:space="0" w:color="auto"/>
      </w:divBdr>
    </w:div>
    <w:div w:id="445658283">
      <w:bodyDiv w:val="1"/>
      <w:marLeft w:val="0"/>
      <w:marRight w:val="0"/>
      <w:marTop w:val="0"/>
      <w:marBottom w:val="0"/>
      <w:divBdr>
        <w:top w:val="none" w:sz="0" w:space="0" w:color="auto"/>
        <w:left w:val="none" w:sz="0" w:space="0" w:color="auto"/>
        <w:bottom w:val="none" w:sz="0" w:space="0" w:color="auto"/>
        <w:right w:val="none" w:sz="0" w:space="0" w:color="auto"/>
      </w:divBdr>
    </w:div>
    <w:div w:id="448670902">
      <w:bodyDiv w:val="1"/>
      <w:marLeft w:val="0"/>
      <w:marRight w:val="0"/>
      <w:marTop w:val="0"/>
      <w:marBottom w:val="0"/>
      <w:divBdr>
        <w:top w:val="none" w:sz="0" w:space="0" w:color="auto"/>
        <w:left w:val="none" w:sz="0" w:space="0" w:color="auto"/>
        <w:bottom w:val="none" w:sz="0" w:space="0" w:color="auto"/>
        <w:right w:val="none" w:sz="0" w:space="0" w:color="auto"/>
      </w:divBdr>
    </w:div>
    <w:div w:id="457265733">
      <w:bodyDiv w:val="1"/>
      <w:marLeft w:val="0"/>
      <w:marRight w:val="0"/>
      <w:marTop w:val="0"/>
      <w:marBottom w:val="0"/>
      <w:divBdr>
        <w:top w:val="none" w:sz="0" w:space="0" w:color="auto"/>
        <w:left w:val="none" w:sz="0" w:space="0" w:color="auto"/>
        <w:bottom w:val="none" w:sz="0" w:space="0" w:color="auto"/>
        <w:right w:val="none" w:sz="0" w:space="0" w:color="auto"/>
      </w:divBdr>
    </w:div>
    <w:div w:id="467938354">
      <w:bodyDiv w:val="1"/>
      <w:marLeft w:val="0"/>
      <w:marRight w:val="0"/>
      <w:marTop w:val="0"/>
      <w:marBottom w:val="0"/>
      <w:divBdr>
        <w:top w:val="none" w:sz="0" w:space="0" w:color="auto"/>
        <w:left w:val="none" w:sz="0" w:space="0" w:color="auto"/>
        <w:bottom w:val="none" w:sz="0" w:space="0" w:color="auto"/>
        <w:right w:val="none" w:sz="0" w:space="0" w:color="auto"/>
      </w:divBdr>
    </w:div>
    <w:div w:id="476383395">
      <w:bodyDiv w:val="1"/>
      <w:marLeft w:val="0"/>
      <w:marRight w:val="0"/>
      <w:marTop w:val="0"/>
      <w:marBottom w:val="0"/>
      <w:divBdr>
        <w:top w:val="none" w:sz="0" w:space="0" w:color="auto"/>
        <w:left w:val="none" w:sz="0" w:space="0" w:color="auto"/>
        <w:bottom w:val="none" w:sz="0" w:space="0" w:color="auto"/>
        <w:right w:val="none" w:sz="0" w:space="0" w:color="auto"/>
      </w:divBdr>
    </w:div>
    <w:div w:id="491918699">
      <w:bodyDiv w:val="1"/>
      <w:marLeft w:val="0"/>
      <w:marRight w:val="0"/>
      <w:marTop w:val="0"/>
      <w:marBottom w:val="0"/>
      <w:divBdr>
        <w:top w:val="none" w:sz="0" w:space="0" w:color="auto"/>
        <w:left w:val="none" w:sz="0" w:space="0" w:color="auto"/>
        <w:bottom w:val="none" w:sz="0" w:space="0" w:color="auto"/>
        <w:right w:val="none" w:sz="0" w:space="0" w:color="auto"/>
      </w:divBdr>
    </w:div>
    <w:div w:id="494610577">
      <w:bodyDiv w:val="1"/>
      <w:marLeft w:val="0"/>
      <w:marRight w:val="0"/>
      <w:marTop w:val="0"/>
      <w:marBottom w:val="0"/>
      <w:divBdr>
        <w:top w:val="none" w:sz="0" w:space="0" w:color="auto"/>
        <w:left w:val="none" w:sz="0" w:space="0" w:color="auto"/>
        <w:bottom w:val="none" w:sz="0" w:space="0" w:color="auto"/>
        <w:right w:val="none" w:sz="0" w:space="0" w:color="auto"/>
      </w:divBdr>
    </w:div>
    <w:div w:id="502403002">
      <w:bodyDiv w:val="1"/>
      <w:marLeft w:val="0"/>
      <w:marRight w:val="0"/>
      <w:marTop w:val="0"/>
      <w:marBottom w:val="0"/>
      <w:divBdr>
        <w:top w:val="none" w:sz="0" w:space="0" w:color="auto"/>
        <w:left w:val="none" w:sz="0" w:space="0" w:color="auto"/>
        <w:bottom w:val="none" w:sz="0" w:space="0" w:color="auto"/>
        <w:right w:val="none" w:sz="0" w:space="0" w:color="auto"/>
      </w:divBdr>
    </w:div>
    <w:div w:id="522019913">
      <w:bodyDiv w:val="1"/>
      <w:marLeft w:val="0"/>
      <w:marRight w:val="0"/>
      <w:marTop w:val="0"/>
      <w:marBottom w:val="0"/>
      <w:divBdr>
        <w:top w:val="none" w:sz="0" w:space="0" w:color="auto"/>
        <w:left w:val="none" w:sz="0" w:space="0" w:color="auto"/>
        <w:bottom w:val="none" w:sz="0" w:space="0" w:color="auto"/>
        <w:right w:val="none" w:sz="0" w:space="0" w:color="auto"/>
      </w:divBdr>
    </w:div>
    <w:div w:id="525992853">
      <w:bodyDiv w:val="1"/>
      <w:marLeft w:val="0"/>
      <w:marRight w:val="0"/>
      <w:marTop w:val="0"/>
      <w:marBottom w:val="0"/>
      <w:divBdr>
        <w:top w:val="none" w:sz="0" w:space="0" w:color="auto"/>
        <w:left w:val="none" w:sz="0" w:space="0" w:color="auto"/>
        <w:bottom w:val="none" w:sz="0" w:space="0" w:color="auto"/>
        <w:right w:val="none" w:sz="0" w:space="0" w:color="auto"/>
      </w:divBdr>
    </w:div>
    <w:div w:id="559053477">
      <w:bodyDiv w:val="1"/>
      <w:marLeft w:val="0"/>
      <w:marRight w:val="0"/>
      <w:marTop w:val="0"/>
      <w:marBottom w:val="0"/>
      <w:divBdr>
        <w:top w:val="none" w:sz="0" w:space="0" w:color="auto"/>
        <w:left w:val="none" w:sz="0" w:space="0" w:color="auto"/>
        <w:bottom w:val="none" w:sz="0" w:space="0" w:color="auto"/>
        <w:right w:val="none" w:sz="0" w:space="0" w:color="auto"/>
      </w:divBdr>
    </w:div>
    <w:div w:id="571896137">
      <w:bodyDiv w:val="1"/>
      <w:marLeft w:val="0"/>
      <w:marRight w:val="0"/>
      <w:marTop w:val="0"/>
      <w:marBottom w:val="0"/>
      <w:divBdr>
        <w:top w:val="none" w:sz="0" w:space="0" w:color="auto"/>
        <w:left w:val="none" w:sz="0" w:space="0" w:color="auto"/>
        <w:bottom w:val="none" w:sz="0" w:space="0" w:color="auto"/>
        <w:right w:val="none" w:sz="0" w:space="0" w:color="auto"/>
      </w:divBdr>
    </w:div>
    <w:div w:id="578977738">
      <w:bodyDiv w:val="1"/>
      <w:marLeft w:val="0"/>
      <w:marRight w:val="0"/>
      <w:marTop w:val="0"/>
      <w:marBottom w:val="0"/>
      <w:divBdr>
        <w:top w:val="none" w:sz="0" w:space="0" w:color="auto"/>
        <w:left w:val="none" w:sz="0" w:space="0" w:color="auto"/>
        <w:bottom w:val="none" w:sz="0" w:space="0" w:color="auto"/>
        <w:right w:val="none" w:sz="0" w:space="0" w:color="auto"/>
      </w:divBdr>
    </w:div>
    <w:div w:id="591545510">
      <w:bodyDiv w:val="1"/>
      <w:marLeft w:val="0"/>
      <w:marRight w:val="0"/>
      <w:marTop w:val="0"/>
      <w:marBottom w:val="0"/>
      <w:divBdr>
        <w:top w:val="none" w:sz="0" w:space="0" w:color="auto"/>
        <w:left w:val="none" w:sz="0" w:space="0" w:color="auto"/>
        <w:bottom w:val="none" w:sz="0" w:space="0" w:color="auto"/>
        <w:right w:val="none" w:sz="0" w:space="0" w:color="auto"/>
      </w:divBdr>
    </w:div>
    <w:div w:id="593241761">
      <w:bodyDiv w:val="1"/>
      <w:marLeft w:val="0"/>
      <w:marRight w:val="0"/>
      <w:marTop w:val="0"/>
      <w:marBottom w:val="0"/>
      <w:divBdr>
        <w:top w:val="none" w:sz="0" w:space="0" w:color="auto"/>
        <w:left w:val="none" w:sz="0" w:space="0" w:color="auto"/>
        <w:bottom w:val="none" w:sz="0" w:space="0" w:color="auto"/>
        <w:right w:val="none" w:sz="0" w:space="0" w:color="auto"/>
      </w:divBdr>
    </w:div>
    <w:div w:id="595749459">
      <w:bodyDiv w:val="1"/>
      <w:marLeft w:val="0"/>
      <w:marRight w:val="0"/>
      <w:marTop w:val="0"/>
      <w:marBottom w:val="0"/>
      <w:divBdr>
        <w:top w:val="none" w:sz="0" w:space="0" w:color="auto"/>
        <w:left w:val="none" w:sz="0" w:space="0" w:color="auto"/>
        <w:bottom w:val="none" w:sz="0" w:space="0" w:color="auto"/>
        <w:right w:val="none" w:sz="0" w:space="0" w:color="auto"/>
      </w:divBdr>
    </w:div>
    <w:div w:id="600144494">
      <w:bodyDiv w:val="1"/>
      <w:marLeft w:val="0"/>
      <w:marRight w:val="0"/>
      <w:marTop w:val="0"/>
      <w:marBottom w:val="0"/>
      <w:divBdr>
        <w:top w:val="none" w:sz="0" w:space="0" w:color="auto"/>
        <w:left w:val="none" w:sz="0" w:space="0" w:color="auto"/>
        <w:bottom w:val="none" w:sz="0" w:space="0" w:color="auto"/>
        <w:right w:val="none" w:sz="0" w:space="0" w:color="auto"/>
      </w:divBdr>
    </w:div>
    <w:div w:id="612177087">
      <w:bodyDiv w:val="1"/>
      <w:marLeft w:val="0"/>
      <w:marRight w:val="0"/>
      <w:marTop w:val="0"/>
      <w:marBottom w:val="0"/>
      <w:divBdr>
        <w:top w:val="none" w:sz="0" w:space="0" w:color="auto"/>
        <w:left w:val="none" w:sz="0" w:space="0" w:color="auto"/>
        <w:bottom w:val="none" w:sz="0" w:space="0" w:color="auto"/>
        <w:right w:val="none" w:sz="0" w:space="0" w:color="auto"/>
      </w:divBdr>
    </w:div>
    <w:div w:id="624192874">
      <w:bodyDiv w:val="1"/>
      <w:marLeft w:val="0"/>
      <w:marRight w:val="0"/>
      <w:marTop w:val="0"/>
      <w:marBottom w:val="0"/>
      <w:divBdr>
        <w:top w:val="none" w:sz="0" w:space="0" w:color="auto"/>
        <w:left w:val="none" w:sz="0" w:space="0" w:color="auto"/>
        <w:bottom w:val="none" w:sz="0" w:space="0" w:color="auto"/>
        <w:right w:val="none" w:sz="0" w:space="0" w:color="auto"/>
      </w:divBdr>
    </w:div>
    <w:div w:id="624847992">
      <w:bodyDiv w:val="1"/>
      <w:marLeft w:val="0"/>
      <w:marRight w:val="0"/>
      <w:marTop w:val="0"/>
      <w:marBottom w:val="0"/>
      <w:divBdr>
        <w:top w:val="none" w:sz="0" w:space="0" w:color="auto"/>
        <w:left w:val="none" w:sz="0" w:space="0" w:color="auto"/>
        <w:bottom w:val="none" w:sz="0" w:space="0" w:color="auto"/>
        <w:right w:val="none" w:sz="0" w:space="0" w:color="auto"/>
      </w:divBdr>
    </w:div>
    <w:div w:id="639578174">
      <w:bodyDiv w:val="1"/>
      <w:marLeft w:val="0"/>
      <w:marRight w:val="0"/>
      <w:marTop w:val="0"/>
      <w:marBottom w:val="0"/>
      <w:divBdr>
        <w:top w:val="none" w:sz="0" w:space="0" w:color="auto"/>
        <w:left w:val="none" w:sz="0" w:space="0" w:color="auto"/>
        <w:bottom w:val="none" w:sz="0" w:space="0" w:color="auto"/>
        <w:right w:val="none" w:sz="0" w:space="0" w:color="auto"/>
      </w:divBdr>
    </w:div>
    <w:div w:id="645621370">
      <w:bodyDiv w:val="1"/>
      <w:marLeft w:val="0"/>
      <w:marRight w:val="0"/>
      <w:marTop w:val="0"/>
      <w:marBottom w:val="0"/>
      <w:divBdr>
        <w:top w:val="none" w:sz="0" w:space="0" w:color="auto"/>
        <w:left w:val="none" w:sz="0" w:space="0" w:color="auto"/>
        <w:bottom w:val="none" w:sz="0" w:space="0" w:color="auto"/>
        <w:right w:val="none" w:sz="0" w:space="0" w:color="auto"/>
      </w:divBdr>
    </w:div>
    <w:div w:id="657195935">
      <w:bodyDiv w:val="1"/>
      <w:marLeft w:val="0"/>
      <w:marRight w:val="0"/>
      <w:marTop w:val="0"/>
      <w:marBottom w:val="0"/>
      <w:divBdr>
        <w:top w:val="none" w:sz="0" w:space="0" w:color="auto"/>
        <w:left w:val="none" w:sz="0" w:space="0" w:color="auto"/>
        <w:bottom w:val="none" w:sz="0" w:space="0" w:color="auto"/>
        <w:right w:val="none" w:sz="0" w:space="0" w:color="auto"/>
      </w:divBdr>
    </w:div>
    <w:div w:id="678317154">
      <w:bodyDiv w:val="1"/>
      <w:marLeft w:val="0"/>
      <w:marRight w:val="0"/>
      <w:marTop w:val="0"/>
      <w:marBottom w:val="0"/>
      <w:divBdr>
        <w:top w:val="none" w:sz="0" w:space="0" w:color="auto"/>
        <w:left w:val="none" w:sz="0" w:space="0" w:color="auto"/>
        <w:bottom w:val="none" w:sz="0" w:space="0" w:color="auto"/>
        <w:right w:val="none" w:sz="0" w:space="0" w:color="auto"/>
      </w:divBdr>
    </w:div>
    <w:div w:id="717357698">
      <w:bodyDiv w:val="1"/>
      <w:marLeft w:val="0"/>
      <w:marRight w:val="0"/>
      <w:marTop w:val="0"/>
      <w:marBottom w:val="0"/>
      <w:divBdr>
        <w:top w:val="none" w:sz="0" w:space="0" w:color="auto"/>
        <w:left w:val="none" w:sz="0" w:space="0" w:color="auto"/>
        <w:bottom w:val="none" w:sz="0" w:space="0" w:color="auto"/>
        <w:right w:val="none" w:sz="0" w:space="0" w:color="auto"/>
      </w:divBdr>
    </w:div>
    <w:div w:id="723990674">
      <w:bodyDiv w:val="1"/>
      <w:marLeft w:val="0"/>
      <w:marRight w:val="0"/>
      <w:marTop w:val="0"/>
      <w:marBottom w:val="0"/>
      <w:divBdr>
        <w:top w:val="none" w:sz="0" w:space="0" w:color="auto"/>
        <w:left w:val="none" w:sz="0" w:space="0" w:color="auto"/>
        <w:bottom w:val="none" w:sz="0" w:space="0" w:color="auto"/>
        <w:right w:val="none" w:sz="0" w:space="0" w:color="auto"/>
      </w:divBdr>
    </w:div>
    <w:div w:id="784883961">
      <w:bodyDiv w:val="1"/>
      <w:marLeft w:val="0"/>
      <w:marRight w:val="0"/>
      <w:marTop w:val="0"/>
      <w:marBottom w:val="0"/>
      <w:divBdr>
        <w:top w:val="none" w:sz="0" w:space="0" w:color="auto"/>
        <w:left w:val="none" w:sz="0" w:space="0" w:color="auto"/>
        <w:bottom w:val="none" w:sz="0" w:space="0" w:color="auto"/>
        <w:right w:val="none" w:sz="0" w:space="0" w:color="auto"/>
      </w:divBdr>
    </w:div>
    <w:div w:id="799108167">
      <w:bodyDiv w:val="1"/>
      <w:marLeft w:val="0"/>
      <w:marRight w:val="0"/>
      <w:marTop w:val="0"/>
      <w:marBottom w:val="0"/>
      <w:divBdr>
        <w:top w:val="none" w:sz="0" w:space="0" w:color="auto"/>
        <w:left w:val="none" w:sz="0" w:space="0" w:color="auto"/>
        <w:bottom w:val="none" w:sz="0" w:space="0" w:color="auto"/>
        <w:right w:val="none" w:sz="0" w:space="0" w:color="auto"/>
      </w:divBdr>
    </w:div>
    <w:div w:id="801004403">
      <w:bodyDiv w:val="1"/>
      <w:marLeft w:val="0"/>
      <w:marRight w:val="0"/>
      <w:marTop w:val="0"/>
      <w:marBottom w:val="0"/>
      <w:divBdr>
        <w:top w:val="none" w:sz="0" w:space="0" w:color="auto"/>
        <w:left w:val="none" w:sz="0" w:space="0" w:color="auto"/>
        <w:bottom w:val="none" w:sz="0" w:space="0" w:color="auto"/>
        <w:right w:val="none" w:sz="0" w:space="0" w:color="auto"/>
      </w:divBdr>
    </w:div>
    <w:div w:id="815609153">
      <w:bodyDiv w:val="1"/>
      <w:marLeft w:val="0"/>
      <w:marRight w:val="0"/>
      <w:marTop w:val="0"/>
      <w:marBottom w:val="0"/>
      <w:divBdr>
        <w:top w:val="none" w:sz="0" w:space="0" w:color="auto"/>
        <w:left w:val="none" w:sz="0" w:space="0" w:color="auto"/>
        <w:bottom w:val="none" w:sz="0" w:space="0" w:color="auto"/>
        <w:right w:val="none" w:sz="0" w:space="0" w:color="auto"/>
      </w:divBdr>
    </w:div>
    <w:div w:id="824324541">
      <w:bodyDiv w:val="1"/>
      <w:marLeft w:val="0"/>
      <w:marRight w:val="0"/>
      <w:marTop w:val="0"/>
      <w:marBottom w:val="0"/>
      <w:divBdr>
        <w:top w:val="none" w:sz="0" w:space="0" w:color="auto"/>
        <w:left w:val="none" w:sz="0" w:space="0" w:color="auto"/>
        <w:bottom w:val="none" w:sz="0" w:space="0" w:color="auto"/>
        <w:right w:val="none" w:sz="0" w:space="0" w:color="auto"/>
      </w:divBdr>
    </w:div>
    <w:div w:id="832451655">
      <w:bodyDiv w:val="1"/>
      <w:marLeft w:val="0"/>
      <w:marRight w:val="0"/>
      <w:marTop w:val="0"/>
      <w:marBottom w:val="0"/>
      <w:divBdr>
        <w:top w:val="none" w:sz="0" w:space="0" w:color="auto"/>
        <w:left w:val="none" w:sz="0" w:space="0" w:color="auto"/>
        <w:bottom w:val="none" w:sz="0" w:space="0" w:color="auto"/>
        <w:right w:val="none" w:sz="0" w:space="0" w:color="auto"/>
      </w:divBdr>
    </w:div>
    <w:div w:id="833303927">
      <w:bodyDiv w:val="1"/>
      <w:marLeft w:val="0"/>
      <w:marRight w:val="0"/>
      <w:marTop w:val="0"/>
      <w:marBottom w:val="0"/>
      <w:divBdr>
        <w:top w:val="none" w:sz="0" w:space="0" w:color="auto"/>
        <w:left w:val="none" w:sz="0" w:space="0" w:color="auto"/>
        <w:bottom w:val="none" w:sz="0" w:space="0" w:color="auto"/>
        <w:right w:val="none" w:sz="0" w:space="0" w:color="auto"/>
      </w:divBdr>
    </w:div>
    <w:div w:id="846091264">
      <w:bodyDiv w:val="1"/>
      <w:marLeft w:val="0"/>
      <w:marRight w:val="0"/>
      <w:marTop w:val="0"/>
      <w:marBottom w:val="0"/>
      <w:divBdr>
        <w:top w:val="none" w:sz="0" w:space="0" w:color="auto"/>
        <w:left w:val="none" w:sz="0" w:space="0" w:color="auto"/>
        <w:bottom w:val="none" w:sz="0" w:space="0" w:color="auto"/>
        <w:right w:val="none" w:sz="0" w:space="0" w:color="auto"/>
      </w:divBdr>
    </w:div>
    <w:div w:id="848061152">
      <w:bodyDiv w:val="1"/>
      <w:marLeft w:val="0"/>
      <w:marRight w:val="0"/>
      <w:marTop w:val="0"/>
      <w:marBottom w:val="0"/>
      <w:divBdr>
        <w:top w:val="none" w:sz="0" w:space="0" w:color="auto"/>
        <w:left w:val="none" w:sz="0" w:space="0" w:color="auto"/>
        <w:bottom w:val="none" w:sz="0" w:space="0" w:color="auto"/>
        <w:right w:val="none" w:sz="0" w:space="0" w:color="auto"/>
      </w:divBdr>
    </w:div>
    <w:div w:id="872310513">
      <w:bodyDiv w:val="1"/>
      <w:marLeft w:val="0"/>
      <w:marRight w:val="0"/>
      <w:marTop w:val="0"/>
      <w:marBottom w:val="0"/>
      <w:divBdr>
        <w:top w:val="none" w:sz="0" w:space="0" w:color="auto"/>
        <w:left w:val="none" w:sz="0" w:space="0" w:color="auto"/>
        <w:bottom w:val="none" w:sz="0" w:space="0" w:color="auto"/>
        <w:right w:val="none" w:sz="0" w:space="0" w:color="auto"/>
      </w:divBdr>
    </w:div>
    <w:div w:id="878132050">
      <w:bodyDiv w:val="1"/>
      <w:marLeft w:val="0"/>
      <w:marRight w:val="0"/>
      <w:marTop w:val="0"/>
      <w:marBottom w:val="0"/>
      <w:divBdr>
        <w:top w:val="none" w:sz="0" w:space="0" w:color="auto"/>
        <w:left w:val="none" w:sz="0" w:space="0" w:color="auto"/>
        <w:bottom w:val="none" w:sz="0" w:space="0" w:color="auto"/>
        <w:right w:val="none" w:sz="0" w:space="0" w:color="auto"/>
      </w:divBdr>
    </w:div>
    <w:div w:id="880018034">
      <w:bodyDiv w:val="1"/>
      <w:marLeft w:val="0"/>
      <w:marRight w:val="0"/>
      <w:marTop w:val="0"/>
      <w:marBottom w:val="0"/>
      <w:divBdr>
        <w:top w:val="none" w:sz="0" w:space="0" w:color="auto"/>
        <w:left w:val="none" w:sz="0" w:space="0" w:color="auto"/>
        <w:bottom w:val="none" w:sz="0" w:space="0" w:color="auto"/>
        <w:right w:val="none" w:sz="0" w:space="0" w:color="auto"/>
      </w:divBdr>
    </w:div>
    <w:div w:id="891044499">
      <w:bodyDiv w:val="1"/>
      <w:marLeft w:val="0"/>
      <w:marRight w:val="0"/>
      <w:marTop w:val="0"/>
      <w:marBottom w:val="0"/>
      <w:divBdr>
        <w:top w:val="none" w:sz="0" w:space="0" w:color="auto"/>
        <w:left w:val="none" w:sz="0" w:space="0" w:color="auto"/>
        <w:bottom w:val="none" w:sz="0" w:space="0" w:color="auto"/>
        <w:right w:val="none" w:sz="0" w:space="0" w:color="auto"/>
      </w:divBdr>
    </w:div>
    <w:div w:id="903376981">
      <w:bodyDiv w:val="1"/>
      <w:marLeft w:val="0"/>
      <w:marRight w:val="0"/>
      <w:marTop w:val="0"/>
      <w:marBottom w:val="0"/>
      <w:divBdr>
        <w:top w:val="none" w:sz="0" w:space="0" w:color="auto"/>
        <w:left w:val="none" w:sz="0" w:space="0" w:color="auto"/>
        <w:bottom w:val="none" w:sz="0" w:space="0" w:color="auto"/>
        <w:right w:val="none" w:sz="0" w:space="0" w:color="auto"/>
      </w:divBdr>
    </w:div>
    <w:div w:id="938488729">
      <w:bodyDiv w:val="1"/>
      <w:marLeft w:val="0"/>
      <w:marRight w:val="0"/>
      <w:marTop w:val="0"/>
      <w:marBottom w:val="0"/>
      <w:divBdr>
        <w:top w:val="none" w:sz="0" w:space="0" w:color="auto"/>
        <w:left w:val="none" w:sz="0" w:space="0" w:color="auto"/>
        <w:bottom w:val="none" w:sz="0" w:space="0" w:color="auto"/>
        <w:right w:val="none" w:sz="0" w:space="0" w:color="auto"/>
      </w:divBdr>
    </w:div>
    <w:div w:id="956523658">
      <w:bodyDiv w:val="1"/>
      <w:marLeft w:val="0"/>
      <w:marRight w:val="0"/>
      <w:marTop w:val="0"/>
      <w:marBottom w:val="0"/>
      <w:divBdr>
        <w:top w:val="none" w:sz="0" w:space="0" w:color="auto"/>
        <w:left w:val="none" w:sz="0" w:space="0" w:color="auto"/>
        <w:bottom w:val="none" w:sz="0" w:space="0" w:color="auto"/>
        <w:right w:val="none" w:sz="0" w:space="0" w:color="auto"/>
      </w:divBdr>
    </w:div>
    <w:div w:id="979726788">
      <w:bodyDiv w:val="1"/>
      <w:marLeft w:val="0"/>
      <w:marRight w:val="0"/>
      <w:marTop w:val="0"/>
      <w:marBottom w:val="0"/>
      <w:divBdr>
        <w:top w:val="none" w:sz="0" w:space="0" w:color="auto"/>
        <w:left w:val="none" w:sz="0" w:space="0" w:color="auto"/>
        <w:bottom w:val="none" w:sz="0" w:space="0" w:color="auto"/>
        <w:right w:val="none" w:sz="0" w:space="0" w:color="auto"/>
      </w:divBdr>
    </w:div>
    <w:div w:id="980309537">
      <w:bodyDiv w:val="1"/>
      <w:marLeft w:val="0"/>
      <w:marRight w:val="0"/>
      <w:marTop w:val="0"/>
      <w:marBottom w:val="0"/>
      <w:divBdr>
        <w:top w:val="none" w:sz="0" w:space="0" w:color="auto"/>
        <w:left w:val="none" w:sz="0" w:space="0" w:color="auto"/>
        <w:bottom w:val="none" w:sz="0" w:space="0" w:color="auto"/>
        <w:right w:val="none" w:sz="0" w:space="0" w:color="auto"/>
      </w:divBdr>
    </w:div>
    <w:div w:id="988439685">
      <w:bodyDiv w:val="1"/>
      <w:marLeft w:val="0"/>
      <w:marRight w:val="0"/>
      <w:marTop w:val="0"/>
      <w:marBottom w:val="0"/>
      <w:divBdr>
        <w:top w:val="none" w:sz="0" w:space="0" w:color="auto"/>
        <w:left w:val="none" w:sz="0" w:space="0" w:color="auto"/>
        <w:bottom w:val="none" w:sz="0" w:space="0" w:color="auto"/>
        <w:right w:val="none" w:sz="0" w:space="0" w:color="auto"/>
      </w:divBdr>
    </w:div>
    <w:div w:id="1018122365">
      <w:bodyDiv w:val="1"/>
      <w:marLeft w:val="0"/>
      <w:marRight w:val="0"/>
      <w:marTop w:val="0"/>
      <w:marBottom w:val="0"/>
      <w:divBdr>
        <w:top w:val="none" w:sz="0" w:space="0" w:color="auto"/>
        <w:left w:val="none" w:sz="0" w:space="0" w:color="auto"/>
        <w:bottom w:val="none" w:sz="0" w:space="0" w:color="auto"/>
        <w:right w:val="none" w:sz="0" w:space="0" w:color="auto"/>
      </w:divBdr>
    </w:div>
    <w:div w:id="1029842617">
      <w:bodyDiv w:val="1"/>
      <w:marLeft w:val="0"/>
      <w:marRight w:val="0"/>
      <w:marTop w:val="0"/>
      <w:marBottom w:val="0"/>
      <w:divBdr>
        <w:top w:val="none" w:sz="0" w:space="0" w:color="auto"/>
        <w:left w:val="none" w:sz="0" w:space="0" w:color="auto"/>
        <w:bottom w:val="none" w:sz="0" w:space="0" w:color="auto"/>
        <w:right w:val="none" w:sz="0" w:space="0" w:color="auto"/>
      </w:divBdr>
    </w:div>
    <w:div w:id="1049379964">
      <w:bodyDiv w:val="1"/>
      <w:marLeft w:val="0"/>
      <w:marRight w:val="0"/>
      <w:marTop w:val="0"/>
      <w:marBottom w:val="0"/>
      <w:divBdr>
        <w:top w:val="none" w:sz="0" w:space="0" w:color="auto"/>
        <w:left w:val="none" w:sz="0" w:space="0" w:color="auto"/>
        <w:bottom w:val="none" w:sz="0" w:space="0" w:color="auto"/>
        <w:right w:val="none" w:sz="0" w:space="0" w:color="auto"/>
      </w:divBdr>
    </w:div>
    <w:div w:id="1050299218">
      <w:bodyDiv w:val="1"/>
      <w:marLeft w:val="0"/>
      <w:marRight w:val="0"/>
      <w:marTop w:val="0"/>
      <w:marBottom w:val="0"/>
      <w:divBdr>
        <w:top w:val="none" w:sz="0" w:space="0" w:color="auto"/>
        <w:left w:val="none" w:sz="0" w:space="0" w:color="auto"/>
        <w:bottom w:val="none" w:sz="0" w:space="0" w:color="auto"/>
        <w:right w:val="none" w:sz="0" w:space="0" w:color="auto"/>
      </w:divBdr>
    </w:div>
    <w:div w:id="1053236096">
      <w:bodyDiv w:val="1"/>
      <w:marLeft w:val="0"/>
      <w:marRight w:val="0"/>
      <w:marTop w:val="0"/>
      <w:marBottom w:val="0"/>
      <w:divBdr>
        <w:top w:val="none" w:sz="0" w:space="0" w:color="auto"/>
        <w:left w:val="none" w:sz="0" w:space="0" w:color="auto"/>
        <w:bottom w:val="none" w:sz="0" w:space="0" w:color="auto"/>
        <w:right w:val="none" w:sz="0" w:space="0" w:color="auto"/>
      </w:divBdr>
    </w:div>
    <w:div w:id="1056510948">
      <w:bodyDiv w:val="1"/>
      <w:marLeft w:val="0"/>
      <w:marRight w:val="0"/>
      <w:marTop w:val="0"/>
      <w:marBottom w:val="0"/>
      <w:divBdr>
        <w:top w:val="none" w:sz="0" w:space="0" w:color="auto"/>
        <w:left w:val="none" w:sz="0" w:space="0" w:color="auto"/>
        <w:bottom w:val="none" w:sz="0" w:space="0" w:color="auto"/>
        <w:right w:val="none" w:sz="0" w:space="0" w:color="auto"/>
      </w:divBdr>
    </w:div>
    <w:div w:id="1085809885">
      <w:bodyDiv w:val="1"/>
      <w:marLeft w:val="0"/>
      <w:marRight w:val="0"/>
      <w:marTop w:val="0"/>
      <w:marBottom w:val="0"/>
      <w:divBdr>
        <w:top w:val="none" w:sz="0" w:space="0" w:color="auto"/>
        <w:left w:val="none" w:sz="0" w:space="0" w:color="auto"/>
        <w:bottom w:val="none" w:sz="0" w:space="0" w:color="auto"/>
        <w:right w:val="none" w:sz="0" w:space="0" w:color="auto"/>
      </w:divBdr>
    </w:div>
    <w:div w:id="1089738665">
      <w:bodyDiv w:val="1"/>
      <w:marLeft w:val="0"/>
      <w:marRight w:val="0"/>
      <w:marTop w:val="0"/>
      <w:marBottom w:val="0"/>
      <w:divBdr>
        <w:top w:val="none" w:sz="0" w:space="0" w:color="auto"/>
        <w:left w:val="none" w:sz="0" w:space="0" w:color="auto"/>
        <w:bottom w:val="none" w:sz="0" w:space="0" w:color="auto"/>
        <w:right w:val="none" w:sz="0" w:space="0" w:color="auto"/>
      </w:divBdr>
    </w:div>
    <w:div w:id="1092045290">
      <w:bodyDiv w:val="1"/>
      <w:marLeft w:val="0"/>
      <w:marRight w:val="0"/>
      <w:marTop w:val="0"/>
      <w:marBottom w:val="0"/>
      <w:divBdr>
        <w:top w:val="none" w:sz="0" w:space="0" w:color="auto"/>
        <w:left w:val="none" w:sz="0" w:space="0" w:color="auto"/>
        <w:bottom w:val="none" w:sz="0" w:space="0" w:color="auto"/>
        <w:right w:val="none" w:sz="0" w:space="0" w:color="auto"/>
      </w:divBdr>
    </w:div>
    <w:div w:id="1098672411">
      <w:bodyDiv w:val="1"/>
      <w:marLeft w:val="0"/>
      <w:marRight w:val="0"/>
      <w:marTop w:val="0"/>
      <w:marBottom w:val="0"/>
      <w:divBdr>
        <w:top w:val="none" w:sz="0" w:space="0" w:color="auto"/>
        <w:left w:val="none" w:sz="0" w:space="0" w:color="auto"/>
        <w:bottom w:val="none" w:sz="0" w:space="0" w:color="auto"/>
        <w:right w:val="none" w:sz="0" w:space="0" w:color="auto"/>
      </w:divBdr>
    </w:div>
    <w:div w:id="1108157591">
      <w:bodyDiv w:val="1"/>
      <w:marLeft w:val="0"/>
      <w:marRight w:val="0"/>
      <w:marTop w:val="0"/>
      <w:marBottom w:val="0"/>
      <w:divBdr>
        <w:top w:val="none" w:sz="0" w:space="0" w:color="auto"/>
        <w:left w:val="none" w:sz="0" w:space="0" w:color="auto"/>
        <w:bottom w:val="none" w:sz="0" w:space="0" w:color="auto"/>
        <w:right w:val="none" w:sz="0" w:space="0" w:color="auto"/>
      </w:divBdr>
    </w:div>
    <w:div w:id="1116758709">
      <w:bodyDiv w:val="1"/>
      <w:marLeft w:val="0"/>
      <w:marRight w:val="0"/>
      <w:marTop w:val="0"/>
      <w:marBottom w:val="0"/>
      <w:divBdr>
        <w:top w:val="none" w:sz="0" w:space="0" w:color="auto"/>
        <w:left w:val="none" w:sz="0" w:space="0" w:color="auto"/>
        <w:bottom w:val="none" w:sz="0" w:space="0" w:color="auto"/>
        <w:right w:val="none" w:sz="0" w:space="0" w:color="auto"/>
      </w:divBdr>
    </w:div>
    <w:div w:id="1145198419">
      <w:bodyDiv w:val="1"/>
      <w:marLeft w:val="0"/>
      <w:marRight w:val="0"/>
      <w:marTop w:val="0"/>
      <w:marBottom w:val="0"/>
      <w:divBdr>
        <w:top w:val="none" w:sz="0" w:space="0" w:color="auto"/>
        <w:left w:val="none" w:sz="0" w:space="0" w:color="auto"/>
        <w:bottom w:val="none" w:sz="0" w:space="0" w:color="auto"/>
        <w:right w:val="none" w:sz="0" w:space="0" w:color="auto"/>
      </w:divBdr>
    </w:div>
    <w:div w:id="1153525796">
      <w:bodyDiv w:val="1"/>
      <w:marLeft w:val="0"/>
      <w:marRight w:val="0"/>
      <w:marTop w:val="0"/>
      <w:marBottom w:val="0"/>
      <w:divBdr>
        <w:top w:val="none" w:sz="0" w:space="0" w:color="auto"/>
        <w:left w:val="none" w:sz="0" w:space="0" w:color="auto"/>
        <w:bottom w:val="none" w:sz="0" w:space="0" w:color="auto"/>
        <w:right w:val="none" w:sz="0" w:space="0" w:color="auto"/>
      </w:divBdr>
    </w:div>
    <w:div w:id="1159728450">
      <w:bodyDiv w:val="1"/>
      <w:marLeft w:val="0"/>
      <w:marRight w:val="0"/>
      <w:marTop w:val="0"/>
      <w:marBottom w:val="0"/>
      <w:divBdr>
        <w:top w:val="none" w:sz="0" w:space="0" w:color="auto"/>
        <w:left w:val="none" w:sz="0" w:space="0" w:color="auto"/>
        <w:bottom w:val="none" w:sz="0" w:space="0" w:color="auto"/>
        <w:right w:val="none" w:sz="0" w:space="0" w:color="auto"/>
      </w:divBdr>
    </w:div>
    <w:div w:id="1176530966">
      <w:bodyDiv w:val="1"/>
      <w:marLeft w:val="0"/>
      <w:marRight w:val="0"/>
      <w:marTop w:val="0"/>
      <w:marBottom w:val="0"/>
      <w:divBdr>
        <w:top w:val="none" w:sz="0" w:space="0" w:color="auto"/>
        <w:left w:val="none" w:sz="0" w:space="0" w:color="auto"/>
        <w:bottom w:val="none" w:sz="0" w:space="0" w:color="auto"/>
        <w:right w:val="none" w:sz="0" w:space="0" w:color="auto"/>
      </w:divBdr>
    </w:div>
    <w:div w:id="1182470505">
      <w:bodyDiv w:val="1"/>
      <w:marLeft w:val="0"/>
      <w:marRight w:val="0"/>
      <w:marTop w:val="0"/>
      <w:marBottom w:val="0"/>
      <w:divBdr>
        <w:top w:val="none" w:sz="0" w:space="0" w:color="auto"/>
        <w:left w:val="none" w:sz="0" w:space="0" w:color="auto"/>
        <w:bottom w:val="none" w:sz="0" w:space="0" w:color="auto"/>
        <w:right w:val="none" w:sz="0" w:space="0" w:color="auto"/>
      </w:divBdr>
    </w:div>
    <w:div w:id="1200781915">
      <w:bodyDiv w:val="1"/>
      <w:marLeft w:val="0"/>
      <w:marRight w:val="0"/>
      <w:marTop w:val="0"/>
      <w:marBottom w:val="0"/>
      <w:divBdr>
        <w:top w:val="none" w:sz="0" w:space="0" w:color="auto"/>
        <w:left w:val="none" w:sz="0" w:space="0" w:color="auto"/>
        <w:bottom w:val="none" w:sz="0" w:space="0" w:color="auto"/>
        <w:right w:val="none" w:sz="0" w:space="0" w:color="auto"/>
      </w:divBdr>
    </w:div>
    <w:div w:id="1203713483">
      <w:bodyDiv w:val="1"/>
      <w:marLeft w:val="0"/>
      <w:marRight w:val="0"/>
      <w:marTop w:val="0"/>
      <w:marBottom w:val="0"/>
      <w:divBdr>
        <w:top w:val="none" w:sz="0" w:space="0" w:color="auto"/>
        <w:left w:val="none" w:sz="0" w:space="0" w:color="auto"/>
        <w:bottom w:val="none" w:sz="0" w:space="0" w:color="auto"/>
        <w:right w:val="none" w:sz="0" w:space="0" w:color="auto"/>
      </w:divBdr>
    </w:div>
    <w:div w:id="1252423933">
      <w:bodyDiv w:val="1"/>
      <w:marLeft w:val="0"/>
      <w:marRight w:val="0"/>
      <w:marTop w:val="0"/>
      <w:marBottom w:val="0"/>
      <w:divBdr>
        <w:top w:val="none" w:sz="0" w:space="0" w:color="auto"/>
        <w:left w:val="none" w:sz="0" w:space="0" w:color="auto"/>
        <w:bottom w:val="none" w:sz="0" w:space="0" w:color="auto"/>
        <w:right w:val="none" w:sz="0" w:space="0" w:color="auto"/>
      </w:divBdr>
    </w:div>
    <w:div w:id="1260408897">
      <w:bodyDiv w:val="1"/>
      <w:marLeft w:val="0"/>
      <w:marRight w:val="0"/>
      <w:marTop w:val="0"/>
      <w:marBottom w:val="0"/>
      <w:divBdr>
        <w:top w:val="none" w:sz="0" w:space="0" w:color="auto"/>
        <w:left w:val="none" w:sz="0" w:space="0" w:color="auto"/>
        <w:bottom w:val="none" w:sz="0" w:space="0" w:color="auto"/>
        <w:right w:val="none" w:sz="0" w:space="0" w:color="auto"/>
      </w:divBdr>
    </w:div>
    <w:div w:id="1260480235">
      <w:bodyDiv w:val="1"/>
      <w:marLeft w:val="0"/>
      <w:marRight w:val="0"/>
      <w:marTop w:val="0"/>
      <w:marBottom w:val="0"/>
      <w:divBdr>
        <w:top w:val="none" w:sz="0" w:space="0" w:color="auto"/>
        <w:left w:val="none" w:sz="0" w:space="0" w:color="auto"/>
        <w:bottom w:val="none" w:sz="0" w:space="0" w:color="auto"/>
        <w:right w:val="none" w:sz="0" w:space="0" w:color="auto"/>
      </w:divBdr>
    </w:div>
    <w:div w:id="1267078164">
      <w:bodyDiv w:val="1"/>
      <w:marLeft w:val="0"/>
      <w:marRight w:val="0"/>
      <w:marTop w:val="0"/>
      <w:marBottom w:val="0"/>
      <w:divBdr>
        <w:top w:val="none" w:sz="0" w:space="0" w:color="auto"/>
        <w:left w:val="none" w:sz="0" w:space="0" w:color="auto"/>
        <w:bottom w:val="none" w:sz="0" w:space="0" w:color="auto"/>
        <w:right w:val="none" w:sz="0" w:space="0" w:color="auto"/>
      </w:divBdr>
    </w:div>
    <w:div w:id="1291352773">
      <w:bodyDiv w:val="1"/>
      <w:marLeft w:val="0"/>
      <w:marRight w:val="0"/>
      <w:marTop w:val="0"/>
      <w:marBottom w:val="0"/>
      <w:divBdr>
        <w:top w:val="none" w:sz="0" w:space="0" w:color="auto"/>
        <w:left w:val="none" w:sz="0" w:space="0" w:color="auto"/>
        <w:bottom w:val="none" w:sz="0" w:space="0" w:color="auto"/>
        <w:right w:val="none" w:sz="0" w:space="0" w:color="auto"/>
      </w:divBdr>
    </w:div>
    <w:div w:id="1291672521">
      <w:bodyDiv w:val="1"/>
      <w:marLeft w:val="0"/>
      <w:marRight w:val="0"/>
      <w:marTop w:val="0"/>
      <w:marBottom w:val="0"/>
      <w:divBdr>
        <w:top w:val="none" w:sz="0" w:space="0" w:color="auto"/>
        <w:left w:val="none" w:sz="0" w:space="0" w:color="auto"/>
        <w:bottom w:val="none" w:sz="0" w:space="0" w:color="auto"/>
        <w:right w:val="none" w:sz="0" w:space="0" w:color="auto"/>
      </w:divBdr>
    </w:div>
    <w:div w:id="1349209877">
      <w:bodyDiv w:val="1"/>
      <w:marLeft w:val="0"/>
      <w:marRight w:val="0"/>
      <w:marTop w:val="0"/>
      <w:marBottom w:val="0"/>
      <w:divBdr>
        <w:top w:val="none" w:sz="0" w:space="0" w:color="auto"/>
        <w:left w:val="none" w:sz="0" w:space="0" w:color="auto"/>
        <w:bottom w:val="none" w:sz="0" w:space="0" w:color="auto"/>
        <w:right w:val="none" w:sz="0" w:space="0" w:color="auto"/>
      </w:divBdr>
    </w:div>
    <w:div w:id="1361860229">
      <w:bodyDiv w:val="1"/>
      <w:marLeft w:val="0"/>
      <w:marRight w:val="0"/>
      <w:marTop w:val="0"/>
      <w:marBottom w:val="0"/>
      <w:divBdr>
        <w:top w:val="none" w:sz="0" w:space="0" w:color="auto"/>
        <w:left w:val="none" w:sz="0" w:space="0" w:color="auto"/>
        <w:bottom w:val="none" w:sz="0" w:space="0" w:color="auto"/>
        <w:right w:val="none" w:sz="0" w:space="0" w:color="auto"/>
      </w:divBdr>
    </w:div>
    <w:div w:id="1364742458">
      <w:bodyDiv w:val="1"/>
      <w:marLeft w:val="0"/>
      <w:marRight w:val="0"/>
      <w:marTop w:val="0"/>
      <w:marBottom w:val="0"/>
      <w:divBdr>
        <w:top w:val="none" w:sz="0" w:space="0" w:color="auto"/>
        <w:left w:val="none" w:sz="0" w:space="0" w:color="auto"/>
        <w:bottom w:val="none" w:sz="0" w:space="0" w:color="auto"/>
        <w:right w:val="none" w:sz="0" w:space="0" w:color="auto"/>
      </w:divBdr>
    </w:div>
    <w:div w:id="1373923301">
      <w:bodyDiv w:val="1"/>
      <w:marLeft w:val="0"/>
      <w:marRight w:val="0"/>
      <w:marTop w:val="0"/>
      <w:marBottom w:val="0"/>
      <w:divBdr>
        <w:top w:val="none" w:sz="0" w:space="0" w:color="auto"/>
        <w:left w:val="none" w:sz="0" w:space="0" w:color="auto"/>
        <w:bottom w:val="none" w:sz="0" w:space="0" w:color="auto"/>
        <w:right w:val="none" w:sz="0" w:space="0" w:color="auto"/>
      </w:divBdr>
    </w:div>
    <w:div w:id="1409496315">
      <w:bodyDiv w:val="1"/>
      <w:marLeft w:val="0"/>
      <w:marRight w:val="0"/>
      <w:marTop w:val="0"/>
      <w:marBottom w:val="0"/>
      <w:divBdr>
        <w:top w:val="none" w:sz="0" w:space="0" w:color="auto"/>
        <w:left w:val="none" w:sz="0" w:space="0" w:color="auto"/>
        <w:bottom w:val="none" w:sz="0" w:space="0" w:color="auto"/>
        <w:right w:val="none" w:sz="0" w:space="0" w:color="auto"/>
      </w:divBdr>
    </w:div>
    <w:div w:id="1421675710">
      <w:bodyDiv w:val="1"/>
      <w:marLeft w:val="0"/>
      <w:marRight w:val="0"/>
      <w:marTop w:val="0"/>
      <w:marBottom w:val="0"/>
      <w:divBdr>
        <w:top w:val="none" w:sz="0" w:space="0" w:color="auto"/>
        <w:left w:val="none" w:sz="0" w:space="0" w:color="auto"/>
        <w:bottom w:val="none" w:sz="0" w:space="0" w:color="auto"/>
        <w:right w:val="none" w:sz="0" w:space="0" w:color="auto"/>
      </w:divBdr>
    </w:div>
    <w:div w:id="1424573880">
      <w:bodyDiv w:val="1"/>
      <w:marLeft w:val="0"/>
      <w:marRight w:val="0"/>
      <w:marTop w:val="0"/>
      <w:marBottom w:val="0"/>
      <w:divBdr>
        <w:top w:val="none" w:sz="0" w:space="0" w:color="auto"/>
        <w:left w:val="none" w:sz="0" w:space="0" w:color="auto"/>
        <w:bottom w:val="none" w:sz="0" w:space="0" w:color="auto"/>
        <w:right w:val="none" w:sz="0" w:space="0" w:color="auto"/>
      </w:divBdr>
    </w:div>
    <w:div w:id="1462266768">
      <w:bodyDiv w:val="1"/>
      <w:marLeft w:val="0"/>
      <w:marRight w:val="0"/>
      <w:marTop w:val="0"/>
      <w:marBottom w:val="0"/>
      <w:divBdr>
        <w:top w:val="none" w:sz="0" w:space="0" w:color="auto"/>
        <w:left w:val="none" w:sz="0" w:space="0" w:color="auto"/>
        <w:bottom w:val="none" w:sz="0" w:space="0" w:color="auto"/>
        <w:right w:val="none" w:sz="0" w:space="0" w:color="auto"/>
      </w:divBdr>
    </w:div>
    <w:div w:id="1472870844">
      <w:bodyDiv w:val="1"/>
      <w:marLeft w:val="0"/>
      <w:marRight w:val="0"/>
      <w:marTop w:val="0"/>
      <w:marBottom w:val="0"/>
      <w:divBdr>
        <w:top w:val="none" w:sz="0" w:space="0" w:color="auto"/>
        <w:left w:val="none" w:sz="0" w:space="0" w:color="auto"/>
        <w:bottom w:val="none" w:sz="0" w:space="0" w:color="auto"/>
        <w:right w:val="none" w:sz="0" w:space="0" w:color="auto"/>
      </w:divBdr>
    </w:div>
    <w:div w:id="1482582359">
      <w:bodyDiv w:val="1"/>
      <w:marLeft w:val="0"/>
      <w:marRight w:val="0"/>
      <w:marTop w:val="0"/>
      <w:marBottom w:val="0"/>
      <w:divBdr>
        <w:top w:val="none" w:sz="0" w:space="0" w:color="auto"/>
        <w:left w:val="none" w:sz="0" w:space="0" w:color="auto"/>
        <w:bottom w:val="none" w:sz="0" w:space="0" w:color="auto"/>
        <w:right w:val="none" w:sz="0" w:space="0" w:color="auto"/>
      </w:divBdr>
    </w:div>
    <w:div w:id="1490096634">
      <w:bodyDiv w:val="1"/>
      <w:marLeft w:val="0"/>
      <w:marRight w:val="0"/>
      <w:marTop w:val="0"/>
      <w:marBottom w:val="0"/>
      <w:divBdr>
        <w:top w:val="none" w:sz="0" w:space="0" w:color="auto"/>
        <w:left w:val="none" w:sz="0" w:space="0" w:color="auto"/>
        <w:bottom w:val="none" w:sz="0" w:space="0" w:color="auto"/>
        <w:right w:val="none" w:sz="0" w:space="0" w:color="auto"/>
      </w:divBdr>
    </w:div>
    <w:div w:id="1491943073">
      <w:bodyDiv w:val="1"/>
      <w:marLeft w:val="0"/>
      <w:marRight w:val="0"/>
      <w:marTop w:val="0"/>
      <w:marBottom w:val="0"/>
      <w:divBdr>
        <w:top w:val="none" w:sz="0" w:space="0" w:color="auto"/>
        <w:left w:val="none" w:sz="0" w:space="0" w:color="auto"/>
        <w:bottom w:val="none" w:sz="0" w:space="0" w:color="auto"/>
        <w:right w:val="none" w:sz="0" w:space="0" w:color="auto"/>
      </w:divBdr>
    </w:div>
    <w:div w:id="1495489186">
      <w:bodyDiv w:val="1"/>
      <w:marLeft w:val="0"/>
      <w:marRight w:val="0"/>
      <w:marTop w:val="0"/>
      <w:marBottom w:val="0"/>
      <w:divBdr>
        <w:top w:val="none" w:sz="0" w:space="0" w:color="auto"/>
        <w:left w:val="none" w:sz="0" w:space="0" w:color="auto"/>
        <w:bottom w:val="none" w:sz="0" w:space="0" w:color="auto"/>
        <w:right w:val="none" w:sz="0" w:space="0" w:color="auto"/>
      </w:divBdr>
    </w:div>
    <w:div w:id="1508137009">
      <w:bodyDiv w:val="1"/>
      <w:marLeft w:val="0"/>
      <w:marRight w:val="0"/>
      <w:marTop w:val="0"/>
      <w:marBottom w:val="0"/>
      <w:divBdr>
        <w:top w:val="none" w:sz="0" w:space="0" w:color="auto"/>
        <w:left w:val="none" w:sz="0" w:space="0" w:color="auto"/>
        <w:bottom w:val="none" w:sz="0" w:space="0" w:color="auto"/>
        <w:right w:val="none" w:sz="0" w:space="0" w:color="auto"/>
      </w:divBdr>
    </w:div>
    <w:div w:id="1522089263">
      <w:bodyDiv w:val="1"/>
      <w:marLeft w:val="0"/>
      <w:marRight w:val="0"/>
      <w:marTop w:val="0"/>
      <w:marBottom w:val="0"/>
      <w:divBdr>
        <w:top w:val="none" w:sz="0" w:space="0" w:color="auto"/>
        <w:left w:val="none" w:sz="0" w:space="0" w:color="auto"/>
        <w:bottom w:val="none" w:sz="0" w:space="0" w:color="auto"/>
        <w:right w:val="none" w:sz="0" w:space="0" w:color="auto"/>
      </w:divBdr>
    </w:div>
    <w:div w:id="1534461743">
      <w:bodyDiv w:val="1"/>
      <w:marLeft w:val="0"/>
      <w:marRight w:val="0"/>
      <w:marTop w:val="0"/>
      <w:marBottom w:val="0"/>
      <w:divBdr>
        <w:top w:val="none" w:sz="0" w:space="0" w:color="auto"/>
        <w:left w:val="none" w:sz="0" w:space="0" w:color="auto"/>
        <w:bottom w:val="none" w:sz="0" w:space="0" w:color="auto"/>
        <w:right w:val="none" w:sz="0" w:space="0" w:color="auto"/>
      </w:divBdr>
    </w:div>
    <w:div w:id="1548100440">
      <w:bodyDiv w:val="1"/>
      <w:marLeft w:val="0"/>
      <w:marRight w:val="0"/>
      <w:marTop w:val="0"/>
      <w:marBottom w:val="0"/>
      <w:divBdr>
        <w:top w:val="none" w:sz="0" w:space="0" w:color="auto"/>
        <w:left w:val="none" w:sz="0" w:space="0" w:color="auto"/>
        <w:bottom w:val="none" w:sz="0" w:space="0" w:color="auto"/>
        <w:right w:val="none" w:sz="0" w:space="0" w:color="auto"/>
      </w:divBdr>
    </w:div>
    <w:div w:id="1550069344">
      <w:bodyDiv w:val="1"/>
      <w:marLeft w:val="0"/>
      <w:marRight w:val="0"/>
      <w:marTop w:val="0"/>
      <w:marBottom w:val="0"/>
      <w:divBdr>
        <w:top w:val="none" w:sz="0" w:space="0" w:color="auto"/>
        <w:left w:val="none" w:sz="0" w:space="0" w:color="auto"/>
        <w:bottom w:val="none" w:sz="0" w:space="0" w:color="auto"/>
        <w:right w:val="none" w:sz="0" w:space="0" w:color="auto"/>
      </w:divBdr>
    </w:div>
    <w:div w:id="1564175165">
      <w:bodyDiv w:val="1"/>
      <w:marLeft w:val="0"/>
      <w:marRight w:val="0"/>
      <w:marTop w:val="0"/>
      <w:marBottom w:val="0"/>
      <w:divBdr>
        <w:top w:val="none" w:sz="0" w:space="0" w:color="auto"/>
        <w:left w:val="none" w:sz="0" w:space="0" w:color="auto"/>
        <w:bottom w:val="none" w:sz="0" w:space="0" w:color="auto"/>
        <w:right w:val="none" w:sz="0" w:space="0" w:color="auto"/>
      </w:divBdr>
    </w:div>
    <w:div w:id="1584073525">
      <w:bodyDiv w:val="1"/>
      <w:marLeft w:val="0"/>
      <w:marRight w:val="0"/>
      <w:marTop w:val="0"/>
      <w:marBottom w:val="0"/>
      <w:divBdr>
        <w:top w:val="none" w:sz="0" w:space="0" w:color="auto"/>
        <w:left w:val="none" w:sz="0" w:space="0" w:color="auto"/>
        <w:bottom w:val="none" w:sz="0" w:space="0" w:color="auto"/>
        <w:right w:val="none" w:sz="0" w:space="0" w:color="auto"/>
      </w:divBdr>
    </w:div>
    <w:div w:id="1585456509">
      <w:bodyDiv w:val="1"/>
      <w:marLeft w:val="0"/>
      <w:marRight w:val="0"/>
      <w:marTop w:val="0"/>
      <w:marBottom w:val="0"/>
      <w:divBdr>
        <w:top w:val="none" w:sz="0" w:space="0" w:color="auto"/>
        <w:left w:val="none" w:sz="0" w:space="0" w:color="auto"/>
        <w:bottom w:val="none" w:sz="0" w:space="0" w:color="auto"/>
        <w:right w:val="none" w:sz="0" w:space="0" w:color="auto"/>
      </w:divBdr>
    </w:div>
    <w:div w:id="1602639896">
      <w:bodyDiv w:val="1"/>
      <w:marLeft w:val="0"/>
      <w:marRight w:val="0"/>
      <w:marTop w:val="0"/>
      <w:marBottom w:val="0"/>
      <w:divBdr>
        <w:top w:val="none" w:sz="0" w:space="0" w:color="auto"/>
        <w:left w:val="none" w:sz="0" w:space="0" w:color="auto"/>
        <w:bottom w:val="none" w:sz="0" w:space="0" w:color="auto"/>
        <w:right w:val="none" w:sz="0" w:space="0" w:color="auto"/>
      </w:divBdr>
    </w:div>
    <w:div w:id="1618104127">
      <w:bodyDiv w:val="1"/>
      <w:marLeft w:val="0"/>
      <w:marRight w:val="0"/>
      <w:marTop w:val="0"/>
      <w:marBottom w:val="0"/>
      <w:divBdr>
        <w:top w:val="none" w:sz="0" w:space="0" w:color="auto"/>
        <w:left w:val="none" w:sz="0" w:space="0" w:color="auto"/>
        <w:bottom w:val="none" w:sz="0" w:space="0" w:color="auto"/>
        <w:right w:val="none" w:sz="0" w:space="0" w:color="auto"/>
      </w:divBdr>
    </w:div>
    <w:div w:id="1624459883">
      <w:bodyDiv w:val="1"/>
      <w:marLeft w:val="0"/>
      <w:marRight w:val="0"/>
      <w:marTop w:val="0"/>
      <w:marBottom w:val="0"/>
      <w:divBdr>
        <w:top w:val="none" w:sz="0" w:space="0" w:color="auto"/>
        <w:left w:val="none" w:sz="0" w:space="0" w:color="auto"/>
        <w:bottom w:val="none" w:sz="0" w:space="0" w:color="auto"/>
        <w:right w:val="none" w:sz="0" w:space="0" w:color="auto"/>
      </w:divBdr>
    </w:div>
    <w:div w:id="1645308379">
      <w:bodyDiv w:val="1"/>
      <w:marLeft w:val="0"/>
      <w:marRight w:val="0"/>
      <w:marTop w:val="0"/>
      <w:marBottom w:val="0"/>
      <w:divBdr>
        <w:top w:val="none" w:sz="0" w:space="0" w:color="auto"/>
        <w:left w:val="none" w:sz="0" w:space="0" w:color="auto"/>
        <w:bottom w:val="none" w:sz="0" w:space="0" w:color="auto"/>
        <w:right w:val="none" w:sz="0" w:space="0" w:color="auto"/>
      </w:divBdr>
    </w:div>
    <w:div w:id="1657411835">
      <w:bodyDiv w:val="1"/>
      <w:marLeft w:val="0"/>
      <w:marRight w:val="0"/>
      <w:marTop w:val="0"/>
      <w:marBottom w:val="0"/>
      <w:divBdr>
        <w:top w:val="none" w:sz="0" w:space="0" w:color="auto"/>
        <w:left w:val="none" w:sz="0" w:space="0" w:color="auto"/>
        <w:bottom w:val="none" w:sz="0" w:space="0" w:color="auto"/>
        <w:right w:val="none" w:sz="0" w:space="0" w:color="auto"/>
      </w:divBdr>
    </w:div>
    <w:div w:id="1666007566">
      <w:bodyDiv w:val="1"/>
      <w:marLeft w:val="0"/>
      <w:marRight w:val="0"/>
      <w:marTop w:val="0"/>
      <w:marBottom w:val="0"/>
      <w:divBdr>
        <w:top w:val="none" w:sz="0" w:space="0" w:color="auto"/>
        <w:left w:val="none" w:sz="0" w:space="0" w:color="auto"/>
        <w:bottom w:val="none" w:sz="0" w:space="0" w:color="auto"/>
        <w:right w:val="none" w:sz="0" w:space="0" w:color="auto"/>
      </w:divBdr>
    </w:div>
    <w:div w:id="1666739616">
      <w:bodyDiv w:val="1"/>
      <w:marLeft w:val="0"/>
      <w:marRight w:val="0"/>
      <w:marTop w:val="0"/>
      <w:marBottom w:val="0"/>
      <w:divBdr>
        <w:top w:val="none" w:sz="0" w:space="0" w:color="auto"/>
        <w:left w:val="none" w:sz="0" w:space="0" w:color="auto"/>
        <w:bottom w:val="none" w:sz="0" w:space="0" w:color="auto"/>
        <w:right w:val="none" w:sz="0" w:space="0" w:color="auto"/>
      </w:divBdr>
    </w:div>
    <w:div w:id="1669013248">
      <w:bodyDiv w:val="1"/>
      <w:marLeft w:val="0"/>
      <w:marRight w:val="0"/>
      <w:marTop w:val="0"/>
      <w:marBottom w:val="0"/>
      <w:divBdr>
        <w:top w:val="none" w:sz="0" w:space="0" w:color="auto"/>
        <w:left w:val="none" w:sz="0" w:space="0" w:color="auto"/>
        <w:bottom w:val="none" w:sz="0" w:space="0" w:color="auto"/>
        <w:right w:val="none" w:sz="0" w:space="0" w:color="auto"/>
      </w:divBdr>
    </w:div>
    <w:div w:id="1697343952">
      <w:bodyDiv w:val="1"/>
      <w:marLeft w:val="0"/>
      <w:marRight w:val="0"/>
      <w:marTop w:val="0"/>
      <w:marBottom w:val="0"/>
      <w:divBdr>
        <w:top w:val="none" w:sz="0" w:space="0" w:color="auto"/>
        <w:left w:val="none" w:sz="0" w:space="0" w:color="auto"/>
        <w:bottom w:val="none" w:sz="0" w:space="0" w:color="auto"/>
        <w:right w:val="none" w:sz="0" w:space="0" w:color="auto"/>
      </w:divBdr>
    </w:div>
    <w:div w:id="1707176637">
      <w:bodyDiv w:val="1"/>
      <w:marLeft w:val="0"/>
      <w:marRight w:val="0"/>
      <w:marTop w:val="0"/>
      <w:marBottom w:val="0"/>
      <w:divBdr>
        <w:top w:val="none" w:sz="0" w:space="0" w:color="auto"/>
        <w:left w:val="none" w:sz="0" w:space="0" w:color="auto"/>
        <w:bottom w:val="none" w:sz="0" w:space="0" w:color="auto"/>
        <w:right w:val="none" w:sz="0" w:space="0" w:color="auto"/>
      </w:divBdr>
    </w:div>
    <w:div w:id="1719930922">
      <w:bodyDiv w:val="1"/>
      <w:marLeft w:val="0"/>
      <w:marRight w:val="0"/>
      <w:marTop w:val="0"/>
      <w:marBottom w:val="0"/>
      <w:divBdr>
        <w:top w:val="none" w:sz="0" w:space="0" w:color="auto"/>
        <w:left w:val="none" w:sz="0" w:space="0" w:color="auto"/>
        <w:bottom w:val="none" w:sz="0" w:space="0" w:color="auto"/>
        <w:right w:val="none" w:sz="0" w:space="0" w:color="auto"/>
      </w:divBdr>
    </w:div>
    <w:div w:id="1732846351">
      <w:bodyDiv w:val="1"/>
      <w:marLeft w:val="0"/>
      <w:marRight w:val="0"/>
      <w:marTop w:val="0"/>
      <w:marBottom w:val="0"/>
      <w:divBdr>
        <w:top w:val="none" w:sz="0" w:space="0" w:color="auto"/>
        <w:left w:val="none" w:sz="0" w:space="0" w:color="auto"/>
        <w:bottom w:val="none" w:sz="0" w:space="0" w:color="auto"/>
        <w:right w:val="none" w:sz="0" w:space="0" w:color="auto"/>
      </w:divBdr>
    </w:div>
    <w:div w:id="1733695469">
      <w:bodyDiv w:val="1"/>
      <w:marLeft w:val="0"/>
      <w:marRight w:val="0"/>
      <w:marTop w:val="0"/>
      <w:marBottom w:val="0"/>
      <w:divBdr>
        <w:top w:val="none" w:sz="0" w:space="0" w:color="auto"/>
        <w:left w:val="none" w:sz="0" w:space="0" w:color="auto"/>
        <w:bottom w:val="none" w:sz="0" w:space="0" w:color="auto"/>
        <w:right w:val="none" w:sz="0" w:space="0" w:color="auto"/>
      </w:divBdr>
    </w:div>
    <w:div w:id="1745104633">
      <w:bodyDiv w:val="1"/>
      <w:marLeft w:val="0"/>
      <w:marRight w:val="0"/>
      <w:marTop w:val="0"/>
      <w:marBottom w:val="0"/>
      <w:divBdr>
        <w:top w:val="none" w:sz="0" w:space="0" w:color="auto"/>
        <w:left w:val="none" w:sz="0" w:space="0" w:color="auto"/>
        <w:bottom w:val="none" w:sz="0" w:space="0" w:color="auto"/>
        <w:right w:val="none" w:sz="0" w:space="0" w:color="auto"/>
      </w:divBdr>
    </w:div>
    <w:div w:id="1774859002">
      <w:bodyDiv w:val="1"/>
      <w:marLeft w:val="0"/>
      <w:marRight w:val="0"/>
      <w:marTop w:val="0"/>
      <w:marBottom w:val="0"/>
      <w:divBdr>
        <w:top w:val="none" w:sz="0" w:space="0" w:color="auto"/>
        <w:left w:val="none" w:sz="0" w:space="0" w:color="auto"/>
        <w:bottom w:val="none" w:sz="0" w:space="0" w:color="auto"/>
        <w:right w:val="none" w:sz="0" w:space="0" w:color="auto"/>
      </w:divBdr>
    </w:div>
    <w:div w:id="1809319156">
      <w:bodyDiv w:val="1"/>
      <w:marLeft w:val="0"/>
      <w:marRight w:val="0"/>
      <w:marTop w:val="0"/>
      <w:marBottom w:val="0"/>
      <w:divBdr>
        <w:top w:val="none" w:sz="0" w:space="0" w:color="auto"/>
        <w:left w:val="none" w:sz="0" w:space="0" w:color="auto"/>
        <w:bottom w:val="none" w:sz="0" w:space="0" w:color="auto"/>
        <w:right w:val="none" w:sz="0" w:space="0" w:color="auto"/>
      </w:divBdr>
    </w:div>
    <w:div w:id="1809784757">
      <w:bodyDiv w:val="1"/>
      <w:marLeft w:val="0"/>
      <w:marRight w:val="0"/>
      <w:marTop w:val="0"/>
      <w:marBottom w:val="0"/>
      <w:divBdr>
        <w:top w:val="none" w:sz="0" w:space="0" w:color="auto"/>
        <w:left w:val="none" w:sz="0" w:space="0" w:color="auto"/>
        <w:bottom w:val="none" w:sz="0" w:space="0" w:color="auto"/>
        <w:right w:val="none" w:sz="0" w:space="0" w:color="auto"/>
      </w:divBdr>
    </w:div>
    <w:div w:id="1815639632">
      <w:bodyDiv w:val="1"/>
      <w:marLeft w:val="0"/>
      <w:marRight w:val="0"/>
      <w:marTop w:val="0"/>
      <w:marBottom w:val="0"/>
      <w:divBdr>
        <w:top w:val="none" w:sz="0" w:space="0" w:color="auto"/>
        <w:left w:val="none" w:sz="0" w:space="0" w:color="auto"/>
        <w:bottom w:val="none" w:sz="0" w:space="0" w:color="auto"/>
        <w:right w:val="none" w:sz="0" w:space="0" w:color="auto"/>
      </w:divBdr>
    </w:div>
    <w:div w:id="1849249102">
      <w:bodyDiv w:val="1"/>
      <w:marLeft w:val="0"/>
      <w:marRight w:val="0"/>
      <w:marTop w:val="0"/>
      <w:marBottom w:val="0"/>
      <w:divBdr>
        <w:top w:val="none" w:sz="0" w:space="0" w:color="auto"/>
        <w:left w:val="none" w:sz="0" w:space="0" w:color="auto"/>
        <w:bottom w:val="none" w:sz="0" w:space="0" w:color="auto"/>
        <w:right w:val="none" w:sz="0" w:space="0" w:color="auto"/>
      </w:divBdr>
    </w:div>
    <w:div w:id="1857452376">
      <w:bodyDiv w:val="1"/>
      <w:marLeft w:val="0"/>
      <w:marRight w:val="0"/>
      <w:marTop w:val="0"/>
      <w:marBottom w:val="0"/>
      <w:divBdr>
        <w:top w:val="none" w:sz="0" w:space="0" w:color="auto"/>
        <w:left w:val="none" w:sz="0" w:space="0" w:color="auto"/>
        <w:bottom w:val="none" w:sz="0" w:space="0" w:color="auto"/>
        <w:right w:val="none" w:sz="0" w:space="0" w:color="auto"/>
      </w:divBdr>
    </w:div>
    <w:div w:id="1859654360">
      <w:bodyDiv w:val="1"/>
      <w:marLeft w:val="0"/>
      <w:marRight w:val="0"/>
      <w:marTop w:val="0"/>
      <w:marBottom w:val="0"/>
      <w:divBdr>
        <w:top w:val="none" w:sz="0" w:space="0" w:color="auto"/>
        <w:left w:val="none" w:sz="0" w:space="0" w:color="auto"/>
        <w:bottom w:val="none" w:sz="0" w:space="0" w:color="auto"/>
        <w:right w:val="none" w:sz="0" w:space="0" w:color="auto"/>
      </w:divBdr>
    </w:div>
    <w:div w:id="1859730029">
      <w:bodyDiv w:val="1"/>
      <w:marLeft w:val="0"/>
      <w:marRight w:val="0"/>
      <w:marTop w:val="0"/>
      <w:marBottom w:val="0"/>
      <w:divBdr>
        <w:top w:val="none" w:sz="0" w:space="0" w:color="auto"/>
        <w:left w:val="none" w:sz="0" w:space="0" w:color="auto"/>
        <w:bottom w:val="none" w:sz="0" w:space="0" w:color="auto"/>
        <w:right w:val="none" w:sz="0" w:space="0" w:color="auto"/>
      </w:divBdr>
    </w:div>
    <w:div w:id="1882209996">
      <w:bodyDiv w:val="1"/>
      <w:marLeft w:val="0"/>
      <w:marRight w:val="0"/>
      <w:marTop w:val="0"/>
      <w:marBottom w:val="0"/>
      <w:divBdr>
        <w:top w:val="none" w:sz="0" w:space="0" w:color="auto"/>
        <w:left w:val="none" w:sz="0" w:space="0" w:color="auto"/>
        <w:bottom w:val="none" w:sz="0" w:space="0" w:color="auto"/>
        <w:right w:val="none" w:sz="0" w:space="0" w:color="auto"/>
      </w:divBdr>
    </w:div>
    <w:div w:id="1891190743">
      <w:bodyDiv w:val="1"/>
      <w:marLeft w:val="0"/>
      <w:marRight w:val="0"/>
      <w:marTop w:val="0"/>
      <w:marBottom w:val="0"/>
      <w:divBdr>
        <w:top w:val="none" w:sz="0" w:space="0" w:color="auto"/>
        <w:left w:val="none" w:sz="0" w:space="0" w:color="auto"/>
        <w:bottom w:val="none" w:sz="0" w:space="0" w:color="auto"/>
        <w:right w:val="none" w:sz="0" w:space="0" w:color="auto"/>
      </w:divBdr>
    </w:div>
    <w:div w:id="1908682821">
      <w:bodyDiv w:val="1"/>
      <w:marLeft w:val="0"/>
      <w:marRight w:val="0"/>
      <w:marTop w:val="0"/>
      <w:marBottom w:val="0"/>
      <w:divBdr>
        <w:top w:val="none" w:sz="0" w:space="0" w:color="auto"/>
        <w:left w:val="none" w:sz="0" w:space="0" w:color="auto"/>
        <w:bottom w:val="none" w:sz="0" w:space="0" w:color="auto"/>
        <w:right w:val="none" w:sz="0" w:space="0" w:color="auto"/>
      </w:divBdr>
    </w:div>
    <w:div w:id="1913542611">
      <w:bodyDiv w:val="1"/>
      <w:marLeft w:val="0"/>
      <w:marRight w:val="0"/>
      <w:marTop w:val="0"/>
      <w:marBottom w:val="0"/>
      <w:divBdr>
        <w:top w:val="none" w:sz="0" w:space="0" w:color="auto"/>
        <w:left w:val="none" w:sz="0" w:space="0" w:color="auto"/>
        <w:bottom w:val="none" w:sz="0" w:space="0" w:color="auto"/>
        <w:right w:val="none" w:sz="0" w:space="0" w:color="auto"/>
      </w:divBdr>
    </w:div>
    <w:div w:id="1921019242">
      <w:bodyDiv w:val="1"/>
      <w:marLeft w:val="0"/>
      <w:marRight w:val="0"/>
      <w:marTop w:val="0"/>
      <w:marBottom w:val="0"/>
      <w:divBdr>
        <w:top w:val="none" w:sz="0" w:space="0" w:color="auto"/>
        <w:left w:val="none" w:sz="0" w:space="0" w:color="auto"/>
        <w:bottom w:val="none" w:sz="0" w:space="0" w:color="auto"/>
        <w:right w:val="none" w:sz="0" w:space="0" w:color="auto"/>
      </w:divBdr>
    </w:div>
    <w:div w:id="1923441917">
      <w:bodyDiv w:val="1"/>
      <w:marLeft w:val="0"/>
      <w:marRight w:val="0"/>
      <w:marTop w:val="0"/>
      <w:marBottom w:val="0"/>
      <w:divBdr>
        <w:top w:val="none" w:sz="0" w:space="0" w:color="auto"/>
        <w:left w:val="none" w:sz="0" w:space="0" w:color="auto"/>
        <w:bottom w:val="none" w:sz="0" w:space="0" w:color="auto"/>
        <w:right w:val="none" w:sz="0" w:space="0" w:color="auto"/>
      </w:divBdr>
    </w:div>
    <w:div w:id="1924021465">
      <w:bodyDiv w:val="1"/>
      <w:marLeft w:val="0"/>
      <w:marRight w:val="0"/>
      <w:marTop w:val="0"/>
      <w:marBottom w:val="0"/>
      <w:divBdr>
        <w:top w:val="none" w:sz="0" w:space="0" w:color="auto"/>
        <w:left w:val="none" w:sz="0" w:space="0" w:color="auto"/>
        <w:bottom w:val="none" w:sz="0" w:space="0" w:color="auto"/>
        <w:right w:val="none" w:sz="0" w:space="0" w:color="auto"/>
      </w:divBdr>
    </w:div>
    <w:div w:id="1933934088">
      <w:bodyDiv w:val="1"/>
      <w:marLeft w:val="0"/>
      <w:marRight w:val="0"/>
      <w:marTop w:val="0"/>
      <w:marBottom w:val="0"/>
      <w:divBdr>
        <w:top w:val="none" w:sz="0" w:space="0" w:color="auto"/>
        <w:left w:val="none" w:sz="0" w:space="0" w:color="auto"/>
        <w:bottom w:val="none" w:sz="0" w:space="0" w:color="auto"/>
        <w:right w:val="none" w:sz="0" w:space="0" w:color="auto"/>
      </w:divBdr>
    </w:div>
    <w:div w:id="1963999107">
      <w:bodyDiv w:val="1"/>
      <w:marLeft w:val="0"/>
      <w:marRight w:val="0"/>
      <w:marTop w:val="0"/>
      <w:marBottom w:val="0"/>
      <w:divBdr>
        <w:top w:val="none" w:sz="0" w:space="0" w:color="auto"/>
        <w:left w:val="none" w:sz="0" w:space="0" w:color="auto"/>
        <w:bottom w:val="none" w:sz="0" w:space="0" w:color="auto"/>
        <w:right w:val="none" w:sz="0" w:space="0" w:color="auto"/>
      </w:divBdr>
    </w:div>
    <w:div w:id="1968003883">
      <w:bodyDiv w:val="1"/>
      <w:marLeft w:val="0"/>
      <w:marRight w:val="0"/>
      <w:marTop w:val="0"/>
      <w:marBottom w:val="0"/>
      <w:divBdr>
        <w:top w:val="none" w:sz="0" w:space="0" w:color="auto"/>
        <w:left w:val="none" w:sz="0" w:space="0" w:color="auto"/>
        <w:bottom w:val="none" w:sz="0" w:space="0" w:color="auto"/>
        <w:right w:val="none" w:sz="0" w:space="0" w:color="auto"/>
      </w:divBdr>
      <w:divsChild>
        <w:div w:id="556669068">
          <w:marLeft w:val="0"/>
          <w:marRight w:val="0"/>
          <w:marTop w:val="0"/>
          <w:marBottom w:val="0"/>
          <w:divBdr>
            <w:top w:val="none" w:sz="0" w:space="0" w:color="auto"/>
            <w:left w:val="none" w:sz="0" w:space="0" w:color="auto"/>
            <w:bottom w:val="none" w:sz="0" w:space="0" w:color="auto"/>
            <w:right w:val="none" w:sz="0" w:space="0" w:color="auto"/>
          </w:divBdr>
        </w:div>
        <w:div w:id="1110663250">
          <w:marLeft w:val="0"/>
          <w:marRight w:val="0"/>
          <w:marTop w:val="0"/>
          <w:marBottom w:val="0"/>
          <w:divBdr>
            <w:top w:val="none" w:sz="0" w:space="0" w:color="auto"/>
            <w:left w:val="none" w:sz="0" w:space="0" w:color="auto"/>
            <w:bottom w:val="none" w:sz="0" w:space="0" w:color="auto"/>
            <w:right w:val="none" w:sz="0" w:space="0" w:color="auto"/>
          </w:divBdr>
        </w:div>
        <w:div w:id="1414740519">
          <w:marLeft w:val="0"/>
          <w:marRight w:val="0"/>
          <w:marTop w:val="0"/>
          <w:marBottom w:val="0"/>
          <w:divBdr>
            <w:top w:val="none" w:sz="0" w:space="0" w:color="auto"/>
            <w:left w:val="none" w:sz="0" w:space="0" w:color="auto"/>
            <w:bottom w:val="none" w:sz="0" w:space="0" w:color="auto"/>
            <w:right w:val="none" w:sz="0" w:space="0" w:color="auto"/>
          </w:divBdr>
        </w:div>
      </w:divsChild>
    </w:div>
    <w:div w:id="1973486301">
      <w:bodyDiv w:val="1"/>
      <w:marLeft w:val="0"/>
      <w:marRight w:val="0"/>
      <w:marTop w:val="0"/>
      <w:marBottom w:val="0"/>
      <w:divBdr>
        <w:top w:val="none" w:sz="0" w:space="0" w:color="auto"/>
        <w:left w:val="none" w:sz="0" w:space="0" w:color="auto"/>
        <w:bottom w:val="none" w:sz="0" w:space="0" w:color="auto"/>
        <w:right w:val="none" w:sz="0" w:space="0" w:color="auto"/>
      </w:divBdr>
    </w:div>
    <w:div w:id="1974019999">
      <w:bodyDiv w:val="1"/>
      <w:marLeft w:val="0"/>
      <w:marRight w:val="0"/>
      <w:marTop w:val="0"/>
      <w:marBottom w:val="0"/>
      <w:divBdr>
        <w:top w:val="none" w:sz="0" w:space="0" w:color="auto"/>
        <w:left w:val="none" w:sz="0" w:space="0" w:color="auto"/>
        <w:bottom w:val="none" w:sz="0" w:space="0" w:color="auto"/>
        <w:right w:val="none" w:sz="0" w:space="0" w:color="auto"/>
      </w:divBdr>
    </w:div>
    <w:div w:id="1983653218">
      <w:bodyDiv w:val="1"/>
      <w:marLeft w:val="0"/>
      <w:marRight w:val="0"/>
      <w:marTop w:val="0"/>
      <w:marBottom w:val="0"/>
      <w:divBdr>
        <w:top w:val="none" w:sz="0" w:space="0" w:color="auto"/>
        <w:left w:val="none" w:sz="0" w:space="0" w:color="auto"/>
        <w:bottom w:val="none" w:sz="0" w:space="0" w:color="auto"/>
        <w:right w:val="none" w:sz="0" w:space="0" w:color="auto"/>
      </w:divBdr>
    </w:div>
    <w:div w:id="1992559617">
      <w:bodyDiv w:val="1"/>
      <w:marLeft w:val="0"/>
      <w:marRight w:val="0"/>
      <w:marTop w:val="0"/>
      <w:marBottom w:val="0"/>
      <w:divBdr>
        <w:top w:val="none" w:sz="0" w:space="0" w:color="auto"/>
        <w:left w:val="none" w:sz="0" w:space="0" w:color="auto"/>
        <w:bottom w:val="none" w:sz="0" w:space="0" w:color="auto"/>
        <w:right w:val="none" w:sz="0" w:space="0" w:color="auto"/>
      </w:divBdr>
    </w:div>
    <w:div w:id="1992753872">
      <w:bodyDiv w:val="1"/>
      <w:marLeft w:val="0"/>
      <w:marRight w:val="0"/>
      <w:marTop w:val="0"/>
      <w:marBottom w:val="0"/>
      <w:divBdr>
        <w:top w:val="none" w:sz="0" w:space="0" w:color="auto"/>
        <w:left w:val="none" w:sz="0" w:space="0" w:color="auto"/>
        <w:bottom w:val="none" w:sz="0" w:space="0" w:color="auto"/>
        <w:right w:val="none" w:sz="0" w:space="0" w:color="auto"/>
      </w:divBdr>
    </w:div>
    <w:div w:id="1994916406">
      <w:bodyDiv w:val="1"/>
      <w:marLeft w:val="0"/>
      <w:marRight w:val="0"/>
      <w:marTop w:val="0"/>
      <w:marBottom w:val="0"/>
      <w:divBdr>
        <w:top w:val="none" w:sz="0" w:space="0" w:color="auto"/>
        <w:left w:val="none" w:sz="0" w:space="0" w:color="auto"/>
        <w:bottom w:val="none" w:sz="0" w:space="0" w:color="auto"/>
        <w:right w:val="none" w:sz="0" w:space="0" w:color="auto"/>
      </w:divBdr>
    </w:div>
    <w:div w:id="2041275296">
      <w:bodyDiv w:val="1"/>
      <w:marLeft w:val="0"/>
      <w:marRight w:val="0"/>
      <w:marTop w:val="0"/>
      <w:marBottom w:val="0"/>
      <w:divBdr>
        <w:top w:val="none" w:sz="0" w:space="0" w:color="auto"/>
        <w:left w:val="none" w:sz="0" w:space="0" w:color="auto"/>
        <w:bottom w:val="none" w:sz="0" w:space="0" w:color="auto"/>
        <w:right w:val="none" w:sz="0" w:space="0" w:color="auto"/>
      </w:divBdr>
    </w:div>
    <w:div w:id="2069450252">
      <w:bodyDiv w:val="1"/>
      <w:marLeft w:val="0"/>
      <w:marRight w:val="0"/>
      <w:marTop w:val="0"/>
      <w:marBottom w:val="0"/>
      <w:divBdr>
        <w:top w:val="none" w:sz="0" w:space="0" w:color="auto"/>
        <w:left w:val="none" w:sz="0" w:space="0" w:color="auto"/>
        <w:bottom w:val="none" w:sz="0" w:space="0" w:color="auto"/>
        <w:right w:val="none" w:sz="0" w:space="0" w:color="auto"/>
      </w:divBdr>
    </w:div>
    <w:div w:id="2082946804">
      <w:bodyDiv w:val="1"/>
      <w:marLeft w:val="0"/>
      <w:marRight w:val="0"/>
      <w:marTop w:val="0"/>
      <w:marBottom w:val="0"/>
      <w:divBdr>
        <w:top w:val="none" w:sz="0" w:space="0" w:color="auto"/>
        <w:left w:val="none" w:sz="0" w:space="0" w:color="auto"/>
        <w:bottom w:val="none" w:sz="0" w:space="0" w:color="auto"/>
        <w:right w:val="none" w:sz="0" w:space="0" w:color="auto"/>
      </w:divBdr>
    </w:div>
    <w:div w:id="2100712159">
      <w:bodyDiv w:val="1"/>
      <w:marLeft w:val="0"/>
      <w:marRight w:val="0"/>
      <w:marTop w:val="0"/>
      <w:marBottom w:val="0"/>
      <w:divBdr>
        <w:top w:val="none" w:sz="0" w:space="0" w:color="auto"/>
        <w:left w:val="none" w:sz="0" w:space="0" w:color="auto"/>
        <w:bottom w:val="none" w:sz="0" w:space="0" w:color="auto"/>
        <w:right w:val="none" w:sz="0" w:space="0" w:color="auto"/>
      </w:divBdr>
    </w:div>
    <w:div w:id="2107579344">
      <w:bodyDiv w:val="1"/>
      <w:marLeft w:val="0"/>
      <w:marRight w:val="0"/>
      <w:marTop w:val="0"/>
      <w:marBottom w:val="0"/>
      <w:divBdr>
        <w:top w:val="none" w:sz="0" w:space="0" w:color="auto"/>
        <w:left w:val="none" w:sz="0" w:space="0" w:color="auto"/>
        <w:bottom w:val="none" w:sz="0" w:space="0" w:color="auto"/>
        <w:right w:val="none" w:sz="0" w:space="0" w:color="auto"/>
      </w:divBdr>
    </w:div>
    <w:div w:id="2110617432">
      <w:bodyDiv w:val="1"/>
      <w:marLeft w:val="0"/>
      <w:marRight w:val="0"/>
      <w:marTop w:val="0"/>
      <w:marBottom w:val="0"/>
      <w:divBdr>
        <w:top w:val="none" w:sz="0" w:space="0" w:color="auto"/>
        <w:left w:val="none" w:sz="0" w:space="0" w:color="auto"/>
        <w:bottom w:val="none" w:sz="0" w:space="0" w:color="auto"/>
        <w:right w:val="none" w:sz="0" w:space="0" w:color="auto"/>
      </w:divBdr>
    </w:div>
    <w:div w:id="211277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16.emf"/><Relationship Id="rId47" Type="http://schemas.openxmlformats.org/officeDocument/2006/relationships/footer" Target="footer7.xml"/><Relationship Id="rId63" Type="http://schemas.openxmlformats.org/officeDocument/2006/relationships/hyperlink" Target="http://www.ec.gba.gov.ar/areas/hacienda/PolTributaria/recaudacion_provincial.php" TargetMode="External"/><Relationship Id="rId68" Type="http://schemas.openxmlformats.org/officeDocument/2006/relationships/header" Target="header12.xml"/><Relationship Id="rId84" Type="http://schemas.openxmlformats.org/officeDocument/2006/relationships/header" Target="header16.xml"/><Relationship Id="rId89" Type="http://schemas.openxmlformats.org/officeDocument/2006/relationships/image" Target="cid:image001.jpg@01D321AD.22E506D0" TargetMode="Externa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header" Target="header7.xml"/><Relationship Id="rId37" Type="http://schemas.openxmlformats.org/officeDocument/2006/relationships/header" Target="header8.xml"/><Relationship Id="rId53" Type="http://schemas.microsoft.com/office/2016/09/relationships/commentsIds" Target="commentsIds.xml"/><Relationship Id="rId58" Type="http://schemas.openxmlformats.org/officeDocument/2006/relationships/hyperlink" Target="http://www.ec.gba.gov.ar/areas/hacienda/Presupuesto/Presupuestos/2017/php/PlanillasAnexas2017.php" TargetMode="External"/><Relationship Id="rId74" Type="http://schemas.openxmlformats.org/officeDocument/2006/relationships/footer" Target="footer11.xml"/><Relationship Id="rId79" Type="http://schemas.openxmlformats.org/officeDocument/2006/relationships/image" Target="media/image31.emf"/><Relationship Id="rId102" Type="http://schemas.microsoft.com/office/2011/relationships/people" Target="people.xml"/><Relationship Id="rId5" Type="http://schemas.openxmlformats.org/officeDocument/2006/relationships/customXml" Target="../customXml/item5.xml"/><Relationship Id="rId90" Type="http://schemas.openxmlformats.org/officeDocument/2006/relationships/header" Target="header18.xml"/><Relationship Id="rId95" Type="http://schemas.openxmlformats.org/officeDocument/2006/relationships/image" Target="media/image38.emf"/><Relationship Id="rId22" Type="http://schemas.openxmlformats.org/officeDocument/2006/relationships/image" Target="media/image6.emf"/><Relationship Id="rId27" Type="http://schemas.openxmlformats.org/officeDocument/2006/relationships/header" Target="header5.xml"/><Relationship Id="rId43" Type="http://schemas.openxmlformats.org/officeDocument/2006/relationships/image" Target="media/image17.emf"/><Relationship Id="rId48" Type="http://schemas.openxmlformats.org/officeDocument/2006/relationships/header" Target="header11.xml"/><Relationship Id="rId64" Type="http://schemas.openxmlformats.org/officeDocument/2006/relationships/image" Target="media/image24.emf"/><Relationship Id="rId69" Type="http://schemas.openxmlformats.org/officeDocument/2006/relationships/footer" Target="footer9.xml"/><Relationship Id="rId80" Type="http://schemas.openxmlformats.org/officeDocument/2006/relationships/image" Target="media/image32.emf"/><Relationship Id="rId85" Type="http://schemas.openxmlformats.org/officeDocument/2006/relationships/footer" Target="footer13.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header" Target="header10.xml"/><Relationship Id="rId59" Type="http://schemas.openxmlformats.org/officeDocument/2006/relationships/hyperlink" Target="http://www.ec.gba.gov.ar/areas/finanzas/deuda/reporte_trimestral.php" TargetMode="External"/><Relationship Id="rId67" Type="http://schemas.openxmlformats.org/officeDocument/2006/relationships/image" Target="media/image27.emf"/><Relationship Id="rId103"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image" Target="media/image21.emf"/><Relationship Id="rId62" Type="http://schemas.openxmlformats.org/officeDocument/2006/relationships/hyperlink" Target="http://www.iprofesional.com/adjuntos/pdf/2017/09/447888.pdf" TargetMode="External"/><Relationship Id="rId70" Type="http://schemas.openxmlformats.org/officeDocument/2006/relationships/header" Target="header13.xml"/><Relationship Id="rId75" Type="http://schemas.openxmlformats.org/officeDocument/2006/relationships/header" Target="header15.xml"/><Relationship Id="rId83" Type="http://schemas.openxmlformats.org/officeDocument/2006/relationships/image" Target="media/image35.emf"/><Relationship Id="rId88" Type="http://schemas.openxmlformats.org/officeDocument/2006/relationships/image" Target="media/image36.jpeg"/><Relationship Id="rId91" Type="http://schemas.openxmlformats.org/officeDocument/2006/relationships/footer" Target="footer15.xml"/><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footer" Target="footer2.xml"/><Relationship Id="rId36" Type="http://schemas.openxmlformats.org/officeDocument/2006/relationships/image" Target="media/image14.emf"/><Relationship Id="rId49" Type="http://schemas.openxmlformats.org/officeDocument/2006/relationships/footer" Target="footer8.xml"/><Relationship Id="rId57" Type="http://schemas.openxmlformats.org/officeDocument/2006/relationships/hyperlink" Target="http://www.cgp.gba.gov.ar/presupuestaria/descargar-ejecucion.aspx" TargetMode="External"/><Relationship Id="rId10" Type="http://schemas.openxmlformats.org/officeDocument/2006/relationships/webSettings" Target="webSettings.xml"/><Relationship Id="rId31" Type="http://schemas.openxmlformats.org/officeDocument/2006/relationships/footer" Target="footer3.xml"/><Relationship Id="rId44" Type="http://schemas.openxmlformats.org/officeDocument/2006/relationships/image" Target="media/image18.emf"/><Relationship Id="rId52" Type="http://schemas.microsoft.com/office/2011/relationships/commentsExtended" Target="commentsExtended.xml"/><Relationship Id="rId60" Type="http://schemas.openxmlformats.org/officeDocument/2006/relationships/hyperlink" Target="http://www.ec.gba.gov.ar/areas/finanzas/deuda/stock.php" TargetMode="External"/><Relationship Id="rId65" Type="http://schemas.openxmlformats.org/officeDocument/2006/relationships/image" Target="media/image25.emf"/><Relationship Id="rId73" Type="http://schemas.openxmlformats.org/officeDocument/2006/relationships/header" Target="header14.xml"/><Relationship Id="rId78" Type="http://schemas.openxmlformats.org/officeDocument/2006/relationships/image" Target="media/image30.emf"/><Relationship Id="rId81" Type="http://schemas.openxmlformats.org/officeDocument/2006/relationships/image" Target="media/image33.emf"/><Relationship Id="rId86" Type="http://schemas.openxmlformats.org/officeDocument/2006/relationships/header" Target="header17.xml"/><Relationship Id="rId94" Type="http://schemas.openxmlformats.org/officeDocument/2006/relationships/image" Target="media/image37.emf"/><Relationship Id="rId99" Type="http://schemas.openxmlformats.org/officeDocument/2006/relationships/header" Target="header20.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emf"/><Relationship Id="rId39" Type="http://schemas.openxmlformats.org/officeDocument/2006/relationships/header" Target="header9.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image" Target="media/image22.emf"/><Relationship Id="rId76" Type="http://schemas.openxmlformats.org/officeDocument/2006/relationships/footer" Target="footer12.xml"/><Relationship Id="rId97" Type="http://schemas.openxmlformats.org/officeDocument/2006/relationships/image" Target="media/image40.emf"/><Relationship Id="rId104" Type="http://schemas.openxmlformats.org/officeDocument/2006/relationships/customXml" Target="../customXml/item7.xml"/><Relationship Id="rId7" Type="http://schemas.openxmlformats.org/officeDocument/2006/relationships/numbering" Target="numbering.xml"/><Relationship Id="rId71" Type="http://schemas.openxmlformats.org/officeDocument/2006/relationships/footer" Target="footer10.xml"/><Relationship Id="rId92"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8.emf"/><Relationship Id="rId40" Type="http://schemas.openxmlformats.org/officeDocument/2006/relationships/footer" Target="footer6.xml"/><Relationship Id="rId45" Type="http://schemas.openxmlformats.org/officeDocument/2006/relationships/image" Target="media/image19.emf"/><Relationship Id="rId66" Type="http://schemas.openxmlformats.org/officeDocument/2006/relationships/image" Target="media/image26.emf"/><Relationship Id="rId87" Type="http://schemas.openxmlformats.org/officeDocument/2006/relationships/footer" Target="footer14.xml"/><Relationship Id="rId61" Type="http://schemas.openxmlformats.org/officeDocument/2006/relationships/hyperlink" Target="http://www.ec.gba.gov.ar/areas/finanzas/deuda/mercado%20de%20capitales/prospectos/" TargetMode="External"/><Relationship Id="rId82" Type="http://schemas.openxmlformats.org/officeDocument/2006/relationships/image" Target="media/image34.emf"/><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header" Target="header6.xml"/><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29.emf"/><Relationship Id="rId100" Type="http://schemas.openxmlformats.org/officeDocument/2006/relationships/footer" Target="footer17.xml"/><Relationship Id="rId8" Type="http://schemas.openxmlformats.org/officeDocument/2006/relationships/styles" Target="styles.xml"/><Relationship Id="rId51" Type="http://schemas.openxmlformats.org/officeDocument/2006/relationships/comments" Target="comments.xml"/><Relationship Id="rId72" Type="http://schemas.openxmlformats.org/officeDocument/2006/relationships/image" Target="media/image28.emf"/><Relationship Id="rId93" Type="http://schemas.openxmlformats.org/officeDocument/2006/relationships/footer" Target="footer16.xml"/><Relationship Id="rId98" Type="http://schemas.openxmlformats.org/officeDocument/2006/relationships/image" Target="media/image41.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ec.gba.gov.ar/areas/finanzas/deuda/mercado%20de%20capitales/prospectos/" TargetMode="External"/><Relationship Id="rId2" Type="http://schemas.openxmlformats.org/officeDocument/2006/relationships/hyperlink" Target="http://www.lanacion.com.ar/2063083-el-acuerdo-por-la-ley-de-responsabilidad-fiscal" TargetMode="External"/><Relationship Id="rId1" Type="http://schemas.openxmlformats.org/officeDocument/2006/relationships/hyperlink" Target="http://www.ambito.com/897277-responsabilidad-fiscal-primer-paso-de-pacto-con-provincia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AppData\Roaming\Microsoft\Plantillas\Sin%20membre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Argentina</TermName>
          <TermId xmlns="http://schemas.microsoft.com/office/infopath/2007/PartnerControls">eb1b705c-195f-4c3b-9661-b201f2fee3c5</TermId>
        </TermInfo>
      </Terms>
    </ic46d7e087fd4a108fb86518ca413cc6>
    <IDBDocs_x0020_Number xmlns="cdc7663a-08f0-4737-9e8c-148ce897a09c" xsi:nil="true"/>
    <Division_x0020_or_x0020_Unit xmlns="cdc7663a-08f0-4737-9e8c-148ce897a09c">INE/WSA</Division_x0020_or_x0020_Unit>
    <Fiscal_x0020_Year_x0020_IDB xmlns="cdc7663a-08f0-4737-9e8c-148ce897a09c">2017</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Guerrero Rivera, Marilyn Ivette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WATER SUPPLY URBAN</TermName>
          <TermId xmlns="http://schemas.microsoft.com/office/infopath/2007/PartnerControls">28df1b5d-8f50-49f8-b50a-8bcbae67d2a4</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TaxCatchAll xmlns="cdc7663a-08f0-4737-9e8c-148ce897a09c">
      <Value>50</Value>
      <Value>5</Value>
      <Value>4</Value>
      <Value>1</Value>
      <Value>49</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AR-L1273</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WATER AND SANITATION</TermName>
          <TermId xmlns="http://schemas.microsoft.com/office/infopath/2007/PartnerControls">ba6b63cd-e402-47cb-9357-08149f7ce046</TermId>
        </TermInfo>
      </Terms>
    </nddeef1749674d76abdbe4b239a70bc6>
    <Record_x0020_Number xmlns="cdc7663a-08f0-4737-9e8c-148ce897a09c">R0001321567</Record_x0020_Number>
    <_dlc_DocId xmlns="cdc7663a-08f0-4737-9e8c-148ce897a09c">EZSHARE-908481879-23</_dlc_DocId>
    <_dlc_DocIdUrl xmlns="cdc7663a-08f0-4737-9e8c-148ce897a09c">
      <Url>https://idbg.sharepoint.com/teams/EZ-AR-LON/AR-L1273/_layouts/15/DocIdRedir.aspx?ID=EZSHARE-908481879-23</Url>
      <Description>EZSHARE-908481879-23</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e61f9b1-e23d-4f49-b3d7-56b991556c4b" ContentTypeId="0x0101001A458A224826124E8B45B1D613300CFC"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E0BB4D50A1283045842E88B7C277BA40" ma:contentTypeVersion="26" ma:contentTypeDescription="A content type to manage public (operations) IDB documents" ma:contentTypeScope="" ma:versionID="133bba18e27d8e3b768ce1028c87391a">
  <xsd:schema xmlns:xsd="http://www.w3.org/2001/XMLSchema" xmlns:xs="http://www.w3.org/2001/XMLSchema" xmlns:p="http://schemas.microsoft.com/office/2006/metadata/properties" xmlns:ns2="cdc7663a-08f0-4737-9e8c-148ce897a09c" targetNamespace="http://schemas.microsoft.com/office/2006/metadata/properties" ma:root="true" ma:fieldsID="211d9aa007c657f832f53da7a1ef1865"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B692055B-C53E-42CD-BFA8-7B73C2340E29}">
  <ds:schemaRefs>
    <ds:schemaRef ds:uri="http://schemas.microsoft.com/office/infopath/2007/PartnerControls"/>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cdc7663a-08f0-4737-9e8c-148ce897a09c"/>
    <ds:schemaRef ds:uri="http://www.w3.org/XML/1998/namespace"/>
  </ds:schemaRefs>
</ds:datastoreItem>
</file>

<file path=customXml/itemProps2.xml><?xml version="1.0" encoding="utf-8"?>
<ds:datastoreItem xmlns:ds="http://schemas.openxmlformats.org/officeDocument/2006/customXml" ds:itemID="{7A842679-BDA0-471E-8E08-81BF3CE7882E}">
  <ds:schemaRefs>
    <ds:schemaRef ds:uri="http://schemas.microsoft.com/sharepoint/v3/contenttype/forms"/>
  </ds:schemaRefs>
</ds:datastoreItem>
</file>

<file path=customXml/itemProps3.xml><?xml version="1.0" encoding="utf-8"?>
<ds:datastoreItem xmlns:ds="http://schemas.openxmlformats.org/officeDocument/2006/customXml" ds:itemID="{56800AC1-3203-413E-90C7-A20895D7F3F6}"/>
</file>

<file path=customXml/itemProps4.xml><?xml version="1.0" encoding="utf-8"?>
<ds:datastoreItem xmlns:ds="http://schemas.openxmlformats.org/officeDocument/2006/customXml" ds:itemID="{38545A89-09DE-4BDC-A84C-33005C31F04B}">
  <ds:schemaRefs>
    <ds:schemaRef ds:uri="http://schemas.microsoft.com/sharepoint/events"/>
  </ds:schemaRefs>
</ds:datastoreItem>
</file>

<file path=customXml/itemProps5.xml><?xml version="1.0" encoding="utf-8"?>
<ds:datastoreItem xmlns:ds="http://schemas.openxmlformats.org/officeDocument/2006/customXml" ds:itemID="{5913EE3E-6CA1-416E-96FB-D49B7C89CF11}"/>
</file>

<file path=customXml/itemProps6.xml><?xml version="1.0" encoding="utf-8"?>
<ds:datastoreItem xmlns:ds="http://schemas.openxmlformats.org/officeDocument/2006/customXml" ds:itemID="{B64957F2-C2E9-4B82-A618-28704B0875B2}">
  <ds:schemaRefs>
    <ds:schemaRef ds:uri="http://schemas.openxmlformats.org/officeDocument/2006/bibliography"/>
  </ds:schemaRefs>
</ds:datastoreItem>
</file>

<file path=customXml/itemProps7.xml><?xml version="1.0" encoding="utf-8"?>
<ds:datastoreItem xmlns:ds="http://schemas.openxmlformats.org/officeDocument/2006/customXml" ds:itemID="{B2AD24A7-02C5-46E6-A286-AEAB36E3F8C3}"/>
</file>

<file path=docProps/app.xml><?xml version="1.0" encoding="utf-8"?>
<Properties xmlns="http://schemas.openxmlformats.org/officeDocument/2006/extended-properties" xmlns:vt="http://schemas.openxmlformats.org/officeDocument/2006/docPropsVTypes">
  <Template>Sin membrete.dotx</Template>
  <TotalTime>326</TotalTime>
  <Pages>120</Pages>
  <Words>30644</Words>
  <Characters>174674</Characters>
  <Application>Microsoft Office Word</Application>
  <DocSecurity>0</DocSecurity>
  <Lines>1455</Lines>
  <Paragraphs>409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ENTE NACIONAL DE OBRAS HIDRICAS DE SANEAMIENTO</vt:lpstr>
      <vt:lpstr>ENTE NACIONAL DE OBRAS HIDRICAS DE SANEAMIENTO</vt:lpstr>
    </vt:vector>
  </TitlesOfParts>
  <Company>Estudio Horacio Seillant</Company>
  <LinksUpToDate>false</LinksUpToDate>
  <CharactersWithSpaces>204909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 NACIONAL DE OBRAS HIDRICAS DE SANEAMIENTO</dc:title>
  <dc:creator>Horacio</dc:creator>
  <cp:keywords/>
  <cp:lastModifiedBy>Guerrero Rivera, Marilyn Ivette</cp:lastModifiedBy>
  <cp:revision>14</cp:revision>
  <cp:lastPrinted>2017-07-22T17:41:00Z</cp:lastPrinted>
  <dcterms:created xsi:type="dcterms:W3CDTF">2017-09-24T22:15:00Z</dcterms:created>
  <dcterms:modified xsi:type="dcterms:W3CDTF">2017-10-23T19:48:00Z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50;#WATER SUPPLY URBAN|28df1b5d-8f50-49f8-b50a-8bcbae67d2a4</vt:lpwstr>
  </property>
  <property fmtid="{D5CDD505-2E9C-101B-9397-08002B2CF9AE}" pid="7" name="Fund IDB">
    <vt:lpwstr>4;#ORC|c028a4b2-ad8b-4cf4-9cac-a2ae6a778e23</vt:lpwstr>
  </property>
  <property fmtid="{D5CDD505-2E9C-101B-9397-08002B2CF9AE}" pid="8" name="Country">
    <vt:lpwstr>5;#Argentina|eb1b705c-195f-4c3b-9661-b201f2fee3c5</vt:lpwstr>
  </property>
  <property fmtid="{D5CDD505-2E9C-101B-9397-08002B2CF9AE}" pid="9" name="Sector IDB">
    <vt:lpwstr>49;#WATER AND SANITATION|ba6b63cd-e402-47cb-9357-08149f7ce046</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457219ff-74df-4679-aafb-45789be78dc0</vt:lpwstr>
  </property>
  <property fmtid="{D5CDD505-2E9C-101B-9397-08002B2CF9AE}" pid="12" name="Abstract">
    <vt:lpwstr/>
  </property>
  <property fmtid="{D5CDD505-2E9C-101B-9397-08002B2CF9AE}" pid="13" name="Disclosure Activity">
    <vt:lpwstr>Loan Proposal</vt:lpwstr>
  </property>
  <property fmtid="{D5CDD505-2E9C-101B-9397-08002B2CF9AE}" pid="14" name="Region">
    <vt:lpwstr/>
  </property>
  <property fmtid="{D5CDD505-2E9C-101B-9397-08002B2CF9AE}" pid="15" name="Publication Type">
    <vt:lpwstr/>
  </property>
  <property fmtid="{D5CDD505-2E9C-101B-9397-08002B2CF9AE}" pid="17" name="Webtopic">
    <vt:lpwstr/>
  </property>
  <property fmtid="{D5CDD505-2E9C-101B-9397-08002B2CF9AE}" pid="18" name="Publishing House">
    <vt:lpwstr/>
  </property>
  <property fmtid="{D5CDD505-2E9C-101B-9397-08002B2CF9AE}" pid="19" name="Disclosed">
    <vt:bool>false</vt:bool>
  </property>
  <property fmtid="{D5CDD505-2E9C-101B-9397-08002B2CF9AE}" pid="20" name="KP Topics">
    <vt:lpwstr/>
  </property>
  <property fmtid="{D5CDD505-2E9C-101B-9397-08002B2CF9AE}" pid="21" name="Editor1">
    <vt:lpwstr/>
  </property>
  <property fmtid="{D5CDD505-2E9C-101B-9397-08002B2CF9AE}" pid="22" name="URL">
    <vt:lpwstr/>
  </property>
  <property fmtid="{D5CDD505-2E9C-101B-9397-08002B2CF9AE}" pid="23" name="ATI Undisclose Document Workflow">
    <vt:lpwstr/>
  </property>
  <property fmtid="{D5CDD505-2E9C-101B-9397-08002B2CF9AE}" pid="24" name="ATI Disclose Document Workflow v5">
    <vt:lpwstr/>
  </property>
  <property fmtid="{D5CDD505-2E9C-101B-9397-08002B2CF9AE}" pid="25" name="ContentTypeId">
    <vt:lpwstr>0x0101001A458A224826124E8B45B1D613300CFC00E0BB4D50A1283045842E88B7C277BA40</vt:lpwstr>
  </property>
</Properties>
</file>