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E898" w14:textId="77777777" w:rsidR="00AB7CDB" w:rsidRPr="00190CF9" w:rsidRDefault="00AB7CDB" w:rsidP="004D2FD1">
      <w:pPr>
        <w:pStyle w:val="Header"/>
        <w:jc w:val="center"/>
        <w:rPr>
          <w:rFonts w:ascii="Arial" w:hAnsi="Arial" w:cs="Arial"/>
          <w:b/>
          <w:sz w:val="18"/>
          <w:szCs w:val="18"/>
          <w:lang w:val="es-ES_tradnl"/>
        </w:rPr>
      </w:pPr>
      <w:r w:rsidRPr="00190CF9">
        <w:rPr>
          <w:rFonts w:ascii="Arial" w:hAnsi="Arial" w:cs="Arial"/>
          <w:b/>
          <w:sz w:val="18"/>
          <w:szCs w:val="18"/>
          <w:lang w:val="es-ES_tradnl"/>
        </w:rPr>
        <w:t xml:space="preserve">Matriz de Sustentación de Diferencias entre </w:t>
      </w:r>
      <w:r w:rsidRPr="00190CF9">
        <w:rPr>
          <w:rFonts w:ascii="Arial" w:hAnsi="Arial" w:cs="Arial"/>
          <w:b/>
          <w:i/>
          <w:sz w:val="18"/>
          <w:szCs w:val="18"/>
          <w:lang w:val="es-ES_tradnl"/>
        </w:rPr>
        <w:t>Triggers</w:t>
      </w:r>
      <w:r w:rsidRPr="00190CF9">
        <w:rPr>
          <w:rFonts w:ascii="Arial" w:hAnsi="Arial" w:cs="Arial"/>
          <w:b/>
          <w:sz w:val="18"/>
          <w:szCs w:val="18"/>
          <w:lang w:val="es-ES_tradnl"/>
        </w:rPr>
        <w:t xml:space="preserve"> originalmente previstos y los</w:t>
      </w:r>
    </w:p>
    <w:p w14:paraId="7ED2FCFC" w14:textId="77777777" w:rsidR="00AB7CDB" w:rsidRPr="00190CF9" w:rsidRDefault="00AB7CDB" w:rsidP="00AB7CDB">
      <w:pPr>
        <w:pStyle w:val="Header"/>
        <w:jc w:val="center"/>
        <w:rPr>
          <w:rFonts w:ascii="Arial" w:hAnsi="Arial" w:cs="Arial"/>
          <w:b/>
          <w:sz w:val="18"/>
          <w:szCs w:val="18"/>
        </w:rPr>
      </w:pPr>
      <w:r w:rsidRPr="00190CF9">
        <w:rPr>
          <w:rFonts w:ascii="Arial" w:hAnsi="Arial" w:cs="Arial"/>
          <w:b/>
          <w:sz w:val="18"/>
          <w:szCs w:val="18"/>
          <w:lang w:val="es-ES_tradnl"/>
        </w:rPr>
        <w:t>Compromisos para la Segunda Operación</w:t>
      </w:r>
    </w:p>
    <w:p w14:paraId="7F4053CB" w14:textId="77777777" w:rsidR="00AB7CDB" w:rsidRPr="00AB7CDB" w:rsidRDefault="00AB7CDB" w:rsidP="00AB7CDB">
      <w:pPr>
        <w:pStyle w:val="Header"/>
        <w:jc w:val="center"/>
        <w:rPr>
          <w:rFonts w:ascii="Arial" w:hAnsi="Arial" w:cs="Arial"/>
          <w:b/>
          <w:sz w:val="22"/>
          <w:szCs w:val="28"/>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24"/>
        <w:gridCol w:w="3049"/>
        <w:gridCol w:w="3054"/>
        <w:gridCol w:w="4237"/>
      </w:tblGrid>
      <w:tr w:rsidR="00AB7CDB" w:rsidRPr="00A778E5" w14:paraId="0E11547C" w14:textId="77777777" w:rsidTr="00190CF9">
        <w:trPr>
          <w:cantSplit/>
          <w:trHeight w:val="413"/>
          <w:tblHeader/>
          <w:jc w:val="center"/>
        </w:trPr>
        <w:tc>
          <w:tcPr>
            <w:tcW w:w="101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DB8383" w14:textId="77777777" w:rsidR="00AB7CDB" w:rsidRPr="00190CF9" w:rsidRDefault="00AB7CDB" w:rsidP="00AB7CDB">
            <w:pPr>
              <w:jc w:val="center"/>
              <w:rPr>
                <w:rFonts w:ascii="Arial" w:hAnsi="Arial" w:cs="Arial"/>
                <w:b/>
                <w:sz w:val="18"/>
                <w:szCs w:val="18"/>
                <w:lang w:val="es-ES_tradnl"/>
              </w:rPr>
            </w:pPr>
            <w:r w:rsidRPr="00190CF9">
              <w:rPr>
                <w:rFonts w:ascii="Arial" w:hAnsi="Arial" w:cs="Arial"/>
                <w:b/>
                <w:sz w:val="18"/>
                <w:szCs w:val="18"/>
                <w:lang w:val="es-ES_tradnl"/>
              </w:rPr>
              <w:t>Objetivo</w:t>
            </w:r>
          </w:p>
        </w:tc>
        <w:tc>
          <w:tcPr>
            <w:tcW w:w="1176"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5120AA" w14:textId="77777777" w:rsidR="00AB7CDB" w:rsidRPr="00190CF9" w:rsidRDefault="00AB7CDB" w:rsidP="00AB7CDB">
            <w:pPr>
              <w:jc w:val="center"/>
              <w:rPr>
                <w:rFonts w:ascii="Arial" w:hAnsi="Arial" w:cs="Arial"/>
                <w:b/>
                <w:i/>
                <w:sz w:val="18"/>
                <w:szCs w:val="18"/>
                <w:lang w:val="es-ES_tradnl"/>
              </w:rPr>
            </w:pPr>
            <w:r w:rsidRPr="00190CF9">
              <w:rPr>
                <w:rFonts w:ascii="Arial" w:hAnsi="Arial" w:cs="Arial"/>
                <w:b/>
                <w:i/>
                <w:sz w:val="18"/>
                <w:szCs w:val="18"/>
                <w:lang w:val="es-ES_tradnl"/>
              </w:rPr>
              <w:t xml:space="preserve">Triggers </w:t>
            </w:r>
            <w:r w:rsidRPr="00190CF9">
              <w:rPr>
                <w:rFonts w:ascii="Arial" w:hAnsi="Arial" w:cs="Arial"/>
                <w:b/>
                <w:sz w:val="18"/>
                <w:szCs w:val="18"/>
                <w:lang w:val="es-ES_tradnl"/>
              </w:rPr>
              <w:t>originalmente previstos para la segunda operación</w:t>
            </w:r>
          </w:p>
        </w:tc>
        <w:tc>
          <w:tcPr>
            <w:tcW w:w="117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5EFF0F" w14:textId="77777777" w:rsidR="00AB7CDB" w:rsidRPr="00190CF9" w:rsidRDefault="00AB7CDB" w:rsidP="00AB7CDB">
            <w:pPr>
              <w:jc w:val="center"/>
              <w:rPr>
                <w:rFonts w:ascii="Arial" w:hAnsi="Arial" w:cs="Arial"/>
                <w:b/>
                <w:sz w:val="18"/>
                <w:szCs w:val="18"/>
                <w:lang w:val="es-ES_tradnl"/>
              </w:rPr>
            </w:pPr>
            <w:r w:rsidRPr="00190CF9">
              <w:rPr>
                <w:rFonts w:ascii="Arial" w:hAnsi="Arial" w:cs="Arial"/>
                <w:b/>
                <w:sz w:val="18"/>
                <w:szCs w:val="18"/>
                <w:lang w:val="es-ES_tradnl"/>
              </w:rPr>
              <w:t xml:space="preserve">Compromisos de la segunda </w:t>
            </w:r>
          </w:p>
          <w:p w14:paraId="136BD278" w14:textId="77777777" w:rsidR="00AB7CDB" w:rsidRPr="00190CF9" w:rsidRDefault="00AB7CDB" w:rsidP="00AB7CDB">
            <w:pPr>
              <w:jc w:val="center"/>
              <w:rPr>
                <w:rFonts w:ascii="Arial" w:hAnsi="Arial" w:cs="Arial"/>
                <w:b/>
                <w:sz w:val="18"/>
                <w:szCs w:val="18"/>
                <w:lang w:val="es-ES_tradnl"/>
              </w:rPr>
            </w:pPr>
            <w:r w:rsidRPr="00190CF9">
              <w:rPr>
                <w:rFonts w:ascii="Arial" w:hAnsi="Arial" w:cs="Arial"/>
                <w:b/>
                <w:sz w:val="18"/>
                <w:szCs w:val="18"/>
                <w:lang w:val="es-ES_tradnl"/>
              </w:rPr>
              <w:t>operación (DR-L1121)</w:t>
            </w:r>
          </w:p>
        </w:tc>
        <w:tc>
          <w:tcPr>
            <w:tcW w:w="16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760E5A" w14:textId="77777777" w:rsidR="00AB7CDB" w:rsidRPr="00190CF9" w:rsidRDefault="00AB7CDB" w:rsidP="00AB7CDB">
            <w:pPr>
              <w:jc w:val="center"/>
              <w:rPr>
                <w:rFonts w:ascii="Arial" w:hAnsi="Arial" w:cs="Arial"/>
                <w:b/>
                <w:sz w:val="18"/>
                <w:szCs w:val="18"/>
                <w:lang w:val="es-ES_tradnl"/>
              </w:rPr>
            </w:pPr>
            <w:r w:rsidRPr="00190CF9">
              <w:rPr>
                <w:rFonts w:ascii="Arial" w:hAnsi="Arial" w:cs="Arial"/>
                <w:b/>
                <w:sz w:val="18"/>
                <w:szCs w:val="18"/>
                <w:lang w:val="es-ES_tradnl"/>
              </w:rPr>
              <w:t xml:space="preserve">Situación Actual y Sustentación de Diferencias </w:t>
            </w:r>
          </w:p>
        </w:tc>
      </w:tr>
      <w:tr w:rsidR="00AB7CDB" w:rsidRPr="00A778E5" w14:paraId="1F90228A" w14:textId="77777777" w:rsidTr="00190CF9">
        <w:trPr>
          <w:cantSplit/>
          <w:trHeight w:val="1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E2DEF4" w14:textId="6497295C" w:rsidR="00AB7CDB" w:rsidRPr="00190CF9" w:rsidRDefault="00F23DD6" w:rsidP="00AB7CDB">
            <w:pPr>
              <w:tabs>
                <w:tab w:val="left" w:pos="567"/>
              </w:tabs>
              <w:ind w:left="109" w:right="72"/>
              <w:jc w:val="both"/>
              <w:rPr>
                <w:rFonts w:ascii="Arial" w:hAnsi="Arial" w:cs="Arial"/>
                <w:sz w:val="18"/>
                <w:szCs w:val="18"/>
                <w:lang w:val="es-ES_tradnl"/>
              </w:rPr>
            </w:pPr>
            <w:r w:rsidRPr="00190CF9">
              <w:rPr>
                <w:rFonts w:ascii="Arial" w:hAnsi="Arial" w:cs="Arial"/>
                <w:b/>
                <w:sz w:val="18"/>
                <w:szCs w:val="18"/>
                <w:lang w:val="es-ES_tradnl"/>
              </w:rPr>
              <w:t xml:space="preserve">Componente II. </w:t>
            </w:r>
            <w:r w:rsidR="00AB7CDB" w:rsidRPr="00190CF9">
              <w:rPr>
                <w:rFonts w:ascii="Arial" w:hAnsi="Arial" w:cs="Arial"/>
                <w:b/>
                <w:sz w:val="18"/>
                <w:szCs w:val="18"/>
                <w:lang w:val="es-ES_tradnl"/>
              </w:rPr>
              <w:t>Fortalecimiento de la regulación financiera para la mejora de la productividad</w:t>
            </w:r>
          </w:p>
        </w:tc>
      </w:tr>
      <w:tr w:rsidR="000E7839" w:rsidRPr="00A778E5" w14:paraId="55443B0E" w14:textId="77777777" w:rsidTr="005937E7">
        <w:trPr>
          <w:cantSplit/>
          <w:trHeight w:val="396"/>
          <w:jc w:val="center"/>
        </w:trPr>
        <w:tc>
          <w:tcPr>
            <w:tcW w:w="1012" w:type="pct"/>
            <w:vMerge w:val="restart"/>
            <w:tcBorders>
              <w:top w:val="single" w:sz="4" w:space="0" w:color="auto"/>
              <w:left w:val="single" w:sz="4" w:space="0" w:color="auto"/>
              <w:right w:val="single" w:sz="4" w:space="0" w:color="auto"/>
            </w:tcBorders>
            <w:shd w:val="clear" w:color="auto" w:fill="auto"/>
          </w:tcPr>
          <w:p w14:paraId="7789D12F" w14:textId="77777777" w:rsidR="000E7839" w:rsidRPr="00190CF9" w:rsidRDefault="001D15ED" w:rsidP="001D15ED">
            <w:pPr>
              <w:pStyle w:val="ListParagraph"/>
              <w:numPr>
                <w:ilvl w:val="0"/>
                <w:numId w:val="31"/>
              </w:numPr>
              <w:ind w:right="144"/>
              <w:contextualSpacing w:val="0"/>
              <w:rPr>
                <w:rFonts w:ascii="Arial" w:hAnsi="Arial" w:cs="Arial"/>
                <w:b/>
                <w:sz w:val="18"/>
                <w:szCs w:val="18"/>
                <w:lang w:val="es-ES_tradnl"/>
              </w:rPr>
            </w:pPr>
            <w:r w:rsidRPr="00190CF9">
              <w:rPr>
                <w:rFonts w:ascii="Arial" w:hAnsi="Arial" w:cs="Arial"/>
                <w:b/>
                <w:sz w:val="18"/>
                <w:szCs w:val="18"/>
                <w:lang w:val="es-ES_tradnl"/>
              </w:rPr>
              <w:t>Fortalecimiento regulatorio para la estabilidad financiera</w:t>
            </w:r>
          </w:p>
        </w:tc>
        <w:tc>
          <w:tcPr>
            <w:tcW w:w="1176" w:type="pct"/>
            <w:tcBorders>
              <w:top w:val="single" w:sz="4" w:space="0" w:color="auto"/>
              <w:left w:val="single" w:sz="4" w:space="0" w:color="auto"/>
              <w:bottom w:val="single" w:sz="4" w:space="0" w:color="auto"/>
              <w:right w:val="single" w:sz="4" w:space="0" w:color="auto"/>
            </w:tcBorders>
          </w:tcPr>
          <w:p w14:paraId="7D2AFC18" w14:textId="77777777" w:rsidR="000E7839" w:rsidRPr="00190CF9" w:rsidRDefault="000E7839" w:rsidP="00D90ECD">
            <w:pPr>
              <w:ind w:left="144" w:right="144"/>
              <w:jc w:val="both"/>
              <w:rPr>
                <w:rFonts w:ascii="Arial" w:hAnsi="Arial" w:cs="Arial"/>
                <w:sz w:val="18"/>
                <w:szCs w:val="18"/>
                <w:lang w:val="es-ES_tradnl"/>
              </w:rPr>
            </w:pPr>
            <w:r w:rsidRPr="00190CF9">
              <w:rPr>
                <w:rFonts w:ascii="Arial" w:hAnsi="Arial" w:cs="Arial"/>
                <w:sz w:val="18"/>
                <w:szCs w:val="18"/>
                <w:lang w:val="es-ES_tradnl"/>
              </w:rPr>
              <w:t>Desarrollo de la reglamentación para la supervisión basada en riesgos relat</w:t>
            </w:r>
            <w:r w:rsidR="001D15ED" w:rsidRPr="00190CF9">
              <w:rPr>
                <w:rFonts w:ascii="Arial" w:hAnsi="Arial" w:cs="Arial"/>
                <w:sz w:val="18"/>
                <w:szCs w:val="18"/>
                <w:lang w:val="es-ES_tradnl"/>
              </w:rPr>
              <w:t xml:space="preserve">iva a la evaluación de activos, </w:t>
            </w:r>
            <w:r w:rsidRPr="00190CF9">
              <w:rPr>
                <w:rFonts w:ascii="Arial" w:hAnsi="Arial" w:cs="Arial"/>
                <w:sz w:val="18"/>
                <w:szCs w:val="18"/>
                <w:lang w:val="es-ES_tradnl"/>
              </w:rPr>
              <w:t>el riesgo de mercado, riesgo de tasa de interés, y de adecuación del capital</w:t>
            </w:r>
          </w:p>
        </w:tc>
        <w:tc>
          <w:tcPr>
            <w:tcW w:w="1178" w:type="pct"/>
            <w:tcBorders>
              <w:top w:val="single" w:sz="4" w:space="0" w:color="auto"/>
              <w:left w:val="single" w:sz="4" w:space="0" w:color="auto"/>
              <w:bottom w:val="single" w:sz="4" w:space="0" w:color="auto"/>
              <w:right w:val="single" w:sz="4" w:space="0" w:color="auto"/>
            </w:tcBorders>
          </w:tcPr>
          <w:p w14:paraId="75162704" w14:textId="77777777" w:rsidR="000E7839" w:rsidRPr="00190CF9" w:rsidRDefault="000E7839" w:rsidP="00AB7CDB">
            <w:pPr>
              <w:ind w:left="144" w:right="144"/>
              <w:jc w:val="both"/>
              <w:rPr>
                <w:rFonts w:ascii="Arial" w:hAnsi="Arial" w:cs="Arial"/>
                <w:sz w:val="18"/>
                <w:szCs w:val="18"/>
                <w:lang w:val="es-ES_tradnl"/>
              </w:rPr>
            </w:pPr>
            <w:r w:rsidRPr="00190CF9">
              <w:rPr>
                <w:rFonts w:ascii="Arial" w:hAnsi="Arial" w:cs="Arial"/>
                <w:sz w:val="18"/>
                <w:szCs w:val="18"/>
                <w:lang w:val="es-ES_tradnl"/>
              </w:rPr>
              <w:t>Desarrollo de la reglamentación para la supervisión basada en riesgos relativa a la evaluación de activos, riesgo de mercado, riesgo de tasa de interés</w:t>
            </w:r>
            <w:r w:rsidR="0072349F" w:rsidRPr="00190CF9">
              <w:rPr>
                <w:rFonts w:ascii="Arial" w:hAnsi="Arial" w:cs="Arial"/>
                <w:sz w:val="18"/>
                <w:szCs w:val="18"/>
                <w:lang w:val="es-ES_tradnl"/>
              </w:rPr>
              <w:t>, y de adecuación de capital</w:t>
            </w:r>
            <w:r w:rsidR="00FC49A7" w:rsidRPr="00190CF9">
              <w:rPr>
                <w:rFonts w:ascii="Arial" w:hAnsi="Arial" w:cs="Arial"/>
                <w:sz w:val="18"/>
                <w:szCs w:val="18"/>
                <w:lang w:val="es-ES_tradnl"/>
              </w:rPr>
              <w:t>.</w:t>
            </w:r>
          </w:p>
        </w:tc>
        <w:tc>
          <w:tcPr>
            <w:tcW w:w="1634" w:type="pct"/>
            <w:tcBorders>
              <w:top w:val="single" w:sz="4" w:space="0" w:color="auto"/>
              <w:left w:val="single" w:sz="4" w:space="0" w:color="auto"/>
              <w:bottom w:val="single" w:sz="4" w:space="0" w:color="auto"/>
              <w:right w:val="single" w:sz="4" w:space="0" w:color="auto"/>
            </w:tcBorders>
          </w:tcPr>
          <w:p w14:paraId="6DE3BFDC" w14:textId="76E79364" w:rsidR="002E6C15" w:rsidRPr="00190CF9" w:rsidRDefault="003E2D26"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C</w:t>
            </w:r>
            <w:r w:rsidR="00C27E88" w:rsidRPr="00190CF9">
              <w:rPr>
                <w:rFonts w:ascii="Arial" w:hAnsi="Arial" w:cs="Arial"/>
                <w:b/>
                <w:sz w:val="18"/>
                <w:szCs w:val="18"/>
                <w:lang w:val="es-ES_tradnl"/>
              </w:rPr>
              <w:t xml:space="preserve">umplido. </w:t>
            </w:r>
            <w:r w:rsidR="000E7839" w:rsidRPr="00190CF9">
              <w:rPr>
                <w:rFonts w:ascii="Arial" w:hAnsi="Arial" w:cs="Arial"/>
                <w:sz w:val="18"/>
                <w:szCs w:val="18"/>
                <w:lang w:val="es-ES_tradnl"/>
              </w:rPr>
              <w:t xml:space="preserve">Ha habido importantes avances en el reglamento de supervisión basada en riesgos, especialmente en lo relativo a la evaluación de activos (REA), tema que </w:t>
            </w:r>
            <w:r w:rsidR="00C27E88" w:rsidRPr="00190CF9">
              <w:rPr>
                <w:rFonts w:ascii="Arial" w:hAnsi="Arial" w:cs="Arial"/>
                <w:sz w:val="18"/>
                <w:szCs w:val="18"/>
                <w:lang w:val="es-ES_tradnl"/>
              </w:rPr>
              <w:t>recibió apoyo de</w:t>
            </w:r>
            <w:r w:rsidR="000E7839" w:rsidRPr="00190CF9">
              <w:rPr>
                <w:rFonts w:ascii="Arial" w:hAnsi="Arial" w:cs="Arial"/>
                <w:sz w:val="18"/>
                <w:szCs w:val="18"/>
                <w:lang w:val="es-ES_tradnl"/>
              </w:rPr>
              <w:t xml:space="preserve"> una consultoría </w:t>
            </w:r>
            <w:r w:rsidR="00C27E88" w:rsidRPr="00190CF9">
              <w:rPr>
                <w:rFonts w:ascii="Arial" w:hAnsi="Arial" w:cs="Arial"/>
                <w:sz w:val="18"/>
                <w:szCs w:val="18"/>
                <w:lang w:val="es-ES_tradnl"/>
              </w:rPr>
              <w:t>d</w:t>
            </w:r>
            <w:r w:rsidR="000E7839" w:rsidRPr="00190CF9">
              <w:rPr>
                <w:rFonts w:ascii="Arial" w:hAnsi="Arial" w:cs="Arial"/>
                <w:sz w:val="18"/>
                <w:szCs w:val="18"/>
                <w:lang w:val="es-ES_tradnl"/>
              </w:rPr>
              <w:t xml:space="preserve">el Fondo Monetario Internacional. </w:t>
            </w:r>
            <w:r w:rsidR="00FC49A7" w:rsidRPr="00190CF9">
              <w:rPr>
                <w:rFonts w:ascii="Arial" w:hAnsi="Arial" w:cs="Arial"/>
                <w:sz w:val="18"/>
                <w:szCs w:val="18"/>
                <w:lang w:val="es-ES_tradnl"/>
              </w:rPr>
              <w:t xml:space="preserve">Este nuevo reglamento </w:t>
            </w:r>
            <w:r w:rsidR="00C27E88" w:rsidRPr="00190CF9">
              <w:rPr>
                <w:rFonts w:ascii="Arial" w:hAnsi="Arial" w:cs="Arial"/>
                <w:sz w:val="18"/>
                <w:szCs w:val="18"/>
                <w:lang w:val="es-ES_tradnl"/>
              </w:rPr>
              <w:t>fue recientemente aprobado</w:t>
            </w:r>
            <w:r w:rsidR="00FC49A7" w:rsidRPr="00190CF9">
              <w:rPr>
                <w:rFonts w:ascii="Arial" w:hAnsi="Arial" w:cs="Arial"/>
                <w:sz w:val="18"/>
                <w:szCs w:val="18"/>
                <w:lang w:val="es-ES_tradnl"/>
              </w:rPr>
              <w:t xml:space="preserve"> </w:t>
            </w:r>
            <w:r w:rsidR="00C27E88" w:rsidRPr="00190CF9">
              <w:rPr>
                <w:rFonts w:ascii="Arial" w:hAnsi="Arial" w:cs="Arial"/>
                <w:sz w:val="18"/>
                <w:szCs w:val="18"/>
                <w:lang w:val="es-ES_tradnl"/>
              </w:rPr>
              <w:t xml:space="preserve">por </w:t>
            </w:r>
            <w:r w:rsidR="00FC49A7" w:rsidRPr="00190CF9">
              <w:rPr>
                <w:rFonts w:ascii="Arial" w:hAnsi="Arial" w:cs="Arial"/>
                <w:sz w:val="18"/>
                <w:szCs w:val="18"/>
                <w:lang w:val="es-ES_tradnl"/>
              </w:rPr>
              <w:t>la Junta Monetaria.</w:t>
            </w:r>
            <w:r w:rsidR="003436A4" w:rsidRPr="00190CF9">
              <w:rPr>
                <w:rFonts w:ascii="Arial" w:hAnsi="Arial" w:cs="Arial"/>
                <w:sz w:val="18"/>
                <w:szCs w:val="18"/>
                <w:lang w:val="es-ES_tradnl"/>
              </w:rPr>
              <w:t xml:space="preserve"> </w:t>
            </w:r>
            <w:r w:rsidR="00FC49A7" w:rsidRPr="00190CF9">
              <w:rPr>
                <w:rFonts w:ascii="Arial" w:hAnsi="Arial" w:cs="Arial"/>
                <w:sz w:val="18"/>
                <w:szCs w:val="18"/>
                <w:lang w:val="es-ES_tradnl"/>
              </w:rPr>
              <w:t xml:space="preserve">La Superintendencia de Bancos (SIB) viene trabajando en la modificación del Reglamento de Riesgo de Mercado, con el objetivo de separar el riesgo de tasa de interés del riesgo de mercado </w:t>
            </w:r>
            <w:r w:rsidR="000423A3" w:rsidRPr="00190CF9">
              <w:rPr>
                <w:rFonts w:ascii="Arial" w:hAnsi="Arial" w:cs="Arial"/>
                <w:sz w:val="18"/>
                <w:szCs w:val="18"/>
                <w:lang w:val="es-ES_tradnl"/>
              </w:rPr>
              <w:t>y</w:t>
            </w:r>
            <w:r w:rsidR="00FC49A7" w:rsidRPr="00190CF9">
              <w:rPr>
                <w:rFonts w:ascii="Arial" w:hAnsi="Arial" w:cs="Arial"/>
                <w:sz w:val="18"/>
                <w:szCs w:val="18"/>
                <w:lang w:val="es-ES_tradnl"/>
              </w:rPr>
              <w:t xml:space="preserve"> adecuarlo a los lineamientos </w:t>
            </w:r>
            <w:r w:rsidR="000423A3" w:rsidRPr="00190CF9">
              <w:rPr>
                <w:rFonts w:ascii="Arial" w:hAnsi="Arial" w:cs="Arial"/>
                <w:sz w:val="18"/>
                <w:szCs w:val="18"/>
                <w:lang w:val="es-ES_tradnl"/>
              </w:rPr>
              <w:t>del</w:t>
            </w:r>
            <w:r w:rsidR="00FC49A7" w:rsidRPr="00190CF9">
              <w:rPr>
                <w:rFonts w:ascii="Arial" w:hAnsi="Arial" w:cs="Arial"/>
                <w:sz w:val="18"/>
                <w:szCs w:val="18"/>
                <w:lang w:val="es-ES_tradnl"/>
              </w:rPr>
              <w:t xml:space="preserve"> Comité de Supervisión Bancaria de Basilea. </w:t>
            </w:r>
            <w:r w:rsidR="00A07D16" w:rsidRPr="00190CF9">
              <w:rPr>
                <w:rFonts w:ascii="Arial" w:hAnsi="Arial" w:cs="Arial"/>
                <w:sz w:val="18"/>
                <w:szCs w:val="18"/>
                <w:lang w:val="es-ES_tradnl"/>
              </w:rPr>
              <w:t>En preparación</w:t>
            </w:r>
            <w:r w:rsidR="00FC49A7" w:rsidRPr="00190CF9">
              <w:rPr>
                <w:rFonts w:ascii="Arial" w:hAnsi="Arial" w:cs="Arial"/>
                <w:sz w:val="18"/>
                <w:szCs w:val="18"/>
                <w:lang w:val="es-ES_tradnl"/>
              </w:rPr>
              <w:t xml:space="preserve"> a </w:t>
            </w:r>
            <w:r w:rsidR="00A07D16" w:rsidRPr="00190CF9">
              <w:rPr>
                <w:rFonts w:ascii="Arial" w:hAnsi="Arial" w:cs="Arial"/>
                <w:sz w:val="18"/>
                <w:szCs w:val="18"/>
                <w:lang w:val="es-ES_tradnl"/>
              </w:rPr>
              <w:t>dicha</w:t>
            </w:r>
            <w:r w:rsidR="00FC49A7" w:rsidRPr="00190CF9">
              <w:rPr>
                <w:rFonts w:ascii="Arial" w:hAnsi="Arial" w:cs="Arial"/>
                <w:sz w:val="18"/>
                <w:szCs w:val="18"/>
                <w:lang w:val="es-ES_tradnl"/>
              </w:rPr>
              <w:t xml:space="preserve"> modificación</w:t>
            </w:r>
            <w:r w:rsidR="00A07D16" w:rsidRPr="00190CF9">
              <w:rPr>
                <w:rFonts w:ascii="Arial" w:hAnsi="Arial" w:cs="Arial"/>
                <w:sz w:val="18"/>
                <w:szCs w:val="18"/>
                <w:lang w:val="es-ES_tradnl"/>
              </w:rPr>
              <w:t>,</w:t>
            </w:r>
            <w:r w:rsidR="00FC49A7" w:rsidRPr="00190CF9">
              <w:rPr>
                <w:rFonts w:ascii="Arial" w:hAnsi="Arial" w:cs="Arial"/>
                <w:sz w:val="18"/>
                <w:szCs w:val="18"/>
                <w:lang w:val="es-ES_tradnl"/>
              </w:rPr>
              <w:t xml:space="preserve"> la SIB </w:t>
            </w:r>
            <w:r w:rsidRPr="00190CF9">
              <w:rPr>
                <w:rFonts w:ascii="Arial" w:hAnsi="Arial" w:cs="Arial"/>
                <w:sz w:val="18"/>
                <w:szCs w:val="18"/>
                <w:lang w:val="es-ES_tradnl"/>
              </w:rPr>
              <w:t xml:space="preserve">aprobó un nuevo instructivo para operaciones de reporto y </w:t>
            </w:r>
            <w:r w:rsidR="00FC49A7" w:rsidRPr="00190CF9">
              <w:rPr>
                <w:rFonts w:ascii="Arial" w:hAnsi="Arial" w:cs="Arial"/>
                <w:sz w:val="18"/>
                <w:szCs w:val="18"/>
                <w:lang w:val="es-ES_tradnl"/>
              </w:rPr>
              <w:t>present</w:t>
            </w:r>
            <w:r w:rsidRPr="00190CF9">
              <w:rPr>
                <w:rFonts w:ascii="Arial" w:hAnsi="Arial" w:cs="Arial"/>
                <w:sz w:val="18"/>
                <w:szCs w:val="18"/>
                <w:lang w:val="es-ES_tradnl"/>
              </w:rPr>
              <w:t>ó</w:t>
            </w:r>
            <w:r w:rsidR="00FC49A7" w:rsidRPr="00190CF9">
              <w:rPr>
                <w:rFonts w:ascii="Arial" w:hAnsi="Arial" w:cs="Arial"/>
                <w:sz w:val="18"/>
                <w:szCs w:val="18"/>
                <w:lang w:val="es-ES_tradnl"/>
              </w:rPr>
              <w:t xml:space="preserve"> a consulta pública: (i) </w:t>
            </w:r>
            <w:r w:rsidRPr="00190CF9">
              <w:rPr>
                <w:rFonts w:ascii="Arial" w:hAnsi="Arial" w:cs="Arial"/>
                <w:sz w:val="18"/>
                <w:szCs w:val="18"/>
                <w:lang w:val="es-ES_tradnl"/>
              </w:rPr>
              <w:t xml:space="preserve">instructivo para </w:t>
            </w:r>
            <w:r w:rsidR="00FC49A7" w:rsidRPr="00190CF9">
              <w:rPr>
                <w:rFonts w:ascii="Arial" w:hAnsi="Arial" w:cs="Arial"/>
                <w:sz w:val="18"/>
                <w:szCs w:val="18"/>
                <w:lang w:val="es-ES_tradnl"/>
              </w:rPr>
              <w:t>el uso de valor razonable de los instrumentos financieros</w:t>
            </w:r>
            <w:r w:rsidR="00095A76" w:rsidRPr="00190CF9">
              <w:rPr>
                <w:rFonts w:ascii="Arial" w:hAnsi="Arial" w:cs="Arial"/>
                <w:sz w:val="18"/>
                <w:szCs w:val="18"/>
                <w:lang w:val="es-ES_tradnl"/>
              </w:rPr>
              <w:t>;</w:t>
            </w:r>
            <w:r w:rsidR="00FC49A7" w:rsidRPr="00190CF9">
              <w:rPr>
                <w:rFonts w:ascii="Arial" w:hAnsi="Arial" w:cs="Arial"/>
                <w:sz w:val="18"/>
                <w:szCs w:val="18"/>
                <w:lang w:val="es-ES_tradnl"/>
              </w:rPr>
              <w:t xml:space="preserve"> (ii)</w:t>
            </w:r>
            <w:r w:rsidR="007E1DF8">
              <w:rPr>
                <w:rFonts w:ascii="Arial" w:hAnsi="Arial" w:cs="Arial"/>
                <w:sz w:val="18"/>
                <w:szCs w:val="18"/>
                <w:lang w:val="es-ES_tradnl"/>
              </w:rPr>
              <w:t> </w:t>
            </w:r>
            <w:r w:rsidRPr="00190CF9">
              <w:rPr>
                <w:rFonts w:ascii="Arial" w:hAnsi="Arial" w:cs="Arial"/>
                <w:sz w:val="18"/>
                <w:szCs w:val="18"/>
                <w:lang w:val="es-ES_tradnl"/>
              </w:rPr>
              <w:t xml:space="preserve">instructivo para </w:t>
            </w:r>
            <w:r w:rsidR="00FC49A7" w:rsidRPr="00190CF9">
              <w:rPr>
                <w:rFonts w:ascii="Arial" w:hAnsi="Arial" w:cs="Arial"/>
                <w:sz w:val="18"/>
                <w:szCs w:val="18"/>
                <w:lang w:val="es-ES_tradnl"/>
              </w:rPr>
              <w:t>instrumentos financieros derivados</w:t>
            </w:r>
            <w:r w:rsidR="00095A76" w:rsidRPr="00190CF9">
              <w:rPr>
                <w:rFonts w:ascii="Arial" w:hAnsi="Arial" w:cs="Arial"/>
                <w:sz w:val="18"/>
                <w:szCs w:val="18"/>
                <w:lang w:val="es-ES_tradnl"/>
              </w:rPr>
              <w:t>;</w:t>
            </w:r>
            <w:r w:rsidR="00FC49A7" w:rsidRPr="00190CF9">
              <w:rPr>
                <w:rFonts w:ascii="Arial" w:hAnsi="Arial" w:cs="Arial"/>
                <w:sz w:val="18"/>
                <w:szCs w:val="18"/>
                <w:lang w:val="es-ES_tradnl"/>
              </w:rPr>
              <w:t xml:space="preserve"> y (iii) </w:t>
            </w:r>
            <w:r w:rsidRPr="00190CF9">
              <w:rPr>
                <w:rFonts w:ascii="Arial" w:hAnsi="Arial" w:cs="Arial"/>
                <w:sz w:val="18"/>
                <w:szCs w:val="18"/>
                <w:lang w:val="es-ES_tradnl"/>
              </w:rPr>
              <w:t>las modificaciones al Manual de Contabilidad para Instituciones Financieras</w:t>
            </w:r>
            <w:r w:rsidR="00FC49A7" w:rsidRPr="00190CF9">
              <w:rPr>
                <w:rFonts w:ascii="Arial" w:hAnsi="Arial" w:cs="Arial"/>
                <w:sz w:val="18"/>
                <w:szCs w:val="18"/>
                <w:lang w:val="es-ES_tradnl"/>
              </w:rPr>
              <w:t>.</w:t>
            </w:r>
            <w:r w:rsidR="003436A4" w:rsidRPr="00190CF9">
              <w:rPr>
                <w:rFonts w:ascii="Arial" w:hAnsi="Arial" w:cs="Arial"/>
                <w:sz w:val="18"/>
                <w:szCs w:val="18"/>
                <w:lang w:val="es-ES_tradnl"/>
              </w:rPr>
              <w:t xml:space="preserve"> </w:t>
            </w:r>
            <w:r w:rsidR="0072349F" w:rsidRPr="00190CF9">
              <w:rPr>
                <w:rFonts w:ascii="Arial" w:hAnsi="Arial" w:cs="Arial"/>
                <w:sz w:val="18"/>
                <w:szCs w:val="18"/>
                <w:lang w:val="es-ES_tradnl"/>
              </w:rPr>
              <w:t>Las modificaciones del Reglamento sobre Evaluación de Activos y Riesgo de Mercado constituyen pasos previos requeridos para l</w:t>
            </w:r>
            <w:r w:rsidR="000E7839" w:rsidRPr="00190CF9">
              <w:rPr>
                <w:rFonts w:ascii="Arial" w:hAnsi="Arial" w:cs="Arial"/>
                <w:sz w:val="18"/>
                <w:szCs w:val="18"/>
                <w:lang w:val="es-ES_tradnl"/>
              </w:rPr>
              <w:t>a modificación del Reglamento de Normas Prudenciales de Adecuación Patrimonial</w:t>
            </w:r>
            <w:r w:rsidR="00FC49A7" w:rsidRPr="00190CF9">
              <w:rPr>
                <w:rFonts w:ascii="Arial" w:hAnsi="Arial" w:cs="Arial"/>
                <w:sz w:val="18"/>
                <w:szCs w:val="18"/>
                <w:lang w:val="es-ES_tradnl"/>
              </w:rPr>
              <w:t xml:space="preserve"> </w:t>
            </w:r>
            <w:r w:rsidR="0074024D" w:rsidRPr="00190CF9">
              <w:rPr>
                <w:rFonts w:ascii="Arial" w:hAnsi="Arial" w:cs="Arial"/>
                <w:sz w:val="18"/>
                <w:szCs w:val="18"/>
                <w:lang w:val="es-ES_tradnl"/>
              </w:rPr>
              <w:t>(adecuación del capital)</w:t>
            </w:r>
            <w:r w:rsidR="0072349F" w:rsidRPr="00190CF9">
              <w:rPr>
                <w:rFonts w:ascii="Arial" w:hAnsi="Arial" w:cs="Arial"/>
                <w:sz w:val="18"/>
                <w:szCs w:val="18"/>
                <w:lang w:val="es-ES_tradnl"/>
              </w:rPr>
              <w:t xml:space="preserve">, para que el requerimiento de capital asociado a dichos riesgos </w:t>
            </w:r>
            <w:r w:rsidR="006D5F7D" w:rsidRPr="00190CF9">
              <w:rPr>
                <w:rFonts w:ascii="Arial" w:hAnsi="Arial" w:cs="Arial"/>
                <w:sz w:val="18"/>
                <w:szCs w:val="18"/>
                <w:lang w:val="es-ES_tradnl"/>
              </w:rPr>
              <w:t>se</w:t>
            </w:r>
            <w:r w:rsidR="0072349F" w:rsidRPr="00190CF9">
              <w:rPr>
                <w:rFonts w:ascii="Arial" w:hAnsi="Arial" w:cs="Arial"/>
                <w:sz w:val="18"/>
                <w:szCs w:val="18"/>
                <w:lang w:val="es-ES_tradnl"/>
              </w:rPr>
              <w:t xml:space="preserve"> conforme a los estándares y requerimientos establecidos por el Comité de Basilea, por lo que constituyen avances </w:t>
            </w:r>
            <w:r w:rsidR="00662C96" w:rsidRPr="00190CF9">
              <w:rPr>
                <w:rFonts w:ascii="Arial" w:hAnsi="Arial" w:cs="Arial"/>
                <w:sz w:val="18"/>
                <w:szCs w:val="18"/>
                <w:lang w:val="es-ES_tradnl"/>
              </w:rPr>
              <w:t xml:space="preserve">y desarrollos </w:t>
            </w:r>
            <w:r w:rsidR="0072349F" w:rsidRPr="00190CF9">
              <w:rPr>
                <w:rFonts w:ascii="Arial" w:hAnsi="Arial" w:cs="Arial"/>
                <w:sz w:val="18"/>
                <w:szCs w:val="18"/>
                <w:lang w:val="es-ES_tradnl"/>
              </w:rPr>
              <w:t xml:space="preserve">hacia el logro de este </w:t>
            </w:r>
            <w:r w:rsidR="00FC49A7" w:rsidRPr="00190CF9">
              <w:rPr>
                <w:rFonts w:ascii="Arial" w:hAnsi="Arial" w:cs="Arial"/>
                <w:sz w:val="18"/>
                <w:szCs w:val="18"/>
                <w:lang w:val="es-ES_tradnl"/>
              </w:rPr>
              <w:t>objetivo de mediano plazo</w:t>
            </w:r>
            <w:r w:rsidR="0072349F" w:rsidRPr="00190CF9">
              <w:rPr>
                <w:rFonts w:ascii="Arial" w:hAnsi="Arial" w:cs="Arial"/>
                <w:sz w:val="18"/>
                <w:szCs w:val="18"/>
                <w:lang w:val="es-ES_tradnl"/>
              </w:rPr>
              <w:t>.</w:t>
            </w:r>
            <w:r w:rsidR="00C27E88" w:rsidRPr="00190CF9">
              <w:rPr>
                <w:rFonts w:ascii="Arial" w:hAnsi="Arial" w:cs="Arial"/>
                <w:sz w:val="18"/>
                <w:szCs w:val="18"/>
                <w:lang w:val="es-ES_tradnl"/>
              </w:rPr>
              <w:t xml:space="preserve"> L</w:t>
            </w:r>
            <w:r w:rsidR="0072349F" w:rsidRPr="00190CF9">
              <w:rPr>
                <w:rFonts w:ascii="Arial" w:hAnsi="Arial" w:cs="Arial"/>
                <w:sz w:val="18"/>
                <w:szCs w:val="18"/>
                <w:lang w:val="es-ES_tradnl"/>
              </w:rPr>
              <w:t xml:space="preserve">a </w:t>
            </w:r>
            <w:r w:rsidR="00754175" w:rsidRPr="00190CF9">
              <w:rPr>
                <w:rFonts w:ascii="Arial" w:hAnsi="Arial" w:cs="Arial"/>
                <w:sz w:val="18"/>
                <w:szCs w:val="18"/>
                <w:lang w:val="es-ES_tradnl"/>
              </w:rPr>
              <w:t>adopción</w:t>
            </w:r>
            <w:r w:rsidR="0072349F" w:rsidRPr="00190CF9">
              <w:rPr>
                <w:rFonts w:ascii="Arial" w:hAnsi="Arial" w:cs="Arial"/>
                <w:sz w:val="18"/>
                <w:szCs w:val="18"/>
                <w:lang w:val="es-ES_tradnl"/>
              </w:rPr>
              <w:t xml:space="preserve"> de</w:t>
            </w:r>
            <w:r w:rsidR="00272A64" w:rsidRPr="00190CF9">
              <w:rPr>
                <w:rFonts w:ascii="Arial" w:hAnsi="Arial" w:cs="Arial"/>
                <w:sz w:val="18"/>
                <w:szCs w:val="18"/>
                <w:lang w:val="es-ES_tradnl"/>
              </w:rPr>
              <w:t xml:space="preserve">l </w:t>
            </w:r>
            <w:r w:rsidR="00754175" w:rsidRPr="00190CF9">
              <w:rPr>
                <w:rFonts w:ascii="Arial" w:hAnsi="Arial" w:cs="Arial"/>
                <w:sz w:val="18"/>
                <w:szCs w:val="18"/>
                <w:lang w:val="es-ES_tradnl"/>
              </w:rPr>
              <w:t xml:space="preserve">nuevo </w:t>
            </w:r>
            <w:r w:rsidR="0072349F" w:rsidRPr="00190CF9">
              <w:rPr>
                <w:rFonts w:ascii="Arial" w:hAnsi="Arial" w:cs="Arial"/>
                <w:sz w:val="18"/>
                <w:szCs w:val="18"/>
                <w:lang w:val="es-ES_tradnl"/>
              </w:rPr>
              <w:t>reglamento</w:t>
            </w:r>
            <w:r w:rsidR="00095A76" w:rsidRPr="00190CF9">
              <w:rPr>
                <w:rFonts w:ascii="Arial" w:hAnsi="Arial" w:cs="Arial"/>
                <w:sz w:val="18"/>
                <w:szCs w:val="18"/>
                <w:lang w:val="es-ES_tradnl"/>
              </w:rPr>
              <w:t xml:space="preserve"> </w:t>
            </w:r>
            <w:r w:rsidR="00272A64" w:rsidRPr="00190CF9">
              <w:rPr>
                <w:rFonts w:ascii="Arial" w:hAnsi="Arial" w:cs="Arial"/>
                <w:sz w:val="18"/>
                <w:szCs w:val="18"/>
                <w:lang w:val="es-ES_tradnl"/>
              </w:rPr>
              <w:t xml:space="preserve">de adecuación del capital </w:t>
            </w:r>
            <w:r w:rsidR="006D5F7D" w:rsidRPr="00190CF9">
              <w:rPr>
                <w:rFonts w:ascii="Arial" w:hAnsi="Arial" w:cs="Arial"/>
                <w:sz w:val="18"/>
                <w:szCs w:val="18"/>
                <w:lang w:val="es-ES_tradnl"/>
              </w:rPr>
              <w:t>requiere</w:t>
            </w:r>
            <w:r w:rsidR="00FC49A7" w:rsidRPr="00190CF9">
              <w:rPr>
                <w:rFonts w:ascii="Arial" w:hAnsi="Arial" w:cs="Arial"/>
                <w:sz w:val="18"/>
                <w:szCs w:val="18"/>
                <w:lang w:val="es-ES_tradnl"/>
              </w:rPr>
              <w:t xml:space="preserve"> la modificación previa de la Ley Monetaria y Financiera</w:t>
            </w:r>
            <w:r w:rsidR="000E7839" w:rsidRPr="00190CF9">
              <w:rPr>
                <w:rFonts w:ascii="Arial" w:hAnsi="Arial" w:cs="Arial"/>
                <w:sz w:val="18"/>
                <w:szCs w:val="18"/>
                <w:lang w:val="es-ES_tradnl"/>
              </w:rPr>
              <w:t xml:space="preserve">. </w:t>
            </w:r>
          </w:p>
        </w:tc>
      </w:tr>
      <w:tr w:rsidR="000E7839" w:rsidRPr="00A778E5" w14:paraId="512838EE" w14:textId="77777777" w:rsidTr="005937E7">
        <w:trPr>
          <w:cantSplit/>
          <w:trHeight w:val="396"/>
          <w:jc w:val="center"/>
        </w:trPr>
        <w:tc>
          <w:tcPr>
            <w:tcW w:w="1012" w:type="pct"/>
            <w:vMerge/>
            <w:tcBorders>
              <w:left w:val="single" w:sz="4" w:space="0" w:color="auto"/>
              <w:right w:val="single" w:sz="4" w:space="0" w:color="auto"/>
            </w:tcBorders>
            <w:shd w:val="clear" w:color="auto" w:fill="auto"/>
          </w:tcPr>
          <w:p w14:paraId="359A63B9" w14:textId="77777777" w:rsidR="000E7839" w:rsidRPr="00190CF9" w:rsidRDefault="000E7839" w:rsidP="00AB7CDB">
            <w:pPr>
              <w:ind w:left="144" w:right="144"/>
              <w:rPr>
                <w:rFonts w:ascii="Arial" w:hAnsi="Arial" w:cs="Arial"/>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tcPr>
          <w:p w14:paraId="7EF08FAA" w14:textId="77777777" w:rsidR="000E7839" w:rsidRPr="00190CF9" w:rsidRDefault="000E7839" w:rsidP="00AB7CDB">
            <w:pPr>
              <w:tabs>
                <w:tab w:val="left" w:pos="567"/>
              </w:tabs>
              <w:ind w:left="109"/>
              <w:jc w:val="center"/>
              <w:rPr>
                <w:rFonts w:ascii="Arial" w:hAnsi="Arial" w:cs="Arial"/>
                <w:sz w:val="18"/>
                <w:szCs w:val="18"/>
                <w:lang w:val="es-ES_tradnl"/>
              </w:rPr>
            </w:pPr>
          </w:p>
        </w:tc>
        <w:tc>
          <w:tcPr>
            <w:tcW w:w="1178" w:type="pct"/>
            <w:tcBorders>
              <w:top w:val="single" w:sz="4" w:space="0" w:color="auto"/>
              <w:left w:val="single" w:sz="4" w:space="0" w:color="auto"/>
              <w:bottom w:val="single" w:sz="4" w:space="0" w:color="auto"/>
              <w:right w:val="single" w:sz="4" w:space="0" w:color="auto"/>
            </w:tcBorders>
          </w:tcPr>
          <w:p w14:paraId="6DC45654" w14:textId="77777777" w:rsidR="000E7839" w:rsidRPr="00190CF9" w:rsidRDefault="000E7839" w:rsidP="001D15ED">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Aprobación </w:t>
            </w:r>
            <w:r w:rsidR="00014AA0" w:rsidRPr="00190CF9">
              <w:rPr>
                <w:rFonts w:ascii="Arial" w:hAnsi="Arial" w:cs="Arial"/>
                <w:sz w:val="18"/>
                <w:szCs w:val="18"/>
                <w:lang w:val="es-ES_tradnl"/>
              </w:rPr>
              <w:t xml:space="preserve">por parte de la Junta Monetaria de </w:t>
            </w:r>
            <w:r w:rsidRPr="00190CF9">
              <w:rPr>
                <w:rFonts w:ascii="Arial" w:hAnsi="Arial" w:cs="Arial"/>
                <w:sz w:val="18"/>
                <w:szCs w:val="18"/>
                <w:lang w:val="es-ES_tradnl"/>
              </w:rPr>
              <w:t>un nuevo Reglamento sobre Gobierno Corporativo.</w:t>
            </w:r>
          </w:p>
        </w:tc>
        <w:tc>
          <w:tcPr>
            <w:tcW w:w="1634" w:type="pct"/>
            <w:tcBorders>
              <w:top w:val="single" w:sz="4" w:space="0" w:color="auto"/>
              <w:left w:val="single" w:sz="4" w:space="0" w:color="auto"/>
              <w:bottom w:val="single" w:sz="4" w:space="0" w:color="auto"/>
              <w:right w:val="single" w:sz="4" w:space="0" w:color="auto"/>
            </w:tcBorders>
          </w:tcPr>
          <w:p w14:paraId="0BFBACFE" w14:textId="60DD10A0" w:rsidR="00F67FF3" w:rsidRPr="00190CF9" w:rsidRDefault="00F34960"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Nuevo compromiso. Cumplido</w:t>
            </w:r>
            <w:r w:rsidR="000E7839" w:rsidRPr="00190CF9">
              <w:rPr>
                <w:rFonts w:ascii="Arial" w:hAnsi="Arial" w:cs="Arial"/>
                <w:b/>
                <w:sz w:val="18"/>
                <w:szCs w:val="18"/>
                <w:lang w:val="es-ES_tradnl"/>
              </w:rPr>
              <w:t>.</w:t>
            </w:r>
            <w:r w:rsidR="000E7839" w:rsidRPr="00190CF9">
              <w:rPr>
                <w:rFonts w:ascii="Arial" w:hAnsi="Arial" w:cs="Arial"/>
                <w:sz w:val="18"/>
                <w:szCs w:val="18"/>
                <w:lang w:val="es-ES_tradnl"/>
              </w:rPr>
              <w:t xml:space="preserve"> </w:t>
            </w:r>
            <w:r w:rsidR="008B1E99" w:rsidRPr="00190CF9">
              <w:rPr>
                <w:rFonts w:ascii="Arial" w:hAnsi="Arial" w:cs="Arial"/>
                <w:sz w:val="18"/>
                <w:szCs w:val="18"/>
                <w:lang w:val="es-ES_tradnl"/>
              </w:rPr>
              <w:t>En seguimiento a los acuerdos del primer programa, se incorporó un nuevo acuerdo sobre el Reglamento de Gobierno Corporativo que no estaba previsto originalmente para la segunda operación. Este nuevo acuerdo implica la consecución del objetivo planteado en la primera operación para la mejora en la gobernanza corporativa de las instituciones de intermediación financiera</w:t>
            </w:r>
            <w:r w:rsidR="00476AB0" w:rsidRPr="00190CF9">
              <w:rPr>
                <w:rFonts w:ascii="Arial" w:hAnsi="Arial" w:cs="Arial"/>
                <w:sz w:val="18"/>
                <w:szCs w:val="18"/>
                <w:lang w:val="es-ES_tradnl"/>
              </w:rPr>
              <w:t>.</w:t>
            </w:r>
          </w:p>
        </w:tc>
      </w:tr>
      <w:tr w:rsidR="000E7839" w:rsidRPr="00A778E5" w14:paraId="2AECF3F1" w14:textId="77777777" w:rsidTr="005937E7">
        <w:trPr>
          <w:cantSplit/>
          <w:trHeight w:val="396"/>
          <w:jc w:val="center"/>
        </w:trPr>
        <w:tc>
          <w:tcPr>
            <w:tcW w:w="1012" w:type="pct"/>
            <w:vMerge/>
            <w:tcBorders>
              <w:left w:val="single" w:sz="4" w:space="0" w:color="auto"/>
              <w:bottom w:val="single" w:sz="4" w:space="0" w:color="auto"/>
              <w:right w:val="single" w:sz="4" w:space="0" w:color="auto"/>
            </w:tcBorders>
            <w:shd w:val="clear" w:color="auto" w:fill="auto"/>
          </w:tcPr>
          <w:p w14:paraId="0F1CE632" w14:textId="77777777" w:rsidR="000E7839" w:rsidRPr="00190CF9" w:rsidRDefault="000E7839" w:rsidP="000E7839">
            <w:pPr>
              <w:ind w:left="144" w:right="144"/>
              <w:rPr>
                <w:rFonts w:ascii="Arial" w:hAnsi="Arial" w:cs="Arial"/>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tcPr>
          <w:p w14:paraId="62B7B692" w14:textId="77777777" w:rsidR="000E7839" w:rsidRPr="00190CF9" w:rsidRDefault="000E7839" w:rsidP="00D90ECD">
            <w:pPr>
              <w:ind w:left="144" w:right="144"/>
              <w:jc w:val="both"/>
              <w:rPr>
                <w:rFonts w:ascii="Arial" w:hAnsi="Arial" w:cs="Arial"/>
                <w:sz w:val="18"/>
                <w:szCs w:val="18"/>
                <w:lang w:val="es-ES_tradnl"/>
              </w:rPr>
            </w:pPr>
            <w:r w:rsidRPr="00190CF9">
              <w:rPr>
                <w:rFonts w:ascii="Arial" w:hAnsi="Arial" w:cs="Arial"/>
                <w:sz w:val="18"/>
                <w:szCs w:val="18"/>
                <w:lang w:val="es-ES_tradnl"/>
              </w:rPr>
              <w:t>Desarrollo de la regulación en materia de cooperativas de ahorro y crédito.</w:t>
            </w:r>
          </w:p>
        </w:tc>
        <w:tc>
          <w:tcPr>
            <w:tcW w:w="1178" w:type="pct"/>
            <w:tcBorders>
              <w:top w:val="single" w:sz="4" w:space="0" w:color="auto"/>
              <w:left w:val="single" w:sz="4" w:space="0" w:color="auto"/>
              <w:bottom w:val="single" w:sz="4" w:space="0" w:color="auto"/>
              <w:right w:val="single" w:sz="4" w:space="0" w:color="auto"/>
            </w:tcBorders>
          </w:tcPr>
          <w:p w14:paraId="3CE3F7E6" w14:textId="53563F9E" w:rsidR="000E7839" w:rsidRPr="00190CF9" w:rsidRDefault="000E7839" w:rsidP="001D15ED">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Presentación a </w:t>
            </w:r>
            <w:r w:rsidR="00422D2A" w:rsidRPr="00190CF9">
              <w:rPr>
                <w:rFonts w:ascii="Arial" w:hAnsi="Arial" w:cs="Arial"/>
                <w:sz w:val="18"/>
                <w:szCs w:val="18"/>
                <w:lang w:val="es-ES_tradnl"/>
              </w:rPr>
              <w:t xml:space="preserve">Junta Monetaria </w:t>
            </w:r>
            <w:r w:rsidRPr="00190CF9">
              <w:rPr>
                <w:rFonts w:ascii="Arial" w:hAnsi="Arial" w:cs="Arial"/>
                <w:sz w:val="18"/>
                <w:szCs w:val="18"/>
                <w:lang w:val="es-ES_tradnl"/>
              </w:rPr>
              <w:t>de un proyecto de Ley de</w:t>
            </w:r>
            <w:r w:rsidR="008E09D4" w:rsidRPr="00190CF9">
              <w:rPr>
                <w:rFonts w:ascii="Arial" w:hAnsi="Arial" w:cs="Arial"/>
                <w:sz w:val="18"/>
                <w:szCs w:val="18"/>
                <w:lang w:val="es-ES_tradnl"/>
              </w:rPr>
              <w:t>l</w:t>
            </w:r>
            <w:r w:rsidRPr="00190CF9">
              <w:rPr>
                <w:rFonts w:ascii="Arial" w:hAnsi="Arial" w:cs="Arial"/>
                <w:sz w:val="18"/>
                <w:szCs w:val="18"/>
                <w:lang w:val="es-ES_tradnl"/>
              </w:rPr>
              <w:t xml:space="preserve"> </w:t>
            </w:r>
            <w:r w:rsidR="0069730D" w:rsidRPr="00190CF9">
              <w:rPr>
                <w:rFonts w:ascii="Arial" w:hAnsi="Arial" w:cs="Arial"/>
                <w:sz w:val="18"/>
                <w:szCs w:val="18"/>
                <w:lang w:val="es-ES_tradnl"/>
              </w:rPr>
              <w:t xml:space="preserve">Sistema </w:t>
            </w:r>
            <w:r w:rsidR="008E09D4" w:rsidRPr="00190CF9">
              <w:rPr>
                <w:rFonts w:ascii="Arial" w:hAnsi="Arial" w:cs="Arial"/>
                <w:sz w:val="18"/>
                <w:szCs w:val="18"/>
                <w:lang w:val="es-ES_tradnl"/>
              </w:rPr>
              <w:t>Cooperativo</w:t>
            </w:r>
            <w:r w:rsidRPr="00190CF9">
              <w:rPr>
                <w:rFonts w:ascii="Arial" w:hAnsi="Arial" w:cs="Arial"/>
                <w:sz w:val="18"/>
                <w:szCs w:val="18"/>
                <w:lang w:val="es-ES_tradnl"/>
              </w:rPr>
              <w:t xml:space="preserve"> </w:t>
            </w:r>
            <w:r w:rsidR="008E09D4" w:rsidRPr="00190CF9">
              <w:rPr>
                <w:rFonts w:ascii="Arial" w:hAnsi="Arial" w:cs="Arial"/>
                <w:sz w:val="18"/>
                <w:szCs w:val="18"/>
                <w:lang w:val="es-ES_tradnl"/>
              </w:rPr>
              <w:t>Dominicano</w:t>
            </w:r>
            <w:r w:rsidRPr="00190CF9">
              <w:rPr>
                <w:rFonts w:ascii="Arial" w:hAnsi="Arial" w:cs="Arial"/>
                <w:sz w:val="18"/>
                <w:szCs w:val="18"/>
                <w:lang w:val="es-ES_tradnl"/>
              </w:rPr>
              <w:t>.</w:t>
            </w:r>
          </w:p>
        </w:tc>
        <w:tc>
          <w:tcPr>
            <w:tcW w:w="1634" w:type="pct"/>
            <w:tcBorders>
              <w:top w:val="single" w:sz="4" w:space="0" w:color="auto"/>
              <w:left w:val="single" w:sz="4" w:space="0" w:color="auto"/>
              <w:bottom w:val="single" w:sz="4" w:space="0" w:color="auto"/>
              <w:right w:val="single" w:sz="4" w:space="0" w:color="auto"/>
            </w:tcBorders>
          </w:tcPr>
          <w:p w14:paraId="66963144" w14:textId="075FEFA2" w:rsidR="00F67FF3" w:rsidRPr="00190CF9" w:rsidRDefault="00FA6338"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Compromiso reforzado. En proceso</w:t>
            </w:r>
            <w:r w:rsidRPr="00190CF9">
              <w:rPr>
                <w:rFonts w:ascii="Arial" w:hAnsi="Arial" w:cs="Arial"/>
                <w:sz w:val="18"/>
                <w:szCs w:val="18"/>
                <w:lang w:val="es-ES_tradnl"/>
              </w:rPr>
              <w:t xml:space="preserve">. En cuanto a la </w:t>
            </w:r>
            <w:r w:rsidR="00865924" w:rsidRPr="00190CF9">
              <w:rPr>
                <w:rFonts w:ascii="Arial" w:hAnsi="Arial" w:cs="Arial"/>
                <w:sz w:val="18"/>
                <w:szCs w:val="18"/>
                <w:lang w:val="es-ES_tradnl"/>
              </w:rPr>
              <w:t>regulación en materia de cooper</w:t>
            </w:r>
            <w:r w:rsidR="00353927" w:rsidRPr="00190CF9">
              <w:rPr>
                <w:rFonts w:ascii="Arial" w:hAnsi="Arial" w:cs="Arial"/>
                <w:sz w:val="18"/>
                <w:szCs w:val="18"/>
                <w:lang w:val="es-ES_tradnl"/>
              </w:rPr>
              <w:t>a</w:t>
            </w:r>
            <w:r w:rsidRPr="00190CF9">
              <w:rPr>
                <w:rFonts w:ascii="Arial" w:hAnsi="Arial" w:cs="Arial"/>
                <w:sz w:val="18"/>
                <w:szCs w:val="18"/>
                <w:lang w:val="es-ES_tradnl"/>
              </w:rPr>
              <w:t>tivas de ahorro y crédito, se incluyó como compromiso p</w:t>
            </w:r>
            <w:r w:rsidR="00865924" w:rsidRPr="00190CF9">
              <w:rPr>
                <w:rFonts w:ascii="Arial" w:hAnsi="Arial" w:cs="Arial"/>
                <w:sz w:val="18"/>
                <w:szCs w:val="18"/>
                <w:lang w:val="es-ES_tradnl"/>
              </w:rPr>
              <w:t>ara la segunda operación la pre</w:t>
            </w:r>
            <w:r w:rsidRPr="00190CF9">
              <w:rPr>
                <w:rFonts w:ascii="Arial" w:hAnsi="Arial" w:cs="Arial"/>
                <w:sz w:val="18"/>
                <w:szCs w:val="18"/>
                <w:lang w:val="es-ES_tradnl"/>
              </w:rPr>
              <w:t>sentación a</w:t>
            </w:r>
            <w:r w:rsidR="00422D2A" w:rsidRPr="00190CF9">
              <w:rPr>
                <w:rFonts w:ascii="Arial" w:hAnsi="Arial" w:cs="Arial"/>
                <w:sz w:val="18"/>
                <w:szCs w:val="18"/>
                <w:lang w:val="es-ES_tradnl"/>
              </w:rPr>
              <w:t xml:space="preserve"> Junta Monetaria </w:t>
            </w:r>
            <w:r w:rsidRPr="00190CF9">
              <w:rPr>
                <w:rFonts w:ascii="Arial" w:hAnsi="Arial" w:cs="Arial"/>
                <w:sz w:val="18"/>
                <w:szCs w:val="18"/>
                <w:lang w:val="es-ES_tradnl"/>
              </w:rPr>
              <w:t>de un proyecto de Ley de</w:t>
            </w:r>
            <w:r w:rsidR="008E09D4" w:rsidRPr="00190CF9">
              <w:rPr>
                <w:rFonts w:ascii="Arial" w:hAnsi="Arial" w:cs="Arial"/>
                <w:sz w:val="18"/>
                <w:szCs w:val="18"/>
                <w:lang w:val="es-ES_tradnl"/>
              </w:rPr>
              <w:t>l Sistema Cooperativo Dominicano</w:t>
            </w:r>
            <w:r w:rsidR="00167FDD" w:rsidRPr="00190CF9">
              <w:rPr>
                <w:rFonts w:ascii="Arial" w:hAnsi="Arial" w:cs="Arial"/>
                <w:sz w:val="18"/>
                <w:szCs w:val="18"/>
                <w:lang w:val="es-ES_tradnl"/>
              </w:rPr>
              <w:t xml:space="preserve"> y no solo desarrollar regulación al respecto</w:t>
            </w:r>
            <w:r w:rsidRPr="00190CF9">
              <w:rPr>
                <w:rFonts w:ascii="Arial" w:hAnsi="Arial" w:cs="Arial"/>
                <w:sz w:val="18"/>
                <w:szCs w:val="18"/>
                <w:lang w:val="es-ES_tradnl"/>
              </w:rPr>
              <w:t>, ya que la actual ley de cooperativas data de mediados de los años ’6</w:t>
            </w:r>
            <w:r w:rsidR="00865924" w:rsidRPr="00190CF9">
              <w:rPr>
                <w:rFonts w:ascii="Arial" w:hAnsi="Arial" w:cs="Arial"/>
                <w:sz w:val="18"/>
                <w:szCs w:val="18"/>
                <w:lang w:val="es-ES_tradnl"/>
              </w:rPr>
              <w:t>0 y requiere actualizarse en va</w:t>
            </w:r>
            <w:r w:rsidRPr="00190CF9">
              <w:rPr>
                <w:rFonts w:ascii="Arial" w:hAnsi="Arial" w:cs="Arial"/>
                <w:sz w:val="18"/>
                <w:szCs w:val="18"/>
                <w:lang w:val="es-ES_tradnl"/>
              </w:rPr>
              <w:t>rios aspectos. Con apoyo de una cooperación técnica de la División de Conectividad, Mercados y Fina</w:t>
            </w:r>
            <w:r w:rsidR="00865924" w:rsidRPr="00190CF9">
              <w:rPr>
                <w:rFonts w:ascii="Arial" w:hAnsi="Arial" w:cs="Arial"/>
                <w:sz w:val="18"/>
                <w:szCs w:val="18"/>
                <w:lang w:val="es-ES_tradnl"/>
              </w:rPr>
              <w:t>nzas (CMF) del BID al Banco Cen</w:t>
            </w:r>
            <w:r w:rsidRPr="00190CF9">
              <w:rPr>
                <w:rFonts w:ascii="Arial" w:hAnsi="Arial" w:cs="Arial"/>
                <w:sz w:val="18"/>
                <w:szCs w:val="18"/>
                <w:lang w:val="es-ES_tradnl"/>
              </w:rPr>
              <w:t>tral se ha logrado avances en la elaboración de un proyect</w:t>
            </w:r>
            <w:r w:rsidR="00865924" w:rsidRPr="00190CF9">
              <w:rPr>
                <w:rFonts w:ascii="Arial" w:hAnsi="Arial" w:cs="Arial"/>
                <w:sz w:val="18"/>
                <w:szCs w:val="18"/>
                <w:lang w:val="es-ES_tradnl"/>
              </w:rPr>
              <w:t>o para una nueva ley de coopera</w:t>
            </w:r>
            <w:r w:rsidRPr="00190CF9">
              <w:rPr>
                <w:rFonts w:ascii="Arial" w:hAnsi="Arial" w:cs="Arial"/>
                <w:sz w:val="18"/>
                <w:szCs w:val="18"/>
                <w:lang w:val="es-ES_tradnl"/>
              </w:rPr>
              <w:t>tivas.</w:t>
            </w:r>
            <w:r w:rsidR="0097716F" w:rsidRPr="00190CF9">
              <w:rPr>
                <w:rFonts w:ascii="Arial" w:hAnsi="Arial" w:cs="Arial"/>
                <w:sz w:val="18"/>
                <w:szCs w:val="18"/>
                <w:lang w:val="es-ES_tradnl"/>
              </w:rPr>
              <w:t xml:space="preserve"> </w:t>
            </w:r>
            <w:r w:rsidR="00280648" w:rsidRPr="00190CF9">
              <w:rPr>
                <w:rFonts w:ascii="Arial" w:hAnsi="Arial" w:cs="Arial"/>
                <w:sz w:val="18"/>
                <w:szCs w:val="18"/>
                <w:lang w:val="es-ES_tradnl"/>
              </w:rPr>
              <w:t>Adicionalmente</w:t>
            </w:r>
            <w:r w:rsidR="0097716F" w:rsidRPr="00190CF9">
              <w:rPr>
                <w:rFonts w:ascii="Arial" w:hAnsi="Arial" w:cs="Arial"/>
                <w:sz w:val="18"/>
                <w:szCs w:val="18"/>
                <w:lang w:val="es-ES_tradnl"/>
              </w:rPr>
              <w:t xml:space="preserve">, el </w:t>
            </w:r>
            <w:r w:rsidR="00280648" w:rsidRPr="00190CF9">
              <w:rPr>
                <w:rFonts w:ascii="Arial" w:hAnsi="Arial" w:cs="Arial"/>
                <w:sz w:val="18"/>
                <w:szCs w:val="18"/>
                <w:lang w:val="es-ES_tradnl"/>
              </w:rPr>
              <w:t xml:space="preserve">Banco se encuentra </w:t>
            </w:r>
            <w:r w:rsidR="0097716F" w:rsidRPr="00190CF9">
              <w:rPr>
                <w:rFonts w:ascii="Arial" w:hAnsi="Arial" w:cs="Arial"/>
                <w:sz w:val="18"/>
                <w:szCs w:val="18"/>
                <w:lang w:val="es-ES_tradnl"/>
              </w:rPr>
              <w:t xml:space="preserve">apoyando el proceso de consultas del anteproyecto de ley </w:t>
            </w:r>
            <w:r w:rsidR="00476AB0" w:rsidRPr="00190CF9">
              <w:rPr>
                <w:rFonts w:ascii="Arial" w:hAnsi="Arial" w:cs="Arial"/>
                <w:sz w:val="18"/>
                <w:szCs w:val="18"/>
                <w:lang w:val="es-ES_tradnl"/>
              </w:rPr>
              <w:t>a través</w:t>
            </w:r>
            <w:r w:rsidR="0097716F" w:rsidRPr="00190CF9">
              <w:rPr>
                <w:rFonts w:ascii="Arial" w:hAnsi="Arial" w:cs="Arial"/>
                <w:sz w:val="18"/>
                <w:szCs w:val="18"/>
                <w:lang w:val="es-ES_tradnl"/>
              </w:rPr>
              <w:t xml:space="preserve"> de otra cooperación técnica</w:t>
            </w:r>
            <w:r w:rsidR="00C41105" w:rsidRPr="00190CF9">
              <w:rPr>
                <w:rFonts w:ascii="Arial" w:hAnsi="Arial" w:cs="Arial"/>
                <w:sz w:val="18"/>
                <w:szCs w:val="18"/>
                <w:lang w:val="es-ES_tradnl"/>
              </w:rPr>
              <w:t xml:space="preserve"> (DR-T1139)</w:t>
            </w:r>
            <w:r w:rsidR="00476AB0" w:rsidRPr="00190CF9">
              <w:rPr>
                <w:rFonts w:ascii="Arial" w:hAnsi="Arial" w:cs="Arial"/>
                <w:sz w:val="18"/>
                <w:szCs w:val="18"/>
                <w:lang w:val="es-ES_tradnl"/>
              </w:rPr>
              <w:t>, actualmente en ejecución</w:t>
            </w:r>
            <w:r w:rsidR="00EB184C" w:rsidRPr="00190CF9">
              <w:rPr>
                <w:rFonts w:ascii="Arial" w:hAnsi="Arial" w:cs="Arial"/>
                <w:sz w:val="18"/>
                <w:szCs w:val="18"/>
                <w:lang w:val="es-ES_tradnl"/>
              </w:rPr>
              <w:t xml:space="preserve">. </w:t>
            </w:r>
          </w:p>
        </w:tc>
      </w:tr>
      <w:tr w:rsidR="005E3BED" w:rsidRPr="00A778E5" w14:paraId="1E96C2AB" w14:textId="77777777" w:rsidTr="00200C8D">
        <w:trPr>
          <w:trHeight w:val="396"/>
          <w:jc w:val="center"/>
        </w:trPr>
        <w:tc>
          <w:tcPr>
            <w:tcW w:w="1012" w:type="pct"/>
            <w:vMerge w:val="restart"/>
            <w:tcBorders>
              <w:top w:val="single" w:sz="4" w:space="0" w:color="auto"/>
              <w:left w:val="single" w:sz="4" w:space="0" w:color="auto"/>
              <w:right w:val="single" w:sz="4" w:space="0" w:color="auto"/>
            </w:tcBorders>
            <w:shd w:val="clear" w:color="auto" w:fill="auto"/>
          </w:tcPr>
          <w:p w14:paraId="2EDF2C93" w14:textId="73180164" w:rsidR="005E3BED" w:rsidRPr="00190CF9" w:rsidRDefault="005E3BED" w:rsidP="007E1DF8">
            <w:pPr>
              <w:pStyle w:val="ListParagraph"/>
              <w:numPr>
                <w:ilvl w:val="0"/>
                <w:numId w:val="23"/>
              </w:numPr>
              <w:contextualSpacing w:val="0"/>
              <w:rPr>
                <w:rFonts w:ascii="Arial" w:hAnsi="Arial" w:cs="Arial"/>
                <w:sz w:val="18"/>
                <w:szCs w:val="18"/>
                <w:lang w:val="es-ES_tradnl"/>
              </w:rPr>
            </w:pPr>
            <w:r w:rsidRPr="00190CF9">
              <w:rPr>
                <w:rFonts w:ascii="Arial" w:hAnsi="Arial" w:cs="Arial"/>
                <w:b/>
                <w:sz w:val="18"/>
                <w:szCs w:val="18"/>
                <w:lang w:val="es-ES_tradnl"/>
              </w:rPr>
              <w:t>Desarrollo de nuevas instituciones e instrumentos para el financiamiento del desarrollo productivo.</w:t>
            </w:r>
          </w:p>
        </w:tc>
        <w:tc>
          <w:tcPr>
            <w:tcW w:w="1176" w:type="pct"/>
            <w:tcBorders>
              <w:top w:val="single" w:sz="4" w:space="0" w:color="auto"/>
              <w:left w:val="single" w:sz="4" w:space="0" w:color="auto"/>
              <w:bottom w:val="single" w:sz="4" w:space="0" w:color="auto"/>
              <w:right w:val="single" w:sz="4" w:space="0" w:color="auto"/>
            </w:tcBorders>
          </w:tcPr>
          <w:p w14:paraId="42BDC62A" w14:textId="77777777" w:rsidR="005E3BED" w:rsidRPr="00190CF9" w:rsidRDefault="005E3BED" w:rsidP="00D90ECD">
            <w:pPr>
              <w:ind w:left="144" w:right="144"/>
              <w:jc w:val="both"/>
              <w:rPr>
                <w:rFonts w:ascii="Arial" w:hAnsi="Arial" w:cs="Arial"/>
                <w:sz w:val="18"/>
                <w:szCs w:val="18"/>
                <w:lang w:val="es-ES_tradnl"/>
              </w:rPr>
            </w:pPr>
            <w:r w:rsidRPr="00190CF9">
              <w:rPr>
                <w:rFonts w:ascii="Arial" w:hAnsi="Arial" w:cs="Arial"/>
                <w:sz w:val="18"/>
                <w:szCs w:val="18"/>
                <w:lang w:val="es-ES_tradnl"/>
              </w:rPr>
              <w:t>Desarrollo de la reglamentación que pone en funcionamiento el Banco Dominicano de Desarrollo de las Exportaciones, siguiendo mejores prácticas.</w:t>
            </w:r>
          </w:p>
        </w:tc>
        <w:tc>
          <w:tcPr>
            <w:tcW w:w="1178" w:type="pct"/>
            <w:tcBorders>
              <w:top w:val="single" w:sz="4" w:space="0" w:color="auto"/>
              <w:left w:val="single" w:sz="4" w:space="0" w:color="auto"/>
              <w:bottom w:val="single" w:sz="4" w:space="0" w:color="auto"/>
              <w:right w:val="single" w:sz="4" w:space="0" w:color="auto"/>
            </w:tcBorders>
          </w:tcPr>
          <w:p w14:paraId="05680D08" w14:textId="77777777" w:rsidR="005E3BED" w:rsidRPr="00190CF9" w:rsidRDefault="005E3BED" w:rsidP="001D15ED">
            <w:pPr>
              <w:ind w:left="144" w:right="144"/>
              <w:jc w:val="both"/>
              <w:rPr>
                <w:rFonts w:ascii="Arial" w:eastAsia="Calibri" w:hAnsi="Arial" w:cs="Arial"/>
                <w:sz w:val="18"/>
                <w:szCs w:val="18"/>
                <w:lang w:val="es-ES"/>
              </w:rPr>
            </w:pPr>
            <w:bookmarkStart w:id="0" w:name="_Hlk494901696"/>
            <w:r w:rsidRPr="00190CF9">
              <w:rPr>
                <w:rFonts w:ascii="Arial" w:hAnsi="Arial" w:cs="Arial"/>
                <w:sz w:val="18"/>
                <w:szCs w:val="18"/>
                <w:lang w:val="es-ES_tradnl"/>
              </w:rPr>
              <w:t>Desarrollo de la reglamentación que pone en funcionamiento el Banco Nacional de las Exportaciones</w:t>
            </w:r>
            <w:r w:rsidR="00166694" w:rsidRPr="00190CF9">
              <w:rPr>
                <w:rFonts w:ascii="Arial" w:hAnsi="Arial" w:cs="Arial"/>
                <w:sz w:val="18"/>
                <w:szCs w:val="18"/>
                <w:lang w:val="es-ES_tradnl"/>
              </w:rPr>
              <w:t xml:space="preserve"> (BANDEX)</w:t>
            </w:r>
            <w:r w:rsidRPr="00190CF9">
              <w:rPr>
                <w:rFonts w:ascii="Arial" w:hAnsi="Arial" w:cs="Arial"/>
                <w:sz w:val="18"/>
                <w:szCs w:val="18"/>
                <w:lang w:val="es-ES_tradnl"/>
              </w:rPr>
              <w:t>, siguiendo mejores prácticas</w:t>
            </w:r>
            <w:bookmarkEnd w:id="0"/>
            <w:r w:rsidRPr="00190CF9">
              <w:rPr>
                <w:rFonts w:ascii="Arial" w:hAnsi="Arial" w:cs="Arial"/>
                <w:sz w:val="18"/>
                <w:szCs w:val="18"/>
                <w:lang w:val="es-ES_tradnl"/>
              </w:rPr>
              <w:t>.</w:t>
            </w:r>
          </w:p>
        </w:tc>
        <w:tc>
          <w:tcPr>
            <w:tcW w:w="1634" w:type="pct"/>
            <w:tcBorders>
              <w:top w:val="single" w:sz="4" w:space="0" w:color="auto"/>
              <w:left w:val="single" w:sz="4" w:space="0" w:color="auto"/>
              <w:bottom w:val="single" w:sz="4" w:space="0" w:color="auto"/>
              <w:right w:val="single" w:sz="4" w:space="0" w:color="auto"/>
            </w:tcBorders>
          </w:tcPr>
          <w:p w14:paraId="43047F5C" w14:textId="5C38B5AA" w:rsidR="002E6C15" w:rsidRPr="00190CF9" w:rsidRDefault="005E3BED"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Cumplido</w:t>
            </w:r>
            <w:r w:rsidRPr="00190CF9">
              <w:rPr>
                <w:rFonts w:ascii="Arial" w:hAnsi="Arial" w:cs="Arial"/>
                <w:sz w:val="18"/>
                <w:szCs w:val="18"/>
                <w:lang w:val="es-ES_tradnl"/>
              </w:rPr>
              <w:t>. Se aprobó el marco normativo que permite el funcionamiento de BANDEX, incluyendo su reestructuración y capitalización. Asimismo, la entidad ha cumplido con regulaciones exigidas por la Ley Monetaria y Financiera, y elaboró su Plan Estratégico con apoyo de la consultora Ernst &amp; Young</w:t>
            </w:r>
            <w:r w:rsidR="00A270C8" w:rsidRPr="00190CF9">
              <w:rPr>
                <w:rFonts w:ascii="Arial" w:hAnsi="Arial" w:cs="Arial"/>
                <w:sz w:val="18"/>
                <w:szCs w:val="18"/>
                <w:lang w:val="es-ES_tradnl"/>
              </w:rPr>
              <w:t>, siguiendo las mejores prácticas en cuanto a gobernanza corporativa y gestión de riesgos</w:t>
            </w:r>
            <w:r w:rsidRPr="00190CF9">
              <w:rPr>
                <w:rFonts w:ascii="Arial" w:hAnsi="Arial" w:cs="Arial"/>
                <w:sz w:val="18"/>
                <w:szCs w:val="18"/>
                <w:lang w:val="es-ES_tradnl"/>
              </w:rPr>
              <w:t>. BANDEX está concluyendo un proceso de reestructuración organizativa, ha efectuado el encaje legal correspondiente ante el Banco Central y también ha recibido los aportes parciales de capitalización comprometidos por el Ministerio de Hacienda. Todo ello le permitirá iniciar en breve una nueva fase de sus operaciones como banco especializado en el financiamiento de exportaciones.</w:t>
            </w:r>
          </w:p>
        </w:tc>
      </w:tr>
      <w:tr w:rsidR="005E3BED" w:rsidRPr="00A778E5" w14:paraId="0C5F9493" w14:textId="77777777" w:rsidTr="005937E7">
        <w:trPr>
          <w:cantSplit/>
          <w:trHeight w:val="396"/>
          <w:jc w:val="center"/>
        </w:trPr>
        <w:tc>
          <w:tcPr>
            <w:tcW w:w="1012" w:type="pct"/>
            <w:vMerge/>
            <w:tcBorders>
              <w:left w:val="single" w:sz="4" w:space="0" w:color="auto"/>
              <w:right w:val="single" w:sz="4" w:space="0" w:color="auto"/>
            </w:tcBorders>
            <w:shd w:val="clear" w:color="auto" w:fill="auto"/>
            <w:vAlign w:val="center"/>
          </w:tcPr>
          <w:p w14:paraId="18B6D039" w14:textId="77777777" w:rsidR="005E3BED" w:rsidRPr="00190CF9" w:rsidRDefault="005E3BED" w:rsidP="000E7839">
            <w:pPr>
              <w:tabs>
                <w:tab w:val="left" w:pos="567"/>
              </w:tabs>
              <w:ind w:right="144"/>
              <w:rPr>
                <w:rFonts w:ascii="Arial" w:hAnsi="Arial" w:cs="Arial"/>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tcPr>
          <w:p w14:paraId="385ED3BA" w14:textId="77777777" w:rsidR="005E3BED" w:rsidRPr="00190CF9" w:rsidRDefault="005E3BED" w:rsidP="00D90ECD">
            <w:pPr>
              <w:ind w:left="144" w:right="144"/>
              <w:jc w:val="both"/>
              <w:rPr>
                <w:rFonts w:ascii="Arial" w:hAnsi="Arial" w:cs="Arial"/>
                <w:sz w:val="18"/>
                <w:szCs w:val="18"/>
                <w:lang w:val="es-ES_tradnl"/>
              </w:rPr>
            </w:pPr>
            <w:r w:rsidRPr="00190CF9">
              <w:rPr>
                <w:rFonts w:ascii="Arial" w:hAnsi="Arial" w:cs="Arial"/>
                <w:sz w:val="18"/>
                <w:szCs w:val="18"/>
                <w:lang w:val="es-ES_tradnl"/>
              </w:rPr>
              <w:t>Desarrollo de ley de mercado de capitales y de seguros.</w:t>
            </w:r>
          </w:p>
        </w:tc>
        <w:tc>
          <w:tcPr>
            <w:tcW w:w="1178" w:type="pct"/>
            <w:tcBorders>
              <w:top w:val="single" w:sz="4" w:space="0" w:color="auto"/>
              <w:left w:val="single" w:sz="4" w:space="0" w:color="auto"/>
              <w:bottom w:val="single" w:sz="4" w:space="0" w:color="auto"/>
              <w:right w:val="single" w:sz="4" w:space="0" w:color="auto"/>
            </w:tcBorders>
          </w:tcPr>
          <w:p w14:paraId="28ED692D" w14:textId="77777777" w:rsidR="005E3BED" w:rsidRPr="00190CF9" w:rsidRDefault="005E3BED" w:rsidP="001D15ED">
            <w:pPr>
              <w:ind w:left="144" w:right="144"/>
              <w:jc w:val="both"/>
              <w:rPr>
                <w:rFonts w:ascii="Arial" w:hAnsi="Arial" w:cs="Arial"/>
                <w:sz w:val="18"/>
                <w:szCs w:val="18"/>
                <w:lang w:val="es-ES_tradnl"/>
              </w:rPr>
            </w:pPr>
            <w:r w:rsidRPr="00190CF9">
              <w:rPr>
                <w:rFonts w:ascii="Arial" w:hAnsi="Arial" w:cs="Arial"/>
                <w:sz w:val="18"/>
                <w:szCs w:val="18"/>
                <w:lang w:val="es-ES_tradnl"/>
              </w:rPr>
              <w:t>Presentación al Congreso Nacional de un proyecto de Ley Marco de Mercado de Valores.</w:t>
            </w:r>
          </w:p>
          <w:p w14:paraId="36E8BEB0" w14:textId="77777777" w:rsidR="005E3BED" w:rsidRPr="00190CF9" w:rsidRDefault="005E3BED" w:rsidP="001D15ED">
            <w:pPr>
              <w:ind w:left="144" w:right="144"/>
              <w:jc w:val="both"/>
              <w:rPr>
                <w:rFonts w:ascii="Arial" w:hAnsi="Arial" w:cs="Arial"/>
                <w:sz w:val="18"/>
                <w:szCs w:val="18"/>
                <w:lang w:val="es-ES_tradnl"/>
              </w:rPr>
            </w:pPr>
          </w:p>
          <w:p w14:paraId="19E82987" w14:textId="77777777" w:rsidR="00F67FF3" w:rsidRPr="00190CF9" w:rsidRDefault="007066F8" w:rsidP="00F67FF3">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Desarrollo de un </w:t>
            </w:r>
            <w:r w:rsidR="005E3BED" w:rsidRPr="00190CF9">
              <w:rPr>
                <w:rFonts w:ascii="Arial" w:hAnsi="Arial" w:cs="Arial"/>
                <w:sz w:val="18"/>
                <w:szCs w:val="18"/>
                <w:lang w:val="es-ES_tradnl"/>
              </w:rPr>
              <w:t>proyecto de Ley de Seguros.</w:t>
            </w:r>
          </w:p>
          <w:p w14:paraId="7A8DCD5F" w14:textId="77777777" w:rsidR="002E6C15" w:rsidRPr="00190CF9" w:rsidRDefault="002E6C15" w:rsidP="00F67FF3">
            <w:pPr>
              <w:ind w:left="144" w:right="144"/>
              <w:jc w:val="both"/>
              <w:rPr>
                <w:rFonts w:ascii="Arial" w:hAnsi="Arial" w:cs="Arial"/>
                <w:sz w:val="18"/>
                <w:szCs w:val="18"/>
                <w:lang w:val="es-ES_tradnl"/>
              </w:rPr>
            </w:pPr>
          </w:p>
        </w:tc>
        <w:tc>
          <w:tcPr>
            <w:tcW w:w="1634" w:type="pct"/>
            <w:tcBorders>
              <w:top w:val="single" w:sz="4" w:space="0" w:color="auto"/>
              <w:left w:val="single" w:sz="4" w:space="0" w:color="auto"/>
              <w:bottom w:val="single" w:sz="4" w:space="0" w:color="auto"/>
              <w:right w:val="single" w:sz="4" w:space="0" w:color="auto"/>
            </w:tcBorders>
          </w:tcPr>
          <w:p w14:paraId="5B05E644" w14:textId="30698B38" w:rsidR="00AB7F28" w:rsidRPr="00190CF9" w:rsidRDefault="005E3BED"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Se reforzó el compromiso</w:t>
            </w:r>
            <w:r w:rsidR="00167FDD" w:rsidRPr="00190CF9">
              <w:rPr>
                <w:rFonts w:ascii="Arial" w:hAnsi="Arial" w:cs="Arial"/>
                <w:b/>
                <w:sz w:val="18"/>
                <w:szCs w:val="18"/>
                <w:lang w:val="es-ES_tradnl"/>
              </w:rPr>
              <w:t xml:space="preserve">. </w:t>
            </w:r>
            <w:r w:rsidR="008E09D4" w:rsidRPr="00190CF9">
              <w:rPr>
                <w:rFonts w:ascii="Arial" w:hAnsi="Arial" w:cs="Arial"/>
                <w:b/>
                <w:sz w:val="18"/>
                <w:szCs w:val="18"/>
                <w:lang w:val="es-ES_tradnl"/>
              </w:rPr>
              <w:t xml:space="preserve">Cumplido. </w:t>
            </w:r>
            <w:r w:rsidR="00167FDD" w:rsidRPr="00190CF9">
              <w:rPr>
                <w:rFonts w:ascii="Arial" w:hAnsi="Arial" w:cs="Arial"/>
                <w:sz w:val="18"/>
                <w:szCs w:val="18"/>
                <w:lang w:val="es-ES_tradnl"/>
              </w:rPr>
              <w:t>O</w:t>
            </w:r>
            <w:r w:rsidRPr="00190CF9">
              <w:rPr>
                <w:rFonts w:ascii="Arial" w:hAnsi="Arial" w:cs="Arial"/>
                <w:sz w:val="18"/>
                <w:szCs w:val="18"/>
                <w:lang w:val="es-ES_tradnl"/>
              </w:rPr>
              <w:t xml:space="preserve">riginalmente </w:t>
            </w:r>
            <w:r w:rsidR="00167FDD" w:rsidRPr="00190CF9">
              <w:rPr>
                <w:rFonts w:ascii="Arial" w:hAnsi="Arial" w:cs="Arial"/>
                <w:sz w:val="18"/>
                <w:szCs w:val="18"/>
                <w:lang w:val="es-ES_tradnl"/>
              </w:rPr>
              <w:t xml:space="preserve">se tenía </w:t>
            </w:r>
            <w:r w:rsidRPr="00190CF9">
              <w:rPr>
                <w:rFonts w:ascii="Arial" w:hAnsi="Arial" w:cs="Arial"/>
                <w:sz w:val="18"/>
                <w:szCs w:val="18"/>
                <w:lang w:val="es-ES_tradnl"/>
              </w:rPr>
              <w:t xml:space="preserve">previsto </w:t>
            </w:r>
            <w:r w:rsidR="00167FDD" w:rsidRPr="00190CF9">
              <w:rPr>
                <w:rFonts w:ascii="Arial" w:hAnsi="Arial" w:cs="Arial"/>
                <w:sz w:val="18"/>
                <w:szCs w:val="18"/>
                <w:lang w:val="es-ES_tradnl"/>
              </w:rPr>
              <w:t xml:space="preserve">solamente el desarrollo de estas leyes, pero para esta segunda operación se reforzó el compromiso </w:t>
            </w:r>
            <w:r w:rsidRPr="00190CF9">
              <w:rPr>
                <w:rFonts w:ascii="Arial" w:hAnsi="Arial" w:cs="Arial"/>
                <w:sz w:val="18"/>
                <w:szCs w:val="18"/>
                <w:lang w:val="es-ES_tradnl"/>
              </w:rPr>
              <w:t>con la presentación al Congreso de un proyecto de Ley Marco de Mercado de Valores</w:t>
            </w:r>
            <w:r w:rsidR="00F23DD6" w:rsidRPr="00190CF9">
              <w:rPr>
                <w:rFonts w:ascii="Arial" w:hAnsi="Arial" w:cs="Arial"/>
                <w:sz w:val="18"/>
                <w:szCs w:val="18"/>
                <w:lang w:val="es-ES_tradnl"/>
              </w:rPr>
              <w:t>, como instrumento para promover el mercado de deuda corporativa y ampliar las opciones de financiamiento de la actividad productiva empresarial</w:t>
            </w:r>
            <w:r w:rsidRPr="00190CF9">
              <w:rPr>
                <w:rFonts w:ascii="Arial" w:hAnsi="Arial" w:cs="Arial"/>
                <w:sz w:val="18"/>
                <w:szCs w:val="18"/>
                <w:lang w:val="es-ES_tradnl"/>
              </w:rPr>
              <w:t>.</w:t>
            </w:r>
            <w:r w:rsidR="00095A76" w:rsidRPr="00190CF9">
              <w:rPr>
                <w:rFonts w:ascii="Arial" w:hAnsi="Arial" w:cs="Arial"/>
                <w:sz w:val="18"/>
                <w:szCs w:val="18"/>
                <w:lang w:val="es-ES_tradnl"/>
              </w:rPr>
              <w:t xml:space="preserve"> </w:t>
            </w:r>
          </w:p>
        </w:tc>
      </w:tr>
      <w:tr w:rsidR="005E3BED" w:rsidRPr="00A778E5" w14:paraId="023067A7" w14:textId="77777777" w:rsidTr="00F92DE2">
        <w:trPr>
          <w:trHeight w:val="396"/>
          <w:jc w:val="center"/>
        </w:trPr>
        <w:tc>
          <w:tcPr>
            <w:tcW w:w="1012" w:type="pct"/>
            <w:vMerge/>
            <w:tcBorders>
              <w:left w:val="single" w:sz="4" w:space="0" w:color="auto"/>
              <w:right w:val="single" w:sz="4" w:space="0" w:color="auto"/>
            </w:tcBorders>
            <w:shd w:val="clear" w:color="auto" w:fill="auto"/>
            <w:vAlign w:val="center"/>
          </w:tcPr>
          <w:p w14:paraId="49D38506" w14:textId="77777777" w:rsidR="005E3BED" w:rsidRPr="00190CF9" w:rsidRDefault="005E3BED" w:rsidP="000E7839">
            <w:pPr>
              <w:tabs>
                <w:tab w:val="left" w:pos="567"/>
              </w:tabs>
              <w:ind w:left="144" w:right="144"/>
              <w:rPr>
                <w:rFonts w:ascii="Arial" w:hAnsi="Arial" w:cs="Arial"/>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tcPr>
          <w:p w14:paraId="52A304CE" w14:textId="77777777" w:rsidR="005E3BED" w:rsidRPr="00190CF9" w:rsidRDefault="005E3BED" w:rsidP="00FA6338">
            <w:pPr>
              <w:ind w:left="144" w:right="144"/>
              <w:jc w:val="both"/>
              <w:rPr>
                <w:rFonts w:ascii="Arial" w:hAnsi="Arial" w:cs="Arial"/>
                <w:sz w:val="18"/>
                <w:szCs w:val="18"/>
                <w:lang w:val="es-ES_tradnl"/>
              </w:rPr>
            </w:pPr>
            <w:r w:rsidRPr="00190CF9">
              <w:rPr>
                <w:rFonts w:ascii="Arial" w:hAnsi="Arial" w:cs="Arial"/>
                <w:sz w:val="18"/>
                <w:szCs w:val="18"/>
                <w:lang w:val="es-ES_tradnl"/>
              </w:rPr>
              <w:t>Reglamentación de la Ley de Concesiones.</w:t>
            </w:r>
          </w:p>
        </w:tc>
        <w:tc>
          <w:tcPr>
            <w:tcW w:w="1178" w:type="pct"/>
            <w:tcBorders>
              <w:top w:val="single" w:sz="4" w:space="0" w:color="auto"/>
              <w:left w:val="single" w:sz="4" w:space="0" w:color="auto"/>
              <w:bottom w:val="single" w:sz="4" w:space="0" w:color="auto"/>
              <w:right w:val="single" w:sz="4" w:space="0" w:color="auto"/>
            </w:tcBorders>
          </w:tcPr>
          <w:p w14:paraId="52FC3391" w14:textId="77777777" w:rsidR="005E3BED" w:rsidRPr="00190CF9" w:rsidRDefault="005E3BED" w:rsidP="001D15ED">
            <w:pPr>
              <w:ind w:left="144" w:right="144"/>
              <w:jc w:val="both"/>
              <w:rPr>
                <w:rFonts w:ascii="Arial" w:eastAsia="Calibri" w:hAnsi="Arial" w:cs="Arial"/>
                <w:sz w:val="18"/>
                <w:szCs w:val="18"/>
                <w:lang w:val="es-ES"/>
              </w:rPr>
            </w:pPr>
            <w:r w:rsidRPr="00190CF9">
              <w:rPr>
                <w:rFonts w:ascii="Arial" w:hAnsi="Arial" w:cs="Arial"/>
                <w:sz w:val="18"/>
                <w:szCs w:val="18"/>
                <w:lang w:val="es-ES_tradnl"/>
              </w:rPr>
              <w:t>Presentación al Congreso Nacional de un proyecto de Ley de Asociaciones Público-Privadas (APPs).</w:t>
            </w:r>
          </w:p>
        </w:tc>
        <w:tc>
          <w:tcPr>
            <w:tcW w:w="1634" w:type="pct"/>
            <w:tcBorders>
              <w:top w:val="single" w:sz="4" w:space="0" w:color="auto"/>
              <w:left w:val="single" w:sz="4" w:space="0" w:color="auto"/>
              <w:bottom w:val="single" w:sz="4" w:space="0" w:color="auto"/>
              <w:right w:val="single" w:sz="4" w:space="0" w:color="auto"/>
            </w:tcBorders>
          </w:tcPr>
          <w:p w14:paraId="30532E9F" w14:textId="68992118" w:rsidR="002E6C15" w:rsidRPr="00190CF9" w:rsidRDefault="005E3BED" w:rsidP="007E1DF8">
            <w:pPr>
              <w:tabs>
                <w:tab w:val="left" w:pos="567"/>
              </w:tabs>
              <w:ind w:left="109" w:right="90"/>
              <w:jc w:val="both"/>
              <w:rPr>
                <w:rFonts w:ascii="Arial" w:hAnsi="Arial" w:cs="Arial"/>
                <w:b/>
                <w:sz w:val="18"/>
                <w:szCs w:val="18"/>
                <w:lang w:val="es-ES_tradnl"/>
              </w:rPr>
            </w:pPr>
            <w:r w:rsidRPr="00190CF9">
              <w:rPr>
                <w:rFonts w:ascii="Arial" w:hAnsi="Arial" w:cs="Arial"/>
                <w:b/>
                <w:sz w:val="18"/>
                <w:szCs w:val="18"/>
                <w:lang w:val="es-ES_tradnl"/>
              </w:rPr>
              <w:t xml:space="preserve">Este </w:t>
            </w:r>
            <w:r w:rsidR="00B67AF5" w:rsidRPr="00190CF9">
              <w:rPr>
                <w:rFonts w:ascii="Arial" w:hAnsi="Arial" w:cs="Arial"/>
                <w:b/>
                <w:sz w:val="18"/>
                <w:szCs w:val="18"/>
                <w:lang w:val="es-ES_tradnl"/>
              </w:rPr>
              <w:t xml:space="preserve">compromiso </w:t>
            </w:r>
            <w:r w:rsidRPr="00190CF9">
              <w:rPr>
                <w:rFonts w:ascii="Arial" w:hAnsi="Arial" w:cs="Arial"/>
                <w:b/>
                <w:sz w:val="18"/>
                <w:szCs w:val="18"/>
                <w:lang w:val="es-ES_tradnl"/>
              </w:rPr>
              <w:t>ha sido superado</w:t>
            </w:r>
            <w:r w:rsidR="000E56CA" w:rsidRPr="00190CF9">
              <w:rPr>
                <w:rFonts w:ascii="Arial" w:hAnsi="Arial" w:cs="Arial"/>
                <w:b/>
                <w:sz w:val="18"/>
                <w:szCs w:val="18"/>
                <w:lang w:val="es-ES_tradnl"/>
              </w:rPr>
              <w:t xml:space="preserve"> y fortalecido</w:t>
            </w:r>
            <w:r w:rsidR="00F23DD6" w:rsidRPr="00190CF9">
              <w:rPr>
                <w:rFonts w:ascii="Arial" w:hAnsi="Arial" w:cs="Arial"/>
                <w:b/>
                <w:sz w:val="18"/>
                <w:szCs w:val="18"/>
                <w:lang w:val="es-ES_tradnl"/>
              </w:rPr>
              <w:t>. En proceso.</w:t>
            </w:r>
            <w:r w:rsidR="008D6755" w:rsidRPr="00190CF9">
              <w:rPr>
                <w:rFonts w:ascii="Arial" w:hAnsi="Arial" w:cs="Arial"/>
                <w:b/>
                <w:sz w:val="18"/>
                <w:szCs w:val="18"/>
                <w:lang w:val="es-ES_tradnl"/>
              </w:rPr>
              <w:t xml:space="preserve"> </w:t>
            </w:r>
            <w:r w:rsidR="00F23DD6" w:rsidRPr="00190CF9">
              <w:rPr>
                <w:rFonts w:ascii="Arial" w:hAnsi="Arial" w:cs="Arial"/>
                <w:sz w:val="18"/>
                <w:szCs w:val="18"/>
                <w:lang w:val="es-ES_tradnl"/>
              </w:rPr>
              <w:t>E</w:t>
            </w:r>
            <w:r w:rsidRPr="00190CF9">
              <w:rPr>
                <w:rFonts w:ascii="Arial" w:hAnsi="Arial" w:cs="Arial"/>
                <w:sz w:val="18"/>
                <w:szCs w:val="18"/>
                <w:lang w:val="es-ES_tradnl"/>
              </w:rPr>
              <w:t>l proyecto de ley de concesiones originalmente presentado al Congreso, en cumplimiento de los acuerdos del primer programa, planteaba un esquema muy específico, abarcando temas que incluso eran más reglamentarios que de ley. Luego de un cuidadoso análisis, se decidió no aprobar dicha ley, y más bien se produjo un cambio de visión hacia un nuevo esquema más amplio, completo y moderno de Asociaciones Público-Privadas (APPs). Ya se cuenta con un borrador bastante avanzado de una nueva Ley de APPs</w:t>
            </w:r>
            <w:r w:rsidR="009F6433" w:rsidRPr="00190CF9">
              <w:rPr>
                <w:rFonts w:ascii="Arial" w:hAnsi="Arial" w:cs="Arial"/>
                <w:sz w:val="18"/>
                <w:szCs w:val="18"/>
                <w:lang w:val="es-ES_tradnl"/>
              </w:rPr>
              <w:t>,</w:t>
            </w:r>
            <w:r w:rsidRPr="00190CF9">
              <w:rPr>
                <w:rFonts w:ascii="Arial" w:hAnsi="Arial" w:cs="Arial"/>
                <w:sz w:val="18"/>
                <w:szCs w:val="18"/>
                <w:lang w:val="es-ES_tradnl"/>
              </w:rPr>
              <w:t xml:space="preserve"> </w:t>
            </w:r>
            <w:r w:rsidR="009F6433" w:rsidRPr="00190CF9">
              <w:rPr>
                <w:rFonts w:ascii="Arial" w:hAnsi="Arial" w:cs="Arial"/>
                <w:sz w:val="18"/>
                <w:szCs w:val="18"/>
                <w:lang w:val="es-ES_tradnl"/>
              </w:rPr>
              <w:t xml:space="preserve">cuya elaboración ha venido siendo apoyada por el Banco Mundial, y que </w:t>
            </w:r>
            <w:r w:rsidRPr="00190CF9">
              <w:rPr>
                <w:rFonts w:ascii="Arial" w:hAnsi="Arial" w:cs="Arial"/>
                <w:sz w:val="18"/>
                <w:szCs w:val="18"/>
                <w:lang w:val="es-ES_tradnl"/>
              </w:rPr>
              <w:t>se espera completar durante los próximos meses</w:t>
            </w:r>
            <w:r w:rsidR="009F6433" w:rsidRPr="00190CF9">
              <w:rPr>
                <w:rFonts w:ascii="Arial" w:hAnsi="Arial" w:cs="Arial"/>
                <w:sz w:val="18"/>
                <w:szCs w:val="18"/>
                <w:lang w:val="es-ES_tradnl"/>
              </w:rPr>
              <w:t>.</w:t>
            </w:r>
            <w:r w:rsidRPr="00190CF9">
              <w:rPr>
                <w:rFonts w:ascii="Arial" w:hAnsi="Arial" w:cs="Arial"/>
                <w:sz w:val="18"/>
                <w:szCs w:val="18"/>
                <w:lang w:val="es-ES_tradnl"/>
              </w:rPr>
              <w:t xml:space="preserve"> </w:t>
            </w:r>
            <w:r w:rsidR="009F6433" w:rsidRPr="00190CF9">
              <w:rPr>
                <w:rFonts w:ascii="Arial" w:hAnsi="Arial" w:cs="Arial"/>
                <w:sz w:val="18"/>
                <w:szCs w:val="18"/>
                <w:lang w:val="es-ES_tradnl"/>
              </w:rPr>
              <w:t>Paralelamente,</w:t>
            </w:r>
            <w:r w:rsidRPr="00190CF9">
              <w:rPr>
                <w:rFonts w:ascii="Arial" w:hAnsi="Arial" w:cs="Arial"/>
                <w:sz w:val="18"/>
                <w:szCs w:val="18"/>
                <w:lang w:val="es-ES_tradnl"/>
              </w:rPr>
              <w:t xml:space="preserve"> se están dando avances a nivel institucional con apoyo de </w:t>
            </w:r>
            <w:r w:rsidR="00801C06" w:rsidRPr="00190CF9">
              <w:rPr>
                <w:rFonts w:ascii="Arial" w:hAnsi="Arial" w:cs="Arial"/>
                <w:sz w:val="18"/>
                <w:szCs w:val="18"/>
                <w:lang w:val="es-ES_tradnl"/>
              </w:rPr>
              <w:t>l</w:t>
            </w:r>
            <w:r w:rsidRPr="00190CF9">
              <w:rPr>
                <w:rFonts w:ascii="Arial" w:hAnsi="Arial" w:cs="Arial"/>
                <w:sz w:val="18"/>
                <w:szCs w:val="18"/>
                <w:lang w:val="es-ES_tradnl"/>
              </w:rPr>
              <w:t>a Cooperación Técnica del BID DR-T1139, por lo que el acuerdo para esta segunda operación se transformó de la reglamentación de la ley de concesiones (</w:t>
            </w:r>
            <w:r w:rsidR="0060314E" w:rsidRPr="00190CF9">
              <w:rPr>
                <w:rFonts w:ascii="Arial" w:hAnsi="Arial" w:cs="Arial"/>
                <w:sz w:val="18"/>
                <w:szCs w:val="18"/>
                <w:lang w:val="es-ES_tradnl"/>
              </w:rPr>
              <w:t xml:space="preserve">ley que no llegó a ser </w:t>
            </w:r>
            <w:r w:rsidRPr="00190CF9">
              <w:rPr>
                <w:rFonts w:ascii="Arial" w:hAnsi="Arial" w:cs="Arial"/>
                <w:sz w:val="18"/>
                <w:szCs w:val="18"/>
                <w:lang w:val="es-ES_tradnl"/>
              </w:rPr>
              <w:t>aprobada</w:t>
            </w:r>
            <w:r w:rsidR="0060314E" w:rsidRPr="00190CF9">
              <w:rPr>
                <w:rFonts w:ascii="Arial" w:hAnsi="Arial" w:cs="Arial"/>
                <w:sz w:val="18"/>
                <w:szCs w:val="18"/>
                <w:lang w:val="es-ES_tradnl"/>
              </w:rPr>
              <w:t xml:space="preserve"> por las razones anteriormente expuestas</w:t>
            </w:r>
            <w:r w:rsidRPr="00190CF9">
              <w:rPr>
                <w:rFonts w:ascii="Arial" w:hAnsi="Arial" w:cs="Arial"/>
                <w:sz w:val="18"/>
                <w:szCs w:val="18"/>
                <w:lang w:val="es-ES_tradnl"/>
              </w:rPr>
              <w:t>) a la presentación al Congreso Nacional de un proyecto de Ley de Asociaciones Público-Privadas (APPs).</w:t>
            </w:r>
            <w:r w:rsidR="00095A76" w:rsidRPr="00190CF9">
              <w:rPr>
                <w:rFonts w:ascii="Arial" w:hAnsi="Arial" w:cs="Arial"/>
                <w:sz w:val="18"/>
                <w:szCs w:val="18"/>
                <w:lang w:val="es-ES_tradnl"/>
              </w:rPr>
              <w:t xml:space="preserve"> </w:t>
            </w:r>
          </w:p>
        </w:tc>
      </w:tr>
      <w:tr w:rsidR="005E3BED" w:rsidRPr="00A778E5" w14:paraId="156098F4" w14:textId="77777777" w:rsidTr="005937E7">
        <w:trPr>
          <w:cantSplit/>
          <w:trHeight w:val="396"/>
          <w:jc w:val="center"/>
        </w:trPr>
        <w:tc>
          <w:tcPr>
            <w:tcW w:w="1012" w:type="pct"/>
            <w:vMerge/>
            <w:tcBorders>
              <w:left w:val="single" w:sz="4" w:space="0" w:color="auto"/>
              <w:right w:val="single" w:sz="4" w:space="0" w:color="auto"/>
            </w:tcBorders>
            <w:shd w:val="clear" w:color="auto" w:fill="auto"/>
            <w:vAlign w:val="center"/>
          </w:tcPr>
          <w:p w14:paraId="160515A3" w14:textId="77777777" w:rsidR="005E3BED" w:rsidRPr="00190CF9" w:rsidRDefault="005E3BED" w:rsidP="005E3BED">
            <w:pPr>
              <w:tabs>
                <w:tab w:val="left" w:pos="567"/>
              </w:tabs>
              <w:ind w:left="144" w:right="144"/>
              <w:rPr>
                <w:rFonts w:ascii="Arial" w:hAnsi="Arial" w:cs="Arial"/>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tcPr>
          <w:p w14:paraId="5C1BC8E2" w14:textId="77777777" w:rsidR="005E3BED" w:rsidRPr="00190CF9" w:rsidRDefault="005E3BED" w:rsidP="005E3BED">
            <w:pPr>
              <w:tabs>
                <w:tab w:val="left" w:pos="567"/>
              </w:tabs>
              <w:ind w:left="109"/>
              <w:jc w:val="center"/>
              <w:rPr>
                <w:rFonts w:ascii="Arial" w:hAnsi="Arial" w:cs="Arial"/>
                <w:sz w:val="18"/>
                <w:szCs w:val="18"/>
                <w:lang w:val="es-ES_tradnl"/>
              </w:rPr>
            </w:pPr>
          </w:p>
        </w:tc>
        <w:tc>
          <w:tcPr>
            <w:tcW w:w="1178" w:type="pct"/>
            <w:tcBorders>
              <w:top w:val="single" w:sz="4" w:space="0" w:color="auto"/>
              <w:left w:val="single" w:sz="4" w:space="0" w:color="auto"/>
              <w:bottom w:val="single" w:sz="4" w:space="0" w:color="auto"/>
              <w:right w:val="single" w:sz="4" w:space="0" w:color="auto"/>
            </w:tcBorders>
          </w:tcPr>
          <w:p w14:paraId="30F67F90" w14:textId="074AE0BA" w:rsidR="00FA6338" w:rsidRPr="00190CF9" w:rsidRDefault="00A858BA" w:rsidP="00FA6338">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Remisión al Poder Ejecutivo </w:t>
            </w:r>
            <w:r w:rsidR="00634650" w:rsidRPr="00190CF9">
              <w:rPr>
                <w:rFonts w:ascii="Arial" w:hAnsi="Arial" w:cs="Arial"/>
                <w:sz w:val="18"/>
                <w:szCs w:val="18"/>
                <w:lang w:val="es-ES_tradnl"/>
              </w:rPr>
              <w:t xml:space="preserve">de </w:t>
            </w:r>
            <w:r w:rsidRPr="00190CF9">
              <w:rPr>
                <w:rFonts w:ascii="Arial" w:hAnsi="Arial" w:cs="Arial"/>
                <w:sz w:val="18"/>
                <w:szCs w:val="18"/>
                <w:lang w:val="es-ES_tradnl"/>
              </w:rPr>
              <w:t xml:space="preserve">un proyecto de Ley de Factoraje y de Facturas Negociables (Ley de </w:t>
            </w:r>
            <w:r w:rsidRPr="00190CF9">
              <w:rPr>
                <w:rFonts w:ascii="Arial" w:hAnsi="Arial" w:cs="Arial"/>
                <w:i/>
                <w:sz w:val="18"/>
                <w:szCs w:val="18"/>
                <w:lang w:val="es-ES_tradnl"/>
              </w:rPr>
              <w:t>Factoring</w:t>
            </w:r>
            <w:r w:rsidRPr="00190CF9">
              <w:rPr>
                <w:rFonts w:ascii="Arial" w:hAnsi="Arial" w:cs="Arial"/>
                <w:sz w:val="18"/>
                <w:szCs w:val="18"/>
                <w:lang w:val="es-ES_tradnl"/>
              </w:rPr>
              <w:t>).</w:t>
            </w:r>
          </w:p>
        </w:tc>
        <w:tc>
          <w:tcPr>
            <w:tcW w:w="1634" w:type="pct"/>
            <w:tcBorders>
              <w:top w:val="single" w:sz="4" w:space="0" w:color="auto"/>
              <w:left w:val="single" w:sz="4" w:space="0" w:color="auto"/>
              <w:bottom w:val="single" w:sz="4" w:space="0" w:color="auto"/>
              <w:right w:val="single" w:sz="4" w:space="0" w:color="auto"/>
            </w:tcBorders>
          </w:tcPr>
          <w:p w14:paraId="3DFC5BF5" w14:textId="3F771BAA" w:rsidR="002E6C15" w:rsidRPr="00190CF9" w:rsidRDefault="005E3BED" w:rsidP="007E1DF8">
            <w:pPr>
              <w:ind w:left="109" w:right="90"/>
              <w:jc w:val="both"/>
              <w:rPr>
                <w:rFonts w:ascii="Arial" w:hAnsi="Arial" w:cs="Arial"/>
                <w:sz w:val="18"/>
                <w:szCs w:val="18"/>
                <w:lang w:val="es-ES_tradnl"/>
              </w:rPr>
            </w:pPr>
            <w:r w:rsidRPr="00190CF9">
              <w:rPr>
                <w:rFonts w:ascii="Arial" w:hAnsi="Arial" w:cs="Arial"/>
                <w:b/>
                <w:sz w:val="18"/>
                <w:szCs w:val="18"/>
                <w:lang w:val="es-ES_tradnl"/>
              </w:rPr>
              <w:t xml:space="preserve">Nuevo compromiso. </w:t>
            </w:r>
            <w:r w:rsidR="007439EB" w:rsidRPr="00190CF9">
              <w:rPr>
                <w:rFonts w:ascii="Arial" w:hAnsi="Arial" w:cs="Arial"/>
                <w:b/>
                <w:sz w:val="18"/>
                <w:szCs w:val="18"/>
                <w:lang w:val="es-ES_tradnl"/>
              </w:rPr>
              <w:t>Cumplido</w:t>
            </w:r>
            <w:r w:rsidRPr="00190CF9">
              <w:rPr>
                <w:rFonts w:ascii="Arial" w:hAnsi="Arial" w:cs="Arial"/>
                <w:b/>
                <w:sz w:val="18"/>
                <w:szCs w:val="18"/>
                <w:lang w:val="es-ES_tradnl"/>
              </w:rPr>
              <w:t>.</w:t>
            </w:r>
            <w:r w:rsidRPr="00190CF9">
              <w:rPr>
                <w:rFonts w:ascii="Arial" w:hAnsi="Arial" w:cs="Arial"/>
                <w:sz w:val="18"/>
                <w:szCs w:val="18"/>
                <w:lang w:val="es-ES_tradnl"/>
              </w:rPr>
              <w:t xml:space="preserve"> </w:t>
            </w:r>
            <w:r w:rsidR="00B10EDD" w:rsidRPr="00190CF9">
              <w:rPr>
                <w:rFonts w:ascii="Arial" w:hAnsi="Arial" w:cs="Arial"/>
                <w:sz w:val="18"/>
                <w:szCs w:val="18"/>
                <w:lang w:val="es-ES_tradnl"/>
              </w:rPr>
              <w:t>D</w:t>
            </w:r>
            <w:r w:rsidRPr="00190CF9">
              <w:rPr>
                <w:rFonts w:ascii="Arial" w:hAnsi="Arial" w:cs="Arial"/>
                <w:sz w:val="18"/>
                <w:szCs w:val="18"/>
                <w:lang w:val="es-ES_tradnl"/>
              </w:rPr>
              <w:t xml:space="preserve">ebido a los avances realizados por el país </w:t>
            </w:r>
            <w:proofErr w:type="gramStart"/>
            <w:r w:rsidRPr="00190CF9">
              <w:rPr>
                <w:rFonts w:ascii="Arial" w:hAnsi="Arial" w:cs="Arial"/>
                <w:sz w:val="18"/>
                <w:szCs w:val="18"/>
                <w:lang w:val="es-ES_tradnl"/>
              </w:rPr>
              <w:t>en relación a</w:t>
            </w:r>
            <w:proofErr w:type="gramEnd"/>
            <w:r w:rsidRPr="00190CF9">
              <w:rPr>
                <w:rFonts w:ascii="Arial" w:hAnsi="Arial" w:cs="Arial"/>
                <w:sz w:val="18"/>
                <w:szCs w:val="18"/>
                <w:lang w:val="es-ES_tradnl"/>
              </w:rPr>
              <w:t xml:space="preserve"> la nueva Ley de </w:t>
            </w:r>
            <w:r w:rsidRPr="00190CF9">
              <w:rPr>
                <w:rFonts w:ascii="Arial" w:hAnsi="Arial" w:cs="Arial"/>
                <w:i/>
                <w:sz w:val="18"/>
                <w:szCs w:val="18"/>
                <w:lang w:val="es-ES_tradnl"/>
              </w:rPr>
              <w:t>Factoring</w:t>
            </w:r>
            <w:r w:rsidRPr="00190CF9">
              <w:rPr>
                <w:rFonts w:ascii="Arial" w:hAnsi="Arial" w:cs="Arial"/>
                <w:sz w:val="18"/>
                <w:szCs w:val="18"/>
                <w:lang w:val="es-ES_tradnl"/>
              </w:rPr>
              <w:t xml:space="preserve">, se </w:t>
            </w:r>
            <w:r w:rsidR="00957874" w:rsidRPr="00190CF9">
              <w:rPr>
                <w:rFonts w:ascii="Arial" w:hAnsi="Arial" w:cs="Arial"/>
                <w:sz w:val="18"/>
                <w:szCs w:val="18"/>
                <w:lang w:val="es-ES_tradnl"/>
              </w:rPr>
              <w:t>inclu</w:t>
            </w:r>
            <w:r w:rsidR="007439EB" w:rsidRPr="00190CF9">
              <w:rPr>
                <w:rFonts w:ascii="Arial" w:hAnsi="Arial" w:cs="Arial"/>
                <w:sz w:val="18"/>
                <w:szCs w:val="18"/>
                <w:lang w:val="es-ES_tradnl"/>
              </w:rPr>
              <w:t>yó</w:t>
            </w:r>
            <w:r w:rsidR="00957874" w:rsidRPr="00190CF9">
              <w:rPr>
                <w:rFonts w:ascii="Arial" w:hAnsi="Arial" w:cs="Arial"/>
                <w:sz w:val="18"/>
                <w:szCs w:val="18"/>
                <w:lang w:val="es-ES_tradnl"/>
              </w:rPr>
              <w:t xml:space="preserve"> la </w:t>
            </w:r>
            <w:r w:rsidR="00982D8C" w:rsidRPr="00190CF9">
              <w:rPr>
                <w:rFonts w:ascii="Arial" w:hAnsi="Arial" w:cs="Arial"/>
                <w:sz w:val="18"/>
                <w:szCs w:val="18"/>
                <w:lang w:val="es-ES_tradnl"/>
              </w:rPr>
              <w:t>remisión al Poder Ejecutivo</w:t>
            </w:r>
            <w:r w:rsidR="00957874" w:rsidRPr="00190CF9">
              <w:rPr>
                <w:rFonts w:ascii="Arial" w:hAnsi="Arial" w:cs="Arial"/>
                <w:sz w:val="18"/>
                <w:szCs w:val="18"/>
                <w:lang w:val="es-ES_tradnl"/>
              </w:rPr>
              <w:t xml:space="preserve"> </w:t>
            </w:r>
            <w:r w:rsidRPr="00190CF9">
              <w:rPr>
                <w:rFonts w:ascii="Arial" w:hAnsi="Arial" w:cs="Arial"/>
                <w:sz w:val="18"/>
                <w:szCs w:val="18"/>
                <w:lang w:val="es-ES_tradnl"/>
              </w:rPr>
              <w:t xml:space="preserve">de un </w:t>
            </w:r>
            <w:r w:rsidR="00AA052B" w:rsidRPr="00190CF9">
              <w:rPr>
                <w:rFonts w:ascii="Arial" w:hAnsi="Arial" w:cs="Arial"/>
                <w:sz w:val="18"/>
                <w:szCs w:val="18"/>
                <w:lang w:val="es-ES_tradnl"/>
              </w:rPr>
              <w:t>p</w:t>
            </w:r>
            <w:r w:rsidRPr="00190CF9">
              <w:rPr>
                <w:rFonts w:ascii="Arial" w:hAnsi="Arial" w:cs="Arial"/>
                <w:sz w:val="18"/>
                <w:szCs w:val="18"/>
                <w:lang w:val="es-ES_tradnl"/>
              </w:rPr>
              <w:t xml:space="preserve">royecto de Ley como parte de la nueva operación, ya que dicha </w:t>
            </w:r>
            <w:r w:rsidR="005B1E7F" w:rsidRPr="00190CF9">
              <w:rPr>
                <w:rFonts w:ascii="Arial" w:hAnsi="Arial" w:cs="Arial"/>
                <w:sz w:val="18"/>
                <w:szCs w:val="18"/>
                <w:lang w:val="es-ES_tradnl"/>
              </w:rPr>
              <w:t xml:space="preserve">importante </w:t>
            </w:r>
            <w:r w:rsidRPr="00190CF9">
              <w:rPr>
                <w:rFonts w:ascii="Arial" w:hAnsi="Arial" w:cs="Arial"/>
                <w:sz w:val="18"/>
                <w:szCs w:val="18"/>
                <w:lang w:val="es-ES_tradnl"/>
              </w:rPr>
              <w:t>reforma está alineada con el objetivo de promover el desarrollo de nuevos instrumentos para el financiamiento del desarrollo productivo.</w:t>
            </w:r>
            <w:r w:rsidR="00DA2DFE" w:rsidRPr="00190CF9">
              <w:rPr>
                <w:rFonts w:ascii="Arial" w:hAnsi="Arial" w:cs="Arial"/>
                <w:sz w:val="18"/>
                <w:szCs w:val="18"/>
                <w:lang w:val="es-ES_tradnl"/>
              </w:rPr>
              <w:t xml:space="preserve"> Se espera que esta Ley </w:t>
            </w:r>
            <w:r w:rsidR="004E2C8C" w:rsidRPr="00190CF9">
              <w:rPr>
                <w:rFonts w:ascii="Arial" w:hAnsi="Arial" w:cs="Arial"/>
                <w:sz w:val="18"/>
                <w:szCs w:val="18"/>
                <w:lang w:val="es-ES_tradnl"/>
              </w:rPr>
              <w:t>sea</w:t>
            </w:r>
            <w:r w:rsidR="00DA2DFE" w:rsidRPr="00190CF9">
              <w:rPr>
                <w:rFonts w:ascii="Arial" w:hAnsi="Arial" w:cs="Arial"/>
                <w:sz w:val="18"/>
                <w:szCs w:val="18"/>
                <w:lang w:val="es-ES_tradnl"/>
              </w:rPr>
              <w:t xml:space="preserve"> enviada al Congreso Nacional </w:t>
            </w:r>
            <w:r w:rsidR="00507034" w:rsidRPr="00190CF9">
              <w:rPr>
                <w:rFonts w:ascii="Arial" w:hAnsi="Arial" w:cs="Arial"/>
                <w:sz w:val="18"/>
                <w:szCs w:val="18"/>
                <w:lang w:val="es-ES_tradnl"/>
              </w:rPr>
              <w:t>a</w:t>
            </w:r>
            <w:r w:rsidR="00DA2DFE" w:rsidRPr="00190CF9">
              <w:rPr>
                <w:rFonts w:ascii="Arial" w:hAnsi="Arial" w:cs="Arial"/>
                <w:sz w:val="18"/>
                <w:szCs w:val="18"/>
                <w:lang w:val="es-ES_tradnl"/>
              </w:rPr>
              <w:t xml:space="preserve"> fines de 2017</w:t>
            </w:r>
            <w:r w:rsidR="004E2C8C" w:rsidRPr="00190CF9">
              <w:rPr>
                <w:rFonts w:ascii="Arial" w:hAnsi="Arial" w:cs="Arial"/>
                <w:sz w:val="18"/>
                <w:szCs w:val="18"/>
                <w:lang w:val="es-ES_tradnl"/>
              </w:rPr>
              <w:t xml:space="preserve"> o comienzos de 2018</w:t>
            </w:r>
            <w:r w:rsidR="00DA2DFE" w:rsidRPr="00190CF9">
              <w:rPr>
                <w:rFonts w:ascii="Arial" w:hAnsi="Arial" w:cs="Arial"/>
                <w:sz w:val="18"/>
                <w:szCs w:val="18"/>
                <w:lang w:val="es-ES_tradnl"/>
              </w:rPr>
              <w:t>.</w:t>
            </w:r>
          </w:p>
        </w:tc>
      </w:tr>
      <w:tr w:rsidR="005E3BED" w:rsidRPr="00A778E5" w14:paraId="33E7F600" w14:textId="77777777" w:rsidTr="005937E7">
        <w:trPr>
          <w:cantSplit/>
          <w:trHeight w:val="403"/>
          <w:tblHeader/>
          <w:jc w:val="center"/>
        </w:trPr>
        <w:tc>
          <w:tcPr>
            <w:tcW w:w="1012" w:type="pct"/>
            <w:vMerge/>
            <w:tcBorders>
              <w:left w:val="single" w:sz="4" w:space="0" w:color="auto"/>
              <w:bottom w:val="single" w:sz="4" w:space="0" w:color="auto"/>
              <w:right w:val="single" w:sz="4" w:space="0" w:color="auto"/>
            </w:tcBorders>
            <w:shd w:val="clear" w:color="auto" w:fill="auto"/>
            <w:vAlign w:val="center"/>
          </w:tcPr>
          <w:p w14:paraId="35D87F0A" w14:textId="77777777" w:rsidR="005E3BED" w:rsidRPr="00190CF9" w:rsidRDefault="005E3BED" w:rsidP="005E3BED">
            <w:pPr>
              <w:tabs>
                <w:tab w:val="left" w:pos="567"/>
              </w:tabs>
              <w:ind w:left="144" w:right="144"/>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D8E7787" w14:textId="77777777" w:rsidR="005E3BED" w:rsidRPr="00190CF9" w:rsidRDefault="005E3BED" w:rsidP="005E3BED">
            <w:pPr>
              <w:tabs>
                <w:tab w:val="left" w:pos="567"/>
              </w:tabs>
              <w:ind w:left="109" w:right="72"/>
              <w:jc w:val="center"/>
              <w:rPr>
                <w:rFonts w:ascii="Arial" w:hAnsi="Arial" w:cs="Arial"/>
                <w:b/>
                <w:sz w:val="18"/>
                <w:szCs w:val="18"/>
                <w:lang w:val="es-ES_tradnl"/>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D8C4829" w14:textId="77777777" w:rsidR="005E3BED" w:rsidRPr="00190CF9" w:rsidRDefault="005E3BED" w:rsidP="001D15ED">
            <w:pPr>
              <w:ind w:left="144" w:right="144"/>
              <w:jc w:val="both"/>
              <w:rPr>
                <w:rFonts w:ascii="Arial" w:eastAsia="Calibri" w:hAnsi="Arial" w:cs="Arial"/>
                <w:sz w:val="18"/>
                <w:szCs w:val="18"/>
                <w:lang w:val="es-ES"/>
              </w:rPr>
            </w:pPr>
            <w:r w:rsidRPr="00190CF9">
              <w:rPr>
                <w:rFonts w:ascii="Arial" w:hAnsi="Arial" w:cs="Arial"/>
                <w:sz w:val="18"/>
                <w:szCs w:val="18"/>
                <w:lang w:val="es-ES_tradnl"/>
              </w:rPr>
              <w:t xml:space="preserve">Aprobación del Reglamento del Fondo </w:t>
            </w:r>
            <w:r w:rsidR="00014AA0" w:rsidRPr="00190CF9">
              <w:rPr>
                <w:rFonts w:ascii="Arial" w:hAnsi="Arial" w:cs="Arial"/>
                <w:sz w:val="18"/>
                <w:szCs w:val="18"/>
                <w:lang w:val="es-ES_tradnl"/>
              </w:rPr>
              <w:t>de Contrapartida Financiera para el Desarrollo del Emprendimiento (</w:t>
            </w:r>
            <w:r w:rsidR="00957874" w:rsidRPr="00190CF9">
              <w:rPr>
                <w:rFonts w:ascii="Arial" w:hAnsi="Arial" w:cs="Arial"/>
                <w:sz w:val="18"/>
                <w:szCs w:val="18"/>
                <w:lang w:val="es-ES_tradnl"/>
              </w:rPr>
              <w:t xml:space="preserve">Fondo </w:t>
            </w:r>
            <w:r w:rsidRPr="00190CF9">
              <w:rPr>
                <w:rFonts w:ascii="Arial" w:hAnsi="Arial" w:cs="Arial"/>
                <w:sz w:val="18"/>
                <w:szCs w:val="18"/>
                <w:lang w:val="es-ES_tradnl"/>
              </w:rPr>
              <w:t>CONFIE).</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154284A9" w14:textId="71B59D3F" w:rsidR="00704647" w:rsidRPr="00190CF9" w:rsidRDefault="005E3BED" w:rsidP="007E1DF8">
            <w:pPr>
              <w:ind w:left="109" w:right="90"/>
              <w:jc w:val="both"/>
              <w:rPr>
                <w:rFonts w:ascii="Arial" w:hAnsi="Arial" w:cs="Arial"/>
                <w:sz w:val="18"/>
                <w:szCs w:val="18"/>
                <w:lang w:val="es-ES_tradnl"/>
              </w:rPr>
            </w:pPr>
            <w:r w:rsidRPr="00190CF9">
              <w:rPr>
                <w:rFonts w:ascii="Arial" w:hAnsi="Arial" w:cs="Arial"/>
                <w:b/>
                <w:sz w:val="18"/>
                <w:szCs w:val="18"/>
                <w:lang w:val="es-ES_tradnl"/>
              </w:rPr>
              <w:t xml:space="preserve">Nuevo compromiso. En proceso. </w:t>
            </w:r>
            <w:r w:rsidR="00215EF0" w:rsidRPr="00190CF9">
              <w:rPr>
                <w:rFonts w:ascii="Arial" w:hAnsi="Arial" w:cs="Arial"/>
                <w:sz w:val="18"/>
                <w:szCs w:val="18"/>
                <w:lang w:val="es-ES_tradnl"/>
              </w:rPr>
              <w:t>E</w:t>
            </w:r>
            <w:r w:rsidRPr="00190CF9">
              <w:rPr>
                <w:rFonts w:ascii="Arial" w:hAnsi="Arial" w:cs="Arial"/>
                <w:sz w:val="18"/>
                <w:szCs w:val="18"/>
                <w:lang w:val="es-ES_tradnl"/>
              </w:rPr>
              <w:t>ste Fondo está contemplado en el Artículo 18 de la nueva Ley de Emprendimiento, y se prevé aprobar su reglamento en los próximos meses del presente año.</w:t>
            </w:r>
            <w:r w:rsidR="000E56CA" w:rsidRPr="00190CF9">
              <w:rPr>
                <w:rFonts w:ascii="Arial" w:hAnsi="Arial" w:cs="Arial"/>
                <w:sz w:val="18"/>
                <w:szCs w:val="18"/>
                <w:lang w:val="es-ES_tradnl"/>
              </w:rPr>
              <w:t xml:space="preserve"> Ello permitirá un mayor desarrollo del mercado de capitales y ampliar el financiamiento de nuevos emprendimientos productivos en el país.</w:t>
            </w:r>
          </w:p>
        </w:tc>
      </w:tr>
      <w:tr w:rsidR="005E3BED" w:rsidRPr="00A778E5" w14:paraId="24A33A6C" w14:textId="77777777" w:rsidTr="00F92DE2">
        <w:trPr>
          <w:trHeight w:val="396"/>
          <w:jc w:val="center"/>
        </w:trPr>
        <w:tc>
          <w:tcPr>
            <w:tcW w:w="1012" w:type="pct"/>
            <w:vMerge w:val="restart"/>
            <w:tcBorders>
              <w:top w:val="single" w:sz="4" w:space="0" w:color="auto"/>
              <w:left w:val="single" w:sz="4" w:space="0" w:color="auto"/>
              <w:right w:val="single" w:sz="4" w:space="0" w:color="auto"/>
            </w:tcBorders>
            <w:shd w:val="clear" w:color="auto" w:fill="auto"/>
          </w:tcPr>
          <w:p w14:paraId="64D53716" w14:textId="77777777" w:rsidR="005E3BED" w:rsidRPr="00190CF9" w:rsidRDefault="005E3BED" w:rsidP="005E3BED">
            <w:pPr>
              <w:pStyle w:val="ListParagraph"/>
              <w:numPr>
                <w:ilvl w:val="0"/>
                <w:numId w:val="23"/>
              </w:numPr>
              <w:ind w:right="144"/>
              <w:contextualSpacing w:val="0"/>
              <w:rPr>
                <w:rFonts w:ascii="Arial" w:hAnsi="Arial" w:cs="Arial"/>
                <w:sz w:val="18"/>
                <w:szCs w:val="18"/>
                <w:lang w:val="es-ES_tradnl"/>
              </w:rPr>
            </w:pPr>
            <w:r w:rsidRPr="00190CF9">
              <w:rPr>
                <w:rFonts w:ascii="Arial" w:hAnsi="Arial" w:cs="Arial"/>
                <w:b/>
                <w:sz w:val="18"/>
                <w:szCs w:val="18"/>
                <w:lang w:val="es-ES_tradnl"/>
              </w:rPr>
              <w:t>Mejoras en la credibilidad y seguridad de los contratos y las transacciones financieras</w:t>
            </w:r>
          </w:p>
          <w:p w14:paraId="62AF4612" w14:textId="77777777" w:rsidR="005E3BED" w:rsidRPr="00190CF9" w:rsidRDefault="005E3BED" w:rsidP="005E3BED">
            <w:pPr>
              <w:tabs>
                <w:tab w:val="left" w:pos="567"/>
              </w:tabs>
              <w:ind w:right="72"/>
              <w:rPr>
                <w:rFonts w:ascii="Arial" w:hAnsi="Arial" w:cs="Arial"/>
                <w:b/>
                <w:sz w:val="18"/>
                <w:szCs w:val="18"/>
                <w:lang w:val="es-ES_tradnl"/>
              </w:rPr>
            </w:pPr>
          </w:p>
          <w:p w14:paraId="791FFCC6" w14:textId="77777777" w:rsidR="005E3BED" w:rsidRPr="00190CF9" w:rsidRDefault="005E3BED" w:rsidP="005E3BED">
            <w:pPr>
              <w:tabs>
                <w:tab w:val="left" w:pos="567"/>
              </w:tabs>
              <w:ind w:right="72"/>
              <w:rPr>
                <w:rFonts w:ascii="Arial" w:hAnsi="Arial" w:cs="Arial"/>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tcPr>
          <w:p w14:paraId="5B3128C5" w14:textId="77777777" w:rsidR="005E3BED" w:rsidRPr="00190CF9" w:rsidRDefault="005E3BED" w:rsidP="00704647">
            <w:pPr>
              <w:widowControl w:val="0"/>
              <w:ind w:left="144" w:right="144"/>
              <w:jc w:val="both"/>
              <w:rPr>
                <w:rFonts w:ascii="Arial" w:hAnsi="Arial" w:cs="Arial"/>
                <w:sz w:val="18"/>
                <w:szCs w:val="18"/>
                <w:lang w:val="es-ES_tradnl"/>
              </w:rPr>
            </w:pPr>
            <w:r w:rsidRPr="00190CF9">
              <w:rPr>
                <w:rFonts w:ascii="Arial" w:hAnsi="Arial" w:cs="Arial"/>
                <w:sz w:val="18"/>
                <w:szCs w:val="18"/>
                <w:lang w:val="es-ES_tradnl"/>
              </w:rPr>
              <w:t>Entrada en vigor y reglamentación de la Ley de Cheques.</w:t>
            </w:r>
          </w:p>
          <w:p w14:paraId="07F5FCB0" w14:textId="77777777" w:rsidR="005E3BED" w:rsidRPr="00190CF9" w:rsidRDefault="005E3BED" w:rsidP="005E3BED">
            <w:pPr>
              <w:jc w:val="both"/>
              <w:rPr>
                <w:rFonts w:ascii="Arial" w:hAnsi="Arial" w:cs="Arial"/>
                <w:sz w:val="18"/>
                <w:szCs w:val="18"/>
                <w:lang w:val="es-ES_tradnl"/>
              </w:rPr>
            </w:pPr>
          </w:p>
          <w:p w14:paraId="02EBADBB" w14:textId="77777777" w:rsidR="005E3BED" w:rsidRPr="00190CF9" w:rsidRDefault="005E3BED" w:rsidP="005E3BED">
            <w:pPr>
              <w:jc w:val="both"/>
              <w:rPr>
                <w:rFonts w:ascii="Arial" w:hAnsi="Arial" w:cs="Arial"/>
                <w:sz w:val="18"/>
                <w:szCs w:val="18"/>
                <w:lang w:val="es-ES_tradnl"/>
              </w:rPr>
            </w:pPr>
          </w:p>
          <w:p w14:paraId="26747E7B" w14:textId="77777777" w:rsidR="005E3BED" w:rsidRPr="00190CF9" w:rsidRDefault="005E3BED" w:rsidP="005E3BED">
            <w:pPr>
              <w:jc w:val="both"/>
              <w:rPr>
                <w:rFonts w:ascii="Arial" w:hAnsi="Arial" w:cs="Arial"/>
                <w:sz w:val="18"/>
                <w:szCs w:val="18"/>
                <w:lang w:val="es-ES_tradnl"/>
              </w:rPr>
            </w:pPr>
          </w:p>
          <w:p w14:paraId="5E24FA38" w14:textId="77777777" w:rsidR="005E3BED" w:rsidRPr="00190CF9" w:rsidRDefault="005E3BED" w:rsidP="005E3BED">
            <w:pPr>
              <w:jc w:val="both"/>
              <w:rPr>
                <w:rFonts w:ascii="Arial" w:hAnsi="Arial" w:cs="Arial"/>
                <w:sz w:val="18"/>
                <w:szCs w:val="18"/>
                <w:lang w:val="es-ES_tradnl"/>
              </w:rPr>
            </w:pPr>
          </w:p>
        </w:tc>
        <w:tc>
          <w:tcPr>
            <w:tcW w:w="1178" w:type="pct"/>
            <w:tcBorders>
              <w:top w:val="single" w:sz="4" w:space="0" w:color="auto"/>
              <w:left w:val="single" w:sz="4" w:space="0" w:color="auto"/>
              <w:bottom w:val="single" w:sz="4" w:space="0" w:color="auto"/>
              <w:right w:val="single" w:sz="4" w:space="0" w:color="auto"/>
            </w:tcBorders>
          </w:tcPr>
          <w:p w14:paraId="4BA01667" w14:textId="77777777" w:rsidR="005E3BED" w:rsidRPr="00190CF9" w:rsidRDefault="00801730" w:rsidP="00704647">
            <w:pPr>
              <w:widowControl w:val="0"/>
              <w:ind w:left="144" w:right="144"/>
              <w:jc w:val="both"/>
              <w:rPr>
                <w:rFonts w:ascii="Arial" w:hAnsi="Arial" w:cs="Arial"/>
                <w:sz w:val="18"/>
                <w:szCs w:val="18"/>
                <w:lang w:val="es-ES_tradnl"/>
              </w:rPr>
            </w:pPr>
            <w:r w:rsidRPr="00190CF9">
              <w:rPr>
                <w:rFonts w:ascii="Arial" w:hAnsi="Arial" w:cs="Arial"/>
                <w:sz w:val="18"/>
                <w:szCs w:val="18"/>
                <w:lang w:val="es-ES_tradnl"/>
              </w:rPr>
              <w:t xml:space="preserve">Promulgación </w:t>
            </w:r>
            <w:r w:rsidR="00745318" w:rsidRPr="00190CF9">
              <w:rPr>
                <w:rFonts w:ascii="Arial" w:hAnsi="Arial" w:cs="Arial"/>
                <w:sz w:val="18"/>
                <w:szCs w:val="18"/>
                <w:lang w:val="es-ES_tradnl"/>
              </w:rPr>
              <w:t xml:space="preserve">de </w:t>
            </w:r>
            <w:r w:rsidRPr="00190CF9">
              <w:rPr>
                <w:rFonts w:ascii="Arial" w:hAnsi="Arial" w:cs="Arial"/>
                <w:sz w:val="18"/>
                <w:szCs w:val="18"/>
                <w:lang w:val="es-ES_tradnl"/>
              </w:rPr>
              <w:t>la</w:t>
            </w:r>
            <w:r w:rsidR="00745318" w:rsidRPr="00190CF9">
              <w:rPr>
                <w:rFonts w:ascii="Arial" w:hAnsi="Arial" w:cs="Arial"/>
                <w:sz w:val="18"/>
                <w:szCs w:val="18"/>
                <w:lang w:val="es-ES_tradnl"/>
              </w:rPr>
              <w:t xml:space="preserve"> </w:t>
            </w:r>
            <w:bookmarkStart w:id="1" w:name="_Hlk486256621"/>
            <w:r w:rsidR="00745318" w:rsidRPr="00190CF9">
              <w:rPr>
                <w:rFonts w:ascii="Arial" w:hAnsi="Arial" w:cs="Arial"/>
                <w:sz w:val="18"/>
                <w:szCs w:val="18"/>
                <w:lang w:val="es-ES_tradnl"/>
              </w:rPr>
              <w:t>Ley Contra el Lavado de Activos y el Financiamiento del Terrorismo</w:t>
            </w:r>
            <w:bookmarkEnd w:id="1"/>
            <w:r w:rsidRPr="00190CF9">
              <w:rPr>
                <w:rFonts w:ascii="Arial" w:hAnsi="Arial" w:cs="Arial"/>
                <w:sz w:val="18"/>
                <w:szCs w:val="18"/>
                <w:lang w:val="es-ES_tradnl"/>
              </w:rPr>
              <w:t xml:space="preserve"> por parte del Poder Ejecutivo</w:t>
            </w:r>
            <w:r w:rsidR="005E3BED" w:rsidRPr="00190CF9">
              <w:rPr>
                <w:rFonts w:ascii="Arial" w:hAnsi="Arial" w:cs="Arial"/>
                <w:sz w:val="18"/>
                <w:szCs w:val="18"/>
                <w:lang w:val="es-ES_tradnl"/>
              </w:rPr>
              <w:t>.</w:t>
            </w:r>
          </w:p>
          <w:p w14:paraId="57884203" w14:textId="77777777" w:rsidR="005E3BED" w:rsidRPr="00190CF9" w:rsidRDefault="005E3BED" w:rsidP="001D15ED">
            <w:pPr>
              <w:ind w:left="144" w:right="144"/>
              <w:jc w:val="both"/>
              <w:rPr>
                <w:rFonts w:ascii="Arial" w:hAnsi="Arial" w:cs="Arial"/>
                <w:sz w:val="18"/>
                <w:szCs w:val="18"/>
                <w:lang w:val="es-ES_tradnl"/>
              </w:rPr>
            </w:pPr>
          </w:p>
          <w:p w14:paraId="215949B4" w14:textId="77777777" w:rsidR="005E3BED" w:rsidRPr="00190CF9" w:rsidRDefault="005E3BED" w:rsidP="005E3BED">
            <w:pPr>
              <w:jc w:val="both"/>
              <w:rPr>
                <w:rFonts w:ascii="Arial" w:hAnsi="Arial" w:cs="Arial"/>
                <w:sz w:val="18"/>
                <w:szCs w:val="18"/>
                <w:lang w:val="es-ES_tradnl"/>
              </w:rPr>
            </w:pPr>
          </w:p>
          <w:p w14:paraId="796D4558" w14:textId="77777777" w:rsidR="005E3BED" w:rsidRPr="00190CF9" w:rsidRDefault="005E3BED" w:rsidP="005E3BED">
            <w:pPr>
              <w:jc w:val="both"/>
              <w:rPr>
                <w:rFonts w:ascii="Arial" w:hAnsi="Arial" w:cs="Arial"/>
                <w:sz w:val="18"/>
                <w:szCs w:val="18"/>
                <w:lang w:val="es-ES_tradnl"/>
              </w:rPr>
            </w:pPr>
          </w:p>
          <w:p w14:paraId="700A41B1" w14:textId="77777777" w:rsidR="005E3BED" w:rsidRPr="00190CF9" w:rsidRDefault="005E3BED" w:rsidP="005E3BED">
            <w:pPr>
              <w:jc w:val="both"/>
              <w:rPr>
                <w:rFonts w:ascii="Arial" w:hAnsi="Arial" w:cs="Arial"/>
                <w:sz w:val="18"/>
                <w:szCs w:val="18"/>
                <w:lang w:val="es-ES_tradnl"/>
              </w:rPr>
            </w:pPr>
          </w:p>
          <w:p w14:paraId="548725E6" w14:textId="77777777" w:rsidR="005E3BED" w:rsidRPr="00190CF9" w:rsidRDefault="005E3BED" w:rsidP="005E3BED">
            <w:pPr>
              <w:jc w:val="both"/>
              <w:rPr>
                <w:rFonts w:ascii="Arial" w:hAnsi="Arial" w:cs="Arial"/>
                <w:sz w:val="18"/>
                <w:szCs w:val="18"/>
                <w:lang w:val="es-ES_tradnl"/>
              </w:rPr>
            </w:pPr>
          </w:p>
          <w:p w14:paraId="5FC5D978" w14:textId="77777777" w:rsidR="005E3BED" w:rsidRPr="00190CF9" w:rsidRDefault="005E3BED" w:rsidP="005E3BED">
            <w:pPr>
              <w:jc w:val="both"/>
              <w:rPr>
                <w:rFonts w:ascii="Arial" w:hAnsi="Arial" w:cs="Arial"/>
                <w:sz w:val="18"/>
                <w:szCs w:val="18"/>
                <w:lang w:val="es-ES_tradnl"/>
              </w:rPr>
            </w:pPr>
          </w:p>
          <w:p w14:paraId="4434C688" w14:textId="77777777" w:rsidR="005E3BED" w:rsidRPr="00190CF9" w:rsidRDefault="005E3BED" w:rsidP="005E3BED">
            <w:pPr>
              <w:jc w:val="both"/>
              <w:rPr>
                <w:rFonts w:ascii="Arial" w:hAnsi="Arial" w:cs="Arial"/>
                <w:sz w:val="18"/>
                <w:szCs w:val="18"/>
                <w:lang w:val="es-ES_tradnl"/>
              </w:rPr>
            </w:pPr>
          </w:p>
          <w:p w14:paraId="37B12580" w14:textId="77777777" w:rsidR="005E3BED" w:rsidRPr="00190CF9" w:rsidRDefault="005E3BED" w:rsidP="005E3BED">
            <w:pPr>
              <w:jc w:val="both"/>
              <w:rPr>
                <w:rFonts w:ascii="Arial" w:hAnsi="Arial" w:cs="Arial"/>
                <w:sz w:val="18"/>
                <w:szCs w:val="18"/>
                <w:lang w:val="es-ES_tradnl"/>
              </w:rPr>
            </w:pPr>
          </w:p>
        </w:tc>
        <w:tc>
          <w:tcPr>
            <w:tcW w:w="1634" w:type="pct"/>
            <w:tcBorders>
              <w:top w:val="single" w:sz="4" w:space="0" w:color="auto"/>
              <w:left w:val="single" w:sz="4" w:space="0" w:color="auto"/>
              <w:bottom w:val="single" w:sz="4" w:space="0" w:color="auto"/>
              <w:right w:val="single" w:sz="4" w:space="0" w:color="auto"/>
            </w:tcBorders>
          </w:tcPr>
          <w:p w14:paraId="21F86E07" w14:textId="6C17DE8E" w:rsidR="00704647" w:rsidRPr="00190CF9" w:rsidRDefault="00745318" w:rsidP="007E1DF8">
            <w:pPr>
              <w:widowControl w:val="0"/>
              <w:ind w:left="109" w:right="90"/>
              <w:jc w:val="both"/>
              <w:rPr>
                <w:rFonts w:ascii="Arial" w:hAnsi="Arial" w:cs="Arial"/>
                <w:sz w:val="18"/>
                <w:szCs w:val="18"/>
                <w:lang w:val="es-ES_tradnl"/>
              </w:rPr>
            </w:pPr>
            <w:r w:rsidRPr="00190CF9">
              <w:rPr>
                <w:rFonts w:ascii="Arial" w:hAnsi="Arial" w:cs="Arial"/>
                <w:b/>
                <w:sz w:val="18"/>
                <w:szCs w:val="18"/>
                <w:lang w:val="es-ES_tradnl"/>
              </w:rPr>
              <w:t>Compromiso reforzado y cumplido.</w:t>
            </w:r>
            <w:r w:rsidRPr="00190CF9">
              <w:rPr>
                <w:rFonts w:ascii="Arial" w:hAnsi="Arial" w:cs="Arial"/>
                <w:sz w:val="18"/>
                <w:szCs w:val="18"/>
                <w:lang w:val="es-ES_tradnl"/>
              </w:rPr>
              <w:t xml:space="preserve"> D</w:t>
            </w:r>
            <w:r w:rsidR="000E56CA" w:rsidRPr="00190CF9">
              <w:rPr>
                <w:rFonts w:ascii="Arial" w:hAnsi="Arial" w:cs="Arial"/>
                <w:sz w:val="18"/>
                <w:szCs w:val="18"/>
                <w:lang w:val="es-ES_tradnl"/>
              </w:rPr>
              <w:t>ada</w:t>
            </w:r>
            <w:r w:rsidR="005B1E7F" w:rsidRPr="00190CF9">
              <w:rPr>
                <w:rFonts w:ascii="Arial" w:hAnsi="Arial" w:cs="Arial"/>
                <w:sz w:val="18"/>
                <w:szCs w:val="18"/>
                <w:lang w:val="es-ES_tradnl"/>
              </w:rPr>
              <w:t xml:space="preserve"> la rápida evolución de nuevas tecnologías financieras, el uso de cheques no reviste ya la relevancia que tenía anteriormente, y más bien se </w:t>
            </w:r>
            <w:r w:rsidR="00476AB0" w:rsidRPr="00190CF9">
              <w:rPr>
                <w:rFonts w:ascii="Arial" w:hAnsi="Arial" w:cs="Arial"/>
                <w:sz w:val="18"/>
                <w:szCs w:val="18"/>
                <w:lang w:val="es-ES_tradnl"/>
              </w:rPr>
              <w:t>buscó reforzar</w:t>
            </w:r>
            <w:r w:rsidR="005B1E7F" w:rsidRPr="00190CF9">
              <w:rPr>
                <w:rFonts w:ascii="Arial" w:hAnsi="Arial" w:cs="Arial"/>
                <w:sz w:val="18"/>
                <w:szCs w:val="18"/>
                <w:lang w:val="es-ES_tradnl"/>
              </w:rPr>
              <w:t xml:space="preserve"> </w:t>
            </w:r>
            <w:r w:rsidR="007F40F1" w:rsidRPr="00190CF9">
              <w:rPr>
                <w:rFonts w:ascii="Arial" w:hAnsi="Arial" w:cs="Arial"/>
                <w:sz w:val="18"/>
                <w:szCs w:val="18"/>
                <w:lang w:val="es-ES_tradnl"/>
              </w:rPr>
              <w:t xml:space="preserve">el objetivo de mejorar </w:t>
            </w:r>
            <w:r w:rsidR="005B1E7F" w:rsidRPr="00190CF9">
              <w:rPr>
                <w:rFonts w:ascii="Arial" w:hAnsi="Arial" w:cs="Arial"/>
                <w:sz w:val="18"/>
                <w:szCs w:val="18"/>
                <w:lang w:val="es-ES_tradnl"/>
              </w:rPr>
              <w:t xml:space="preserve">la credibilidad y seguridad en las transacciones financieras a través de la incorporación de un compromiso de </w:t>
            </w:r>
            <w:r w:rsidR="000E56CA" w:rsidRPr="00190CF9">
              <w:rPr>
                <w:rFonts w:ascii="Arial" w:hAnsi="Arial" w:cs="Arial"/>
                <w:sz w:val="18"/>
                <w:szCs w:val="18"/>
                <w:lang w:val="es-ES_tradnl"/>
              </w:rPr>
              <w:t>mayor</w:t>
            </w:r>
            <w:r w:rsidR="005B1E7F" w:rsidRPr="00190CF9">
              <w:rPr>
                <w:rFonts w:ascii="Arial" w:hAnsi="Arial" w:cs="Arial"/>
                <w:sz w:val="18"/>
                <w:szCs w:val="18"/>
                <w:lang w:val="es-ES_tradnl"/>
              </w:rPr>
              <w:t xml:space="preserve"> relevancia</w:t>
            </w:r>
            <w:r w:rsidR="000E56CA" w:rsidRPr="00190CF9">
              <w:rPr>
                <w:rFonts w:ascii="Arial" w:hAnsi="Arial" w:cs="Arial"/>
                <w:sz w:val="18"/>
                <w:szCs w:val="18"/>
                <w:lang w:val="es-ES_tradnl"/>
              </w:rPr>
              <w:t xml:space="preserve"> para </w:t>
            </w:r>
            <w:r w:rsidR="006D5F7D" w:rsidRPr="00190CF9">
              <w:rPr>
                <w:rFonts w:ascii="Arial" w:hAnsi="Arial" w:cs="Arial"/>
                <w:sz w:val="18"/>
                <w:szCs w:val="18"/>
                <w:lang w:val="es-ES_tradnl"/>
              </w:rPr>
              <w:t>el logro</w:t>
            </w:r>
            <w:r w:rsidR="000E56CA" w:rsidRPr="00190CF9">
              <w:rPr>
                <w:rFonts w:ascii="Arial" w:hAnsi="Arial" w:cs="Arial"/>
                <w:sz w:val="18"/>
                <w:szCs w:val="18"/>
                <w:lang w:val="es-ES_tradnl"/>
              </w:rPr>
              <w:t xml:space="preserve"> de este objetivo</w:t>
            </w:r>
            <w:r w:rsidR="005B1E7F" w:rsidRPr="00190CF9">
              <w:rPr>
                <w:rFonts w:ascii="Arial" w:hAnsi="Arial" w:cs="Arial"/>
                <w:sz w:val="18"/>
                <w:szCs w:val="18"/>
                <w:lang w:val="es-ES_tradnl"/>
              </w:rPr>
              <w:t xml:space="preserve">, la </w:t>
            </w:r>
            <w:r w:rsidR="00801730" w:rsidRPr="00190CF9">
              <w:rPr>
                <w:rFonts w:ascii="Arial" w:hAnsi="Arial" w:cs="Arial"/>
                <w:sz w:val="18"/>
                <w:szCs w:val="18"/>
                <w:lang w:val="es-ES_tradnl"/>
              </w:rPr>
              <w:t xml:space="preserve">promulgación </w:t>
            </w:r>
            <w:r w:rsidR="005B1E7F" w:rsidRPr="00190CF9">
              <w:rPr>
                <w:rFonts w:ascii="Arial" w:hAnsi="Arial" w:cs="Arial"/>
                <w:sz w:val="18"/>
                <w:szCs w:val="18"/>
                <w:lang w:val="es-ES_tradnl"/>
              </w:rPr>
              <w:t>de un</w:t>
            </w:r>
            <w:r w:rsidR="00801730" w:rsidRPr="00190CF9">
              <w:rPr>
                <w:rFonts w:ascii="Arial" w:hAnsi="Arial" w:cs="Arial"/>
                <w:sz w:val="18"/>
                <w:szCs w:val="18"/>
                <w:lang w:val="es-ES_tradnl"/>
              </w:rPr>
              <w:t>a nueva</w:t>
            </w:r>
            <w:r w:rsidR="005B1E7F" w:rsidRPr="00190CF9">
              <w:rPr>
                <w:rFonts w:ascii="Arial" w:hAnsi="Arial" w:cs="Arial"/>
                <w:sz w:val="18"/>
                <w:szCs w:val="18"/>
                <w:lang w:val="es-ES_tradnl"/>
              </w:rPr>
              <w:t xml:space="preserve"> Ley Contra Lavado de Activos y Financiamiento del Terrorismo</w:t>
            </w:r>
            <w:r w:rsidR="005E3BED" w:rsidRPr="00190CF9">
              <w:rPr>
                <w:rFonts w:ascii="Arial" w:hAnsi="Arial" w:cs="Arial"/>
                <w:sz w:val="18"/>
                <w:szCs w:val="18"/>
                <w:lang w:val="es-ES_tradnl"/>
              </w:rPr>
              <w:t xml:space="preserve">. </w:t>
            </w:r>
          </w:p>
          <w:p w14:paraId="52A1C3CE" w14:textId="77777777" w:rsidR="00704647" w:rsidRPr="00190CF9" w:rsidRDefault="00704647" w:rsidP="007E1DF8">
            <w:pPr>
              <w:widowControl w:val="0"/>
              <w:ind w:left="109" w:right="90"/>
              <w:jc w:val="both"/>
              <w:rPr>
                <w:rFonts w:ascii="Arial" w:hAnsi="Arial" w:cs="Arial"/>
                <w:sz w:val="18"/>
                <w:szCs w:val="18"/>
                <w:lang w:val="es-ES_tradnl"/>
              </w:rPr>
            </w:pPr>
          </w:p>
          <w:p w14:paraId="22E197B2" w14:textId="77777777" w:rsidR="00704647" w:rsidRPr="00190CF9" w:rsidRDefault="00745318" w:rsidP="007E1DF8">
            <w:pPr>
              <w:widowControl w:val="0"/>
              <w:ind w:left="109" w:right="90"/>
              <w:jc w:val="both"/>
              <w:rPr>
                <w:rFonts w:ascii="Arial" w:hAnsi="Arial" w:cs="Arial"/>
                <w:sz w:val="18"/>
                <w:szCs w:val="18"/>
                <w:lang w:val="es-ES_tradnl"/>
              </w:rPr>
            </w:pPr>
            <w:r w:rsidRPr="00190CF9">
              <w:rPr>
                <w:rFonts w:ascii="Arial" w:hAnsi="Arial" w:cs="Arial"/>
                <w:sz w:val="18"/>
                <w:szCs w:val="18"/>
                <w:lang w:val="es-ES_tradnl"/>
              </w:rPr>
              <w:t xml:space="preserve">La nueva Ley Contra el Lavado de Activos y el Financiamiento del Terrorismo, </w:t>
            </w:r>
            <w:r w:rsidR="00801730" w:rsidRPr="00190CF9">
              <w:rPr>
                <w:rFonts w:ascii="Arial" w:hAnsi="Arial" w:cs="Arial"/>
                <w:sz w:val="18"/>
                <w:szCs w:val="18"/>
                <w:lang w:val="es-ES_tradnl"/>
              </w:rPr>
              <w:t>promulgada por el Poder Ejecutivo el 2 de junio de 2017</w:t>
            </w:r>
            <w:r w:rsidRPr="00190CF9">
              <w:rPr>
                <w:rFonts w:ascii="Arial" w:hAnsi="Arial" w:cs="Arial"/>
                <w:sz w:val="18"/>
                <w:szCs w:val="18"/>
                <w:lang w:val="es-ES_tradnl"/>
              </w:rPr>
              <w:t xml:space="preserve">, es de gran relevancia, pues busca mejorar la credibilidad y seguridad de los contratos y las transacciones financieras sustituyendo y derogando la Ley No. 72-02, sobre Lavado de Activos Provenientes del Tráfico Ilícito de Drogas, de 2002, para incorporar medidas que servirán para transparentar las operaciones financieras públicas y privadas que se realizan en territorio dominicano. </w:t>
            </w:r>
          </w:p>
          <w:p w14:paraId="438543AF" w14:textId="77777777" w:rsidR="00704647" w:rsidRPr="00190CF9" w:rsidRDefault="00704647" w:rsidP="007E1DF8">
            <w:pPr>
              <w:widowControl w:val="0"/>
              <w:ind w:left="109" w:right="90"/>
              <w:jc w:val="both"/>
              <w:rPr>
                <w:rFonts w:ascii="Arial" w:hAnsi="Arial" w:cs="Arial"/>
                <w:sz w:val="18"/>
                <w:szCs w:val="18"/>
                <w:lang w:val="es-ES_tradnl"/>
              </w:rPr>
            </w:pPr>
          </w:p>
          <w:p w14:paraId="2550B7AD" w14:textId="7D674542" w:rsidR="002E6C15" w:rsidRPr="00190CF9" w:rsidRDefault="00745318" w:rsidP="007E1DF8">
            <w:pPr>
              <w:widowControl w:val="0"/>
              <w:ind w:left="109" w:right="90"/>
              <w:jc w:val="both"/>
              <w:rPr>
                <w:rFonts w:ascii="Arial" w:hAnsi="Arial" w:cs="Arial"/>
                <w:sz w:val="18"/>
                <w:szCs w:val="18"/>
                <w:lang w:val="es-ES_tradnl"/>
              </w:rPr>
            </w:pPr>
            <w:bookmarkStart w:id="2" w:name="_Hlk494897515"/>
            <w:r w:rsidRPr="00190CF9">
              <w:rPr>
                <w:rFonts w:ascii="Arial" w:hAnsi="Arial" w:cs="Arial"/>
                <w:sz w:val="18"/>
                <w:szCs w:val="18"/>
                <w:lang w:val="es-ES_tradnl"/>
              </w:rPr>
              <w:t xml:space="preserve">La iniciativa </w:t>
            </w:r>
            <w:bookmarkStart w:id="3" w:name="_Hlk494897618"/>
            <w:r w:rsidRPr="00190CF9">
              <w:rPr>
                <w:rFonts w:ascii="Arial" w:hAnsi="Arial" w:cs="Arial"/>
                <w:sz w:val="18"/>
                <w:szCs w:val="18"/>
                <w:lang w:val="es-ES_tradnl"/>
              </w:rPr>
              <w:t>actualiza la legislación dominicana conforme a los nuevos estándares internacionales y, específicamente, busca alinear la normativa local con 40 nuevas recomendaciones del Grupo de Acción Financiero (GAFI) en materia de lavado de dinero y financiamiento al terrorismo, así como fortalecer los mecanismos de prevención y combate a estas acciones ilícitas</w:t>
            </w:r>
            <w:bookmarkEnd w:id="3"/>
            <w:r w:rsidRPr="00190CF9">
              <w:rPr>
                <w:rFonts w:ascii="Arial" w:hAnsi="Arial" w:cs="Arial"/>
                <w:sz w:val="18"/>
                <w:szCs w:val="18"/>
                <w:lang w:val="es-ES_tradnl"/>
              </w:rPr>
              <w:t>.</w:t>
            </w:r>
            <w:bookmarkEnd w:id="2"/>
          </w:p>
        </w:tc>
      </w:tr>
      <w:tr w:rsidR="005E3BED" w:rsidRPr="00A778E5" w14:paraId="53A95B4D" w14:textId="77777777" w:rsidTr="005937E7">
        <w:trPr>
          <w:cantSplit/>
          <w:trHeight w:val="195"/>
          <w:tblHeader/>
          <w:jc w:val="center"/>
        </w:trPr>
        <w:tc>
          <w:tcPr>
            <w:tcW w:w="1012" w:type="pct"/>
            <w:vMerge/>
            <w:tcBorders>
              <w:left w:val="single" w:sz="4" w:space="0" w:color="auto"/>
              <w:right w:val="single" w:sz="4" w:space="0" w:color="auto"/>
            </w:tcBorders>
            <w:shd w:val="clear" w:color="auto" w:fill="auto"/>
            <w:vAlign w:val="center"/>
          </w:tcPr>
          <w:p w14:paraId="2504FB28" w14:textId="77777777" w:rsidR="005E3BED" w:rsidRPr="00190CF9" w:rsidRDefault="005E3BED" w:rsidP="005E3BED">
            <w:pPr>
              <w:tabs>
                <w:tab w:val="left" w:pos="567"/>
              </w:tabs>
              <w:ind w:right="72"/>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B23F0AB" w14:textId="77777777" w:rsidR="005E3BED" w:rsidRPr="00190CF9" w:rsidRDefault="005E3BED" w:rsidP="001D15ED">
            <w:pPr>
              <w:ind w:left="144" w:right="144"/>
              <w:jc w:val="both"/>
              <w:rPr>
                <w:rFonts w:ascii="Arial" w:hAnsi="Arial" w:cs="Arial"/>
                <w:sz w:val="18"/>
                <w:szCs w:val="18"/>
                <w:lang w:val="es-ES_tradnl"/>
              </w:rPr>
            </w:pPr>
            <w:r w:rsidRPr="00190CF9">
              <w:rPr>
                <w:rFonts w:ascii="Arial" w:hAnsi="Arial" w:cs="Arial"/>
                <w:sz w:val="18"/>
                <w:szCs w:val="18"/>
                <w:lang w:val="es-ES_tradnl"/>
              </w:rPr>
              <w:t>Entrada en vigor de la ley de quiebras y su desarrollo reglamentario.</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4192498" w14:textId="7DEB8C62" w:rsidR="00EB3602" w:rsidRPr="00190CF9" w:rsidRDefault="005E3BED" w:rsidP="00424B0F">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Entrada en vigor </w:t>
            </w:r>
            <w:r w:rsidR="00352C7B" w:rsidRPr="00190CF9">
              <w:rPr>
                <w:rFonts w:ascii="Arial" w:hAnsi="Arial" w:cs="Arial"/>
                <w:sz w:val="18"/>
                <w:szCs w:val="18"/>
                <w:lang w:val="es-ES_tradnl"/>
              </w:rPr>
              <w:t>de la Ley de Reestructuración y Liquidación de Empresas y Personas Físicas Comerciales (Ley de Q</w:t>
            </w:r>
            <w:r w:rsidRPr="00190CF9">
              <w:rPr>
                <w:rFonts w:ascii="Arial" w:hAnsi="Arial" w:cs="Arial"/>
                <w:sz w:val="18"/>
                <w:szCs w:val="18"/>
                <w:lang w:val="es-ES_tradnl"/>
              </w:rPr>
              <w:t>uiebras</w:t>
            </w:r>
            <w:r w:rsidR="00352C7B" w:rsidRPr="00190CF9">
              <w:rPr>
                <w:rFonts w:ascii="Arial" w:hAnsi="Arial" w:cs="Arial"/>
                <w:sz w:val="18"/>
                <w:szCs w:val="18"/>
                <w:lang w:val="es-ES_tradnl"/>
              </w:rPr>
              <w:t>)</w:t>
            </w:r>
            <w:r w:rsidRPr="00190CF9">
              <w:rPr>
                <w:rFonts w:ascii="Arial" w:hAnsi="Arial" w:cs="Arial"/>
                <w:sz w:val="18"/>
                <w:szCs w:val="18"/>
                <w:lang w:val="es-ES_tradnl"/>
              </w:rPr>
              <w:t xml:space="preserve"> y su desarrollo reglamentario.</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22B6A374" w14:textId="6CF55D8A" w:rsidR="002E6C15" w:rsidRPr="00190CF9" w:rsidRDefault="005E3BED" w:rsidP="00424B0F">
            <w:pPr>
              <w:ind w:left="109" w:right="90"/>
              <w:jc w:val="both"/>
              <w:rPr>
                <w:rFonts w:ascii="Arial" w:hAnsi="Arial" w:cs="Arial"/>
                <w:sz w:val="18"/>
                <w:szCs w:val="18"/>
                <w:lang w:val="es-ES_tradnl"/>
              </w:rPr>
            </w:pPr>
            <w:r w:rsidRPr="00190CF9">
              <w:rPr>
                <w:rFonts w:ascii="Arial" w:hAnsi="Arial" w:cs="Arial"/>
                <w:b/>
                <w:sz w:val="18"/>
                <w:szCs w:val="18"/>
                <w:lang w:val="es-ES_tradnl"/>
              </w:rPr>
              <w:t xml:space="preserve">Cumplido. </w:t>
            </w:r>
            <w:r w:rsidRPr="00190CF9">
              <w:rPr>
                <w:rFonts w:ascii="Arial" w:hAnsi="Arial" w:cs="Arial"/>
                <w:sz w:val="18"/>
                <w:szCs w:val="18"/>
                <w:lang w:val="es-ES_tradnl"/>
              </w:rPr>
              <w:t>Dicha Ley fue aprobada y promulgada, y su reglamento ya ha sido</w:t>
            </w:r>
            <w:r w:rsidR="00B57E22" w:rsidRPr="00190CF9">
              <w:rPr>
                <w:rFonts w:ascii="Arial" w:hAnsi="Arial" w:cs="Arial"/>
                <w:sz w:val="18"/>
                <w:szCs w:val="18"/>
                <w:lang w:val="es-ES_tradnl"/>
              </w:rPr>
              <w:t xml:space="preserve"> </w:t>
            </w:r>
            <w:r w:rsidRPr="00190CF9">
              <w:rPr>
                <w:rFonts w:ascii="Arial" w:hAnsi="Arial" w:cs="Arial"/>
                <w:sz w:val="18"/>
                <w:szCs w:val="18"/>
                <w:lang w:val="es-ES_tradnl"/>
              </w:rPr>
              <w:t xml:space="preserve">aprobado y </w:t>
            </w:r>
            <w:r w:rsidR="003669A5" w:rsidRPr="00190CF9">
              <w:rPr>
                <w:rFonts w:ascii="Arial" w:hAnsi="Arial" w:cs="Arial"/>
                <w:sz w:val="18"/>
                <w:szCs w:val="18"/>
                <w:lang w:val="es-ES_tradnl"/>
              </w:rPr>
              <w:t>se encuentra en</w:t>
            </w:r>
            <w:r w:rsidRPr="00190CF9">
              <w:rPr>
                <w:rFonts w:ascii="Arial" w:hAnsi="Arial" w:cs="Arial"/>
                <w:sz w:val="18"/>
                <w:szCs w:val="18"/>
                <w:lang w:val="es-ES_tradnl"/>
              </w:rPr>
              <w:t xml:space="preserve"> vigencia</w:t>
            </w:r>
            <w:r w:rsidR="00F23DD6" w:rsidRPr="00190CF9">
              <w:rPr>
                <w:rFonts w:ascii="Arial" w:hAnsi="Arial" w:cs="Arial"/>
                <w:sz w:val="18"/>
                <w:szCs w:val="18"/>
                <w:lang w:val="es-ES_tradnl"/>
              </w:rPr>
              <w:t>, y permitirá brindar mayor seguridad jurídica tanto a acreedores como deudores, como resultado de los procesos de liquidación y reestructuración empresarial</w:t>
            </w:r>
            <w:r w:rsidRPr="00190CF9">
              <w:rPr>
                <w:rFonts w:ascii="Arial" w:hAnsi="Arial" w:cs="Arial"/>
                <w:sz w:val="18"/>
                <w:szCs w:val="18"/>
                <w:lang w:val="es-ES_tradnl"/>
              </w:rPr>
              <w:t>.</w:t>
            </w:r>
          </w:p>
        </w:tc>
      </w:tr>
      <w:tr w:rsidR="00745318" w:rsidRPr="00A778E5" w14:paraId="579501F3" w14:textId="77777777" w:rsidTr="00200C8D">
        <w:trPr>
          <w:trHeight w:val="512"/>
          <w:jc w:val="center"/>
        </w:trPr>
        <w:tc>
          <w:tcPr>
            <w:tcW w:w="1012" w:type="pct"/>
            <w:vMerge/>
            <w:tcBorders>
              <w:left w:val="single" w:sz="4" w:space="0" w:color="auto"/>
              <w:right w:val="single" w:sz="4" w:space="0" w:color="auto"/>
            </w:tcBorders>
            <w:shd w:val="clear" w:color="auto" w:fill="auto"/>
          </w:tcPr>
          <w:p w14:paraId="232081B9" w14:textId="77777777" w:rsidR="00745318" w:rsidRPr="00190CF9" w:rsidRDefault="00745318" w:rsidP="005E3BED">
            <w:pPr>
              <w:tabs>
                <w:tab w:val="left" w:pos="567"/>
              </w:tabs>
              <w:ind w:right="72"/>
              <w:rPr>
                <w:rFonts w:ascii="Arial" w:hAnsi="Arial" w:cs="Arial"/>
                <w:sz w:val="18"/>
                <w:szCs w:val="18"/>
                <w:lang w:val="es-ES_tradnl"/>
              </w:rPr>
            </w:pPr>
          </w:p>
        </w:tc>
        <w:tc>
          <w:tcPr>
            <w:tcW w:w="1176" w:type="pct"/>
            <w:tcBorders>
              <w:top w:val="single" w:sz="4" w:space="0" w:color="auto"/>
              <w:left w:val="single" w:sz="4" w:space="0" w:color="auto"/>
              <w:right w:val="single" w:sz="4" w:space="0" w:color="auto"/>
            </w:tcBorders>
            <w:shd w:val="clear" w:color="auto" w:fill="auto"/>
          </w:tcPr>
          <w:p w14:paraId="311D6D80" w14:textId="77777777" w:rsidR="00745318" w:rsidRPr="00190CF9" w:rsidRDefault="00745318" w:rsidP="001D15ED">
            <w:pPr>
              <w:ind w:left="144" w:right="144"/>
              <w:jc w:val="both"/>
              <w:rPr>
                <w:rFonts w:ascii="Arial" w:hAnsi="Arial" w:cs="Arial"/>
                <w:sz w:val="18"/>
                <w:szCs w:val="18"/>
                <w:lang w:val="es-ES_tradnl"/>
              </w:rPr>
            </w:pPr>
            <w:r w:rsidRPr="00190CF9">
              <w:rPr>
                <w:rFonts w:ascii="Arial" w:hAnsi="Arial" w:cs="Arial"/>
                <w:sz w:val="18"/>
                <w:szCs w:val="18"/>
                <w:lang w:val="es-ES_tradnl"/>
              </w:rPr>
              <w:t>Desarrollo reglamentario de la ley de garantías mobiliarias.</w:t>
            </w:r>
          </w:p>
        </w:tc>
        <w:tc>
          <w:tcPr>
            <w:tcW w:w="1178" w:type="pct"/>
            <w:tcBorders>
              <w:top w:val="single" w:sz="4" w:space="0" w:color="auto"/>
              <w:left w:val="single" w:sz="4" w:space="0" w:color="auto"/>
              <w:right w:val="single" w:sz="4" w:space="0" w:color="auto"/>
            </w:tcBorders>
            <w:shd w:val="clear" w:color="auto" w:fill="auto"/>
          </w:tcPr>
          <w:p w14:paraId="50FE926D" w14:textId="77777777" w:rsidR="00745318" w:rsidRPr="00190CF9" w:rsidRDefault="00745318" w:rsidP="001D15ED">
            <w:pPr>
              <w:ind w:left="144" w:right="144"/>
              <w:jc w:val="both"/>
              <w:rPr>
                <w:rFonts w:ascii="Arial" w:hAnsi="Arial" w:cs="Arial"/>
                <w:sz w:val="18"/>
                <w:szCs w:val="18"/>
                <w:lang w:val="es-ES_tradnl"/>
              </w:rPr>
            </w:pPr>
            <w:r w:rsidRPr="00190CF9">
              <w:rPr>
                <w:rFonts w:ascii="Arial" w:hAnsi="Arial" w:cs="Arial"/>
                <w:sz w:val="18"/>
                <w:szCs w:val="18"/>
                <w:lang w:val="es-ES_tradnl"/>
              </w:rPr>
              <w:t>Presentación al Congreso Nacional de un proyecto de Ley de Garantías Mobiliarias.</w:t>
            </w:r>
          </w:p>
        </w:tc>
        <w:tc>
          <w:tcPr>
            <w:tcW w:w="1634" w:type="pct"/>
            <w:tcBorders>
              <w:top w:val="single" w:sz="4" w:space="0" w:color="auto"/>
              <w:left w:val="single" w:sz="4" w:space="0" w:color="auto"/>
              <w:right w:val="single" w:sz="4" w:space="0" w:color="auto"/>
            </w:tcBorders>
            <w:shd w:val="clear" w:color="auto" w:fill="auto"/>
          </w:tcPr>
          <w:p w14:paraId="450B24F1" w14:textId="14845C0A" w:rsidR="00EC3F61" w:rsidRPr="00190CF9" w:rsidRDefault="00745318" w:rsidP="007E1DF8">
            <w:pPr>
              <w:ind w:left="109" w:right="90"/>
              <w:jc w:val="both"/>
              <w:rPr>
                <w:rFonts w:ascii="Arial" w:hAnsi="Arial" w:cs="Arial"/>
                <w:sz w:val="18"/>
                <w:szCs w:val="18"/>
                <w:lang w:val="es-ES_tradnl"/>
              </w:rPr>
            </w:pPr>
            <w:r w:rsidRPr="00190CF9">
              <w:rPr>
                <w:rFonts w:ascii="Arial" w:hAnsi="Arial" w:cs="Arial"/>
                <w:b/>
                <w:sz w:val="18"/>
                <w:szCs w:val="18"/>
                <w:lang w:val="es-ES_tradnl"/>
              </w:rPr>
              <w:t xml:space="preserve">Compromiso parcialmente modificado. </w:t>
            </w:r>
            <w:r w:rsidR="00687230" w:rsidRPr="00190CF9">
              <w:rPr>
                <w:rFonts w:ascii="Arial" w:hAnsi="Arial" w:cs="Arial"/>
                <w:b/>
                <w:sz w:val="18"/>
                <w:szCs w:val="18"/>
                <w:lang w:val="es-ES_tradnl"/>
              </w:rPr>
              <w:t>Cumplido</w:t>
            </w:r>
            <w:r w:rsidRPr="00190CF9">
              <w:rPr>
                <w:rFonts w:ascii="Arial" w:hAnsi="Arial" w:cs="Arial"/>
                <w:b/>
                <w:sz w:val="18"/>
                <w:szCs w:val="18"/>
                <w:lang w:val="es-ES_tradnl"/>
              </w:rPr>
              <w:t>.</w:t>
            </w:r>
            <w:r w:rsidRPr="00190CF9">
              <w:rPr>
                <w:rFonts w:ascii="Arial" w:hAnsi="Arial" w:cs="Arial"/>
                <w:sz w:val="18"/>
                <w:szCs w:val="18"/>
                <w:lang w:val="es-ES_tradnl"/>
              </w:rPr>
              <w:t xml:space="preserve"> Si bien entre los posibles acuerdos para la segunda fase incluidos en el anterior programa (DR-L1072) se incluyó el desarrollo reglamentario de la Ley de Garantías Mobiliarias, al momento de la inclusión de dicho posible acuerdo aún no se contaba con un borrador consensuado de la nueva Ley, ni ésta había sido presentada al Congreso Nacional para su consideración. Debido a que el tema de Garantías Mobiliarias no formó parte de los acuerdos de la primera operación, se considera pertinente, dado el estado actual de avance de esta reforma en República Dominicana, incluir para la segunda operación la presentación al Congreso Nacional del proyecto de Ley de Garantías Mobiliarias.</w:t>
            </w:r>
            <w:r w:rsidR="00EC3F61" w:rsidRPr="00190CF9">
              <w:rPr>
                <w:rFonts w:ascii="Arial" w:hAnsi="Arial" w:cs="Arial"/>
                <w:sz w:val="18"/>
                <w:szCs w:val="18"/>
                <w:lang w:val="es-ES_tradnl"/>
              </w:rPr>
              <w:t xml:space="preserve"> Dicho proyecto de Ley fue presentado al Congreso Nacional en mayo de 2017.</w:t>
            </w:r>
          </w:p>
        </w:tc>
      </w:tr>
      <w:tr w:rsidR="005937E7" w:rsidRPr="00A778E5" w14:paraId="53EDD6D8" w14:textId="77777777" w:rsidTr="007E1DF8">
        <w:trPr>
          <w:cantSplit/>
          <w:trHeight w:val="56"/>
          <w:jc w:val="center"/>
        </w:trPr>
        <w:tc>
          <w:tcPr>
            <w:tcW w:w="5000" w:type="pct"/>
            <w:gridSpan w:val="4"/>
            <w:tcBorders>
              <w:left w:val="single" w:sz="4" w:space="0" w:color="auto"/>
              <w:right w:val="single" w:sz="4" w:space="0" w:color="auto"/>
            </w:tcBorders>
            <w:shd w:val="clear" w:color="auto" w:fill="8DB3E2" w:themeFill="text2" w:themeFillTint="66"/>
          </w:tcPr>
          <w:p w14:paraId="70D91B01" w14:textId="31927ACF" w:rsidR="00C22306" w:rsidRPr="00190CF9" w:rsidRDefault="00F23DD6" w:rsidP="007E1DF8">
            <w:pPr>
              <w:tabs>
                <w:tab w:val="left" w:pos="567"/>
              </w:tabs>
              <w:ind w:left="109" w:right="90"/>
              <w:jc w:val="both"/>
              <w:rPr>
                <w:rFonts w:ascii="Arial" w:hAnsi="Arial" w:cs="Arial"/>
                <w:b/>
                <w:sz w:val="18"/>
                <w:szCs w:val="18"/>
                <w:lang w:val="es-ES_tradnl"/>
              </w:rPr>
            </w:pPr>
            <w:r w:rsidRPr="00190CF9">
              <w:rPr>
                <w:rFonts w:ascii="Arial" w:hAnsi="Arial" w:cs="Arial"/>
                <w:b/>
                <w:sz w:val="18"/>
                <w:szCs w:val="18"/>
                <w:lang w:val="es-ES_tradnl"/>
              </w:rPr>
              <w:t xml:space="preserve">Componente III. </w:t>
            </w:r>
            <w:r w:rsidR="005937E7" w:rsidRPr="00190CF9">
              <w:rPr>
                <w:rFonts w:ascii="Arial" w:hAnsi="Arial" w:cs="Arial"/>
                <w:b/>
                <w:sz w:val="18"/>
                <w:szCs w:val="18"/>
                <w:lang w:val="es-ES_tradnl"/>
              </w:rPr>
              <w:t xml:space="preserve">Mejora del clima de negocios e innovación para el desarrollo productivo </w:t>
            </w:r>
          </w:p>
        </w:tc>
      </w:tr>
      <w:tr w:rsidR="00C50CF4" w:rsidRPr="00A778E5" w14:paraId="0149069B" w14:textId="77777777" w:rsidTr="00424B0F">
        <w:trPr>
          <w:trHeight w:val="1835"/>
          <w:jc w:val="center"/>
        </w:trPr>
        <w:tc>
          <w:tcPr>
            <w:tcW w:w="1012" w:type="pct"/>
            <w:vMerge w:val="restart"/>
            <w:tcBorders>
              <w:left w:val="single" w:sz="4" w:space="0" w:color="auto"/>
              <w:right w:val="single" w:sz="4" w:space="0" w:color="auto"/>
            </w:tcBorders>
            <w:shd w:val="clear" w:color="auto" w:fill="auto"/>
          </w:tcPr>
          <w:p w14:paraId="66580272" w14:textId="77777777" w:rsidR="00C50CF4" w:rsidRPr="00190CF9" w:rsidRDefault="00C50CF4" w:rsidP="005937E7">
            <w:pPr>
              <w:pStyle w:val="ListParagraph"/>
              <w:numPr>
                <w:ilvl w:val="0"/>
                <w:numId w:val="35"/>
              </w:numPr>
              <w:ind w:right="144"/>
              <w:contextualSpacing w:val="0"/>
              <w:rPr>
                <w:rFonts w:ascii="Arial" w:hAnsi="Arial" w:cs="Arial"/>
                <w:b/>
                <w:sz w:val="18"/>
                <w:szCs w:val="18"/>
                <w:lang w:val="es-ES_tradnl"/>
              </w:rPr>
            </w:pPr>
            <w:r w:rsidRPr="00190CF9">
              <w:rPr>
                <w:rFonts w:ascii="Arial" w:hAnsi="Arial" w:cs="Arial"/>
                <w:b/>
                <w:sz w:val="18"/>
                <w:szCs w:val="18"/>
                <w:lang w:val="es-ES_tradnl"/>
              </w:rPr>
              <w:t>Mejora y simplificación de procesos administrativos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962B16B"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En seguimiento de la aprobación de la Ley de Procedimiento Administrativo simplificación de procesos en los ámbitos de:</w:t>
            </w:r>
          </w:p>
          <w:p w14:paraId="3A3D4630"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w:t>
            </w:r>
            <w:r w:rsidR="000412B2" w:rsidRPr="00190CF9">
              <w:rPr>
                <w:rFonts w:ascii="Arial" w:hAnsi="Arial" w:cs="Arial"/>
                <w:sz w:val="18"/>
                <w:szCs w:val="18"/>
                <w:lang w:val="es-ES_tradnl"/>
              </w:rPr>
              <w:t>Obtención de permisos de cons</w:t>
            </w:r>
            <w:r w:rsidRPr="00190CF9">
              <w:rPr>
                <w:rFonts w:ascii="Arial" w:hAnsi="Arial" w:cs="Arial"/>
                <w:sz w:val="18"/>
                <w:szCs w:val="18"/>
                <w:lang w:val="es-ES_tradnl"/>
              </w:rPr>
              <w:t>trucción.</w:t>
            </w:r>
          </w:p>
          <w:p w14:paraId="5BBA83FD"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•Pago de impuestos.</w:t>
            </w:r>
          </w:p>
          <w:p w14:paraId="1D6677F9"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•Comercio transfronterizo.</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F1556FB"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En seguimiento de la aprobación de la Ley de Procedimiento Administrativo simplificación de procesos en los ámbitos de:</w:t>
            </w:r>
          </w:p>
          <w:p w14:paraId="70B6DEFB"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•O</w:t>
            </w:r>
            <w:r w:rsidR="000412B2" w:rsidRPr="00190CF9">
              <w:rPr>
                <w:rFonts w:ascii="Arial" w:hAnsi="Arial" w:cs="Arial"/>
                <w:sz w:val="18"/>
                <w:szCs w:val="18"/>
                <w:lang w:val="es-ES_tradnl"/>
              </w:rPr>
              <w:t>btención de permisos de cons</w:t>
            </w:r>
            <w:r w:rsidRPr="00190CF9">
              <w:rPr>
                <w:rFonts w:ascii="Arial" w:hAnsi="Arial" w:cs="Arial"/>
                <w:sz w:val="18"/>
                <w:szCs w:val="18"/>
                <w:lang w:val="es-ES_tradnl"/>
              </w:rPr>
              <w:t>trucción.</w:t>
            </w:r>
          </w:p>
          <w:p w14:paraId="32953081"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•Pago de i</w:t>
            </w:r>
            <w:r w:rsidR="00454778" w:rsidRPr="00190CF9">
              <w:rPr>
                <w:rFonts w:ascii="Arial" w:hAnsi="Arial" w:cs="Arial"/>
                <w:sz w:val="18"/>
                <w:szCs w:val="18"/>
                <w:lang w:val="es-ES_tradnl"/>
              </w:rPr>
              <w:t>mpuestos.</w:t>
            </w:r>
          </w:p>
          <w:p w14:paraId="20729F4E"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•Comercio transfronterizo</w:t>
            </w:r>
          </w:p>
          <w:p w14:paraId="4D7D5B54" w14:textId="2AE9BE85" w:rsidR="002E6C15" w:rsidRPr="00190CF9" w:rsidRDefault="00C50CF4" w:rsidP="00424B0F">
            <w:pPr>
              <w:ind w:left="144" w:right="144"/>
              <w:jc w:val="both"/>
              <w:rPr>
                <w:rFonts w:ascii="Arial" w:hAnsi="Arial" w:cs="Arial"/>
                <w:sz w:val="18"/>
                <w:szCs w:val="18"/>
                <w:lang w:val="es-ES_tradnl"/>
              </w:rPr>
            </w:pPr>
            <w:r w:rsidRPr="00190CF9">
              <w:rPr>
                <w:rFonts w:ascii="Arial" w:hAnsi="Arial" w:cs="Arial"/>
                <w:sz w:val="18"/>
                <w:szCs w:val="18"/>
                <w:lang w:val="es-ES_tradnl"/>
              </w:rPr>
              <w:t>•Apertura y registro de empresas.</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5D2576BD" w14:textId="5E217733" w:rsidR="00C50CF4" w:rsidRPr="00190CF9" w:rsidRDefault="00A02438"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Compromiso reforzado</w:t>
            </w:r>
            <w:r w:rsidR="00B05F1E" w:rsidRPr="00190CF9">
              <w:rPr>
                <w:rFonts w:ascii="Arial" w:hAnsi="Arial" w:cs="Arial"/>
                <w:b/>
                <w:sz w:val="18"/>
                <w:szCs w:val="18"/>
                <w:lang w:val="es-ES_tradnl"/>
              </w:rPr>
              <w:t>.</w:t>
            </w:r>
            <w:r w:rsidRPr="00190CF9">
              <w:rPr>
                <w:rFonts w:ascii="Arial" w:hAnsi="Arial" w:cs="Arial"/>
                <w:b/>
                <w:sz w:val="18"/>
                <w:szCs w:val="18"/>
                <w:lang w:val="es-ES_tradnl"/>
              </w:rPr>
              <w:t xml:space="preserve"> </w:t>
            </w:r>
            <w:r w:rsidR="00EC3F61" w:rsidRPr="00190CF9">
              <w:rPr>
                <w:rFonts w:ascii="Arial" w:hAnsi="Arial" w:cs="Arial"/>
                <w:b/>
                <w:sz w:val="18"/>
                <w:szCs w:val="18"/>
                <w:lang w:val="es-ES_tradnl"/>
              </w:rPr>
              <w:t>Cumplido</w:t>
            </w:r>
            <w:r w:rsidR="00C50CF4" w:rsidRPr="00190CF9">
              <w:rPr>
                <w:rFonts w:ascii="Arial" w:hAnsi="Arial" w:cs="Arial"/>
                <w:b/>
                <w:sz w:val="18"/>
                <w:szCs w:val="18"/>
                <w:lang w:val="es-ES_tradnl"/>
              </w:rPr>
              <w:t>.</w:t>
            </w:r>
            <w:r w:rsidR="00C50CF4" w:rsidRPr="00190CF9">
              <w:rPr>
                <w:rFonts w:ascii="Arial" w:hAnsi="Arial" w:cs="Arial"/>
                <w:sz w:val="18"/>
                <w:szCs w:val="18"/>
                <w:lang w:val="es-ES_tradnl"/>
              </w:rPr>
              <w:t xml:space="preserve"> Se simplificaron los procesos no sólo en las tres áreas originalmente previstas, sino también en la apertura y registro de empresas, </w:t>
            </w:r>
            <w:r w:rsidR="00BA2D53" w:rsidRPr="00190CF9">
              <w:rPr>
                <w:rFonts w:ascii="Arial" w:hAnsi="Arial" w:cs="Arial"/>
                <w:sz w:val="18"/>
                <w:szCs w:val="18"/>
                <w:lang w:val="es-ES_tradnl"/>
              </w:rPr>
              <w:t xml:space="preserve">incluyendo elementos tecnológicos digitales, </w:t>
            </w:r>
            <w:r w:rsidR="008B1A14" w:rsidRPr="00190CF9">
              <w:rPr>
                <w:rFonts w:ascii="Arial" w:hAnsi="Arial" w:cs="Arial"/>
                <w:sz w:val="18"/>
                <w:szCs w:val="18"/>
                <w:lang w:val="es-ES_tradnl"/>
              </w:rPr>
              <w:t>que permiten simplificar y reducir trabas burocráticas a la acción empresarial</w:t>
            </w:r>
            <w:r w:rsidR="00C50CF4" w:rsidRPr="00190CF9">
              <w:rPr>
                <w:rFonts w:ascii="Arial" w:eastAsia="Calibri" w:hAnsi="Arial" w:cs="Arial"/>
                <w:sz w:val="18"/>
                <w:szCs w:val="18"/>
                <w:lang w:val="es-ES"/>
              </w:rPr>
              <w:t>.</w:t>
            </w:r>
          </w:p>
        </w:tc>
      </w:tr>
      <w:tr w:rsidR="00C50CF4" w:rsidRPr="00A778E5" w14:paraId="5695AE1F" w14:textId="77777777" w:rsidTr="00D62D65">
        <w:trPr>
          <w:trHeight w:val="403"/>
          <w:jc w:val="center"/>
        </w:trPr>
        <w:tc>
          <w:tcPr>
            <w:tcW w:w="1012" w:type="pct"/>
            <w:vMerge/>
            <w:tcBorders>
              <w:left w:val="single" w:sz="4" w:space="0" w:color="auto"/>
              <w:right w:val="single" w:sz="4" w:space="0" w:color="auto"/>
            </w:tcBorders>
            <w:shd w:val="clear" w:color="auto" w:fill="auto"/>
          </w:tcPr>
          <w:p w14:paraId="698F28E5" w14:textId="77777777" w:rsidR="00C50CF4" w:rsidRPr="00190CF9" w:rsidRDefault="00C50CF4" w:rsidP="005937E7">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8CE3105" w14:textId="72E8762D" w:rsidR="00F67FF3" w:rsidRPr="00190CF9" w:rsidRDefault="00C50CF4" w:rsidP="007E1DF8">
            <w:pPr>
              <w:ind w:left="144" w:right="144"/>
              <w:jc w:val="both"/>
              <w:rPr>
                <w:rFonts w:ascii="Arial" w:hAnsi="Arial" w:cs="Arial"/>
                <w:sz w:val="18"/>
                <w:szCs w:val="18"/>
                <w:lang w:val="es-ES_tradnl"/>
              </w:rPr>
            </w:pPr>
            <w:bookmarkStart w:id="4" w:name="_Hlk488249423"/>
            <w:r w:rsidRPr="00190CF9">
              <w:rPr>
                <w:rFonts w:ascii="Arial" w:hAnsi="Arial" w:cs="Arial"/>
                <w:sz w:val="18"/>
                <w:szCs w:val="18"/>
                <w:lang w:val="es-ES_tradnl"/>
              </w:rPr>
              <w:t xml:space="preserve">Presentación al Congreso de un proyecto de modificación de la Ley </w:t>
            </w:r>
            <w:r w:rsidR="00865924" w:rsidRPr="00190CF9">
              <w:rPr>
                <w:rFonts w:ascii="Arial" w:hAnsi="Arial" w:cs="Arial"/>
                <w:sz w:val="18"/>
                <w:szCs w:val="18"/>
                <w:lang w:val="es-ES_tradnl"/>
              </w:rPr>
              <w:t>General de las Sociedades Comer</w:t>
            </w:r>
            <w:r w:rsidRPr="00190CF9">
              <w:rPr>
                <w:rFonts w:ascii="Arial" w:hAnsi="Arial" w:cs="Arial"/>
                <w:sz w:val="18"/>
                <w:szCs w:val="18"/>
                <w:lang w:val="es-ES_tradnl"/>
              </w:rPr>
              <w:t>ciales y Empresas Individuales de Responsabilidad Limitada, para redu</w:t>
            </w:r>
            <w:r w:rsidR="00865924" w:rsidRPr="00190CF9">
              <w:rPr>
                <w:rFonts w:ascii="Arial" w:hAnsi="Arial" w:cs="Arial"/>
                <w:sz w:val="18"/>
                <w:szCs w:val="18"/>
                <w:lang w:val="es-ES_tradnl"/>
              </w:rPr>
              <w:t>cir significativamente el requi</w:t>
            </w:r>
            <w:r w:rsidRPr="00190CF9">
              <w:rPr>
                <w:rFonts w:ascii="Arial" w:hAnsi="Arial" w:cs="Arial"/>
                <w:sz w:val="18"/>
                <w:szCs w:val="18"/>
                <w:lang w:val="es-ES_tradnl"/>
              </w:rPr>
              <w:t>sito de capital mínimo para la constitución de una nueva empresa.</w:t>
            </w:r>
            <w:bookmarkEnd w:id="4"/>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8005FA5" w14:textId="119D2E89" w:rsidR="00C50CF4" w:rsidRPr="00190CF9" w:rsidRDefault="00BD5D1C" w:rsidP="007E1DF8">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Presentación al Congreso de un proyecto de modificación de la Ley General de las Sociedades Comerciales y Empresas Individuales de Responsabilidad Limitada, para </w:t>
            </w:r>
            <w:r w:rsidR="00920359" w:rsidRPr="00190CF9">
              <w:rPr>
                <w:rFonts w:ascii="Arial" w:hAnsi="Arial" w:cs="Arial"/>
                <w:sz w:val="18"/>
                <w:szCs w:val="18"/>
                <w:lang w:val="es-ES_tradnl"/>
              </w:rPr>
              <w:t>eliminar</w:t>
            </w:r>
            <w:r w:rsidRPr="00190CF9">
              <w:rPr>
                <w:rFonts w:ascii="Arial" w:hAnsi="Arial" w:cs="Arial"/>
                <w:sz w:val="18"/>
                <w:szCs w:val="18"/>
                <w:lang w:val="es-ES_tradnl"/>
              </w:rPr>
              <w:t xml:space="preserve"> </w:t>
            </w:r>
            <w:r w:rsidR="008D6755" w:rsidRPr="00190CF9">
              <w:rPr>
                <w:rFonts w:ascii="Arial" w:hAnsi="Arial" w:cs="Arial"/>
                <w:sz w:val="18"/>
                <w:szCs w:val="18"/>
                <w:lang w:val="es-ES_tradnl"/>
              </w:rPr>
              <w:t xml:space="preserve">o reducir significativamente </w:t>
            </w:r>
            <w:r w:rsidRPr="00190CF9">
              <w:rPr>
                <w:rFonts w:ascii="Arial" w:hAnsi="Arial" w:cs="Arial"/>
                <w:sz w:val="18"/>
                <w:szCs w:val="18"/>
                <w:lang w:val="es-ES_tradnl"/>
              </w:rPr>
              <w:t>el requisito de capital mínimo para la constitución de una nueva empresa.</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761D215C" w14:textId="2ACD7ADA" w:rsidR="001C1FA6" w:rsidRPr="00190CF9" w:rsidRDefault="00C325C9"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Compromiso fortalecido. </w:t>
            </w:r>
            <w:r w:rsidR="00D54478" w:rsidRPr="00190CF9">
              <w:rPr>
                <w:rFonts w:ascii="Arial" w:hAnsi="Arial" w:cs="Arial"/>
                <w:b/>
                <w:sz w:val="18"/>
                <w:szCs w:val="18"/>
                <w:lang w:val="es-ES_tradnl"/>
              </w:rPr>
              <w:t>En proceso.</w:t>
            </w:r>
            <w:r w:rsidR="00D54478" w:rsidRPr="00190CF9">
              <w:rPr>
                <w:rFonts w:ascii="Arial" w:hAnsi="Arial" w:cs="Arial"/>
                <w:sz w:val="18"/>
                <w:szCs w:val="18"/>
                <w:lang w:val="es-ES_tradnl"/>
              </w:rPr>
              <w:t xml:space="preserve"> Existe amplio consenso acerca de la necesidad de reducir significativamente</w:t>
            </w:r>
            <w:r w:rsidRPr="00190CF9">
              <w:rPr>
                <w:rFonts w:ascii="Arial" w:hAnsi="Arial" w:cs="Arial"/>
                <w:sz w:val="18"/>
                <w:szCs w:val="18"/>
                <w:lang w:val="es-ES_tradnl"/>
              </w:rPr>
              <w:t xml:space="preserve"> o eliminar</w:t>
            </w:r>
            <w:r w:rsidR="00D54478" w:rsidRPr="00190CF9">
              <w:rPr>
                <w:rFonts w:ascii="Arial" w:hAnsi="Arial" w:cs="Arial"/>
                <w:sz w:val="18"/>
                <w:szCs w:val="18"/>
                <w:lang w:val="es-ES_tradnl"/>
              </w:rPr>
              <w:t xml:space="preserve"> el requisito de capital mínimo para la constitución de una nueva empresa, por lo que </w:t>
            </w:r>
            <w:r w:rsidR="0089350E" w:rsidRPr="00190CF9">
              <w:rPr>
                <w:rFonts w:ascii="Arial" w:hAnsi="Arial" w:cs="Arial"/>
                <w:sz w:val="18"/>
                <w:szCs w:val="18"/>
                <w:lang w:val="es-ES_tradnl"/>
              </w:rPr>
              <w:t>ya se encuentra avanzado</w:t>
            </w:r>
            <w:r w:rsidR="00D54478" w:rsidRPr="00190CF9">
              <w:rPr>
                <w:rFonts w:ascii="Arial" w:hAnsi="Arial" w:cs="Arial"/>
                <w:sz w:val="18"/>
                <w:szCs w:val="18"/>
                <w:lang w:val="es-ES_tradnl"/>
              </w:rPr>
              <w:t xml:space="preserve"> el proceso para lograr dicha modificación. Adicionalmente, </w:t>
            </w:r>
            <w:r w:rsidR="00167FDD" w:rsidRPr="00190CF9">
              <w:rPr>
                <w:rFonts w:ascii="Arial" w:hAnsi="Arial" w:cs="Arial"/>
                <w:sz w:val="18"/>
                <w:szCs w:val="18"/>
                <w:lang w:val="es-ES_tradnl"/>
              </w:rPr>
              <w:t xml:space="preserve">ha habido </w:t>
            </w:r>
            <w:r w:rsidR="0047782E" w:rsidRPr="00190CF9">
              <w:rPr>
                <w:rFonts w:ascii="Arial" w:hAnsi="Arial" w:cs="Arial"/>
                <w:sz w:val="18"/>
                <w:szCs w:val="18"/>
                <w:lang w:val="es-ES_tradnl"/>
              </w:rPr>
              <w:t xml:space="preserve">importantes </w:t>
            </w:r>
            <w:r w:rsidR="00167FDD" w:rsidRPr="00190CF9">
              <w:rPr>
                <w:rFonts w:ascii="Arial" w:hAnsi="Arial" w:cs="Arial"/>
                <w:sz w:val="18"/>
                <w:szCs w:val="18"/>
                <w:lang w:val="es-ES_tradnl"/>
              </w:rPr>
              <w:t>avances en la facilitación de trámites para la apertura y registro de empresas (ver el punto anterior).</w:t>
            </w:r>
          </w:p>
        </w:tc>
      </w:tr>
      <w:tr w:rsidR="00C50CF4" w:rsidRPr="00A778E5" w14:paraId="4B73FB5D" w14:textId="77777777" w:rsidTr="00200C8D">
        <w:trPr>
          <w:trHeight w:val="403"/>
          <w:jc w:val="center"/>
        </w:trPr>
        <w:tc>
          <w:tcPr>
            <w:tcW w:w="1012" w:type="pct"/>
            <w:vMerge/>
            <w:tcBorders>
              <w:left w:val="single" w:sz="4" w:space="0" w:color="auto"/>
              <w:right w:val="single" w:sz="4" w:space="0" w:color="auto"/>
            </w:tcBorders>
            <w:shd w:val="clear" w:color="auto" w:fill="auto"/>
          </w:tcPr>
          <w:p w14:paraId="4745C416" w14:textId="77777777" w:rsidR="00C50CF4" w:rsidRPr="00190CF9" w:rsidRDefault="00C50CF4" w:rsidP="005937E7">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A805E40" w14:textId="77777777" w:rsidR="00C50CF4" w:rsidRPr="00190CF9" w:rsidRDefault="00C50CF4" w:rsidP="005937E7">
            <w:pPr>
              <w:ind w:left="144" w:right="144"/>
              <w:jc w:val="both"/>
              <w:rPr>
                <w:rFonts w:ascii="Arial" w:hAnsi="Arial" w:cs="Arial"/>
                <w:sz w:val="18"/>
                <w:szCs w:val="18"/>
                <w:lang w:val="es-ES_tradnl"/>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9ACAA6D" w14:textId="6095F994" w:rsidR="00C50CF4" w:rsidRPr="00190CF9" w:rsidRDefault="00BB0196" w:rsidP="00C50CF4">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Ratificación </w:t>
            </w:r>
            <w:r w:rsidR="00273689" w:rsidRPr="00190CF9">
              <w:rPr>
                <w:rFonts w:ascii="Arial" w:hAnsi="Arial" w:cs="Arial"/>
                <w:sz w:val="18"/>
                <w:szCs w:val="18"/>
                <w:lang w:val="es-ES_tradnl"/>
              </w:rPr>
              <w:t xml:space="preserve">por parte del Congreso Nacional </w:t>
            </w:r>
            <w:r w:rsidRPr="00190CF9">
              <w:rPr>
                <w:rFonts w:ascii="Arial" w:hAnsi="Arial" w:cs="Arial"/>
                <w:sz w:val="18"/>
                <w:szCs w:val="18"/>
                <w:lang w:val="es-ES_tradnl"/>
              </w:rPr>
              <w:t xml:space="preserve">del Acuerdo de Facilitación de Comercio de la </w:t>
            </w:r>
            <w:r w:rsidR="00273689" w:rsidRPr="00190CF9">
              <w:rPr>
                <w:rFonts w:ascii="Arial" w:hAnsi="Arial" w:cs="Arial"/>
                <w:sz w:val="18"/>
                <w:szCs w:val="18"/>
                <w:lang w:val="es-ES_tradnl"/>
              </w:rPr>
              <w:t>Organización Mundial de Comercio (</w:t>
            </w:r>
            <w:r w:rsidRPr="00190CF9">
              <w:rPr>
                <w:rFonts w:ascii="Arial" w:hAnsi="Arial" w:cs="Arial"/>
                <w:sz w:val="18"/>
                <w:szCs w:val="18"/>
                <w:lang w:val="es-ES_tradnl"/>
              </w:rPr>
              <w:t>OMC</w:t>
            </w:r>
            <w:r w:rsidR="00273689" w:rsidRPr="00190CF9">
              <w:rPr>
                <w:rFonts w:ascii="Arial" w:hAnsi="Arial" w:cs="Arial"/>
                <w:sz w:val="18"/>
                <w:szCs w:val="18"/>
                <w:lang w:val="es-ES_tradnl"/>
              </w:rPr>
              <w:t>)</w:t>
            </w:r>
            <w:r w:rsidRPr="00190CF9">
              <w:rPr>
                <w:rFonts w:ascii="Arial" w:hAnsi="Arial" w:cs="Arial"/>
                <w:sz w:val="18"/>
                <w:szCs w:val="18"/>
                <w:lang w:val="es-ES_tradnl"/>
              </w:rPr>
              <w:t>.</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2A02E0BA" w14:textId="69D46019" w:rsidR="00C50CF4" w:rsidRPr="00190CF9" w:rsidRDefault="00C50CF4" w:rsidP="007E1DF8">
            <w:pPr>
              <w:tabs>
                <w:tab w:val="left" w:pos="567"/>
              </w:tabs>
              <w:ind w:left="109" w:right="90"/>
              <w:jc w:val="both"/>
              <w:rPr>
                <w:rFonts w:ascii="Arial" w:hAnsi="Arial" w:cs="Arial"/>
                <w:b/>
                <w:sz w:val="18"/>
                <w:szCs w:val="18"/>
                <w:lang w:val="es-ES_tradnl"/>
              </w:rPr>
            </w:pPr>
            <w:r w:rsidRPr="00190CF9">
              <w:rPr>
                <w:rFonts w:ascii="Arial" w:hAnsi="Arial" w:cs="Arial"/>
                <w:b/>
                <w:sz w:val="18"/>
                <w:szCs w:val="18"/>
                <w:lang w:val="es-ES_tradnl"/>
              </w:rPr>
              <w:t xml:space="preserve">Nuevo compromiso. </w:t>
            </w:r>
            <w:r w:rsidR="00BB0196" w:rsidRPr="00190CF9">
              <w:rPr>
                <w:rFonts w:ascii="Arial" w:hAnsi="Arial" w:cs="Arial"/>
                <w:b/>
                <w:sz w:val="18"/>
                <w:szCs w:val="18"/>
                <w:lang w:val="es-ES_tradnl"/>
              </w:rPr>
              <w:t>Cumplido</w:t>
            </w:r>
            <w:r w:rsidRPr="00190CF9">
              <w:rPr>
                <w:rFonts w:ascii="Arial" w:hAnsi="Arial" w:cs="Arial"/>
                <w:b/>
                <w:sz w:val="18"/>
                <w:szCs w:val="18"/>
                <w:lang w:val="es-ES_tradnl"/>
              </w:rPr>
              <w:t xml:space="preserve">. </w:t>
            </w:r>
            <w:r w:rsidR="00BB0196" w:rsidRPr="00190CF9">
              <w:rPr>
                <w:rFonts w:ascii="Arial" w:hAnsi="Arial" w:cs="Arial"/>
                <w:sz w:val="18"/>
                <w:szCs w:val="18"/>
                <w:lang w:val="es-ES_tradnl"/>
              </w:rPr>
              <w:t xml:space="preserve">La ratificación por parte del Congreso de la República del Acuerdo de Facilitación de Comercio de la Organización Mundial de Comercio (OMC) permitirá simplificar, modernizar y armonizar los procedimientos de exportación e importación, y reducir las demoras burocráticas innecesarias y los </w:t>
            </w:r>
            <w:r w:rsidR="00BB0196" w:rsidRPr="00190CF9">
              <w:rPr>
                <w:rFonts w:ascii="Arial" w:hAnsi="Arial" w:cs="Arial"/>
                <w:sz w:val="18"/>
                <w:szCs w:val="18"/>
                <w:lang w:val="es-ES_tradnl"/>
              </w:rPr>
              <w:lastRenderedPageBreak/>
              <w:t>trámites engorrosos que representan una carga para los comerciantes y exportadores dominicanos que participan en el comercio transfronterizo de mercancías.</w:t>
            </w:r>
            <w:r w:rsidR="00273689" w:rsidRPr="00190CF9">
              <w:rPr>
                <w:rFonts w:ascii="Arial" w:hAnsi="Arial" w:cs="Arial"/>
                <w:sz w:val="18"/>
                <w:szCs w:val="18"/>
                <w:lang w:val="es-ES_tradnl"/>
              </w:rPr>
              <w:t xml:space="preserve"> El Congreso Nacional ratificó el Acuerdo de Facilitación de Comercio de la Organización Mundial de Comercio (OMC) mediante Resolución 696-16 del 19 de diciembre de 2016. </w:t>
            </w:r>
          </w:p>
        </w:tc>
      </w:tr>
      <w:tr w:rsidR="00C50CF4" w:rsidRPr="00A778E5" w14:paraId="503FCBDB" w14:textId="77777777" w:rsidTr="00F92DE2">
        <w:trPr>
          <w:trHeight w:val="403"/>
          <w:jc w:val="center"/>
        </w:trPr>
        <w:tc>
          <w:tcPr>
            <w:tcW w:w="1012" w:type="pct"/>
            <w:vMerge/>
            <w:tcBorders>
              <w:left w:val="single" w:sz="4" w:space="0" w:color="auto"/>
              <w:right w:val="single" w:sz="4" w:space="0" w:color="auto"/>
            </w:tcBorders>
            <w:shd w:val="clear" w:color="auto" w:fill="auto"/>
          </w:tcPr>
          <w:p w14:paraId="3B7EF6AD" w14:textId="77777777" w:rsidR="00C50CF4" w:rsidRPr="00190CF9" w:rsidRDefault="00C50CF4" w:rsidP="005937E7">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10CA272A" w14:textId="77777777" w:rsidR="00C50CF4" w:rsidRPr="00190CF9" w:rsidRDefault="00C50CF4" w:rsidP="005937E7">
            <w:pPr>
              <w:ind w:left="144" w:right="144"/>
              <w:jc w:val="both"/>
              <w:rPr>
                <w:rFonts w:ascii="Arial" w:hAnsi="Arial" w:cs="Arial"/>
                <w:sz w:val="18"/>
                <w:szCs w:val="18"/>
                <w:lang w:val="es-ES_tradnl"/>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64D2158"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Presentación al Congreso Nacional de </w:t>
            </w:r>
            <w:r w:rsidR="00AB3ED6" w:rsidRPr="00190CF9">
              <w:rPr>
                <w:rFonts w:ascii="Arial" w:hAnsi="Arial" w:cs="Arial"/>
                <w:sz w:val="18"/>
                <w:szCs w:val="18"/>
                <w:lang w:val="es-ES_tradnl"/>
              </w:rPr>
              <w:t xml:space="preserve">un proyecto de Ley </w:t>
            </w:r>
            <w:r w:rsidRPr="00190CF9">
              <w:rPr>
                <w:rFonts w:ascii="Arial" w:hAnsi="Arial" w:cs="Arial"/>
                <w:sz w:val="18"/>
                <w:szCs w:val="18"/>
                <w:lang w:val="es-ES_tradnl"/>
              </w:rPr>
              <w:t>de Aduanas.</w:t>
            </w:r>
          </w:p>
          <w:p w14:paraId="4804F174" w14:textId="77777777" w:rsidR="00F67FF3" w:rsidRPr="00190CF9" w:rsidRDefault="00F67FF3" w:rsidP="00F67FF3">
            <w:pPr>
              <w:ind w:right="144"/>
              <w:jc w:val="both"/>
              <w:rPr>
                <w:rFonts w:ascii="Arial" w:hAnsi="Arial" w:cs="Arial"/>
                <w:sz w:val="18"/>
                <w:szCs w:val="18"/>
                <w:lang w:val="es-ES_tradnl"/>
              </w:rPr>
            </w:pP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72DAD58F" w14:textId="0E07A8E5" w:rsidR="00C22306" w:rsidRPr="00190CF9" w:rsidRDefault="00C50CF4"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Nuevo compromiso. Cumplido. </w:t>
            </w:r>
            <w:r w:rsidRPr="00190CF9">
              <w:rPr>
                <w:rFonts w:ascii="Arial" w:hAnsi="Arial" w:cs="Arial"/>
                <w:sz w:val="18"/>
                <w:szCs w:val="18"/>
                <w:lang w:val="es-ES_tradnl"/>
              </w:rPr>
              <w:t xml:space="preserve">Dicho </w:t>
            </w:r>
            <w:r w:rsidR="00D714A1" w:rsidRPr="00190CF9">
              <w:rPr>
                <w:rFonts w:ascii="Arial" w:hAnsi="Arial" w:cs="Arial"/>
                <w:sz w:val="18"/>
                <w:szCs w:val="18"/>
                <w:lang w:val="es-ES_tradnl"/>
              </w:rPr>
              <w:t>p</w:t>
            </w:r>
            <w:r w:rsidRPr="00190CF9">
              <w:rPr>
                <w:rFonts w:ascii="Arial" w:hAnsi="Arial" w:cs="Arial"/>
                <w:sz w:val="18"/>
                <w:szCs w:val="18"/>
                <w:lang w:val="es-ES_tradnl"/>
              </w:rPr>
              <w:t>royecto de Ley fue presentado al Congreso Nacional en septiembre de 2016.</w:t>
            </w:r>
            <w:r w:rsidR="0009066C" w:rsidRPr="00190CF9">
              <w:rPr>
                <w:rFonts w:ascii="Arial" w:hAnsi="Arial" w:cs="Arial"/>
                <w:sz w:val="18"/>
                <w:szCs w:val="18"/>
                <w:lang w:val="es-ES_tradnl"/>
              </w:rPr>
              <w:t xml:space="preserve"> </w:t>
            </w:r>
            <w:r w:rsidR="007056E7" w:rsidRPr="00190CF9">
              <w:rPr>
                <w:rFonts w:ascii="Arial" w:hAnsi="Arial" w:cs="Arial"/>
                <w:sz w:val="18"/>
                <w:szCs w:val="18"/>
                <w:lang w:val="es-ES_tradnl"/>
              </w:rPr>
              <w:t>La nueva Ley vendría a suplir una serie de deficiencias en la ley actual y permite el cumplimiento pleno del acuerdo de facilitación del comercio ya ratificado por el país, lo que mejorará y hará más eficientes las gestiones en materia comercio exterior. Cabe señalar que l</w:t>
            </w:r>
            <w:r w:rsidR="00215EF0" w:rsidRPr="00190CF9">
              <w:rPr>
                <w:rFonts w:ascii="Arial" w:hAnsi="Arial" w:cs="Arial"/>
                <w:sz w:val="18"/>
                <w:szCs w:val="18"/>
                <w:lang w:val="es-ES_tradnl"/>
              </w:rPr>
              <w:t>a</w:t>
            </w:r>
            <w:r w:rsidR="007056E7" w:rsidRPr="00190CF9">
              <w:rPr>
                <w:rFonts w:ascii="Arial" w:hAnsi="Arial" w:cs="Arial"/>
                <w:sz w:val="18"/>
                <w:szCs w:val="18"/>
                <w:lang w:val="es-ES_tradnl"/>
              </w:rPr>
              <w:t xml:space="preserve"> actual L</w:t>
            </w:r>
            <w:r w:rsidR="0009066C" w:rsidRPr="00190CF9">
              <w:rPr>
                <w:rFonts w:ascii="Arial" w:hAnsi="Arial" w:cs="Arial"/>
                <w:sz w:val="18"/>
                <w:szCs w:val="18"/>
                <w:lang w:val="es-ES_tradnl"/>
              </w:rPr>
              <w:t>ey de Aduanas no es compatible con los resultados de la reunión Ministerial de Bali de la Organiz</w:t>
            </w:r>
            <w:r w:rsidR="00B1177A" w:rsidRPr="00190CF9">
              <w:rPr>
                <w:rFonts w:ascii="Arial" w:hAnsi="Arial" w:cs="Arial"/>
                <w:sz w:val="18"/>
                <w:szCs w:val="18"/>
                <w:lang w:val="es-ES_tradnl"/>
              </w:rPr>
              <w:t>ación Mundial de Comercio (OMC)</w:t>
            </w:r>
            <w:r w:rsidR="0009066C" w:rsidRPr="00190CF9">
              <w:rPr>
                <w:rFonts w:ascii="Arial" w:hAnsi="Arial" w:cs="Arial"/>
                <w:sz w:val="18"/>
                <w:szCs w:val="18"/>
                <w:lang w:val="es-ES_tradnl"/>
              </w:rPr>
              <w:t xml:space="preserve"> en materia de Facilitación de Comercio. Algunos de los aspectos en los que </w:t>
            </w:r>
            <w:r w:rsidR="007056E7" w:rsidRPr="00190CF9">
              <w:rPr>
                <w:rFonts w:ascii="Arial" w:hAnsi="Arial" w:cs="Arial"/>
                <w:sz w:val="18"/>
                <w:szCs w:val="18"/>
                <w:lang w:val="es-ES_tradnl"/>
              </w:rPr>
              <w:t>la nueva Ley mejo</w:t>
            </w:r>
            <w:r w:rsidR="00B1177A" w:rsidRPr="00190CF9">
              <w:rPr>
                <w:rFonts w:ascii="Arial" w:hAnsi="Arial" w:cs="Arial"/>
                <w:sz w:val="18"/>
                <w:szCs w:val="18"/>
                <w:lang w:val="es-ES_tradnl"/>
              </w:rPr>
              <w:t>r</w:t>
            </w:r>
            <w:r w:rsidR="007056E7" w:rsidRPr="00190CF9">
              <w:rPr>
                <w:rFonts w:ascii="Arial" w:hAnsi="Arial" w:cs="Arial"/>
                <w:sz w:val="18"/>
                <w:szCs w:val="18"/>
                <w:lang w:val="es-ES_tradnl"/>
              </w:rPr>
              <w:t>ará</w:t>
            </w:r>
            <w:r w:rsidR="00B1177A" w:rsidRPr="00190CF9">
              <w:rPr>
                <w:rFonts w:ascii="Arial" w:hAnsi="Arial" w:cs="Arial"/>
                <w:sz w:val="18"/>
                <w:szCs w:val="18"/>
                <w:lang w:val="es-ES_tradnl"/>
              </w:rPr>
              <w:t xml:space="preserve"> </w:t>
            </w:r>
            <w:r w:rsidR="007056E7" w:rsidRPr="00190CF9">
              <w:rPr>
                <w:rFonts w:ascii="Arial" w:hAnsi="Arial" w:cs="Arial"/>
                <w:sz w:val="18"/>
                <w:szCs w:val="18"/>
                <w:lang w:val="es-ES_tradnl"/>
              </w:rPr>
              <w:t xml:space="preserve">con respecto </w:t>
            </w:r>
            <w:r w:rsidR="00B1177A" w:rsidRPr="00190CF9">
              <w:rPr>
                <w:rFonts w:ascii="Arial" w:hAnsi="Arial" w:cs="Arial"/>
                <w:sz w:val="18"/>
                <w:szCs w:val="18"/>
                <w:lang w:val="es-ES_tradnl"/>
              </w:rPr>
              <w:t xml:space="preserve">la ley </w:t>
            </w:r>
            <w:r w:rsidR="007056E7" w:rsidRPr="00190CF9">
              <w:rPr>
                <w:rFonts w:ascii="Arial" w:hAnsi="Arial" w:cs="Arial"/>
                <w:sz w:val="18"/>
                <w:szCs w:val="18"/>
                <w:lang w:val="es-ES_tradnl"/>
              </w:rPr>
              <w:t xml:space="preserve">actualmente </w:t>
            </w:r>
            <w:r w:rsidR="00B1177A" w:rsidRPr="00190CF9">
              <w:rPr>
                <w:rFonts w:ascii="Arial" w:hAnsi="Arial" w:cs="Arial"/>
                <w:sz w:val="18"/>
                <w:szCs w:val="18"/>
                <w:lang w:val="es-ES_tradnl"/>
              </w:rPr>
              <w:t>vigente incluyen</w:t>
            </w:r>
            <w:r w:rsidR="0009066C" w:rsidRPr="00190CF9">
              <w:rPr>
                <w:rFonts w:ascii="Arial" w:hAnsi="Arial" w:cs="Arial"/>
                <w:sz w:val="18"/>
                <w:szCs w:val="18"/>
                <w:lang w:val="es-ES_tradnl"/>
              </w:rPr>
              <w:t>: (1)</w:t>
            </w:r>
            <w:r w:rsidR="007E1DF8">
              <w:rPr>
                <w:rFonts w:ascii="Arial" w:hAnsi="Arial" w:cs="Arial"/>
                <w:sz w:val="18"/>
                <w:szCs w:val="18"/>
                <w:lang w:val="es-ES_tradnl"/>
              </w:rPr>
              <w:t> </w:t>
            </w:r>
            <w:r w:rsidR="0009066C" w:rsidRPr="00190CF9">
              <w:rPr>
                <w:rFonts w:ascii="Arial" w:hAnsi="Arial" w:cs="Arial"/>
                <w:sz w:val="18"/>
                <w:szCs w:val="18"/>
                <w:lang w:val="es-ES_tradnl"/>
              </w:rPr>
              <w:t xml:space="preserve">resoluciones anticipadas: en cuanto a la obligación de la Aduana de emitir decisiones vinculantes por escrito antes de la importación, sobre aranceles, origen de la mercancía, metodologías, etc.; (2) retención: no se contempla la obligación de notificar a la brevedad posible al importador o su agente autorizado sobre la retención de mercancías sea por </w:t>
            </w:r>
            <w:r w:rsidR="00B1177A" w:rsidRPr="00190CF9">
              <w:rPr>
                <w:rFonts w:ascii="Arial" w:hAnsi="Arial" w:cs="Arial"/>
                <w:sz w:val="18"/>
                <w:szCs w:val="18"/>
                <w:lang w:val="es-ES_tradnl"/>
              </w:rPr>
              <w:t>la Aduanas o por otro organismo;</w:t>
            </w:r>
            <w:r w:rsidR="007E1DF8">
              <w:rPr>
                <w:rFonts w:ascii="Arial" w:hAnsi="Arial" w:cs="Arial"/>
                <w:sz w:val="18"/>
                <w:szCs w:val="18"/>
                <w:lang w:val="es-ES_tradnl"/>
              </w:rPr>
              <w:t xml:space="preserve"> </w:t>
            </w:r>
            <w:r w:rsidR="0009066C" w:rsidRPr="00190CF9">
              <w:rPr>
                <w:rFonts w:ascii="Arial" w:hAnsi="Arial" w:cs="Arial"/>
                <w:sz w:val="18"/>
                <w:szCs w:val="18"/>
                <w:lang w:val="es-ES_tradnl"/>
              </w:rPr>
              <w:t>(3) libertad de tránsito: la legislación actual restringe e</w:t>
            </w:r>
            <w:r w:rsidR="00B1177A" w:rsidRPr="00190CF9">
              <w:rPr>
                <w:rFonts w:ascii="Arial" w:hAnsi="Arial" w:cs="Arial"/>
                <w:sz w:val="18"/>
                <w:szCs w:val="18"/>
                <w:lang w:val="es-ES_tradnl"/>
              </w:rPr>
              <w:t>l transito internacional;</w:t>
            </w:r>
            <w:r w:rsidR="0009066C" w:rsidRPr="00190CF9">
              <w:rPr>
                <w:rFonts w:ascii="Arial" w:hAnsi="Arial" w:cs="Arial"/>
                <w:sz w:val="18"/>
                <w:szCs w:val="18"/>
                <w:lang w:val="es-ES_tradnl"/>
              </w:rPr>
              <w:t xml:space="preserve"> (4) utilización de las normas internacionales: utilizar las normas internacionales en la aplicación del acuerdo de facilitación del comercio, en los procedimientos de tránsito, levante y despacho de las mercancías</w:t>
            </w:r>
            <w:r w:rsidR="00B1177A" w:rsidRPr="00190CF9">
              <w:rPr>
                <w:rFonts w:ascii="Arial" w:hAnsi="Arial" w:cs="Arial"/>
                <w:sz w:val="18"/>
                <w:szCs w:val="18"/>
                <w:lang w:val="es-ES_tradnl"/>
              </w:rPr>
              <w:t>;</w:t>
            </w:r>
            <w:r w:rsidR="0009066C" w:rsidRPr="00190CF9">
              <w:rPr>
                <w:rFonts w:ascii="Arial" w:hAnsi="Arial" w:cs="Arial"/>
                <w:sz w:val="18"/>
                <w:szCs w:val="18"/>
                <w:lang w:val="es-ES_tradnl"/>
              </w:rPr>
              <w:t xml:space="preserve"> y (5) tasas de servicios: </w:t>
            </w:r>
            <w:r w:rsidR="007056E7" w:rsidRPr="00190CF9">
              <w:rPr>
                <w:rFonts w:ascii="Arial" w:hAnsi="Arial" w:cs="Arial"/>
                <w:sz w:val="18"/>
                <w:szCs w:val="18"/>
                <w:lang w:val="es-ES_tradnl"/>
              </w:rPr>
              <w:t xml:space="preserve">en la actualidad </w:t>
            </w:r>
            <w:r w:rsidR="0009066C" w:rsidRPr="00190CF9">
              <w:rPr>
                <w:rFonts w:ascii="Arial" w:hAnsi="Arial" w:cs="Arial"/>
                <w:sz w:val="18"/>
                <w:szCs w:val="18"/>
                <w:lang w:val="es-ES_tradnl"/>
              </w:rPr>
              <w:t>las tasas p</w:t>
            </w:r>
            <w:r w:rsidR="00B1177A" w:rsidRPr="00190CF9">
              <w:rPr>
                <w:rFonts w:ascii="Arial" w:hAnsi="Arial" w:cs="Arial"/>
                <w:sz w:val="18"/>
                <w:szCs w:val="18"/>
                <w:lang w:val="es-ES_tradnl"/>
              </w:rPr>
              <w:t>or servicios de depósito son ad-</w:t>
            </w:r>
            <w:r w:rsidR="0009066C" w:rsidRPr="00190CF9">
              <w:rPr>
                <w:rFonts w:ascii="Arial" w:hAnsi="Arial" w:cs="Arial"/>
                <w:sz w:val="18"/>
                <w:szCs w:val="18"/>
                <w:lang w:val="es-ES_tradnl"/>
              </w:rPr>
              <w:t>valorem, y no se limitan  al costo aproximad</w:t>
            </w:r>
            <w:r w:rsidR="00B1177A" w:rsidRPr="00190CF9">
              <w:rPr>
                <w:rFonts w:ascii="Arial" w:hAnsi="Arial" w:cs="Arial"/>
                <w:sz w:val="18"/>
                <w:szCs w:val="18"/>
                <w:lang w:val="es-ES_tradnl"/>
              </w:rPr>
              <w:t xml:space="preserve">o de los servicios prestados. </w:t>
            </w:r>
          </w:p>
        </w:tc>
      </w:tr>
      <w:tr w:rsidR="00C50CF4" w:rsidRPr="00A778E5" w14:paraId="3BFA6EC2" w14:textId="77777777" w:rsidTr="00F92DE2">
        <w:trPr>
          <w:trHeight w:val="403"/>
          <w:jc w:val="center"/>
        </w:trPr>
        <w:tc>
          <w:tcPr>
            <w:tcW w:w="1012" w:type="pct"/>
            <w:vMerge w:val="restart"/>
            <w:tcBorders>
              <w:left w:val="single" w:sz="4" w:space="0" w:color="auto"/>
              <w:right w:val="single" w:sz="4" w:space="0" w:color="auto"/>
            </w:tcBorders>
            <w:shd w:val="clear" w:color="auto" w:fill="auto"/>
          </w:tcPr>
          <w:p w14:paraId="3A7C6E25" w14:textId="77777777" w:rsidR="00C50CF4" w:rsidRPr="00190CF9" w:rsidRDefault="00C50CF4" w:rsidP="00C50CF4">
            <w:pPr>
              <w:pStyle w:val="ListParagraph"/>
              <w:numPr>
                <w:ilvl w:val="0"/>
                <w:numId w:val="35"/>
              </w:numPr>
              <w:ind w:right="144"/>
              <w:contextualSpacing w:val="0"/>
              <w:rPr>
                <w:rFonts w:ascii="Arial" w:hAnsi="Arial" w:cs="Arial"/>
                <w:b/>
                <w:sz w:val="18"/>
                <w:szCs w:val="18"/>
                <w:lang w:val="es-ES_tradnl"/>
              </w:rPr>
            </w:pPr>
            <w:r w:rsidRPr="00190CF9">
              <w:rPr>
                <w:rFonts w:ascii="Arial" w:hAnsi="Arial" w:cs="Arial"/>
                <w:b/>
                <w:sz w:val="18"/>
                <w:szCs w:val="18"/>
                <w:lang w:val="es-ES_tradnl"/>
              </w:rPr>
              <w:t xml:space="preserve">Fortalecimiento de la competencia </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29A5642" w14:textId="77777777" w:rsidR="00C50CF4" w:rsidRPr="00190CF9" w:rsidRDefault="00C50CF4" w:rsidP="00C50CF4">
            <w:pPr>
              <w:tabs>
                <w:tab w:val="left" w:pos="1188"/>
              </w:tabs>
              <w:ind w:left="144" w:right="144"/>
              <w:jc w:val="both"/>
              <w:rPr>
                <w:rFonts w:ascii="Arial" w:hAnsi="Arial" w:cs="Arial"/>
                <w:sz w:val="18"/>
                <w:szCs w:val="18"/>
                <w:lang w:val="es-ES_tradnl"/>
              </w:rPr>
            </w:pPr>
            <w:r w:rsidRPr="00190CF9">
              <w:rPr>
                <w:rFonts w:ascii="Arial" w:hAnsi="Arial" w:cs="Arial"/>
                <w:sz w:val="18"/>
                <w:szCs w:val="18"/>
                <w:lang w:val="es-ES_tradnl"/>
              </w:rPr>
              <w:t>Desarrollo de las normas de competencia en los principales sectores regulados del país.</w:t>
            </w:r>
            <w:r w:rsidRPr="00190CF9">
              <w:rPr>
                <w:rFonts w:ascii="Arial" w:hAnsi="Arial" w:cs="Arial"/>
                <w:sz w:val="18"/>
                <w:szCs w:val="18"/>
                <w:lang w:val="es-ES_tradnl"/>
              </w:rPr>
              <w:tab/>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5EC137F"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Desarrollo de las normas de </w:t>
            </w:r>
            <w:r w:rsidR="006003AE" w:rsidRPr="00190CF9">
              <w:rPr>
                <w:rFonts w:ascii="Arial" w:hAnsi="Arial" w:cs="Arial"/>
                <w:sz w:val="18"/>
                <w:szCs w:val="18"/>
                <w:lang w:val="es-ES_tradnl"/>
              </w:rPr>
              <w:t xml:space="preserve">promoción y defensa de la </w:t>
            </w:r>
            <w:r w:rsidRPr="00190CF9">
              <w:rPr>
                <w:rFonts w:ascii="Arial" w:hAnsi="Arial" w:cs="Arial"/>
                <w:sz w:val="18"/>
                <w:szCs w:val="18"/>
                <w:lang w:val="es-ES_tradnl"/>
              </w:rPr>
              <w:t xml:space="preserve">competencia en los principales sectores </w:t>
            </w:r>
            <w:r w:rsidR="006003AE" w:rsidRPr="00190CF9">
              <w:rPr>
                <w:rFonts w:ascii="Arial" w:hAnsi="Arial" w:cs="Arial"/>
                <w:sz w:val="18"/>
                <w:szCs w:val="18"/>
                <w:lang w:val="es-ES_tradnl"/>
              </w:rPr>
              <w:t xml:space="preserve">económicos </w:t>
            </w:r>
            <w:r w:rsidRPr="00190CF9">
              <w:rPr>
                <w:rFonts w:ascii="Arial" w:hAnsi="Arial" w:cs="Arial"/>
                <w:sz w:val="18"/>
                <w:szCs w:val="18"/>
                <w:lang w:val="es-ES_tradnl"/>
              </w:rPr>
              <w:t>del país.</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49E0466C" w14:textId="3664BBC9" w:rsidR="00465017" w:rsidRPr="00190CF9" w:rsidRDefault="00C50CF4"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Cumplido. </w:t>
            </w:r>
            <w:r w:rsidR="009933B1" w:rsidRPr="00190CF9">
              <w:rPr>
                <w:rFonts w:ascii="Arial" w:hAnsi="Arial" w:cs="Arial"/>
                <w:b/>
                <w:sz w:val="18"/>
                <w:szCs w:val="18"/>
                <w:lang w:val="es-ES_tradnl"/>
              </w:rPr>
              <w:t xml:space="preserve">Se modificó la redacción para </w:t>
            </w:r>
            <w:r w:rsidR="008B1A14" w:rsidRPr="00190CF9">
              <w:rPr>
                <w:rFonts w:ascii="Arial" w:hAnsi="Arial" w:cs="Arial"/>
                <w:b/>
                <w:sz w:val="18"/>
                <w:szCs w:val="18"/>
                <w:lang w:val="es-ES_tradnl"/>
              </w:rPr>
              <w:t xml:space="preserve">reforzar el compromiso y </w:t>
            </w:r>
            <w:r w:rsidR="009933B1" w:rsidRPr="00190CF9">
              <w:rPr>
                <w:rFonts w:ascii="Arial" w:hAnsi="Arial" w:cs="Arial"/>
                <w:b/>
                <w:sz w:val="18"/>
                <w:szCs w:val="18"/>
                <w:lang w:val="es-ES_tradnl"/>
              </w:rPr>
              <w:t xml:space="preserve">precisar mejor su alcance. </w:t>
            </w:r>
            <w:r w:rsidR="00E0046F" w:rsidRPr="00190CF9">
              <w:rPr>
                <w:rFonts w:ascii="Arial" w:hAnsi="Arial" w:cs="Arial"/>
                <w:sz w:val="18"/>
                <w:szCs w:val="18"/>
                <w:lang w:val="es-ES_tradnl"/>
              </w:rPr>
              <w:t xml:space="preserve">PROCOMPETENCIA ya se encuentra </w:t>
            </w:r>
            <w:r w:rsidRPr="00190CF9">
              <w:rPr>
                <w:rFonts w:ascii="Arial" w:hAnsi="Arial" w:cs="Arial"/>
                <w:sz w:val="18"/>
                <w:szCs w:val="18"/>
                <w:lang w:val="es-ES_tradnl"/>
              </w:rPr>
              <w:t>operativa al habe</w:t>
            </w:r>
            <w:r w:rsidR="00465017" w:rsidRPr="00190CF9">
              <w:rPr>
                <w:rFonts w:ascii="Arial" w:hAnsi="Arial" w:cs="Arial"/>
                <w:sz w:val="18"/>
                <w:szCs w:val="18"/>
                <w:lang w:val="es-ES_tradnl"/>
              </w:rPr>
              <w:t>rse designado su Director Ejecu</w:t>
            </w:r>
            <w:r w:rsidRPr="00190CF9">
              <w:rPr>
                <w:rFonts w:ascii="Arial" w:hAnsi="Arial" w:cs="Arial"/>
                <w:sz w:val="18"/>
                <w:szCs w:val="18"/>
                <w:lang w:val="es-ES_tradnl"/>
              </w:rPr>
              <w:t xml:space="preserve">tivo a inicios de 2017, con lo cual puede ejercer su actividad de promoción y defensa de la </w:t>
            </w:r>
            <w:r w:rsidRPr="00190CF9">
              <w:rPr>
                <w:rFonts w:ascii="Arial" w:hAnsi="Arial" w:cs="Arial"/>
                <w:sz w:val="18"/>
                <w:szCs w:val="18"/>
                <w:lang w:val="es-ES_tradnl"/>
              </w:rPr>
              <w:lastRenderedPageBreak/>
              <w:t>competencia e</w:t>
            </w:r>
            <w:r w:rsidR="00465017" w:rsidRPr="00190CF9">
              <w:rPr>
                <w:rFonts w:ascii="Arial" w:hAnsi="Arial" w:cs="Arial"/>
                <w:sz w:val="18"/>
                <w:szCs w:val="18"/>
                <w:lang w:val="es-ES_tradnl"/>
              </w:rPr>
              <w:t>n los diversos sectores económi</w:t>
            </w:r>
            <w:r w:rsidRPr="00190CF9">
              <w:rPr>
                <w:rFonts w:ascii="Arial" w:hAnsi="Arial" w:cs="Arial"/>
                <w:sz w:val="18"/>
                <w:szCs w:val="18"/>
                <w:lang w:val="es-ES_tradnl"/>
              </w:rPr>
              <w:t xml:space="preserve">cos del país. En este sentido, </w:t>
            </w:r>
            <w:proofErr w:type="gramStart"/>
            <w:r w:rsidRPr="00190CF9">
              <w:rPr>
                <w:rFonts w:ascii="Arial" w:hAnsi="Arial" w:cs="Arial"/>
                <w:sz w:val="18"/>
                <w:szCs w:val="18"/>
                <w:lang w:val="es-ES_tradnl"/>
              </w:rPr>
              <w:t>entró en vigencia</w:t>
            </w:r>
            <w:proofErr w:type="gramEnd"/>
            <w:r w:rsidRPr="00190CF9">
              <w:rPr>
                <w:rFonts w:ascii="Arial" w:hAnsi="Arial" w:cs="Arial"/>
                <w:sz w:val="18"/>
                <w:szCs w:val="18"/>
                <w:lang w:val="es-ES_tradnl"/>
              </w:rPr>
              <w:t xml:space="preserve"> la Resolución No.01-17 que aprueba los Criterios Generales, Técnicos y Económicos para la Evaluación de las Condiciones de Competencia de los Mercados.</w:t>
            </w:r>
            <w:r w:rsidR="003F3152" w:rsidRPr="00190CF9">
              <w:rPr>
                <w:rFonts w:ascii="Arial" w:hAnsi="Arial" w:cs="Arial"/>
                <w:sz w:val="18"/>
                <w:szCs w:val="18"/>
                <w:lang w:val="es-ES_tradnl"/>
              </w:rPr>
              <w:t xml:space="preserve"> Asimismo, </w:t>
            </w:r>
            <w:r w:rsidR="0004416D" w:rsidRPr="00190CF9">
              <w:rPr>
                <w:rFonts w:ascii="Arial" w:hAnsi="Arial" w:cs="Arial"/>
                <w:sz w:val="18"/>
                <w:szCs w:val="18"/>
                <w:lang w:val="es-ES_tradnl"/>
              </w:rPr>
              <w:t>mediante resolución No. 06</w:t>
            </w:r>
            <w:r w:rsidR="003F3152" w:rsidRPr="00190CF9">
              <w:rPr>
                <w:rFonts w:ascii="Arial" w:hAnsi="Arial" w:cs="Arial"/>
                <w:sz w:val="18"/>
                <w:szCs w:val="18"/>
                <w:lang w:val="es-ES_tradnl"/>
              </w:rPr>
              <w:t>-2017</w:t>
            </w:r>
            <w:r w:rsidR="007C1613" w:rsidRPr="00190CF9">
              <w:rPr>
                <w:rFonts w:ascii="Arial" w:hAnsi="Arial" w:cs="Arial"/>
                <w:sz w:val="18"/>
                <w:szCs w:val="18"/>
                <w:lang w:val="es-ES_tradnl"/>
              </w:rPr>
              <w:t>,</w:t>
            </w:r>
            <w:r w:rsidR="003F3152" w:rsidRPr="00190CF9">
              <w:rPr>
                <w:rFonts w:ascii="Arial" w:hAnsi="Arial" w:cs="Arial"/>
                <w:sz w:val="18"/>
                <w:szCs w:val="18"/>
                <w:lang w:val="es-ES_tradnl"/>
              </w:rPr>
              <w:t xml:space="preserve"> </w:t>
            </w:r>
            <w:r w:rsidR="0004416D" w:rsidRPr="00190CF9">
              <w:rPr>
                <w:rFonts w:ascii="Arial" w:hAnsi="Arial" w:cs="Arial"/>
                <w:sz w:val="18"/>
                <w:szCs w:val="18"/>
                <w:lang w:val="es-ES_tradnl"/>
              </w:rPr>
              <w:t>PROCOMPETENCIA envió el Proyecto de Reglamento de Aplicación de la Ley G</w:t>
            </w:r>
            <w:r w:rsidR="003F3152" w:rsidRPr="00190CF9">
              <w:rPr>
                <w:rFonts w:ascii="Arial" w:hAnsi="Arial" w:cs="Arial"/>
                <w:sz w:val="18"/>
                <w:szCs w:val="18"/>
                <w:lang w:val="es-ES_tradnl"/>
              </w:rPr>
              <w:t xml:space="preserve">eneral de Defensa de la Competencia (Ley No. 42-08) </w:t>
            </w:r>
            <w:r w:rsidR="0004416D" w:rsidRPr="00190CF9">
              <w:rPr>
                <w:rFonts w:ascii="Arial" w:hAnsi="Arial" w:cs="Arial"/>
                <w:sz w:val="18"/>
                <w:szCs w:val="18"/>
                <w:lang w:val="es-ES_tradnl"/>
              </w:rPr>
              <w:t xml:space="preserve">a </w:t>
            </w:r>
            <w:r w:rsidR="003F3152" w:rsidRPr="00190CF9">
              <w:rPr>
                <w:rFonts w:ascii="Arial" w:hAnsi="Arial" w:cs="Arial"/>
                <w:sz w:val="18"/>
                <w:szCs w:val="18"/>
                <w:lang w:val="es-ES_tradnl"/>
              </w:rPr>
              <w:t>consulta pública</w:t>
            </w:r>
            <w:r w:rsidR="0004416D" w:rsidRPr="00190CF9">
              <w:rPr>
                <w:rFonts w:ascii="Arial" w:hAnsi="Arial" w:cs="Arial"/>
                <w:sz w:val="18"/>
                <w:szCs w:val="18"/>
                <w:lang w:val="es-ES_tradnl"/>
              </w:rPr>
              <w:t>, previo a su aprobación po</w:t>
            </w:r>
            <w:r w:rsidR="007C1613" w:rsidRPr="00190CF9">
              <w:rPr>
                <w:rFonts w:ascii="Arial" w:hAnsi="Arial" w:cs="Arial"/>
                <w:sz w:val="18"/>
                <w:szCs w:val="18"/>
                <w:lang w:val="es-ES_tradnl"/>
              </w:rPr>
              <w:t>r parte del Consejo Directivo</w:t>
            </w:r>
            <w:r w:rsidR="0004416D" w:rsidRPr="00190CF9">
              <w:rPr>
                <w:rFonts w:ascii="Arial" w:hAnsi="Arial" w:cs="Arial"/>
                <w:sz w:val="18"/>
                <w:szCs w:val="18"/>
                <w:lang w:val="es-ES_tradnl"/>
              </w:rPr>
              <w:t xml:space="preserve"> y su posterior remisión al presidente de la República para su aprobación</w:t>
            </w:r>
            <w:r w:rsidR="007C1613" w:rsidRPr="00190CF9">
              <w:rPr>
                <w:rFonts w:ascii="Arial" w:hAnsi="Arial" w:cs="Arial"/>
                <w:sz w:val="18"/>
                <w:szCs w:val="18"/>
                <w:lang w:val="es-ES_tradnl"/>
              </w:rPr>
              <w:t xml:space="preserve"> y promulgación</w:t>
            </w:r>
            <w:r w:rsidR="0004416D" w:rsidRPr="00190CF9">
              <w:rPr>
                <w:rFonts w:ascii="Arial" w:hAnsi="Arial" w:cs="Arial"/>
                <w:sz w:val="18"/>
                <w:szCs w:val="18"/>
                <w:lang w:val="es-ES_tradnl"/>
              </w:rPr>
              <w:t>, de acuerdo con el Art. 68 de la Ley No. 42-08</w:t>
            </w:r>
            <w:r w:rsidR="003F3152" w:rsidRPr="00190CF9">
              <w:rPr>
                <w:rFonts w:ascii="Arial" w:hAnsi="Arial" w:cs="Arial"/>
                <w:sz w:val="18"/>
                <w:szCs w:val="18"/>
                <w:lang w:val="es-ES_tradnl"/>
              </w:rPr>
              <w:t>.</w:t>
            </w:r>
          </w:p>
        </w:tc>
      </w:tr>
      <w:tr w:rsidR="00C50CF4" w:rsidRPr="00A778E5" w14:paraId="2AE7C7F5" w14:textId="77777777" w:rsidTr="00482DDC">
        <w:trPr>
          <w:cantSplit/>
          <w:trHeight w:val="403"/>
          <w:jc w:val="center"/>
        </w:trPr>
        <w:tc>
          <w:tcPr>
            <w:tcW w:w="1012" w:type="pct"/>
            <w:vMerge/>
            <w:tcBorders>
              <w:left w:val="single" w:sz="4" w:space="0" w:color="auto"/>
              <w:right w:val="single" w:sz="4" w:space="0" w:color="auto"/>
            </w:tcBorders>
            <w:shd w:val="clear" w:color="auto" w:fill="auto"/>
          </w:tcPr>
          <w:p w14:paraId="1177D3EF" w14:textId="77777777" w:rsidR="00C50CF4" w:rsidRPr="00190CF9" w:rsidRDefault="00C50CF4" w:rsidP="005937E7">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3D0A27EE"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Elaboración de cuatro estudios sobre el estado de la competencia en sectores estratégicos del país.</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9AAA077"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Elaboración de cuatro estudios </w:t>
            </w:r>
            <w:r w:rsidR="00294DD6" w:rsidRPr="00190CF9">
              <w:rPr>
                <w:rFonts w:ascii="Arial" w:hAnsi="Arial" w:cs="Arial"/>
                <w:sz w:val="18"/>
                <w:szCs w:val="18"/>
                <w:lang w:val="es-ES_tradnl"/>
              </w:rPr>
              <w:t xml:space="preserve">de diagnóstico legal y económico sobre el levantamiento de barreras legales, reglamentarias y/o de mercado que afectan </w:t>
            </w:r>
            <w:r w:rsidRPr="00190CF9">
              <w:rPr>
                <w:rFonts w:ascii="Arial" w:hAnsi="Arial" w:cs="Arial"/>
                <w:sz w:val="18"/>
                <w:szCs w:val="18"/>
                <w:lang w:val="es-ES_tradnl"/>
              </w:rPr>
              <w:t>el estado de la competencia en sectores estratégicos del país.</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314122FB" w14:textId="0B290EED" w:rsidR="00B43ADA" w:rsidRPr="00190CF9" w:rsidRDefault="00294DD6"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C</w:t>
            </w:r>
            <w:r w:rsidR="00C50CF4" w:rsidRPr="00190CF9">
              <w:rPr>
                <w:rFonts w:ascii="Arial" w:hAnsi="Arial" w:cs="Arial"/>
                <w:b/>
                <w:sz w:val="18"/>
                <w:szCs w:val="18"/>
                <w:lang w:val="es-ES_tradnl"/>
              </w:rPr>
              <w:t>umplido</w:t>
            </w:r>
            <w:r w:rsidR="00C50CF4" w:rsidRPr="00190CF9">
              <w:rPr>
                <w:rFonts w:ascii="Arial" w:hAnsi="Arial" w:cs="Arial"/>
                <w:sz w:val="18"/>
                <w:szCs w:val="18"/>
                <w:lang w:val="es-ES_tradnl"/>
              </w:rPr>
              <w:t xml:space="preserve">. </w:t>
            </w:r>
            <w:r w:rsidR="00E74C08" w:rsidRPr="00190CF9">
              <w:rPr>
                <w:rFonts w:ascii="Arial" w:hAnsi="Arial" w:cs="Arial"/>
                <w:b/>
                <w:sz w:val="18"/>
                <w:szCs w:val="18"/>
                <w:lang w:val="es-ES_tradnl"/>
              </w:rPr>
              <w:t>Se modificó la redacción del compromiso para precisar mejor su alcance.</w:t>
            </w:r>
            <w:r w:rsidR="00C50CF4" w:rsidRPr="00190CF9">
              <w:rPr>
                <w:rFonts w:ascii="Arial" w:hAnsi="Arial" w:cs="Arial"/>
                <w:sz w:val="18"/>
                <w:szCs w:val="18"/>
                <w:lang w:val="es-ES_tradnl"/>
              </w:rPr>
              <w:t xml:space="preserve"> Hay al menos </w:t>
            </w:r>
            <w:r w:rsidRPr="00190CF9">
              <w:rPr>
                <w:rFonts w:ascii="Arial" w:hAnsi="Arial" w:cs="Arial"/>
                <w:sz w:val="18"/>
                <w:szCs w:val="18"/>
                <w:lang w:val="es-ES_tradnl"/>
              </w:rPr>
              <w:t xml:space="preserve">cinco </w:t>
            </w:r>
            <w:r w:rsidR="00C50CF4" w:rsidRPr="00190CF9">
              <w:rPr>
                <w:rFonts w:ascii="Arial" w:hAnsi="Arial" w:cs="Arial"/>
                <w:sz w:val="18"/>
                <w:szCs w:val="18"/>
                <w:lang w:val="es-ES_tradnl"/>
              </w:rPr>
              <w:t>estudios ya realizados</w:t>
            </w:r>
            <w:r w:rsidRPr="00190CF9">
              <w:rPr>
                <w:rFonts w:ascii="Arial" w:hAnsi="Arial" w:cs="Arial"/>
                <w:sz w:val="18"/>
                <w:szCs w:val="18"/>
                <w:lang w:val="es-ES_tradnl"/>
              </w:rPr>
              <w:t>, tres de los cuales</w:t>
            </w:r>
            <w:r w:rsidR="002A29CF" w:rsidRPr="00190CF9">
              <w:rPr>
                <w:rFonts w:ascii="Arial" w:hAnsi="Arial" w:cs="Arial"/>
                <w:sz w:val="18"/>
                <w:szCs w:val="18"/>
                <w:lang w:val="es-ES_tradnl"/>
              </w:rPr>
              <w:t xml:space="preserve"> </w:t>
            </w:r>
            <w:r w:rsidR="005E389B" w:rsidRPr="00190CF9">
              <w:rPr>
                <w:rFonts w:ascii="Arial" w:hAnsi="Arial" w:cs="Arial"/>
                <w:sz w:val="18"/>
                <w:szCs w:val="18"/>
                <w:lang w:val="es-ES_tradnl"/>
              </w:rPr>
              <w:t xml:space="preserve">con recursos de una cooperación técnica del BID </w:t>
            </w:r>
            <w:r w:rsidR="00403415" w:rsidRPr="00190CF9">
              <w:rPr>
                <w:rFonts w:ascii="Arial" w:hAnsi="Arial" w:cs="Arial"/>
                <w:sz w:val="18"/>
                <w:szCs w:val="18"/>
                <w:lang w:val="es-ES_tradnl"/>
              </w:rPr>
              <w:t>(sub-operación DR-CC2070 de RG-X1044)</w:t>
            </w:r>
            <w:r w:rsidRPr="00190CF9">
              <w:rPr>
                <w:rFonts w:ascii="Arial" w:hAnsi="Arial" w:cs="Arial"/>
                <w:sz w:val="18"/>
                <w:szCs w:val="18"/>
                <w:lang w:val="es-ES_tradnl"/>
              </w:rPr>
              <w:t>,</w:t>
            </w:r>
            <w:r w:rsidR="00403415" w:rsidRPr="00190CF9">
              <w:rPr>
                <w:rFonts w:ascii="Arial" w:hAnsi="Arial" w:cs="Arial"/>
                <w:sz w:val="18"/>
                <w:szCs w:val="18"/>
                <w:lang w:val="es-ES_tradnl"/>
              </w:rPr>
              <w:t xml:space="preserve"> </w:t>
            </w:r>
            <w:r w:rsidR="00AB3ED6" w:rsidRPr="00190CF9">
              <w:rPr>
                <w:rFonts w:ascii="Arial" w:hAnsi="Arial" w:cs="Arial"/>
                <w:sz w:val="18"/>
                <w:szCs w:val="18"/>
                <w:lang w:val="es-ES_tradnl"/>
              </w:rPr>
              <w:t xml:space="preserve">acerca del estado de la competencia y prácticas </w:t>
            </w:r>
            <w:r w:rsidR="00427F31" w:rsidRPr="00190CF9">
              <w:rPr>
                <w:rFonts w:ascii="Arial" w:hAnsi="Arial" w:cs="Arial"/>
                <w:sz w:val="18"/>
                <w:szCs w:val="18"/>
                <w:lang w:val="es-ES_tradnl"/>
              </w:rPr>
              <w:t>anticompetitivas</w:t>
            </w:r>
            <w:r w:rsidR="00AB3ED6" w:rsidRPr="00190CF9">
              <w:rPr>
                <w:rFonts w:ascii="Arial" w:hAnsi="Arial" w:cs="Arial"/>
                <w:sz w:val="18"/>
                <w:szCs w:val="18"/>
                <w:lang w:val="es-ES_tradnl"/>
              </w:rPr>
              <w:t xml:space="preserve"> </w:t>
            </w:r>
            <w:r w:rsidR="002A29CF" w:rsidRPr="00190CF9">
              <w:rPr>
                <w:rFonts w:ascii="Arial" w:hAnsi="Arial" w:cs="Arial"/>
                <w:sz w:val="18"/>
                <w:szCs w:val="18"/>
                <w:lang w:val="es-ES_tradnl"/>
              </w:rPr>
              <w:t xml:space="preserve">en sectores de </w:t>
            </w:r>
            <w:r w:rsidR="00AB3ED6" w:rsidRPr="00190CF9">
              <w:rPr>
                <w:rFonts w:ascii="Arial" w:hAnsi="Arial" w:cs="Arial"/>
                <w:sz w:val="18"/>
                <w:szCs w:val="18"/>
                <w:lang w:val="es-ES_tradnl"/>
              </w:rPr>
              <w:t xml:space="preserve">gran relevancia en el país: </w:t>
            </w:r>
            <w:bookmarkStart w:id="5" w:name="_Hlk491943698"/>
            <w:r w:rsidR="002A29CF" w:rsidRPr="00190CF9">
              <w:rPr>
                <w:rFonts w:ascii="Arial" w:hAnsi="Arial" w:cs="Arial"/>
                <w:sz w:val="18"/>
                <w:szCs w:val="18"/>
                <w:lang w:val="es-ES_tradnl"/>
              </w:rPr>
              <w:t>cerveza, medicamentos, seguros</w:t>
            </w:r>
            <w:r w:rsidRPr="00190CF9">
              <w:rPr>
                <w:rFonts w:ascii="Arial" w:hAnsi="Arial" w:cs="Arial"/>
                <w:sz w:val="18"/>
                <w:szCs w:val="18"/>
                <w:lang w:val="es-ES_tradnl"/>
              </w:rPr>
              <w:t>, comercialización del pan y transporte de pasajeros y carga</w:t>
            </w:r>
            <w:bookmarkEnd w:id="5"/>
            <w:r w:rsidR="00AB3ED6" w:rsidRPr="00190CF9">
              <w:rPr>
                <w:rFonts w:ascii="Arial" w:hAnsi="Arial" w:cs="Arial"/>
                <w:sz w:val="18"/>
                <w:szCs w:val="18"/>
                <w:lang w:val="es-ES_tradnl"/>
              </w:rPr>
              <w:t>.</w:t>
            </w:r>
            <w:r w:rsidR="00C50CF4" w:rsidRPr="00190CF9">
              <w:rPr>
                <w:rFonts w:ascii="Arial" w:hAnsi="Arial" w:cs="Arial"/>
                <w:sz w:val="18"/>
                <w:szCs w:val="18"/>
                <w:lang w:val="es-ES_tradnl"/>
              </w:rPr>
              <w:t xml:space="preserve"> </w:t>
            </w:r>
          </w:p>
        </w:tc>
      </w:tr>
      <w:tr w:rsidR="00C50CF4" w:rsidRPr="00A778E5" w14:paraId="699A7F37" w14:textId="77777777" w:rsidTr="00482DDC">
        <w:trPr>
          <w:cantSplit/>
          <w:trHeight w:val="403"/>
          <w:jc w:val="center"/>
        </w:trPr>
        <w:tc>
          <w:tcPr>
            <w:tcW w:w="1012" w:type="pct"/>
            <w:vMerge/>
            <w:tcBorders>
              <w:left w:val="single" w:sz="4" w:space="0" w:color="auto"/>
              <w:right w:val="single" w:sz="4" w:space="0" w:color="auto"/>
            </w:tcBorders>
            <w:shd w:val="clear" w:color="auto" w:fill="auto"/>
          </w:tcPr>
          <w:p w14:paraId="18EED481" w14:textId="77777777" w:rsidR="00C50CF4" w:rsidRPr="00190CF9" w:rsidRDefault="00C50CF4" w:rsidP="005937E7">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1D5B0BD1" w14:textId="77777777" w:rsidR="00C50CF4" w:rsidRPr="00190CF9" w:rsidRDefault="00C50CF4" w:rsidP="005937E7">
            <w:pPr>
              <w:ind w:left="144" w:right="144"/>
              <w:jc w:val="both"/>
              <w:rPr>
                <w:rFonts w:ascii="Arial" w:hAnsi="Arial" w:cs="Arial"/>
                <w:sz w:val="18"/>
                <w:szCs w:val="18"/>
                <w:lang w:val="es-ES_tradnl"/>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8E1182F" w14:textId="77777777" w:rsidR="00C50CF4" w:rsidRPr="00190CF9" w:rsidRDefault="00C50CF4" w:rsidP="005937E7">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Presentación al Congreso Nacional de un </w:t>
            </w:r>
            <w:r w:rsidR="00014AA0" w:rsidRPr="00190CF9">
              <w:rPr>
                <w:rFonts w:ascii="Arial" w:hAnsi="Arial" w:cs="Arial"/>
                <w:sz w:val="18"/>
                <w:szCs w:val="18"/>
                <w:lang w:val="es-ES_tradnl"/>
              </w:rPr>
              <w:t>p</w:t>
            </w:r>
            <w:r w:rsidRPr="00190CF9">
              <w:rPr>
                <w:rFonts w:ascii="Arial" w:hAnsi="Arial" w:cs="Arial"/>
                <w:sz w:val="18"/>
                <w:szCs w:val="18"/>
                <w:lang w:val="es-ES_tradnl"/>
              </w:rPr>
              <w:t>royecto de Ley contra el Comercio Ilícito.</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33373FE2" w14:textId="617DD435" w:rsidR="00C22306" w:rsidRPr="00190CF9" w:rsidRDefault="00C50CF4"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Nuevo compromiso. Cumplido. </w:t>
            </w:r>
            <w:r w:rsidRPr="00190CF9">
              <w:rPr>
                <w:rFonts w:ascii="Arial" w:hAnsi="Arial" w:cs="Arial"/>
                <w:sz w:val="18"/>
                <w:szCs w:val="18"/>
                <w:lang w:val="es-ES_tradnl"/>
              </w:rPr>
              <w:t xml:space="preserve">El objetivo de dicha ley presentada al Congreso en mayo de 2017 es evitar la competencia desleal </w:t>
            </w:r>
            <w:r w:rsidR="00AB3ED6" w:rsidRPr="00190CF9">
              <w:rPr>
                <w:rFonts w:ascii="Arial" w:hAnsi="Arial" w:cs="Arial"/>
                <w:sz w:val="18"/>
                <w:szCs w:val="18"/>
                <w:lang w:val="es-ES_tradnl"/>
              </w:rPr>
              <w:t xml:space="preserve">y las distorsiones de mercado causadas por la </w:t>
            </w:r>
            <w:r w:rsidR="00BC7229" w:rsidRPr="00190CF9">
              <w:rPr>
                <w:rFonts w:ascii="Arial" w:hAnsi="Arial" w:cs="Arial"/>
                <w:sz w:val="18"/>
                <w:szCs w:val="18"/>
                <w:lang w:val="es-ES_tradnl"/>
              </w:rPr>
              <w:t xml:space="preserve">introducción y </w:t>
            </w:r>
            <w:r w:rsidR="00AB3ED6" w:rsidRPr="00190CF9">
              <w:rPr>
                <w:rFonts w:ascii="Arial" w:hAnsi="Arial" w:cs="Arial"/>
                <w:sz w:val="18"/>
                <w:szCs w:val="18"/>
                <w:lang w:val="es-ES_tradnl"/>
              </w:rPr>
              <w:t xml:space="preserve">venta </w:t>
            </w:r>
            <w:r w:rsidRPr="00190CF9">
              <w:rPr>
                <w:rFonts w:ascii="Arial" w:hAnsi="Arial" w:cs="Arial"/>
                <w:sz w:val="18"/>
                <w:szCs w:val="18"/>
                <w:lang w:val="es-ES_tradnl"/>
              </w:rPr>
              <w:t>de productos falsificados y de contrabando.</w:t>
            </w:r>
          </w:p>
        </w:tc>
      </w:tr>
      <w:tr w:rsidR="00C50CF4" w:rsidRPr="00A778E5" w14:paraId="410A2081" w14:textId="77777777" w:rsidTr="00F92DE2">
        <w:trPr>
          <w:trHeight w:val="403"/>
          <w:jc w:val="center"/>
        </w:trPr>
        <w:tc>
          <w:tcPr>
            <w:tcW w:w="1012" w:type="pct"/>
            <w:vMerge/>
            <w:tcBorders>
              <w:left w:val="single" w:sz="4" w:space="0" w:color="auto"/>
              <w:right w:val="single" w:sz="4" w:space="0" w:color="auto"/>
            </w:tcBorders>
            <w:shd w:val="clear" w:color="auto" w:fill="auto"/>
          </w:tcPr>
          <w:p w14:paraId="670F5112" w14:textId="77777777" w:rsidR="00C50CF4" w:rsidRPr="00190CF9" w:rsidRDefault="00C50CF4" w:rsidP="005937E7">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1A6158D" w14:textId="77777777" w:rsidR="00C50CF4" w:rsidRPr="00190CF9" w:rsidRDefault="00C50CF4" w:rsidP="005937E7">
            <w:pPr>
              <w:ind w:left="144" w:right="144"/>
              <w:jc w:val="both"/>
              <w:rPr>
                <w:rFonts w:ascii="Arial" w:hAnsi="Arial" w:cs="Arial"/>
                <w:sz w:val="18"/>
                <w:szCs w:val="18"/>
                <w:lang w:val="es-ES_tradnl"/>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B959F48" w14:textId="77777777" w:rsidR="00C50CF4" w:rsidRPr="00190CF9" w:rsidRDefault="00C50CF4" w:rsidP="00C50CF4">
            <w:pPr>
              <w:ind w:left="144" w:right="144"/>
              <w:jc w:val="both"/>
              <w:rPr>
                <w:rFonts w:ascii="Arial" w:hAnsi="Arial" w:cs="Arial"/>
                <w:sz w:val="18"/>
                <w:szCs w:val="18"/>
                <w:lang w:val="es-ES_tradnl"/>
              </w:rPr>
            </w:pPr>
            <w:r w:rsidRPr="00190CF9">
              <w:rPr>
                <w:rFonts w:ascii="Arial" w:hAnsi="Arial" w:cs="Arial"/>
                <w:sz w:val="18"/>
                <w:szCs w:val="18"/>
                <w:lang w:val="es-ES_tradnl"/>
              </w:rPr>
              <w:t>Aprobación de normas reglamentarias para el fortalecimiento de la competencia, mayor transparencia de mercado y protección al usuario de los productos y servicios financieros.</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0847AED0" w14:textId="031C7249" w:rsidR="00C22306" w:rsidRPr="00190CF9" w:rsidRDefault="00C50CF4"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Nuevo compromiso. Cumplido. </w:t>
            </w:r>
            <w:r w:rsidRPr="00190CF9">
              <w:rPr>
                <w:rFonts w:ascii="Arial" w:hAnsi="Arial" w:cs="Arial"/>
                <w:sz w:val="18"/>
                <w:szCs w:val="18"/>
                <w:lang w:val="es-ES_tradnl"/>
              </w:rPr>
              <w:t>La Junta Monetaria, en su Primera Resolución del 5 de febrero de 2015, modificó el Reglamento de Protección al U</w:t>
            </w:r>
            <w:r w:rsidR="00465017" w:rsidRPr="00190CF9">
              <w:rPr>
                <w:rFonts w:ascii="Arial" w:hAnsi="Arial" w:cs="Arial"/>
                <w:sz w:val="18"/>
                <w:szCs w:val="18"/>
                <w:lang w:val="es-ES_tradnl"/>
              </w:rPr>
              <w:t>suario de los Productos y Servi</w:t>
            </w:r>
            <w:r w:rsidRPr="00190CF9">
              <w:rPr>
                <w:rFonts w:ascii="Arial" w:hAnsi="Arial" w:cs="Arial"/>
                <w:sz w:val="18"/>
                <w:szCs w:val="18"/>
                <w:lang w:val="es-ES_tradnl"/>
              </w:rPr>
              <w:t xml:space="preserve">cios Financieros, con el fin de establecer los principios y criterios para una efectiva protección de los derechos de los usuarios de los productos y servicios financieros y actualizar la normativa vigente para adecuarla a los principios y mejores prácticas internacionales, incluyendo, </w:t>
            </w:r>
            <w:bookmarkStart w:id="6" w:name="_Hlk494745351"/>
            <w:r w:rsidRPr="00190CF9">
              <w:rPr>
                <w:rFonts w:ascii="Arial" w:hAnsi="Arial" w:cs="Arial"/>
                <w:sz w:val="18"/>
                <w:szCs w:val="18"/>
                <w:lang w:val="es-ES_tradnl"/>
              </w:rPr>
              <w:t xml:space="preserve">entre otros: (i) una mejor orientación sobre el funcionamiento de los productos y servicios financieros que ofrecen las entidades de intermediación financiera; (ii) la libertad de elección del usuario en la contratación de un producto o servicio complementario prestado por un tercero e </w:t>
            </w:r>
            <w:r w:rsidRPr="00190CF9">
              <w:rPr>
                <w:rFonts w:ascii="Arial" w:hAnsi="Arial" w:cs="Arial"/>
                <w:sz w:val="18"/>
                <w:szCs w:val="18"/>
                <w:lang w:val="es-ES_tradnl"/>
              </w:rPr>
              <w:lastRenderedPageBreak/>
              <w:t>indispensable para la cobertura del riesgo de la entidad de intermediación financiera y cambiaria, lo que implica la obligación de la entidad financiera de presentar al usuario varias opciones de proveedores; y (iii) una mayor divulgación de información al público por parte de las entidades de intermediación financiera, de manera que las mismas sean más exactas, completas y oportunas</w:t>
            </w:r>
            <w:bookmarkEnd w:id="6"/>
            <w:r w:rsidRPr="00190CF9">
              <w:rPr>
                <w:rFonts w:ascii="Arial" w:hAnsi="Arial" w:cs="Arial"/>
                <w:sz w:val="18"/>
                <w:szCs w:val="18"/>
                <w:lang w:val="es-ES_tradnl"/>
              </w:rPr>
              <w:t>.</w:t>
            </w:r>
          </w:p>
        </w:tc>
      </w:tr>
      <w:tr w:rsidR="00092B9C" w:rsidRPr="00A778E5" w14:paraId="2C800DDB" w14:textId="77777777" w:rsidTr="004B1240">
        <w:trPr>
          <w:trHeight w:val="403"/>
          <w:jc w:val="center"/>
        </w:trPr>
        <w:tc>
          <w:tcPr>
            <w:tcW w:w="1012" w:type="pct"/>
            <w:vMerge w:val="restart"/>
            <w:tcBorders>
              <w:left w:val="single" w:sz="4" w:space="0" w:color="auto"/>
              <w:right w:val="single" w:sz="4" w:space="0" w:color="auto"/>
            </w:tcBorders>
            <w:shd w:val="clear" w:color="auto" w:fill="auto"/>
          </w:tcPr>
          <w:p w14:paraId="3C8DBE85" w14:textId="77777777" w:rsidR="00092B9C" w:rsidRPr="00190CF9" w:rsidRDefault="00092B9C" w:rsidP="00092B9C">
            <w:pPr>
              <w:pStyle w:val="ListParagraph"/>
              <w:numPr>
                <w:ilvl w:val="0"/>
                <w:numId w:val="35"/>
              </w:numPr>
              <w:ind w:right="144"/>
              <w:contextualSpacing w:val="0"/>
              <w:rPr>
                <w:rFonts w:ascii="Arial" w:hAnsi="Arial" w:cs="Arial"/>
                <w:b/>
                <w:sz w:val="18"/>
                <w:szCs w:val="18"/>
                <w:lang w:val="es-ES_tradnl"/>
              </w:rPr>
            </w:pPr>
            <w:r w:rsidRPr="00190CF9">
              <w:rPr>
                <w:rFonts w:ascii="Arial" w:hAnsi="Arial" w:cs="Arial"/>
                <w:b/>
                <w:sz w:val="18"/>
                <w:szCs w:val="18"/>
                <w:lang w:val="es-ES_tradnl"/>
              </w:rPr>
              <w:lastRenderedPageBreak/>
              <w:t xml:space="preserve">Mejoras en las políticas e instituciones para el desarrollo productivo y la innovación </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24D2BD00" w14:textId="77777777" w:rsidR="00092B9C" w:rsidRPr="00190CF9" w:rsidRDefault="00092B9C" w:rsidP="00092B9C">
            <w:pPr>
              <w:ind w:left="144" w:right="144"/>
              <w:jc w:val="both"/>
              <w:rPr>
                <w:rFonts w:ascii="Arial" w:hAnsi="Arial" w:cs="Arial"/>
                <w:sz w:val="18"/>
                <w:szCs w:val="18"/>
                <w:lang w:val="es-ES_tradnl"/>
              </w:rPr>
            </w:pPr>
            <w:r w:rsidRPr="00190CF9">
              <w:rPr>
                <w:rFonts w:ascii="Arial" w:hAnsi="Arial" w:cs="Arial"/>
                <w:sz w:val="18"/>
                <w:szCs w:val="18"/>
                <w:lang w:val="es-ES_tradnl"/>
              </w:rPr>
              <w:t>Restructuración del Plan Estratégico de Ciencia y Tecnología (PECYT) 2008-2018, en base a mejores prácticas internacionales.</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3A963D2" w14:textId="77777777" w:rsidR="00092B9C" w:rsidRPr="00190CF9" w:rsidRDefault="00884B48" w:rsidP="00092B9C">
            <w:pPr>
              <w:ind w:left="144" w:right="144"/>
              <w:jc w:val="both"/>
              <w:rPr>
                <w:rFonts w:ascii="Arial" w:hAnsi="Arial" w:cs="Arial"/>
                <w:sz w:val="18"/>
                <w:szCs w:val="18"/>
                <w:lang w:val="es-ES_tradnl"/>
              </w:rPr>
            </w:pPr>
            <w:r w:rsidRPr="00190CF9">
              <w:rPr>
                <w:rFonts w:ascii="Arial" w:hAnsi="Arial" w:cs="Arial"/>
                <w:sz w:val="18"/>
                <w:szCs w:val="18"/>
                <w:lang w:val="es-ES_tradnl"/>
              </w:rPr>
              <w:t>Fortalecimiento</w:t>
            </w:r>
            <w:r w:rsidR="00092B9C" w:rsidRPr="00190CF9">
              <w:rPr>
                <w:rFonts w:ascii="Arial" w:hAnsi="Arial" w:cs="Arial"/>
                <w:sz w:val="18"/>
                <w:szCs w:val="18"/>
                <w:lang w:val="es-ES_tradnl"/>
              </w:rPr>
              <w:t xml:space="preserve"> de </w:t>
            </w:r>
            <w:r w:rsidRPr="00190CF9">
              <w:rPr>
                <w:rFonts w:ascii="Arial" w:hAnsi="Arial" w:cs="Arial"/>
                <w:sz w:val="18"/>
                <w:szCs w:val="18"/>
                <w:lang w:val="es-ES_tradnl"/>
              </w:rPr>
              <w:t xml:space="preserve">los </w:t>
            </w:r>
            <w:r w:rsidR="00092B9C" w:rsidRPr="00190CF9">
              <w:rPr>
                <w:rFonts w:ascii="Arial" w:hAnsi="Arial" w:cs="Arial"/>
                <w:sz w:val="18"/>
                <w:szCs w:val="18"/>
                <w:lang w:val="es-ES_tradnl"/>
              </w:rPr>
              <w:t>mecanismos institucionales</w:t>
            </w:r>
            <w:r w:rsidR="00092B9C" w:rsidRPr="00190CF9">
              <w:rPr>
                <w:rFonts w:ascii="Arial" w:hAnsi="Arial" w:cs="Arial"/>
                <w:sz w:val="18"/>
                <w:szCs w:val="18"/>
                <w:lang w:val="es-ES"/>
              </w:rPr>
              <w:t xml:space="preserve"> para promover el diálogo Público-Privado para el desarrollo productivo y la competitividad</w:t>
            </w:r>
            <w:r w:rsidR="00092B9C" w:rsidRPr="00190CF9">
              <w:rPr>
                <w:rFonts w:ascii="Arial" w:hAnsi="Arial" w:cs="Arial"/>
                <w:sz w:val="18"/>
                <w:szCs w:val="18"/>
                <w:lang w:val="es-ES_tradnl"/>
              </w:rPr>
              <w:t>.</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170EC3F3" w14:textId="51F32DE6" w:rsidR="00092B9C" w:rsidRPr="00190CF9" w:rsidRDefault="00092B9C" w:rsidP="007E1DF8">
            <w:pPr>
              <w:tabs>
                <w:tab w:val="left" w:pos="567"/>
              </w:tabs>
              <w:ind w:left="109" w:right="90"/>
              <w:jc w:val="both"/>
              <w:rPr>
                <w:rFonts w:ascii="Arial" w:hAnsi="Arial" w:cs="Arial"/>
                <w:b/>
                <w:sz w:val="18"/>
                <w:szCs w:val="18"/>
                <w:lang w:val="es-ES_tradnl"/>
              </w:rPr>
            </w:pPr>
            <w:r w:rsidRPr="00190CF9">
              <w:rPr>
                <w:rFonts w:ascii="Arial" w:hAnsi="Arial" w:cs="Arial"/>
                <w:b/>
                <w:sz w:val="18"/>
                <w:szCs w:val="18"/>
                <w:lang w:val="es-ES_tradnl"/>
              </w:rPr>
              <w:t xml:space="preserve">Compromiso modificado y reforzado. Cumplido.  </w:t>
            </w:r>
            <w:r w:rsidRPr="00190CF9">
              <w:rPr>
                <w:rFonts w:ascii="Arial" w:hAnsi="Arial" w:cs="Arial"/>
                <w:sz w:val="18"/>
                <w:szCs w:val="18"/>
                <w:lang w:val="es-ES_tradnl"/>
              </w:rPr>
              <w:t>Se creó la Iniciativa para la Productividad y Compet</w:t>
            </w:r>
            <w:r w:rsidR="002658FD" w:rsidRPr="00190CF9">
              <w:rPr>
                <w:rFonts w:ascii="Arial" w:hAnsi="Arial" w:cs="Arial"/>
                <w:sz w:val="18"/>
                <w:szCs w:val="18"/>
                <w:lang w:val="es-ES_tradnl"/>
              </w:rPr>
              <w:t>itividad Nacional (IPCN)</w:t>
            </w:r>
            <w:r w:rsidRPr="00190CF9">
              <w:rPr>
                <w:rFonts w:ascii="Arial" w:hAnsi="Arial" w:cs="Arial"/>
                <w:sz w:val="18"/>
                <w:szCs w:val="18"/>
                <w:lang w:val="es-ES_tradnl"/>
              </w:rPr>
              <w:t xml:space="preserve"> (Decreto 237-15) y la Iniciativa presidencial para la Promoción y el Apoyo a las MiPyMEs (Decreto 370-15). </w:t>
            </w:r>
            <w:r w:rsidR="009C6962" w:rsidRPr="00190CF9">
              <w:rPr>
                <w:rFonts w:ascii="Arial" w:hAnsi="Arial" w:cs="Arial"/>
                <w:sz w:val="18"/>
                <w:szCs w:val="18"/>
                <w:lang w:val="es-ES_tradnl"/>
              </w:rPr>
              <w:t xml:space="preserve">Ello se considera como de mayor relevancia que el compromiso anteriormente considerado, ya que el PECYT se encuentra en su último año de vigencia. </w:t>
            </w:r>
            <w:r w:rsidRPr="00190CF9">
              <w:rPr>
                <w:rFonts w:ascii="Arial" w:hAnsi="Arial" w:cs="Arial"/>
                <w:sz w:val="18"/>
                <w:szCs w:val="18"/>
                <w:lang w:val="es-ES_tradnl"/>
              </w:rPr>
              <w:t>Como parte de la IPCN ya fueron convocadas cuatro mesas de trabajo de diálogo público privado para identificar y promover reformas y acciones en los ámbitos público y privado que impacten la competitividad y productividad de los diversos sectores productivos del país. Las mesas ya operativas inclu</w:t>
            </w:r>
            <w:r w:rsidR="007E1DF8">
              <w:rPr>
                <w:rFonts w:ascii="Arial" w:hAnsi="Arial" w:cs="Arial"/>
                <w:sz w:val="18"/>
                <w:szCs w:val="18"/>
                <w:lang w:val="es-ES_tradnl"/>
              </w:rPr>
              <w:t>yen: (i) </w:t>
            </w:r>
            <w:r w:rsidRPr="00190CF9">
              <w:rPr>
                <w:rFonts w:ascii="Arial" w:hAnsi="Arial" w:cs="Arial"/>
                <w:sz w:val="18"/>
                <w:szCs w:val="18"/>
                <w:lang w:val="es-ES_tradnl"/>
              </w:rPr>
              <w:t>sistema de permisos; (ii) infraestructura, conectividad y logística; (iii) mercados internos; y (iv) mercados externos. Está prevista una nueva ronda de cinco mesas de trabajo en: (i) ambiente macroeconómico y fiscal; (ii) mercado financiero; (iii) fortalecimiento institucional; (iv)</w:t>
            </w:r>
            <w:r w:rsidR="007E1DF8">
              <w:rPr>
                <w:rFonts w:ascii="Arial" w:hAnsi="Arial" w:cs="Arial"/>
                <w:sz w:val="18"/>
                <w:szCs w:val="18"/>
                <w:lang w:val="es-ES_tradnl"/>
              </w:rPr>
              <w:t> </w:t>
            </w:r>
            <w:r w:rsidRPr="00190CF9">
              <w:rPr>
                <w:rFonts w:ascii="Arial" w:hAnsi="Arial" w:cs="Arial"/>
                <w:sz w:val="18"/>
                <w:szCs w:val="18"/>
                <w:lang w:val="es-ES_tradnl"/>
              </w:rPr>
              <w:t>encadenamientos productivos; y (v)</w:t>
            </w:r>
            <w:r w:rsidR="007E1DF8">
              <w:rPr>
                <w:rFonts w:ascii="Arial" w:hAnsi="Arial" w:cs="Arial"/>
                <w:sz w:val="18"/>
                <w:szCs w:val="18"/>
                <w:lang w:val="es-ES_tradnl"/>
              </w:rPr>
              <w:t> </w:t>
            </w:r>
            <w:r w:rsidRPr="00190CF9">
              <w:rPr>
                <w:rFonts w:ascii="Arial" w:hAnsi="Arial" w:cs="Arial"/>
                <w:sz w:val="18"/>
                <w:szCs w:val="18"/>
                <w:lang w:val="es-ES_tradnl"/>
              </w:rPr>
              <w:t xml:space="preserve">innovación. Dada la misión de la IPCN, se considera que su creación y fortalecimiento está alineado con el objetivo de mejoras de instituciones para el desarrollo productivo y la innovación, por lo que </w:t>
            </w:r>
            <w:r w:rsidR="00213B3F" w:rsidRPr="00190CF9">
              <w:rPr>
                <w:rFonts w:ascii="Arial" w:hAnsi="Arial" w:cs="Arial"/>
                <w:sz w:val="18"/>
                <w:szCs w:val="18"/>
                <w:lang w:val="es-ES_tradnl"/>
              </w:rPr>
              <w:t>se incluyó</w:t>
            </w:r>
            <w:r w:rsidRPr="00190CF9">
              <w:rPr>
                <w:rFonts w:ascii="Arial" w:hAnsi="Arial" w:cs="Arial"/>
                <w:sz w:val="18"/>
                <w:szCs w:val="18"/>
                <w:lang w:val="es-ES_tradnl"/>
              </w:rPr>
              <w:t xml:space="preserve"> como parte de los acuerdos del nuevo programa. El Banco se encuentra apoyando el fortalecimiento de la IPCN mediante recursos de la cooperación técnica DR-T1139. </w:t>
            </w:r>
          </w:p>
        </w:tc>
      </w:tr>
      <w:tr w:rsidR="00092B9C" w:rsidRPr="00A778E5" w14:paraId="6DE19CB9" w14:textId="77777777" w:rsidTr="00200C8D">
        <w:trPr>
          <w:trHeight w:val="403"/>
          <w:jc w:val="center"/>
        </w:trPr>
        <w:tc>
          <w:tcPr>
            <w:tcW w:w="1012" w:type="pct"/>
            <w:vMerge/>
            <w:tcBorders>
              <w:left w:val="single" w:sz="4" w:space="0" w:color="auto"/>
              <w:right w:val="single" w:sz="4" w:space="0" w:color="auto"/>
            </w:tcBorders>
            <w:shd w:val="clear" w:color="auto" w:fill="auto"/>
          </w:tcPr>
          <w:p w14:paraId="47A05676" w14:textId="77777777" w:rsidR="00092B9C" w:rsidRPr="00190CF9" w:rsidRDefault="00092B9C" w:rsidP="00092B9C">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D21C6C7" w14:textId="77777777" w:rsidR="00092B9C" w:rsidRPr="00190CF9" w:rsidRDefault="00092B9C" w:rsidP="00092B9C">
            <w:pPr>
              <w:ind w:left="144" w:right="144"/>
              <w:jc w:val="both"/>
              <w:rPr>
                <w:rFonts w:ascii="Arial" w:hAnsi="Arial" w:cs="Arial"/>
                <w:sz w:val="18"/>
                <w:szCs w:val="18"/>
                <w:lang w:val="es-ES_tradnl"/>
              </w:rPr>
            </w:pPr>
            <w:r w:rsidRPr="00190CF9">
              <w:rPr>
                <w:rFonts w:ascii="Arial" w:hAnsi="Arial" w:cs="Arial"/>
                <w:sz w:val="18"/>
                <w:szCs w:val="18"/>
                <w:lang w:val="es-ES_tradnl"/>
              </w:rPr>
              <w:t>Evaluación del plan de implementación del SIDOCAL realizada.</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3D3BF4C" w14:textId="77777777" w:rsidR="00092B9C" w:rsidRPr="00190CF9" w:rsidRDefault="00092B9C" w:rsidP="00092B9C">
            <w:pPr>
              <w:ind w:left="144" w:right="144"/>
              <w:jc w:val="both"/>
              <w:rPr>
                <w:rFonts w:ascii="Arial" w:hAnsi="Arial" w:cs="Arial"/>
                <w:sz w:val="18"/>
                <w:szCs w:val="18"/>
                <w:lang w:val="es-ES_tradnl"/>
              </w:rPr>
            </w:pPr>
            <w:r w:rsidRPr="00190CF9">
              <w:rPr>
                <w:rFonts w:ascii="Arial" w:hAnsi="Arial" w:cs="Arial"/>
                <w:sz w:val="18"/>
                <w:szCs w:val="18"/>
                <w:lang w:val="es-ES_tradnl"/>
              </w:rPr>
              <w:t>Evaluación de la implementación del SIDOCAL realizada.</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2191B536" w14:textId="044A13F8" w:rsidR="00092B9C" w:rsidRPr="00190CF9" w:rsidRDefault="00BB0196"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Cumplido. </w:t>
            </w:r>
            <w:r w:rsidR="00092B9C" w:rsidRPr="00190CF9">
              <w:rPr>
                <w:rFonts w:ascii="Arial" w:hAnsi="Arial" w:cs="Arial"/>
                <w:sz w:val="18"/>
                <w:szCs w:val="18"/>
                <w:lang w:val="es-ES_tradnl"/>
              </w:rPr>
              <w:t xml:space="preserve">Se realizaron importantes reformas al Sistema Dominicano de Calidad (SIDOCAL) en los últimos años, que han conllevado al fortalecimiento de las instituciones que conforman el SIDOCAL. Entre ellas </w:t>
            </w:r>
            <w:bookmarkStart w:id="7" w:name="_Hlk494745538"/>
            <w:r w:rsidR="00092B9C" w:rsidRPr="00190CF9">
              <w:rPr>
                <w:rFonts w:ascii="Arial" w:hAnsi="Arial" w:cs="Arial"/>
                <w:sz w:val="18"/>
                <w:szCs w:val="18"/>
                <w:lang w:val="es-ES_tradnl"/>
              </w:rPr>
              <w:t xml:space="preserve">destacan: el lanzamiento del Instituto Dominicano de Calidad (INDOCAL); la </w:t>
            </w:r>
            <w:proofErr w:type="gramStart"/>
            <w:r w:rsidR="00092B9C" w:rsidRPr="00190CF9">
              <w:rPr>
                <w:rFonts w:ascii="Arial" w:hAnsi="Arial" w:cs="Arial"/>
                <w:sz w:val="18"/>
                <w:szCs w:val="18"/>
                <w:lang w:val="es-ES_tradnl"/>
              </w:rPr>
              <w:t>entrada en vigencia</w:t>
            </w:r>
            <w:proofErr w:type="gramEnd"/>
            <w:r w:rsidR="00092B9C" w:rsidRPr="00190CF9">
              <w:rPr>
                <w:rFonts w:ascii="Arial" w:hAnsi="Arial" w:cs="Arial"/>
                <w:sz w:val="18"/>
                <w:szCs w:val="18"/>
                <w:lang w:val="es-ES_tradnl"/>
              </w:rPr>
              <w:t xml:space="preserve"> y funcionamiento del Consejo Dominicano para la Calidad (CODOCA), como sistema público</w:t>
            </w:r>
            <w:r w:rsidR="00424B0F">
              <w:rPr>
                <w:rFonts w:ascii="Arial" w:hAnsi="Arial" w:cs="Arial"/>
                <w:sz w:val="18"/>
                <w:szCs w:val="18"/>
                <w:lang w:val="es-ES_tradnl"/>
              </w:rPr>
              <w:noBreakHyphen/>
            </w:r>
            <w:r w:rsidR="00092B9C" w:rsidRPr="00190CF9">
              <w:rPr>
                <w:rFonts w:ascii="Arial" w:hAnsi="Arial" w:cs="Arial"/>
                <w:sz w:val="18"/>
                <w:szCs w:val="18"/>
                <w:lang w:val="es-ES_tradnl"/>
              </w:rPr>
              <w:t>privado para mejorar la calidad de la oferta de las empresas e instituciones del país; y la entrada en vigencia y funcionamiento de la Oficina de Acreditación (ODAC)</w:t>
            </w:r>
            <w:bookmarkEnd w:id="7"/>
            <w:r w:rsidR="00092B9C" w:rsidRPr="00190CF9">
              <w:rPr>
                <w:rFonts w:ascii="Arial" w:hAnsi="Arial" w:cs="Arial"/>
                <w:sz w:val="18"/>
                <w:szCs w:val="18"/>
                <w:lang w:val="es-ES_tradnl"/>
              </w:rPr>
              <w:t xml:space="preserve">. </w:t>
            </w:r>
            <w:r w:rsidR="000E65DF" w:rsidRPr="00190CF9">
              <w:rPr>
                <w:rFonts w:ascii="Arial" w:hAnsi="Arial" w:cs="Arial"/>
                <w:sz w:val="18"/>
                <w:szCs w:val="18"/>
                <w:lang w:val="es-ES_tradnl"/>
              </w:rPr>
              <w:t xml:space="preserve">Se </w:t>
            </w:r>
            <w:r w:rsidR="00A4629D" w:rsidRPr="00190CF9">
              <w:rPr>
                <w:rFonts w:ascii="Arial" w:hAnsi="Arial" w:cs="Arial"/>
                <w:sz w:val="18"/>
                <w:szCs w:val="18"/>
                <w:lang w:val="es-ES_tradnl"/>
              </w:rPr>
              <w:t xml:space="preserve">realizó </w:t>
            </w:r>
            <w:r w:rsidR="00092B9C" w:rsidRPr="00190CF9">
              <w:rPr>
                <w:rFonts w:ascii="Arial" w:hAnsi="Arial" w:cs="Arial"/>
                <w:sz w:val="18"/>
                <w:szCs w:val="18"/>
                <w:lang w:val="es-ES_tradnl"/>
              </w:rPr>
              <w:t>una evaluación de la implementación de dichas reformas.</w:t>
            </w:r>
          </w:p>
        </w:tc>
      </w:tr>
      <w:tr w:rsidR="00092B9C" w:rsidRPr="00A778E5" w14:paraId="0B94D551" w14:textId="77777777" w:rsidTr="00482DDC">
        <w:trPr>
          <w:cantSplit/>
          <w:trHeight w:val="403"/>
          <w:jc w:val="center"/>
        </w:trPr>
        <w:tc>
          <w:tcPr>
            <w:tcW w:w="1012" w:type="pct"/>
            <w:vMerge/>
            <w:tcBorders>
              <w:left w:val="single" w:sz="4" w:space="0" w:color="auto"/>
              <w:right w:val="single" w:sz="4" w:space="0" w:color="auto"/>
            </w:tcBorders>
            <w:shd w:val="clear" w:color="auto" w:fill="auto"/>
          </w:tcPr>
          <w:p w14:paraId="034669AF" w14:textId="77777777" w:rsidR="00092B9C" w:rsidRPr="00190CF9" w:rsidRDefault="00092B9C" w:rsidP="00092B9C">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3F511772" w14:textId="77777777" w:rsidR="00092B9C" w:rsidRPr="00190CF9" w:rsidRDefault="00092B9C" w:rsidP="00092B9C">
            <w:pPr>
              <w:ind w:left="144" w:right="144"/>
              <w:jc w:val="both"/>
              <w:rPr>
                <w:rFonts w:ascii="Arial" w:hAnsi="Arial" w:cs="Arial"/>
                <w:sz w:val="18"/>
                <w:szCs w:val="18"/>
                <w:lang w:val="es-ES_tradnl"/>
              </w:rPr>
            </w:pPr>
            <w:r w:rsidRPr="00190CF9">
              <w:rPr>
                <w:rFonts w:ascii="Arial" w:hAnsi="Arial" w:cs="Arial"/>
                <w:sz w:val="18"/>
                <w:szCs w:val="18"/>
                <w:lang w:val="es-ES_tradnl"/>
              </w:rPr>
              <w:t>Implementación de al menos ocho CATI en universidades del interior y evaluación de la capacitación realizada a través de los CATI.</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4FD4516" w14:textId="0F7BC9B8" w:rsidR="00092B9C" w:rsidRPr="00190CF9" w:rsidRDefault="00092B9C" w:rsidP="00092B9C">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Implementación </w:t>
            </w:r>
            <w:r w:rsidR="0074210B" w:rsidRPr="00190CF9">
              <w:rPr>
                <w:rFonts w:ascii="Arial" w:hAnsi="Arial" w:cs="Arial"/>
                <w:sz w:val="18"/>
                <w:szCs w:val="18"/>
                <w:lang w:val="es-ES_tradnl"/>
              </w:rPr>
              <w:t xml:space="preserve">o funcionamiento </w:t>
            </w:r>
            <w:r w:rsidRPr="00190CF9">
              <w:rPr>
                <w:rFonts w:ascii="Arial" w:hAnsi="Arial" w:cs="Arial"/>
                <w:sz w:val="18"/>
                <w:szCs w:val="18"/>
                <w:lang w:val="es-ES_tradnl"/>
              </w:rPr>
              <w:t>de al menos ocho CATI en</w:t>
            </w:r>
            <w:r w:rsidR="0036244A" w:rsidRPr="00190CF9">
              <w:rPr>
                <w:rFonts w:ascii="Arial" w:hAnsi="Arial" w:cs="Arial"/>
                <w:sz w:val="18"/>
                <w:szCs w:val="18"/>
                <w:lang w:val="es-ES_tradnl"/>
              </w:rPr>
              <w:t xml:space="preserve"> el </w:t>
            </w:r>
            <w:r w:rsidR="0074210B" w:rsidRPr="00190CF9">
              <w:rPr>
                <w:rFonts w:ascii="Arial" w:hAnsi="Arial" w:cs="Arial"/>
                <w:sz w:val="18"/>
                <w:szCs w:val="18"/>
                <w:lang w:val="es-ES_tradnl"/>
              </w:rPr>
              <w:t xml:space="preserve">país </w:t>
            </w:r>
            <w:r w:rsidRPr="00190CF9">
              <w:rPr>
                <w:rFonts w:ascii="Arial" w:hAnsi="Arial" w:cs="Arial"/>
                <w:sz w:val="18"/>
                <w:szCs w:val="18"/>
                <w:lang w:val="es-ES_tradnl"/>
              </w:rPr>
              <w:t>y evaluación de la capacitación realizada a través de los CATI.</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567CC4C0" w14:textId="0520F1BA" w:rsidR="00092B9C" w:rsidRPr="00190CF9" w:rsidRDefault="00092B9C"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Cumplido. </w:t>
            </w:r>
            <w:r w:rsidR="0036244A" w:rsidRPr="00190CF9">
              <w:rPr>
                <w:rFonts w:ascii="Arial" w:hAnsi="Arial" w:cs="Arial"/>
                <w:b/>
                <w:sz w:val="18"/>
                <w:szCs w:val="18"/>
                <w:lang w:val="es-ES_tradnl"/>
              </w:rPr>
              <w:t xml:space="preserve">Se modificó la redacción para precisar mejor el alcance de este compromiso. </w:t>
            </w:r>
            <w:r w:rsidR="00982163" w:rsidRPr="00190CF9">
              <w:rPr>
                <w:rFonts w:ascii="Arial" w:hAnsi="Arial" w:cs="Arial"/>
                <w:sz w:val="18"/>
                <w:szCs w:val="18"/>
                <w:lang w:val="es-ES_tradnl"/>
              </w:rPr>
              <w:t>A partir de 2015, se implementaron o funcionaron</w:t>
            </w:r>
            <w:r w:rsidRPr="00190CF9">
              <w:rPr>
                <w:rFonts w:ascii="Arial" w:hAnsi="Arial" w:cs="Arial"/>
                <w:sz w:val="18"/>
                <w:szCs w:val="18"/>
                <w:lang w:val="es-ES_tradnl"/>
              </w:rPr>
              <w:t xml:space="preserve"> </w:t>
            </w:r>
            <w:r w:rsidR="00982163" w:rsidRPr="00190CF9">
              <w:rPr>
                <w:rFonts w:ascii="Arial" w:hAnsi="Arial" w:cs="Arial"/>
                <w:sz w:val="18"/>
                <w:szCs w:val="18"/>
                <w:lang w:val="es-ES_tradnl"/>
              </w:rPr>
              <w:t xml:space="preserve">8 </w:t>
            </w:r>
            <w:r w:rsidRPr="00190CF9">
              <w:rPr>
                <w:rFonts w:ascii="Arial" w:hAnsi="Arial" w:cs="Arial"/>
                <w:sz w:val="18"/>
                <w:szCs w:val="18"/>
                <w:lang w:val="es-ES_tradnl"/>
              </w:rPr>
              <w:t>centros CATI en el país</w:t>
            </w:r>
            <w:r w:rsidR="00982163" w:rsidRPr="00190CF9">
              <w:rPr>
                <w:rFonts w:ascii="Arial" w:hAnsi="Arial" w:cs="Arial"/>
                <w:sz w:val="18"/>
                <w:szCs w:val="18"/>
                <w:lang w:val="es-ES_tradnl"/>
              </w:rPr>
              <w:t>. Actualmente se encuentra en elaboración</w:t>
            </w:r>
            <w:r w:rsidRPr="00190CF9">
              <w:rPr>
                <w:rFonts w:ascii="Arial" w:hAnsi="Arial" w:cs="Arial"/>
                <w:sz w:val="18"/>
                <w:szCs w:val="18"/>
                <w:lang w:val="es-ES_tradnl"/>
              </w:rPr>
              <w:t xml:space="preserve"> un informe que da cuenta de la capacitación realizada a través de estas entidades</w:t>
            </w:r>
            <w:r w:rsidR="000579F9" w:rsidRPr="00190CF9">
              <w:rPr>
                <w:rFonts w:ascii="Arial" w:hAnsi="Arial" w:cs="Arial"/>
                <w:sz w:val="18"/>
                <w:szCs w:val="18"/>
                <w:lang w:val="es-ES_tradnl"/>
              </w:rPr>
              <w:t>,</w:t>
            </w:r>
            <w:r w:rsidR="00982163" w:rsidRPr="00190CF9">
              <w:rPr>
                <w:rFonts w:ascii="Arial" w:eastAsia="Calibri" w:hAnsi="Arial" w:cs="Arial"/>
                <w:sz w:val="18"/>
                <w:szCs w:val="18"/>
                <w:lang w:val="es-ES_tradnl"/>
              </w:rPr>
              <w:t xml:space="preserve"> </w:t>
            </w:r>
            <w:r w:rsidR="00982163" w:rsidRPr="00190CF9">
              <w:rPr>
                <w:rFonts w:ascii="Arial" w:hAnsi="Arial" w:cs="Arial"/>
                <w:sz w:val="18"/>
                <w:szCs w:val="18"/>
                <w:lang w:val="es-ES_tradnl"/>
              </w:rPr>
              <w:t>con el fin de determinar la eficacia y eficiencia del modelo para promover el uso y la comercialización de las innovaciones resultantes de las investigaciones realizadas en universidades</w:t>
            </w:r>
            <w:r w:rsidR="0036244A" w:rsidRPr="00190CF9">
              <w:rPr>
                <w:rFonts w:ascii="Arial" w:hAnsi="Arial" w:cs="Arial"/>
                <w:sz w:val="18"/>
                <w:szCs w:val="18"/>
                <w:lang w:val="es-ES_tradnl"/>
              </w:rPr>
              <w:t xml:space="preserve"> y centros de investigación</w:t>
            </w:r>
            <w:r w:rsidRPr="00190CF9">
              <w:rPr>
                <w:rFonts w:ascii="Arial" w:hAnsi="Arial" w:cs="Arial"/>
                <w:sz w:val="18"/>
                <w:szCs w:val="18"/>
                <w:lang w:val="es-ES_tradnl"/>
              </w:rPr>
              <w:t>.</w:t>
            </w:r>
          </w:p>
        </w:tc>
      </w:tr>
      <w:tr w:rsidR="00273689" w:rsidRPr="00A778E5" w14:paraId="0F49D923" w14:textId="77777777" w:rsidTr="0027270A">
        <w:trPr>
          <w:cantSplit/>
          <w:trHeight w:val="2953"/>
          <w:jc w:val="center"/>
        </w:trPr>
        <w:tc>
          <w:tcPr>
            <w:tcW w:w="1012" w:type="pct"/>
            <w:vMerge/>
            <w:tcBorders>
              <w:left w:val="single" w:sz="4" w:space="0" w:color="auto"/>
              <w:right w:val="single" w:sz="4" w:space="0" w:color="auto"/>
            </w:tcBorders>
            <w:shd w:val="clear" w:color="auto" w:fill="auto"/>
          </w:tcPr>
          <w:p w14:paraId="1FB643D0" w14:textId="77777777" w:rsidR="00273689" w:rsidRPr="00190CF9" w:rsidRDefault="00273689" w:rsidP="00092B9C">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right w:val="single" w:sz="4" w:space="0" w:color="auto"/>
            </w:tcBorders>
            <w:shd w:val="clear" w:color="auto" w:fill="auto"/>
          </w:tcPr>
          <w:p w14:paraId="2E544D6B" w14:textId="77777777" w:rsidR="00273689" w:rsidRPr="00190CF9" w:rsidRDefault="00273689" w:rsidP="00092B9C">
            <w:pPr>
              <w:ind w:left="144" w:right="144"/>
              <w:jc w:val="both"/>
              <w:rPr>
                <w:rFonts w:ascii="Arial" w:hAnsi="Arial" w:cs="Arial"/>
                <w:sz w:val="18"/>
                <w:szCs w:val="18"/>
                <w:lang w:val="es-ES_tradnl"/>
              </w:rPr>
            </w:pPr>
          </w:p>
        </w:tc>
        <w:tc>
          <w:tcPr>
            <w:tcW w:w="1178" w:type="pct"/>
            <w:tcBorders>
              <w:top w:val="single" w:sz="4" w:space="0" w:color="auto"/>
              <w:left w:val="single" w:sz="4" w:space="0" w:color="auto"/>
              <w:right w:val="single" w:sz="4" w:space="0" w:color="auto"/>
            </w:tcBorders>
            <w:shd w:val="clear" w:color="auto" w:fill="auto"/>
          </w:tcPr>
          <w:p w14:paraId="732AC6F4" w14:textId="05AD62FD" w:rsidR="00273689" w:rsidRPr="00190CF9" w:rsidRDefault="00273689" w:rsidP="00092B9C">
            <w:pPr>
              <w:ind w:left="144" w:right="144"/>
              <w:jc w:val="both"/>
              <w:rPr>
                <w:rFonts w:ascii="Arial" w:hAnsi="Arial" w:cs="Arial"/>
                <w:sz w:val="18"/>
                <w:szCs w:val="18"/>
                <w:lang w:val="es-ES_tradnl"/>
              </w:rPr>
            </w:pPr>
            <w:r w:rsidRPr="00190CF9">
              <w:rPr>
                <w:rFonts w:ascii="Arial" w:hAnsi="Arial" w:cs="Arial"/>
                <w:sz w:val="18"/>
                <w:szCs w:val="18"/>
                <w:lang w:val="es-ES"/>
              </w:rPr>
              <w:t>Aprobación de una Estrategia Sectorial para el Desarrollo de Sectores Prioritarios.</w:t>
            </w:r>
          </w:p>
        </w:tc>
        <w:tc>
          <w:tcPr>
            <w:tcW w:w="1634" w:type="pct"/>
            <w:tcBorders>
              <w:top w:val="single" w:sz="4" w:space="0" w:color="auto"/>
              <w:left w:val="single" w:sz="4" w:space="0" w:color="auto"/>
              <w:right w:val="single" w:sz="4" w:space="0" w:color="auto"/>
            </w:tcBorders>
            <w:shd w:val="clear" w:color="auto" w:fill="auto"/>
          </w:tcPr>
          <w:p w14:paraId="4B1F6A9D" w14:textId="23D0524C" w:rsidR="00273689" w:rsidRPr="00190CF9" w:rsidRDefault="0067772E"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Nuevo compromiso. </w:t>
            </w:r>
            <w:r w:rsidR="008E191B" w:rsidRPr="00190CF9">
              <w:rPr>
                <w:rFonts w:ascii="Arial" w:hAnsi="Arial" w:cs="Arial"/>
                <w:b/>
                <w:sz w:val="18"/>
                <w:szCs w:val="18"/>
                <w:lang w:val="es-ES_tradnl"/>
              </w:rPr>
              <w:t>Cumplido</w:t>
            </w:r>
            <w:r w:rsidRPr="00190CF9">
              <w:rPr>
                <w:rFonts w:ascii="Arial" w:hAnsi="Arial" w:cs="Arial"/>
                <w:b/>
                <w:sz w:val="18"/>
                <w:szCs w:val="18"/>
                <w:lang w:val="es-ES_tradnl"/>
              </w:rPr>
              <w:t>.</w:t>
            </w:r>
            <w:r w:rsidRPr="00190CF9">
              <w:rPr>
                <w:rFonts w:ascii="Arial" w:hAnsi="Arial" w:cs="Arial"/>
                <w:sz w:val="18"/>
                <w:szCs w:val="18"/>
                <w:lang w:val="es-ES_tradnl"/>
              </w:rPr>
              <w:t xml:space="preserve"> Con apoyo de un estudio realizado por McKinsey y financiado por el Banco (DR-P1104) para identificar oportunidades de desarrollo en sectores estratégicos del país en el mediano plazo, el Gobierno, en consulta con los principales sectores productivos del país, ha </w:t>
            </w:r>
            <w:r w:rsidR="008E191B" w:rsidRPr="00190CF9">
              <w:rPr>
                <w:rFonts w:ascii="Arial" w:hAnsi="Arial" w:cs="Arial"/>
                <w:sz w:val="18"/>
                <w:szCs w:val="18"/>
                <w:lang w:val="es-ES_tradnl"/>
              </w:rPr>
              <w:t xml:space="preserve">realizado </w:t>
            </w:r>
            <w:r w:rsidRPr="00190CF9">
              <w:rPr>
                <w:rFonts w:ascii="Arial" w:hAnsi="Arial" w:cs="Arial"/>
                <w:sz w:val="18"/>
                <w:szCs w:val="18"/>
                <w:lang w:val="es-ES_tradnl"/>
              </w:rPr>
              <w:t>un ejercicio para definir sectores prioritarios hacia los cuales enfocar</w:t>
            </w:r>
            <w:r w:rsidR="008E191B" w:rsidRPr="00190CF9">
              <w:rPr>
                <w:rFonts w:ascii="Arial" w:hAnsi="Arial" w:cs="Arial"/>
                <w:sz w:val="18"/>
                <w:szCs w:val="18"/>
                <w:lang w:val="es-ES_tradnl"/>
              </w:rPr>
              <w:t>á</w:t>
            </w:r>
            <w:r w:rsidRPr="00190CF9">
              <w:rPr>
                <w:rFonts w:ascii="Arial" w:hAnsi="Arial" w:cs="Arial"/>
                <w:sz w:val="18"/>
                <w:szCs w:val="18"/>
                <w:lang w:val="es-ES_tradnl"/>
              </w:rPr>
              <w:t xml:space="preserve"> su apoyo en forma estratégica en el mediano y largo plazo. El Ministerio de Industria, Comercio y MiPyMEs (MICM) present</w:t>
            </w:r>
            <w:r w:rsidR="008E191B" w:rsidRPr="00190CF9">
              <w:rPr>
                <w:rFonts w:ascii="Arial" w:hAnsi="Arial" w:cs="Arial"/>
                <w:sz w:val="18"/>
                <w:szCs w:val="18"/>
                <w:lang w:val="es-ES_tradnl"/>
              </w:rPr>
              <w:t>ó</w:t>
            </w:r>
            <w:r w:rsidRPr="00190CF9">
              <w:rPr>
                <w:rFonts w:ascii="Arial" w:hAnsi="Arial" w:cs="Arial"/>
                <w:sz w:val="18"/>
                <w:szCs w:val="18"/>
                <w:lang w:val="es-ES_tradnl"/>
              </w:rPr>
              <w:t xml:space="preserve"> dicha estrategia </w:t>
            </w:r>
            <w:r w:rsidR="008E191B" w:rsidRPr="00190CF9">
              <w:rPr>
                <w:rFonts w:ascii="Arial" w:hAnsi="Arial" w:cs="Arial"/>
                <w:sz w:val="18"/>
                <w:szCs w:val="18"/>
                <w:lang w:val="es-ES_tradnl"/>
              </w:rPr>
              <w:t xml:space="preserve">el </w:t>
            </w:r>
            <w:r w:rsidR="00424B0F">
              <w:rPr>
                <w:rFonts w:ascii="Arial" w:hAnsi="Arial" w:cs="Arial"/>
                <w:sz w:val="18"/>
                <w:szCs w:val="18"/>
                <w:lang w:val="es-ES_tradnl"/>
              </w:rPr>
              <w:br/>
            </w:r>
            <w:bookmarkStart w:id="8" w:name="_GoBack"/>
            <w:bookmarkEnd w:id="8"/>
            <w:r w:rsidR="008E191B" w:rsidRPr="00190CF9">
              <w:rPr>
                <w:rFonts w:ascii="Arial" w:hAnsi="Arial" w:cs="Arial"/>
                <w:sz w:val="18"/>
                <w:szCs w:val="18"/>
                <w:lang w:val="es-ES_tradnl"/>
              </w:rPr>
              <w:t>19</w:t>
            </w:r>
            <w:r w:rsidRPr="00190CF9">
              <w:rPr>
                <w:rFonts w:ascii="Arial" w:hAnsi="Arial" w:cs="Arial"/>
                <w:sz w:val="18"/>
                <w:szCs w:val="18"/>
                <w:lang w:val="es-ES_tradnl"/>
              </w:rPr>
              <w:t xml:space="preserve"> de octubre de 2017, la cual a su vez podrá servir de insumo para el futuro desarrollo de una Política Industrial y un Plan de Políticas Comerciales del Gobierno en el mediano y largo plazo.</w:t>
            </w:r>
          </w:p>
        </w:tc>
      </w:tr>
      <w:tr w:rsidR="005A30F1" w:rsidRPr="00A778E5" w14:paraId="0A58BEA6" w14:textId="77777777" w:rsidTr="0027270A">
        <w:trPr>
          <w:cantSplit/>
          <w:trHeight w:val="2953"/>
          <w:jc w:val="center"/>
        </w:trPr>
        <w:tc>
          <w:tcPr>
            <w:tcW w:w="1012" w:type="pct"/>
            <w:vMerge/>
            <w:tcBorders>
              <w:left w:val="single" w:sz="4" w:space="0" w:color="auto"/>
              <w:right w:val="single" w:sz="4" w:space="0" w:color="auto"/>
            </w:tcBorders>
            <w:shd w:val="clear" w:color="auto" w:fill="auto"/>
          </w:tcPr>
          <w:p w14:paraId="67C8368D" w14:textId="77777777" w:rsidR="005A30F1" w:rsidRPr="00190CF9" w:rsidRDefault="005A30F1" w:rsidP="00092B9C">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right w:val="single" w:sz="4" w:space="0" w:color="auto"/>
            </w:tcBorders>
            <w:shd w:val="clear" w:color="auto" w:fill="auto"/>
          </w:tcPr>
          <w:p w14:paraId="06E1ACEC" w14:textId="77777777" w:rsidR="005A30F1" w:rsidRPr="00190CF9" w:rsidRDefault="005A30F1" w:rsidP="00092B9C">
            <w:pPr>
              <w:ind w:left="144" w:right="144"/>
              <w:jc w:val="both"/>
              <w:rPr>
                <w:rFonts w:ascii="Arial" w:hAnsi="Arial" w:cs="Arial"/>
                <w:sz w:val="18"/>
                <w:szCs w:val="18"/>
                <w:lang w:val="es-ES_tradnl"/>
              </w:rPr>
            </w:pPr>
          </w:p>
        </w:tc>
        <w:tc>
          <w:tcPr>
            <w:tcW w:w="1178" w:type="pct"/>
            <w:tcBorders>
              <w:top w:val="single" w:sz="4" w:space="0" w:color="auto"/>
              <w:left w:val="single" w:sz="4" w:space="0" w:color="auto"/>
              <w:right w:val="single" w:sz="4" w:space="0" w:color="auto"/>
            </w:tcBorders>
            <w:shd w:val="clear" w:color="auto" w:fill="auto"/>
          </w:tcPr>
          <w:p w14:paraId="1AB38A37" w14:textId="6C3F1F86" w:rsidR="005A30F1" w:rsidRPr="00190CF9" w:rsidRDefault="005A30F1" w:rsidP="00092B9C">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Implementación de al menos 12 Centros </w:t>
            </w:r>
            <w:r w:rsidR="0045060A" w:rsidRPr="00190CF9">
              <w:rPr>
                <w:rFonts w:ascii="Arial" w:hAnsi="Arial" w:cs="Arial"/>
                <w:sz w:val="18"/>
                <w:szCs w:val="18"/>
                <w:lang w:val="es-ES_tradnl"/>
              </w:rPr>
              <w:t>MI</w:t>
            </w:r>
            <w:r w:rsidRPr="00190CF9">
              <w:rPr>
                <w:rFonts w:ascii="Arial" w:hAnsi="Arial" w:cs="Arial"/>
                <w:sz w:val="18"/>
                <w:szCs w:val="18"/>
                <w:lang w:val="es-ES_tradnl"/>
              </w:rPr>
              <w:t>PYME en el país.</w:t>
            </w:r>
          </w:p>
        </w:tc>
        <w:tc>
          <w:tcPr>
            <w:tcW w:w="1634" w:type="pct"/>
            <w:tcBorders>
              <w:top w:val="single" w:sz="4" w:space="0" w:color="auto"/>
              <w:left w:val="single" w:sz="4" w:space="0" w:color="auto"/>
              <w:right w:val="single" w:sz="4" w:space="0" w:color="auto"/>
            </w:tcBorders>
            <w:shd w:val="clear" w:color="auto" w:fill="auto"/>
          </w:tcPr>
          <w:p w14:paraId="74CA2776" w14:textId="308DAC2D" w:rsidR="005A30F1" w:rsidRPr="00190CF9" w:rsidRDefault="005A30F1" w:rsidP="007E1DF8">
            <w:pPr>
              <w:tabs>
                <w:tab w:val="left" w:pos="567"/>
              </w:tabs>
              <w:ind w:left="109" w:right="90"/>
              <w:jc w:val="both"/>
              <w:rPr>
                <w:rFonts w:ascii="Arial" w:hAnsi="Arial" w:cs="Arial"/>
                <w:b/>
                <w:sz w:val="18"/>
                <w:szCs w:val="18"/>
                <w:lang w:val="es-ES_tradnl"/>
              </w:rPr>
            </w:pPr>
            <w:r w:rsidRPr="00190CF9">
              <w:rPr>
                <w:rFonts w:ascii="Arial" w:hAnsi="Arial" w:cs="Arial"/>
                <w:b/>
                <w:sz w:val="18"/>
                <w:szCs w:val="18"/>
                <w:lang w:val="es-ES_tradnl"/>
              </w:rPr>
              <w:t>Nuevo compromiso. Cumplido.</w:t>
            </w:r>
            <w:r w:rsidRPr="00190CF9">
              <w:rPr>
                <w:rFonts w:ascii="Arial" w:hAnsi="Arial" w:cs="Arial"/>
                <w:sz w:val="18"/>
                <w:szCs w:val="18"/>
                <w:lang w:val="es-ES_tradnl"/>
              </w:rPr>
              <w:t xml:space="preserve"> </w:t>
            </w:r>
            <w:r w:rsidR="0074210B" w:rsidRPr="00190CF9">
              <w:rPr>
                <w:rFonts w:ascii="Arial" w:hAnsi="Arial" w:cs="Arial"/>
                <w:sz w:val="18"/>
                <w:szCs w:val="18"/>
                <w:lang w:val="es-ES_tradnl"/>
              </w:rPr>
              <w:t>Se avanzó en la creación de un ecosistema de apoyo institucional para las PYMES</w:t>
            </w:r>
            <w:r w:rsidRPr="00190CF9">
              <w:rPr>
                <w:rFonts w:ascii="Arial" w:hAnsi="Arial" w:cs="Arial"/>
                <w:sz w:val="18"/>
                <w:szCs w:val="18"/>
                <w:lang w:val="es-ES_tradnl"/>
              </w:rPr>
              <w:t xml:space="preserve"> </w:t>
            </w:r>
            <w:r w:rsidR="0074210B" w:rsidRPr="00190CF9">
              <w:rPr>
                <w:rFonts w:ascii="Arial" w:hAnsi="Arial" w:cs="Arial"/>
                <w:sz w:val="18"/>
                <w:szCs w:val="18"/>
                <w:lang w:val="es-ES_tradnl"/>
              </w:rPr>
              <w:t>a través de la implementación de</w:t>
            </w:r>
            <w:r w:rsidRPr="00190CF9">
              <w:rPr>
                <w:rFonts w:ascii="Arial" w:hAnsi="Arial" w:cs="Arial"/>
                <w:sz w:val="18"/>
                <w:szCs w:val="18"/>
                <w:lang w:val="es-ES_tradnl"/>
              </w:rPr>
              <w:t xml:space="preserve"> una serie de Centros </w:t>
            </w:r>
            <w:r w:rsidR="0045060A" w:rsidRPr="00190CF9">
              <w:rPr>
                <w:rFonts w:ascii="Arial" w:hAnsi="Arial" w:cs="Arial"/>
                <w:sz w:val="18"/>
                <w:szCs w:val="18"/>
                <w:lang w:val="es-ES_tradnl"/>
              </w:rPr>
              <w:t>MI</w:t>
            </w:r>
            <w:r w:rsidRPr="00190CF9">
              <w:rPr>
                <w:rFonts w:ascii="Arial" w:hAnsi="Arial" w:cs="Arial"/>
                <w:sz w:val="18"/>
                <w:szCs w:val="18"/>
                <w:lang w:val="es-ES_tradnl"/>
              </w:rPr>
              <w:t>PYME</w:t>
            </w:r>
            <w:r w:rsidR="0074210B" w:rsidRPr="00190CF9">
              <w:rPr>
                <w:rFonts w:ascii="Arial" w:hAnsi="Arial" w:cs="Arial"/>
                <w:sz w:val="18"/>
                <w:szCs w:val="18"/>
                <w:lang w:val="es-ES_tradnl"/>
              </w:rPr>
              <w:t xml:space="preserve"> desde el año 2015</w:t>
            </w:r>
            <w:r w:rsidR="00734028" w:rsidRPr="00190CF9">
              <w:rPr>
                <w:rFonts w:ascii="Arial" w:hAnsi="Arial" w:cs="Arial"/>
                <w:sz w:val="18"/>
                <w:szCs w:val="18"/>
                <w:lang w:val="es-ES_tradnl"/>
              </w:rPr>
              <w:t>.</w:t>
            </w:r>
            <w:r w:rsidRPr="00190CF9">
              <w:rPr>
                <w:rFonts w:ascii="Arial" w:hAnsi="Arial" w:cs="Arial"/>
                <w:sz w:val="18"/>
                <w:szCs w:val="18"/>
                <w:lang w:val="es-ES_tradnl"/>
              </w:rPr>
              <w:t xml:space="preserve"> </w:t>
            </w:r>
            <w:r w:rsidR="00734028" w:rsidRPr="00190CF9">
              <w:rPr>
                <w:rFonts w:ascii="Arial" w:hAnsi="Arial" w:cs="Arial"/>
                <w:sz w:val="18"/>
                <w:szCs w:val="18"/>
                <w:lang w:val="es-ES_tradnl"/>
              </w:rPr>
              <w:t>V</w:t>
            </w:r>
            <w:r w:rsidRPr="00190CF9">
              <w:rPr>
                <w:rFonts w:ascii="Arial" w:hAnsi="Arial" w:cs="Arial"/>
                <w:sz w:val="18"/>
                <w:szCs w:val="18"/>
                <w:lang w:val="es-ES_tradnl"/>
              </w:rPr>
              <w:t xml:space="preserve">arios de </w:t>
            </w:r>
            <w:r w:rsidR="00734028" w:rsidRPr="00190CF9">
              <w:rPr>
                <w:rFonts w:ascii="Arial" w:hAnsi="Arial" w:cs="Arial"/>
                <w:sz w:val="18"/>
                <w:szCs w:val="18"/>
                <w:lang w:val="es-ES_tradnl"/>
              </w:rPr>
              <w:t>estos centros</w:t>
            </w:r>
            <w:r w:rsidRPr="00190CF9">
              <w:rPr>
                <w:rFonts w:ascii="Arial" w:hAnsi="Arial" w:cs="Arial"/>
                <w:sz w:val="18"/>
                <w:szCs w:val="18"/>
                <w:lang w:val="es-ES_tradnl"/>
              </w:rPr>
              <w:t>, como en el caso de los CATI, operan en alianza con universidades en las distintas regiones del país, y ofrecen servicios de capacitación y desarrollo empresarial para MIPYME</w:t>
            </w:r>
            <w:r w:rsidR="00E35043" w:rsidRPr="00190CF9">
              <w:rPr>
                <w:rFonts w:ascii="Arial" w:hAnsi="Arial" w:cs="Arial"/>
                <w:sz w:val="18"/>
                <w:szCs w:val="18"/>
                <w:lang w:val="es-ES_tradnl"/>
              </w:rPr>
              <w:t>s</w:t>
            </w:r>
            <w:r w:rsidRPr="00190CF9">
              <w:rPr>
                <w:rFonts w:ascii="Arial" w:hAnsi="Arial" w:cs="Arial"/>
                <w:sz w:val="18"/>
                <w:szCs w:val="18"/>
                <w:lang w:val="es-ES_tradnl"/>
              </w:rPr>
              <w:t xml:space="preserve"> en el país.</w:t>
            </w:r>
            <w:r w:rsidR="0074210B" w:rsidRPr="00190CF9">
              <w:rPr>
                <w:rFonts w:ascii="Arial" w:hAnsi="Arial" w:cs="Arial"/>
                <w:sz w:val="18"/>
                <w:szCs w:val="18"/>
                <w:lang w:val="es-ES_tradnl"/>
              </w:rPr>
              <w:t xml:space="preserve"> Estos centros de servicio y apoyo a los emprendedores y empresarios del sector MIPYME se encuentran ubicados estratégicamente a nivel nacional, </w:t>
            </w:r>
            <w:r w:rsidR="00734028" w:rsidRPr="00190CF9">
              <w:rPr>
                <w:rFonts w:ascii="Arial" w:hAnsi="Arial" w:cs="Arial"/>
                <w:sz w:val="18"/>
                <w:szCs w:val="18"/>
                <w:lang w:val="es-ES_tradnl"/>
              </w:rPr>
              <w:t>y tienen como objetivo</w:t>
            </w:r>
            <w:r w:rsidR="0074210B" w:rsidRPr="00190CF9">
              <w:rPr>
                <w:rFonts w:ascii="Arial" w:hAnsi="Arial" w:cs="Arial"/>
                <w:sz w:val="18"/>
                <w:szCs w:val="18"/>
                <w:lang w:val="es-ES_tradnl"/>
              </w:rPr>
              <w:t xml:space="preserve"> la mejora de la articulación institucional en el diseño y ejecución de servicios de desarrollo integral empresa</w:t>
            </w:r>
            <w:r w:rsidR="00734028" w:rsidRPr="00190CF9">
              <w:rPr>
                <w:rFonts w:ascii="Arial" w:hAnsi="Arial" w:cs="Arial"/>
                <w:sz w:val="18"/>
                <w:szCs w:val="18"/>
                <w:lang w:val="es-ES_tradnl"/>
              </w:rPr>
              <w:t>rial a favor de las MIPYME</w:t>
            </w:r>
            <w:r w:rsidR="00E35043" w:rsidRPr="00190CF9">
              <w:rPr>
                <w:rFonts w:ascii="Arial" w:hAnsi="Arial" w:cs="Arial"/>
                <w:sz w:val="18"/>
                <w:szCs w:val="18"/>
                <w:lang w:val="es-ES_tradnl"/>
              </w:rPr>
              <w:t>s</w:t>
            </w:r>
            <w:r w:rsidR="00734028" w:rsidRPr="00190CF9">
              <w:rPr>
                <w:rFonts w:ascii="Arial" w:hAnsi="Arial" w:cs="Arial"/>
                <w:sz w:val="18"/>
                <w:szCs w:val="18"/>
                <w:lang w:val="es-ES_tradnl"/>
              </w:rPr>
              <w:t xml:space="preserve"> y e</w:t>
            </w:r>
            <w:r w:rsidR="0074210B" w:rsidRPr="00190CF9">
              <w:rPr>
                <w:rFonts w:ascii="Arial" w:hAnsi="Arial" w:cs="Arial"/>
                <w:sz w:val="18"/>
                <w:szCs w:val="18"/>
                <w:lang w:val="es-ES_tradnl"/>
              </w:rPr>
              <w:t>mprendedores del país</w:t>
            </w:r>
            <w:r w:rsidR="00734028" w:rsidRPr="00190CF9">
              <w:rPr>
                <w:rFonts w:ascii="Arial" w:hAnsi="Arial" w:cs="Arial"/>
                <w:sz w:val="18"/>
                <w:szCs w:val="18"/>
                <w:lang w:val="es-ES_tradnl"/>
              </w:rPr>
              <w:t>.</w:t>
            </w:r>
          </w:p>
        </w:tc>
      </w:tr>
      <w:tr w:rsidR="00092B9C" w:rsidRPr="00A778E5" w14:paraId="420AE845" w14:textId="77777777" w:rsidTr="007E1DF8">
        <w:trPr>
          <w:trHeight w:val="2294"/>
          <w:jc w:val="center"/>
        </w:trPr>
        <w:tc>
          <w:tcPr>
            <w:tcW w:w="1012" w:type="pct"/>
            <w:vMerge/>
            <w:tcBorders>
              <w:left w:val="single" w:sz="4" w:space="0" w:color="auto"/>
              <w:right w:val="single" w:sz="4" w:space="0" w:color="auto"/>
            </w:tcBorders>
            <w:shd w:val="clear" w:color="auto" w:fill="auto"/>
          </w:tcPr>
          <w:p w14:paraId="0996A59F" w14:textId="77777777" w:rsidR="00092B9C" w:rsidRPr="00190CF9" w:rsidRDefault="00092B9C" w:rsidP="00092B9C">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right w:val="single" w:sz="4" w:space="0" w:color="auto"/>
            </w:tcBorders>
            <w:shd w:val="clear" w:color="auto" w:fill="auto"/>
          </w:tcPr>
          <w:p w14:paraId="735C8AE4" w14:textId="77777777" w:rsidR="00092B9C" w:rsidRPr="00190CF9" w:rsidRDefault="00092B9C" w:rsidP="00092B9C">
            <w:pPr>
              <w:ind w:left="144" w:right="144"/>
              <w:jc w:val="both"/>
              <w:rPr>
                <w:rFonts w:ascii="Arial" w:hAnsi="Arial" w:cs="Arial"/>
                <w:sz w:val="18"/>
                <w:szCs w:val="18"/>
                <w:lang w:val="es-ES_tradnl"/>
              </w:rPr>
            </w:pPr>
          </w:p>
        </w:tc>
        <w:tc>
          <w:tcPr>
            <w:tcW w:w="1178" w:type="pct"/>
            <w:tcBorders>
              <w:top w:val="single" w:sz="4" w:space="0" w:color="auto"/>
              <w:left w:val="single" w:sz="4" w:space="0" w:color="auto"/>
              <w:right w:val="single" w:sz="4" w:space="0" w:color="auto"/>
            </w:tcBorders>
            <w:shd w:val="clear" w:color="auto" w:fill="auto"/>
          </w:tcPr>
          <w:p w14:paraId="40494DA1" w14:textId="77777777" w:rsidR="00092B9C" w:rsidRPr="00190CF9" w:rsidRDefault="00092B9C" w:rsidP="00092B9C">
            <w:pPr>
              <w:ind w:left="144" w:right="144"/>
              <w:jc w:val="both"/>
              <w:rPr>
                <w:rFonts w:ascii="Arial" w:hAnsi="Arial" w:cs="Arial"/>
                <w:sz w:val="18"/>
                <w:szCs w:val="18"/>
                <w:lang w:val="es-ES_tradnl"/>
              </w:rPr>
            </w:pPr>
            <w:r w:rsidRPr="00190CF9">
              <w:rPr>
                <w:rFonts w:ascii="Arial" w:hAnsi="Arial" w:cs="Arial"/>
                <w:sz w:val="18"/>
                <w:szCs w:val="18"/>
                <w:lang w:val="es-ES_tradnl"/>
              </w:rPr>
              <w:t>Creación de PRODOMINICANA para brindar servicios de apoyo profesionales a los exportadores y a los inversionistas extranjeros.</w:t>
            </w:r>
          </w:p>
          <w:p w14:paraId="5733FC9E" w14:textId="77777777" w:rsidR="00092B9C" w:rsidRPr="00190CF9" w:rsidRDefault="00092B9C" w:rsidP="00092B9C">
            <w:pPr>
              <w:ind w:left="144" w:right="144"/>
              <w:jc w:val="both"/>
              <w:rPr>
                <w:rFonts w:ascii="Arial" w:hAnsi="Arial" w:cs="Arial"/>
                <w:sz w:val="18"/>
                <w:szCs w:val="18"/>
                <w:lang w:val="es-ES_tradnl"/>
              </w:rPr>
            </w:pPr>
          </w:p>
        </w:tc>
        <w:tc>
          <w:tcPr>
            <w:tcW w:w="1634" w:type="pct"/>
            <w:tcBorders>
              <w:top w:val="single" w:sz="4" w:space="0" w:color="auto"/>
              <w:left w:val="single" w:sz="4" w:space="0" w:color="auto"/>
              <w:right w:val="single" w:sz="4" w:space="0" w:color="auto"/>
            </w:tcBorders>
            <w:shd w:val="clear" w:color="auto" w:fill="auto"/>
          </w:tcPr>
          <w:p w14:paraId="72B74F41" w14:textId="77777777" w:rsidR="002658FD" w:rsidRDefault="00092B9C"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Nuevo compromiso.  Cumplido.  </w:t>
            </w:r>
            <w:r w:rsidRPr="00190CF9">
              <w:rPr>
                <w:rFonts w:ascii="Arial" w:hAnsi="Arial" w:cs="Arial"/>
                <w:sz w:val="18"/>
                <w:szCs w:val="18"/>
                <w:lang w:val="es-ES_tradnl"/>
              </w:rPr>
              <w:t xml:space="preserve">Con la </w:t>
            </w:r>
            <w:r w:rsidR="00314566" w:rsidRPr="00190CF9">
              <w:rPr>
                <w:rFonts w:ascii="Arial" w:hAnsi="Arial" w:cs="Arial"/>
                <w:sz w:val="18"/>
                <w:szCs w:val="18"/>
                <w:lang w:val="es-ES_tradnl"/>
              </w:rPr>
              <w:t xml:space="preserve">reciente </w:t>
            </w:r>
            <w:r w:rsidRPr="00190CF9">
              <w:rPr>
                <w:rFonts w:ascii="Arial" w:hAnsi="Arial" w:cs="Arial"/>
                <w:sz w:val="18"/>
                <w:szCs w:val="18"/>
                <w:lang w:val="es-ES_tradnl"/>
              </w:rPr>
              <w:t>creación de PRODOMINICANA se prevé profesionalizar los servicios de apoyo al exportador y al inversor extranjero, ejecutando acciones para la mejora del clima de negocios y encadenamientos productivos con el objetivo de crear empleo, atraer inversiones extranjeras de calidad y aumentar el volumen y el valor de las exportaciones, por lo que se contribuirá en forma importante al objetivo de mejora de las instituciones para el desarrollo productivo y la innovación.</w:t>
            </w:r>
          </w:p>
          <w:p w14:paraId="1E969348" w14:textId="77777777" w:rsidR="00945189" w:rsidRDefault="00945189" w:rsidP="007E1DF8">
            <w:pPr>
              <w:tabs>
                <w:tab w:val="left" w:pos="567"/>
              </w:tabs>
              <w:ind w:left="109" w:right="90"/>
              <w:jc w:val="both"/>
              <w:rPr>
                <w:rFonts w:ascii="Arial" w:hAnsi="Arial" w:cs="Arial"/>
                <w:sz w:val="18"/>
                <w:szCs w:val="18"/>
                <w:lang w:val="es-ES_tradnl"/>
              </w:rPr>
            </w:pPr>
          </w:p>
          <w:p w14:paraId="1995F837" w14:textId="77777777" w:rsidR="00945189" w:rsidRDefault="00945189" w:rsidP="007E1DF8">
            <w:pPr>
              <w:tabs>
                <w:tab w:val="left" w:pos="567"/>
              </w:tabs>
              <w:ind w:left="109" w:right="90"/>
              <w:jc w:val="both"/>
              <w:rPr>
                <w:rFonts w:ascii="Arial" w:hAnsi="Arial" w:cs="Arial"/>
                <w:sz w:val="18"/>
                <w:szCs w:val="18"/>
                <w:lang w:val="es-ES_tradnl"/>
              </w:rPr>
            </w:pPr>
          </w:p>
          <w:p w14:paraId="56493A47" w14:textId="77777777" w:rsidR="00945189" w:rsidRDefault="00945189" w:rsidP="007E1DF8">
            <w:pPr>
              <w:tabs>
                <w:tab w:val="left" w:pos="567"/>
              </w:tabs>
              <w:ind w:left="109" w:right="90"/>
              <w:jc w:val="both"/>
              <w:rPr>
                <w:rFonts w:ascii="Arial" w:hAnsi="Arial" w:cs="Arial"/>
                <w:sz w:val="18"/>
                <w:szCs w:val="18"/>
                <w:lang w:val="es-ES_tradnl"/>
              </w:rPr>
            </w:pPr>
          </w:p>
          <w:p w14:paraId="63FE4101" w14:textId="77777777" w:rsidR="00945189" w:rsidRDefault="00945189" w:rsidP="007E1DF8">
            <w:pPr>
              <w:tabs>
                <w:tab w:val="left" w:pos="567"/>
              </w:tabs>
              <w:ind w:left="109" w:right="90"/>
              <w:jc w:val="both"/>
              <w:rPr>
                <w:rFonts w:ascii="Arial" w:hAnsi="Arial" w:cs="Arial"/>
                <w:sz w:val="18"/>
                <w:szCs w:val="18"/>
                <w:lang w:val="es-ES_tradnl"/>
              </w:rPr>
            </w:pPr>
          </w:p>
          <w:p w14:paraId="394779AF" w14:textId="77777777" w:rsidR="00945189" w:rsidRDefault="00945189" w:rsidP="007E1DF8">
            <w:pPr>
              <w:tabs>
                <w:tab w:val="left" w:pos="567"/>
              </w:tabs>
              <w:ind w:left="109" w:right="90"/>
              <w:jc w:val="both"/>
              <w:rPr>
                <w:rFonts w:ascii="Arial" w:hAnsi="Arial" w:cs="Arial"/>
                <w:sz w:val="18"/>
                <w:szCs w:val="18"/>
                <w:lang w:val="es-ES_tradnl"/>
              </w:rPr>
            </w:pPr>
          </w:p>
          <w:p w14:paraId="5F9C30A9" w14:textId="77777777" w:rsidR="00945189" w:rsidRDefault="00945189" w:rsidP="007E1DF8">
            <w:pPr>
              <w:tabs>
                <w:tab w:val="left" w:pos="567"/>
              </w:tabs>
              <w:ind w:left="109" w:right="90"/>
              <w:jc w:val="both"/>
              <w:rPr>
                <w:rFonts w:ascii="Arial" w:hAnsi="Arial" w:cs="Arial"/>
                <w:sz w:val="18"/>
                <w:szCs w:val="18"/>
                <w:lang w:val="es-ES_tradnl"/>
              </w:rPr>
            </w:pPr>
          </w:p>
          <w:p w14:paraId="18D12D8F" w14:textId="77777777" w:rsidR="00945189" w:rsidRDefault="00945189" w:rsidP="007E1DF8">
            <w:pPr>
              <w:tabs>
                <w:tab w:val="left" w:pos="567"/>
              </w:tabs>
              <w:ind w:left="109" w:right="90"/>
              <w:jc w:val="both"/>
              <w:rPr>
                <w:rFonts w:ascii="Arial" w:hAnsi="Arial" w:cs="Arial"/>
                <w:sz w:val="18"/>
                <w:szCs w:val="18"/>
                <w:lang w:val="es-ES_tradnl"/>
              </w:rPr>
            </w:pPr>
          </w:p>
          <w:p w14:paraId="38FEED06" w14:textId="77777777" w:rsidR="00945189" w:rsidRDefault="00945189" w:rsidP="007E1DF8">
            <w:pPr>
              <w:tabs>
                <w:tab w:val="left" w:pos="567"/>
              </w:tabs>
              <w:ind w:left="109" w:right="90"/>
              <w:jc w:val="both"/>
              <w:rPr>
                <w:rFonts w:ascii="Arial" w:hAnsi="Arial" w:cs="Arial"/>
                <w:sz w:val="18"/>
                <w:szCs w:val="18"/>
                <w:lang w:val="es-ES_tradnl"/>
              </w:rPr>
            </w:pPr>
          </w:p>
          <w:p w14:paraId="27795BA7" w14:textId="77777777" w:rsidR="00945189" w:rsidRDefault="00945189" w:rsidP="007E1DF8">
            <w:pPr>
              <w:tabs>
                <w:tab w:val="left" w:pos="567"/>
              </w:tabs>
              <w:ind w:left="109" w:right="90"/>
              <w:jc w:val="both"/>
              <w:rPr>
                <w:rFonts w:ascii="Arial" w:hAnsi="Arial" w:cs="Arial"/>
                <w:sz w:val="18"/>
                <w:szCs w:val="18"/>
                <w:lang w:val="es-ES_tradnl"/>
              </w:rPr>
            </w:pPr>
          </w:p>
          <w:p w14:paraId="5440E6C5" w14:textId="77777777" w:rsidR="00945189" w:rsidRDefault="00945189" w:rsidP="007E1DF8">
            <w:pPr>
              <w:tabs>
                <w:tab w:val="left" w:pos="567"/>
              </w:tabs>
              <w:ind w:left="109" w:right="90"/>
              <w:jc w:val="both"/>
              <w:rPr>
                <w:rFonts w:ascii="Arial" w:hAnsi="Arial" w:cs="Arial"/>
                <w:sz w:val="18"/>
                <w:szCs w:val="18"/>
                <w:lang w:val="es-ES_tradnl"/>
              </w:rPr>
            </w:pPr>
          </w:p>
          <w:p w14:paraId="6CE5BC46" w14:textId="77777777" w:rsidR="00945189" w:rsidRDefault="00945189" w:rsidP="007E1DF8">
            <w:pPr>
              <w:tabs>
                <w:tab w:val="left" w:pos="567"/>
              </w:tabs>
              <w:ind w:left="109" w:right="90"/>
              <w:jc w:val="both"/>
              <w:rPr>
                <w:rFonts w:ascii="Arial" w:hAnsi="Arial" w:cs="Arial"/>
                <w:sz w:val="18"/>
                <w:szCs w:val="18"/>
                <w:lang w:val="es-ES_tradnl"/>
              </w:rPr>
            </w:pPr>
          </w:p>
          <w:p w14:paraId="7C5D3F67" w14:textId="77777777" w:rsidR="00945189" w:rsidRDefault="00945189" w:rsidP="007E1DF8">
            <w:pPr>
              <w:tabs>
                <w:tab w:val="left" w:pos="567"/>
              </w:tabs>
              <w:ind w:left="109" w:right="90"/>
              <w:jc w:val="both"/>
              <w:rPr>
                <w:rFonts w:ascii="Arial" w:hAnsi="Arial" w:cs="Arial"/>
                <w:sz w:val="18"/>
                <w:szCs w:val="18"/>
                <w:lang w:val="es-ES_tradnl"/>
              </w:rPr>
            </w:pPr>
          </w:p>
          <w:p w14:paraId="3A88C78E" w14:textId="77777777" w:rsidR="00945189" w:rsidRDefault="00945189" w:rsidP="007E1DF8">
            <w:pPr>
              <w:tabs>
                <w:tab w:val="left" w:pos="567"/>
              </w:tabs>
              <w:ind w:left="109" w:right="90"/>
              <w:jc w:val="both"/>
              <w:rPr>
                <w:rFonts w:ascii="Arial" w:hAnsi="Arial" w:cs="Arial"/>
                <w:sz w:val="18"/>
                <w:szCs w:val="18"/>
                <w:lang w:val="es-ES_tradnl"/>
              </w:rPr>
            </w:pPr>
          </w:p>
          <w:p w14:paraId="74612423" w14:textId="77777777" w:rsidR="00945189" w:rsidRDefault="00945189" w:rsidP="007E1DF8">
            <w:pPr>
              <w:tabs>
                <w:tab w:val="left" w:pos="567"/>
              </w:tabs>
              <w:ind w:left="109" w:right="90"/>
              <w:jc w:val="both"/>
              <w:rPr>
                <w:rFonts w:ascii="Arial" w:hAnsi="Arial" w:cs="Arial"/>
                <w:sz w:val="18"/>
                <w:szCs w:val="18"/>
                <w:lang w:val="es-ES_tradnl"/>
              </w:rPr>
            </w:pPr>
          </w:p>
          <w:p w14:paraId="5DE3B488" w14:textId="77777777" w:rsidR="00945189" w:rsidRDefault="00945189" w:rsidP="007E1DF8">
            <w:pPr>
              <w:tabs>
                <w:tab w:val="left" w:pos="567"/>
              </w:tabs>
              <w:ind w:left="109" w:right="90"/>
              <w:jc w:val="both"/>
              <w:rPr>
                <w:rFonts w:ascii="Arial" w:hAnsi="Arial" w:cs="Arial"/>
                <w:sz w:val="18"/>
                <w:szCs w:val="18"/>
                <w:lang w:val="es-ES_tradnl"/>
              </w:rPr>
            </w:pPr>
          </w:p>
          <w:p w14:paraId="00BE70E3" w14:textId="77777777" w:rsidR="00945189" w:rsidRDefault="00945189" w:rsidP="007E1DF8">
            <w:pPr>
              <w:tabs>
                <w:tab w:val="left" w:pos="567"/>
              </w:tabs>
              <w:ind w:left="109" w:right="90"/>
              <w:jc w:val="both"/>
              <w:rPr>
                <w:rFonts w:ascii="Arial" w:hAnsi="Arial" w:cs="Arial"/>
                <w:sz w:val="18"/>
                <w:szCs w:val="18"/>
                <w:lang w:val="es-ES_tradnl"/>
              </w:rPr>
            </w:pPr>
          </w:p>
          <w:p w14:paraId="006F1F28" w14:textId="01D919C6" w:rsidR="00945189" w:rsidRPr="00190CF9" w:rsidRDefault="00945189" w:rsidP="007E1DF8">
            <w:pPr>
              <w:tabs>
                <w:tab w:val="left" w:pos="567"/>
              </w:tabs>
              <w:ind w:left="109" w:right="90"/>
              <w:jc w:val="both"/>
              <w:rPr>
                <w:rFonts w:ascii="Arial" w:hAnsi="Arial" w:cs="Arial"/>
                <w:sz w:val="18"/>
                <w:szCs w:val="18"/>
                <w:lang w:val="es-ES_tradnl"/>
              </w:rPr>
            </w:pPr>
          </w:p>
        </w:tc>
      </w:tr>
      <w:tr w:rsidR="00092B9C" w:rsidRPr="00A778E5" w14:paraId="466067DF" w14:textId="77777777" w:rsidTr="007E1DF8">
        <w:trPr>
          <w:cantSplit/>
          <w:trHeight w:val="242"/>
          <w:jc w:val="center"/>
        </w:trPr>
        <w:tc>
          <w:tcPr>
            <w:tcW w:w="5000" w:type="pct"/>
            <w:gridSpan w:val="4"/>
            <w:tcBorders>
              <w:left w:val="single" w:sz="4" w:space="0" w:color="auto"/>
              <w:right w:val="single" w:sz="4" w:space="0" w:color="auto"/>
            </w:tcBorders>
            <w:shd w:val="clear" w:color="auto" w:fill="8DB3E2" w:themeFill="text2" w:themeFillTint="66"/>
          </w:tcPr>
          <w:p w14:paraId="097E1E63" w14:textId="2D0859FA" w:rsidR="00092B9C" w:rsidRPr="00190CF9" w:rsidRDefault="00936056" w:rsidP="007E1DF8">
            <w:pPr>
              <w:tabs>
                <w:tab w:val="left" w:pos="567"/>
              </w:tabs>
              <w:ind w:left="109" w:right="90"/>
              <w:jc w:val="both"/>
              <w:rPr>
                <w:rFonts w:ascii="Arial" w:hAnsi="Arial" w:cs="Arial"/>
                <w:b/>
                <w:sz w:val="18"/>
                <w:szCs w:val="18"/>
                <w:lang w:val="es-ES_tradnl"/>
              </w:rPr>
            </w:pPr>
            <w:r w:rsidRPr="00190CF9">
              <w:rPr>
                <w:rFonts w:ascii="Arial" w:hAnsi="Arial" w:cs="Arial"/>
                <w:b/>
                <w:sz w:val="18"/>
                <w:szCs w:val="18"/>
                <w:lang w:val="es-ES_tradnl"/>
              </w:rPr>
              <w:lastRenderedPageBreak/>
              <w:t xml:space="preserve">Componente IV. </w:t>
            </w:r>
            <w:r w:rsidR="00092B9C" w:rsidRPr="00190CF9">
              <w:rPr>
                <w:rFonts w:ascii="Arial" w:hAnsi="Arial" w:cs="Arial"/>
                <w:b/>
                <w:sz w:val="18"/>
                <w:szCs w:val="18"/>
                <w:lang w:val="es-ES_tradnl"/>
              </w:rPr>
              <w:t>Mejoras en las políticas de seguridad social y los incentivos a la formalidad</w:t>
            </w:r>
          </w:p>
        </w:tc>
      </w:tr>
      <w:tr w:rsidR="00092B9C" w:rsidRPr="00A778E5" w14:paraId="484EEAAF" w14:textId="77777777" w:rsidTr="00482DDC">
        <w:trPr>
          <w:cantSplit/>
          <w:trHeight w:val="403"/>
          <w:jc w:val="center"/>
        </w:trPr>
        <w:tc>
          <w:tcPr>
            <w:tcW w:w="1012" w:type="pct"/>
            <w:vMerge w:val="restart"/>
            <w:tcBorders>
              <w:left w:val="single" w:sz="4" w:space="0" w:color="auto"/>
              <w:right w:val="single" w:sz="4" w:space="0" w:color="auto"/>
            </w:tcBorders>
            <w:shd w:val="clear" w:color="auto" w:fill="auto"/>
          </w:tcPr>
          <w:p w14:paraId="7B7DC0C8" w14:textId="77777777" w:rsidR="00092B9C" w:rsidRPr="00190CF9" w:rsidRDefault="00092B9C" w:rsidP="00092B9C">
            <w:pPr>
              <w:pStyle w:val="ListParagraph"/>
              <w:numPr>
                <w:ilvl w:val="0"/>
                <w:numId w:val="37"/>
              </w:numPr>
              <w:ind w:right="144"/>
              <w:contextualSpacing w:val="0"/>
              <w:rPr>
                <w:rFonts w:ascii="Arial" w:hAnsi="Arial" w:cs="Arial"/>
                <w:b/>
                <w:sz w:val="18"/>
                <w:szCs w:val="18"/>
                <w:lang w:val="es-ES_tradnl"/>
              </w:rPr>
            </w:pPr>
            <w:r w:rsidRPr="00190CF9">
              <w:rPr>
                <w:rFonts w:ascii="Arial" w:hAnsi="Arial" w:cs="Arial"/>
                <w:b/>
                <w:sz w:val="18"/>
                <w:szCs w:val="18"/>
                <w:lang w:val="es-ES_tradnl"/>
              </w:rPr>
              <w:t xml:space="preserve">Mejoras de los incentivos a la formalización laboral y empresarial </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2259B2A4" w14:textId="77777777" w:rsidR="00092B9C" w:rsidRPr="00190CF9" w:rsidRDefault="00092B9C" w:rsidP="001117D1">
            <w:pPr>
              <w:widowControl w:val="0"/>
              <w:ind w:left="144" w:right="144"/>
              <w:jc w:val="both"/>
              <w:rPr>
                <w:rFonts w:ascii="Arial" w:hAnsi="Arial" w:cs="Arial"/>
                <w:sz w:val="18"/>
                <w:szCs w:val="18"/>
                <w:lang w:val="es-ES_tradnl"/>
              </w:rPr>
            </w:pPr>
            <w:r w:rsidRPr="00190CF9">
              <w:rPr>
                <w:rFonts w:ascii="Arial" w:hAnsi="Arial" w:cs="Arial"/>
                <w:sz w:val="18"/>
                <w:szCs w:val="18"/>
                <w:lang w:val="es-ES_tradnl"/>
              </w:rPr>
              <w:t>Desarrollo normativo de la reforma de la seguridad social siguiendo el cronograma establecido para los organismos asignados en el Plan Estratégico de la Seguridad Social.</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6270C53" w14:textId="77777777" w:rsidR="00092B9C" w:rsidRPr="00190CF9" w:rsidRDefault="00092B9C" w:rsidP="001117D1">
            <w:pPr>
              <w:widowControl w:val="0"/>
              <w:ind w:left="144" w:right="144"/>
              <w:jc w:val="both"/>
              <w:rPr>
                <w:rFonts w:ascii="Arial" w:hAnsi="Arial" w:cs="Arial"/>
                <w:sz w:val="18"/>
                <w:szCs w:val="18"/>
                <w:lang w:val="es-ES_tradnl"/>
              </w:rPr>
            </w:pPr>
            <w:r w:rsidRPr="00190CF9">
              <w:rPr>
                <w:rFonts w:ascii="Arial" w:hAnsi="Arial" w:cs="Arial"/>
                <w:sz w:val="18"/>
                <w:szCs w:val="18"/>
                <w:lang w:val="es-ES_tradnl"/>
              </w:rPr>
              <w:t>Eliminado</w:t>
            </w:r>
            <w:r w:rsidR="00E57A23" w:rsidRPr="00190CF9">
              <w:rPr>
                <w:rFonts w:ascii="Arial" w:hAnsi="Arial" w:cs="Arial"/>
                <w:sz w:val="18"/>
                <w:szCs w:val="18"/>
                <w:lang w:val="es-ES_tradnl"/>
              </w:rPr>
              <w:t xml:space="preserve"> (compromiso cumplido a través de la serie programática de Apoyo a la Consolidación del Sector Salud y de la Seguridad Social (DR-L1073, 3382</w:t>
            </w:r>
            <w:r w:rsidR="002658FD" w:rsidRPr="00190CF9">
              <w:rPr>
                <w:rFonts w:ascii="Arial" w:hAnsi="Arial" w:cs="Arial"/>
                <w:sz w:val="18"/>
                <w:szCs w:val="18"/>
                <w:lang w:val="es-ES_tradnl"/>
              </w:rPr>
              <w:t>/OC-DR; y DR-L1079, 3585/OC-DR)</w:t>
            </w:r>
            <w:r w:rsidRPr="00190CF9">
              <w:rPr>
                <w:rFonts w:ascii="Arial" w:hAnsi="Arial" w:cs="Arial"/>
                <w:sz w:val="18"/>
                <w:szCs w:val="18"/>
                <w:lang w:val="es-ES_tradnl"/>
              </w:rPr>
              <w:t>.</w:t>
            </w:r>
          </w:p>
          <w:p w14:paraId="0310C8B0" w14:textId="77777777" w:rsidR="00092B9C" w:rsidRPr="00190CF9" w:rsidRDefault="00092B9C" w:rsidP="001117D1">
            <w:pPr>
              <w:widowControl w:val="0"/>
              <w:ind w:left="144" w:right="144"/>
              <w:jc w:val="both"/>
              <w:rPr>
                <w:rFonts w:ascii="Arial" w:hAnsi="Arial" w:cs="Arial"/>
                <w:sz w:val="18"/>
                <w:szCs w:val="18"/>
                <w:lang w:val="es-ES_tradnl"/>
              </w:rPr>
            </w:pP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35EFB711" w14:textId="028EC998" w:rsidR="00092B9C" w:rsidRPr="00190CF9" w:rsidRDefault="00092B9C" w:rsidP="007E1DF8">
            <w:pPr>
              <w:widowControl w:val="0"/>
              <w:tabs>
                <w:tab w:val="left" w:pos="567"/>
              </w:tabs>
              <w:ind w:left="109" w:right="90"/>
              <w:jc w:val="both"/>
              <w:rPr>
                <w:rFonts w:ascii="Arial" w:hAnsi="Arial" w:cs="Arial"/>
                <w:sz w:val="18"/>
                <w:szCs w:val="18"/>
                <w:lang w:val="es-ES_tradnl"/>
              </w:rPr>
            </w:pPr>
            <w:bookmarkStart w:id="9" w:name="_Hlk488249714"/>
            <w:r w:rsidRPr="00190CF9">
              <w:rPr>
                <w:rFonts w:ascii="Arial" w:hAnsi="Arial" w:cs="Arial"/>
                <w:sz w:val="18"/>
                <w:szCs w:val="18"/>
                <w:lang w:val="es-ES_tradnl"/>
              </w:rPr>
              <w:t xml:space="preserve">Este compromiso se eliminó </w:t>
            </w:r>
            <w:r w:rsidR="00026D3F" w:rsidRPr="00190CF9">
              <w:rPr>
                <w:rFonts w:ascii="Arial" w:hAnsi="Arial" w:cs="Arial"/>
                <w:sz w:val="18"/>
                <w:szCs w:val="18"/>
                <w:lang w:val="es-ES_tradnl"/>
              </w:rPr>
              <w:t>puesto</w:t>
            </w:r>
            <w:r w:rsidRPr="00190CF9">
              <w:rPr>
                <w:rFonts w:ascii="Arial" w:hAnsi="Arial" w:cs="Arial"/>
                <w:sz w:val="18"/>
                <w:szCs w:val="18"/>
                <w:lang w:val="es-ES_tradnl"/>
              </w:rPr>
              <w:t xml:space="preserve"> que fue cumplido a través de dos operaciones programáticas de </w:t>
            </w:r>
            <w:bookmarkStart w:id="10" w:name="_Hlk491769002"/>
            <w:r w:rsidRPr="00190CF9">
              <w:rPr>
                <w:rFonts w:ascii="Arial" w:hAnsi="Arial" w:cs="Arial"/>
                <w:sz w:val="18"/>
                <w:szCs w:val="18"/>
                <w:lang w:val="es-ES_tradnl"/>
              </w:rPr>
              <w:t>Apoyo a la Consolidación del Sector Salud y de la Seguridad Social (DR-L1073, 3382/OC-DR; y DR-L1079, 3585/OC-DR),</w:t>
            </w:r>
            <w:bookmarkEnd w:id="10"/>
            <w:r w:rsidRPr="00190CF9">
              <w:rPr>
                <w:rFonts w:ascii="Arial" w:hAnsi="Arial" w:cs="Arial"/>
                <w:sz w:val="18"/>
                <w:szCs w:val="18"/>
                <w:lang w:val="es-ES_tradnl"/>
              </w:rPr>
              <w:t xml:space="preserve"> aprobadas en República Dominicana entre la primera operación de esta serie y la presente operación. </w:t>
            </w:r>
            <w:r w:rsidR="00D976C4" w:rsidRPr="00190CF9">
              <w:rPr>
                <w:rFonts w:ascii="Arial" w:hAnsi="Arial" w:cs="Arial"/>
                <w:sz w:val="18"/>
                <w:szCs w:val="18"/>
                <w:lang w:val="es-ES_tradnl"/>
              </w:rPr>
              <w:t xml:space="preserve">Dicha serie programática apoyó acciones específicas que se enmarcan en el </w:t>
            </w:r>
            <w:r w:rsidR="00B66D70" w:rsidRPr="00190CF9">
              <w:rPr>
                <w:rFonts w:ascii="Arial" w:hAnsi="Arial" w:cs="Arial"/>
                <w:sz w:val="18"/>
                <w:szCs w:val="18"/>
                <w:lang w:val="es-ES_tradnl"/>
              </w:rPr>
              <w:t>P</w:t>
            </w:r>
            <w:r w:rsidR="00D976C4" w:rsidRPr="00190CF9">
              <w:rPr>
                <w:rFonts w:ascii="Arial" w:hAnsi="Arial" w:cs="Arial"/>
                <w:sz w:val="18"/>
                <w:szCs w:val="18"/>
                <w:lang w:val="es-ES_tradnl"/>
              </w:rPr>
              <w:t xml:space="preserve">lan </w:t>
            </w:r>
            <w:r w:rsidR="00B66D70" w:rsidRPr="00190CF9">
              <w:rPr>
                <w:rFonts w:ascii="Arial" w:hAnsi="Arial" w:cs="Arial"/>
                <w:sz w:val="18"/>
                <w:szCs w:val="18"/>
                <w:lang w:val="es-ES_tradnl"/>
              </w:rPr>
              <w:t>E</w:t>
            </w:r>
            <w:r w:rsidR="00D976C4" w:rsidRPr="00190CF9">
              <w:rPr>
                <w:rFonts w:ascii="Arial" w:hAnsi="Arial" w:cs="Arial"/>
                <w:sz w:val="18"/>
                <w:szCs w:val="18"/>
                <w:lang w:val="es-ES_tradnl"/>
              </w:rPr>
              <w:t xml:space="preserve">stratégico de la </w:t>
            </w:r>
            <w:r w:rsidR="00B66D70" w:rsidRPr="00190CF9">
              <w:rPr>
                <w:rFonts w:ascii="Arial" w:hAnsi="Arial" w:cs="Arial"/>
                <w:sz w:val="18"/>
                <w:szCs w:val="18"/>
                <w:lang w:val="es-ES_tradnl"/>
              </w:rPr>
              <w:t>S</w:t>
            </w:r>
            <w:r w:rsidR="00D976C4" w:rsidRPr="00190CF9">
              <w:rPr>
                <w:rFonts w:ascii="Arial" w:hAnsi="Arial" w:cs="Arial"/>
                <w:sz w:val="18"/>
                <w:szCs w:val="18"/>
                <w:lang w:val="es-ES_tradnl"/>
              </w:rPr>
              <w:t xml:space="preserve">eguridad </w:t>
            </w:r>
            <w:r w:rsidR="00B66D70" w:rsidRPr="00190CF9">
              <w:rPr>
                <w:rFonts w:ascii="Arial" w:hAnsi="Arial" w:cs="Arial"/>
                <w:sz w:val="18"/>
                <w:szCs w:val="18"/>
                <w:lang w:val="es-ES_tradnl"/>
              </w:rPr>
              <w:t>S</w:t>
            </w:r>
            <w:r w:rsidR="00D976C4" w:rsidRPr="00190CF9">
              <w:rPr>
                <w:rFonts w:ascii="Arial" w:hAnsi="Arial" w:cs="Arial"/>
                <w:sz w:val="18"/>
                <w:szCs w:val="18"/>
                <w:lang w:val="es-ES_tradnl"/>
              </w:rPr>
              <w:t xml:space="preserve">ocial y generó avances </w:t>
            </w:r>
            <w:r w:rsidR="00B66D70" w:rsidRPr="00190CF9">
              <w:rPr>
                <w:rFonts w:ascii="Arial" w:hAnsi="Arial" w:cs="Arial"/>
                <w:sz w:val="18"/>
                <w:szCs w:val="18"/>
                <w:lang w:val="es-ES_tradnl"/>
              </w:rPr>
              <w:t>tanto en la normativa</w:t>
            </w:r>
            <w:r w:rsidR="00D976C4" w:rsidRPr="00190CF9">
              <w:rPr>
                <w:rFonts w:ascii="Arial" w:hAnsi="Arial" w:cs="Arial"/>
                <w:sz w:val="18"/>
                <w:szCs w:val="18"/>
                <w:lang w:val="es-ES_tradnl"/>
              </w:rPr>
              <w:t xml:space="preserve"> </w:t>
            </w:r>
            <w:r w:rsidR="00B66D70" w:rsidRPr="00190CF9">
              <w:rPr>
                <w:rFonts w:ascii="Arial" w:hAnsi="Arial" w:cs="Arial"/>
                <w:sz w:val="18"/>
                <w:szCs w:val="18"/>
                <w:lang w:val="es-ES_tradnl"/>
              </w:rPr>
              <w:t>como</w:t>
            </w:r>
            <w:r w:rsidR="00D976C4" w:rsidRPr="00190CF9">
              <w:rPr>
                <w:rFonts w:ascii="Arial" w:hAnsi="Arial" w:cs="Arial"/>
                <w:sz w:val="18"/>
                <w:szCs w:val="18"/>
                <w:lang w:val="es-ES_tradnl"/>
              </w:rPr>
              <w:t xml:space="preserve"> en la </w:t>
            </w:r>
            <w:r w:rsidR="00B66D70" w:rsidRPr="00190CF9">
              <w:rPr>
                <w:rFonts w:ascii="Arial" w:hAnsi="Arial" w:cs="Arial"/>
                <w:sz w:val="18"/>
                <w:szCs w:val="18"/>
                <w:lang w:val="es-ES_tradnl"/>
              </w:rPr>
              <w:t>implementación</w:t>
            </w:r>
            <w:r w:rsidR="00D976C4" w:rsidRPr="00190CF9">
              <w:rPr>
                <w:rFonts w:ascii="Arial" w:hAnsi="Arial" w:cs="Arial"/>
                <w:sz w:val="18"/>
                <w:szCs w:val="18"/>
                <w:lang w:val="es-ES_tradnl"/>
              </w:rPr>
              <w:t xml:space="preserve"> de </w:t>
            </w:r>
            <w:r w:rsidR="00B66D70" w:rsidRPr="00190CF9">
              <w:rPr>
                <w:rFonts w:ascii="Arial" w:hAnsi="Arial" w:cs="Arial"/>
                <w:sz w:val="18"/>
                <w:szCs w:val="18"/>
                <w:lang w:val="es-ES_tradnl"/>
              </w:rPr>
              <w:t xml:space="preserve">las </w:t>
            </w:r>
            <w:r w:rsidR="00D976C4" w:rsidRPr="00190CF9">
              <w:rPr>
                <w:rFonts w:ascii="Arial" w:hAnsi="Arial" w:cs="Arial"/>
                <w:sz w:val="18"/>
                <w:szCs w:val="18"/>
                <w:lang w:val="es-ES_tradnl"/>
              </w:rPr>
              <w:t>medidas de política. Por ejemplo, la serie apoyó modificaciones a la Ley de Seguridad Social para permitir ampliar la cobertura de la seguridad social, el protoco</w:t>
            </w:r>
            <w:r w:rsidR="00B66D70" w:rsidRPr="00190CF9">
              <w:rPr>
                <w:rFonts w:ascii="Arial" w:hAnsi="Arial" w:cs="Arial"/>
                <w:sz w:val="18"/>
                <w:szCs w:val="18"/>
                <w:lang w:val="es-ES_tradnl"/>
              </w:rPr>
              <w:t>lo para la implementación del ré</w:t>
            </w:r>
            <w:r w:rsidR="00D976C4" w:rsidRPr="00190CF9">
              <w:rPr>
                <w:rFonts w:ascii="Arial" w:hAnsi="Arial" w:cs="Arial"/>
                <w:sz w:val="18"/>
                <w:szCs w:val="18"/>
                <w:lang w:val="es-ES_tradnl"/>
              </w:rPr>
              <w:t>gimen subsidiado, la creación del sistema de monitoreo de indi</w:t>
            </w:r>
            <w:r w:rsidR="00B66D70" w:rsidRPr="00190CF9">
              <w:rPr>
                <w:rFonts w:ascii="Arial" w:hAnsi="Arial" w:cs="Arial"/>
                <w:sz w:val="18"/>
                <w:szCs w:val="18"/>
                <w:lang w:val="es-ES_tradnl"/>
              </w:rPr>
              <w:t>cadores de la seguridad social, la creación de un plan de educació</w:t>
            </w:r>
            <w:r w:rsidR="00D976C4" w:rsidRPr="00190CF9">
              <w:rPr>
                <w:rFonts w:ascii="Arial" w:hAnsi="Arial" w:cs="Arial"/>
                <w:sz w:val="18"/>
                <w:szCs w:val="18"/>
                <w:lang w:val="es-ES_tradnl"/>
              </w:rPr>
              <w:t>n financ</w:t>
            </w:r>
            <w:r w:rsidR="00B66D70" w:rsidRPr="00190CF9">
              <w:rPr>
                <w:rFonts w:ascii="Arial" w:hAnsi="Arial" w:cs="Arial"/>
                <w:sz w:val="18"/>
                <w:szCs w:val="18"/>
                <w:lang w:val="es-ES_tradnl"/>
              </w:rPr>
              <w:t>iera, y la expansión de las campañ</w:t>
            </w:r>
            <w:r w:rsidR="00D976C4" w:rsidRPr="00190CF9">
              <w:rPr>
                <w:rFonts w:ascii="Arial" w:hAnsi="Arial" w:cs="Arial"/>
                <w:sz w:val="18"/>
                <w:szCs w:val="18"/>
                <w:lang w:val="es-ES_tradnl"/>
              </w:rPr>
              <w:t>as de difusión de los beneficios de la seguridad social.</w:t>
            </w:r>
            <w:r w:rsidR="00B66D70" w:rsidRPr="00190CF9">
              <w:rPr>
                <w:rFonts w:ascii="Arial" w:hAnsi="Arial" w:cs="Arial"/>
                <w:sz w:val="18"/>
                <w:szCs w:val="18"/>
                <w:lang w:val="es-ES_tradnl"/>
              </w:rPr>
              <w:t xml:space="preserve"> </w:t>
            </w:r>
            <w:r w:rsidR="00D976C4" w:rsidRPr="00190CF9">
              <w:rPr>
                <w:rFonts w:ascii="Arial" w:hAnsi="Arial" w:cs="Arial"/>
                <w:sz w:val="18"/>
                <w:szCs w:val="18"/>
                <w:lang w:val="es-ES_tradnl"/>
              </w:rPr>
              <w:t>El Plan Estratégico</w:t>
            </w:r>
            <w:r w:rsidR="00B66D70" w:rsidRPr="00190CF9">
              <w:rPr>
                <w:rFonts w:ascii="Arial" w:hAnsi="Arial" w:cs="Arial"/>
                <w:sz w:val="18"/>
                <w:szCs w:val="18"/>
                <w:lang w:val="es-ES_tradnl"/>
              </w:rPr>
              <w:t xml:space="preserve"> de la Seguridad Social</w:t>
            </w:r>
            <w:r w:rsidR="00D976C4" w:rsidRPr="00190CF9">
              <w:rPr>
                <w:rFonts w:ascii="Arial" w:hAnsi="Arial" w:cs="Arial"/>
                <w:sz w:val="18"/>
                <w:szCs w:val="18"/>
                <w:lang w:val="es-ES_tradnl"/>
              </w:rPr>
              <w:t xml:space="preserve"> incluye metas hasta el año 2018</w:t>
            </w:r>
            <w:r w:rsidR="007E1DF8">
              <w:rPr>
                <w:rFonts w:ascii="Arial" w:hAnsi="Arial" w:cs="Arial"/>
                <w:sz w:val="18"/>
                <w:szCs w:val="18"/>
                <w:lang w:val="es-ES_tradnl"/>
              </w:rPr>
              <w:t> </w:t>
            </w:r>
            <w:r w:rsidR="00D976C4" w:rsidRPr="00190CF9">
              <w:rPr>
                <w:rFonts w:ascii="Arial" w:hAnsi="Arial" w:cs="Arial"/>
                <w:sz w:val="18"/>
                <w:szCs w:val="18"/>
                <w:lang w:val="es-ES_tradnl"/>
              </w:rPr>
              <w:t xml:space="preserve">y </w:t>
            </w:r>
            <w:r w:rsidR="00B66D70" w:rsidRPr="00190CF9">
              <w:rPr>
                <w:rFonts w:ascii="Arial" w:hAnsi="Arial" w:cs="Arial"/>
                <w:sz w:val="18"/>
                <w:szCs w:val="18"/>
                <w:lang w:val="es-ES_tradnl"/>
              </w:rPr>
              <w:t>está siendo continuamente monitoreado por</w:t>
            </w:r>
            <w:r w:rsidR="00D976C4" w:rsidRPr="00190CF9">
              <w:rPr>
                <w:rFonts w:ascii="Arial" w:hAnsi="Arial" w:cs="Arial"/>
                <w:sz w:val="18"/>
                <w:szCs w:val="18"/>
                <w:lang w:val="es-ES_tradnl"/>
              </w:rPr>
              <w:t xml:space="preserve"> las distintas entidades responsables. </w:t>
            </w:r>
            <w:bookmarkEnd w:id="9"/>
          </w:p>
        </w:tc>
      </w:tr>
      <w:tr w:rsidR="00F05DC2" w:rsidRPr="00A778E5" w14:paraId="1EC332FF" w14:textId="77777777" w:rsidTr="004E1FE7">
        <w:trPr>
          <w:cantSplit/>
          <w:trHeight w:val="2253"/>
          <w:jc w:val="center"/>
        </w:trPr>
        <w:tc>
          <w:tcPr>
            <w:tcW w:w="1012" w:type="pct"/>
            <w:vMerge/>
            <w:tcBorders>
              <w:left w:val="single" w:sz="4" w:space="0" w:color="auto"/>
              <w:right w:val="single" w:sz="4" w:space="0" w:color="auto"/>
            </w:tcBorders>
            <w:shd w:val="clear" w:color="auto" w:fill="auto"/>
          </w:tcPr>
          <w:p w14:paraId="168E0E73" w14:textId="77777777" w:rsidR="00F05DC2" w:rsidRPr="00190CF9" w:rsidRDefault="00F05DC2" w:rsidP="00092B9C">
            <w:pPr>
              <w:pStyle w:val="ListParagraph"/>
              <w:ind w:right="144"/>
              <w:contextualSpacing w:val="0"/>
              <w:rPr>
                <w:rFonts w:ascii="Arial" w:hAnsi="Arial" w:cs="Arial"/>
                <w:b/>
                <w:sz w:val="18"/>
                <w:szCs w:val="18"/>
                <w:lang w:val="es-ES_tradnl"/>
              </w:rPr>
            </w:pPr>
          </w:p>
        </w:tc>
        <w:tc>
          <w:tcPr>
            <w:tcW w:w="1176" w:type="pct"/>
            <w:tcBorders>
              <w:top w:val="single" w:sz="4" w:space="0" w:color="auto"/>
              <w:left w:val="single" w:sz="4" w:space="0" w:color="auto"/>
              <w:right w:val="single" w:sz="4" w:space="0" w:color="auto"/>
            </w:tcBorders>
            <w:shd w:val="clear" w:color="auto" w:fill="auto"/>
          </w:tcPr>
          <w:p w14:paraId="62CD0135" w14:textId="77777777" w:rsidR="00F05DC2" w:rsidRPr="00190CF9" w:rsidRDefault="00F05DC2" w:rsidP="001117D1">
            <w:pPr>
              <w:widowControl w:val="0"/>
              <w:ind w:left="144" w:right="144"/>
              <w:jc w:val="both"/>
              <w:rPr>
                <w:rFonts w:ascii="Arial" w:hAnsi="Arial" w:cs="Arial"/>
                <w:sz w:val="18"/>
                <w:szCs w:val="18"/>
                <w:lang w:val="es-ES_tradnl"/>
              </w:rPr>
            </w:pPr>
          </w:p>
        </w:tc>
        <w:tc>
          <w:tcPr>
            <w:tcW w:w="1178" w:type="pct"/>
            <w:tcBorders>
              <w:top w:val="single" w:sz="4" w:space="0" w:color="auto"/>
              <w:left w:val="single" w:sz="4" w:space="0" w:color="auto"/>
              <w:right w:val="single" w:sz="4" w:space="0" w:color="auto"/>
            </w:tcBorders>
            <w:shd w:val="clear" w:color="auto" w:fill="auto"/>
          </w:tcPr>
          <w:p w14:paraId="6DB42744" w14:textId="77777777" w:rsidR="00F05DC2" w:rsidRPr="00190CF9" w:rsidRDefault="00F05DC2" w:rsidP="001117D1">
            <w:pPr>
              <w:widowControl w:val="0"/>
              <w:ind w:left="144" w:right="144"/>
              <w:jc w:val="both"/>
              <w:rPr>
                <w:rFonts w:ascii="Arial" w:hAnsi="Arial" w:cs="Arial"/>
                <w:sz w:val="18"/>
                <w:szCs w:val="18"/>
                <w:lang w:val="es-ES_tradnl"/>
              </w:rPr>
            </w:pPr>
            <w:r w:rsidRPr="00190CF9">
              <w:rPr>
                <w:rFonts w:ascii="Arial" w:hAnsi="Arial" w:cs="Arial"/>
                <w:sz w:val="18"/>
                <w:szCs w:val="18"/>
                <w:lang w:val="es-ES_tradnl"/>
              </w:rPr>
              <w:t xml:space="preserve">Puesta en marcha de </w:t>
            </w:r>
            <w:r w:rsidRPr="00A778E5">
              <w:rPr>
                <w:rFonts w:ascii="Arial" w:hAnsi="Arial" w:cs="Arial"/>
                <w:i/>
                <w:sz w:val="18"/>
                <w:szCs w:val="18"/>
                <w:lang w:val="es-ES_tradnl"/>
              </w:rPr>
              <w:t>Formalízate</w:t>
            </w:r>
            <w:r w:rsidRPr="00190CF9">
              <w:rPr>
                <w:rFonts w:ascii="Arial" w:hAnsi="Arial" w:cs="Arial"/>
                <w:sz w:val="18"/>
                <w:szCs w:val="18"/>
                <w:lang w:val="es-ES_tradnl"/>
              </w:rPr>
              <w:t xml:space="preserve"> como ventanilla única digital para el registro de empresas en la mayor parte de las provincias del país.</w:t>
            </w:r>
          </w:p>
        </w:tc>
        <w:tc>
          <w:tcPr>
            <w:tcW w:w="1634" w:type="pct"/>
            <w:tcBorders>
              <w:top w:val="single" w:sz="4" w:space="0" w:color="auto"/>
              <w:left w:val="single" w:sz="4" w:space="0" w:color="auto"/>
              <w:right w:val="single" w:sz="4" w:space="0" w:color="auto"/>
            </w:tcBorders>
            <w:shd w:val="clear" w:color="auto" w:fill="auto"/>
          </w:tcPr>
          <w:p w14:paraId="335353D0" w14:textId="6DE45ABC" w:rsidR="00F05DC2" w:rsidRPr="00190CF9" w:rsidRDefault="00F05DC2" w:rsidP="007E1DF8">
            <w:pPr>
              <w:widowControl w:val="0"/>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Nuevo compromiso.  Cumplido.</w:t>
            </w:r>
            <w:r w:rsidRPr="00190CF9">
              <w:rPr>
                <w:rFonts w:ascii="Arial" w:hAnsi="Arial" w:cs="Arial"/>
                <w:sz w:val="18"/>
                <w:szCs w:val="18"/>
                <w:lang w:val="es-ES_tradnl"/>
              </w:rPr>
              <w:t xml:space="preserve"> La puesta en marcha de </w:t>
            </w:r>
            <w:r w:rsidRPr="00A778E5">
              <w:rPr>
                <w:rFonts w:ascii="Arial" w:hAnsi="Arial" w:cs="Arial"/>
                <w:i/>
                <w:sz w:val="18"/>
                <w:szCs w:val="18"/>
                <w:lang w:val="es-ES_tradnl"/>
              </w:rPr>
              <w:t>Formalízate</w:t>
            </w:r>
            <w:r w:rsidRPr="00190CF9">
              <w:rPr>
                <w:rFonts w:ascii="Arial" w:hAnsi="Arial" w:cs="Arial"/>
                <w:sz w:val="18"/>
                <w:szCs w:val="18"/>
                <w:lang w:val="es-ES_tradnl"/>
              </w:rPr>
              <w:t xml:space="preserve"> como ventanilla única digital para el registro de empresas (</w:t>
            </w:r>
            <w:hyperlink r:id="rId9" w:history="1">
              <w:r w:rsidRPr="00190CF9">
                <w:rPr>
                  <w:rStyle w:val="Hyperlink"/>
                  <w:rFonts w:ascii="Arial" w:hAnsi="Arial" w:cs="Arial"/>
                  <w:sz w:val="18"/>
                  <w:szCs w:val="18"/>
                  <w:lang w:val="es-ES_tradnl"/>
                </w:rPr>
                <w:t>www.formal</w:t>
              </w:r>
              <w:bookmarkStart w:id="11" w:name="_Hlt494291987"/>
              <w:bookmarkStart w:id="12" w:name="_Hlt494291988"/>
              <w:r w:rsidRPr="00190CF9">
                <w:rPr>
                  <w:rStyle w:val="Hyperlink"/>
                  <w:rFonts w:ascii="Arial" w:hAnsi="Arial" w:cs="Arial"/>
                  <w:sz w:val="18"/>
                  <w:szCs w:val="18"/>
                  <w:lang w:val="es-ES_tradnl"/>
                </w:rPr>
                <w:t>i</w:t>
              </w:r>
              <w:bookmarkStart w:id="13" w:name="_Hlt494291993"/>
              <w:bookmarkEnd w:id="11"/>
              <w:bookmarkEnd w:id="12"/>
              <w:r w:rsidRPr="00190CF9">
                <w:rPr>
                  <w:rStyle w:val="Hyperlink"/>
                  <w:rFonts w:ascii="Arial" w:hAnsi="Arial" w:cs="Arial"/>
                  <w:sz w:val="18"/>
                  <w:szCs w:val="18"/>
                  <w:lang w:val="es-ES_tradnl"/>
                </w:rPr>
                <w:t>z</w:t>
              </w:r>
              <w:bookmarkEnd w:id="13"/>
              <w:r w:rsidRPr="00190CF9">
                <w:rPr>
                  <w:rStyle w:val="Hyperlink"/>
                  <w:rFonts w:ascii="Arial" w:hAnsi="Arial" w:cs="Arial"/>
                  <w:sz w:val="18"/>
                  <w:szCs w:val="18"/>
                  <w:lang w:val="es-ES_tradnl"/>
                </w:rPr>
                <w:t>ate.gob.do</w:t>
              </w:r>
            </w:hyperlink>
            <w:r w:rsidRPr="00190CF9">
              <w:rPr>
                <w:rFonts w:ascii="Arial" w:hAnsi="Arial" w:cs="Arial"/>
                <w:sz w:val="18"/>
                <w:szCs w:val="18"/>
                <w:lang w:val="es-ES_tradnl"/>
              </w:rPr>
              <w:t>) en la mayor parte de las provincias del país</w:t>
            </w:r>
            <w:r w:rsidR="00F97EE8" w:rsidRPr="00190CF9">
              <w:rPr>
                <w:rFonts w:ascii="Arial" w:hAnsi="Arial" w:cs="Arial"/>
                <w:sz w:val="18"/>
                <w:szCs w:val="18"/>
                <w:lang w:val="es-ES_tradnl"/>
              </w:rPr>
              <w:t xml:space="preserve"> (pasó de 11 de 32 provincias en 2014 </w:t>
            </w:r>
            <w:r w:rsidR="002E4562" w:rsidRPr="00190CF9">
              <w:rPr>
                <w:rFonts w:ascii="Arial" w:hAnsi="Arial" w:cs="Arial"/>
                <w:sz w:val="18"/>
                <w:szCs w:val="18"/>
                <w:lang w:val="es-ES_tradnl"/>
              </w:rPr>
              <w:t>–</w:t>
            </w:r>
            <w:r w:rsidR="00F97EE8" w:rsidRPr="00190CF9">
              <w:rPr>
                <w:rFonts w:ascii="Arial" w:hAnsi="Arial" w:cs="Arial"/>
                <w:sz w:val="18"/>
                <w:szCs w:val="18"/>
                <w:lang w:val="es-ES_tradnl"/>
              </w:rPr>
              <w:t>incluyendo el Distrito Nacional</w:t>
            </w:r>
            <w:r w:rsidR="002E4562" w:rsidRPr="00190CF9">
              <w:rPr>
                <w:rFonts w:ascii="Arial" w:hAnsi="Arial" w:cs="Arial"/>
                <w:sz w:val="18"/>
                <w:szCs w:val="18"/>
                <w:lang w:val="es-ES_tradnl"/>
              </w:rPr>
              <w:t>–</w:t>
            </w:r>
            <w:r w:rsidR="00F97EE8" w:rsidRPr="00190CF9">
              <w:rPr>
                <w:rFonts w:ascii="Arial" w:hAnsi="Arial" w:cs="Arial"/>
                <w:sz w:val="18"/>
                <w:szCs w:val="18"/>
                <w:lang w:val="es-ES_tradnl"/>
              </w:rPr>
              <w:t xml:space="preserve"> a 19 provincias en la actualidad)</w:t>
            </w:r>
            <w:r w:rsidRPr="00190CF9">
              <w:rPr>
                <w:rFonts w:ascii="Arial" w:hAnsi="Arial" w:cs="Arial"/>
                <w:sz w:val="18"/>
                <w:szCs w:val="18"/>
                <w:lang w:val="es-ES_tradnl"/>
              </w:rPr>
              <w:t xml:space="preserve"> ha significado un importante avance en la implementación de incentivos a la formalización laboral y empresarial.</w:t>
            </w:r>
            <w:r w:rsidR="002E4562" w:rsidRPr="00190CF9">
              <w:rPr>
                <w:rFonts w:ascii="Arial" w:hAnsi="Arial" w:cs="Arial"/>
                <w:sz w:val="18"/>
                <w:szCs w:val="18"/>
                <w:lang w:val="es-ES_tradnl"/>
              </w:rPr>
              <w:t xml:space="preserve"> Antes de la introducción del portal web de la ventanilla única de Formalización de Empresas — </w:t>
            </w:r>
            <w:r w:rsidR="002E4562" w:rsidRPr="00A778E5">
              <w:rPr>
                <w:rFonts w:ascii="Arial" w:hAnsi="Arial" w:cs="Arial"/>
                <w:i/>
                <w:sz w:val="18"/>
                <w:szCs w:val="18"/>
                <w:lang w:val="es-ES_tradnl"/>
              </w:rPr>
              <w:t>Formalízate</w:t>
            </w:r>
            <w:r w:rsidR="002E4562" w:rsidRPr="00190CF9">
              <w:rPr>
                <w:rFonts w:ascii="Arial" w:hAnsi="Arial" w:cs="Arial"/>
                <w:sz w:val="18"/>
                <w:szCs w:val="18"/>
                <w:lang w:val="es-ES_tradnl"/>
              </w:rPr>
              <w:t xml:space="preserve">, el proceso de creación de Empresas Individuales de Responsabilidad Limitada (EIRL) y Sociedades de Responsabilidad Limitada (SRL) era relativamente oneroso, llevaba aproximadamente 20 días laborales, ocho visitas, y costaba más de US$1.000. Pero con la introducción de </w:t>
            </w:r>
            <w:r w:rsidR="002E4562" w:rsidRPr="00A778E5">
              <w:rPr>
                <w:rFonts w:ascii="Arial" w:hAnsi="Arial" w:cs="Arial"/>
                <w:i/>
                <w:sz w:val="18"/>
                <w:szCs w:val="18"/>
                <w:lang w:val="es-ES_tradnl"/>
              </w:rPr>
              <w:t>Formalízate</w:t>
            </w:r>
            <w:r w:rsidR="002E4562" w:rsidRPr="00190CF9">
              <w:rPr>
                <w:rFonts w:ascii="Arial" w:hAnsi="Arial" w:cs="Arial"/>
                <w:sz w:val="18"/>
                <w:szCs w:val="18"/>
                <w:lang w:val="es-ES_tradnl"/>
              </w:rPr>
              <w:t>, se ha podido acelerar el proceso de creación de una EIRL o SRL a siete días laborales, dos visitas, y un costo de aproximadamente US$150.</w:t>
            </w:r>
          </w:p>
        </w:tc>
      </w:tr>
      <w:tr w:rsidR="00092B9C" w:rsidRPr="00A778E5" w14:paraId="359DFBD8" w14:textId="77777777" w:rsidTr="00482DDC">
        <w:trPr>
          <w:cantSplit/>
          <w:trHeight w:val="403"/>
          <w:jc w:val="center"/>
        </w:trPr>
        <w:tc>
          <w:tcPr>
            <w:tcW w:w="1012" w:type="pct"/>
            <w:tcBorders>
              <w:left w:val="single" w:sz="4" w:space="0" w:color="auto"/>
              <w:right w:val="single" w:sz="4" w:space="0" w:color="auto"/>
            </w:tcBorders>
            <w:shd w:val="clear" w:color="auto" w:fill="auto"/>
          </w:tcPr>
          <w:p w14:paraId="418831B6" w14:textId="77777777" w:rsidR="00092B9C" w:rsidRPr="00190CF9" w:rsidRDefault="00092B9C" w:rsidP="00092B9C">
            <w:pPr>
              <w:pStyle w:val="ListParagraph"/>
              <w:numPr>
                <w:ilvl w:val="0"/>
                <w:numId w:val="37"/>
              </w:numPr>
              <w:ind w:right="144"/>
              <w:contextualSpacing w:val="0"/>
              <w:rPr>
                <w:rFonts w:ascii="Arial" w:hAnsi="Arial" w:cs="Arial"/>
                <w:b/>
                <w:sz w:val="18"/>
                <w:szCs w:val="18"/>
                <w:lang w:val="es-ES_tradnl"/>
              </w:rPr>
            </w:pPr>
            <w:r w:rsidRPr="00190CF9">
              <w:rPr>
                <w:rFonts w:ascii="Arial" w:hAnsi="Arial" w:cs="Arial"/>
                <w:b/>
                <w:sz w:val="18"/>
                <w:szCs w:val="18"/>
                <w:lang w:val="es-ES_tradnl"/>
              </w:rPr>
              <w:t xml:space="preserve">Mejoras en la consolidación de los regímenes administrativos para la inclusión de trabajadores en la seguridad social </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20E7DB20" w14:textId="77777777" w:rsidR="00092B9C" w:rsidRPr="00190CF9" w:rsidRDefault="00092B9C" w:rsidP="00092B9C">
            <w:pPr>
              <w:ind w:left="144" w:right="144"/>
              <w:jc w:val="both"/>
              <w:rPr>
                <w:rFonts w:ascii="Arial" w:hAnsi="Arial" w:cs="Arial"/>
                <w:sz w:val="18"/>
                <w:szCs w:val="18"/>
                <w:lang w:val="es-ES_tradnl"/>
              </w:rPr>
            </w:pPr>
            <w:r w:rsidRPr="00190CF9">
              <w:rPr>
                <w:rFonts w:ascii="Arial" w:hAnsi="Arial" w:cs="Arial"/>
                <w:sz w:val="18"/>
                <w:szCs w:val="18"/>
                <w:lang w:val="es-ES_tradnl"/>
              </w:rPr>
              <w:t>Diseño de una estrategia de monitoreo permanente de la evasión y elusión en base a la consolidación de los sistemas de información de registros fiscales y de la seguridad social.</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9CE2374" w14:textId="72E6A89D" w:rsidR="00092B9C" w:rsidRPr="00190CF9" w:rsidRDefault="00092B9C" w:rsidP="00092B9C">
            <w:pPr>
              <w:ind w:left="144" w:right="144"/>
              <w:jc w:val="both"/>
              <w:rPr>
                <w:rFonts w:ascii="Arial" w:hAnsi="Arial" w:cs="Arial"/>
                <w:sz w:val="18"/>
                <w:szCs w:val="18"/>
                <w:lang w:val="es-ES_tradnl"/>
              </w:rPr>
            </w:pPr>
            <w:r w:rsidRPr="00190CF9">
              <w:rPr>
                <w:rFonts w:ascii="Arial" w:hAnsi="Arial" w:cs="Arial"/>
                <w:sz w:val="18"/>
                <w:szCs w:val="18"/>
                <w:lang w:val="es-ES_tradnl"/>
              </w:rPr>
              <w:t xml:space="preserve">Diseño de una estrategia de monitoreo permanente </w:t>
            </w:r>
            <w:r w:rsidR="00BC5558" w:rsidRPr="00190CF9">
              <w:rPr>
                <w:rFonts w:ascii="Arial" w:hAnsi="Arial" w:cs="Arial"/>
                <w:sz w:val="18"/>
                <w:szCs w:val="18"/>
                <w:lang w:val="es-ES_tradnl"/>
              </w:rPr>
              <w:t xml:space="preserve">para reducir </w:t>
            </w:r>
            <w:r w:rsidRPr="00190CF9">
              <w:rPr>
                <w:rFonts w:ascii="Arial" w:hAnsi="Arial" w:cs="Arial"/>
                <w:sz w:val="18"/>
                <w:szCs w:val="18"/>
                <w:lang w:val="es-ES_tradnl"/>
              </w:rPr>
              <w:t xml:space="preserve">la evasión y elusión </w:t>
            </w:r>
            <w:r w:rsidR="00BC5558" w:rsidRPr="00190CF9">
              <w:rPr>
                <w:rFonts w:ascii="Arial" w:hAnsi="Arial" w:cs="Arial"/>
                <w:sz w:val="18"/>
                <w:szCs w:val="18"/>
                <w:lang w:val="es-ES_tradnl"/>
              </w:rPr>
              <w:t>en las contribuciones a la seguridad social</w:t>
            </w:r>
            <w:r w:rsidR="009F27C2" w:rsidRPr="00190CF9">
              <w:rPr>
                <w:rFonts w:ascii="Arial" w:hAnsi="Arial" w:cs="Arial"/>
                <w:sz w:val="18"/>
                <w:szCs w:val="18"/>
                <w:lang w:val="es-ES_tradnl"/>
              </w:rPr>
              <w:t>,</w:t>
            </w:r>
            <w:r w:rsidR="00BC5558" w:rsidRPr="00190CF9">
              <w:rPr>
                <w:rFonts w:ascii="Arial" w:hAnsi="Arial" w:cs="Arial"/>
                <w:sz w:val="18"/>
                <w:szCs w:val="18"/>
                <w:lang w:val="es-ES_tradnl"/>
              </w:rPr>
              <w:t xml:space="preserve"> </w:t>
            </w:r>
            <w:r w:rsidRPr="00190CF9">
              <w:rPr>
                <w:rFonts w:ascii="Arial" w:hAnsi="Arial" w:cs="Arial"/>
                <w:sz w:val="18"/>
                <w:szCs w:val="18"/>
                <w:lang w:val="es-ES_tradnl"/>
              </w:rPr>
              <w:t xml:space="preserve">en base a la </w:t>
            </w:r>
            <w:r w:rsidR="007E212C" w:rsidRPr="00190CF9">
              <w:rPr>
                <w:rFonts w:ascii="Arial" w:hAnsi="Arial" w:cs="Arial"/>
                <w:sz w:val="18"/>
                <w:szCs w:val="18"/>
                <w:lang w:val="es-ES_tradnl"/>
              </w:rPr>
              <w:t xml:space="preserve">coordinación entre </w:t>
            </w:r>
            <w:r w:rsidRPr="00190CF9">
              <w:rPr>
                <w:rFonts w:ascii="Arial" w:hAnsi="Arial" w:cs="Arial"/>
                <w:sz w:val="18"/>
                <w:szCs w:val="18"/>
                <w:lang w:val="es-ES_tradnl"/>
              </w:rPr>
              <w:t xml:space="preserve">los sistemas de información de registros fiscales y de la seguridad social.  </w:t>
            </w:r>
          </w:p>
        </w:tc>
        <w:tc>
          <w:tcPr>
            <w:tcW w:w="1634" w:type="pct"/>
            <w:tcBorders>
              <w:top w:val="single" w:sz="4" w:space="0" w:color="auto"/>
              <w:left w:val="single" w:sz="4" w:space="0" w:color="auto"/>
              <w:bottom w:val="single" w:sz="4" w:space="0" w:color="auto"/>
              <w:right w:val="single" w:sz="4" w:space="0" w:color="auto"/>
            </w:tcBorders>
            <w:shd w:val="clear" w:color="auto" w:fill="auto"/>
          </w:tcPr>
          <w:p w14:paraId="64D0B433" w14:textId="03C1280D" w:rsidR="00092B9C" w:rsidRPr="00190CF9" w:rsidRDefault="00092B9C" w:rsidP="007E1DF8">
            <w:pPr>
              <w:tabs>
                <w:tab w:val="left" w:pos="567"/>
              </w:tabs>
              <w:ind w:left="109" w:right="90"/>
              <w:jc w:val="both"/>
              <w:rPr>
                <w:rFonts w:ascii="Arial" w:hAnsi="Arial" w:cs="Arial"/>
                <w:sz w:val="18"/>
                <w:szCs w:val="18"/>
                <w:lang w:val="es-ES_tradnl"/>
              </w:rPr>
            </w:pPr>
            <w:r w:rsidRPr="00190CF9">
              <w:rPr>
                <w:rFonts w:ascii="Arial" w:hAnsi="Arial" w:cs="Arial"/>
                <w:b/>
                <w:sz w:val="18"/>
                <w:szCs w:val="18"/>
                <w:lang w:val="es-ES_tradnl"/>
              </w:rPr>
              <w:t xml:space="preserve">Cumplido. </w:t>
            </w:r>
            <w:r w:rsidR="00BC5558" w:rsidRPr="00190CF9">
              <w:rPr>
                <w:rFonts w:ascii="Arial" w:hAnsi="Arial" w:cs="Arial"/>
                <w:b/>
                <w:sz w:val="18"/>
                <w:szCs w:val="18"/>
                <w:lang w:val="es-ES_tradnl"/>
              </w:rPr>
              <w:t xml:space="preserve">Se modificó la redacción del compromiso para precisar mejor su alcance. </w:t>
            </w:r>
            <w:r w:rsidRPr="00190CF9">
              <w:rPr>
                <w:rFonts w:ascii="Arial" w:hAnsi="Arial" w:cs="Arial"/>
                <w:sz w:val="18"/>
                <w:szCs w:val="18"/>
                <w:lang w:val="es-ES_tradnl"/>
              </w:rPr>
              <w:t>La Tesorería de la Seguridad Social</w:t>
            </w:r>
            <w:r w:rsidR="002E4562" w:rsidRPr="00190CF9">
              <w:rPr>
                <w:rFonts w:ascii="Arial" w:hAnsi="Arial" w:cs="Arial"/>
                <w:sz w:val="18"/>
                <w:szCs w:val="18"/>
                <w:lang w:val="es-ES_tradnl"/>
              </w:rPr>
              <w:t xml:space="preserve"> (TSS</w:t>
            </w:r>
            <w:r w:rsidRPr="00190CF9">
              <w:rPr>
                <w:rFonts w:ascii="Arial" w:hAnsi="Arial" w:cs="Arial"/>
                <w:sz w:val="18"/>
                <w:szCs w:val="18"/>
                <w:lang w:val="es-ES_tradnl"/>
              </w:rPr>
              <w:t>)</w:t>
            </w:r>
            <w:r w:rsidR="009A5C3A" w:rsidRPr="00190CF9">
              <w:rPr>
                <w:rFonts w:ascii="Arial" w:hAnsi="Arial" w:cs="Arial"/>
                <w:sz w:val="18"/>
                <w:szCs w:val="18"/>
                <w:lang w:val="es-ES_tradnl"/>
              </w:rPr>
              <w:t xml:space="preserve">, </w:t>
            </w:r>
            <w:r w:rsidR="002E4562" w:rsidRPr="00190CF9">
              <w:rPr>
                <w:rFonts w:ascii="Arial" w:hAnsi="Arial" w:cs="Arial"/>
                <w:sz w:val="18"/>
                <w:szCs w:val="18"/>
                <w:lang w:val="es-ES_tradnl"/>
              </w:rPr>
              <w:t>present</w:t>
            </w:r>
            <w:r w:rsidR="00864F70" w:rsidRPr="00190CF9">
              <w:rPr>
                <w:rFonts w:ascii="Arial" w:hAnsi="Arial" w:cs="Arial"/>
                <w:sz w:val="18"/>
                <w:szCs w:val="18"/>
                <w:lang w:val="es-ES_tradnl"/>
              </w:rPr>
              <w:t>ó el 20 de octubre de 2017</w:t>
            </w:r>
            <w:r w:rsidR="002E4562" w:rsidRPr="00190CF9">
              <w:rPr>
                <w:rFonts w:ascii="Arial" w:hAnsi="Arial" w:cs="Arial"/>
                <w:sz w:val="18"/>
                <w:szCs w:val="18"/>
                <w:lang w:val="es-ES_tradnl"/>
              </w:rPr>
              <w:t xml:space="preserve"> </w:t>
            </w:r>
            <w:r w:rsidR="009A5C3A" w:rsidRPr="00190CF9">
              <w:rPr>
                <w:rFonts w:ascii="Arial" w:hAnsi="Arial" w:cs="Arial"/>
                <w:sz w:val="18"/>
                <w:szCs w:val="18"/>
                <w:lang w:val="es-ES_tradnl"/>
              </w:rPr>
              <w:t xml:space="preserve">la estrategia de monitoreo </w:t>
            </w:r>
            <w:r w:rsidR="002E4562" w:rsidRPr="00190CF9">
              <w:rPr>
                <w:rFonts w:ascii="Arial" w:hAnsi="Arial" w:cs="Arial"/>
                <w:sz w:val="18"/>
                <w:szCs w:val="18"/>
                <w:lang w:val="es-ES_tradnl"/>
              </w:rPr>
              <w:t xml:space="preserve">diseñada, la </w:t>
            </w:r>
            <w:r w:rsidR="00BC5558" w:rsidRPr="00190CF9">
              <w:rPr>
                <w:rFonts w:ascii="Arial" w:hAnsi="Arial" w:cs="Arial"/>
                <w:sz w:val="18"/>
                <w:szCs w:val="18"/>
                <w:lang w:val="es-ES_tradnl"/>
              </w:rPr>
              <w:t>cual</w:t>
            </w:r>
            <w:r w:rsidR="002E4562" w:rsidRPr="00190CF9">
              <w:rPr>
                <w:rFonts w:ascii="Arial" w:hAnsi="Arial" w:cs="Arial"/>
                <w:sz w:val="18"/>
                <w:szCs w:val="18"/>
                <w:lang w:val="es-ES_tradnl"/>
              </w:rPr>
              <w:t xml:space="preserve"> incluye la futura creación de un nuevo Departamento de Inteligencia Fiscal en la TSS</w:t>
            </w:r>
            <w:r w:rsidR="009A5C3A" w:rsidRPr="00190CF9">
              <w:rPr>
                <w:rFonts w:ascii="Arial" w:hAnsi="Arial" w:cs="Arial"/>
                <w:sz w:val="18"/>
                <w:szCs w:val="18"/>
                <w:lang w:val="es-ES_tradnl"/>
              </w:rPr>
              <w:t>.</w:t>
            </w:r>
          </w:p>
        </w:tc>
      </w:tr>
    </w:tbl>
    <w:p w14:paraId="08D355DA" w14:textId="77777777" w:rsidR="000A39B8" w:rsidRPr="002F27AA" w:rsidRDefault="000A39B8" w:rsidP="000A39B8">
      <w:pPr>
        <w:rPr>
          <w:rFonts w:ascii="Arial" w:hAnsi="Arial" w:cs="Arial"/>
          <w:sz w:val="20"/>
          <w:szCs w:val="20"/>
          <w:lang w:val="es-ES_tradnl"/>
        </w:rPr>
      </w:pPr>
    </w:p>
    <w:sectPr w:rsidR="000A39B8" w:rsidRPr="002F27AA" w:rsidSect="00E82EFC">
      <w:headerReference w:type="even" r:id="rId10"/>
      <w:headerReference w:type="default" r:id="rId11"/>
      <w:footerReference w:type="default" r:id="rId12"/>
      <w:pgSz w:w="15840" w:h="12240" w:orient="landscape" w:code="1"/>
      <w:pgMar w:top="45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9CAB" w14:textId="77777777" w:rsidR="006473BD" w:rsidRDefault="006473BD">
      <w:r>
        <w:separator/>
      </w:r>
    </w:p>
  </w:endnote>
  <w:endnote w:type="continuationSeparator" w:id="0">
    <w:p w14:paraId="7B755A25" w14:textId="77777777" w:rsidR="006473BD" w:rsidRDefault="006473BD">
      <w:r>
        <w:continuationSeparator/>
      </w:r>
    </w:p>
  </w:endnote>
  <w:endnote w:type="continuationNotice" w:id="1">
    <w:p w14:paraId="674DF4F7" w14:textId="77777777" w:rsidR="006473BD" w:rsidRDefault="0064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0CD5" w14:textId="77777777" w:rsidR="00A7090F" w:rsidRPr="00B143E8" w:rsidRDefault="00A7090F" w:rsidP="00D73AE8">
    <w:pPr>
      <w:pStyle w:val="Footer"/>
      <w:ind w:right="360"/>
      <w:rPr>
        <w:rFonts w:ascii="Arial" w:hAnsi="Arial" w:cs="Arial"/>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6001" w14:textId="77777777" w:rsidR="006473BD" w:rsidRDefault="006473BD">
      <w:r>
        <w:separator/>
      </w:r>
    </w:p>
  </w:footnote>
  <w:footnote w:type="continuationSeparator" w:id="0">
    <w:p w14:paraId="445B7D45" w14:textId="77777777" w:rsidR="006473BD" w:rsidRDefault="006473BD">
      <w:r>
        <w:continuationSeparator/>
      </w:r>
    </w:p>
  </w:footnote>
  <w:footnote w:type="continuationNotice" w:id="1">
    <w:p w14:paraId="5B2B29DC" w14:textId="77777777" w:rsidR="006473BD" w:rsidRDefault="00647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36559"/>
      <w:docPartObj>
        <w:docPartGallery w:val="Page Numbers (Top of Page)"/>
        <w:docPartUnique/>
      </w:docPartObj>
    </w:sdtPr>
    <w:sdtEndPr>
      <w:rPr>
        <w:rFonts w:ascii="Arial" w:hAnsi="Arial" w:cs="Arial"/>
        <w:sz w:val="18"/>
        <w:szCs w:val="18"/>
      </w:rPr>
    </w:sdtEndPr>
    <w:sdtContent>
      <w:p w14:paraId="6A6BD512" w14:textId="77777777" w:rsidR="002F24F5" w:rsidRPr="00B66999" w:rsidRDefault="002F24F5" w:rsidP="002F24F5">
        <w:pPr>
          <w:pStyle w:val="Header"/>
          <w:rPr>
            <w:rFonts w:ascii="Arial" w:hAnsi="Arial" w:cs="Arial"/>
            <w:sz w:val="18"/>
            <w:szCs w:val="18"/>
            <w:lang w:val="pt-BR"/>
          </w:rPr>
        </w:pPr>
        <w:r w:rsidRPr="00B66999">
          <w:rPr>
            <w:rFonts w:ascii="Arial" w:hAnsi="Arial" w:cs="Arial"/>
            <w:sz w:val="18"/>
            <w:szCs w:val="18"/>
            <w:lang w:val="pt-BR"/>
          </w:rPr>
          <w:t xml:space="preserve">Anexo II – </w:t>
        </w:r>
        <w:r w:rsidR="00FD743E">
          <w:rPr>
            <w:rFonts w:ascii="Arial" w:hAnsi="Arial" w:cs="Arial"/>
            <w:sz w:val="18"/>
            <w:szCs w:val="18"/>
            <w:lang w:val="pt-BR"/>
          </w:rPr>
          <w:t xml:space="preserve">CH </w:t>
        </w:r>
        <w:r w:rsidRPr="00B66999">
          <w:rPr>
            <w:rFonts w:ascii="Arial" w:hAnsi="Arial" w:cs="Arial"/>
            <w:sz w:val="18"/>
            <w:szCs w:val="18"/>
            <w:lang w:val="pt-BR"/>
          </w:rPr>
          <w:t>L11</w:t>
        </w:r>
        <w:r w:rsidR="00FD743E">
          <w:rPr>
            <w:rFonts w:ascii="Arial" w:hAnsi="Arial" w:cs="Arial"/>
            <w:sz w:val="18"/>
            <w:szCs w:val="18"/>
            <w:lang w:val="pt-BR"/>
          </w:rPr>
          <w:t>05</w:t>
        </w:r>
      </w:p>
      <w:p w14:paraId="45D9FF83" w14:textId="77777777" w:rsidR="002F24F5" w:rsidRPr="00B66999" w:rsidRDefault="002F24F5">
        <w:pPr>
          <w:pStyle w:val="Header"/>
          <w:rPr>
            <w:rFonts w:ascii="Arial" w:hAnsi="Arial" w:cs="Arial"/>
            <w:sz w:val="18"/>
            <w:szCs w:val="18"/>
            <w:lang w:val="pt-BR"/>
          </w:rPr>
        </w:pPr>
        <w:r w:rsidRPr="00B66999">
          <w:rPr>
            <w:rFonts w:ascii="Arial" w:hAnsi="Arial" w:cs="Arial"/>
            <w:sz w:val="18"/>
            <w:szCs w:val="18"/>
            <w:lang w:val="pt-BR"/>
          </w:rPr>
          <w:t>P</w:t>
        </w:r>
        <w:r w:rsidR="000573E8" w:rsidRPr="00B66999">
          <w:rPr>
            <w:rFonts w:ascii="Arial" w:hAnsi="Arial" w:cs="Arial"/>
            <w:sz w:val="18"/>
            <w:szCs w:val="18"/>
            <w:lang w:val="pt-BR"/>
          </w:rPr>
          <w:t>ágina</w:t>
        </w:r>
        <w:r w:rsidRPr="00B66999">
          <w:rPr>
            <w:rFonts w:ascii="Arial" w:hAnsi="Arial" w:cs="Arial"/>
            <w:sz w:val="18"/>
            <w:szCs w:val="18"/>
            <w:lang w:val="pt-BR"/>
          </w:rPr>
          <w:t xml:space="preserve"> </w:t>
        </w:r>
        <w:r w:rsidR="00DB1881" w:rsidRPr="00B66999">
          <w:rPr>
            <w:rFonts w:ascii="Arial" w:hAnsi="Arial" w:cs="Arial"/>
            <w:bCs/>
            <w:sz w:val="18"/>
            <w:szCs w:val="18"/>
          </w:rPr>
          <w:fldChar w:fldCharType="begin"/>
        </w:r>
        <w:r w:rsidRPr="00B66999">
          <w:rPr>
            <w:rFonts w:ascii="Arial" w:hAnsi="Arial" w:cs="Arial"/>
            <w:bCs/>
            <w:sz w:val="18"/>
            <w:szCs w:val="18"/>
            <w:lang w:val="pt-BR"/>
          </w:rPr>
          <w:instrText xml:space="preserve"> PAGE </w:instrText>
        </w:r>
        <w:r w:rsidR="00DB1881" w:rsidRPr="00B66999">
          <w:rPr>
            <w:rFonts w:ascii="Arial" w:hAnsi="Arial" w:cs="Arial"/>
            <w:bCs/>
            <w:sz w:val="18"/>
            <w:szCs w:val="18"/>
          </w:rPr>
          <w:fldChar w:fldCharType="separate"/>
        </w:r>
        <w:r w:rsidR="00AE2F44">
          <w:rPr>
            <w:rFonts w:ascii="Arial" w:hAnsi="Arial" w:cs="Arial"/>
            <w:bCs/>
            <w:noProof/>
            <w:sz w:val="18"/>
            <w:szCs w:val="18"/>
            <w:lang w:val="pt-BR"/>
          </w:rPr>
          <w:t>2</w:t>
        </w:r>
        <w:r w:rsidR="00DB1881" w:rsidRPr="00B66999">
          <w:rPr>
            <w:rFonts w:ascii="Arial" w:hAnsi="Arial" w:cs="Arial"/>
            <w:bCs/>
            <w:sz w:val="18"/>
            <w:szCs w:val="18"/>
          </w:rPr>
          <w:fldChar w:fldCharType="end"/>
        </w:r>
        <w:r w:rsidRPr="00B66999">
          <w:rPr>
            <w:rFonts w:ascii="Arial" w:hAnsi="Arial" w:cs="Arial"/>
            <w:sz w:val="18"/>
            <w:szCs w:val="18"/>
            <w:lang w:val="pt-BR"/>
          </w:rPr>
          <w:t xml:space="preserve"> </w:t>
        </w:r>
        <w:r w:rsidR="000573E8" w:rsidRPr="00B66999">
          <w:rPr>
            <w:rFonts w:ascii="Arial" w:hAnsi="Arial" w:cs="Arial"/>
            <w:sz w:val="18"/>
            <w:szCs w:val="18"/>
            <w:lang w:val="pt-BR"/>
          </w:rPr>
          <w:t>de</w:t>
        </w:r>
        <w:r w:rsidRPr="00B66999">
          <w:rPr>
            <w:rFonts w:ascii="Arial" w:hAnsi="Arial" w:cs="Arial"/>
            <w:sz w:val="18"/>
            <w:szCs w:val="18"/>
            <w:lang w:val="pt-BR"/>
          </w:rPr>
          <w:t xml:space="preserve"> </w:t>
        </w:r>
        <w:r w:rsidR="00DB1881" w:rsidRPr="00B66999">
          <w:rPr>
            <w:rFonts w:ascii="Arial" w:hAnsi="Arial" w:cs="Arial"/>
            <w:bCs/>
            <w:sz w:val="18"/>
            <w:szCs w:val="18"/>
          </w:rPr>
          <w:fldChar w:fldCharType="begin"/>
        </w:r>
        <w:r w:rsidRPr="00B66999">
          <w:rPr>
            <w:rFonts w:ascii="Arial" w:hAnsi="Arial" w:cs="Arial"/>
            <w:bCs/>
            <w:sz w:val="18"/>
            <w:szCs w:val="18"/>
            <w:lang w:val="pt-BR"/>
          </w:rPr>
          <w:instrText xml:space="preserve"> NUMPAGES  </w:instrText>
        </w:r>
        <w:r w:rsidR="00DB1881" w:rsidRPr="00B66999">
          <w:rPr>
            <w:rFonts w:ascii="Arial" w:hAnsi="Arial" w:cs="Arial"/>
            <w:bCs/>
            <w:sz w:val="18"/>
            <w:szCs w:val="18"/>
          </w:rPr>
          <w:fldChar w:fldCharType="separate"/>
        </w:r>
        <w:r w:rsidR="00E82EFC">
          <w:rPr>
            <w:rFonts w:ascii="Arial" w:hAnsi="Arial" w:cs="Arial"/>
            <w:bCs/>
            <w:noProof/>
            <w:sz w:val="18"/>
            <w:szCs w:val="18"/>
            <w:lang w:val="pt-BR"/>
          </w:rPr>
          <w:t>13</w:t>
        </w:r>
        <w:r w:rsidR="00DB1881" w:rsidRPr="00B66999">
          <w:rPr>
            <w:rFonts w:ascii="Arial" w:hAnsi="Arial" w:cs="Arial"/>
            <w:bCs/>
            <w:sz w:val="18"/>
            <w:szCs w:val="18"/>
          </w:rPr>
          <w:fldChar w:fldCharType="end"/>
        </w:r>
      </w:p>
    </w:sdtContent>
  </w:sdt>
  <w:p w14:paraId="572C149D" w14:textId="77777777" w:rsidR="002F24F5" w:rsidRPr="002F24F5" w:rsidRDefault="002F24F5">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7790" w14:textId="77777777" w:rsidR="008D2CCA" w:rsidRPr="00D1000D" w:rsidRDefault="006D654A" w:rsidP="006D654A">
    <w:pPr>
      <w:pStyle w:val="Header"/>
      <w:jc w:val="right"/>
      <w:rPr>
        <w:rFonts w:ascii="Arial" w:hAnsi="Arial" w:cs="Arial"/>
        <w:sz w:val="18"/>
        <w:szCs w:val="18"/>
        <w:lang w:val="es-ES_tradnl"/>
      </w:rPr>
    </w:pPr>
    <w:r w:rsidRPr="00D1000D">
      <w:rPr>
        <w:rFonts w:ascii="Arial" w:hAnsi="Arial" w:cs="Arial"/>
        <w:sz w:val="18"/>
        <w:szCs w:val="18"/>
        <w:lang w:val="es-ES_tradnl"/>
      </w:rPr>
      <w:t>Programa de Mejora de la Productividad y la Formalización en República Dominicana II</w:t>
    </w:r>
    <w:r w:rsidR="0067227F" w:rsidRPr="00D1000D">
      <w:rPr>
        <w:rFonts w:ascii="Arial" w:hAnsi="Arial" w:cs="Arial"/>
        <w:sz w:val="18"/>
        <w:szCs w:val="18"/>
        <w:lang w:val="es-ES_tradnl"/>
      </w:rPr>
      <w:t xml:space="preserve">. </w:t>
    </w:r>
    <w:r w:rsidR="00AB7CDB" w:rsidRPr="00D1000D">
      <w:rPr>
        <w:rFonts w:ascii="Arial" w:hAnsi="Arial" w:cs="Arial"/>
        <w:sz w:val="18"/>
        <w:szCs w:val="18"/>
        <w:lang w:val="es-ES_tradnl"/>
      </w:rPr>
      <w:t xml:space="preserve">DR-L1121 </w:t>
    </w:r>
  </w:p>
  <w:p w14:paraId="0E6CB931" w14:textId="3E059BAD" w:rsidR="00A7090F" w:rsidRPr="00B66999" w:rsidRDefault="00A7090F" w:rsidP="00A34A6C">
    <w:pPr>
      <w:pStyle w:val="Header"/>
      <w:jc w:val="right"/>
      <w:rPr>
        <w:rFonts w:ascii="Arial" w:hAnsi="Arial" w:cs="Arial"/>
        <w:sz w:val="18"/>
        <w:szCs w:val="18"/>
        <w:lang w:val="pt-BR"/>
      </w:rPr>
    </w:pPr>
    <w:r w:rsidRPr="006D654A">
      <w:rPr>
        <w:rFonts w:ascii="Arial" w:hAnsi="Arial" w:cs="Arial"/>
        <w:sz w:val="18"/>
        <w:szCs w:val="18"/>
        <w:lang w:val="es-ES_tradnl"/>
      </w:rPr>
      <w:t xml:space="preserve">Página </w:t>
    </w:r>
    <w:r w:rsidR="00DB1881" w:rsidRPr="00B66999">
      <w:rPr>
        <w:rFonts w:ascii="Arial" w:hAnsi="Arial" w:cs="Arial"/>
        <w:sz w:val="18"/>
        <w:szCs w:val="18"/>
      </w:rPr>
      <w:fldChar w:fldCharType="begin"/>
    </w:r>
    <w:r w:rsidRPr="00B66999">
      <w:rPr>
        <w:rFonts w:ascii="Arial" w:hAnsi="Arial" w:cs="Arial"/>
        <w:sz w:val="18"/>
        <w:szCs w:val="18"/>
        <w:lang w:val="pt-BR"/>
      </w:rPr>
      <w:instrText xml:space="preserve"> PAGE </w:instrText>
    </w:r>
    <w:r w:rsidR="00DB1881" w:rsidRPr="00B66999">
      <w:rPr>
        <w:rFonts w:ascii="Arial" w:hAnsi="Arial" w:cs="Arial"/>
        <w:sz w:val="18"/>
        <w:szCs w:val="18"/>
      </w:rPr>
      <w:fldChar w:fldCharType="separate"/>
    </w:r>
    <w:r w:rsidR="00424B0F">
      <w:rPr>
        <w:rFonts w:ascii="Arial" w:hAnsi="Arial" w:cs="Arial"/>
        <w:noProof/>
        <w:sz w:val="18"/>
        <w:szCs w:val="18"/>
        <w:lang w:val="pt-BR"/>
      </w:rPr>
      <w:t>11</w:t>
    </w:r>
    <w:r w:rsidR="00DB1881" w:rsidRPr="00B66999">
      <w:rPr>
        <w:rFonts w:ascii="Arial" w:hAnsi="Arial" w:cs="Arial"/>
        <w:sz w:val="18"/>
        <w:szCs w:val="18"/>
      </w:rPr>
      <w:fldChar w:fldCharType="end"/>
    </w:r>
    <w:r w:rsidRPr="00B66999">
      <w:rPr>
        <w:rFonts w:ascii="Arial" w:hAnsi="Arial" w:cs="Arial"/>
        <w:sz w:val="18"/>
        <w:szCs w:val="18"/>
        <w:lang w:val="pt-BR"/>
      </w:rPr>
      <w:t xml:space="preserve"> de </w:t>
    </w:r>
    <w:r w:rsidR="00DB1881" w:rsidRPr="00B66999">
      <w:rPr>
        <w:rFonts w:ascii="Arial" w:hAnsi="Arial" w:cs="Arial"/>
        <w:sz w:val="18"/>
        <w:szCs w:val="18"/>
      </w:rPr>
      <w:fldChar w:fldCharType="begin"/>
    </w:r>
    <w:r w:rsidRPr="00B66999">
      <w:rPr>
        <w:rFonts w:ascii="Arial" w:hAnsi="Arial" w:cs="Arial"/>
        <w:sz w:val="18"/>
        <w:szCs w:val="18"/>
        <w:lang w:val="pt-BR"/>
      </w:rPr>
      <w:instrText xml:space="preserve"> NUMPAGES </w:instrText>
    </w:r>
    <w:r w:rsidR="00DB1881" w:rsidRPr="00B66999">
      <w:rPr>
        <w:rFonts w:ascii="Arial" w:hAnsi="Arial" w:cs="Arial"/>
        <w:sz w:val="18"/>
        <w:szCs w:val="18"/>
      </w:rPr>
      <w:fldChar w:fldCharType="separate"/>
    </w:r>
    <w:r w:rsidR="00424B0F">
      <w:rPr>
        <w:rFonts w:ascii="Arial" w:hAnsi="Arial" w:cs="Arial"/>
        <w:noProof/>
        <w:sz w:val="18"/>
        <w:szCs w:val="18"/>
        <w:lang w:val="pt-BR"/>
      </w:rPr>
      <w:t>12</w:t>
    </w:r>
    <w:r w:rsidR="00DB1881" w:rsidRPr="00B66999">
      <w:rPr>
        <w:rFonts w:ascii="Arial" w:hAnsi="Arial" w:cs="Arial"/>
        <w:sz w:val="18"/>
        <w:szCs w:val="18"/>
      </w:rPr>
      <w:fldChar w:fldCharType="end"/>
    </w:r>
  </w:p>
  <w:p w14:paraId="7C093329" w14:textId="77777777" w:rsidR="00A7090F" w:rsidRPr="00B66999" w:rsidRDefault="00A7090F">
    <w:pPr>
      <w:pStyle w:val="Header"/>
      <w:rPr>
        <w:rFonts w:ascii="Arial" w:hAnsi="Arial" w:cs="Arial"/>
        <w:sz w:val="18"/>
        <w:szCs w:val="1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3EE"/>
    <w:multiLevelType w:val="hybridMultilevel"/>
    <w:tmpl w:val="53C8A0F4"/>
    <w:lvl w:ilvl="0" w:tplc="CED8C710">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6674"/>
    <w:multiLevelType w:val="hybridMultilevel"/>
    <w:tmpl w:val="A9385F1E"/>
    <w:lvl w:ilvl="0" w:tplc="9000B894">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163D4"/>
    <w:multiLevelType w:val="hybridMultilevel"/>
    <w:tmpl w:val="363C1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D64E6"/>
    <w:multiLevelType w:val="hybridMultilevel"/>
    <w:tmpl w:val="A07E7410"/>
    <w:lvl w:ilvl="0" w:tplc="635649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9ED6FA8"/>
    <w:multiLevelType w:val="multilevel"/>
    <w:tmpl w:val="7C88CD58"/>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476"/>
        </w:tabs>
        <w:ind w:left="1476" w:hanging="1296"/>
      </w:pPr>
      <w:rPr>
        <w:b w:val="0"/>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5" w15:restartNumberingAfterBreak="0">
    <w:nsid w:val="0A6F7D5C"/>
    <w:multiLevelType w:val="hybridMultilevel"/>
    <w:tmpl w:val="D212A9F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54F3B"/>
    <w:multiLevelType w:val="hybridMultilevel"/>
    <w:tmpl w:val="ABAC60B6"/>
    <w:lvl w:ilvl="0" w:tplc="FD50711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26F4B"/>
    <w:multiLevelType w:val="hybridMultilevel"/>
    <w:tmpl w:val="1512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6610D"/>
    <w:multiLevelType w:val="hybridMultilevel"/>
    <w:tmpl w:val="302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77529"/>
    <w:multiLevelType w:val="hybridMultilevel"/>
    <w:tmpl w:val="98463408"/>
    <w:lvl w:ilvl="0" w:tplc="2FB0F3E8">
      <w:start w:val="1"/>
      <w:numFmt w:val="lowerLetter"/>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B73A3"/>
    <w:multiLevelType w:val="hybridMultilevel"/>
    <w:tmpl w:val="A7028438"/>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10B9E"/>
    <w:multiLevelType w:val="hybridMultilevel"/>
    <w:tmpl w:val="48461172"/>
    <w:lvl w:ilvl="0" w:tplc="3F1A56A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E1DB9"/>
    <w:multiLevelType w:val="hybridMultilevel"/>
    <w:tmpl w:val="363C1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D660E"/>
    <w:multiLevelType w:val="hybridMultilevel"/>
    <w:tmpl w:val="A0FA26C4"/>
    <w:lvl w:ilvl="0" w:tplc="86C6E4E4">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517D3"/>
    <w:multiLevelType w:val="hybridMultilevel"/>
    <w:tmpl w:val="29D2C56E"/>
    <w:lvl w:ilvl="0" w:tplc="4B6A79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83ADD"/>
    <w:multiLevelType w:val="hybridMultilevel"/>
    <w:tmpl w:val="6D2823C6"/>
    <w:lvl w:ilvl="0" w:tplc="D612F5DA">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961ED"/>
    <w:multiLevelType w:val="hybridMultilevel"/>
    <w:tmpl w:val="6BE4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D7535"/>
    <w:multiLevelType w:val="multilevel"/>
    <w:tmpl w:val="92369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B22F04"/>
    <w:multiLevelType w:val="hybridMultilevel"/>
    <w:tmpl w:val="7D7C5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F1254"/>
    <w:multiLevelType w:val="hybridMultilevel"/>
    <w:tmpl w:val="F490D3FE"/>
    <w:lvl w:ilvl="0" w:tplc="F0C8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A78AD"/>
    <w:multiLevelType w:val="hybridMultilevel"/>
    <w:tmpl w:val="7A2ED216"/>
    <w:lvl w:ilvl="0" w:tplc="5CB4E2B2">
      <w:start w:val="1"/>
      <w:numFmt w:val="lowerLetter"/>
      <w:lvlText w:val="%1."/>
      <w:lvlJc w:val="left"/>
      <w:pPr>
        <w:ind w:left="450" w:hanging="360"/>
      </w:pPr>
      <w:rPr>
        <w:rFonts w:ascii="Times New Roman" w:hAnsi="Times New Roman" w:cs="Times New Roman" w:hint="default"/>
        <w:b/>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27151F1"/>
    <w:multiLevelType w:val="hybridMultilevel"/>
    <w:tmpl w:val="0AFA6DF4"/>
    <w:lvl w:ilvl="0" w:tplc="12021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BA265E"/>
    <w:multiLevelType w:val="hybridMultilevel"/>
    <w:tmpl w:val="A4829516"/>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82C1E2A"/>
    <w:multiLevelType w:val="hybridMultilevel"/>
    <w:tmpl w:val="B6DC90BA"/>
    <w:lvl w:ilvl="0" w:tplc="20B425E8">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223DB"/>
    <w:multiLevelType w:val="multilevel"/>
    <w:tmpl w:val="FFF2B458"/>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3F8B747F"/>
    <w:multiLevelType w:val="hybridMultilevel"/>
    <w:tmpl w:val="527E2C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C573EE"/>
    <w:multiLevelType w:val="hybridMultilevel"/>
    <w:tmpl w:val="ACB05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72D5A"/>
    <w:multiLevelType w:val="hybridMultilevel"/>
    <w:tmpl w:val="08A04444"/>
    <w:lvl w:ilvl="0" w:tplc="5FCC8E5A">
      <w:start w:val="1"/>
      <w:numFmt w:val="low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47665714"/>
    <w:multiLevelType w:val="hybridMultilevel"/>
    <w:tmpl w:val="73B2D5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62541"/>
    <w:multiLevelType w:val="hybridMultilevel"/>
    <w:tmpl w:val="291441FC"/>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96544"/>
    <w:multiLevelType w:val="hybridMultilevel"/>
    <w:tmpl w:val="527EFC58"/>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7A3204D"/>
    <w:multiLevelType w:val="hybridMultilevel"/>
    <w:tmpl w:val="1BE23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F4D5F"/>
    <w:multiLevelType w:val="hybridMultilevel"/>
    <w:tmpl w:val="13E0D1D4"/>
    <w:lvl w:ilvl="0" w:tplc="FE3AA3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050D2"/>
    <w:multiLevelType w:val="hybridMultilevel"/>
    <w:tmpl w:val="21121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A2D90"/>
    <w:multiLevelType w:val="hybridMultilevel"/>
    <w:tmpl w:val="7390BE58"/>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9175A"/>
    <w:multiLevelType w:val="hybridMultilevel"/>
    <w:tmpl w:val="AC943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C4317"/>
    <w:multiLevelType w:val="hybridMultilevel"/>
    <w:tmpl w:val="9F5C3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3"/>
  </w:num>
  <w:num w:numId="4">
    <w:abstractNumId w:val="6"/>
  </w:num>
  <w:num w:numId="5">
    <w:abstractNumId w:val="29"/>
  </w:num>
  <w:num w:numId="6">
    <w:abstractNumId w:val="19"/>
  </w:num>
  <w:num w:numId="7">
    <w:abstractNumId w:val="2"/>
  </w:num>
  <w:num w:numId="8">
    <w:abstractNumId w:val="8"/>
  </w:num>
  <w:num w:numId="9">
    <w:abstractNumId w:val="32"/>
  </w:num>
  <w:num w:numId="10">
    <w:abstractNumId w:val="12"/>
  </w:num>
  <w:num w:numId="11">
    <w:abstractNumId w:val="7"/>
  </w:num>
  <w:num w:numId="12">
    <w:abstractNumId w:val="11"/>
  </w:num>
  <w:num w:numId="13">
    <w:abstractNumId w:val="14"/>
  </w:num>
  <w:num w:numId="14">
    <w:abstractNumId w:val="17"/>
  </w:num>
  <w:num w:numId="15">
    <w:abstractNumId w:val="30"/>
  </w:num>
  <w:num w:numId="16">
    <w:abstractNumId w:val="22"/>
  </w:num>
  <w:num w:numId="17">
    <w:abstractNumId w:val="13"/>
  </w:num>
  <w:num w:numId="18">
    <w:abstractNumId w:val="0"/>
  </w:num>
  <w:num w:numId="19">
    <w:abstractNumId w:val="15"/>
  </w:num>
  <w:num w:numId="20">
    <w:abstractNumId w:val="1"/>
  </w:num>
  <w:num w:numId="21">
    <w:abstractNumId w:val="24"/>
  </w:num>
  <w:num w:numId="22">
    <w:abstractNumId w:val="26"/>
  </w:num>
  <w:num w:numId="23">
    <w:abstractNumId w:val="28"/>
  </w:num>
  <w:num w:numId="24">
    <w:abstractNumId w:val="27"/>
  </w:num>
  <w:num w:numId="25">
    <w:abstractNumId w:val="25"/>
  </w:num>
  <w:num w:numId="26">
    <w:abstractNumId w:val="20"/>
  </w:num>
  <w:num w:numId="27">
    <w:abstractNumId w:val="9"/>
  </w:num>
  <w:num w:numId="28">
    <w:abstractNumId w:val="33"/>
  </w:num>
  <w:num w:numId="29">
    <w:abstractNumId w:val="16"/>
  </w:num>
  <w:num w:numId="30">
    <w:abstractNumId w:val="34"/>
  </w:num>
  <w:num w:numId="31">
    <w:abstractNumId w:val="10"/>
  </w:num>
  <w:num w:numId="32">
    <w:abstractNumId w:val="5"/>
  </w:num>
  <w:num w:numId="33">
    <w:abstractNumId w:val="35"/>
  </w:num>
  <w:num w:numId="34">
    <w:abstractNumId w:val="18"/>
  </w:num>
  <w:num w:numId="35">
    <w:abstractNumId w:val="36"/>
  </w:num>
  <w:num w:numId="36">
    <w:abstractNumId w:val="21"/>
  </w:num>
  <w:num w:numId="3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E4"/>
    <w:rsid w:val="00001935"/>
    <w:rsid w:val="00001BF6"/>
    <w:rsid w:val="00003F09"/>
    <w:rsid w:val="00006F22"/>
    <w:rsid w:val="00007246"/>
    <w:rsid w:val="000075C1"/>
    <w:rsid w:val="000075EC"/>
    <w:rsid w:val="00007956"/>
    <w:rsid w:val="00007D86"/>
    <w:rsid w:val="00007ED7"/>
    <w:rsid w:val="00010F2E"/>
    <w:rsid w:val="0001158E"/>
    <w:rsid w:val="00012FDD"/>
    <w:rsid w:val="00013065"/>
    <w:rsid w:val="0001416D"/>
    <w:rsid w:val="0001491D"/>
    <w:rsid w:val="00014AA0"/>
    <w:rsid w:val="00014ABB"/>
    <w:rsid w:val="00014FFA"/>
    <w:rsid w:val="0001543F"/>
    <w:rsid w:val="000155E7"/>
    <w:rsid w:val="00015CBD"/>
    <w:rsid w:val="00015E9C"/>
    <w:rsid w:val="0001634B"/>
    <w:rsid w:val="000165D4"/>
    <w:rsid w:val="00016A39"/>
    <w:rsid w:val="00016DD6"/>
    <w:rsid w:val="00016F50"/>
    <w:rsid w:val="000200EE"/>
    <w:rsid w:val="0002106C"/>
    <w:rsid w:val="000222B4"/>
    <w:rsid w:val="0002304B"/>
    <w:rsid w:val="00024ED3"/>
    <w:rsid w:val="0002507A"/>
    <w:rsid w:val="00025EA9"/>
    <w:rsid w:val="000266BB"/>
    <w:rsid w:val="00026D3F"/>
    <w:rsid w:val="00027893"/>
    <w:rsid w:val="00030109"/>
    <w:rsid w:val="00030709"/>
    <w:rsid w:val="00030F38"/>
    <w:rsid w:val="0003154B"/>
    <w:rsid w:val="00031FA9"/>
    <w:rsid w:val="00033311"/>
    <w:rsid w:val="00034982"/>
    <w:rsid w:val="00034E02"/>
    <w:rsid w:val="0003556D"/>
    <w:rsid w:val="0003588B"/>
    <w:rsid w:val="000362B1"/>
    <w:rsid w:val="000362C9"/>
    <w:rsid w:val="000370E9"/>
    <w:rsid w:val="000373D7"/>
    <w:rsid w:val="000408C1"/>
    <w:rsid w:val="000412B2"/>
    <w:rsid w:val="000422A2"/>
    <w:rsid w:val="000423A3"/>
    <w:rsid w:val="000425CA"/>
    <w:rsid w:val="000429E1"/>
    <w:rsid w:val="00043319"/>
    <w:rsid w:val="0004416D"/>
    <w:rsid w:val="00044B3A"/>
    <w:rsid w:val="00045039"/>
    <w:rsid w:val="0004567F"/>
    <w:rsid w:val="00045CB1"/>
    <w:rsid w:val="00045E02"/>
    <w:rsid w:val="000463AE"/>
    <w:rsid w:val="000509C7"/>
    <w:rsid w:val="00051B1C"/>
    <w:rsid w:val="00052457"/>
    <w:rsid w:val="000535E5"/>
    <w:rsid w:val="00054181"/>
    <w:rsid w:val="00054215"/>
    <w:rsid w:val="0005511B"/>
    <w:rsid w:val="000554BD"/>
    <w:rsid w:val="00056241"/>
    <w:rsid w:val="00056584"/>
    <w:rsid w:val="0005702D"/>
    <w:rsid w:val="000570A7"/>
    <w:rsid w:val="000573E8"/>
    <w:rsid w:val="000579F9"/>
    <w:rsid w:val="00057D34"/>
    <w:rsid w:val="000603D3"/>
    <w:rsid w:val="0006067F"/>
    <w:rsid w:val="00061099"/>
    <w:rsid w:val="00061123"/>
    <w:rsid w:val="00063993"/>
    <w:rsid w:val="00063BF3"/>
    <w:rsid w:val="0006411B"/>
    <w:rsid w:val="000646E6"/>
    <w:rsid w:val="00064881"/>
    <w:rsid w:val="00064DBB"/>
    <w:rsid w:val="0006532F"/>
    <w:rsid w:val="00065980"/>
    <w:rsid w:val="00066DAC"/>
    <w:rsid w:val="0007046C"/>
    <w:rsid w:val="000704B7"/>
    <w:rsid w:val="00070ACB"/>
    <w:rsid w:val="00071B4F"/>
    <w:rsid w:val="00071E4D"/>
    <w:rsid w:val="00071ED8"/>
    <w:rsid w:val="000727D6"/>
    <w:rsid w:val="00072BBE"/>
    <w:rsid w:val="000748B4"/>
    <w:rsid w:val="00074C47"/>
    <w:rsid w:val="00074DED"/>
    <w:rsid w:val="0007510E"/>
    <w:rsid w:val="0007531F"/>
    <w:rsid w:val="000761F6"/>
    <w:rsid w:val="000762EB"/>
    <w:rsid w:val="00077D23"/>
    <w:rsid w:val="00080115"/>
    <w:rsid w:val="000805AE"/>
    <w:rsid w:val="00080CD2"/>
    <w:rsid w:val="00081344"/>
    <w:rsid w:val="0008152E"/>
    <w:rsid w:val="00081804"/>
    <w:rsid w:val="00081936"/>
    <w:rsid w:val="00081B0E"/>
    <w:rsid w:val="000824BE"/>
    <w:rsid w:val="00082A0B"/>
    <w:rsid w:val="00083C0C"/>
    <w:rsid w:val="000841F7"/>
    <w:rsid w:val="0008436F"/>
    <w:rsid w:val="000847F9"/>
    <w:rsid w:val="00084F97"/>
    <w:rsid w:val="00085008"/>
    <w:rsid w:val="000851D3"/>
    <w:rsid w:val="000858FF"/>
    <w:rsid w:val="00085B96"/>
    <w:rsid w:val="00085D6C"/>
    <w:rsid w:val="00085DA0"/>
    <w:rsid w:val="000903C4"/>
    <w:rsid w:val="000904DD"/>
    <w:rsid w:val="0009066C"/>
    <w:rsid w:val="000912AB"/>
    <w:rsid w:val="00091798"/>
    <w:rsid w:val="000919B5"/>
    <w:rsid w:val="000926A2"/>
    <w:rsid w:val="00092B9C"/>
    <w:rsid w:val="00092E47"/>
    <w:rsid w:val="00095026"/>
    <w:rsid w:val="00095A76"/>
    <w:rsid w:val="00095D85"/>
    <w:rsid w:val="000964A8"/>
    <w:rsid w:val="000964B1"/>
    <w:rsid w:val="00096529"/>
    <w:rsid w:val="00096E41"/>
    <w:rsid w:val="000A036A"/>
    <w:rsid w:val="000A0750"/>
    <w:rsid w:val="000A0966"/>
    <w:rsid w:val="000A11DB"/>
    <w:rsid w:val="000A1B49"/>
    <w:rsid w:val="000A1BAE"/>
    <w:rsid w:val="000A2B45"/>
    <w:rsid w:val="000A2CDB"/>
    <w:rsid w:val="000A39B8"/>
    <w:rsid w:val="000A41BF"/>
    <w:rsid w:val="000A56BB"/>
    <w:rsid w:val="000A6668"/>
    <w:rsid w:val="000A66D7"/>
    <w:rsid w:val="000A7AD4"/>
    <w:rsid w:val="000A7DB5"/>
    <w:rsid w:val="000B1059"/>
    <w:rsid w:val="000B1170"/>
    <w:rsid w:val="000B150E"/>
    <w:rsid w:val="000B16CC"/>
    <w:rsid w:val="000B1F9D"/>
    <w:rsid w:val="000B2426"/>
    <w:rsid w:val="000B2C82"/>
    <w:rsid w:val="000B4477"/>
    <w:rsid w:val="000B4DD1"/>
    <w:rsid w:val="000B4F75"/>
    <w:rsid w:val="000B54B2"/>
    <w:rsid w:val="000B5BBE"/>
    <w:rsid w:val="000B5E52"/>
    <w:rsid w:val="000B6056"/>
    <w:rsid w:val="000B6532"/>
    <w:rsid w:val="000B6F07"/>
    <w:rsid w:val="000B6FF3"/>
    <w:rsid w:val="000C0491"/>
    <w:rsid w:val="000C057C"/>
    <w:rsid w:val="000C0625"/>
    <w:rsid w:val="000C06B9"/>
    <w:rsid w:val="000C0BB0"/>
    <w:rsid w:val="000C0EC3"/>
    <w:rsid w:val="000C1C85"/>
    <w:rsid w:val="000C21C7"/>
    <w:rsid w:val="000C2815"/>
    <w:rsid w:val="000C29B2"/>
    <w:rsid w:val="000C29CB"/>
    <w:rsid w:val="000C3BE1"/>
    <w:rsid w:val="000C466F"/>
    <w:rsid w:val="000C48E1"/>
    <w:rsid w:val="000C48EC"/>
    <w:rsid w:val="000C4C09"/>
    <w:rsid w:val="000C4C8E"/>
    <w:rsid w:val="000C6009"/>
    <w:rsid w:val="000C6A4F"/>
    <w:rsid w:val="000C6D78"/>
    <w:rsid w:val="000C6E79"/>
    <w:rsid w:val="000C7259"/>
    <w:rsid w:val="000C75EE"/>
    <w:rsid w:val="000C7E95"/>
    <w:rsid w:val="000D1483"/>
    <w:rsid w:val="000D15FD"/>
    <w:rsid w:val="000D2569"/>
    <w:rsid w:val="000D2CA7"/>
    <w:rsid w:val="000D2D8C"/>
    <w:rsid w:val="000D4052"/>
    <w:rsid w:val="000D489B"/>
    <w:rsid w:val="000D4B9F"/>
    <w:rsid w:val="000D4C26"/>
    <w:rsid w:val="000D5E38"/>
    <w:rsid w:val="000D6F25"/>
    <w:rsid w:val="000D7190"/>
    <w:rsid w:val="000E10FA"/>
    <w:rsid w:val="000E1A6E"/>
    <w:rsid w:val="000E1CB8"/>
    <w:rsid w:val="000E1ED2"/>
    <w:rsid w:val="000E4D2A"/>
    <w:rsid w:val="000E56CA"/>
    <w:rsid w:val="000E65DF"/>
    <w:rsid w:val="000E65E7"/>
    <w:rsid w:val="000E6D09"/>
    <w:rsid w:val="000E7457"/>
    <w:rsid w:val="000E7839"/>
    <w:rsid w:val="000E7C5C"/>
    <w:rsid w:val="000E7E32"/>
    <w:rsid w:val="000F063F"/>
    <w:rsid w:val="000F0B6C"/>
    <w:rsid w:val="000F29CE"/>
    <w:rsid w:val="000F3ED6"/>
    <w:rsid w:val="000F6388"/>
    <w:rsid w:val="000F6503"/>
    <w:rsid w:val="000F661F"/>
    <w:rsid w:val="000F6C3A"/>
    <w:rsid w:val="000F6E74"/>
    <w:rsid w:val="000F7C30"/>
    <w:rsid w:val="00100555"/>
    <w:rsid w:val="001016A7"/>
    <w:rsid w:val="001028F5"/>
    <w:rsid w:val="00102DBB"/>
    <w:rsid w:val="00102F6B"/>
    <w:rsid w:val="00103646"/>
    <w:rsid w:val="00103793"/>
    <w:rsid w:val="0010387E"/>
    <w:rsid w:val="00104066"/>
    <w:rsid w:val="001051D3"/>
    <w:rsid w:val="001077A9"/>
    <w:rsid w:val="00107899"/>
    <w:rsid w:val="00110F03"/>
    <w:rsid w:val="0011102B"/>
    <w:rsid w:val="001117D1"/>
    <w:rsid w:val="00111C69"/>
    <w:rsid w:val="00111E96"/>
    <w:rsid w:val="00113967"/>
    <w:rsid w:val="00113FF8"/>
    <w:rsid w:val="0011624E"/>
    <w:rsid w:val="00117119"/>
    <w:rsid w:val="00117B94"/>
    <w:rsid w:val="001201EA"/>
    <w:rsid w:val="0012124C"/>
    <w:rsid w:val="00121514"/>
    <w:rsid w:val="00123E15"/>
    <w:rsid w:val="00125EAA"/>
    <w:rsid w:val="001267B8"/>
    <w:rsid w:val="001269FD"/>
    <w:rsid w:val="00126EDD"/>
    <w:rsid w:val="001278FF"/>
    <w:rsid w:val="00127A0C"/>
    <w:rsid w:val="00131055"/>
    <w:rsid w:val="00131634"/>
    <w:rsid w:val="0013170E"/>
    <w:rsid w:val="001323E0"/>
    <w:rsid w:val="00132552"/>
    <w:rsid w:val="00133E02"/>
    <w:rsid w:val="0013472C"/>
    <w:rsid w:val="00134EBA"/>
    <w:rsid w:val="0013657B"/>
    <w:rsid w:val="00136931"/>
    <w:rsid w:val="00137471"/>
    <w:rsid w:val="00137F96"/>
    <w:rsid w:val="00140C58"/>
    <w:rsid w:val="001414F6"/>
    <w:rsid w:val="001428DD"/>
    <w:rsid w:val="0014330F"/>
    <w:rsid w:val="00145AE2"/>
    <w:rsid w:val="00146A8D"/>
    <w:rsid w:val="001476BB"/>
    <w:rsid w:val="001478FC"/>
    <w:rsid w:val="001516B9"/>
    <w:rsid w:val="00151B03"/>
    <w:rsid w:val="00151CCC"/>
    <w:rsid w:val="001536E5"/>
    <w:rsid w:val="00153C66"/>
    <w:rsid w:val="0015402B"/>
    <w:rsid w:val="001549C5"/>
    <w:rsid w:val="00155A6F"/>
    <w:rsid w:val="0015779B"/>
    <w:rsid w:val="001605A4"/>
    <w:rsid w:val="00160A2C"/>
    <w:rsid w:val="0016117C"/>
    <w:rsid w:val="00161AFF"/>
    <w:rsid w:val="00161B8D"/>
    <w:rsid w:val="0016202B"/>
    <w:rsid w:val="00162FA1"/>
    <w:rsid w:val="0016312A"/>
    <w:rsid w:val="00163784"/>
    <w:rsid w:val="0016379E"/>
    <w:rsid w:val="00164EB1"/>
    <w:rsid w:val="00165FA3"/>
    <w:rsid w:val="0016612A"/>
    <w:rsid w:val="00166459"/>
    <w:rsid w:val="00166694"/>
    <w:rsid w:val="00166CAB"/>
    <w:rsid w:val="001676A9"/>
    <w:rsid w:val="001677D3"/>
    <w:rsid w:val="0016785E"/>
    <w:rsid w:val="00167FDD"/>
    <w:rsid w:val="001706FD"/>
    <w:rsid w:val="00171AC3"/>
    <w:rsid w:val="00172B60"/>
    <w:rsid w:val="00173223"/>
    <w:rsid w:val="001768FD"/>
    <w:rsid w:val="001769BE"/>
    <w:rsid w:val="001771B6"/>
    <w:rsid w:val="001775BA"/>
    <w:rsid w:val="0018073B"/>
    <w:rsid w:val="00180931"/>
    <w:rsid w:val="00180AD9"/>
    <w:rsid w:val="001813E7"/>
    <w:rsid w:val="0018254B"/>
    <w:rsid w:val="001830C7"/>
    <w:rsid w:val="00184863"/>
    <w:rsid w:val="0018491A"/>
    <w:rsid w:val="0018536E"/>
    <w:rsid w:val="0018546F"/>
    <w:rsid w:val="00185861"/>
    <w:rsid w:val="001858F0"/>
    <w:rsid w:val="0018594A"/>
    <w:rsid w:val="00185A77"/>
    <w:rsid w:val="00185D77"/>
    <w:rsid w:val="0018632D"/>
    <w:rsid w:val="00190833"/>
    <w:rsid w:val="00190CF9"/>
    <w:rsid w:val="001921DC"/>
    <w:rsid w:val="0019271E"/>
    <w:rsid w:val="001947CF"/>
    <w:rsid w:val="00195265"/>
    <w:rsid w:val="0019548F"/>
    <w:rsid w:val="0019565E"/>
    <w:rsid w:val="001959CB"/>
    <w:rsid w:val="00195FB5"/>
    <w:rsid w:val="00196851"/>
    <w:rsid w:val="00196A41"/>
    <w:rsid w:val="00196AAB"/>
    <w:rsid w:val="00197713"/>
    <w:rsid w:val="001A010D"/>
    <w:rsid w:val="001A0D9C"/>
    <w:rsid w:val="001A18BE"/>
    <w:rsid w:val="001A2F20"/>
    <w:rsid w:val="001A478B"/>
    <w:rsid w:val="001A47B4"/>
    <w:rsid w:val="001A49FE"/>
    <w:rsid w:val="001A4CBD"/>
    <w:rsid w:val="001A605E"/>
    <w:rsid w:val="001A72D6"/>
    <w:rsid w:val="001A7465"/>
    <w:rsid w:val="001A75F2"/>
    <w:rsid w:val="001A7875"/>
    <w:rsid w:val="001A7A72"/>
    <w:rsid w:val="001A7C20"/>
    <w:rsid w:val="001A7D75"/>
    <w:rsid w:val="001B0859"/>
    <w:rsid w:val="001B0A41"/>
    <w:rsid w:val="001B0AEC"/>
    <w:rsid w:val="001B18D6"/>
    <w:rsid w:val="001B209B"/>
    <w:rsid w:val="001B3493"/>
    <w:rsid w:val="001B3FEB"/>
    <w:rsid w:val="001B46EB"/>
    <w:rsid w:val="001B54BB"/>
    <w:rsid w:val="001B6374"/>
    <w:rsid w:val="001B6E69"/>
    <w:rsid w:val="001B7AFD"/>
    <w:rsid w:val="001C0BDA"/>
    <w:rsid w:val="001C1005"/>
    <w:rsid w:val="001C1BD8"/>
    <w:rsid w:val="001C1C22"/>
    <w:rsid w:val="001C1FA6"/>
    <w:rsid w:val="001C3602"/>
    <w:rsid w:val="001C4447"/>
    <w:rsid w:val="001C4881"/>
    <w:rsid w:val="001C48A7"/>
    <w:rsid w:val="001C4E47"/>
    <w:rsid w:val="001C4FC7"/>
    <w:rsid w:val="001C5720"/>
    <w:rsid w:val="001C5D13"/>
    <w:rsid w:val="001C5E6A"/>
    <w:rsid w:val="001C71EA"/>
    <w:rsid w:val="001C7DFF"/>
    <w:rsid w:val="001D051C"/>
    <w:rsid w:val="001D08EC"/>
    <w:rsid w:val="001D090C"/>
    <w:rsid w:val="001D13DF"/>
    <w:rsid w:val="001D15ED"/>
    <w:rsid w:val="001D28BF"/>
    <w:rsid w:val="001D2F77"/>
    <w:rsid w:val="001D323E"/>
    <w:rsid w:val="001D365D"/>
    <w:rsid w:val="001D3906"/>
    <w:rsid w:val="001D3B63"/>
    <w:rsid w:val="001D3D36"/>
    <w:rsid w:val="001D41A1"/>
    <w:rsid w:val="001D4A82"/>
    <w:rsid w:val="001D5049"/>
    <w:rsid w:val="001D566B"/>
    <w:rsid w:val="001D6EBD"/>
    <w:rsid w:val="001E0801"/>
    <w:rsid w:val="001E109D"/>
    <w:rsid w:val="001E1378"/>
    <w:rsid w:val="001E16A3"/>
    <w:rsid w:val="001E196A"/>
    <w:rsid w:val="001E1AE9"/>
    <w:rsid w:val="001E2046"/>
    <w:rsid w:val="001E205E"/>
    <w:rsid w:val="001E31E7"/>
    <w:rsid w:val="001E3BB5"/>
    <w:rsid w:val="001E408F"/>
    <w:rsid w:val="001E43AA"/>
    <w:rsid w:val="001E43E6"/>
    <w:rsid w:val="001E7184"/>
    <w:rsid w:val="001E7B1B"/>
    <w:rsid w:val="001F06E9"/>
    <w:rsid w:val="001F0C8C"/>
    <w:rsid w:val="001F283E"/>
    <w:rsid w:val="001F2BE5"/>
    <w:rsid w:val="001F3F46"/>
    <w:rsid w:val="001F4263"/>
    <w:rsid w:val="001F4ABB"/>
    <w:rsid w:val="001F4B7E"/>
    <w:rsid w:val="001F629E"/>
    <w:rsid w:val="001F6925"/>
    <w:rsid w:val="001F7974"/>
    <w:rsid w:val="00200281"/>
    <w:rsid w:val="002009D1"/>
    <w:rsid w:val="00200C8D"/>
    <w:rsid w:val="002019DD"/>
    <w:rsid w:val="00201A2F"/>
    <w:rsid w:val="00201B71"/>
    <w:rsid w:val="0020203F"/>
    <w:rsid w:val="00202A68"/>
    <w:rsid w:val="002052A7"/>
    <w:rsid w:val="00206F17"/>
    <w:rsid w:val="002070DD"/>
    <w:rsid w:val="002076CE"/>
    <w:rsid w:val="00207CB7"/>
    <w:rsid w:val="002106C1"/>
    <w:rsid w:val="002112E5"/>
    <w:rsid w:val="002115B3"/>
    <w:rsid w:val="002115D6"/>
    <w:rsid w:val="002124CF"/>
    <w:rsid w:val="00212E81"/>
    <w:rsid w:val="002132A2"/>
    <w:rsid w:val="00213986"/>
    <w:rsid w:val="00213B3F"/>
    <w:rsid w:val="00215044"/>
    <w:rsid w:val="002157A8"/>
    <w:rsid w:val="00215948"/>
    <w:rsid w:val="00215EF0"/>
    <w:rsid w:val="00216D33"/>
    <w:rsid w:val="00216EF2"/>
    <w:rsid w:val="0022014C"/>
    <w:rsid w:val="0022041E"/>
    <w:rsid w:val="002204A1"/>
    <w:rsid w:val="002209FA"/>
    <w:rsid w:val="0022254E"/>
    <w:rsid w:val="002247AA"/>
    <w:rsid w:val="00224B0C"/>
    <w:rsid w:val="00224CDE"/>
    <w:rsid w:val="002252FA"/>
    <w:rsid w:val="0022586F"/>
    <w:rsid w:val="002266ED"/>
    <w:rsid w:val="0022753A"/>
    <w:rsid w:val="002304E0"/>
    <w:rsid w:val="0023091B"/>
    <w:rsid w:val="00231046"/>
    <w:rsid w:val="0023237B"/>
    <w:rsid w:val="0023381E"/>
    <w:rsid w:val="00233950"/>
    <w:rsid w:val="00235DC4"/>
    <w:rsid w:val="00236333"/>
    <w:rsid w:val="002373ED"/>
    <w:rsid w:val="002374ED"/>
    <w:rsid w:val="00240505"/>
    <w:rsid w:val="00240C0F"/>
    <w:rsid w:val="002414C0"/>
    <w:rsid w:val="0024150B"/>
    <w:rsid w:val="0024359F"/>
    <w:rsid w:val="00243A51"/>
    <w:rsid w:val="00243F38"/>
    <w:rsid w:val="002449DB"/>
    <w:rsid w:val="00245CF0"/>
    <w:rsid w:val="0024659F"/>
    <w:rsid w:val="002466BF"/>
    <w:rsid w:val="0024707A"/>
    <w:rsid w:val="00247DF4"/>
    <w:rsid w:val="00250B0E"/>
    <w:rsid w:val="00251093"/>
    <w:rsid w:val="002518B4"/>
    <w:rsid w:val="00251A69"/>
    <w:rsid w:val="00252DC6"/>
    <w:rsid w:val="002531FE"/>
    <w:rsid w:val="002538D4"/>
    <w:rsid w:val="00254227"/>
    <w:rsid w:val="00256119"/>
    <w:rsid w:val="00256739"/>
    <w:rsid w:val="00257CBC"/>
    <w:rsid w:val="00261092"/>
    <w:rsid w:val="00261419"/>
    <w:rsid w:val="0026245C"/>
    <w:rsid w:val="00262967"/>
    <w:rsid w:val="00263335"/>
    <w:rsid w:val="00263EF9"/>
    <w:rsid w:val="0026487D"/>
    <w:rsid w:val="00264B73"/>
    <w:rsid w:val="002658FD"/>
    <w:rsid w:val="00265D02"/>
    <w:rsid w:val="0026793A"/>
    <w:rsid w:val="0027005F"/>
    <w:rsid w:val="002718AE"/>
    <w:rsid w:val="002724E2"/>
    <w:rsid w:val="00272A64"/>
    <w:rsid w:val="00272D32"/>
    <w:rsid w:val="00273133"/>
    <w:rsid w:val="00273689"/>
    <w:rsid w:val="00273756"/>
    <w:rsid w:val="00273B26"/>
    <w:rsid w:val="00276288"/>
    <w:rsid w:val="00276E29"/>
    <w:rsid w:val="00277436"/>
    <w:rsid w:val="00277AB6"/>
    <w:rsid w:val="00277BAF"/>
    <w:rsid w:val="0028003B"/>
    <w:rsid w:val="00280648"/>
    <w:rsid w:val="00280CDC"/>
    <w:rsid w:val="002820FA"/>
    <w:rsid w:val="0028262E"/>
    <w:rsid w:val="002828BE"/>
    <w:rsid w:val="00282A7D"/>
    <w:rsid w:val="00283866"/>
    <w:rsid w:val="002855F4"/>
    <w:rsid w:val="002857D3"/>
    <w:rsid w:val="00286311"/>
    <w:rsid w:val="0029083B"/>
    <w:rsid w:val="00290CEB"/>
    <w:rsid w:val="00292426"/>
    <w:rsid w:val="0029423F"/>
    <w:rsid w:val="00294DD6"/>
    <w:rsid w:val="00294E6F"/>
    <w:rsid w:val="00294F99"/>
    <w:rsid w:val="00295273"/>
    <w:rsid w:val="00295DA1"/>
    <w:rsid w:val="00295E5D"/>
    <w:rsid w:val="00296F91"/>
    <w:rsid w:val="002973AA"/>
    <w:rsid w:val="00297B9A"/>
    <w:rsid w:val="002A1CF3"/>
    <w:rsid w:val="002A1FA9"/>
    <w:rsid w:val="002A27B0"/>
    <w:rsid w:val="002A29CF"/>
    <w:rsid w:val="002A35D4"/>
    <w:rsid w:val="002A380E"/>
    <w:rsid w:val="002A493E"/>
    <w:rsid w:val="002A629D"/>
    <w:rsid w:val="002A63A9"/>
    <w:rsid w:val="002B109D"/>
    <w:rsid w:val="002B113A"/>
    <w:rsid w:val="002B1C2E"/>
    <w:rsid w:val="002B20F0"/>
    <w:rsid w:val="002B2191"/>
    <w:rsid w:val="002B429C"/>
    <w:rsid w:val="002B73E4"/>
    <w:rsid w:val="002C09AF"/>
    <w:rsid w:val="002C1BBD"/>
    <w:rsid w:val="002C276F"/>
    <w:rsid w:val="002C35F7"/>
    <w:rsid w:val="002C3A04"/>
    <w:rsid w:val="002C3EE4"/>
    <w:rsid w:val="002C438C"/>
    <w:rsid w:val="002C4B83"/>
    <w:rsid w:val="002C5812"/>
    <w:rsid w:val="002C5EAB"/>
    <w:rsid w:val="002C5F8D"/>
    <w:rsid w:val="002C61F5"/>
    <w:rsid w:val="002C6320"/>
    <w:rsid w:val="002C6BC3"/>
    <w:rsid w:val="002C7080"/>
    <w:rsid w:val="002D00E7"/>
    <w:rsid w:val="002D02FD"/>
    <w:rsid w:val="002D0619"/>
    <w:rsid w:val="002D0759"/>
    <w:rsid w:val="002D07EC"/>
    <w:rsid w:val="002D0DBA"/>
    <w:rsid w:val="002D101B"/>
    <w:rsid w:val="002D1489"/>
    <w:rsid w:val="002D1572"/>
    <w:rsid w:val="002D1706"/>
    <w:rsid w:val="002D1A77"/>
    <w:rsid w:val="002D1FCA"/>
    <w:rsid w:val="002D4552"/>
    <w:rsid w:val="002D4797"/>
    <w:rsid w:val="002D4CEF"/>
    <w:rsid w:val="002D4FEE"/>
    <w:rsid w:val="002D5A5D"/>
    <w:rsid w:val="002D5B2E"/>
    <w:rsid w:val="002D5C88"/>
    <w:rsid w:val="002D7361"/>
    <w:rsid w:val="002D74B2"/>
    <w:rsid w:val="002E10BC"/>
    <w:rsid w:val="002E1217"/>
    <w:rsid w:val="002E1806"/>
    <w:rsid w:val="002E2342"/>
    <w:rsid w:val="002E2A26"/>
    <w:rsid w:val="002E2BDE"/>
    <w:rsid w:val="002E3F75"/>
    <w:rsid w:val="002E4562"/>
    <w:rsid w:val="002E4A84"/>
    <w:rsid w:val="002E5AF4"/>
    <w:rsid w:val="002E5DAC"/>
    <w:rsid w:val="002E6C15"/>
    <w:rsid w:val="002E6DA8"/>
    <w:rsid w:val="002E7495"/>
    <w:rsid w:val="002E7639"/>
    <w:rsid w:val="002E7688"/>
    <w:rsid w:val="002E7B8D"/>
    <w:rsid w:val="002E7F28"/>
    <w:rsid w:val="002F03AD"/>
    <w:rsid w:val="002F06FC"/>
    <w:rsid w:val="002F106B"/>
    <w:rsid w:val="002F1815"/>
    <w:rsid w:val="002F1BC4"/>
    <w:rsid w:val="002F22A1"/>
    <w:rsid w:val="002F24F5"/>
    <w:rsid w:val="002F27AA"/>
    <w:rsid w:val="002F2A16"/>
    <w:rsid w:val="002F2F19"/>
    <w:rsid w:val="002F40CF"/>
    <w:rsid w:val="002F4C2D"/>
    <w:rsid w:val="002F5126"/>
    <w:rsid w:val="002F5DA1"/>
    <w:rsid w:val="002F6A76"/>
    <w:rsid w:val="002F75E2"/>
    <w:rsid w:val="002F7A28"/>
    <w:rsid w:val="003002F8"/>
    <w:rsid w:val="003007F1"/>
    <w:rsid w:val="00300A41"/>
    <w:rsid w:val="00300CE1"/>
    <w:rsid w:val="00302A6E"/>
    <w:rsid w:val="00303B96"/>
    <w:rsid w:val="003040EC"/>
    <w:rsid w:val="0030608D"/>
    <w:rsid w:val="00306414"/>
    <w:rsid w:val="00306567"/>
    <w:rsid w:val="0031006C"/>
    <w:rsid w:val="0031177B"/>
    <w:rsid w:val="003121E1"/>
    <w:rsid w:val="00312CAC"/>
    <w:rsid w:val="00312F73"/>
    <w:rsid w:val="00313593"/>
    <w:rsid w:val="00313BD6"/>
    <w:rsid w:val="003142E4"/>
    <w:rsid w:val="00314358"/>
    <w:rsid w:val="00314566"/>
    <w:rsid w:val="00314761"/>
    <w:rsid w:val="00314DC1"/>
    <w:rsid w:val="00314F82"/>
    <w:rsid w:val="00315396"/>
    <w:rsid w:val="00316004"/>
    <w:rsid w:val="00316284"/>
    <w:rsid w:val="0031709F"/>
    <w:rsid w:val="0031729E"/>
    <w:rsid w:val="00317564"/>
    <w:rsid w:val="0032072C"/>
    <w:rsid w:val="0032114D"/>
    <w:rsid w:val="0032230C"/>
    <w:rsid w:val="00323020"/>
    <w:rsid w:val="00323477"/>
    <w:rsid w:val="00323512"/>
    <w:rsid w:val="00324536"/>
    <w:rsid w:val="00325533"/>
    <w:rsid w:val="00326289"/>
    <w:rsid w:val="00326C28"/>
    <w:rsid w:val="00330795"/>
    <w:rsid w:val="0033123D"/>
    <w:rsid w:val="00332183"/>
    <w:rsid w:val="003323BD"/>
    <w:rsid w:val="003338E0"/>
    <w:rsid w:val="00334AF7"/>
    <w:rsid w:val="00334CA9"/>
    <w:rsid w:val="00334CC7"/>
    <w:rsid w:val="003368B0"/>
    <w:rsid w:val="00337DAB"/>
    <w:rsid w:val="00341424"/>
    <w:rsid w:val="00341AF6"/>
    <w:rsid w:val="003436A4"/>
    <w:rsid w:val="00345342"/>
    <w:rsid w:val="00347021"/>
    <w:rsid w:val="00347315"/>
    <w:rsid w:val="00350B30"/>
    <w:rsid w:val="00352126"/>
    <w:rsid w:val="00352C7B"/>
    <w:rsid w:val="00352DE0"/>
    <w:rsid w:val="003535C3"/>
    <w:rsid w:val="00353927"/>
    <w:rsid w:val="00353ABC"/>
    <w:rsid w:val="003542F2"/>
    <w:rsid w:val="00354385"/>
    <w:rsid w:val="00354564"/>
    <w:rsid w:val="00354E87"/>
    <w:rsid w:val="0035509C"/>
    <w:rsid w:val="003550F0"/>
    <w:rsid w:val="00355399"/>
    <w:rsid w:val="00355E26"/>
    <w:rsid w:val="003560BF"/>
    <w:rsid w:val="00356233"/>
    <w:rsid w:val="00356A1E"/>
    <w:rsid w:val="0036244A"/>
    <w:rsid w:val="003639E6"/>
    <w:rsid w:val="00363C59"/>
    <w:rsid w:val="0036431F"/>
    <w:rsid w:val="003669A5"/>
    <w:rsid w:val="00367935"/>
    <w:rsid w:val="00367ABC"/>
    <w:rsid w:val="00371C87"/>
    <w:rsid w:val="00372BD2"/>
    <w:rsid w:val="00372EBB"/>
    <w:rsid w:val="00373010"/>
    <w:rsid w:val="0037364D"/>
    <w:rsid w:val="00373E06"/>
    <w:rsid w:val="0037421E"/>
    <w:rsid w:val="003749F7"/>
    <w:rsid w:val="00375A1F"/>
    <w:rsid w:val="003776B7"/>
    <w:rsid w:val="0038072D"/>
    <w:rsid w:val="00380AC4"/>
    <w:rsid w:val="00380CB2"/>
    <w:rsid w:val="00380F03"/>
    <w:rsid w:val="00380F68"/>
    <w:rsid w:val="00381424"/>
    <w:rsid w:val="00381732"/>
    <w:rsid w:val="003818A3"/>
    <w:rsid w:val="00381E9A"/>
    <w:rsid w:val="00382C3C"/>
    <w:rsid w:val="003830B3"/>
    <w:rsid w:val="00384377"/>
    <w:rsid w:val="00385328"/>
    <w:rsid w:val="003853B8"/>
    <w:rsid w:val="003853BB"/>
    <w:rsid w:val="0038577E"/>
    <w:rsid w:val="0038597E"/>
    <w:rsid w:val="00386BF0"/>
    <w:rsid w:val="003874C5"/>
    <w:rsid w:val="00387562"/>
    <w:rsid w:val="00390C31"/>
    <w:rsid w:val="003913A3"/>
    <w:rsid w:val="00391ED8"/>
    <w:rsid w:val="003921CB"/>
    <w:rsid w:val="00392AC5"/>
    <w:rsid w:val="00392C4A"/>
    <w:rsid w:val="00393227"/>
    <w:rsid w:val="00393517"/>
    <w:rsid w:val="003937C9"/>
    <w:rsid w:val="00393FF2"/>
    <w:rsid w:val="00394A65"/>
    <w:rsid w:val="00394B4C"/>
    <w:rsid w:val="003956D8"/>
    <w:rsid w:val="003964A4"/>
    <w:rsid w:val="00396A30"/>
    <w:rsid w:val="00396EF7"/>
    <w:rsid w:val="00396F1D"/>
    <w:rsid w:val="003970DA"/>
    <w:rsid w:val="00397897"/>
    <w:rsid w:val="003A0452"/>
    <w:rsid w:val="003A1132"/>
    <w:rsid w:val="003A11DC"/>
    <w:rsid w:val="003A1384"/>
    <w:rsid w:val="003A28B3"/>
    <w:rsid w:val="003A29AA"/>
    <w:rsid w:val="003A29E3"/>
    <w:rsid w:val="003A2C3D"/>
    <w:rsid w:val="003A2EE9"/>
    <w:rsid w:val="003A33A7"/>
    <w:rsid w:val="003A36AF"/>
    <w:rsid w:val="003A3B38"/>
    <w:rsid w:val="003A4405"/>
    <w:rsid w:val="003A5086"/>
    <w:rsid w:val="003A6E91"/>
    <w:rsid w:val="003A6F8A"/>
    <w:rsid w:val="003A7806"/>
    <w:rsid w:val="003B0574"/>
    <w:rsid w:val="003B1AFB"/>
    <w:rsid w:val="003B2FFD"/>
    <w:rsid w:val="003B3D6E"/>
    <w:rsid w:val="003B4FEC"/>
    <w:rsid w:val="003B546D"/>
    <w:rsid w:val="003B586E"/>
    <w:rsid w:val="003B602E"/>
    <w:rsid w:val="003B64FC"/>
    <w:rsid w:val="003B68B4"/>
    <w:rsid w:val="003B704B"/>
    <w:rsid w:val="003B7784"/>
    <w:rsid w:val="003B7B8E"/>
    <w:rsid w:val="003B7CBD"/>
    <w:rsid w:val="003C0367"/>
    <w:rsid w:val="003C0477"/>
    <w:rsid w:val="003C0586"/>
    <w:rsid w:val="003C0714"/>
    <w:rsid w:val="003C0B70"/>
    <w:rsid w:val="003C1804"/>
    <w:rsid w:val="003C1A7D"/>
    <w:rsid w:val="003C2764"/>
    <w:rsid w:val="003C355D"/>
    <w:rsid w:val="003C36D9"/>
    <w:rsid w:val="003C3897"/>
    <w:rsid w:val="003C4E75"/>
    <w:rsid w:val="003C6481"/>
    <w:rsid w:val="003C7B4D"/>
    <w:rsid w:val="003C7D0E"/>
    <w:rsid w:val="003D3021"/>
    <w:rsid w:val="003D3BDA"/>
    <w:rsid w:val="003D434A"/>
    <w:rsid w:val="003D49EE"/>
    <w:rsid w:val="003D57E2"/>
    <w:rsid w:val="003D5CE8"/>
    <w:rsid w:val="003D7181"/>
    <w:rsid w:val="003D74B7"/>
    <w:rsid w:val="003D753A"/>
    <w:rsid w:val="003D7D97"/>
    <w:rsid w:val="003E1327"/>
    <w:rsid w:val="003E2155"/>
    <w:rsid w:val="003E2D26"/>
    <w:rsid w:val="003E3435"/>
    <w:rsid w:val="003E3473"/>
    <w:rsid w:val="003E5B6B"/>
    <w:rsid w:val="003E6544"/>
    <w:rsid w:val="003E669B"/>
    <w:rsid w:val="003E7ABD"/>
    <w:rsid w:val="003E7FF9"/>
    <w:rsid w:val="003F12A2"/>
    <w:rsid w:val="003F2F66"/>
    <w:rsid w:val="003F3152"/>
    <w:rsid w:val="003F4FAD"/>
    <w:rsid w:val="003F56E3"/>
    <w:rsid w:val="003F5A73"/>
    <w:rsid w:val="003F6A50"/>
    <w:rsid w:val="003F6C66"/>
    <w:rsid w:val="003F7242"/>
    <w:rsid w:val="003F7B49"/>
    <w:rsid w:val="003F7BF9"/>
    <w:rsid w:val="00400294"/>
    <w:rsid w:val="00400A18"/>
    <w:rsid w:val="00400C75"/>
    <w:rsid w:val="00400D9B"/>
    <w:rsid w:val="004029A4"/>
    <w:rsid w:val="004029FE"/>
    <w:rsid w:val="00402DBF"/>
    <w:rsid w:val="00403415"/>
    <w:rsid w:val="00403643"/>
    <w:rsid w:val="004057A0"/>
    <w:rsid w:val="00406742"/>
    <w:rsid w:val="00406AFD"/>
    <w:rsid w:val="00407070"/>
    <w:rsid w:val="00410965"/>
    <w:rsid w:val="00410E90"/>
    <w:rsid w:val="00411425"/>
    <w:rsid w:val="00411EDC"/>
    <w:rsid w:val="0041339D"/>
    <w:rsid w:val="0041388E"/>
    <w:rsid w:val="00414271"/>
    <w:rsid w:val="00414490"/>
    <w:rsid w:val="0041509F"/>
    <w:rsid w:val="00416774"/>
    <w:rsid w:val="0042039D"/>
    <w:rsid w:val="004207A7"/>
    <w:rsid w:val="004226BA"/>
    <w:rsid w:val="00422D2A"/>
    <w:rsid w:val="0042325C"/>
    <w:rsid w:val="00423E55"/>
    <w:rsid w:val="00424B0F"/>
    <w:rsid w:val="004254FE"/>
    <w:rsid w:val="00425678"/>
    <w:rsid w:val="00425F75"/>
    <w:rsid w:val="00426A2D"/>
    <w:rsid w:val="00426B89"/>
    <w:rsid w:val="004275B2"/>
    <w:rsid w:val="004279E0"/>
    <w:rsid w:val="00427F31"/>
    <w:rsid w:val="0043031C"/>
    <w:rsid w:val="00430FAD"/>
    <w:rsid w:val="004316CF"/>
    <w:rsid w:val="004335D8"/>
    <w:rsid w:val="00433AA2"/>
    <w:rsid w:val="004343A6"/>
    <w:rsid w:val="00436935"/>
    <w:rsid w:val="00437DBF"/>
    <w:rsid w:val="00440055"/>
    <w:rsid w:val="00440399"/>
    <w:rsid w:val="0044069A"/>
    <w:rsid w:val="00441B1F"/>
    <w:rsid w:val="0044203A"/>
    <w:rsid w:val="00442176"/>
    <w:rsid w:val="004422FE"/>
    <w:rsid w:val="0044232C"/>
    <w:rsid w:val="00442AB6"/>
    <w:rsid w:val="00443087"/>
    <w:rsid w:val="004436FA"/>
    <w:rsid w:val="00445B1F"/>
    <w:rsid w:val="00447711"/>
    <w:rsid w:val="0045060A"/>
    <w:rsid w:val="00450DC7"/>
    <w:rsid w:val="00452480"/>
    <w:rsid w:val="00452515"/>
    <w:rsid w:val="004526CF"/>
    <w:rsid w:val="00453B8F"/>
    <w:rsid w:val="00454778"/>
    <w:rsid w:val="004547B8"/>
    <w:rsid w:val="00454AD0"/>
    <w:rsid w:val="00454E0E"/>
    <w:rsid w:val="00457FB2"/>
    <w:rsid w:val="004600F4"/>
    <w:rsid w:val="00460655"/>
    <w:rsid w:val="00461FD2"/>
    <w:rsid w:val="004624C3"/>
    <w:rsid w:val="00463200"/>
    <w:rsid w:val="00463934"/>
    <w:rsid w:val="00464DF6"/>
    <w:rsid w:val="00465017"/>
    <w:rsid w:val="00466230"/>
    <w:rsid w:val="00466902"/>
    <w:rsid w:val="004672DC"/>
    <w:rsid w:val="004700E9"/>
    <w:rsid w:val="00471DEC"/>
    <w:rsid w:val="004723AA"/>
    <w:rsid w:val="004724C3"/>
    <w:rsid w:val="004724D1"/>
    <w:rsid w:val="00473034"/>
    <w:rsid w:val="0047331B"/>
    <w:rsid w:val="00473552"/>
    <w:rsid w:val="004736A9"/>
    <w:rsid w:val="00473836"/>
    <w:rsid w:val="00473ABE"/>
    <w:rsid w:val="00473EFE"/>
    <w:rsid w:val="00473F0D"/>
    <w:rsid w:val="00474463"/>
    <w:rsid w:val="004746E5"/>
    <w:rsid w:val="00474CBE"/>
    <w:rsid w:val="00475105"/>
    <w:rsid w:val="00475C38"/>
    <w:rsid w:val="00475E91"/>
    <w:rsid w:val="004761D6"/>
    <w:rsid w:val="0047627B"/>
    <w:rsid w:val="00476775"/>
    <w:rsid w:val="00476AB0"/>
    <w:rsid w:val="00476B6F"/>
    <w:rsid w:val="00476E13"/>
    <w:rsid w:val="00476F64"/>
    <w:rsid w:val="004770D6"/>
    <w:rsid w:val="0047782E"/>
    <w:rsid w:val="004779EC"/>
    <w:rsid w:val="00481EDF"/>
    <w:rsid w:val="0048231B"/>
    <w:rsid w:val="004826BA"/>
    <w:rsid w:val="00482A73"/>
    <w:rsid w:val="00482BED"/>
    <w:rsid w:val="00482E59"/>
    <w:rsid w:val="00483144"/>
    <w:rsid w:val="00483432"/>
    <w:rsid w:val="004838DD"/>
    <w:rsid w:val="004841AC"/>
    <w:rsid w:val="0048502B"/>
    <w:rsid w:val="00485513"/>
    <w:rsid w:val="004859C2"/>
    <w:rsid w:val="004863E2"/>
    <w:rsid w:val="0048661F"/>
    <w:rsid w:val="004871D4"/>
    <w:rsid w:val="00487230"/>
    <w:rsid w:val="00491145"/>
    <w:rsid w:val="00491690"/>
    <w:rsid w:val="004918C5"/>
    <w:rsid w:val="00491BD6"/>
    <w:rsid w:val="00491C9A"/>
    <w:rsid w:val="00491D8D"/>
    <w:rsid w:val="00491FDF"/>
    <w:rsid w:val="00492567"/>
    <w:rsid w:val="004943E2"/>
    <w:rsid w:val="00495751"/>
    <w:rsid w:val="00495BA4"/>
    <w:rsid w:val="004966B1"/>
    <w:rsid w:val="004969C8"/>
    <w:rsid w:val="0049706B"/>
    <w:rsid w:val="00497CA0"/>
    <w:rsid w:val="00497E1B"/>
    <w:rsid w:val="004A1243"/>
    <w:rsid w:val="004A129A"/>
    <w:rsid w:val="004A1E7B"/>
    <w:rsid w:val="004A367C"/>
    <w:rsid w:val="004A36E1"/>
    <w:rsid w:val="004A37BC"/>
    <w:rsid w:val="004A3AE1"/>
    <w:rsid w:val="004A4313"/>
    <w:rsid w:val="004A485D"/>
    <w:rsid w:val="004A510D"/>
    <w:rsid w:val="004A5E6F"/>
    <w:rsid w:val="004A63D2"/>
    <w:rsid w:val="004A6856"/>
    <w:rsid w:val="004A74A0"/>
    <w:rsid w:val="004B0006"/>
    <w:rsid w:val="004B02E3"/>
    <w:rsid w:val="004B04C9"/>
    <w:rsid w:val="004B1240"/>
    <w:rsid w:val="004B13F7"/>
    <w:rsid w:val="004B1C6A"/>
    <w:rsid w:val="004B1E37"/>
    <w:rsid w:val="004B2177"/>
    <w:rsid w:val="004B3950"/>
    <w:rsid w:val="004B3E61"/>
    <w:rsid w:val="004B5C0A"/>
    <w:rsid w:val="004B6182"/>
    <w:rsid w:val="004B7992"/>
    <w:rsid w:val="004B7A04"/>
    <w:rsid w:val="004B7BB2"/>
    <w:rsid w:val="004B7FA2"/>
    <w:rsid w:val="004C0C43"/>
    <w:rsid w:val="004C1883"/>
    <w:rsid w:val="004C1CB2"/>
    <w:rsid w:val="004C2353"/>
    <w:rsid w:val="004C3243"/>
    <w:rsid w:val="004C42AC"/>
    <w:rsid w:val="004C44E9"/>
    <w:rsid w:val="004C4FDA"/>
    <w:rsid w:val="004C5D7B"/>
    <w:rsid w:val="004C67BF"/>
    <w:rsid w:val="004C6886"/>
    <w:rsid w:val="004C7E27"/>
    <w:rsid w:val="004C7EB8"/>
    <w:rsid w:val="004D005B"/>
    <w:rsid w:val="004D030A"/>
    <w:rsid w:val="004D2A71"/>
    <w:rsid w:val="004D30EB"/>
    <w:rsid w:val="004D3EE9"/>
    <w:rsid w:val="004D45D6"/>
    <w:rsid w:val="004D6616"/>
    <w:rsid w:val="004D7CA1"/>
    <w:rsid w:val="004E01FD"/>
    <w:rsid w:val="004E02F0"/>
    <w:rsid w:val="004E08DD"/>
    <w:rsid w:val="004E0AD1"/>
    <w:rsid w:val="004E139F"/>
    <w:rsid w:val="004E13C9"/>
    <w:rsid w:val="004E2C8C"/>
    <w:rsid w:val="004E331B"/>
    <w:rsid w:val="004E33A9"/>
    <w:rsid w:val="004E348E"/>
    <w:rsid w:val="004E4351"/>
    <w:rsid w:val="004E58A0"/>
    <w:rsid w:val="004E5FB9"/>
    <w:rsid w:val="004E743C"/>
    <w:rsid w:val="004E7A11"/>
    <w:rsid w:val="004F0538"/>
    <w:rsid w:val="004F0B80"/>
    <w:rsid w:val="004F10D4"/>
    <w:rsid w:val="004F18BB"/>
    <w:rsid w:val="004F2768"/>
    <w:rsid w:val="004F3654"/>
    <w:rsid w:val="004F39F4"/>
    <w:rsid w:val="004F4F98"/>
    <w:rsid w:val="004F58BB"/>
    <w:rsid w:val="004F5A9D"/>
    <w:rsid w:val="004F5AA3"/>
    <w:rsid w:val="004F7960"/>
    <w:rsid w:val="004F7C9B"/>
    <w:rsid w:val="00500B22"/>
    <w:rsid w:val="00500DFB"/>
    <w:rsid w:val="00501F90"/>
    <w:rsid w:val="0050288B"/>
    <w:rsid w:val="00502AA5"/>
    <w:rsid w:val="00502CEA"/>
    <w:rsid w:val="00502F90"/>
    <w:rsid w:val="0050387A"/>
    <w:rsid w:val="0050387D"/>
    <w:rsid w:val="00503AC1"/>
    <w:rsid w:val="00503EB9"/>
    <w:rsid w:val="0050403D"/>
    <w:rsid w:val="00504510"/>
    <w:rsid w:val="00504D03"/>
    <w:rsid w:val="00504E0F"/>
    <w:rsid w:val="00504E6C"/>
    <w:rsid w:val="0050512E"/>
    <w:rsid w:val="00505499"/>
    <w:rsid w:val="00505598"/>
    <w:rsid w:val="00506189"/>
    <w:rsid w:val="00507034"/>
    <w:rsid w:val="005078A2"/>
    <w:rsid w:val="0050790F"/>
    <w:rsid w:val="00510773"/>
    <w:rsid w:val="00510ED1"/>
    <w:rsid w:val="005119FA"/>
    <w:rsid w:val="005126CA"/>
    <w:rsid w:val="00512A6E"/>
    <w:rsid w:val="0051359C"/>
    <w:rsid w:val="00514ABD"/>
    <w:rsid w:val="005152C7"/>
    <w:rsid w:val="00515C19"/>
    <w:rsid w:val="00516643"/>
    <w:rsid w:val="00516E36"/>
    <w:rsid w:val="00517260"/>
    <w:rsid w:val="0051787D"/>
    <w:rsid w:val="00517D12"/>
    <w:rsid w:val="00520E53"/>
    <w:rsid w:val="005230B8"/>
    <w:rsid w:val="0052583C"/>
    <w:rsid w:val="005261B7"/>
    <w:rsid w:val="00526968"/>
    <w:rsid w:val="00526D90"/>
    <w:rsid w:val="005276E2"/>
    <w:rsid w:val="0052799F"/>
    <w:rsid w:val="00527EF2"/>
    <w:rsid w:val="00530115"/>
    <w:rsid w:val="00530956"/>
    <w:rsid w:val="00530E3D"/>
    <w:rsid w:val="00531175"/>
    <w:rsid w:val="00532419"/>
    <w:rsid w:val="0053283E"/>
    <w:rsid w:val="0053299E"/>
    <w:rsid w:val="0053325B"/>
    <w:rsid w:val="00533549"/>
    <w:rsid w:val="005337A4"/>
    <w:rsid w:val="00534ED4"/>
    <w:rsid w:val="0053654C"/>
    <w:rsid w:val="005367C2"/>
    <w:rsid w:val="00537894"/>
    <w:rsid w:val="00537EC1"/>
    <w:rsid w:val="00540565"/>
    <w:rsid w:val="0054056F"/>
    <w:rsid w:val="00541317"/>
    <w:rsid w:val="00541473"/>
    <w:rsid w:val="005415F0"/>
    <w:rsid w:val="00543002"/>
    <w:rsid w:val="00543219"/>
    <w:rsid w:val="0054495C"/>
    <w:rsid w:val="00544BF0"/>
    <w:rsid w:val="0054578E"/>
    <w:rsid w:val="005472BC"/>
    <w:rsid w:val="00547C87"/>
    <w:rsid w:val="00547D54"/>
    <w:rsid w:val="0055064B"/>
    <w:rsid w:val="00550739"/>
    <w:rsid w:val="0055252D"/>
    <w:rsid w:val="00552C5B"/>
    <w:rsid w:val="005533F5"/>
    <w:rsid w:val="005547B4"/>
    <w:rsid w:val="0055518D"/>
    <w:rsid w:val="005554F2"/>
    <w:rsid w:val="00556398"/>
    <w:rsid w:val="0055665B"/>
    <w:rsid w:val="00556C2B"/>
    <w:rsid w:val="00560E1E"/>
    <w:rsid w:val="005619E3"/>
    <w:rsid w:val="0056307B"/>
    <w:rsid w:val="0056493B"/>
    <w:rsid w:val="0056615B"/>
    <w:rsid w:val="00566C98"/>
    <w:rsid w:val="00570557"/>
    <w:rsid w:val="00570BC9"/>
    <w:rsid w:val="005719DD"/>
    <w:rsid w:val="00571D3E"/>
    <w:rsid w:val="00572D38"/>
    <w:rsid w:val="0057525A"/>
    <w:rsid w:val="00575F6B"/>
    <w:rsid w:val="005761AB"/>
    <w:rsid w:val="005775CB"/>
    <w:rsid w:val="00577E14"/>
    <w:rsid w:val="0058020A"/>
    <w:rsid w:val="00580410"/>
    <w:rsid w:val="00581F47"/>
    <w:rsid w:val="005850A1"/>
    <w:rsid w:val="00585756"/>
    <w:rsid w:val="00585E75"/>
    <w:rsid w:val="005907B0"/>
    <w:rsid w:val="005937E7"/>
    <w:rsid w:val="00593834"/>
    <w:rsid w:val="00597593"/>
    <w:rsid w:val="00597612"/>
    <w:rsid w:val="005A1B57"/>
    <w:rsid w:val="005A1D54"/>
    <w:rsid w:val="005A2492"/>
    <w:rsid w:val="005A30F1"/>
    <w:rsid w:val="005A3184"/>
    <w:rsid w:val="005A3255"/>
    <w:rsid w:val="005A4242"/>
    <w:rsid w:val="005A7EA5"/>
    <w:rsid w:val="005B0571"/>
    <w:rsid w:val="005B1D10"/>
    <w:rsid w:val="005B1E7F"/>
    <w:rsid w:val="005B25B2"/>
    <w:rsid w:val="005B32AD"/>
    <w:rsid w:val="005B3EF6"/>
    <w:rsid w:val="005B484F"/>
    <w:rsid w:val="005B5000"/>
    <w:rsid w:val="005B53E4"/>
    <w:rsid w:val="005B693C"/>
    <w:rsid w:val="005B7008"/>
    <w:rsid w:val="005B7812"/>
    <w:rsid w:val="005B7EAE"/>
    <w:rsid w:val="005C15B3"/>
    <w:rsid w:val="005C1E8C"/>
    <w:rsid w:val="005C2256"/>
    <w:rsid w:val="005C268C"/>
    <w:rsid w:val="005C3297"/>
    <w:rsid w:val="005C372C"/>
    <w:rsid w:val="005C3FB9"/>
    <w:rsid w:val="005C4415"/>
    <w:rsid w:val="005C4F7E"/>
    <w:rsid w:val="005C51C7"/>
    <w:rsid w:val="005C55E6"/>
    <w:rsid w:val="005C646F"/>
    <w:rsid w:val="005C6F54"/>
    <w:rsid w:val="005C6F9E"/>
    <w:rsid w:val="005C79B1"/>
    <w:rsid w:val="005C7A64"/>
    <w:rsid w:val="005D005E"/>
    <w:rsid w:val="005D0AF1"/>
    <w:rsid w:val="005D0BD9"/>
    <w:rsid w:val="005D1FD3"/>
    <w:rsid w:val="005D262F"/>
    <w:rsid w:val="005D27C8"/>
    <w:rsid w:val="005D2D3F"/>
    <w:rsid w:val="005D3A50"/>
    <w:rsid w:val="005D3B9F"/>
    <w:rsid w:val="005D3FB4"/>
    <w:rsid w:val="005D4DB3"/>
    <w:rsid w:val="005D4F8D"/>
    <w:rsid w:val="005D61D5"/>
    <w:rsid w:val="005D70A5"/>
    <w:rsid w:val="005D794C"/>
    <w:rsid w:val="005D7AD0"/>
    <w:rsid w:val="005E0846"/>
    <w:rsid w:val="005E087C"/>
    <w:rsid w:val="005E0898"/>
    <w:rsid w:val="005E0C6E"/>
    <w:rsid w:val="005E295A"/>
    <w:rsid w:val="005E2A11"/>
    <w:rsid w:val="005E30A3"/>
    <w:rsid w:val="005E389B"/>
    <w:rsid w:val="005E3BED"/>
    <w:rsid w:val="005E432C"/>
    <w:rsid w:val="005E517D"/>
    <w:rsid w:val="005E73BB"/>
    <w:rsid w:val="005F12F1"/>
    <w:rsid w:val="005F1D8B"/>
    <w:rsid w:val="005F21EA"/>
    <w:rsid w:val="005F3378"/>
    <w:rsid w:val="005F4E4C"/>
    <w:rsid w:val="005F525E"/>
    <w:rsid w:val="005F67E4"/>
    <w:rsid w:val="005F73BD"/>
    <w:rsid w:val="005F78C9"/>
    <w:rsid w:val="006003AE"/>
    <w:rsid w:val="006022E0"/>
    <w:rsid w:val="006024C0"/>
    <w:rsid w:val="0060314E"/>
    <w:rsid w:val="00603D26"/>
    <w:rsid w:val="006056F1"/>
    <w:rsid w:val="006057B6"/>
    <w:rsid w:val="00605C83"/>
    <w:rsid w:val="00606660"/>
    <w:rsid w:val="00606878"/>
    <w:rsid w:val="00606950"/>
    <w:rsid w:val="006072E4"/>
    <w:rsid w:val="00607A4F"/>
    <w:rsid w:val="006106FF"/>
    <w:rsid w:val="006107AA"/>
    <w:rsid w:val="00610EC6"/>
    <w:rsid w:val="0061164D"/>
    <w:rsid w:val="00611C6B"/>
    <w:rsid w:val="00612667"/>
    <w:rsid w:val="00612B1B"/>
    <w:rsid w:val="00613385"/>
    <w:rsid w:val="00613479"/>
    <w:rsid w:val="0061417F"/>
    <w:rsid w:val="0061639C"/>
    <w:rsid w:val="00616A86"/>
    <w:rsid w:val="00616FC2"/>
    <w:rsid w:val="00617C37"/>
    <w:rsid w:val="00617FB6"/>
    <w:rsid w:val="00621345"/>
    <w:rsid w:val="006233A9"/>
    <w:rsid w:val="00623B82"/>
    <w:rsid w:val="00624244"/>
    <w:rsid w:val="0062442D"/>
    <w:rsid w:val="00624541"/>
    <w:rsid w:val="00625478"/>
    <w:rsid w:val="00625CB2"/>
    <w:rsid w:val="00626360"/>
    <w:rsid w:val="00626676"/>
    <w:rsid w:val="00626941"/>
    <w:rsid w:val="00627B6A"/>
    <w:rsid w:val="0063015A"/>
    <w:rsid w:val="006301CD"/>
    <w:rsid w:val="0063025C"/>
    <w:rsid w:val="006303CB"/>
    <w:rsid w:val="006307E7"/>
    <w:rsid w:val="00630849"/>
    <w:rsid w:val="006309D3"/>
    <w:rsid w:val="00630CF1"/>
    <w:rsid w:val="0063209A"/>
    <w:rsid w:val="00632377"/>
    <w:rsid w:val="00632570"/>
    <w:rsid w:val="00632625"/>
    <w:rsid w:val="00632B8C"/>
    <w:rsid w:val="00632D6D"/>
    <w:rsid w:val="006335F6"/>
    <w:rsid w:val="00634650"/>
    <w:rsid w:val="0063525D"/>
    <w:rsid w:val="00635B40"/>
    <w:rsid w:val="00635C05"/>
    <w:rsid w:val="00635D7F"/>
    <w:rsid w:val="0063628B"/>
    <w:rsid w:val="0063679D"/>
    <w:rsid w:val="00636DDD"/>
    <w:rsid w:val="0063703E"/>
    <w:rsid w:val="0063753A"/>
    <w:rsid w:val="00640187"/>
    <w:rsid w:val="00641619"/>
    <w:rsid w:val="00641B6D"/>
    <w:rsid w:val="00644C63"/>
    <w:rsid w:val="00646143"/>
    <w:rsid w:val="00646949"/>
    <w:rsid w:val="00646966"/>
    <w:rsid w:val="006469B7"/>
    <w:rsid w:val="00646D27"/>
    <w:rsid w:val="006473BD"/>
    <w:rsid w:val="00647B8F"/>
    <w:rsid w:val="0065057F"/>
    <w:rsid w:val="006506CD"/>
    <w:rsid w:val="0065170A"/>
    <w:rsid w:val="006522B9"/>
    <w:rsid w:val="00654E90"/>
    <w:rsid w:val="006551D7"/>
    <w:rsid w:val="00655331"/>
    <w:rsid w:val="00655443"/>
    <w:rsid w:val="00656240"/>
    <w:rsid w:val="0065713B"/>
    <w:rsid w:val="00662C96"/>
    <w:rsid w:val="0066302B"/>
    <w:rsid w:val="00663B03"/>
    <w:rsid w:val="006650CB"/>
    <w:rsid w:val="006656B6"/>
    <w:rsid w:val="00665F8D"/>
    <w:rsid w:val="006668E6"/>
    <w:rsid w:val="00667C14"/>
    <w:rsid w:val="00667E60"/>
    <w:rsid w:val="00667F39"/>
    <w:rsid w:val="00670BD5"/>
    <w:rsid w:val="0067227F"/>
    <w:rsid w:val="006725C8"/>
    <w:rsid w:val="00672729"/>
    <w:rsid w:val="00672CD5"/>
    <w:rsid w:val="006733FA"/>
    <w:rsid w:val="00673B12"/>
    <w:rsid w:val="00673D7A"/>
    <w:rsid w:val="00673D8A"/>
    <w:rsid w:val="0067564D"/>
    <w:rsid w:val="00677309"/>
    <w:rsid w:val="0067772E"/>
    <w:rsid w:val="00677CE8"/>
    <w:rsid w:val="00680646"/>
    <w:rsid w:val="00680FF8"/>
    <w:rsid w:val="0068135D"/>
    <w:rsid w:val="0068148E"/>
    <w:rsid w:val="00681A75"/>
    <w:rsid w:val="00685908"/>
    <w:rsid w:val="006859F0"/>
    <w:rsid w:val="006865B8"/>
    <w:rsid w:val="00687230"/>
    <w:rsid w:val="00687670"/>
    <w:rsid w:val="006901D7"/>
    <w:rsid w:val="00690623"/>
    <w:rsid w:val="00690AEE"/>
    <w:rsid w:val="00690EEA"/>
    <w:rsid w:val="00691B16"/>
    <w:rsid w:val="00692203"/>
    <w:rsid w:val="0069229D"/>
    <w:rsid w:val="00692D84"/>
    <w:rsid w:val="00693695"/>
    <w:rsid w:val="00693A4E"/>
    <w:rsid w:val="00693DBC"/>
    <w:rsid w:val="00694682"/>
    <w:rsid w:val="006948B1"/>
    <w:rsid w:val="00694B9D"/>
    <w:rsid w:val="006967F5"/>
    <w:rsid w:val="00696E06"/>
    <w:rsid w:val="00696E83"/>
    <w:rsid w:val="00697057"/>
    <w:rsid w:val="0069730D"/>
    <w:rsid w:val="00697A55"/>
    <w:rsid w:val="00697D05"/>
    <w:rsid w:val="006A17C5"/>
    <w:rsid w:val="006A2109"/>
    <w:rsid w:val="006A2C8E"/>
    <w:rsid w:val="006A3BEB"/>
    <w:rsid w:val="006A584A"/>
    <w:rsid w:val="006A5A10"/>
    <w:rsid w:val="006A5BE0"/>
    <w:rsid w:val="006A7085"/>
    <w:rsid w:val="006A7BEE"/>
    <w:rsid w:val="006A7CCF"/>
    <w:rsid w:val="006B056C"/>
    <w:rsid w:val="006B0E1D"/>
    <w:rsid w:val="006B11B1"/>
    <w:rsid w:val="006B1CA8"/>
    <w:rsid w:val="006B3A2B"/>
    <w:rsid w:val="006B4AA4"/>
    <w:rsid w:val="006B4D1B"/>
    <w:rsid w:val="006B52B1"/>
    <w:rsid w:val="006B5598"/>
    <w:rsid w:val="006B625B"/>
    <w:rsid w:val="006C1063"/>
    <w:rsid w:val="006C1F1F"/>
    <w:rsid w:val="006C1FA4"/>
    <w:rsid w:val="006C4DC6"/>
    <w:rsid w:val="006C5CDB"/>
    <w:rsid w:val="006C708C"/>
    <w:rsid w:val="006C7A5C"/>
    <w:rsid w:val="006D07E2"/>
    <w:rsid w:val="006D0AB8"/>
    <w:rsid w:val="006D1AD1"/>
    <w:rsid w:val="006D1BFA"/>
    <w:rsid w:val="006D23A8"/>
    <w:rsid w:val="006D25AA"/>
    <w:rsid w:val="006D372A"/>
    <w:rsid w:val="006D515C"/>
    <w:rsid w:val="006D52BA"/>
    <w:rsid w:val="006D584D"/>
    <w:rsid w:val="006D5A4D"/>
    <w:rsid w:val="006D5F7D"/>
    <w:rsid w:val="006D61D5"/>
    <w:rsid w:val="006D654A"/>
    <w:rsid w:val="006D660A"/>
    <w:rsid w:val="006D7A4F"/>
    <w:rsid w:val="006D7BB6"/>
    <w:rsid w:val="006E04BB"/>
    <w:rsid w:val="006E0FB9"/>
    <w:rsid w:val="006E1B2F"/>
    <w:rsid w:val="006E1E63"/>
    <w:rsid w:val="006E1FAA"/>
    <w:rsid w:val="006E34F2"/>
    <w:rsid w:val="006E3925"/>
    <w:rsid w:val="006E3D5A"/>
    <w:rsid w:val="006E3F20"/>
    <w:rsid w:val="006E5050"/>
    <w:rsid w:val="006E565C"/>
    <w:rsid w:val="006E5ADF"/>
    <w:rsid w:val="006E60AC"/>
    <w:rsid w:val="006E72D6"/>
    <w:rsid w:val="006E7495"/>
    <w:rsid w:val="006E7C4F"/>
    <w:rsid w:val="006E7C9D"/>
    <w:rsid w:val="006E7F1F"/>
    <w:rsid w:val="006F047D"/>
    <w:rsid w:val="006F18AC"/>
    <w:rsid w:val="006F2247"/>
    <w:rsid w:val="006F343A"/>
    <w:rsid w:val="006F353D"/>
    <w:rsid w:val="006F39E6"/>
    <w:rsid w:val="006F3A14"/>
    <w:rsid w:val="006F3C1A"/>
    <w:rsid w:val="006F4AA3"/>
    <w:rsid w:val="006F5131"/>
    <w:rsid w:val="006F51CC"/>
    <w:rsid w:val="006F5949"/>
    <w:rsid w:val="006F6AE7"/>
    <w:rsid w:val="006F7DAA"/>
    <w:rsid w:val="006F7E21"/>
    <w:rsid w:val="00700859"/>
    <w:rsid w:val="00701A74"/>
    <w:rsid w:val="00701EC4"/>
    <w:rsid w:val="00702945"/>
    <w:rsid w:val="007035F7"/>
    <w:rsid w:val="00703B57"/>
    <w:rsid w:val="00703CE8"/>
    <w:rsid w:val="0070401A"/>
    <w:rsid w:val="00704647"/>
    <w:rsid w:val="00704693"/>
    <w:rsid w:val="00705423"/>
    <w:rsid w:val="007055AD"/>
    <w:rsid w:val="007056E7"/>
    <w:rsid w:val="007066F8"/>
    <w:rsid w:val="00707B25"/>
    <w:rsid w:val="00707B27"/>
    <w:rsid w:val="00707DB7"/>
    <w:rsid w:val="007112F8"/>
    <w:rsid w:val="007117F0"/>
    <w:rsid w:val="00711B71"/>
    <w:rsid w:val="007120AC"/>
    <w:rsid w:val="007125B3"/>
    <w:rsid w:val="0071269D"/>
    <w:rsid w:val="00712C17"/>
    <w:rsid w:val="00712EC7"/>
    <w:rsid w:val="0071318B"/>
    <w:rsid w:val="00713B06"/>
    <w:rsid w:val="00715E4A"/>
    <w:rsid w:val="00720E45"/>
    <w:rsid w:val="007211ED"/>
    <w:rsid w:val="00721A50"/>
    <w:rsid w:val="00722935"/>
    <w:rsid w:val="0072349F"/>
    <w:rsid w:val="00723FE3"/>
    <w:rsid w:val="00724142"/>
    <w:rsid w:val="007241CA"/>
    <w:rsid w:val="00724590"/>
    <w:rsid w:val="007246E3"/>
    <w:rsid w:val="00724EEA"/>
    <w:rsid w:val="00724F76"/>
    <w:rsid w:val="0072619B"/>
    <w:rsid w:val="007262E3"/>
    <w:rsid w:val="00727882"/>
    <w:rsid w:val="00727D17"/>
    <w:rsid w:val="007307C7"/>
    <w:rsid w:val="00731449"/>
    <w:rsid w:val="00732BFA"/>
    <w:rsid w:val="007337F8"/>
    <w:rsid w:val="00733A7E"/>
    <w:rsid w:val="00734028"/>
    <w:rsid w:val="00734B46"/>
    <w:rsid w:val="00735C2D"/>
    <w:rsid w:val="00736547"/>
    <w:rsid w:val="007367B6"/>
    <w:rsid w:val="00736E5A"/>
    <w:rsid w:val="00737DDC"/>
    <w:rsid w:val="0074024D"/>
    <w:rsid w:val="007402DD"/>
    <w:rsid w:val="00740FBD"/>
    <w:rsid w:val="00741BA8"/>
    <w:rsid w:val="00741C1F"/>
    <w:rsid w:val="0074210B"/>
    <w:rsid w:val="007439EB"/>
    <w:rsid w:val="00743BF6"/>
    <w:rsid w:val="00743DB5"/>
    <w:rsid w:val="007449A9"/>
    <w:rsid w:val="00744A73"/>
    <w:rsid w:val="00745318"/>
    <w:rsid w:val="00746326"/>
    <w:rsid w:val="007473A3"/>
    <w:rsid w:val="0074784E"/>
    <w:rsid w:val="007506B1"/>
    <w:rsid w:val="00750E75"/>
    <w:rsid w:val="00751C6B"/>
    <w:rsid w:val="007535B4"/>
    <w:rsid w:val="007535D5"/>
    <w:rsid w:val="00753F6C"/>
    <w:rsid w:val="00754175"/>
    <w:rsid w:val="007543D1"/>
    <w:rsid w:val="00757472"/>
    <w:rsid w:val="00757729"/>
    <w:rsid w:val="00762FA8"/>
    <w:rsid w:val="00764751"/>
    <w:rsid w:val="00765210"/>
    <w:rsid w:val="007655BA"/>
    <w:rsid w:val="00766C9E"/>
    <w:rsid w:val="00767B5B"/>
    <w:rsid w:val="00771C45"/>
    <w:rsid w:val="00772699"/>
    <w:rsid w:val="00772C51"/>
    <w:rsid w:val="00773032"/>
    <w:rsid w:val="00773A12"/>
    <w:rsid w:val="00773C06"/>
    <w:rsid w:val="00774D18"/>
    <w:rsid w:val="007757F9"/>
    <w:rsid w:val="00775B2E"/>
    <w:rsid w:val="00775E44"/>
    <w:rsid w:val="00776405"/>
    <w:rsid w:val="00776823"/>
    <w:rsid w:val="007768A5"/>
    <w:rsid w:val="00776DEB"/>
    <w:rsid w:val="00777F50"/>
    <w:rsid w:val="007800EF"/>
    <w:rsid w:val="00780699"/>
    <w:rsid w:val="007807AF"/>
    <w:rsid w:val="007808C8"/>
    <w:rsid w:val="00781AB1"/>
    <w:rsid w:val="00784095"/>
    <w:rsid w:val="00784BF9"/>
    <w:rsid w:val="00784D59"/>
    <w:rsid w:val="00786002"/>
    <w:rsid w:val="007860D3"/>
    <w:rsid w:val="00790A35"/>
    <w:rsid w:val="00790C41"/>
    <w:rsid w:val="00790F3A"/>
    <w:rsid w:val="00791D49"/>
    <w:rsid w:val="00791F58"/>
    <w:rsid w:val="0079298C"/>
    <w:rsid w:val="00792DB2"/>
    <w:rsid w:val="00793A78"/>
    <w:rsid w:val="00793DB2"/>
    <w:rsid w:val="00794649"/>
    <w:rsid w:val="0079565A"/>
    <w:rsid w:val="00796415"/>
    <w:rsid w:val="00797204"/>
    <w:rsid w:val="00797766"/>
    <w:rsid w:val="007A0113"/>
    <w:rsid w:val="007A01BC"/>
    <w:rsid w:val="007A08DB"/>
    <w:rsid w:val="007A137D"/>
    <w:rsid w:val="007A1897"/>
    <w:rsid w:val="007A2000"/>
    <w:rsid w:val="007A3269"/>
    <w:rsid w:val="007A42B5"/>
    <w:rsid w:val="007A42DC"/>
    <w:rsid w:val="007A4A71"/>
    <w:rsid w:val="007A4D86"/>
    <w:rsid w:val="007A4FD3"/>
    <w:rsid w:val="007A7F17"/>
    <w:rsid w:val="007B0814"/>
    <w:rsid w:val="007B0B6C"/>
    <w:rsid w:val="007B0BDA"/>
    <w:rsid w:val="007B0FF3"/>
    <w:rsid w:val="007B17DE"/>
    <w:rsid w:val="007B1CD9"/>
    <w:rsid w:val="007B2121"/>
    <w:rsid w:val="007B3148"/>
    <w:rsid w:val="007B3CFD"/>
    <w:rsid w:val="007B47B5"/>
    <w:rsid w:val="007B4AE7"/>
    <w:rsid w:val="007B4E83"/>
    <w:rsid w:val="007B503F"/>
    <w:rsid w:val="007B5670"/>
    <w:rsid w:val="007B5AD1"/>
    <w:rsid w:val="007B5E0B"/>
    <w:rsid w:val="007B6880"/>
    <w:rsid w:val="007B6EB1"/>
    <w:rsid w:val="007C1368"/>
    <w:rsid w:val="007C15BE"/>
    <w:rsid w:val="007C1613"/>
    <w:rsid w:val="007C1E1F"/>
    <w:rsid w:val="007C280B"/>
    <w:rsid w:val="007C2F71"/>
    <w:rsid w:val="007C48AA"/>
    <w:rsid w:val="007C5220"/>
    <w:rsid w:val="007C5446"/>
    <w:rsid w:val="007C5C1D"/>
    <w:rsid w:val="007C5EF2"/>
    <w:rsid w:val="007C713C"/>
    <w:rsid w:val="007C7FE2"/>
    <w:rsid w:val="007D0C6B"/>
    <w:rsid w:val="007D184A"/>
    <w:rsid w:val="007D19CF"/>
    <w:rsid w:val="007D210D"/>
    <w:rsid w:val="007D281D"/>
    <w:rsid w:val="007D46FA"/>
    <w:rsid w:val="007D5248"/>
    <w:rsid w:val="007D5896"/>
    <w:rsid w:val="007D775C"/>
    <w:rsid w:val="007E05BD"/>
    <w:rsid w:val="007E07BD"/>
    <w:rsid w:val="007E0824"/>
    <w:rsid w:val="007E1108"/>
    <w:rsid w:val="007E1D9D"/>
    <w:rsid w:val="007E1DF8"/>
    <w:rsid w:val="007E212C"/>
    <w:rsid w:val="007E2140"/>
    <w:rsid w:val="007E3836"/>
    <w:rsid w:val="007E386E"/>
    <w:rsid w:val="007E3D7F"/>
    <w:rsid w:val="007E4AFA"/>
    <w:rsid w:val="007E5D47"/>
    <w:rsid w:val="007E6FFD"/>
    <w:rsid w:val="007F0CF3"/>
    <w:rsid w:val="007F16F9"/>
    <w:rsid w:val="007F1848"/>
    <w:rsid w:val="007F1899"/>
    <w:rsid w:val="007F36AE"/>
    <w:rsid w:val="007F39C1"/>
    <w:rsid w:val="007F3DA2"/>
    <w:rsid w:val="007F40F1"/>
    <w:rsid w:val="007F4397"/>
    <w:rsid w:val="007F4F27"/>
    <w:rsid w:val="007F508E"/>
    <w:rsid w:val="007F71B2"/>
    <w:rsid w:val="008013CA"/>
    <w:rsid w:val="00801712"/>
    <w:rsid w:val="00801730"/>
    <w:rsid w:val="00801C06"/>
    <w:rsid w:val="00803D89"/>
    <w:rsid w:val="00804280"/>
    <w:rsid w:val="008046EB"/>
    <w:rsid w:val="008048AD"/>
    <w:rsid w:val="0080611B"/>
    <w:rsid w:val="00806298"/>
    <w:rsid w:val="00807563"/>
    <w:rsid w:val="008120E8"/>
    <w:rsid w:val="008128A1"/>
    <w:rsid w:val="00813332"/>
    <w:rsid w:val="00814413"/>
    <w:rsid w:val="008147D8"/>
    <w:rsid w:val="00814913"/>
    <w:rsid w:val="00815B6E"/>
    <w:rsid w:val="008209AF"/>
    <w:rsid w:val="00820AF8"/>
    <w:rsid w:val="00821547"/>
    <w:rsid w:val="008218A6"/>
    <w:rsid w:val="00823DD3"/>
    <w:rsid w:val="00824257"/>
    <w:rsid w:val="0082512E"/>
    <w:rsid w:val="00825449"/>
    <w:rsid w:val="008259A1"/>
    <w:rsid w:val="00826656"/>
    <w:rsid w:val="008268D7"/>
    <w:rsid w:val="00826B78"/>
    <w:rsid w:val="00826C73"/>
    <w:rsid w:val="00830078"/>
    <w:rsid w:val="00830C98"/>
    <w:rsid w:val="00830DD1"/>
    <w:rsid w:val="0083108B"/>
    <w:rsid w:val="00831D72"/>
    <w:rsid w:val="00831D75"/>
    <w:rsid w:val="008320AC"/>
    <w:rsid w:val="00832694"/>
    <w:rsid w:val="00832980"/>
    <w:rsid w:val="0083346B"/>
    <w:rsid w:val="00833D9E"/>
    <w:rsid w:val="00835E79"/>
    <w:rsid w:val="00835E8A"/>
    <w:rsid w:val="0083614C"/>
    <w:rsid w:val="00837401"/>
    <w:rsid w:val="00837829"/>
    <w:rsid w:val="00840C22"/>
    <w:rsid w:val="008410F8"/>
    <w:rsid w:val="00842600"/>
    <w:rsid w:val="00842849"/>
    <w:rsid w:val="00842E01"/>
    <w:rsid w:val="00843E80"/>
    <w:rsid w:val="008454B5"/>
    <w:rsid w:val="008458B0"/>
    <w:rsid w:val="00845D81"/>
    <w:rsid w:val="008477DA"/>
    <w:rsid w:val="0084781D"/>
    <w:rsid w:val="00851455"/>
    <w:rsid w:val="00851D0F"/>
    <w:rsid w:val="0085224E"/>
    <w:rsid w:val="008522CC"/>
    <w:rsid w:val="00852655"/>
    <w:rsid w:val="00852F87"/>
    <w:rsid w:val="008536C9"/>
    <w:rsid w:val="00854120"/>
    <w:rsid w:val="00854446"/>
    <w:rsid w:val="00855031"/>
    <w:rsid w:val="00856351"/>
    <w:rsid w:val="00857013"/>
    <w:rsid w:val="00860288"/>
    <w:rsid w:val="00860385"/>
    <w:rsid w:val="00860900"/>
    <w:rsid w:val="00861710"/>
    <w:rsid w:val="00861CCC"/>
    <w:rsid w:val="00862D80"/>
    <w:rsid w:val="008634AE"/>
    <w:rsid w:val="008640B5"/>
    <w:rsid w:val="00864131"/>
    <w:rsid w:val="0086490C"/>
    <w:rsid w:val="00864F70"/>
    <w:rsid w:val="0086588E"/>
    <w:rsid w:val="00865924"/>
    <w:rsid w:val="0086633C"/>
    <w:rsid w:val="00871427"/>
    <w:rsid w:val="00873259"/>
    <w:rsid w:val="00873DAD"/>
    <w:rsid w:val="00873EBA"/>
    <w:rsid w:val="00874155"/>
    <w:rsid w:val="00874350"/>
    <w:rsid w:val="00874505"/>
    <w:rsid w:val="0087486A"/>
    <w:rsid w:val="008748F8"/>
    <w:rsid w:val="00874923"/>
    <w:rsid w:val="00874ABA"/>
    <w:rsid w:val="00877262"/>
    <w:rsid w:val="00877F86"/>
    <w:rsid w:val="00880442"/>
    <w:rsid w:val="0088198B"/>
    <w:rsid w:val="008827D5"/>
    <w:rsid w:val="00883FBD"/>
    <w:rsid w:val="00884B48"/>
    <w:rsid w:val="00885F9A"/>
    <w:rsid w:val="00886A53"/>
    <w:rsid w:val="00887905"/>
    <w:rsid w:val="00891E41"/>
    <w:rsid w:val="00892AAE"/>
    <w:rsid w:val="00892F37"/>
    <w:rsid w:val="008931B5"/>
    <w:rsid w:val="008934BC"/>
    <w:rsid w:val="0089350E"/>
    <w:rsid w:val="0089411C"/>
    <w:rsid w:val="0089469F"/>
    <w:rsid w:val="00895F88"/>
    <w:rsid w:val="00896019"/>
    <w:rsid w:val="00896231"/>
    <w:rsid w:val="00896502"/>
    <w:rsid w:val="00896D36"/>
    <w:rsid w:val="008972B4"/>
    <w:rsid w:val="00897749"/>
    <w:rsid w:val="008A0549"/>
    <w:rsid w:val="008A05BA"/>
    <w:rsid w:val="008A0C56"/>
    <w:rsid w:val="008A0C5C"/>
    <w:rsid w:val="008A0CAB"/>
    <w:rsid w:val="008A25E1"/>
    <w:rsid w:val="008A36E4"/>
    <w:rsid w:val="008A3A7E"/>
    <w:rsid w:val="008A4425"/>
    <w:rsid w:val="008A4A96"/>
    <w:rsid w:val="008A5682"/>
    <w:rsid w:val="008A5FBA"/>
    <w:rsid w:val="008A64D1"/>
    <w:rsid w:val="008A6881"/>
    <w:rsid w:val="008A6C2F"/>
    <w:rsid w:val="008A74EA"/>
    <w:rsid w:val="008A7DD5"/>
    <w:rsid w:val="008B14DC"/>
    <w:rsid w:val="008B177A"/>
    <w:rsid w:val="008B1A14"/>
    <w:rsid w:val="008B1C65"/>
    <w:rsid w:val="008B1D3B"/>
    <w:rsid w:val="008B1E99"/>
    <w:rsid w:val="008B23AF"/>
    <w:rsid w:val="008B2732"/>
    <w:rsid w:val="008B2BF9"/>
    <w:rsid w:val="008B2DA4"/>
    <w:rsid w:val="008B42C7"/>
    <w:rsid w:val="008C000F"/>
    <w:rsid w:val="008C143D"/>
    <w:rsid w:val="008C1B53"/>
    <w:rsid w:val="008C2945"/>
    <w:rsid w:val="008C2D75"/>
    <w:rsid w:val="008C3CDE"/>
    <w:rsid w:val="008C4C3E"/>
    <w:rsid w:val="008C4F22"/>
    <w:rsid w:val="008C5284"/>
    <w:rsid w:val="008C7AF3"/>
    <w:rsid w:val="008D02EB"/>
    <w:rsid w:val="008D08E1"/>
    <w:rsid w:val="008D09BE"/>
    <w:rsid w:val="008D0A8D"/>
    <w:rsid w:val="008D1EE8"/>
    <w:rsid w:val="008D23AE"/>
    <w:rsid w:val="008D25C1"/>
    <w:rsid w:val="008D2CCA"/>
    <w:rsid w:val="008D2E06"/>
    <w:rsid w:val="008D3533"/>
    <w:rsid w:val="008D3581"/>
    <w:rsid w:val="008D37C9"/>
    <w:rsid w:val="008D37EE"/>
    <w:rsid w:val="008D39FF"/>
    <w:rsid w:val="008D5275"/>
    <w:rsid w:val="008D559E"/>
    <w:rsid w:val="008D55FC"/>
    <w:rsid w:val="008D5CFF"/>
    <w:rsid w:val="008D66A4"/>
    <w:rsid w:val="008D6755"/>
    <w:rsid w:val="008D7420"/>
    <w:rsid w:val="008D79BC"/>
    <w:rsid w:val="008D7E4F"/>
    <w:rsid w:val="008E09D4"/>
    <w:rsid w:val="008E0FA4"/>
    <w:rsid w:val="008E16C5"/>
    <w:rsid w:val="008E191B"/>
    <w:rsid w:val="008E1C79"/>
    <w:rsid w:val="008E21B8"/>
    <w:rsid w:val="008E2EB9"/>
    <w:rsid w:val="008E3F73"/>
    <w:rsid w:val="008E4540"/>
    <w:rsid w:val="008E5D25"/>
    <w:rsid w:val="008E5E21"/>
    <w:rsid w:val="008E6269"/>
    <w:rsid w:val="008E6454"/>
    <w:rsid w:val="008E67A9"/>
    <w:rsid w:val="008E6B78"/>
    <w:rsid w:val="008E6E06"/>
    <w:rsid w:val="008E7F39"/>
    <w:rsid w:val="008F0658"/>
    <w:rsid w:val="008F07F1"/>
    <w:rsid w:val="008F0FFD"/>
    <w:rsid w:val="008F10D1"/>
    <w:rsid w:val="008F14A3"/>
    <w:rsid w:val="008F2022"/>
    <w:rsid w:val="008F3706"/>
    <w:rsid w:val="008F48FA"/>
    <w:rsid w:val="008F498B"/>
    <w:rsid w:val="008F5039"/>
    <w:rsid w:val="008F61E5"/>
    <w:rsid w:val="008F62ED"/>
    <w:rsid w:val="008F6BF8"/>
    <w:rsid w:val="008F6EAC"/>
    <w:rsid w:val="008F7133"/>
    <w:rsid w:val="008F72E0"/>
    <w:rsid w:val="008F7E1C"/>
    <w:rsid w:val="00900122"/>
    <w:rsid w:val="00900867"/>
    <w:rsid w:val="00900E27"/>
    <w:rsid w:val="009021B4"/>
    <w:rsid w:val="0090284E"/>
    <w:rsid w:val="00903A39"/>
    <w:rsid w:val="00903FCE"/>
    <w:rsid w:val="00904508"/>
    <w:rsid w:val="009047BD"/>
    <w:rsid w:val="00904C66"/>
    <w:rsid w:val="00905083"/>
    <w:rsid w:val="009050C9"/>
    <w:rsid w:val="00905D0E"/>
    <w:rsid w:val="00905F02"/>
    <w:rsid w:val="00906BFF"/>
    <w:rsid w:val="00906C0C"/>
    <w:rsid w:val="009078DB"/>
    <w:rsid w:val="00910826"/>
    <w:rsid w:val="00911798"/>
    <w:rsid w:val="00911856"/>
    <w:rsid w:val="00911E19"/>
    <w:rsid w:val="009120CE"/>
    <w:rsid w:val="009123E2"/>
    <w:rsid w:val="0091448B"/>
    <w:rsid w:val="00914EB6"/>
    <w:rsid w:val="00915B9E"/>
    <w:rsid w:val="00916502"/>
    <w:rsid w:val="009165A8"/>
    <w:rsid w:val="00916750"/>
    <w:rsid w:val="009167A2"/>
    <w:rsid w:val="00920359"/>
    <w:rsid w:val="00921292"/>
    <w:rsid w:val="009219B7"/>
    <w:rsid w:val="00922DC1"/>
    <w:rsid w:val="009234E8"/>
    <w:rsid w:val="00924FE3"/>
    <w:rsid w:val="009251A9"/>
    <w:rsid w:val="00926748"/>
    <w:rsid w:val="00926A38"/>
    <w:rsid w:val="00926A53"/>
    <w:rsid w:val="00926F54"/>
    <w:rsid w:val="00927EB6"/>
    <w:rsid w:val="00931425"/>
    <w:rsid w:val="0093152E"/>
    <w:rsid w:val="00932234"/>
    <w:rsid w:val="00932CF3"/>
    <w:rsid w:val="00932F12"/>
    <w:rsid w:val="0093349B"/>
    <w:rsid w:val="00934294"/>
    <w:rsid w:val="00934EEA"/>
    <w:rsid w:val="009354E3"/>
    <w:rsid w:val="00936056"/>
    <w:rsid w:val="009362F6"/>
    <w:rsid w:val="009365AC"/>
    <w:rsid w:val="0093681F"/>
    <w:rsid w:val="00937487"/>
    <w:rsid w:val="00937BA4"/>
    <w:rsid w:val="00937D3B"/>
    <w:rsid w:val="00943A9D"/>
    <w:rsid w:val="00944104"/>
    <w:rsid w:val="009441CD"/>
    <w:rsid w:val="00945189"/>
    <w:rsid w:val="009461D1"/>
    <w:rsid w:val="00946568"/>
    <w:rsid w:val="0094682E"/>
    <w:rsid w:val="00946A3D"/>
    <w:rsid w:val="009475DC"/>
    <w:rsid w:val="00951C33"/>
    <w:rsid w:val="009521E8"/>
    <w:rsid w:val="009522E2"/>
    <w:rsid w:val="009525B3"/>
    <w:rsid w:val="00952F07"/>
    <w:rsid w:val="00952F45"/>
    <w:rsid w:val="00954025"/>
    <w:rsid w:val="00955158"/>
    <w:rsid w:val="00957690"/>
    <w:rsid w:val="00957874"/>
    <w:rsid w:val="00957DDD"/>
    <w:rsid w:val="00960DF4"/>
    <w:rsid w:val="00961192"/>
    <w:rsid w:val="0096220A"/>
    <w:rsid w:val="009623AB"/>
    <w:rsid w:val="0096283E"/>
    <w:rsid w:val="00962F3D"/>
    <w:rsid w:val="00963461"/>
    <w:rsid w:val="00963729"/>
    <w:rsid w:val="009641A9"/>
    <w:rsid w:val="009648FB"/>
    <w:rsid w:val="009649A6"/>
    <w:rsid w:val="00964C15"/>
    <w:rsid w:val="00964DFB"/>
    <w:rsid w:val="0096596B"/>
    <w:rsid w:val="00966A5A"/>
    <w:rsid w:val="0096742A"/>
    <w:rsid w:val="0096767C"/>
    <w:rsid w:val="009676C4"/>
    <w:rsid w:val="009704E5"/>
    <w:rsid w:val="0097055F"/>
    <w:rsid w:val="009711D7"/>
    <w:rsid w:val="00971262"/>
    <w:rsid w:val="0097157E"/>
    <w:rsid w:val="009716A6"/>
    <w:rsid w:val="00972FF4"/>
    <w:rsid w:val="00973B58"/>
    <w:rsid w:val="00973D86"/>
    <w:rsid w:val="00974D2B"/>
    <w:rsid w:val="00974EF0"/>
    <w:rsid w:val="0097518E"/>
    <w:rsid w:val="00975C20"/>
    <w:rsid w:val="00975D92"/>
    <w:rsid w:val="00975E86"/>
    <w:rsid w:val="0097716F"/>
    <w:rsid w:val="0097729C"/>
    <w:rsid w:val="009777A2"/>
    <w:rsid w:val="00977926"/>
    <w:rsid w:val="00977B9B"/>
    <w:rsid w:val="00981DEC"/>
    <w:rsid w:val="00982163"/>
    <w:rsid w:val="00982798"/>
    <w:rsid w:val="00982D8C"/>
    <w:rsid w:val="009837CF"/>
    <w:rsid w:val="00983AB5"/>
    <w:rsid w:val="0098481C"/>
    <w:rsid w:val="00986291"/>
    <w:rsid w:val="00987AFC"/>
    <w:rsid w:val="00991F3D"/>
    <w:rsid w:val="009933B1"/>
    <w:rsid w:val="009949B8"/>
    <w:rsid w:val="00994A09"/>
    <w:rsid w:val="00994C94"/>
    <w:rsid w:val="0099554E"/>
    <w:rsid w:val="0099728D"/>
    <w:rsid w:val="009A0D3B"/>
    <w:rsid w:val="009A0EA4"/>
    <w:rsid w:val="009A19C2"/>
    <w:rsid w:val="009A2C08"/>
    <w:rsid w:val="009A40FD"/>
    <w:rsid w:val="009A4385"/>
    <w:rsid w:val="009A49AC"/>
    <w:rsid w:val="009A551A"/>
    <w:rsid w:val="009A5C3A"/>
    <w:rsid w:val="009A6267"/>
    <w:rsid w:val="009A712B"/>
    <w:rsid w:val="009A742F"/>
    <w:rsid w:val="009B02C0"/>
    <w:rsid w:val="009B099E"/>
    <w:rsid w:val="009B16EC"/>
    <w:rsid w:val="009B1EA4"/>
    <w:rsid w:val="009B202F"/>
    <w:rsid w:val="009B29F0"/>
    <w:rsid w:val="009B3032"/>
    <w:rsid w:val="009B3877"/>
    <w:rsid w:val="009B4B2C"/>
    <w:rsid w:val="009B4EE7"/>
    <w:rsid w:val="009B5D41"/>
    <w:rsid w:val="009B6E19"/>
    <w:rsid w:val="009B6E7E"/>
    <w:rsid w:val="009B7087"/>
    <w:rsid w:val="009B7318"/>
    <w:rsid w:val="009B7E45"/>
    <w:rsid w:val="009B7E99"/>
    <w:rsid w:val="009C04F6"/>
    <w:rsid w:val="009C179D"/>
    <w:rsid w:val="009C17FD"/>
    <w:rsid w:val="009C1911"/>
    <w:rsid w:val="009C27EB"/>
    <w:rsid w:val="009C2B50"/>
    <w:rsid w:val="009C2B6B"/>
    <w:rsid w:val="009C2F6D"/>
    <w:rsid w:val="009C3081"/>
    <w:rsid w:val="009C3DAF"/>
    <w:rsid w:val="009C5004"/>
    <w:rsid w:val="009C6962"/>
    <w:rsid w:val="009C6B63"/>
    <w:rsid w:val="009C7466"/>
    <w:rsid w:val="009C7699"/>
    <w:rsid w:val="009D008A"/>
    <w:rsid w:val="009D154C"/>
    <w:rsid w:val="009D2CCA"/>
    <w:rsid w:val="009D3197"/>
    <w:rsid w:val="009D37A5"/>
    <w:rsid w:val="009D4450"/>
    <w:rsid w:val="009D4562"/>
    <w:rsid w:val="009D4A75"/>
    <w:rsid w:val="009D53D3"/>
    <w:rsid w:val="009D6C9A"/>
    <w:rsid w:val="009D74DD"/>
    <w:rsid w:val="009D75C0"/>
    <w:rsid w:val="009D761D"/>
    <w:rsid w:val="009D7997"/>
    <w:rsid w:val="009D7B62"/>
    <w:rsid w:val="009E083D"/>
    <w:rsid w:val="009E1B51"/>
    <w:rsid w:val="009E21AF"/>
    <w:rsid w:val="009E246A"/>
    <w:rsid w:val="009E2490"/>
    <w:rsid w:val="009E409D"/>
    <w:rsid w:val="009E484E"/>
    <w:rsid w:val="009E75DD"/>
    <w:rsid w:val="009F0DF4"/>
    <w:rsid w:val="009F1617"/>
    <w:rsid w:val="009F243F"/>
    <w:rsid w:val="009F27C2"/>
    <w:rsid w:val="009F28A5"/>
    <w:rsid w:val="009F4742"/>
    <w:rsid w:val="009F4E82"/>
    <w:rsid w:val="009F513E"/>
    <w:rsid w:val="009F5682"/>
    <w:rsid w:val="009F5974"/>
    <w:rsid w:val="009F5A9E"/>
    <w:rsid w:val="009F5BBA"/>
    <w:rsid w:val="009F616C"/>
    <w:rsid w:val="009F6433"/>
    <w:rsid w:val="009F6698"/>
    <w:rsid w:val="009F740D"/>
    <w:rsid w:val="009F797E"/>
    <w:rsid w:val="00A00A38"/>
    <w:rsid w:val="00A0103D"/>
    <w:rsid w:val="00A010AA"/>
    <w:rsid w:val="00A02438"/>
    <w:rsid w:val="00A02530"/>
    <w:rsid w:val="00A035A3"/>
    <w:rsid w:val="00A036F0"/>
    <w:rsid w:val="00A03D7C"/>
    <w:rsid w:val="00A0426E"/>
    <w:rsid w:val="00A04866"/>
    <w:rsid w:val="00A056EE"/>
    <w:rsid w:val="00A06000"/>
    <w:rsid w:val="00A0679E"/>
    <w:rsid w:val="00A06BD3"/>
    <w:rsid w:val="00A06BF4"/>
    <w:rsid w:val="00A075E5"/>
    <w:rsid w:val="00A07D16"/>
    <w:rsid w:val="00A10B9C"/>
    <w:rsid w:val="00A11849"/>
    <w:rsid w:val="00A11E0D"/>
    <w:rsid w:val="00A13211"/>
    <w:rsid w:val="00A1339C"/>
    <w:rsid w:val="00A146F3"/>
    <w:rsid w:val="00A14E92"/>
    <w:rsid w:val="00A158D7"/>
    <w:rsid w:val="00A15991"/>
    <w:rsid w:val="00A15EA9"/>
    <w:rsid w:val="00A16D1C"/>
    <w:rsid w:val="00A17265"/>
    <w:rsid w:val="00A17896"/>
    <w:rsid w:val="00A178ED"/>
    <w:rsid w:val="00A17E84"/>
    <w:rsid w:val="00A2080C"/>
    <w:rsid w:val="00A20998"/>
    <w:rsid w:val="00A21467"/>
    <w:rsid w:val="00A215AE"/>
    <w:rsid w:val="00A21E70"/>
    <w:rsid w:val="00A2284D"/>
    <w:rsid w:val="00A22C29"/>
    <w:rsid w:val="00A23413"/>
    <w:rsid w:val="00A23896"/>
    <w:rsid w:val="00A24485"/>
    <w:rsid w:val="00A24668"/>
    <w:rsid w:val="00A24752"/>
    <w:rsid w:val="00A24FA2"/>
    <w:rsid w:val="00A258E7"/>
    <w:rsid w:val="00A26392"/>
    <w:rsid w:val="00A26730"/>
    <w:rsid w:val="00A26E91"/>
    <w:rsid w:val="00A270C8"/>
    <w:rsid w:val="00A27BC8"/>
    <w:rsid w:val="00A31659"/>
    <w:rsid w:val="00A31E4B"/>
    <w:rsid w:val="00A33A25"/>
    <w:rsid w:val="00A33C50"/>
    <w:rsid w:val="00A3406E"/>
    <w:rsid w:val="00A343C7"/>
    <w:rsid w:val="00A34855"/>
    <w:rsid w:val="00A34A6C"/>
    <w:rsid w:val="00A34F0B"/>
    <w:rsid w:val="00A35C73"/>
    <w:rsid w:val="00A35CA1"/>
    <w:rsid w:val="00A37090"/>
    <w:rsid w:val="00A374F2"/>
    <w:rsid w:val="00A376E5"/>
    <w:rsid w:val="00A40A08"/>
    <w:rsid w:val="00A40D6A"/>
    <w:rsid w:val="00A4175B"/>
    <w:rsid w:val="00A424D6"/>
    <w:rsid w:val="00A4386F"/>
    <w:rsid w:val="00A45B19"/>
    <w:rsid w:val="00A4629D"/>
    <w:rsid w:val="00A4657B"/>
    <w:rsid w:val="00A466EA"/>
    <w:rsid w:val="00A46723"/>
    <w:rsid w:val="00A47594"/>
    <w:rsid w:val="00A4778F"/>
    <w:rsid w:val="00A47C29"/>
    <w:rsid w:val="00A50341"/>
    <w:rsid w:val="00A50FB5"/>
    <w:rsid w:val="00A516ED"/>
    <w:rsid w:val="00A51B0E"/>
    <w:rsid w:val="00A51E21"/>
    <w:rsid w:val="00A52099"/>
    <w:rsid w:val="00A52360"/>
    <w:rsid w:val="00A52366"/>
    <w:rsid w:val="00A523D0"/>
    <w:rsid w:val="00A526D0"/>
    <w:rsid w:val="00A53F15"/>
    <w:rsid w:val="00A54266"/>
    <w:rsid w:val="00A54D36"/>
    <w:rsid w:val="00A55239"/>
    <w:rsid w:val="00A5526C"/>
    <w:rsid w:val="00A572D7"/>
    <w:rsid w:val="00A57B4A"/>
    <w:rsid w:val="00A61022"/>
    <w:rsid w:val="00A61B9A"/>
    <w:rsid w:val="00A62B30"/>
    <w:rsid w:val="00A6325A"/>
    <w:rsid w:val="00A632FF"/>
    <w:rsid w:val="00A6330A"/>
    <w:rsid w:val="00A63AB0"/>
    <w:rsid w:val="00A63B9B"/>
    <w:rsid w:val="00A6478A"/>
    <w:rsid w:val="00A6539E"/>
    <w:rsid w:val="00A661D4"/>
    <w:rsid w:val="00A66737"/>
    <w:rsid w:val="00A7090F"/>
    <w:rsid w:val="00A70F76"/>
    <w:rsid w:val="00A714E1"/>
    <w:rsid w:val="00A71740"/>
    <w:rsid w:val="00A7189C"/>
    <w:rsid w:val="00A718BC"/>
    <w:rsid w:val="00A72BC8"/>
    <w:rsid w:val="00A730BF"/>
    <w:rsid w:val="00A7362B"/>
    <w:rsid w:val="00A73F42"/>
    <w:rsid w:val="00A74A29"/>
    <w:rsid w:val="00A74D3A"/>
    <w:rsid w:val="00A74E75"/>
    <w:rsid w:val="00A75A7C"/>
    <w:rsid w:val="00A75B94"/>
    <w:rsid w:val="00A7698F"/>
    <w:rsid w:val="00A778E5"/>
    <w:rsid w:val="00A80EEB"/>
    <w:rsid w:val="00A81773"/>
    <w:rsid w:val="00A83113"/>
    <w:rsid w:val="00A831B6"/>
    <w:rsid w:val="00A83893"/>
    <w:rsid w:val="00A8398D"/>
    <w:rsid w:val="00A84A85"/>
    <w:rsid w:val="00A858BA"/>
    <w:rsid w:val="00A8648C"/>
    <w:rsid w:val="00A8692F"/>
    <w:rsid w:val="00A870D2"/>
    <w:rsid w:val="00A87641"/>
    <w:rsid w:val="00A90436"/>
    <w:rsid w:val="00A91809"/>
    <w:rsid w:val="00A955F0"/>
    <w:rsid w:val="00A95E9B"/>
    <w:rsid w:val="00A964DA"/>
    <w:rsid w:val="00A966DD"/>
    <w:rsid w:val="00A97490"/>
    <w:rsid w:val="00AA044D"/>
    <w:rsid w:val="00AA052B"/>
    <w:rsid w:val="00AA0680"/>
    <w:rsid w:val="00AA09B5"/>
    <w:rsid w:val="00AA130E"/>
    <w:rsid w:val="00AA15E5"/>
    <w:rsid w:val="00AA2062"/>
    <w:rsid w:val="00AA22F5"/>
    <w:rsid w:val="00AA2636"/>
    <w:rsid w:val="00AA2872"/>
    <w:rsid w:val="00AA3450"/>
    <w:rsid w:val="00AA383C"/>
    <w:rsid w:val="00AA3A53"/>
    <w:rsid w:val="00AA3B06"/>
    <w:rsid w:val="00AA45F0"/>
    <w:rsid w:val="00AA586C"/>
    <w:rsid w:val="00AA5C5E"/>
    <w:rsid w:val="00AA5EA3"/>
    <w:rsid w:val="00AA7426"/>
    <w:rsid w:val="00AA76AB"/>
    <w:rsid w:val="00AA7F46"/>
    <w:rsid w:val="00AB013E"/>
    <w:rsid w:val="00AB172E"/>
    <w:rsid w:val="00AB1F81"/>
    <w:rsid w:val="00AB2437"/>
    <w:rsid w:val="00AB247C"/>
    <w:rsid w:val="00AB25A6"/>
    <w:rsid w:val="00AB3E8C"/>
    <w:rsid w:val="00AB3ED6"/>
    <w:rsid w:val="00AB4272"/>
    <w:rsid w:val="00AB5451"/>
    <w:rsid w:val="00AB5BD4"/>
    <w:rsid w:val="00AB6B0B"/>
    <w:rsid w:val="00AB6CD9"/>
    <w:rsid w:val="00AB78D8"/>
    <w:rsid w:val="00AB7B1D"/>
    <w:rsid w:val="00AB7B47"/>
    <w:rsid w:val="00AB7BB9"/>
    <w:rsid w:val="00AB7CDB"/>
    <w:rsid w:val="00AB7D2B"/>
    <w:rsid w:val="00AB7F28"/>
    <w:rsid w:val="00AC0427"/>
    <w:rsid w:val="00AC1190"/>
    <w:rsid w:val="00AC15AB"/>
    <w:rsid w:val="00AC1957"/>
    <w:rsid w:val="00AC2401"/>
    <w:rsid w:val="00AC2B9A"/>
    <w:rsid w:val="00AC2C67"/>
    <w:rsid w:val="00AC2FD5"/>
    <w:rsid w:val="00AC37B4"/>
    <w:rsid w:val="00AC4514"/>
    <w:rsid w:val="00AC461F"/>
    <w:rsid w:val="00AC46CF"/>
    <w:rsid w:val="00AC4924"/>
    <w:rsid w:val="00AC4CB3"/>
    <w:rsid w:val="00AC4DB8"/>
    <w:rsid w:val="00AC5132"/>
    <w:rsid w:val="00AC5355"/>
    <w:rsid w:val="00AC6100"/>
    <w:rsid w:val="00AC61FF"/>
    <w:rsid w:val="00AD0277"/>
    <w:rsid w:val="00AD115B"/>
    <w:rsid w:val="00AD296B"/>
    <w:rsid w:val="00AD2A2B"/>
    <w:rsid w:val="00AD3EBE"/>
    <w:rsid w:val="00AD654D"/>
    <w:rsid w:val="00AD76F2"/>
    <w:rsid w:val="00AD7709"/>
    <w:rsid w:val="00AD7FA5"/>
    <w:rsid w:val="00AE0826"/>
    <w:rsid w:val="00AE141E"/>
    <w:rsid w:val="00AE17F1"/>
    <w:rsid w:val="00AE2F44"/>
    <w:rsid w:val="00AE3C86"/>
    <w:rsid w:val="00AE40CA"/>
    <w:rsid w:val="00AE46F2"/>
    <w:rsid w:val="00AE48DE"/>
    <w:rsid w:val="00AE77BC"/>
    <w:rsid w:val="00AF0273"/>
    <w:rsid w:val="00AF0EAF"/>
    <w:rsid w:val="00AF1061"/>
    <w:rsid w:val="00AF1856"/>
    <w:rsid w:val="00AF1FC7"/>
    <w:rsid w:val="00AF2252"/>
    <w:rsid w:val="00AF2D58"/>
    <w:rsid w:val="00AF3250"/>
    <w:rsid w:val="00AF454A"/>
    <w:rsid w:val="00AF5BB0"/>
    <w:rsid w:val="00AF68BF"/>
    <w:rsid w:val="00B01A19"/>
    <w:rsid w:val="00B01A4B"/>
    <w:rsid w:val="00B03A21"/>
    <w:rsid w:val="00B05B97"/>
    <w:rsid w:val="00B05D2C"/>
    <w:rsid w:val="00B05F1E"/>
    <w:rsid w:val="00B06800"/>
    <w:rsid w:val="00B06C0D"/>
    <w:rsid w:val="00B077BA"/>
    <w:rsid w:val="00B07AE7"/>
    <w:rsid w:val="00B1017D"/>
    <w:rsid w:val="00B10EDD"/>
    <w:rsid w:val="00B11101"/>
    <w:rsid w:val="00B11445"/>
    <w:rsid w:val="00B115EC"/>
    <w:rsid w:val="00B1177A"/>
    <w:rsid w:val="00B12BDF"/>
    <w:rsid w:val="00B12D76"/>
    <w:rsid w:val="00B13BD7"/>
    <w:rsid w:val="00B13C33"/>
    <w:rsid w:val="00B143E8"/>
    <w:rsid w:val="00B16CA8"/>
    <w:rsid w:val="00B17E2A"/>
    <w:rsid w:val="00B17FBC"/>
    <w:rsid w:val="00B20688"/>
    <w:rsid w:val="00B22397"/>
    <w:rsid w:val="00B22461"/>
    <w:rsid w:val="00B2315D"/>
    <w:rsid w:val="00B239DC"/>
    <w:rsid w:val="00B23DD2"/>
    <w:rsid w:val="00B2403C"/>
    <w:rsid w:val="00B24E50"/>
    <w:rsid w:val="00B26ABC"/>
    <w:rsid w:val="00B273DB"/>
    <w:rsid w:val="00B30604"/>
    <w:rsid w:val="00B3066E"/>
    <w:rsid w:val="00B30D92"/>
    <w:rsid w:val="00B31BBA"/>
    <w:rsid w:val="00B31E0E"/>
    <w:rsid w:val="00B3209A"/>
    <w:rsid w:val="00B3221F"/>
    <w:rsid w:val="00B32247"/>
    <w:rsid w:val="00B32657"/>
    <w:rsid w:val="00B329BD"/>
    <w:rsid w:val="00B332BF"/>
    <w:rsid w:val="00B3365A"/>
    <w:rsid w:val="00B34BC1"/>
    <w:rsid w:val="00B34E2F"/>
    <w:rsid w:val="00B35EF8"/>
    <w:rsid w:val="00B360E5"/>
    <w:rsid w:val="00B3654E"/>
    <w:rsid w:val="00B365B2"/>
    <w:rsid w:val="00B369C9"/>
    <w:rsid w:val="00B36C15"/>
    <w:rsid w:val="00B36E81"/>
    <w:rsid w:val="00B40E6D"/>
    <w:rsid w:val="00B42599"/>
    <w:rsid w:val="00B43ADA"/>
    <w:rsid w:val="00B43F86"/>
    <w:rsid w:val="00B44E42"/>
    <w:rsid w:val="00B45251"/>
    <w:rsid w:val="00B472F0"/>
    <w:rsid w:val="00B51BB2"/>
    <w:rsid w:val="00B53AF9"/>
    <w:rsid w:val="00B543D1"/>
    <w:rsid w:val="00B55046"/>
    <w:rsid w:val="00B5552F"/>
    <w:rsid w:val="00B55943"/>
    <w:rsid w:val="00B55D72"/>
    <w:rsid w:val="00B55D8F"/>
    <w:rsid w:val="00B5653A"/>
    <w:rsid w:val="00B57275"/>
    <w:rsid w:val="00B57388"/>
    <w:rsid w:val="00B57637"/>
    <w:rsid w:val="00B57E22"/>
    <w:rsid w:val="00B600A3"/>
    <w:rsid w:val="00B61119"/>
    <w:rsid w:val="00B6119D"/>
    <w:rsid w:val="00B6161F"/>
    <w:rsid w:val="00B61D5B"/>
    <w:rsid w:val="00B64905"/>
    <w:rsid w:val="00B64BB5"/>
    <w:rsid w:val="00B64F68"/>
    <w:rsid w:val="00B66999"/>
    <w:rsid w:val="00B66A0E"/>
    <w:rsid w:val="00B66D70"/>
    <w:rsid w:val="00B67AF5"/>
    <w:rsid w:val="00B67CE2"/>
    <w:rsid w:val="00B7068A"/>
    <w:rsid w:val="00B70AC0"/>
    <w:rsid w:val="00B71052"/>
    <w:rsid w:val="00B71386"/>
    <w:rsid w:val="00B71695"/>
    <w:rsid w:val="00B71A53"/>
    <w:rsid w:val="00B71C84"/>
    <w:rsid w:val="00B728E1"/>
    <w:rsid w:val="00B73269"/>
    <w:rsid w:val="00B73A50"/>
    <w:rsid w:val="00B73D78"/>
    <w:rsid w:val="00B753A3"/>
    <w:rsid w:val="00B75436"/>
    <w:rsid w:val="00B75EC9"/>
    <w:rsid w:val="00B75EF1"/>
    <w:rsid w:val="00B771C1"/>
    <w:rsid w:val="00B8013C"/>
    <w:rsid w:val="00B82594"/>
    <w:rsid w:val="00B8281F"/>
    <w:rsid w:val="00B83672"/>
    <w:rsid w:val="00B83A39"/>
    <w:rsid w:val="00B84923"/>
    <w:rsid w:val="00B8511E"/>
    <w:rsid w:val="00B8566E"/>
    <w:rsid w:val="00B86C4B"/>
    <w:rsid w:val="00B87575"/>
    <w:rsid w:val="00B877AC"/>
    <w:rsid w:val="00B9058A"/>
    <w:rsid w:val="00B91D8F"/>
    <w:rsid w:val="00B92F3A"/>
    <w:rsid w:val="00B92FB9"/>
    <w:rsid w:val="00B947D7"/>
    <w:rsid w:val="00B948EC"/>
    <w:rsid w:val="00B948F8"/>
    <w:rsid w:val="00B959E1"/>
    <w:rsid w:val="00B96621"/>
    <w:rsid w:val="00B978A1"/>
    <w:rsid w:val="00BA28E7"/>
    <w:rsid w:val="00BA2D53"/>
    <w:rsid w:val="00BA301B"/>
    <w:rsid w:val="00BA51F7"/>
    <w:rsid w:val="00BA535D"/>
    <w:rsid w:val="00BA53CA"/>
    <w:rsid w:val="00BA5B58"/>
    <w:rsid w:val="00BA6C19"/>
    <w:rsid w:val="00BA70B3"/>
    <w:rsid w:val="00BA7399"/>
    <w:rsid w:val="00BA7E5F"/>
    <w:rsid w:val="00BA7ECC"/>
    <w:rsid w:val="00BB0196"/>
    <w:rsid w:val="00BB03D7"/>
    <w:rsid w:val="00BB1B7B"/>
    <w:rsid w:val="00BB1EFD"/>
    <w:rsid w:val="00BB2551"/>
    <w:rsid w:val="00BB2CBE"/>
    <w:rsid w:val="00BB2E21"/>
    <w:rsid w:val="00BB375B"/>
    <w:rsid w:val="00BB6166"/>
    <w:rsid w:val="00BB7AEF"/>
    <w:rsid w:val="00BB7CF7"/>
    <w:rsid w:val="00BB7FBC"/>
    <w:rsid w:val="00BC156A"/>
    <w:rsid w:val="00BC17E2"/>
    <w:rsid w:val="00BC192B"/>
    <w:rsid w:val="00BC1AEE"/>
    <w:rsid w:val="00BC1BC9"/>
    <w:rsid w:val="00BC1DF8"/>
    <w:rsid w:val="00BC2949"/>
    <w:rsid w:val="00BC4666"/>
    <w:rsid w:val="00BC4C83"/>
    <w:rsid w:val="00BC52EB"/>
    <w:rsid w:val="00BC5558"/>
    <w:rsid w:val="00BC55B0"/>
    <w:rsid w:val="00BC5A18"/>
    <w:rsid w:val="00BC6CB4"/>
    <w:rsid w:val="00BC6F0F"/>
    <w:rsid w:val="00BC71C5"/>
    <w:rsid w:val="00BC7229"/>
    <w:rsid w:val="00BD0BE0"/>
    <w:rsid w:val="00BD1A9C"/>
    <w:rsid w:val="00BD204E"/>
    <w:rsid w:val="00BD226F"/>
    <w:rsid w:val="00BD41D4"/>
    <w:rsid w:val="00BD52EF"/>
    <w:rsid w:val="00BD5719"/>
    <w:rsid w:val="00BD57C3"/>
    <w:rsid w:val="00BD5D1C"/>
    <w:rsid w:val="00BD7540"/>
    <w:rsid w:val="00BE00B0"/>
    <w:rsid w:val="00BE01E9"/>
    <w:rsid w:val="00BE03FB"/>
    <w:rsid w:val="00BE2175"/>
    <w:rsid w:val="00BE398B"/>
    <w:rsid w:val="00BE42C8"/>
    <w:rsid w:val="00BE42D0"/>
    <w:rsid w:val="00BE42F5"/>
    <w:rsid w:val="00BE441B"/>
    <w:rsid w:val="00BE4A7E"/>
    <w:rsid w:val="00BE50C8"/>
    <w:rsid w:val="00BE5FE3"/>
    <w:rsid w:val="00BE62E3"/>
    <w:rsid w:val="00BE65F5"/>
    <w:rsid w:val="00BE6855"/>
    <w:rsid w:val="00BE6CFF"/>
    <w:rsid w:val="00BE7546"/>
    <w:rsid w:val="00BF02EE"/>
    <w:rsid w:val="00BF04D4"/>
    <w:rsid w:val="00BF0CA9"/>
    <w:rsid w:val="00BF129D"/>
    <w:rsid w:val="00BF2973"/>
    <w:rsid w:val="00BF3002"/>
    <w:rsid w:val="00BF35AD"/>
    <w:rsid w:val="00BF622F"/>
    <w:rsid w:val="00BF6BCE"/>
    <w:rsid w:val="00BF6FC3"/>
    <w:rsid w:val="00C0092F"/>
    <w:rsid w:val="00C01251"/>
    <w:rsid w:val="00C01878"/>
    <w:rsid w:val="00C03632"/>
    <w:rsid w:val="00C03B23"/>
    <w:rsid w:val="00C05823"/>
    <w:rsid w:val="00C06BE5"/>
    <w:rsid w:val="00C0733E"/>
    <w:rsid w:val="00C077D4"/>
    <w:rsid w:val="00C07A12"/>
    <w:rsid w:val="00C10C95"/>
    <w:rsid w:val="00C111BB"/>
    <w:rsid w:val="00C11359"/>
    <w:rsid w:val="00C126B0"/>
    <w:rsid w:val="00C12B32"/>
    <w:rsid w:val="00C135ED"/>
    <w:rsid w:val="00C141EF"/>
    <w:rsid w:val="00C14329"/>
    <w:rsid w:val="00C15573"/>
    <w:rsid w:val="00C15D2C"/>
    <w:rsid w:val="00C15DCB"/>
    <w:rsid w:val="00C1604B"/>
    <w:rsid w:val="00C16E83"/>
    <w:rsid w:val="00C1754B"/>
    <w:rsid w:val="00C17A6A"/>
    <w:rsid w:val="00C17AD2"/>
    <w:rsid w:val="00C17B2C"/>
    <w:rsid w:val="00C2087C"/>
    <w:rsid w:val="00C21B87"/>
    <w:rsid w:val="00C220BE"/>
    <w:rsid w:val="00C22306"/>
    <w:rsid w:val="00C2257B"/>
    <w:rsid w:val="00C22C67"/>
    <w:rsid w:val="00C23087"/>
    <w:rsid w:val="00C2330C"/>
    <w:rsid w:val="00C23705"/>
    <w:rsid w:val="00C24722"/>
    <w:rsid w:val="00C2475D"/>
    <w:rsid w:val="00C24773"/>
    <w:rsid w:val="00C252BB"/>
    <w:rsid w:val="00C25383"/>
    <w:rsid w:val="00C263D8"/>
    <w:rsid w:val="00C26BF9"/>
    <w:rsid w:val="00C27188"/>
    <w:rsid w:val="00C27DB5"/>
    <w:rsid w:val="00C27E88"/>
    <w:rsid w:val="00C3031F"/>
    <w:rsid w:val="00C30406"/>
    <w:rsid w:val="00C307B8"/>
    <w:rsid w:val="00C3082A"/>
    <w:rsid w:val="00C30B6A"/>
    <w:rsid w:val="00C31315"/>
    <w:rsid w:val="00C3185A"/>
    <w:rsid w:val="00C32236"/>
    <w:rsid w:val="00C325C9"/>
    <w:rsid w:val="00C3271C"/>
    <w:rsid w:val="00C32BCF"/>
    <w:rsid w:val="00C3355E"/>
    <w:rsid w:val="00C33726"/>
    <w:rsid w:val="00C33EF2"/>
    <w:rsid w:val="00C34733"/>
    <w:rsid w:val="00C3568E"/>
    <w:rsid w:val="00C35C08"/>
    <w:rsid w:val="00C3747B"/>
    <w:rsid w:val="00C40B17"/>
    <w:rsid w:val="00C40CCE"/>
    <w:rsid w:val="00C41105"/>
    <w:rsid w:val="00C41152"/>
    <w:rsid w:val="00C418BB"/>
    <w:rsid w:val="00C41EDE"/>
    <w:rsid w:val="00C4205C"/>
    <w:rsid w:val="00C4255E"/>
    <w:rsid w:val="00C42EE3"/>
    <w:rsid w:val="00C44111"/>
    <w:rsid w:val="00C44B28"/>
    <w:rsid w:val="00C44E56"/>
    <w:rsid w:val="00C45B1B"/>
    <w:rsid w:val="00C466D3"/>
    <w:rsid w:val="00C473FB"/>
    <w:rsid w:val="00C47B1A"/>
    <w:rsid w:val="00C50BFD"/>
    <w:rsid w:val="00C50CF4"/>
    <w:rsid w:val="00C51680"/>
    <w:rsid w:val="00C52C8E"/>
    <w:rsid w:val="00C5306D"/>
    <w:rsid w:val="00C537F0"/>
    <w:rsid w:val="00C549ED"/>
    <w:rsid w:val="00C54F92"/>
    <w:rsid w:val="00C5506D"/>
    <w:rsid w:val="00C551F8"/>
    <w:rsid w:val="00C558D3"/>
    <w:rsid w:val="00C5592A"/>
    <w:rsid w:val="00C55B94"/>
    <w:rsid w:val="00C5683B"/>
    <w:rsid w:val="00C56AD1"/>
    <w:rsid w:val="00C56CEF"/>
    <w:rsid w:val="00C57770"/>
    <w:rsid w:val="00C57B4E"/>
    <w:rsid w:val="00C57CE0"/>
    <w:rsid w:val="00C57FDD"/>
    <w:rsid w:val="00C6027D"/>
    <w:rsid w:val="00C60D9A"/>
    <w:rsid w:val="00C61D07"/>
    <w:rsid w:val="00C62A35"/>
    <w:rsid w:val="00C62E5F"/>
    <w:rsid w:val="00C63FB5"/>
    <w:rsid w:val="00C648BD"/>
    <w:rsid w:val="00C64D9B"/>
    <w:rsid w:val="00C65316"/>
    <w:rsid w:val="00C655CD"/>
    <w:rsid w:val="00C6599E"/>
    <w:rsid w:val="00C662A4"/>
    <w:rsid w:val="00C66A50"/>
    <w:rsid w:val="00C70D74"/>
    <w:rsid w:val="00C712CD"/>
    <w:rsid w:val="00C713C5"/>
    <w:rsid w:val="00C715E9"/>
    <w:rsid w:val="00C71802"/>
    <w:rsid w:val="00C71C79"/>
    <w:rsid w:val="00C72247"/>
    <w:rsid w:val="00C7227C"/>
    <w:rsid w:val="00C7259E"/>
    <w:rsid w:val="00C72C79"/>
    <w:rsid w:val="00C72E6F"/>
    <w:rsid w:val="00C76CD7"/>
    <w:rsid w:val="00C774C0"/>
    <w:rsid w:val="00C7752E"/>
    <w:rsid w:val="00C77719"/>
    <w:rsid w:val="00C77F9A"/>
    <w:rsid w:val="00C800E2"/>
    <w:rsid w:val="00C8135D"/>
    <w:rsid w:val="00C81A90"/>
    <w:rsid w:val="00C83D84"/>
    <w:rsid w:val="00C83EA0"/>
    <w:rsid w:val="00C8412D"/>
    <w:rsid w:val="00C8480E"/>
    <w:rsid w:val="00C857E8"/>
    <w:rsid w:val="00C85CEA"/>
    <w:rsid w:val="00C85EE1"/>
    <w:rsid w:val="00C863C9"/>
    <w:rsid w:val="00C870E9"/>
    <w:rsid w:val="00C90F23"/>
    <w:rsid w:val="00C91932"/>
    <w:rsid w:val="00C921A2"/>
    <w:rsid w:val="00C928AF"/>
    <w:rsid w:val="00C92F13"/>
    <w:rsid w:val="00C93413"/>
    <w:rsid w:val="00C93532"/>
    <w:rsid w:val="00C935CA"/>
    <w:rsid w:val="00C937C5"/>
    <w:rsid w:val="00C939F9"/>
    <w:rsid w:val="00C93BB2"/>
    <w:rsid w:val="00C93F35"/>
    <w:rsid w:val="00C93F3B"/>
    <w:rsid w:val="00C944D6"/>
    <w:rsid w:val="00C946D7"/>
    <w:rsid w:val="00C95D65"/>
    <w:rsid w:val="00CA0793"/>
    <w:rsid w:val="00CA182C"/>
    <w:rsid w:val="00CA1B6B"/>
    <w:rsid w:val="00CA2364"/>
    <w:rsid w:val="00CA268A"/>
    <w:rsid w:val="00CA305D"/>
    <w:rsid w:val="00CA30CB"/>
    <w:rsid w:val="00CA31AA"/>
    <w:rsid w:val="00CA3A08"/>
    <w:rsid w:val="00CA477B"/>
    <w:rsid w:val="00CA4B1F"/>
    <w:rsid w:val="00CA4E1D"/>
    <w:rsid w:val="00CA58ED"/>
    <w:rsid w:val="00CA7DD5"/>
    <w:rsid w:val="00CA7F9E"/>
    <w:rsid w:val="00CA7FA2"/>
    <w:rsid w:val="00CB00D9"/>
    <w:rsid w:val="00CB223E"/>
    <w:rsid w:val="00CB36C6"/>
    <w:rsid w:val="00CB3BC2"/>
    <w:rsid w:val="00CB3E8A"/>
    <w:rsid w:val="00CB3F61"/>
    <w:rsid w:val="00CB42AF"/>
    <w:rsid w:val="00CB4C70"/>
    <w:rsid w:val="00CB5826"/>
    <w:rsid w:val="00CC040D"/>
    <w:rsid w:val="00CC0A80"/>
    <w:rsid w:val="00CC29E1"/>
    <w:rsid w:val="00CC2AF0"/>
    <w:rsid w:val="00CC42E2"/>
    <w:rsid w:val="00CC451F"/>
    <w:rsid w:val="00CC4BB2"/>
    <w:rsid w:val="00CC53C0"/>
    <w:rsid w:val="00CC7293"/>
    <w:rsid w:val="00CD0E7B"/>
    <w:rsid w:val="00CD13A7"/>
    <w:rsid w:val="00CD1B4B"/>
    <w:rsid w:val="00CD2323"/>
    <w:rsid w:val="00CD2463"/>
    <w:rsid w:val="00CD2760"/>
    <w:rsid w:val="00CD2E5B"/>
    <w:rsid w:val="00CD3410"/>
    <w:rsid w:val="00CD3906"/>
    <w:rsid w:val="00CD4AC5"/>
    <w:rsid w:val="00CD4B95"/>
    <w:rsid w:val="00CD4F5C"/>
    <w:rsid w:val="00CD5C49"/>
    <w:rsid w:val="00CD5F4D"/>
    <w:rsid w:val="00CE00BA"/>
    <w:rsid w:val="00CE0407"/>
    <w:rsid w:val="00CE1B70"/>
    <w:rsid w:val="00CE208D"/>
    <w:rsid w:val="00CE414A"/>
    <w:rsid w:val="00CE4C2E"/>
    <w:rsid w:val="00CE5B24"/>
    <w:rsid w:val="00CE5B63"/>
    <w:rsid w:val="00CE6E0E"/>
    <w:rsid w:val="00CE74F2"/>
    <w:rsid w:val="00CE7E94"/>
    <w:rsid w:val="00CF00F0"/>
    <w:rsid w:val="00CF0206"/>
    <w:rsid w:val="00CF05D0"/>
    <w:rsid w:val="00CF1548"/>
    <w:rsid w:val="00CF1AA8"/>
    <w:rsid w:val="00CF2144"/>
    <w:rsid w:val="00CF31B3"/>
    <w:rsid w:val="00CF31F0"/>
    <w:rsid w:val="00CF3AF5"/>
    <w:rsid w:val="00CF5041"/>
    <w:rsid w:val="00CF57BE"/>
    <w:rsid w:val="00CF59DA"/>
    <w:rsid w:val="00CF624E"/>
    <w:rsid w:val="00CF7017"/>
    <w:rsid w:val="00CF701C"/>
    <w:rsid w:val="00CF7A79"/>
    <w:rsid w:val="00CF7F8F"/>
    <w:rsid w:val="00D0040F"/>
    <w:rsid w:val="00D017E7"/>
    <w:rsid w:val="00D01870"/>
    <w:rsid w:val="00D01F1D"/>
    <w:rsid w:val="00D030D2"/>
    <w:rsid w:val="00D030E4"/>
    <w:rsid w:val="00D03499"/>
    <w:rsid w:val="00D0384D"/>
    <w:rsid w:val="00D04AA9"/>
    <w:rsid w:val="00D04B37"/>
    <w:rsid w:val="00D05135"/>
    <w:rsid w:val="00D053FF"/>
    <w:rsid w:val="00D05C49"/>
    <w:rsid w:val="00D060D6"/>
    <w:rsid w:val="00D1000D"/>
    <w:rsid w:val="00D10E6A"/>
    <w:rsid w:val="00D10F38"/>
    <w:rsid w:val="00D10FE3"/>
    <w:rsid w:val="00D11A00"/>
    <w:rsid w:val="00D129DA"/>
    <w:rsid w:val="00D13337"/>
    <w:rsid w:val="00D13471"/>
    <w:rsid w:val="00D13F8F"/>
    <w:rsid w:val="00D1444E"/>
    <w:rsid w:val="00D14784"/>
    <w:rsid w:val="00D1494C"/>
    <w:rsid w:val="00D14C5F"/>
    <w:rsid w:val="00D152CD"/>
    <w:rsid w:val="00D15670"/>
    <w:rsid w:val="00D17F06"/>
    <w:rsid w:val="00D17F07"/>
    <w:rsid w:val="00D210D7"/>
    <w:rsid w:val="00D21E92"/>
    <w:rsid w:val="00D23A22"/>
    <w:rsid w:val="00D24277"/>
    <w:rsid w:val="00D2571B"/>
    <w:rsid w:val="00D2757C"/>
    <w:rsid w:val="00D27EE3"/>
    <w:rsid w:val="00D27F4A"/>
    <w:rsid w:val="00D30252"/>
    <w:rsid w:val="00D30D61"/>
    <w:rsid w:val="00D32D09"/>
    <w:rsid w:val="00D32D30"/>
    <w:rsid w:val="00D32E7D"/>
    <w:rsid w:val="00D3307E"/>
    <w:rsid w:val="00D3342C"/>
    <w:rsid w:val="00D33E59"/>
    <w:rsid w:val="00D345A9"/>
    <w:rsid w:val="00D3499E"/>
    <w:rsid w:val="00D3561A"/>
    <w:rsid w:val="00D35A7A"/>
    <w:rsid w:val="00D369F0"/>
    <w:rsid w:val="00D37562"/>
    <w:rsid w:val="00D40EC9"/>
    <w:rsid w:val="00D41603"/>
    <w:rsid w:val="00D418A2"/>
    <w:rsid w:val="00D41DB6"/>
    <w:rsid w:val="00D42022"/>
    <w:rsid w:val="00D43059"/>
    <w:rsid w:val="00D4316D"/>
    <w:rsid w:val="00D433AF"/>
    <w:rsid w:val="00D435D2"/>
    <w:rsid w:val="00D43675"/>
    <w:rsid w:val="00D443ED"/>
    <w:rsid w:val="00D44C11"/>
    <w:rsid w:val="00D45916"/>
    <w:rsid w:val="00D4609C"/>
    <w:rsid w:val="00D46415"/>
    <w:rsid w:val="00D46652"/>
    <w:rsid w:val="00D47916"/>
    <w:rsid w:val="00D504F0"/>
    <w:rsid w:val="00D506A5"/>
    <w:rsid w:val="00D50B81"/>
    <w:rsid w:val="00D50C01"/>
    <w:rsid w:val="00D51787"/>
    <w:rsid w:val="00D51A0B"/>
    <w:rsid w:val="00D51DEC"/>
    <w:rsid w:val="00D5320A"/>
    <w:rsid w:val="00D536E5"/>
    <w:rsid w:val="00D53ECA"/>
    <w:rsid w:val="00D53FE8"/>
    <w:rsid w:val="00D54478"/>
    <w:rsid w:val="00D546A7"/>
    <w:rsid w:val="00D55FDA"/>
    <w:rsid w:val="00D56309"/>
    <w:rsid w:val="00D564B1"/>
    <w:rsid w:val="00D572AE"/>
    <w:rsid w:val="00D602E1"/>
    <w:rsid w:val="00D6036C"/>
    <w:rsid w:val="00D61A27"/>
    <w:rsid w:val="00D62D65"/>
    <w:rsid w:val="00D6321A"/>
    <w:rsid w:val="00D63420"/>
    <w:rsid w:val="00D637D8"/>
    <w:rsid w:val="00D63DF4"/>
    <w:rsid w:val="00D64EEA"/>
    <w:rsid w:val="00D64F98"/>
    <w:rsid w:val="00D6624F"/>
    <w:rsid w:val="00D6743A"/>
    <w:rsid w:val="00D70435"/>
    <w:rsid w:val="00D714A1"/>
    <w:rsid w:val="00D715B3"/>
    <w:rsid w:val="00D71C4E"/>
    <w:rsid w:val="00D71F7F"/>
    <w:rsid w:val="00D7273F"/>
    <w:rsid w:val="00D72FFF"/>
    <w:rsid w:val="00D73806"/>
    <w:rsid w:val="00D73A7E"/>
    <w:rsid w:val="00D73AE8"/>
    <w:rsid w:val="00D73CD4"/>
    <w:rsid w:val="00D74529"/>
    <w:rsid w:val="00D745C4"/>
    <w:rsid w:val="00D77AC7"/>
    <w:rsid w:val="00D77EE7"/>
    <w:rsid w:val="00D80155"/>
    <w:rsid w:val="00D80309"/>
    <w:rsid w:val="00D814DB"/>
    <w:rsid w:val="00D81675"/>
    <w:rsid w:val="00D8168D"/>
    <w:rsid w:val="00D82C12"/>
    <w:rsid w:val="00D83154"/>
    <w:rsid w:val="00D832DA"/>
    <w:rsid w:val="00D84363"/>
    <w:rsid w:val="00D84727"/>
    <w:rsid w:val="00D85319"/>
    <w:rsid w:val="00D85C06"/>
    <w:rsid w:val="00D8683A"/>
    <w:rsid w:val="00D86A66"/>
    <w:rsid w:val="00D8729B"/>
    <w:rsid w:val="00D90809"/>
    <w:rsid w:val="00D90BF8"/>
    <w:rsid w:val="00D90EBE"/>
    <w:rsid w:val="00D90ECD"/>
    <w:rsid w:val="00D91FD8"/>
    <w:rsid w:val="00D925A8"/>
    <w:rsid w:val="00D928D1"/>
    <w:rsid w:val="00D92A38"/>
    <w:rsid w:val="00D92CC3"/>
    <w:rsid w:val="00D92F21"/>
    <w:rsid w:val="00D931ED"/>
    <w:rsid w:val="00D93831"/>
    <w:rsid w:val="00D93918"/>
    <w:rsid w:val="00D93BDB"/>
    <w:rsid w:val="00D93EC6"/>
    <w:rsid w:val="00D946FC"/>
    <w:rsid w:val="00D9480F"/>
    <w:rsid w:val="00D94D94"/>
    <w:rsid w:val="00D9517C"/>
    <w:rsid w:val="00D96F2A"/>
    <w:rsid w:val="00D976C4"/>
    <w:rsid w:val="00DA0D7E"/>
    <w:rsid w:val="00DA10B0"/>
    <w:rsid w:val="00DA1DBD"/>
    <w:rsid w:val="00DA20B9"/>
    <w:rsid w:val="00DA2178"/>
    <w:rsid w:val="00DA2A18"/>
    <w:rsid w:val="00DA2DFE"/>
    <w:rsid w:val="00DA31F7"/>
    <w:rsid w:val="00DA4C6F"/>
    <w:rsid w:val="00DA6953"/>
    <w:rsid w:val="00DA739B"/>
    <w:rsid w:val="00DA7626"/>
    <w:rsid w:val="00DB0AB1"/>
    <w:rsid w:val="00DB0D46"/>
    <w:rsid w:val="00DB16BF"/>
    <w:rsid w:val="00DB1881"/>
    <w:rsid w:val="00DB330A"/>
    <w:rsid w:val="00DB353C"/>
    <w:rsid w:val="00DB3981"/>
    <w:rsid w:val="00DB5435"/>
    <w:rsid w:val="00DB57C3"/>
    <w:rsid w:val="00DB64CC"/>
    <w:rsid w:val="00DB65F6"/>
    <w:rsid w:val="00DB6C9F"/>
    <w:rsid w:val="00DC03B1"/>
    <w:rsid w:val="00DC07F7"/>
    <w:rsid w:val="00DC2220"/>
    <w:rsid w:val="00DC3A7A"/>
    <w:rsid w:val="00DC5D2A"/>
    <w:rsid w:val="00DC5F3F"/>
    <w:rsid w:val="00DC655B"/>
    <w:rsid w:val="00DC6749"/>
    <w:rsid w:val="00DC70C5"/>
    <w:rsid w:val="00DC7894"/>
    <w:rsid w:val="00DC794D"/>
    <w:rsid w:val="00DD110E"/>
    <w:rsid w:val="00DD1215"/>
    <w:rsid w:val="00DD278B"/>
    <w:rsid w:val="00DD3043"/>
    <w:rsid w:val="00DD310D"/>
    <w:rsid w:val="00DD323C"/>
    <w:rsid w:val="00DD36EC"/>
    <w:rsid w:val="00DD4385"/>
    <w:rsid w:val="00DD4D98"/>
    <w:rsid w:val="00DD4E0B"/>
    <w:rsid w:val="00DD4EEC"/>
    <w:rsid w:val="00DD520E"/>
    <w:rsid w:val="00DD58DE"/>
    <w:rsid w:val="00DD5CDC"/>
    <w:rsid w:val="00DD6580"/>
    <w:rsid w:val="00DD7CFB"/>
    <w:rsid w:val="00DE1332"/>
    <w:rsid w:val="00DE13F5"/>
    <w:rsid w:val="00DE1991"/>
    <w:rsid w:val="00DE291F"/>
    <w:rsid w:val="00DE3F81"/>
    <w:rsid w:val="00DE43EF"/>
    <w:rsid w:val="00DE4A40"/>
    <w:rsid w:val="00DE5F0E"/>
    <w:rsid w:val="00DE7330"/>
    <w:rsid w:val="00DE7A3C"/>
    <w:rsid w:val="00DE7C1F"/>
    <w:rsid w:val="00DF038B"/>
    <w:rsid w:val="00DF03A9"/>
    <w:rsid w:val="00DF0417"/>
    <w:rsid w:val="00DF0E05"/>
    <w:rsid w:val="00DF0F0A"/>
    <w:rsid w:val="00DF15ED"/>
    <w:rsid w:val="00DF1755"/>
    <w:rsid w:val="00DF19A1"/>
    <w:rsid w:val="00DF2F36"/>
    <w:rsid w:val="00DF35FC"/>
    <w:rsid w:val="00DF6B68"/>
    <w:rsid w:val="00DF740E"/>
    <w:rsid w:val="00DF7A49"/>
    <w:rsid w:val="00DF7BE1"/>
    <w:rsid w:val="00DF7DD5"/>
    <w:rsid w:val="00E00143"/>
    <w:rsid w:val="00E0046F"/>
    <w:rsid w:val="00E012A1"/>
    <w:rsid w:val="00E01654"/>
    <w:rsid w:val="00E01FAB"/>
    <w:rsid w:val="00E04008"/>
    <w:rsid w:val="00E04480"/>
    <w:rsid w:val="00E0454A"/>
    <w:rsid w:val="00E06ACB"/>
    <w:rsid w:val="00E11005"/>
    <w:rsid w:val="00E11202"/>
    <w:rsid w:val="00E117E3"/>
    <w:rsid w:val="00E11E2F"/>
    <w:rsid w:val="00E11E4E"/>
    <w:rsid w:val="00E1239C"/>
    <w:rsid w:val="00E1337F"/>
    <w:rsid w:val="00E152D1"/>
    <w:rsid w:val="00E1558A"/>
    <w:rsid w:val="00E15B7A"/>
    <w:rsid w:val="00E15B97"/>
    <w:rsid w:val="00E15D87"/>
    <w:rsid w:val="00E15E0A"/>
    <w:rsid w:val="00E16355"/>
    <w:rsid w:val="00E1684B"/>
    <w:rsid w:val="00E16965"/>
    <w:rsid w:val="00E16FB0"/>
    <w:rsid w:val="00E1740B"/>
    <w:rsid w:val="00E209C4"/>
    <w:rsid w:val="00E209CE"/>
    <w:rsid w:val="00E209F4"/>
    <w:rsid w:val="00E22620"/>
    <w:rsid w:val="00E22F2B"/>
    <w:rsid w:val="00E2307F"/>
    <w:rsid w:val="00E23586"/>
    <w:rsid w:val="00E239EC"/>
    <w:rsid w:val="00E23EF4"/>
    <w:rsid w:val="00E25A2F"/>
    <w:rsid w:val="00E25D34"/>
    <w:rsid w:val="00E26141"/>
    <w:rsid w:val="00E26BB6"/>
    <w:rsid w:val="00E2708C"/>
    <w:rsid w:val="00E27A33"/>
    <w:rsid w:val="00E30737"/>
    <w:rsid w:val="00E31724"/>
    <w:rsid w:val="00E31FFD"/>
    <w:rsid w:val="00E33240"/>
    <w:rsid w:val="00E35022"/>
    <w:rsid w:val="00E35043"/>
    <w:rsid w:val="00E35297"/>
    <w:rsid w:val="00E3600B"/>
    <w:rsid w:val="00E37256"/>
    <w:rsid w:val="00E37743"/>
    <w:rsid w:val="00E40234"/>
    <w:rsid w:val="00E43D62"/>
    <w:rsid w:val="00E43E97"/>
    <w:rsid w:val="00E44454"/>
    <w:rsid w:val="00E45AF7"/>
    <w:rsid w:val="00E4641A"/>
    <w:rsid w:val="00E46BF5"/>
    <w:rsid w:val="00E46FF8"/>
    <w:rsid w:val="00E503A2"/>
    <w:rsid w:val="00E51158"/>
    <w:rsid w:val="00E520D3"/>
    <w:rsid w:val="00E542A1"/>
    <w:rsid w:val="00E5544F"/>
    <w:rsid w:val="00E565C4"/>
    <w:rsid w:val="00E56616"/>
    <w:rsid w:val="00E5718F"/>
    <w:rsid w:val="00E57A23"/>
    <w:rsid w:val="00E57A3E"/>
    <w:rsid w:val="00E600E6"/>
    <w:rsid w:val="00E60565"/>
    <w:rsid w:val="00E60D3A"/>
    <w:rsid w:val="00E60EF5"/>
    <w:rsid w:val="00E61059"/>
    <w:rsid w:val="00E62D1B"/>
    <w:rsid w:val="00E63121"/>
    <w:rsid w:val="00E63F6A"/>
    <w:rsid w:val="00E64A50"/>
    <w:rsid w:val="00E64DD6"/>
    <w:rsid w:val="00E6540A"/>
    <w:rsid w:val="00E65FB5"/>
    <w:rsid w:val="00E661D8"/>
    <w:rsid w:val="00E717ED"/>
    <w:rsid w:val="00E71F83"/>
    <w:rsid w:val="00E7229F"/>
    <w:rsid w:val="00E72796"/>
    <w:rsid w:val="00E72D44"/>
    <w:rsid w:val="00E73CE1"/>
    <w:rsid w:val="00E7494B"/>
    <w:rsid w:val="00E74C08"/>
    <w:rsid w:val="00E74C31"/>
    <w:rsid w:val="00E75449"/>
    <w:rsid w:val="00E75499"/>
    <w:rsid w:val="00E75E62"/>
    <w:rsid w:val="00E7659F"/>
    <w:rsid w:val="00E76921"/>
    <w:rsid w:val="00E7787E"/>
    <w:rsid w:val="00E80042"/>
    <w:rsid w:val="00E80574"/>
    <w:rsid w:val="00E808A6"/>
    <w:rsid w:val="00E8097C"/>
    <w:rsid w:val="00E821D5"/>
    <w:rsid w:val="00E82DB7"/>
    <w:rsid w:val="00E82EFC"/>
    <w:rsid w:val="00E8309F"/>
    <w:rsid w:val="00E83CD3"/>
    <w:rsid w:val="00E8404B"/>
    <w:rsid w:val="00E84772"/>
    <w:rsid w:val="00E8505D"/>
    <w:rsid w:val="00E86024"/>
    <w:rsid w:val="00E87245"/>
    <w:rsid w:val="00E879B9"/>
    <w:rsid w:val="00E9055F"/>
    <w:rsid w:val="00E931F3"/>
    <w:rsid w:val="00E932C8"/>
    <w:rsid w:val="00E93693"/>
    <w:rsid w:val="00E953F0"/>
    <w:rsid w:val="00E95F2D"/>
    <w:rsid w:val="00E965EC"/>
    <w:rsid w:val="00E971BE"/>
    <w:rsid w:val="00E97469"/>
    <w:rsid w:val="00E974B1"/>
    <w:rsid w:val="00E978A6"/>
    <w:rsid w:val="00EA08D7"/>
    <w:rsid w:val="00EA0CF7"/>
    <w:rsid w:val="00EA0DE3"/>
    <w:rsid w:val="00EA14F1"/>
    <w:rsid w:val="00EA1A59"/>
    <w:rsid w:val="00EA2006"/>
    <w:rsid w:val="00EA209D"/>
    <w:rsid w:val="00EA3595"/>
    <w:rsid w:val="00EA4116"/>
    <w:rsid w:val="00EA4787"/>
    <w:rsid w:val="00EA59A2"/>
    <w:rsid w:val="00EA5AB2"/>
    <w:rsid w:val="00EA699B"/>
    <w:rsid w:val="00EB0204"/>
    <w:rsid w:val="00EB0FFD"/>
    <w:rsid w:val="00EB184C"/>
    <w:rsid w:val="00EB1D3A"/>
    <w:rsid w:val="00EB3602"/>
    <w:rsid w:val="00EB3A98"/>
    <w:rsid w:val="00EB4A38"/>
    <w:rsid w:val="00EB4A83"/>
    <w:rsid w:val="00EB5734"/>
    <w:rsid w:val="00EB5A2F"/>
    <w:rsid w:val="00EB7258"/>
    <w:rsid w:val="00EC1389"/>
    <w:rsid w:val="00EC1BF3"/>
    <w:rsid w:val="00EC227A"/>
    <w:rsid w:val="00EC271E"/>
    <w:rsid w:val="00EC2734"/>
    <w:rsid w:val="00EC297F"/>
    <w:rsid w:val="00EC2AC4"/>
    <w:rsid w:val="00EC3F61"/>
    <w:rsid w:val="00EC45A6"/>
    <w:rsid w:val="00EC622D"/>
    <w:rsid w:val="00EC6BB8"/>
    <w:rsid w:val="00EC7113"/>
    <w:rsid w:val="00ED115D"/>
    <w:rsid w:val="00ED2736"/>
    <w:rsid w:val="00ED3ED0"/>
    <w:rsid w:val="00ED4DA0"/>
    <w:rsid w:val="00ED5046"/>
    <w:rsid w:val="00ED556C"/>
    <w:rsid w:val="00ED5806"/>
    <w:rsid w:val="00ED5AED"/>
    <w:rsid w:val="00ED5B49"/>
    <w:rsid w:val="00ED5C0C"/>
    <w:rsid w:val="00ED760A"/>
    <w:rsid w:val="00EE0565"/>
    <w:rsid w:val="00EE090F"/>
    <w:rsid w:val="00EE0F20"/>
    <w:rsid w:val="00EE1986"/>
    <w:rsid w:val="00EE1FBF"/>
    <w:rsid w:val="00EE208E"/>
    <w:rsid w:val="00EE29E9"/>
    <w:rsid w:val="00EE2BFB"/>
    <w:rsid w:val="00EE2E71"/>
    <w:rsid w:val="00EE350E"/>
    <w:rsid w:val="00EE3D90"/>
    <w:rsid w:val="00EE4202"/>
    <w:rsid w:val="00EE49E8"/>
    <w:rsid w:val="00EE549D"/>
    <w:rsid w:val="00EE581B"/>
    <w:rsid w:val="00EE684A"/>
    <w:rsid w:val="00EE693F"/>
    <w:rsid w:val="00EE763D"/>
    <w:rsid w:val="00EF166D"/>
    <w:rsid w:val="00EF202F"/>
    <w:rsid w:val="00EF3105"/>
    <w:rsid w:val="00EF3148"/>
    <w:rsid w:val="00EF4A7A"/>
    <w:rsid w:val="00EF5B43"/>
    <w:rsid w:val="00EF5FD7"/>
    <w:rsid w:val="00EF74F3"/>
    <w:rsid w:val="00F00385"/>
    <w:rsid w:val="00F004B2"/>
    <w:rsid w:val="00F00B0D"/>
    <w:rsid w:val="00F00BCD"/>
    <w:rsid w:val="00F012BA"/>
    <w:rsid w:val="00F01354"/>
    <w:rsid w:val="00F02251"/>
    <w:rsid w:val="00F02384"/>
    <w:rsid w:val="00F02A27"/>
    <w:rsid w:val="00F0508A"/>
    <w:rsid w:val="00F055E3"/>
    <w:rsid w:val="00F05671"/>
    <w:rsid w:val="00F05CB1"/>
    <w:rsid w:val="00F05DC2"/>
    <w:rsid w:val="00F05DFC"/>
    <w:rsid w:val="00F06495"/>
    <w:rsid w:val="00F0691D"/>
    <w:rsid w:val="00F06DA7"/>
    <w:rsid w:val="00F06DEE"/>
    <w:rsid w:val="00F07673"/>
    <w:rsid w:val="00F10A6F"/>
    <w:rsid w:val="00F10B0D"/>
    <w:rsid w:val="00F1149C"/>
    <w:rsid w:val="00F1170C"/>
    <w:rsid w:val="00F126F7"/>
    <w:rsid w:val="00F12C4E"/>
    <w:rsid w:val="00F13811"/>
    <w:rsid w:val="00F139B2"/>
    <w:rsid w:val="00F14CE3"/>
    <w:rsid w:val="00F15130"/>
    <w:rsid w:val="00F15D51"/>
    <w:rsid w:val="00F168E3"/>
    <w:rsid w:val="00F16DF5"/>
    <w:rsid w:val="00F176A2"/>
    <w:rsid w:val="00F179FD"/>
    <w:rsid w:val="00F20110"/>
    <w:rsid w:val="00F21067"/>
    <w:rsid w:val="00F21221"/>
    <w:rsid w:val="00F22E1D"/>
    <w:rsid w:val="00F2339C"/>
    <w:rsid w:val="00F23DD6"/>
    <w:rsid w:val="00F24C4B"/>
    <w:rsid w:val="00F252BC"/>
    <w:rsid w:val="00F257CF"/>
    <w:rsid w:val="00F25E4F"/>
    <w:rsid w:val="00F26177"/>
    <w:rsid w:val="00F26521"/>
    <w:rsid w:val="00F3016B"/>
    <w:rsid w:val="00F31E04"/>
    <w:rsid w:val="00F3222F"/>
    <w:rsid w:val="00F3244D"/>
    <w:rsid w:val="00F328C9"/>
    <w:rsid w:val="00F32E1F"/>
    <w:rsid w:val="00F3417C"/>
    <w:rsid w:val="00F343B5"/>
    <w:rsid w:val="00F3468A"/>
    <w:rsid w:val="00F34841"/>
    <w:rsid w:val="00F34960"/>
    <w:rsid w:val="00F34A4A"/>
    <w:rsid w:val="00F34E33"/>
    <w:rsid w:val="00F35351"/>
    <w:rsid w:val="00F35BA1"/>
    <w:rsid w:val="00F367FD"/>
    <w:rsid w:val="00F36D33"/>
    <w:rsid w:val="00F36FCD"/>
    <w:rsid w:val="00F37C85"/>
    <w:rsid w:val="00F40DBC"/>
    <w:rsid w:val="00F41735"/>
    <w:rsid w:val="00F41A1E"/>
    <w:rsid w:val="00F41E80"/>
    <w:rsid w:val="00F42F4E"/>
    <w:rsid w:val="00F4340B"/>
    <w:rsid w:val="00F434CA"/>
    <w:rsid w:val="00F436D4"/>
    <w:rsid w:val="00F45394"/>
    <w:rsid w:val="00F459AD"/>
    <w:rsid w:val="00F47E05"/>
    <w:rsid w:val="00F50920"/>
    <w:rsid w:val="00F51C99"/>
    <w:rsid w:val="00F52273"/>
    <w:rsid w:val="00F5238A"/>
    <w:rsid w:val="00F52999"/>
    <w:rsid w:val="00F52A20"/>
    <w:rsid w:val="00F53AC8"/>
    <w:rsid w:val="00F53D88"/>
    <w:rsid w:val="00F55D95"/>
    <w:rsid w:val="00F57573"/>
    <w:rsid w:val="00F603D9"/>
    <w:rsid w:val="00F60B87"/>
    <w:rsid w:val="00F6153E"/>
    <w:rsid w:val="00F617AE"/>
    <w:rsid w:val="00F65925"/>
    <w:rsid w:val="00F65B48"/>
    <w:rsid w:val="00F66355"/>
    <w:rsid w:val="00F668F6"/>
    <w:rsid w:val="00F674F8"/>
    <w:rsid w:val="00F67FF3"/>
    <w:rsid w:val="00F7062F"/>
    <w:rsid w:val="00F7303C"/>
    <w:rsid w:val="00F733C2"/>
    <w:rsid w:val="00F740DE"/>
    <w:rsid w:val="00F74142"/>
    <w:rsid w:val="00F74B0E"/>
    <w:rsid w:val="00F74E4E"/>
    <w:rsid w:val="00F7618B"/>
    <w:rsid w:val="00F76BFA"/>
    <w:rsid w:val="00F7741A"/>
    <w:rsid w:val="00F8099D"/>
    <w:rsid w:val="00F81D97"/>
    <w:rsid w:val="00F82A3C"/>
    <w:rsid w:val="00F82AB4"/>
    <w:rsid w:val="00F8352F"/>
    <w:rsid w:val="00F844B3"/>
    <w:rsid w:val="00F846A8"/>
    <w:rsid w:val="00F84AB2"/>
    <w:rsid w:val="00F85076"/>
    <w:rsid w:val="00F85767"/>
    <w:rsid w:val="00F8589A"/>
    <w:rsid w:val="00F87595"/>
    <w:rsid w:val="00F87A9B"/>
    <w:rsid w:val="00F87BF2"/>
    <w:rsid w:val="00F90353"/>
    <w:rsid w:val="00F90A48"/>
    <w:rsid w:val="00F90AAE"/>
    <w:rsid w:val="00F916CD"/>
    <w:rsid w:val="00F92DE2"/>
    <w:rsid w:val="00F93DF0"/>
    <w:rsid w:val="00F95227"/>
    <w:rsid w:val="00F95308"/>
    <w:rsid w:val="00F96900"/>
    <w:rsid w:val="00F97EE8"/>
    <w:rsid w:val="00FA1804"/>
    <w:rsid w:val="00FA1852"/>
    <w:rsid w:val="00FA2044"/>
    <w:rsid w:val="00FA396A"/>
    <w:rsid w:val="00FA3B37"/>
    <w:rsid w:val="00FA493D"/>
    <w:rsid w:val="00FA4DBD"/>
    <w:rsid w:val="00FA4E2A"/>
    <w:rsid w:val="00FA6338"/>
    <w:rsid w:val="00FA639A"/>
    <w:rsid w:val="00FA6591"/>
    <w:rsid w:val="00FA6CC9"/>
    <w:rsid w:val="00FA6FD0"/>
    <w:rsid w:val="00FA6FDB"/>
    <w:rsid w:val="00FB01BC"/>
    <w:rsid w:val="00FB1AC0"/>
    <w:rsid w:val="00FB1ADE"/>
    <w:rsid w:val="00FB1EF8"/>
    <w:rsid w:val="00FB2AD1"/>
    <w:rsid w:val="00FB47EC"/>
    <w:rsid w:val="00FB4CB5"/>
    <w:rsid w:val="00FB5166"/>
    <w:rsid w:val="00FB6001"/>
    <w:rsid w:val="00FB63FF"/>
    <w:rsid w:val="00FB65A6"/>
    <w:rsid w:val="00FB6752"/>
    <w:rsid w:val="00FB7584"/>
    <w:rsid w:val="00FB775F"/>
    <w:rsid w:val="00FB7FAA"/>
    <w:rsid w:val="00FC007C"/>
    <w:rsid w:val="00FC160F"/>
    <w:rsid w:val="00FC19A3"/>
    <w:rsid w:val="00FC37C3"/>
    <w:rsid w:val="00FC3C71"/>
    <w:rsid w:val="00FC49A7"/>
    <w:rsid w:val="00FC4DAD"/>
    <w:rsid w:val="00FC5901"/>
    <w:rsid w:val="00FC788C"/>
    <w:rsid w:val="00FD0370"/>
    <w:rsid w:val="00FD0422"/>
    <w:rsid w:val="00FD048B"/>
    <w:rsid w:val="00FD2CD8"/>
    <w:rsid w:val="00FD2F5E"/>
    <w:rsid w:val="00FD344C"/>
    <w:rsid w:val="00FD36D5"/>
    <w:rsid w:val="00FD36F8"/>
    <w:rsid w:val="00FD42F3"/>
    <w:rsid w:val="00FD62C5"/>
    <w:rsid w:val="00FD6F57"/>
    <w:rsid w:val="00FD70AE"/>
    <w:rsid w:val="00FD743E"/>
    <w:rsid w:val="00FE05A9"/>
    <w:rsid w:val="00FE0CEC"/>
    <w:rsid w:val="00FE218C"/>
    <w:rsid w:val="00FE2512"/>
    <w:rsid w:val="00FE2859"/>
    <w:rsid w:val="00FE3DF6"/>
    <w:rsid w:val="00FE4485"/>
    <w:rsid w:val="00FE4A17"/>
    <w:rsid w:val="00FE4EC7"/>
    <w:rsid w:val="00FE571C"/>
    <w:rsid w:val="00FE5FAD"/>
    <w:rsid w:val="00FE705F"/>
    <w:rsid w:val="00FE76BF"/>
    <w:rsid w:val="00FF0550"/>
    <w:rsid w:val="00FF0CEC"/>
    <w:rsid w:val="00FF1077"/>
    <w:rsid w:val="00FF22A5"/>
    <w:rsid w:val="00FF261A"/>
    <w:rsid w:val="00FF2AA6"/>
    <w:rsid w:val="00FF2CB4"/>
    <w:rsid w:val="00FF3272"/>
    <w:rsid w:val="00FF3552"/>
    <w:rsid w:val="00FF4221"/>
    <w:rsid w:val="00FF432D"/>
    <w:rsid w:val="00FF4E54"/>
    <w:rsid w:val="00FF54F9"/>
    <w:rsid w:val="00FF64E2"/>
    <w:rsid w:val="00FF7281"/>
    <w:rsid w:val="00FF7BD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487B85"/>
  <w15:docId w15:val="{A19EC369-6028-4480-8E3B-D2F49CE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 Car,footnote,single space,FOOTNOTES,Footnote Text Char Char,ft,Footnote,foottextfra,F,Footnote Text Char Char Char Char Char Char Char,Footnote Text Char Char Char Char Char,footnote text,texto de nota al pie"/>
    <w:basedOn w:val="Normal"/>
    <w:link w:val="FootnoteTextChar"/>
    <w:rsid w:val="003B3D6E"/>
    <w:rPr>
      <w:sz w:val="20"/>
      <w:szCs w:val="20"/>
      <w:lang w:val="es-ES" w:eastAsia="es-ES"/>
    </w:rPr>
  </w:style>
  <w:style w:type="character" w:styleId="FootnoteReference">
    <w:name w:val="footnote reference"/>
    <w:aliases w:val="Ref. de nota al pie.,FC,ftref,16 Point,Superscript 6 Point,Ref,de nota al pie,Style 24,titulo 2,pie pddes"/>
    <w:basedOn w:val="DefaultParagraphFont"/>
    <w:uiPriority w:val="99"/>
    <w:rsid w:val="003B3D6E"/>
    <w:rPr>
      <w:vertAlign w:val="superscript"/>
    </w:rPr>
  </w:style>
  <w:style w:type="paragraph" w:styleId="Footer">
    <w:name w:val="footer"/>
    <w:basedOn w:val="Normal"/>
    <w:link w:val="FooterChar"/>
    <w:uiPriority w:val="99"/>
    <w:rsid w:val="00306567"/>
    <w:pPr>
      <w:tabs>
        <w:tab w:val="center" w:pos="4252"/>
        <w:tab w:val="right" w:pos="8504"/>
      </w:tabs>
    </w:pPr>
  </w:style>
  <w:style w:type="character" w:styleId="PageNumber">
    <w:name w:val="page number"/>
    <w:basedOn w:val="DefaultParagraphFont"/>
    <w:rsid w:val="00306567"/>
  </w:style>
  <w:style w:type="paragraph" w:styleId="BalloonText">
    <w:name w:val="Balloon Text"/>
    <w:basedOn w:val="Normal"/>
    <w:semiHidden/>
    <w:rsid w:val="006107AA"/>
    <w:rPr>
      <w:rFonts w:ascii="Tahoma" w:hAnsi="Tahoma" w:cs="Tahoma"/>
      <w:sz w:val="16"/>
      <w:szCs w:val="16"/>
    </w:rPr>
  </w:style>
  <w:style w:type="paragraph" w:styleId="Header">
    <w:name w:val="header"/>
    <w:basedOn w:val="Normal"/>
    <w:link w:val="HeaderChar"/>
    <w:uiPriority w:val="99"/>
    <w:rsid w:val="00030709"/>
    <w:pPr>
      <w:tabs>
        <w:tab w:val="center" w:pos="4252"/>
        <w:tab w:val="right" w:pos="8504"/>
      </w:tabs>
    </w:pPr>
  </w:style>
  <w:style w:type="paragraph" w:customStyle="1" w:styleId="Chapter">
    <w:name w:val="Chapter"/>
    <w:basedOn w:val="Normal"/>
    <w:next w:val="Normal"/>
    <w:rsid w:val="007F1899"/>
    <w:pPr>
      <w:keepNext/>
      <w:numPr>
        <w:numId w:val="2"/>
      </w:numPr>
      <w:tabs>
        <w:tab w:val="clear" w:pos="2088"/>
        <w:tab w:val="num" w:pos="648"/>
        <w:tab w:val="left" w:pos="1440"/>
      </w:tabs>
      <w:spacing w:before="240" w:after="240"/>
      <w:ind w:left="0"/>
      <w:jc w:val="center"/>
    </w:pPr>
    <w:rPr>
      <w:b/>
      <w:smallCaps/>
      <w:szCs w:val="20"/>
    </w:rPr>
  </w:style>
  <w:style w:type="paragraph" w:customStyle="1" w:styleId="Paragraph">
    <w:name w:val="Paragraph"/>
    <w:aliases w:val="paragraph,p,PARAGRAPH,PG,pa,at"/>
    <w:basedOn w:val="BodyTextIndent"/>
    <w:link w:val="ParagraphCar"/>
    <w:rsid w:val="007F1899"/>
    <w:pPr>
      <w:numPr>
        <w:ilvl w:val="1"/>
        <w:numId w:val="2"/>
      </w:numPr>
      <w:spacing w:before="120"/>
      <w:jc w:val="both"/>
      <w:outlineLvl w:val="1"/>
    </w:pPr>
    <w:rPr>
      <w:szCs w:val="20"/>
    </w:rPr>
  </w:style>
  <w:style w:type="paragraph" w:customStyle="1" w:styleId="subpar">
    <w:name w:val="subpar"/>
    <w:basedOn w:val="BodyTextIndent3"/>
    <w:rsid w:val="007F1899"/>
    <w:pPr>
      <w:numPr>
        <w:ilvl w:val="2"/>
        <w:numId w:val="2"/>
      </w:numPr>
      <w:spacing w:before="120"/>
      <w:jc w:val="both"/>
      <w:outlineLvl w:val="2"/>
    </w:pPr>
    <w:rPr>
      <w:sz w:val="24"/>
      <w:szCs w:val="20"/>
    </w:rPr>
  </w:style>
  <w:style w:type="paragraph" w:customStyle="1" w:styleId="SubSubPar">
    <w:name w:val="SubSubPar"/>
    <w:basedOn w:val="subpar"/>
    <w:rsid w:val="007F1899"/>
    <w:pPr>
      <w:numPr>
        <w:ilvl w:val="3"/>
      </w:numPr>
      <w:tabs>
        <w:tab w:val="clear" w:pos="3024"/>
        <w:tab w:val="left" w:pos="0"/>
        <w:tab w:val="num" w:pos="1296"/>
      </w:tabs>
      <w:ind w:left="1296"/>
    </w:pPr>
  </w:style>
  <w:style w:type="character" w:customStyle="1" w:styleId="ParagraphCar">
    <w:name w:val="Paragraph Car"/>
    <w:basedOn w:val="DefaultParagraphFont"/>
    <w:link w:val="Paragraph"/>
    <w:rsid w:val="007F1899"/>
    <w:rPr>
      <w:sz w:val="24"/>
    </w:rPr>
  </w:style>
  <w:style w:type="paragraph" w:styleId="BodyTextIndent">
    <w:name w:val="Body Text Indent"/>
    <w:basedOn w:val="Normal"/>
    <w:link w:val="BodyTextIndentChar"/>
    <w:rsid w:val="007F1899"/>
    <w:pPr>
      <w:spacing w:after="120"/>
      <w:ind w:left="360"/>
    </w:pPr>
  </w:style>
  <w:style w:type="character" w:customStyle="1" w:styleId="BodyTextIndentChar">
    <w:name w:val="Body Text Indent Char"/>
    <w:basedOn w:val="DefaultParagraphFont"/>
    <w:link w:val="BodyTextIndent"/>
    <w:rsid w:val="007F1899"/>
    <w:rPr>
      <w:sz w:val="24"/>
      <w:szCs w:val="24"/>
    </w:rPr>
  </w:style>
  <w:style w:type="paragraph" w:styleId="BodyTextIndent3">
    <w:name w:val="Body Text Indent 3"/>
    <w:basedOn w:val="Normal"/>
    <w:link w:val="BodyTextIndent3Char"/>
    <w:rsid w:val="007F1899"/>
    <w:pPr>
      <w:spacing w:after="120"/>
      <w:ind w:left="360"/>
    </w:pPr>
    <w:rPr>
      <w:sz w:val="16"/>
      <w:szCs w:val="16"/>
    </w:rPr>
  </w:style>
  <w:style w:type="character" w:customStyle="1" w:styleId="BodyTextIndent3Char">
    <w:name w:val="Body Text Indent 3 Char"/>
    <w:basedOn w:val="DefaultParagraphFont"/>
    <w:link w:val="BodyTextIndent3"/>
    <w:rsid w:val="007F1899"/>
    <w:rPr>
      <w:sz w:val="16"/>
      <w:szCs w:val="16"/>
    </w:rPr>
  </w:style>
  <w:style w:type="character" w:styleId="CommentReference">
    <w:name w:val="annotation reference"/>
    <w:basedOn w:val="DefaultParagraphFont"/>
    <w:uiPriority w:val="99"/>
    <w:rsid w:val="00503EB9"/>
    <w:rPr>
      <w:sz w:val="16"/>
      <w:szCs w:val="16"/>
    </w:rPr>
  </w:style>
  <w:style w:type="paragraph" w:styleId="CommentText">
    <w:name w:val="annotation text"/>
    <w:basedOn w:val="Normal"/>
    <w:link w:val="CommentTextChar"/>
    <w:rsid w:val="00503EB9"/>
    <w:rPr>
      <w:sz w:val="20"/>
      <w:szCs w:val="20"/>
    </w:rPr>
  </w:style>
  <w:style w:type="character" w:customStyle="1" w:styleId="CommentTextChar">
    <w:name w:val="Comment Text Char"/>
    <w:basedOn w:val="DefaultParagraphFont"/>
    <w:link w:val="CommentText"/>
    <w:rsid w:val="00503EB9"/>
  </w:style>
  <w:style w:type="paragraph" w:styleId="CommentSubject">
    <w:name w:val="annotation subject"/>
    <w:basedOn w:val="CommentText"/>
    <w:next w:val="CommentText"/>
    <w:link w:val="CommentSubjectChar"/>
    <w:rsid w:val="00503EB9"/>
    <w:rPr>
      <w:b/>
      <w:bCs/>
    </w:rPr>
  </w:style>
  <w:style w:type="character" w:customStyle="1" w:styleId="CommentSubjectChar">
    <w:name w:val="Comment Subject Char"/>
    <w:basedOn w:val="CommentTextChar"/>
    <w:link w:val="CommentSubject"/>
    <w:rsid w:val="00503EB9"/>
    <w:rPr>
      <w:b/>
      <w:bCs/>
    </w:rPr>
  </w:style>
  <w:style w:type="character" w:customStyle="1" w:styleId="FooterChar">
    <w:name w:val="Footer Char"/>
    <w:basedOn w:val="DefaultParagraphFont"/>
    <w:link w:val="Footer"/>
    <w:uiPriority w:val="99"/>
    <w:rsid w:val="00D73AE8"/>
    <w:rPr>
      <w:sz w:val="24"/>
      <w:szCs w:val="24"/>
    </w:rPr>
  </w:style>
  <w:style w:type="paragraph" w:styleId="ListParagraph">
    <w:name w:val="List Paragraph"/>
    <w:basedOn w:val="Normal"/>
    <w:uiPriority w:val="34"/>
    <w:qFormat/>
    <w:rsid w:val="008320AC"/>
    <w:pPr>
      <w:ind w:left="720"/>
      <w:contextualSpacing/>
    </w:pPr>
  </w:style>
  <w:style w:type="paragraph" w:customStyle="1" w:styleId="Default">
    <w:name w:val="Default"/>
    <w:rsid w:val="00A8648C"/>
    <w:pPr>
      <w:autoSpaceDE w:val="0"/>
      <w:autoSpaceDN w:val="0"/>
      <w:adjustRightInd w:val="0"/>
    </w:pPr>
    <w:rPr>
      <w:rFonts w:ascii="Arial" w:hAnsi="Arial" w:cs="Arial"/>
      <w:color w:val="000000"/>
      <w:sz w:val="24"/>
      <w:szCs w:val="24"/>
      <w:lang w:val="es-UY"/>
    </w:rPr>
  </w:style>
  <w:style w:type="paragraph" w:styleId="Revision">
    <w:name w:val="Revision"/>
    <w:hidden/>
    <w:uiPriority w:val="99"/>
    <w:semiHidden/>
    <w:rsid w:val="00937487"/>
    <w:rPr>
      <w:sz w:val="24"/>
      <w:szCs w:val="24"/>
    </w:rPr>
  </w:style>
  <w:style w:type="character" w:customStyle="1" w:styleId="mediumtext1">
    <w:name w:val="medium_text1"/>
    <w:rsid w:val="00A72BC8"/>
    <w:rPr>
      <w:sz w:val="24"/>
      <w:szCs w:val="24"/>
    </w:rPr>
  </w:style>
  <w:style w:type="character" w:customStyle="1" w:styleId="FootnoteTextChar">
    <w:name w:val="Footnote Text Char"/>
    <w:aliases w:val="fn Char,Texto nota pie IIRSA Char,Car Char, Car Char,footnote Char,single space Char,FOOTNOTES Char,Footnote Text Char Char Char,ft Char,Footnote Char,foottextfra Char,F Char,Footnote Text Char Char Char Char Char Char Char Char"/>
    <w:link w:val="FootnoteText"/>
    <w:rsid w:val="00A74A29"/>
    <w:rPr>
      <w:lang w:val="es-ES" w:eastAsia="es-ES"/>
    </w:rPr>
  </w:style>
  <w:style w:type="character" w:customStyle="1" w:styleId="HeaderChar">
    <w:name w:val="Header Char"/>
    <w:basedOn w:val="DefaultParagraphFont"/>
    <w:link w:val="Header"/>
    <w:uiPriority w:val="99"/>
    <w:rsid w:val="002F24F5"/>
    <w:rPr>
      <w:sz w:val="24"/>
      <w:szCs w:val="24"/>
    </w:rPr>
  </w:style>
  <w:style w:type="paragraph" w:styleId="EndnoteText">
    <w:name w:val="endnote text"/>
    <w:basedOn w:val="Normal"/>
    <w:link w:val="EndnoteTextChar"/>
    <w:rsid w:val="00DD323C"/>
    <w:rPr>
      <w:sz w:val="20"/>
      <w:szCs w:val="20"/>
    </w:rPr>
  </w:style>
  <w:style w:type="character" w:customStyle="1" w:styleId="EndnoteTextChar">
    <w:name w:val="Endnote Text Char"/>
    <w:basedOn w:val="DefaultParagraphFont"/>
    <w:link w:val="EndnoteText"/>
    <w:rsid w:val="00DD323C"/>
  </w:style>
  <w:style w:type="character" w:styleId="EndnoteReference">
    <w:name w:val="endnote reference"/>
    <w:basedOn w:val="DefaultParagraphFont"/>
    <w:rsid w:val="00DD323C"/>
    <w:rPr>
      <w:vertAlign w:val="superscript"/>
    </w:rPr>
  </w:style>
  <w:style w:type="paragraph" w:styleId="NoSpacing">
    <w:name w:val="No Spacing"/>
    <w:qFormat/>
    <w:rsid w:val="000E7839"/>
    <w:rPr>
      <w:sz w:val="24"/>
      <w:szCs w:val="24"/>
    </w:rPr>
  </w:style>
  <w:style w:type="paragraph" w:customStyle="1" w:styleId="Sinespaciado1">
    <w:name w:val="Sin espaciado1"/>
    <w:qFormat/>
    <w:rsid w:val="005E3BED"/>
    <w:rPr>
      <w:sz w:val="24"/>
      <w:szCs w:val="24"/>
    </w:rPr>
  </w:style>
  <w:style w:type="character" w:styleId="Hyperlink">
    <w:name w:val="Hyperlink"/>
    <w:basedOn w:val="DefaultParagraphFont"/>
    <w:uiPriority w:val="99"/>
    <w:unhideWhenUsed/>
    <w:rsid w:val="002F27AA"/>
    <w:rPr>
      <w:color w:val="0000FF" w:themeColor="hyperlink"/>
      <w:u w:val="single"/>
    </w:rPr>
  </w:style>
  <w:style w:type="character" w:styleId="Mention">
    <w:name w:val="Mention"/>
    <w:basedOn w:val="DefaultParagraphFont"/>
    <w:uiPriority w:val="99"/>
    <w:semiHidden/>
    <w:unhideWhenUsed/>
    <w:rsid w:val="008E16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6897">
      <w:bodyDiv w:val="1"/>
      <w:marLeft w:val="0"/>
      <w:marRight w:val="0"/>
      <w:marTop w:val="0"/>
      <w:marBottom w:val="0"/>
      <w:divBdr>
        <w:top w:val="none" w:sz="0" w:space="0" w:color="auto"/>
        <w:left w:val="none" w:sz="0" w:space="0" w:color="auto"/>
        <w:bottom w:val="none" w:sz="0" w:space="0" w:color="auto"/>
        <w:right w:val="none" w:sz="0" w:space="0" w:color="auto"/>
      </w:divBdr>
    </w:div>
    <w:div w:id="311639689">
      <w:bodyDiv w:val="1"/>
      <w:marLeft w:val="0"/>
      <w:marRight w:val="0"/>
      <w:marTop w:val="0"/>
      <w:marBottom w:val="0"/>
      <w:divBdr>
        <w:top w:val="none" w:sz="0" w:space="0" w:color="auto"/>
        <w:left w:val="none" w:sz="0" w:space="0" w:color="auto"/>
        <w:bottom w:val="none" w:sz="0" w:space="0" w:color="auto"/>
        <w:right w:val="none" w:sz="0" w:space="0" w:color="auto"/>
      </w:divBdr>
    </w:div>
    <w:div w:id="774135825">
      <w:bodyDiv w:val="1"/>
      <w:marLeft w:val="0"/>
      <w:marRight w:val="0"/>
      <w:marTop w:val="0"/>
      <w:marBottom w:val="0"/>
      <w:divBdr>
        <w:top w:val="none" w:sz="0" w:space="0" w:color="auto"/>
        <w:left w:val="none" w:sz="0" w:space="0" w:color="auto"/>
        <w:bottom w:val="none" w:sz="0" w:space="0" w:color="auto"/>
        <w:right w:val="none" w:sz="0" w:space="0" w:color="auto"/>
      </w:divBdr>
    </w:div>
    <w:div w:id="798576031">
      <w:bodyDiv w:val="1"/>
      <w:marLeft w:val="0"/>
      <w:marRight w:val="0"/>
      <w:marTop w:val="0"/>
      <w:marBottom w:val="0"/>
      <w:divBdr>
        <w:top w:val="none" w:sz="0" w:space="0" w:color="auto"/>
        <w:left w:val="none" w:sz="0" w:space="0" w:color="auto"/>
        <w:bottom w:val="none" w:sz="0" w:space="0" w:color="auto"/>
        <w:right w:val="none" w:sz="0" w:space="0" w:color="auto"/>
      </w:divBdr>
    </w:div>
    <w:div w:id="1116021013">
      <w:bodyDiv w:val="1"/>
      <w:marLeft w:val="0"/>
      <w:marRight w:val="0"/>
      <w:marTop w:val="0"/>
      <w:marBottom w:val="0"/>
      <w:divBdr>
        <w:top w:val="none" w:sz="0" w:space="0" w:color="auto"/>
        <w:left w:val="none" w:sz="0" w:space="0" w:color="auto"/>
        <w:bottom w:val="none" w:sz="0" w:space="0" w:color="auto"/>
        <w:right w:val="none" w:sz="0" w:space="0" w:color="auto"/>
      </w:divBdr>
    </w:div>
    <w:div w:id="1181622252">
      <w:bodyDiv w:val="1"/>
      <w:marLeft w:val="0"/>
      <w:marRight w:val="0"/>
      <w:marTop w:val="0"/>
      <w:marBottom w:val="0"/>
      <w:divBdr>
        <w:top w:val="none" w:sz="0" w:space="0" w:color="auto"/>
        <w:left w:val="none" w:sz="0" w:space="0" w:color="auto"/>
        <w:bottom w:val="none" w:sz="0" w:space="0" w:color="auto"/>
        <w:right w:val="none" w:sz="0" w:space="0" w:color="auto"/>
      </w:divBdr>
    </w:div>
    <w:div w:id="1243561226">
      <w:bodyDiv w:val="1"/>
      <w:marLeft w:val="0"/>
      <w:marRight w:val="0"/>
      <w:marTop w:val="0"/>
      <w:marBottom w:val="0"/>
      <w:divBdr>
        <w:top w:val="single" w:sz="6" w:space="0" w:color="CCCCCC"/>
        <w:left w:val="single" w:sz="6" w:space="0" w:color="CCCCCC"/>
        <w:bottom w:val="single" w:sz="6" w:space="0" w:color="CCCCCC"/>
        <w:right w:val="single" w:sz="6" w:space="0" w:color="CCCCCC"/>
      </w:divBdr>
      <w:divsChild>
        <w:div w:id="1065643855">
          <w:marLeft w:val="0"/>
          <w:marRight w:val="0"/>
          <w:marTop w:val="0"/>
          <w:marBottom w:val="0"/>
          <w:divBdr>
            <w:top w:val="single" w:sz="6" w:space="12" w:color="CCCCCC"/>
            <w:left w:val="single" w:sz="6" w:space="12" w:color="CCCCCC"/>
            <w:bottom w:val="single" w:sz="6" w:space="12" w:color="CCCCCC"/>
            <w:right w:val="single" w:sz="6" w:space="12" w:color="CCCCCC"/>
          </w:divBdr>
          <w:divsChild>
            <w:div w:id="1155296212">
              <w:marLeft w:val="0"/>
              <w:marRight w:val="0"/>
              <w:marTop w:val="0"/>
              <w:marBottom w:val="0"/>
              <w:divBdr>
                <w:top w:val="none" w:sz="0" w:space="0" w:color="auto"/>
                <w:left w:val="none" w:sz="0" w:space="0" w:color="auto"/>
                <w:bottom w:val="none" w:sz="0" w:space="0" w:color="auto"/>
                <w:right w:val="none" w:sz="0" w:space="0" w:color="auto"/>
              </w:divBdr>
              <w:divsChild>
                <w:div w:id="1779255143">
                  <w:marLeft w:val="0"/>
                  <w:marRight w:val="0"/>
                  <w:marTop w:val="0"/>
                  <w:marBottom w:val="0"/>
                  <w:divBdr>
                    <w:top w:val="none" w:sz="0" w:space="0" w:color="auto"/>
                    <w:left w:val="none" w:sz="0" w:space="0" w:color="auto"/>
                    <w:bottom w:val="none" w:sz="0" w:space="0" w:color="auto"/>
                    <w:right w:val="none" w:sz="0" w:space="0" w:color="auto"/>
                  </w:divBdr>
                  <w:divsChild>
                    <w:div w:id="1854763846">
                      <w:marLeft w:val="0"/>
                      <w:marRight w:val="0"/>
                      <w:marTop w:val="0"/>
                      <w:marBottom w:val="0"/>
                      <w:divBdr>
                        <w:top w:val="none" w:sz="0" w:space="0" w:color="auto"/>
                        <w:left w:val="none" w:sz="0" w:space="0" w:color="auto"/>
                        <w:bottom w:val="none" w:sz="0" w:space="0" w:color="auto"/>
                        <w:right w:val="none" w:sz="0" w:space="0" w:color="auto"/>
                      </w:divBdr>
                      <w:divsChild>
                        <w:div w:id="1477067280">
                          <w:marLeft w:val="0"/>
                          <w:marRight w:val="0"/>
                          <w:marTop w:val="0"/>
                          <w:marBottom w:val="0"/>
                          <w:divBdr>
                            <w:top w:val="none" w:sz="0" w:space="0" w:color="auto"/>
                            <w:left w:val="none" w:sz="0" w:space="0" w:color="auto"/>
                            <w:bottom w:val="none" w:sz="0" w:space="0" w:color="auto"/>
                            <w:right w:val="none" w:sz="0" w:space="0" w:color="auto"/>
                          </w:divBdr>
                          <w:divsChild>
                            <w:div w:id="1967001903">
                              <w:marLeft w:val="0"/>
                              <w:marRight w:val="0"/>
                              <w:marTop w:val="0"/>
                              <w:marBottom w:val="0"/>
                              <w:divBdr>
                                <w:top w:val="none" w:sz="0" w:space="0" w:color="auto"/>
                                <w:left w:val="none" w:sz="0" w:space="0" w:color="auto"/>
                                <w:bottom w:val="none" w:sz="0" w:space="0" w:color="auto"/>
                                <w:right w:val="none" w:sz="0" w:space="0" w:color="auto"/>
                              </w:divBdr>
                              <w:divsChild>
                                <w:div w:id="1447045133">
                                  <w:marLeft w:val="0"/>
                                  <w:marRight w:val="0"/>
                                  <w:marTop w:val="0"/>
                                  <w:marBottom w:val="0"/>
                                  <w:divBdr>
                                    <w:top w:val="none" w:sz="0" w:space="0" w:color="auto"/>
                                    <w:left w:val="none" w:sz="0" w:space="0" w:color="auto"/>
                                    <w:bottom w:val="none" w:sz="0" w:space="0" w:color="auto"/>
                                    <w:right w:val="none" w:sz="0" w:space="0" w:color="auto"/>
                                  </w:divBdr>
                                </w:div>
                                <w:div w:id="1208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86940">
      <w:bodyDiv w:val="1"/>
      <w:marLeft w:val="0"/>
      <w:marRight w:val="0"/>
      <w:marTop w:val="0"/>
      <w:marBottom w:val="0"/>
      <w:divBdr>
        <w:top w:val="none" w:sz="0" w:space="0" w:color="auto"/>
        <w:left w:val="none" w:sz="0" w:space="0" w:color="auto"/>
        <w:bottom w:val="none" w:sz="0" w:space="0" w:color="auto"/>
        <w:right w:val="none" w:sz="0" w:space="0" w:color="auto"/>
      </w:divBdr>
    </w:div>
    <w:div w:id="1353847577">
      <w:bodyDiv w:val="1"/>
      <w:marLeft w:val="0"/>
      <w:marRight w:val="0"/>
      <w:marTop w:val="0"/>
      <w:marBottom w:val="0"/>
      <w:divBdr>
        <w:top w:val="none" w:sz="0" w:space="0" w:color="auto"/>
        <w:left w:val="none" w:sz="0" w:space="0" w:color="auto"/>
        <w:bottom w:val="none" w:sz="0" w:space="0" w:color="auto"/>
        <w:right w:val="none" w:sz="0" w:space="0" w:color="auto"/>
      </w:divBdr>
    </w:div>
    <w:div w:id="1578401268">
      <w:bodyDiv w:val="1"/>
      <w:marLeft w:val="0"/>
      <w:marRight w:val="0"/>
      <w:marTop w:val="0"/>
      <w:marBottom w:val="0"/>
      <w:divBdr>
        <w:top w:val="none" w:sz="0" w:space="0" w:color="auto"/>
        <w:left w:val="none" w:sz="0" w:space="0" w:color="auto"/>
        <w:bottom w:val="none" w:sz="0" w:space="0" w:color="auto"/>
        <w:right w:val="none" w:sz="0" w:space="0" w:color="auto"/>
      </w:divBdr>
    </w:div>
    <w:div w:id="1585841086">
      <w:bodyDiv w:val="1"/>
      <w:marLeft w:val="0"/>
      <w:marRight w:val="0"/>
      <w:marTop w:val="0"/>
      <w:marBottom w:val="0"/>
      <w:divBdr>
        <w:top w:val="none" w:sz="0" w:space="0" w:color="auto"/>
        <w:left w:val="none" w:sz="0" w:space="0" w:color="auto"/>
        <w:bottom w:val="none" w:sz="0" w:space="0" w:color="auto"/>
        <w:right w:val="none" w:sz="0" w:space="0" w:color="auto"/>
      </w:divBdr>
    </w:div>
    <w:div w:id="1586723317">
      <w:bodyDiv w:val="1"/>
      <w:marLeft w:val="0"/>
      <w:marRight w:val="0"/>
      <w:marTop w:val="0"/>
      <w:marBottom w:val="0"/>
      <w:divBdr>
        <w:top w:val="none" w:sz="0" w:space="0" w:color="auto"/>
        <w:left w:val="none" w:sz="0" w:space="0" w:color="auto"/>
        <w:bottom w:val="none" w:sz="0" w:space="0" w:color="auto"/>
        <w:right w:val="none" w:sz="0" w:space="0" w:color="auto"/>
      </w:divBdr>
    </w:div>
    <w:div w:id="1633556940">
      <w:bodyDiv w:val="1"/>
      <w:marLeft w:val="0"/>
      <w:marRight w:val="0"/>
      <w:marTop w:val="0"/>
      <w:marBottom w:val="0"/>
      <w:divBdr>
        <w:top w:val="none" w:sz="0" w:space="0" w:color="auto"/>
        <w:left w:val="none" w:sz="0" w:space="0" w:color="auto"/>
        <w:bottom w:val="none" w:sz="0" w:space="0" w:color="auto"/>
        <w:right w:val="none" w:sz="0" w:space="0" w:color="auto"/>
      </w:divBdr>
    </w:div>
    <w:div w:id="1639383541">
      <w:bodyDiv w:val="1"/>
      <w:marLeft w:val="0"/>
      <w:marRight w:val="0"/>
      <w:marTop w:val="0"/>
      <w:marBottom w:val="0"/>
      <w:divBdr>
        <w:top w:val="none" w:sz="0" w:space="0" w:color="auto"/>
        <w:left w:val="none" w:sz="0" w:space="0" w:color="auto"/>
        <w:bottom w:val="none" w:sz="0" w:space="0" w:color="auto"/>
        <w:right w:val="none" w:sz="0" w:space="0" w:color="auto"/>
      </w:divBdr>
    </w:div>
    <w:div w:id="1690642340">
      <w:bodyDiv w:val="1"/>
      <w:marLeft w:val="0"/>
      <w:marRight w:val="0"/>
      <w:marTop w:val="0"/>
      <w:marBottom w:val="0"/>
      <w:divBdr>
        <w:top w:val="single" w:sz="6" w:space="0" w:color="CCCCCC"/>
        <w:left w:val="single" w:sz="6" w:space="0" w:color="CCCCCC"/>
        <w:bottom w:val="single" w:sz="6" w:space="0" w:color="CCCCCC"/>
        <w:right w:val="single" w:sz="6" w:space="0" w:color="CCCCCC"/>
      </w:divBdr>
      <w:divsChild>
        <w:div w:id="492375320">
          <w:marLeft w:val="0"/>
          <w:marRight w:val="0"/>
          <w:marTop w:val="0"/>
          <w:marBottom w:val="0"/>
          <w:divBdr>
            <w:top w:val="single" w:sz="6" w:space="12" w:color="CCCCCC"/>
            <w:left w:val="single" w:sz="6" w:space="12" w:color="CCCCCC"/>
            <w:bottom w:val="single" w:sz="6" w:space="12" w:color="CCCCCC"/>
            <w:right w:val="single" w:sz="6" w:space="12" w:color="CCCCCC"/>
          </w:divBdr>
          <w:divsChild>
            <w:div w:id="1956328589">
              <w:marLeft w:val="0"/>
              <w:marRight w:val="0"/>
              <w:marTop w:val="0"/>
              <w:marBottom w:val="0"/>
              <w:divBdr>
                <w:top w:val="none" w:sz="0" w:space="0" w:color="auto"/>
                <w:left w:val="none" w:sz="0" w:space="0" w:color="auto"/>
                <w:bottom w:val="none" w:sz="0" w:space="0" w:color="auto"/>
                <w:right w:val="none" w:sz="0" w:space="0" w:color="auto"/>
              </w:divBdr>
              <w:divsChild>
                <w:div w:id="60717384">
                  <w:marLeft w:val="0"/>
                  <w:marRight w:val="0"/>
                  <w:marTop w:val="0"/>
                  <w:marBottom w:val="0"/>
                  <w:divBdr>
                    <w:top w:val="none" w:sz="0" w:space="0" w:color="auto"/>
                    <w:left w:val="none" w:sz="0" w:space="0" w:color="auto"/>
                    <w:bottom w:val="none" w:sz="0" w:space="0" w:color="auto"/>
                    <w:right w:val="none" w:sz="0" w:space="0" w:color="auto"/>
                  </w:divBdr>
                  <w:divsChild>
                    <w:div w:id="2049185463">
                      <w:marLeft w:val="0"/>
                      <w:marRight w:val="0"/>
                      <w:marTop w:val="0"/>
                      <w:marBottom w:val="0"/>
                      <w:divBdr>
                        <w:top w:val="none" w:sz="0" w:space="0" w:color="auto"/>
                        <w:left w:val="none" w:sz="0" w:space="0" w:color="auto"/>
                        <w:bottom w:val="none" w:sz="0" w:space="0" w:color="auto"/>
                        <w:right w:val="none" w:sz="0" w:space="0" w:color="auto"/>
                      </w:divBdr>
                      <w:divsChild>
                        <w:div w:id="668874332">
                          <w:marLeft w:val="0"/>
                          <w:marRight w:val="0"/>
                          <w:marTop w:val="0"/>
                          <w:marBottom w:val="0"/>
                          <w:divBdr>
                            <w:top w:val="none" w:sz="0" w:space="0" w:color="auto"/>
                            <w:left w:val="none" w:sz="0" w:space="0" w:color="auto"/>
                            <w:bottom w:val="none" w:sz="0" w:space="0" w:color="auto"/>
                            <w:right w:val="none" w:sz="0" w:space="0" w:color="auto"/>
                          </w:divBdr>
                          <w:divsChild>
                            <w:div w:id="366491559">
                              <w:marLeft w:val="0"/>
                              <w:marRight w:val="0"/>
                              <w:marTop w:val="0"/>
                              <w:marBottom w:val="0"/>
                              <w:divBdr>
                                <w:top w:val="none" w:sz="0" w:space="0" w:color="auto"/>
                                <w:left w:val="none" w:sz="0" w:space="0" w:color="auto"/>
                                <w:bottom w:val="none" w:sz="0" w:space="0" w:color="auto"/>
                                <w:right w:val="none" w:sz="0" w:space="0" w:color="auto"/>
                              </w:divBdr>
                              <w:divsChild>
                                <w:div w:id="1612543842">
                                  <w:marLeft w:val="0"/>
                                  <w:marRight w:val="0"/>
                                  <w:marTop w:val="0"/>
                                  <w:marBottom w:val="0"/>
                                  <w:divBdr>
                                    <w:top w:val="none" w:sz="0" w:space="0" w:color="auto"/>
                                    <w:left w:val="none" w:sz="0" w:space="0" w:color="auto"/>
                                    <w:bottom w:val="none" w:sz="0" w:space="0" w:color="auto"/>
                                    <w:right w:val="none" w:sz="0" w:space="0" w:color="auto"/>
                                  </w:divBdr>
                                </w:div>
                                <w:div w:id="6350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31228">
      <w:bodyDiv w:val="1"/>
      <w:marLeft w:val="0"/>
      <w:marRight w:val="0"/>
      <w:marTop w:val="0"/>
      <w:marBottom w:val="0"/>
      <w:divBdr>
        <w:top w:val="none" w:sz="0" w:space="0" w:color="auto"/>
        <w:left w:val="none" w:sz="0" w:space="0" w:color="auto"/>
        <w:bottom w:val="none" w:sz="0" w:space="0" w:color="auto"/>
        <w:right w:val="none" w:sz="0" w:space="0" w:color="auto"/>
      </w:divBdr>
    </w:div>
    <w:div w:id="2113695236">
      <w:bodyDiv w:val="1"/>
      <w:marLeft w:val="0"/>
      <w:marRight w:val="0"/>
      <w:marTop w:val="0"/>
      <w:marBottom w:val="0"/>
      <w:divBdr>
        <w:top w:val="none" w:sz="0" w:space="0" w:color="auto"/>
        <w:left w:val="none" w:sz="0" w:space="0" w:color="auto"/>
        <w:bottom w:val="none" w:sz="0" w:space="0" w:color="auto"/>
        <w:right w:val="none" w:sz="0" w:space="0" w:color="auto"/>
      </w:divBdr>
    </w:div>
    <w:div w:id="21402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BEATRIZGO\Desktop\DR-L1121\www.formalizate.gob.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1C68-4539-4C1D-8001-A616B1CC1A25}">
  <ds:schemaRefs>
    <ds:schemaRef ds:uri="http://schemas.openxmlformats.org/officeDocument/2006/bibliography"/>
  </ds:schemaRefs>
</ds:datastoreItem>
</file>

<file path=customXml/itemProps2.xml><?xml version="1.0" encoding="utf-8"?>
<ds:datastoreItem xmlns:ds="http://schemas.openxmlformats.org/officeDocument/2006/customXml" ds:itemID="{F8AEC35F-4632-485B-8CCC-5660B473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4151</Words>
  <Characters>23476</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Results Framework Matrix of Indicators</vt:lpstr>
      <vt:lpstr>Results Framework Matrix of Indicators</vt:lpstr>
    </vt:vector>
  </TitlesOfParts>
  <Company>Inter American Development Bank</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Framework Matrix of Indicators</dc:title>
  <dc:creator>GREGORIOA@iadb.org</dc:creator>
  <cp:lastModifiedBy>Torrico Duran, Blanca Paola</cp:lastModifiedBy>
  <cp:revision>19</cp:revision>
  <cp:lastPrinted>2017-08-08T13:53:00Z</cp:lastPrinted>
  <dcterms:created xsi:type="dcterms:W3CDTF">2017-10-20T16:42:00Z</dcterms:created>
  <dcterms:modified xsi:type="dcterms:W3CDTF">2017-10-26T13:51:00Z</dcterms:modified>
</cp:coreProperties>
</file>