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6.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33795" w14:textId="77777777" w:rsidR="00F10FC6" w:rsidRPr="00A84DC3" w:rsidRDefault="00F10FC6" w:rsidP="00997F7A">
      <w:pPr>
        <w:pStyle w:val="SubSubPar"/>
        <w:numPr>
          <w:ilvl w:val="0"/>
          <w:numId w:val="0"/>
        </w:numPr>
        <w:spacing w:after="0"/>
        <w:jc w:val="center"/>
        <w:rPr>
          <w:rFonts w:ascii="Arial" w:hAnsi="Arial" w:cs="Arial"/>
          <w:smallCaps/>
          <w:sz w:val="22"/>
          <w:szCs w:val="22"/>
          <w:lang w:val="es-ES"/>
        </w:rPr>
      </w:pPr>
      <w:bookmarkStart w:id="0" w:name="_Toc388249744"/>
      <w:r w:rsidRPr="00A84DC3">
        <w:rPr>
          <w:rFonts w:ascii="Arial" w:hAnsi="Arial" w:cs="Arial"/>
          <w:smallCaps/>
          <w:sz w:val="22"/>
          <w:szCs w:val="22"/>
          <w:lang w:val="es-ES"/>
        </w:rPr>
        <w:t>Documento del Banco Interamericano De Desarrollo</w:t>
      </w:r>
      <w:bookmarkEnd w:id="0"/>
    </w:p>
    <w:p w14:paraId="38F7F69E" w14:textId="77777777" w:rsidR="00F10FC6" w:rsidRDefault="00F10FC6" w:rsidP="00F10FC6">
      <w:pPr>
        <w:spacing w:before="120" w:after="120" w:line="240" w:lineRule="auto"/>
        <w:jc w:val="center"/>
        <w:rPr>
          <w:rFonts w:ascii="Arial" w:hAnsi="Arial" w:cs="Arial"/>
          <w:lang w:val="es-ES"/>
        </w:rPr>
      </w:pPr>
    </w:p>
    <w:p w14:paraId="1BBCDAAD" w14:textId="77777777" w:rsidR="00A84DC3" w:rsidRDefault="00A84DC3" w:rsidP="00F10FC6">
      <w:pPr>
        <w:spacing w:before="120" w:after="120" w:line="240" w:lineRule="auto"/>
        <w:jc w:val="center"/>
        <w:rPr>
          <w:rFonts w:ascii="Arial" w:hAnsi="Arial" w:cs="Arial"/>
          <w:lang w:val="es-ES"/>
        </w:rPr>
      </w:pPr>
    </w:p>
    <w:p w14:paraId="371DD911" w14:textId="77777777" w:rsidR="00A84DC3" w:rsidRDefault="00A84DC3" w:rsidP="00F10FC6">
      <w:pPr>
        <w:spacing w:before="120" w:after="120" w:line="240" w:lineRule="auto"/>
        <w:jc w:val="center"/>
        <w:rPr>
          <w:rFonts w:ascii="Arial" w:hAnsi="Arial" w:cs="Arial"/>
          <w:lang w:val="es-ES"/>
        </w:rPr>
      </w:pPr>
    </w:p>
    <w:p w14:paraId="0F1D4030" w14:textId="77777777" w:rsidR="00A84DC3" w:rsidRPr="00A84DC3" w:rsidRDefault="00A84DC3" w:rsidP="00F10FC6">
      <w:pPr>
        <w:spacing w:before="120" w:after="120" w:line="240" w:lineRule="auto"/>
        <w:jc w:val="center"/>
        <w:rPr>
          <w:rFonts w:ascii="Arial" w:hAnsi="Arial" w:cs="Arial"/>
          <w:lang w:val="es-ES"/>
        </w:rPr>
      </w:pPr>
    </w:p>
    <w:p w14:paraId="70343133" w14:textId="77777777" w:rsidR="00F10FC6" w:rsidRPr="00B17D7D" w:rsidRDefault="00F10FC6" w:rsidP="00F10FC6">
      <w:pPr>
        <w:spacing w:before="120" w:after="120" w:line="240" w:lineRule="auto"/>
        <w:jc w:val="center"/>
        <w:rPr>
          <w:rFonts w:ascii="Arial" w:hAnsi="Arial" w:cs="Arial"/>
          <w:sz w:val="28"/>
          <w:szCs w:val="28"/>
          <w:lang w:val="es-ES"/>
        </w:rPr>
      </w:pPr>
    </w:p>
    <w:p w14:paraId="1D506179" w14:textId="77777777" w:rsidR="00F10FC6" w:rsidRPr="00B17D7D" w:rsidRDefault="00D9415C" w:rsidP="00F10FC6">
      <w:pPr>
        <w:tabs>
          <w:tab w:val="left" w:pos="1440"/>
          <w:tab w:val="left" w:pos="3060"/>
        </w:tabs>
        <w:jc w:val="center"/>
        <w:outlineLvl w:val="0"/>
        <w:rPr>
          <w:rFonts w:ascii="Arial" w:hAnsi="Arial" w:cs="Arial"/>
          <w:b/>
          <w:smallCaps/>
          <w:sz w:val="28"/>
          <w:szCs w:val="28"/>
          <w:lang w:val="es-ES"/>
        </w:rPr>
      </w:pPr>
      <w:r w:rsidRPr="00B17D7D">
        <w:rPr>
          <w:rFonts w:ascii="Arial" w:hAnsi="Arial" w:cs="Arial"/>
          <w:b/>
          <w:smallCaps/>
          <w:sz w:val="28"/>
          <w:szCs w:val="28"/>
          <w:lang w:val="es-ES"/>
        </w:rPr>
        <w:t>Regional</w:t>
      </w:r>
    </w:p>
    <w:p w14:paraId="2FB820D2" w14:textId="77777777" w:rsidR="00F10FC6" w:rsidRPr="00A84DC3" w:rsidRDefault="00F10FC6" w:rsidP="00F10FC6">
      <w:pPr>
        <w:spacing w:before="120" w:after="120" w:line="240" w:lineRule="auto"/>
        <w:jc w:val="both"/>
        <w:rPr>
          <w:rFonts w:ascii="Arial" w:hAnsi="Arial" w:cs="Arial"/>
          <w:lang w:val="es-ES"/>
        </w:rPr>
      </w:pPr>
    </w:p>
    <w:p w14:paraId="45CFE52A" w14:textId="77777777" w:rsidR="004B5EA7" w:rsidRPr="00A84DC3" w:rsidRDefault="004B5EA7" w:rsidP="00F10FC6">
      <w:pPr>
        <w:spacing w:before="120" w:after="120" w:line="240" w:lineRule="auto"/>
        <w:jc w:val="both"/>
        <w:rPr>
          <w:rFonts w:ascii="Arial" w:hAnsi="Arial" w:cs="Arial"/>
          <w:lang w:val="es-ES"/>
        </w:rPr>
      </w:pPr>
    </w:p>
    <w:p w14:paraId="53976408" w14:textId="77777777" w:rsidR="00D9415C" w:rsidRPr="00B17D7D" w:rsidRDefault="00D9415C" w:rsidP="00D9415C">
      <w:pPr>
        <w:pStyle w:val="Newpage"/>
        <w:rPr>
          <w:rFonts w:ascii="Arial" w:hAnsi="Arial" w:cs="Arial"/>
          <w:b w:val="0"/>
          <w:caps/>
          <w:smallCaps w:val="0"/>
          <w:szCs w:val="24"/>
        </w:rPr>
      </w:pPr>
      <w:r w:rsidRPr="00B17D7D">
        <w:rPr>
          <w:rFonts w:ascii="Arial" w:hAnsi="Arial" w:cs="Arial"/>
          <w:szCs w:val="24"/>
        </w:rPr>
        <w:t>Programa Global de Crédito para la Integración Regional de los Países de la Cuenca del Plata</w:t>
      </w:r>
    </w:p>
    <w:p w14:paraId="71E576B2" w14:textId="77777777" w:rsidR="00D9415C" w:rsidRPr="00B17D7D" w:rsidRDefault="00D9415C" w:rsidP="00D9415C">
      <w:pPr>
        <w:pStyle w:val="Newpage"/>
        <w:rPr>
          <w:rFonts w:ascii="Arial" w:hAnsi="Arial" w:cs="Arial"/>
          <w:b w:val="0"/>
          <w:caps/>
          <w:smallCaps w:val="0"/>
          <w:szCs w:val="24"/>
        </w:rPr>
      </w:pPr>
    </w:p>
    <w:p w14:paraId="0B078B2B" w14:textId="77777777" w:rsidR="00D9415C" w:rsidRPr="00B17D7D" w:rsidRDefault="00D9415C" w:rsidP="00D9415C">
      <w:pPr>
        <w:tabs>
          <w:tab w:val="left" w:pos="1440"/>
          <w:tab w:val="left" w:pos="3060"/>
        </w:tabs>
        <w:jc w:val="center"/>
        <w:rPr>
          <w:rFonts w:ascii="Arial" w:hAnsi="Arial" w:cs="Arial"/>
          <w:b/>
          <w:smallCaps/>
          <w:sz w:val="24"/>
          <w:szCs w:val="24"/>
          <w:lang w:val="es-ES"/>
        </w:rPr>
      </w:pPr>
      <w:r w:rsidRPr="00B17D7D">
        <w:rPr>
          <w:rFonts w:ascii="Arial" w:hAnsi="Arial" w:cs="Arial"/>
          <w:b/>
          <w:smallCaps/>
          <w:sz w:val="24"/>
          <w:szCs w:val="24"/>
          <w:lang w:val="es-ES"/>
        </w:rPr>
        <w:t>(RG-L1115)</w:t>
      </w:r>
    </w:p>
    <w:p w14:paraId="3B72B7E1" w14:textId="77777777" w:rsidR="00F10FC6" w:rsidRPr="00B17D7D" w:rsidRDefault="00F10FC6" w:rsidP="00F10FC6">
      <w:pPr>
        <w:tabs>
          <w:tab w:val="left" w:pos="1440"/>
          <w:tab w:val="left" w:pos="3060"/>
        </w:tabs>
        <w:jc w:val="center"/>
        <w:outlineLvl w:val="0"/>
        <w:rPr>
          <w:rFonts w:ascii="Arial" w:hAnsi="Arial" w:cs="Arial"/>
          <w:b/>
          <w:smallCaps/>
          <w:sz w:val="24"/>
          <w:szCs w:val="24"/>
          <w:lang w:val="es-ES"/>
        </w:rPr>
      </w:pPr>
    </w:p>
    <w:p w14:paraId="3B05029D" w14:textId="77777777" w:rsidR="00F10FC6" w:rsidRPr="00B17D7D" w:rsidRDefault="00F10FC6" w:rsidP="00F10FC6">
      <w:pPr>
        <w:tabs>
          <w:tab w:val="left" w:pos="1440"/>
          <w:tab w:val="left" w:pos="3060"/>
        </w:tabs>
        <w:jc w:val="center"/>
        <w:outlineLvl w:val="0"/>
        <w:rPr>
          <w:rFonts w:ascii="Arial" w:hAnsi="Arial" w:cs="Arial"/>
          <w:b/>
          <w:smallCaps/>
          <w:sz w:val="24"/>
          <w:szCs w:val="24"/>
          <w:lang w:val="es-ES"/>
        </w:rPr>
      </w:pPr>
    </w:p>
    <w:p w14:paraId="4A420CA3" w14:textId="77777777" w:rsidR="00F10FC6" w:rsidRPr="00B17D7D" w:rsidRDefault="00F10FC6" w:rsidP="00F10FC6">
      <w:pPr>
        <w:tabs>
          <w:tab w:val="left" w:pos="1440"/>
          <w:tab w:val="left" w:pos="3060"/>
        </w:tabs>
        <w:jc w:val="center"/>
        <w:outlineLvl w:val="0"/>
        <w:rPr>
          <w:rFonts w:ascii="Arial" w:hAnsi="Arial" w:cs="Arial"/>
          <w:b/>
          <w:smallCaps/>
          <w:sz w:val="24"/>
          <w:szCs w:val="24"/>
          <w:lang w:val="es-ES"/>
        </w:rPr>
      </w:pPr>
      <w:bookmarkStart w:id="1" w:name="_Toc388249748"/>
      <w:r w:rsidRPr="00B17D7D">
        <w:rPr>
          <w:rFonts w:ascii="Arial" w:hAnsi="Arial" w:cs="Arial"/>
          <w:b/>
          <w:smallCaps/>
          <w:sz w:val="24"/>
          <w:szCs w:val="24"/>
          <w:lang w:val="es-ES"/>
        </w:rPr>
        <w:t>Análisis Económico</w:t>
      </w:r>
      <w:bookmarkEnd w:id="1"/>
    </w:p>
    <w:p w14:paraId="62EBAD9E" w14:textId="77777777" w:rsidR="00F10FC6" w:rsidRPr="00A84DC3" w:rsidRDefault="00F10FC6" w:rsidP="00093EF6">
      <w:pPr>
        <w:spacing w:after="100" w:afterAutospacing="1" w:line="240" w:lineRule="auto"/>
        <w:jc w:val="center"/>
        <w:rPr>
          <w:rFonts w:ascii="Arial" w:hAnsi="Arial" w:cs="Arial"/>
          <w:b/>
          <w:lang w:val="es-ES"/>
        </w:rPr>
      </w:pPr>
    </w:p>
    <w:p w14:paraId="06706F87" w14:textId="77777777" w:rsidR="00F902AC" w:rsidRPr="00A84DC3" w:rsidRDefault="00F902AC" w:rsidP="00F950A5">
      <w:pPr>
        <w:pStyle w:val="TOC3"/>
        <w:rPr>
          <w:lang w:val="es-ES"/>
        </w:rPr>
      </w:pPr>
    </w:p>
    <w:p w14:paraId="22733B74" w14:textId="77777777" w:rsidR="00F902AC" w:rsidRPr="00A84DC3" w:rsidRDefault="00F902AC" w:rsidP="00F902AC">
      <w:pPr>
        <w:rPr>
          <w:rFonts w:ascii="Arial" w:hAnsi="Arial" w:cs="Arial"/>
          <w:lang w:val="es-ES"/>
        </w:rPr>
      </w:pPr>
    </w:p>
    <w:p w14:paraId="39BC8777" w14:textId="77777777" w:rsidR="00D9415C" w:rsidRPr="00A84DC3" w:rsidRDefault="00D9415C" w:rsidP="0082724D">
      <w:pPr>
        <w:rPr>
          <w:rFonts w:ascii="Arial" w:hAnsi="Arial" w:cs="Arial"/>
          <w:lang w:val="es-ES"/>
        </w:rPr>
      </w:pPr>
      <w:bookmarkStart w:id="2" w:name="_Toc388249751"/>
      <w:bookmarkStart w:id="3" w:name="_Ref388349384"/>
    </w:p>
    <w:p w14:paraId="10A5AE29" w14:textId="77777777" w:rsidR="00DA3664" w:rsidRPr="00A84DC3" w:rsidRDefault="00DA3664" w:rsidP="00DA3664">
      <w:pPr>
        <w:jc w:val="center"/>
        <w:rPr>
          <w:rFonts w:ascii="Arial" w:hAnsi="Arial" w:cs="Arial"/>
          <w:b/>
          <w:lang w:val="es-ES"/>
        </w:rPr>
      </w:pPr>
    </w:p>
    <w:p w14:paraId="3F170AC6" w14:textId="77777777" w:rsidR="00D9415C" w:rsidRPr="00A84DC3" w:rsidRDefault="00D9415C" w:rsidP="00D9415C">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lang w:val="es-ES"/>
        </w:rPr>
      </w:pPr>
      <w:r w:rsidRPr="00A84DC3">
        <w:rPr>
          <w:rFonts w:ascii="Arial" w:hAnsi="Arial" w:cs="Arial"/>
          <w:lang w:val="es-ES"/>
        </w:rPr>
        <w:t>Este documento fue preparado por Francisco Demichelis (IFD/CMF), Jefe de Equipo; Diego Herrera (IFD/CMF); María Cabrera (IFD/CMF).</w:t>
      </w:r>
    </w:p>
    <w:p w14:paraId="72052A63" w14:textId="77777777" w:rsidR="00DA3664" w:rsidRPr="00A84DC3" w:rsidRDefault="00DA3664" w:rsidP="00DA3664">
      <w:pPr>
        <w:rPr>
          <w:rFonts w:ascii="Arial" w:hAnsi="Arial" w:cs="Arial"/>
          <w:b/>
          <w:lang w:val="es-ES"/>
        </w:rPr>
      </w:pPr>
    </w:p>
    <w:p w14:paraId="4B381DB6" w14:textId="77777777" w:rsidR="00DA3664" w:rsidRPr="00A84DC3" w:rsidRDefault="00DA3664" w:rsidP="00DA3664">
      <w:pPr>
        <w:rPr>
          <w:rFonts w:ascii="Arial" w:hAnsi="Arial" w:cs="Arial"/>
          <w:lang w:val="es-ES"/>
        </w:rPr>
      </w:pPr>
    </w:p>
    <w:p w14:paraId="42D8B1CC" w14:textId="77777777" w:rsidR="00997F7A" w:rsidRPr="00A84DC3" w:rsidRDefault="00997F7A" w:rsidP="0082724D">
      <w:pPr>
        <w:rPr>
          <w:rFonts w:ascii="Arial" w:hAnsi="Arial" w:cs="Arial"/>
          <w:lang w:val="es-ES"/>
        </w:rPr>
        <w:sectPr w:rsidR="00997F7A" w:rsidRPr="00A84DC3" w:rsidSect="00A84DC3">
          <w:headerReference w:type="default" r:id="rId8"/>
          <w:footerReference w:type="default" r:id="rId9"/>
          <w:footerReference w:type="first" r:id="rId10"/>
          <w:type w:val="continuous"/>
          <w:pgSz w:w="12242" w:h="15842" w:code="1"/>
          <w:pgMar w:top="1440" w:right="1800" w:bottom="1440" w:left="1800" w:header="720" w:footer="720" w:gutter="0"/>
          <w:cols w:space="708"/>
          <w:docGrid w:linePitch="360"/>
        </w:sectPr>
      </w:pPr>
    </w:p>
    <w:p w14:paraId="0E29C16B" w14:textId="77777777" w:rsidR="00997F7A" w:rsidRPr="00A84DC3" w:rsidRDefault="0086613E" w:rsidP="0086613E">
      <w:pPr>
        <w:jc w:val="center"/>
        <w:rPr>
          <w:rFonts w:ascii="Arial" w:hAnsi="Arial" w:cs="Arial"/>
          <w:b/>
          <w:smallCaps/>
          <w:lang w:val="es-ES"/>
        </w:rPr>
      </w:pPr>
      <w:r w:rsidRPr="00A84DC3">
        <w:rPr>
          <w:rFonts w:ascii="Arial" w:hAnsi="Arial" w:cs="Arial"/>
          <w:b/>
          <w:smallCaps/>
          <w:lang w:val="es-ES"/>
        </w:rPr>
        <w:lastRenderedPageBreak/>
        <w:t>CONTENIDO</w:t>
      </w:r>
    </w:p>
    <w:p w14:paraId="72EDE555" w14:textId="77777777" w:rsidR="007600B7" w:rsidRPr="00A84DC3" w:rsidRDefault="00997F7A">
      <w:pPr>
        <w:pStyle w:val="TOC1"/>
        <w:rPr>
          <w:rFonts w:ascii="Arial" w:hAnsi="Arial" w:cs="Arial"/>
          <w:b w:val="0"/>
          <w:smallCaps w:val="0"/>
          <w:sz w:val="22"/>
          <w:lang w:eastAsia="en-US"/>
        </w:rPr>
      </w:pPr>
      <w:r w:rsidRPr="00A84DC3">
        <w:rPr>
          <w:rFonts w:ascii="Arial" w:hAnsi="Arial" w:cs="Arial"/>
          <w:sz w:val="22"/>
          <w:lang w:val="es-ES"/>
        </w:rPr>
        <w:fldChar w:fldCharType="begin"/>
      </w:r>
      <w:r w:rsidRPr="00A84DC3">
        <w:rPr>
          <w:rFonts w:ascii="Arial" w:hAnsi="Arial" w:cs="Arial"/>
          <w:sz w:val="22"/>
          <w:lang w:val="es-ES"/>
        </w:rPr>
        <w:instrText xml:space="preserve"> TOC \f \t "Chapter,1,FirstHeading,2,SecHeading,3" </w:instrText>
      </w:r>
      <w:r w:rsidRPr="00A84DC3">
        <w:rPr>
          <w:rFonts w:ascii="Arial" w:hAnsi="Arial" w:cs="Arial"/>
          <w:sz w:val="22"/>
          <w:lang w:val="es-ES"/>
        </w:rPr>
        <w:fldChar w:fldCharType="separate"/>
      </w:r>
      <w:r w:rsidR="007600B7" w:rsidRPr="00A84DC3">
        <w:rPr>
          <w:rFonts w:ascii="Arial" w:hAnsi="Arial" w:cs="Arial"/>
          <w:color w:val="000000" w:themeColor="text1"/>
          <w:sz w:val="22"/>
          <w:lang w:val="es-ES"/>
        </w:rPr>
        <w:t>I.</w:t>
      </w:r>
      <w:r w:rsidR="007600B7" w:rsidRPr="00A84DC3">
        <w:rPr>
          <w:rFonts w:ascii="Arial" w:hAnsi="Arial" w:cs="Arial"/>
          <w:b w:val="0"/>
          <w:smallCaps w:val="0"/>
          <w:sz w:val="22"/>
          <w:lang w:eastAsia="en-US"/>
        </w:rPr>
        <w:tab/>
      </w:r>
      <w:r w:rsidR="007600B7" w:rsidRPr="00A84DC3">
        <w:rPr>
          <w:rFonts w:ascii="Arial" w:hAnsi="Arial" w:cs="Arial"/>
          <w:color w:val="000000" w:themeColor="text1"/>
          <w:sz w:val="22"/>
          <w:lang w:val="es-ES"/>
        </w:rPr>
        <w:t>Introducción</w:t>
      </w:r>
      <w:r w:rsidR="007600B7" w:rsidRPr="00A84DC3">
        <w:rPr>
          <w:rFonts w:ascii="Arial" w:hAnsi="Arial" w:cs="Arial"/>
          <w:sz w:val="22"/>
        </w:rPr>
        <w:tab/>
      </w:r>
      <w:r w:rsidR="007600B7" w:rsidRPr="00A84DC3">
        <w:rPr>
          <w:rFonts w:ascii="Arial" w:hAnsi="Arial" w:cs="Arial"/>
          <w:sz w:val="22"/>
        </w:rPr>
        <w:fldChar w:fldCharType="begin"/>
      </w:r>
      <w:r w:rsidR="007600B7" w:rsidRPr="00A84DC3">
        <w:rPr>
          <w:rFonts w:ascii="Arial" w:hAnsi="Arial" w:cs="Arial"/>
          <w:sz w:val="22"/>
        </w:rPr>
        <w:instrText xml:space="preserve"> PAGEREF _Toc492041893 \h </w:instrText>
      </w:r>
      <w:r w:rsidR="007600B7" w:rsidRPr="00A84DC3">
        <w:rPr>
          <w:rFonts w:ascii="Arial" w:hAnsi="Arial" w:cs="Arial"/>
          <w:sz w:val="22"/>
        </w:rPr>
      </w:r>
      <w:r w:rsidR="007600B7" w:rsidRPr="00A84DC3">
        <w:rPr>
          <w:rFonts w:ascii="Arial" w:hAnsi="Arial" w:cs="Arial"/>
          <w:sz w:val="22"/>
        </w:rPr>
        <w:fldChar w:fldCharType="separate"/>
      </w:r>
      <w:r w:rsidR="007600B7" w:rsidRPr="00A84DC3">
        <w:rPr>
          <w:rFonts w:ascii="Arial" w:hAnsi="Arial" w:cs="Arial"/>
          <w:sz w:val="22"/>
        </w:rPr>
        <w:t>1</w:t>
      </w:r>
      <w:r w:rsidR="007600B7" w:rsidRPr="00A84DC3">
        <w:rPr>
          <w:rFonts w:ascii="Arial" w:hAnsi="Arial" w:cs="Arial"/>
          <w:sz w:val="22"/>
        </w:rPr>
        <w:fldChar w:fldCharType="end"/>
      </w:r>
    </w:p>
    <w:p w14:paraId="2B83E850" w14:textId="77777777" w:rsidR="007600B7" w:rsidRPr="00A84DC3" w:rsidRDefault="007600B7">
      <w:pPr>
        <w:pStyle w:val="TOC1"/>
        <w:rPr>
          <w:rFonts w:ascii="Arial" w:hAnsi="Arial" w:cs="Arial"/>
          <w:b w:val="0"/>
          <w:smallCaps w:val="0"/>
          <w:sz w:val="22"/>
          <w:lang w:eastAsia="en-US"/>
        </w:rPr>
      </w:pPr>
      <w:r w:rsidRPr="00A84DC3">
        <w:rPr>
          <w:rFonts w:ascii="Arial" w:hAnsi="Arial" w:cs="Arial"/>
          <w:color w:val="000000" w:themeColor="text1"/>
          <w:sz w:val="22"/>
          <w:lang w:val="es-ES"/>
        </w:rPr>
        <w:t>II.</w:t>
      </w:r>
      <w:r w:rsidRPr="00A84DC3">
        <w:rPr>
          <w:rFonts w:ascii="Arial" w:hAnsi="Arial" w:cs="Arial"/>
          <w:b w:val="0"/>
          <w:smallCaps w:val="0"/>
          <w:sz w:val="22"/>
          <w:lang w:eastAsia="en-US"/>
        </w:rPr>
        <w:tab/>
      </w:r>
      <w:r w:rsidRPr="00A84DC3">
        <w:rPr>
          <w:rFonts w:ascii="Arial" w:hAnsi="Arial" w:cs="Arial"/>
          <w:color w:val="000000" w:themeColor="text1"/>
          <w:sz w:val="22"/>
          <w:lang w:val="es-ES"/>
        </w:rPr>
        <w:t>Metodología y Supuestos</w:t>
      </w:r>
      <w:r w:rsidRPr="00A84DC3">
        <w:rPr>
          <w:rFonts w:ascii="Arial" w:hAnsi="Arial" w:cs="Arial"/>
          <w:sz w:val="22"/>
        </w:rPr>
        <w:tab/>
      </w:r>
      <w:r w:rsidRPr="00A84DC3">
        <w:rPr>
          <w:rFonts w:ascii="Arial" w:hAnsi="Arial" w:cs="Arial"/>
          <w:sz w:val="22"/>
        </w:rPr>
        <w:fldChar w:fldCharType="begin"/>
      </w:r>
      <w:r w:rsidRPr="00A84DC3">
        <w:rPr>
          <w:rFonts w:ascii="Arial" w:hAnsi="Arial" w:cs="Arial"/>
          <w:sz w:val="22"/>
        </w:rPr>
        <w:instrText xml:space="preserve"> PAGEREF _Toc492041894 \h </w:instrText>
      </w:r>
      <w:r w:rsidRPr="00A84DC3">
        <w:rPr>
          <w:rFonts w:ascii="Arial" w:hAnsi="Arial" w:cs="Arial"/>
          <w:sz w:val="22"/>
        </w:rPr>
      </w:r>
      <w:r w:rsidRPr="00A84DC3">
        <w:rPr>
          <w:rFonts w:ascii="Arial" w:hAnsi="Arial" w:cs="Arial"/>
          <w:sz w:val="22"/>
        </w:rPr>
        <w:fldChar w:fldCharType="separate"/>
      </w:r>
      <w:r w:rsidRPr="00A84DC3">
        <w:rPr>
          <w:rFonts w:ascii="Arial" w:hAnsi="Arial" w:cs="Arial"/>
          <w:sz w:val="22"/>
        </w:rPr>
        <w:t>5</w:t>
      </w:r>
      <w:r w:rsidRPr="00A84DC3">
        <w:rPr>
          <w:rFonts w:ascii="Arial" w:hAnsi="Arial" w:cs="Arial"/>
          <w:sz w:val="22"/>
        </w:rPr>
        <w:fldChar w:fldCharType="end"/>
      </w:r>
    </w:p>
    <w:p w14:paraId="7E741768" w14:textId="77777777" w:rsidR="007600B7" w:rsidRPr="00A84DC3" w:rsidRDefault="007600B7">
      <w:pPr>
        <w:pStyle w:val="TOC2"/>
        <w:rPr>
          <w:rFonts w:ascii="Arial" w:hAnsi="Arial" w:cs="Arial"/>
          <w:noProof/>
          <w:sz w:val="22"/>
          <w:lang w:val="es-ES_tradnl" w:eastAsia="en-US"/>
        </w:rPr>
      </w:pPr>
      <w:r w:rsidRPr="00A84DC3">
        <w:rPr>
          <w:rFonts w:ascii="Arial" w:hAnsi="Arial" w:cs="Arial"/>
          <w:noProof/>
          <w:color w:val="000000" w:themeColor="text1"/>
          <w:sz w:val="22"/>
          <w:lang w:val="es-ES"/>
        </w:rPr>
        <w:t>A.</w:t>
      </w:r>
      <w:r w:rsidRPr="00A84DC3">
        <w:rPr>
          <w:rFonts w:ascii="Arial" w:hAnsi="Arial" w:cs="Arial"/>
          <w:noProof/>
          <w:sz w:val="22"/>
          <w:lang w:val="es-ES_tradnl" w:eastAsia="en-US"/>
        </w:rPr>
        <w:tab/>
      </w:r>
      <w:r w:rsidRPr="00A84DC3">
        <w:rPr>
          <w:rFonts w:ascii="Arial" w:hAnsi="Arial" w:cs="Arial"/>
          <w:noProof/>
          <w:color w:val="000000" w:themeColor="text1"/>
          <w:sz w:val="22"/>
          <w:lang w:val="es-ES"/>
        </w:rPr>
        <w:t>Metodología</w:t>
      </w:r>
      <w:r w:rsidRPr="00A84DC3">
        <w:rPr>
          <w:rFonts w:ascii="Arial" w:hAnsi="Arial" w:cs="Arial"/>
          <w:noProof/>
          <w:sz w:val="22"/>
          <w:lang w:val="es-ES_tradnl"/>
        </w:rPr>
        <w:tab/>
      </w:r>
      <w:r w:rsidRPr="00A84DC3">
        <w:rPr>
          <w:rFonts w:ascii="Arial" w:hAnsi="Arial" w:cs="Arial"/>
          <w:noProof/>
          <w:sz w:val="22"/>
        </w:rPr>
        <w:fldChar w:fldCharType="begin"/>
      </w:r>
      <w:r w:rsidRPr="00A84DC3">
        <w:rPr>
          <w:rFonts w:ascii="Arial" w:hAnsi="Arial" w:cs="Arial"/>
          <w:noProof/>
          <w:sz w:val="22"/>
          <w:lang w:val="es-ES_tradnl"/>
        </w:rPr>
        <w:instrText xml:space="preserve"> PAGEREF _Toc492041895 \h </w:instrText>
      </w:r>
      <w:r w:rsidRPr="00A84DC3">
        <w:rPr>
          <w:rFonts w:ascii="Arial" w:hAnsi="Arial" w:cs="Arial"/>
          <w:noProof/>
          <w:sz w:val="22"/>
        </w:rPr>
      </w:r>
      <w:r w:rsidRPr="00A84DC3">
        <w:rPr>
          <w:rFonts w:ascii="Arial" w:hAnsi="Arial" w:cs="Arial"/>
          <w:noProof/>
          <w:sz w:val="22"/>
        </w:rPr>
        <w:fldChar w:fldCharType="separate"/>
      </w:r>
      <w:r w:rsidRPr="00A84DC3">
        <w:rPr>
          <w:rFonts w:ascii="Arial" w:hAnsi="Arial" w:cs="Arial"/>
          <w:noProof/>
          <w:sz w:val="22"/>
          <w:lang w:val="es-ES_tradnl"/>
        </w:rPr>
        <w:t>5</w:t>
      </w:r>
      <w:r w:rsidRPr="00A84DC3">
        <w:rPr>
          <w:rFonts w:ascii="Arial" w:hAnsi="Arial" w:cs="Arial"/>
          <w:noProof/>
          <w:sz w:val="22"/>
        </w:rPr>
        <w:fldChar w:fldCharType="end"/>
      </w:r>
    </w:p>
    <w:p w14:paraId="0931B995" w14:textId="77777777" w:rsidR="007600B7" w:rsidRPr="00A84DC3" w:rsidRDefault="007600B7">
      <w:pPr>
        <w:pStyle w:val="TOC2"/>
        <w:rPr>
          <w:rFonts w:ascii="Arial" w:hAnsi="Arial" w:cs="Arial"/>
          <w:noProof/>
          <w:sz w:val="22"/>
          <w:lang w:val="es-ES_tradnl" w:eastAsia="en-US"/>
        </w:rPr>
      </w:pPr>
      <w:r w:rsidRPr="00A84DC3">
        <w:rPr>
          <w:rFonts w:ascii="Arial" w:hAnsi="Arial" w:cs="Arial"/>
          <w:noProof/>
          <w:color w:val="000000" w:themeColor="text1"/>
          <w:sz w:val="22"/>
          <w:lang w:val="es-ES"/>
        </w:rPr>
        <w:t>B.</w:t>
      </w:r>
      <w:r w:rsidRPr="00A84DC3">
        <w:rPr>
          <w:rFonts w:ascii="Arial" w:hAnsi="Arial" w:cs="Arial"/>
          <w:noProof/>
          <w:sz w:val="22"/>
          <w:lang w:val="es-ES_tradnl" w:eastAsia="en-US"/>
        </w:rPr>
        <w:tab/>
      </w:r>
      <w:r w:rsidRPr="00A84DC3">
        <w:rPr>
          <w:rFonts w:ascii="Arial" w:hAnsi="Arial" w:cs="Arial"/>
          <w:noProof/>
          <w:color w:val="000000" w:themeColor="text1"/>
          <w:sz w:val="22"/>
          <w:lang w:val="es-ES"/>
        </w:rPr>
        <w:t>Supuestos, parámetros, fuentes</w:t>
      </w:r>
      <w:r w:rsidRPr="00A84DC3">
        <w:rPr>
          <w:rFonts w:ascii="Arial" w:hAnsi="Arial" w:cs="Arial"/>
          <w:noProof/>
          <w:sz w:val="22"/>
          <w:lang w:val="es-ES_tradnl"/>
        </w:rPr>
        <w:tab/>
      </w:r>
      <w:r w:rsidRPr="00A84DC3">
        <w:rPr>
          <w:rFonts w:ascii="Arial" w:hAnsi="Arial" w:cs="Arial"/>
          <w:noProof/>
          <w:sz w:val="22"/>
        </w:rPr>
        <w:fldChar w:fldCharType="begin"/>
      </w:r>
      <w:r w:rsidRPr="00A84DC3">
        <w:rPr>
          <w:rFonts w:ascii="Arial" w:hAnsi="Arial" w:cs="Arial"/>
          <w:noProof/>
          <w:sz w:val="22"/>
          <w:lang w:val="es-ES_tradnl"/>
        </w:rPr>
        <w:instrText xml:space="preserve"> PAGEREF _Toc492041898 \h </w:instrText>
      </w:r>
      <w:r w:rsidRPr="00A84DC3">
        <w:rPr>
          <w:rFonts w:ascii="Arial" w:hAnsi="Arial" w:cs="Arial"/>
          <w:noProof/>
          <w:sz w:val="22"/>
        </w:rPr>
      </w:r>
      <w:r w:rsidRPr="00A84DC3">
        <w:rPr>
          <w:rFonts w:ascii="Arial" w:hAnsi="Arial" w:cs="Arial"/>
          <w:noProof/>
          <w:sz w:val="22"/>
        </w:rPr>
        <w:fldChar w:fldCharType="separate"/>
      </w:r>
      <w:r w:rsidRPr="00A84DC3">
        <w:rPr>
          <w:rFonts w:ascii="Arial" w:hAnsi="Arial" w:cs="Arial"/>
          <w:noProof/>
          <w:sz w:val="22"/>
          <w:lang w:val="es-ES_tradnl"/>
        </w:rPr>
        <w:t>7</w:t>
      </w:r>
      <w:r w:rsidRPr="00A84DC3">
        <w:rPr>
          <w:rFonts w:ascii="Arial" w:hAnsi="Arial" w:cs="Arial"/>
          <w:noProof/>
          <w:sz w:val="22"/>
        </w:rPr>
        <w:fldChar w:fldCharType="end"/>
      </w:r>
    </w:p>
    <w:p w14:paraId="53A92D2B" w14:textId="77777777" w:rsidR="007600B7" w:rsidRPr="00A84DC3" w:rsidRDefault="007600B7">
      <w:pPr>
        <w:pStyle w:val="TOC1"/>
        <w:rPr>
          <w:rFonts w:ascii="Arial" w:hAnsi="Arial" w:cs="Arial"/>
          <w:b w:val="0"/>
          <w:smallCaps w:val="0"/>
          <w:sz w:val="22"/>
          <w:lang w:eastAsia="en-US"/>
        </w:rPr>
      </w:pPr>
      <w:r w:rsidRPr="00A84DC3">
        <w:rPr>
          <w:rFonts w:ascii="Arial" w:hAnsi="Arial" w:cs="Arial"/>
          <w:color w:val="000000" w:themeColor="text1"/>
          <w:sz w:val="22"/>
          <w:lang w:val="es-ES"/>
        </w:rPr>
        <w:t>III.</w:t>
      </w:r>
      <w:r w:rsidRPr="00A84DC3">
        <w:rPr>
          <w:rFonts w:ascii="Arial" w:hAnsi="Arial" w:cs="Arial"/>
          <w:b w:val="0"/>
          <w:smallCaps w:val="0"/>
          <w:sz w:val="22"/>
          <w:lang w:eastAsia="en-US"/>
        </w:rPr>
        <w:tab/>
      </w:r>
      <w:r w:rsidRPr="00A84DC3">
        <w:rPr>
          <w:rFonts w:ascii="Arial" w:hAnsi="Arial" w:cs="Arial"/>
          <w:color w:val="000000" w:themeColor="text1"/>
          <w:sz w:val="22"/>
          <w:lang w:val="es-ES"/>
        </w:rPr>
        <w:t>Valoración del Beneficio Económico</w:t>
      </w:r>
      <w:r w:rsidRPr="00A84DC3">
        <w:rPr>
          <w:rFonts w:ascii="Arial" w:hAnsi="Arial" w:cs="Arial"/>
          <w:sz w:val="22"/>
        </w:rPr>
        <w:tab/>
      </w:r>
      <w:r w:rsidRPr="00A84DC3">
        <w:rPr>
          <w:rFonts w:ascii="Arial" w:hAnsi="Arial" w:cs="Arial"/>
          <w:sz w:val="22"/>
        </w:rPr>
        <w:fldChar w:fldCharType="begin"/>
      </w:r>
      <w:r w:rsidRPr="00A84DC3">
        <w:rPr>
          <w:rFonts w:ascii="Arial" w:hAnsi="Arial" w:cs="Arial"/>
          <w:sz w:val="22"/>
        </w:rPr>
        <w:instrText xml:space="preserve"> PAGEREF _Toc492041899 \h </w:instrText>
      </w:r>
      <w:r w:rsidRPr="00A84DC3">
        <w:rPr>
          <w:rFonts w:ascii="Arial" w:hAnsi="Arial" w:cs="Arial"/>
          <w:sz w:val="22"/>
        </w:rPr>
      </w:r>
      <w:r w:rsidRPr="00A84DC3">
        <w:rPr>
          <w:rFonts w:ascii="Arial" w:hAnsi="Arial" w:cs="Arial"/>
          <w:sz w:val="22"/>
        </w:rPr>
        <w:fldChar w:fldCharType="separate"/>
      </w:r>
      <w:r w:rsidRPr="00A84DC3">
        <w:rPr>
          <w:rFonts w:ascii="Arial" w:hAnsi="Arial" w:cs="Arial"/>
          <w:sz w:val="22"/>
        </w:rPr>
        <w:t>10</w:t>
      </w:r>
      <w:r w:rsidRPr="00A84DC3">
        <w:rPr>
          <w:rFonts w:ascii="Arial" w:hAnsi="Arial" w:cs="Arial"/>
          <w:sz w:val="22"/>
        </w:rPr>
        <w:fldChar w:fldCharType="end"/>
      </w:r>
    </w:p>
    <w:p w14:paraId="1C36B2A0" w14:textId="77777777" w:rsidR="007600B7" w:rsidRPr="00A84DC3" w:rsidRDefault="007600B7">
      <w:pPr>
        <w:pStyle w:val="TOC2"/>
        <w:rPr>
          <w:rFonts w:ascii="Arial" w:hAnsi="Arial" w:cs="Arial"/>
          <w:noProof/>
          <w:sz w:val="22"/>
          <w:lang w:val="es-ES_tradnl" w:eastAsia="en-US"/>
        </w:rPr>
      </w:pPr>
      <w:r w:rsidRPr="00A84DC3">
        <w:rPr>
          <w:rFonts w:ascii="Arial" w:hAnsi="Arial" w:cs="Arial"/>
          <w:noProof/>
          <w:color w:val="000000" w:themeColor="text1"/>
          <w:sz w:val="22"/>
          <w:lang w:val="es-ES"/>
        </w:rPr>
        <w:t>A. Inversiones en infraestructura para la integración.</w:t>
      </w:r>
      <w:r w:rsidRPr="00A84DC3">
        <w:rPr>
          <w:rFonts w:ascii="Arial" w:hAnsi="Arial" w:cs="Arial"/>
          <w:noProof/>
          <w:sz w:val="22"/>
          <w:lang w:val="es-ES_tradnl"/>
        </w:rPr>
        <w:tab/>
      </w:r>
      <w:r w:rsidRPr="00A84DC3">
        <w:rPr>
          <w:rFonts w:ascii="Arial" w:hAnsi="Arial" w:cs="Arial"/>
          <w:noProof/>
          <w:sz w:val="22"/>
        </w:rPr>
        <w:fldChar w:fldCharType="begin"/>
      </w:r>
      <w:r w:rsidRPr="00A84DC3">
        <w:rPr>
          <w:rFonts w:ascii="Arial" w:hAnsi="Arial" w:cs="Arial"/>
          <w:noProof/>
          <w:sz w:val="22"/>
          <w:lang w:val="es-ES_tradnl"/>
        </w:rPr>
        <w:instrText xml:space="preserve"> PAGEREF _Toc492041900 \h </w:instrText>
      </w:r>
      <w:r w:rsidRPr="00A84DC3">
        <w:rPr>
          <w:rFonts w:ascii="Arial" w:hAnsi="Arial" w:cs="Arial"/>
          <w:noProof/>
          <w:sz w:val="22"/>
        </w:rPr>
      </w:r>
      <w:r w:rsidRPr="00A84DC3">
        <w:rPr>
          <w:rFonts w:ascii="Arial" w:hAnsi="Arial" w:cs="Arial"/>
          <w:noProof/>
          <w:sz w:val="22"/>
        </w:rPr>
        <w:fldChar w:fldCharType="separate"/>
      </w:r>
      <w:r w:rsidRPr="00A84DC3">
        <w:rPr>
          <w:rFonts w:ascii="Arial" w:hAnsi="Arial" w:cs="Arial"/>
          <w:noProof/>
          <w:sz w:val="22"/>
          <w:lang w:val="es-ES_tradnl"/>
        </w:rPr>
        <w:t>10</w:t>
      </w:r>
      <w:r w:rsidRPr="00A84DC3">
        <w:rPr>
          <w:rFonts w:ascii="Arial" w:hAnsi="Arial" w:cs="Arial"/>
          <w:noProof/>
          <w:sz w:val="22"/>
        </w:rPr>
        <w:fldChar w:fldCharType="end"/>
      </w:r>
    </w:p>
    <w:p w14:paraId="796F5C18" w14:textId="77777777" w:rsidR="007600B7" w:rsidRPr="00A84DC3" w:rsidRDefault="007600B7">
      <w:pPr>
        <w:pStyle w:val="TOC2"/>
        <w:rPr>
          <w:rFonts w:ascii="Arial" w:hAnsi="Arial" w:cs="Arial"/>
          <w:noProof/>
          <w:sz w:val="22"/>
          <w:lang w:val="es-ES_tradnl" w:eastAsia="en-US"/>
        </w:rPr>
      </w:pPr>
      <w:r w:rsidRPr="00A84DC3">
        <w:rPr>
          <w:rFonts w:ascii="Arial" w:hAnsi="Arial" w:cs="Arial"/>
          <w:noProof/>
          <w:color w:val="000000" w:themeColor="text1"/>
          <w:sz w:val="22"/>
          <w:lang w:val="es-ES"/>
        </w:rPr>
        <w:t>B.</w:t>
      </w:r>
      <w:r w:rsidRPr="00A84DC3">
        <w:rPr>
          <w:rFonts w:ascii="Arial" w:hAnsi="Arial" w:cs="Arial"/>
          <w:noProof/>
          <w:sz w:val="22"/>
          <w:lang w:val="es-ES_tradnl" w:eastAsia="en-US"/>
        </w:rPr>
        <w:tab/>
      </w:r>
      <w:r w:rsidRPr="00A84DC3">
        <w:rPr>
          <w:rFonts w:ascii="Arial" w:hAnsi="Arial" w:cs="Arial"/>
          <w:noProof/>
          <w:color w:val="000000" w:themeColor="text1"/>
          <w:sz w:val="22"/>
          <w:lang w:val="es-ES"/>
        </w:rPr>
        <w:t>Apoyo al financiamiento productivo para MiPyMEs</w:t>
      </w:r>
      <w:r w:rsidRPr="00A84DC3">
        <w:rPr>
          <w:rFonts w:ascii="Arial" w:hAnsi="Arial" w:cs="Arial"/>
          <w:noProof/>
          <w:sz w:val="22"/>
          <w:lang w:val="es-ES_tradnl"/>
        </w:rPr>
        <w:tab/>
      </w:r>
      <w:r w:rsidRPr="00A84DC3">
        <w:rPr>
          <w:rFonts w:ascii="Arial" w:hAnsi="Arial" w:cs="Arial"/>
          <w:noProof/>
          <w:sz w:val="22"/>
        </w:rPr>
        <w:fldChar w:fldCharType="begin"/>
      </w:r>
      <w:r w:rsidRPr="00A84DC3">
        <w:rPr>
          <w:rFonts w:ascii="Arial" w:hAnsi="Arial" w:cs="Arial"/>
          <w:noProof/>
          <w:sz w:val="22"/>
          <w:lang w:val="es-ES_tradnl"/>
        </w:rPr>
        <w:instrText xml:space="preserve"> PAGEREF _Toc492041901 \h </w:instrText>
      </w:r>
      <w:r w:rsidRPr="00A84DC3">
        <w:rPr>
          <w:rFonts w:ascii="Arial" w:hAnsi="Arial" w:cs="Arial"/>
          <w:noProof/>
          <w:sz w:val="22"/>
        </w:rPr>
      </w:r>
      <w:r w:rsidRPr="00A84DC3">
        <w:rPr>
          <w:rFonts w:ascii="Arial" w:hAnsi="Arial" w:cs="Arial"/>
          <w:noProof/>
          <w:sz w:val="22"/>
        </w:rPr>
        <w:fldChar w:fldCharType="separate"/>
      </w:r>
      <w:r w:rsidRPr="00A84DC3">
        <w:rPr>
          <w:rFonts w:ascii="Arial" w:hAnsi="Arial" w:cs="Arial"/>
          <w:noProof/>
          <w:sz w:val="22"/>
          <w:lang w:val="es-ES_tradnl"/>
        </w:rPr>
        <w:t>13</w:t>
      </w:r>
      <w:r w:rsidRPr="00A84DC3">
        <w:rPr>
          <w:rFonts w:ascii="Arial" w:hAnsi="Arial" w:cs="Arial"/>
          <w:noProof/>
          <w:sz w:val="22"/>
        </w:rPr>
        <w:fldChar w:fldCharType="end"/>
      </w:r>
    </w:p>
    <w:p w14:paraId="402CF8DC" w14:textId="77777777" w:rsidR="007600B7" w:rsidRPr="00A84DC3" w:rsidRDefault="007600B7">
      <w:pPr>
        <w:pStyle w:val="TOC1"/>
        <w:rPr>
          <w:rFonts w:ascii="Arial" w:hAnsi="Arial" w:cs="Arial"/>
          <w:b w:val="0"/>
          <w:smallCaps w:val="0"/>
          <w:sz w:val="22"/>
          <w:lang w:eastAsia="en-US"/>
        </w:rPr>
      </w:pPr>
      <w:r w:rsidRPr="00A84DC3">
        <w:rPr>
          <w:rFonts w:ascii="Arial" w:hAnsi="Arial" w:cs="Arial"/>
          <w:color w:val="000000" w:themeColor="text1"/>
          <w:sz w:val="22"/>
          <w:lang w:val="es-ES"/>
        </w:rPr>
        <w:t>IV.</w:t>
      </w:r>
      <w:r w:rsidRPr="00A84DC3">
        <w:rPr>
          <w:rFonts w:ascii="Arial" w:hAnsi="Arial" w:cs="Arial"/>
          <w:b w:val="0"/>
          <w:smallCaps w:val="0"/>
          <w:sz w:val="22"/>
          <w:lang w:eastAsia="en-US"/>
        </w:rPr>
        <w:tab/>
      </w:r>
      <w:r w:rsidRPr="00A84DC3">
        <w:rPr>
          <w:rFonts w:ascii="Arial" w:hAnsi="Arial" w:cs="Arial"/>
          <w:color w:val="000000" w:themeColor="text1"/>
          <w:sz w:val="22"/>
          <w:lang w:val="es-ES"/>
        </w:rPr>
        <w:t>Análisis de Sensibilidad</w:t>
      </w:r>
      <w:r w:rsidRPr="00A84DC3">
        <w:rPr>
          <w:rFonts w:ascii="Arial" w:hAnsi="Arial" w:cs="Arial"/>
          <w:sz w:val="22"/>
        </w:rPr>
        <w:tab/>
      </w:r>
      <w:r w:rsidRPr="00A84DC3">
        <w:rPr>
          <w:rFonts w:ascii="Arial" w:hAnsi="Arial" w:cs="Arial"/>
          <w:sz w:val="22"/>
        </w:rPr>
        <w:fldChar w:fldCharType="begin"/>
      </w:r>
      <w:r w:rsidRPr="00A84DC3">
        <w:rPr>
          <w:rFonts w:ascii="Arial" w:hAnsi="Arial" w:cs="Arial"/>
          <w:sz w:val="22"/>
        </w:rPr>
        <w:instrText xml:space="preserve"> PAGEREF _Toc492041902 \h </w:instrText>
      </w:r>
      <w:r w:rsidRPr="00A84DC3">
        <w:rPr>
          <w:rFonts w:ascii="Arial" w:hAnsi="Arial" w:cs="Arial"/>
          <w:sz w:val="22"/>
        </w:rPr>
      </w:r>
      <w:r w:rsidRPr="00A84DC3">
        <w:rPr>
          <w:rFonts w:ascii="Arial" w:hAnsi="Arial" w:cs="Arial"/>
          <w:sz w:val="22"/>
        </w:rPr>
        <w:fldChar w:fldCharType="separate"/>
      </w:r>
      <w:r w:rsidRPr="00A84DC3">
        <w:rPr>
          <w:rFonts w:ascii="Arial" w:hAnsi="Arial" w:cs="Arial"/>
          <w:sz w:val="22"/>
        </w:rPr>
        <w:t>15</w:t>
      </w:r>
      <w:r w:rsidRPr="00A84DC3">
        <w:rPr>
          <w:rFonts w:ascii="Arial" w:hAnsi="Arial" w:cs="Arial"/>
          <w:sz w:val="22"/>
        </w:rPr>
        <w:fldChar w:fldCharType="end"/>
      </w:r>
    </w:p>
    <w:p w14:paraId="1853D861" w14:textId="77777777" w:rsidR="007600B7" w:rsidRPr="00A84DC3" w:rsidRDefault="007600B7">
      <w:pPr>
        <w:pStyle w:val="TOC2"/>
        <w:rPr>
          <w:rFonts w:ascii="Arial" w:hAnsi="Arial" w:cs="Arial"/>
          <w:noProof/>
          <w:sz w:val="22"/>
          <w:lang w:val="es-ES_tradnl" w:eastAsia="en-US"/>
        </w:rPr>
      </w:pPr>
      <w:r w:rsidRPr="00A84DC3">
        <w:rPr>
          <w:rFonts w:ascii="Arial" w:hAnsi="Arial" w:cs="Arial"/>
          <w:noProof/>
          <w:color w:val="000000" w:themeColor="text1"/>
          <w:sz w:val="22"/>
          <w:lang w:val="es-ES"/>
        </w:rPr>
        <w:t>A. Proyectos de inversión en infraestructura.</w:t>
      </w:r>
      <w:r w:rsidRPr="00A84DC3">
        <w:rPr>
          <w:rFonts w:ascii="Arial" w:hAnsi="Arial" w:cs="Arial"/>
          <w:noProof/>
          <w:sz w:val="22"/>
          <w:lang w:val="es-ES_tradnl"/>
        </w:rPr>
        <w:tab/>
      </w:r>
      <w:r w:rsidRPr="00A84DC3">
        <w:rPr>
          <w:rFonts w:ascii="Arial" w:hAnsi="Arial" w:cs="Arial"/>
          <w:noProof/>
          <w:sz w:val="22"/>
        </w:rPr>
        <w:fldChar w:fldCharType="begin"/>
      </w:r>
      <w:r w:rsidRPr="00A84DC3">
        <w:rPr>
          <w:rFonts w:ascii="Arial" w:hAnsi="Arial" w:cs="Arial"/>
          <w:noProof/>
          <w:sz w:val="22"/>
          <w:lang w:val="es-ES_tradnl"/>
        </w:rPr>
        <w:instrText xml:space="preserve"> PAGEREF _Toc492041903 \h </w:instrText>
      </w:r>
      <w:r w:rsidRPr="00A84DC3">
        <w:rPr>
          <w:rFonts w:ascii="Arial" w:hAnsi="Arial" w:cs="Arial"/>
          <w:noProof/>
          <w:sz w:val="22"/>
        </w:rPr>
      </w:r>
      <w:r w:rsidRPr="00A84DC3">
        <w:rPr>
          <w:rFonts w:ascii="Arial" w:hAnsi="Arial" w:cs="Arial"/>
          <w:noProof/>
          <w:sz w:val="22"/>
        </w:rPr>
        <w:fldChar w:fldCharType="separate"/>
      </w:r>
      <w:r w:rsidRPr="00A84DC3">
        <w:rPr>
          <w:rFonts w:ascii="Arial" w:hAnsi="Arial" w:cs="Arial"/>
          <w:noProof/>
          <w:sz w:val="22"/>
          <w:lang w:val="es-ES_tradnl"/>
        </w:rPr>
        <w:t>15</w:t>
      </w:r>
      <w:r w:rsidRPr="00A84DC3">
        <w:rPr>
          <w:rFonts w:ascii="Arial" w:hAnsi="Arial" w:cs="Arial"/>
          <w:noProof/>
          <w:sz w:val="22"/>
        </w:rPr>
        <w:fldChar w:fldCharType="end"/>
      </w:r>
    </w:p>
    <w:p w14:paraId="63A0CD83" w14:textId="77777777" w:rsidR="007600B7" w:rsidRPr="00A84DC3" w:rsidRDefault="007600B7">
      <w:pPr>
        <w:pStyle w:val="TOC2"/>
        <w:rPr>
          <w:rFonts w:ascii="Arial" w:hAnsi="Arial" w:cs="Arial"/>
          <w:noProof/>
          <w:sz w:val="22"/>
          <w:lang w:val="es-ES_tradnl" w:eastAsia="en-US"/>
        </w:rPr>
      </w:pPr>
      <w:r w:rsidRPr="00A84DC3">
        <w:rPr>
          <w:rFonts w:ascii="Arial" w:hAnsi="Arial" w:cs="Arial"/>
          <w:noProof/>
          <w:color w:val="000000" w:themeColor="text1"/>
          <w:sz w:val="22"/>
          <w:lang w:val="es-ES"/>
        </w:rPr>
        <w:t>B. Proyectos de apoyo al financiamiento productivo de MiPyMEs.</w:t>
      </w:r>
      <w:r w:rsidRPr="00A84DC3">
        <w:rPr>
          <w:rFonts w:ascii="Arial" w:hAnsi="Arial" w:cs="Arial"/>
          <w:noProof/>
          <w:sz w:val="22"/>
          <w:lang w:val="es-ES_tradnl"/>
        </w:rPr>
        <w:tab/>
      </w:r>
      <w:r w:rsidRPr="00A84DC3">
        <w:rPr>
          <w:rFonts w:ascii="Arial" w:hAnsi="Arial" w:cs="Arial"/>
          <w:noProof/>
          <w:sz w:val="22"/>
        </w:rPr>
        <w:fldChar w:fldCharType="begin"/>
      </w:r>
      <w:r w:rsidRPr="00A84DC3">
        <w:rPr>
          <w:rFonts w:ascii="Arial" w:hAnsi="Arial" w:cs="Arial"/>
          <w:noProof/>
          <w:sz w:val="22"/>
          <w:lang w:val="es-ES_tradnl"/>
        </w:rPr>
        <w:instrText xml:space="preserve"> PAGEREF _Toc492041904 \h </w:instrText>
      </w:r>
      <w:r w:rsidRPr="00A84DC3">
        <w:rPr>
          <w:rFonts w:ascii="Arial" w:hAnsi="Arial" w:cs="Arial"/>
          <w:noProof/>
          <w:sz w:val="22"/>
        </w:rPr>
      </w:r>
      <w:r w:rsidRPr="00A84DC3">
        <w:rPr>
          <w:rFonts w:ascii="Arial" w:hAnsi="Arial" w:cs="Arial"/>
          <w:noProof/>
          <w:sz w:val="22"/>
        </w:rPr>
        <w:fldChar w:fldCharType="separate"/>
      </w:r>
      <w:r w:rsidRPr="00A84DC3">
        <w:rPr>
          <w:rFonts w:ascii="Arial" w:hAnsi="Arial" w:cs="Arial"/>
          <w:noProof/>
          <w:sz w:val="22"/>
          <w:lang w:val="es-ES_tradnl"/>
        </w:rPr>
        <w:t>16</w:t>
      </w:r>
      <w:r w:rsidRPr="00A84DC3">
        <w:rPr>
          <w:rFonts w:ascii="Arial" w:hAnsi="Arial" w:cs="Arial"/>
          <w:noProof/>
          <w:sz w:val="22"/>
        </w:rPr>
        <w:fldChar w:fldCharType="end"/>
      </w:r>
    </w:p>
    <w:p w14:paraId="2AF91759" w14:textId="77777777" w:rsidR="007600B7" w:rsidRPr="00A84DC3" w:rsidRDefault="007600B7">
      <w:pPr>
        <w:pStyle w:val="TOC1"/>
        <w:rPr>
          <w:rFonts w:ascii="Arial" w:hAnsi="Arial" w:cs="Arial"/>
          <w:b w:val="0"/>
          <w:smallCaps w:val="0"/>
          <w:sz w:val="22"/>
          <w:lang w:val="pt-BR" w:eastAsia="en-US"/>
        </w:rPr>
      </w:pPr>
      <w:r w:rsidRPr="00A84DC3">
        <w:rPr>
          <w:rFonts w:ascii="Arial" w:hAnsi="Arial" w:cs="Arial"/>
          <w:color w:val="000000" w:themeColor="text1"/>
          <w:sz w:val="22"/>
          <w:lang w:val="pt-BR"/>
        </w:rPr>
        <w:t>V.</w:t>
      </w:r>
      <w:r w:rsidRPr="00A84DC3">
        <w:rPr>
          <w:rFonts w:ascii="Arial" w:hAnsi="Arial" w:cs="Arial"/>
          <w:b w:val="0"/>
          <w:smallCaps w:val="0"/>
          <w:sz w:val="22"/>
          <w:lang w:val="pt-BR" w:eastAsia="en-US"/>
        </w:rPr>
        <w:tab/>
      </w:r>
      <w:r w:rsidRPr="00A84DC3">
        <w:rPr>
          <w:rFonts w:ascii="Arial" w:hAnsi="Arial" w:cs="Arial"/>
          <w:color w:val="000000" w:themeColor="text1"/>
          <w:sz w:val="22"/>
          <w:lang w:val="pt-BR"/>
        </w:rPr>
        <w:t>Conclusiones</w:t>
      </w:r>
      <w:r w:rsidRPr="00A84DC3">
        <w:rPr>
          <w:rFonts w:ascii="Arial" w:hAnsi="Arial" w:cs="Arial"/>
          <w:sz w:val="22"/>
          <w:lang w:val="pt-BR"/>
        </w:rPr>
        <w:tab/>
      </w:r>
      <w:r w:rsidRPr="00A84DC3">
        <w:rPr>
          <w:rFonts w:ascii="Arial" w:hAnsi="Arial" w:cs="Arial"/>
          <w:sz w:val="22"/>
        </w:rPr>
        <w:fldChar w:fldCharType="begin"/>
      </w:r>
      <w:r w:rsidRPr="00A84DC3">
        <w:rPr>
          <w:rFonts w:ascii="Arial" w:hAnsi="Arial" w:cs="Arial"/>
          <w:sz w:val="22"/>
          <w:lang w:val="pt-BR"/>
        </w:rPr>
        <w:instrText xml:space="preserve"> PAGEREF _Toc492041905 \h </w:instrText>
      </w:r>
      <w:r w:rsidRPr="00A84DC3">
        <w:rPr>
          <w:rFonts w:ascii="Arial" w:hAnsi="Arial" w:cs="Arial"/>
          <w:sz w:val="22"/>
        </w:rPr>
      </w:r>
      <w:r w:rsidRPr="00A84DC3">
        <w:rPr>
          <w:rFonts w:ascii="Arial" w:hAnsi="Arial" w:cs="Arial"/>
          <w:sz w:val="22"/>
        </w:rPr>
        <w:fldChar w:fldCharType="separate"/>
      </w:r>
      <w:r w:rsidRPr="00A84DC3">
        <w:rPr>
          <w:rFonts w:ascii="Arial" w:hAnsi="Arial" w:cs="Arial"/>
          <w:sz w:val="22"/>
          <w:lang w:val="pt-BR"/>
        </w:rPr>
        <w:t>17</w:t>
      </w:r>
      <w:r w:rsidRPr="00A84DC3">
        <w:rPr>
          <w:rFonts w:ascii="Arial" w:hAnsi="Arial" w:cs="Arial"/>
          <w:sz w:val="22"/>
        </w:rPr>
        <w:fldChar w:fldCharType="end"/>
      </w:r>
    </w:p>
    <w:p w14:paraId="3101755E" w14:textId="77777777" w:rsidR="007600B7" w:rsidRPr="00A84DC3" w:rsidRDefault="007600B7">
      <w:pPr>
        <w:pStyle w:val="TOC1"/>
        <w:rPr>
          <w:rFonts w:ascii="Arial" w:hAnsi="Arial" w:cs="Arial"/>
          <w:b w:val="0"/>
          <w:smallCaps w:val="0"/>
          <w:sz w:val="22"/>
          <w:lang w:val="pt-BR" w:eastAsia="en-US"/>
        </w:rPr>
      </w:pPr>
      <w:r w:rsidRPr="00A84DC3">
        <w:rPr>
          <w:rFonts w:ascii="Arial" w:hAnsi="Arial" w:cs="Arial"/>
          <w:color w:val="000000" w:themeColor="text1"/>
          <w:sz w:val="22"/>
          <w:lang w:val="pt-BR"/>
        </w:rPr>
        <w:t>VI.</w:t>
      </w:r>
      <w:r w:rsidRPr="00A84DC3">
        <w:rPr>
          <w:rFonts w:ascii="Arial" w:hAnsi="Arial" w:cs="Arial"/>
          <w:b w:val="0"/>
          <w:smallCaps w:val="0"/>
          <w:sz w:val="22"/>
          <w:lang w:val="pt-BR" w:eastAsia="en-US"/>
        </w:rPr>
        <w:tab/>
      </w:r>
      <w:r w:rsidRPr="00A84DC3">
        <w:rPr>
          <w:rFonts w:ascii="Arial" w:hAnsi="Arial" w:cs="Arial"/>
          <w:color w:val="000000" w:themeColor="text1"/>
          <w:sz w:val="22"/>
          <w:lang w:val="pt-BR"/>
        </w:rPr>
        <w:t>Anexo I</w:t>
      </w:r>
      <w:r w:rsidRPr="00A84DC3">
        <w:rPr>
          <w:rFonts w:ascii="Arial" w:hAnsi="Arial" w:cs="Arial"/>
          <w:sz w:val="22"/>
          <w:lang w:val="pt-BR"/>
        </w:rPr>
        <w:tab/>
      </w:r>
      <w:r w:rsidRPr="00A84DC3">
        <w:rPr>
          <w:rFonts w:ascii="Arial" w:hAnsi="Arial" w:cs="Arial"/>
          <w:sz w:val="22"/>
        </w:rPr>
        <w:fldChar w:fldCharType="begin"/>
      </w:r>
      <w:r w:rsidRPr="00A84DC3">
        <w:rPr>
          <w:rFonts w:ascii="Arial" w:hAnsi="Arial" w:cs="Arial"/>
          <w:sz w:val="22"/>
          <w:lang w:val="pt-BR"/>
        </w:rPr>
        <w:instrText xml:space="preserve"> PAGEREF _Toc492041906 \h </w:instrText>
      </w:r>
      <w:r w:rsidRPr="00A84DC3">
        <w:rPr>
          <w:rFonts w:ascii="Arial" w:hAnsi="Arial" w:cs="Arial"/>
          <w:sz w:val="22"/>
        </w:rPr>
      </w:r>
      <w:r w:rsidRPr="00A84DC3">
        <w:rPr>
          <w:rFonts w:ascii="Arial" w:hAnsi="Arial" w:cs="Arial"/>
          <w:sz w:val="22"/>
        </w:rPr>
        <w:fldChar w:fldCharType="separate"/>
      </w:r>
      <w:r w:rsidRPr="00A84DC3">
        <w:rPr>
          <w:rFonts w:ascii="Arial" w:hAnsi="Arial" w:cs="Arial"/>
          <w:sz w:val="22"/>
          <w:lang w:val="pt-BR"/>
        </w:rPr>
        <w:t>18</w:t>
      </w:r>
      <w:r w:rsidRPr="00A84DC3">
        <w:rPr>
          <w:rFonts w:ascii="Arial" w:hAnsi="Arial" w:cs="Arial"/>
          <w:sz w:val="22"/>
        </w:rPr>
        <w:fldChar w:fldCharType="end"/>
      </w:r>
    </w:p>
    <w:p w14:paraId="20006E4B" w14:textId="77777777" w:rsidR="0086613E" w:rsidRPr="00A84DC3" w:rsidRDefault="00997F7A" w:rsidP="00F950A5">
      <w:pPr>
        <w:pStyle w:val="TOC3"/>
        <w:rPr>
          <w:lang w:val="pt-BR"/>
        </w:rPr>
      </w:pPr>
      <w:r w:rsidRPr="00A84DC3">
        <w:rPr>
          <w:lang w:val="es-ES"/>
        </w:rPr>
        <w:fldChar w:fldCharType="end"/>
      </w:r>
    </w:p>
    <w:p w14:paraId="4B93F03D" w14:textId="77777777" w:rsidR="0086613E" w:rsidRPr="00A84DC3" w:rsidRDefault="0086613E" w:rsidP="00F950A5">
      <w:pPr>
        <w:pStyle w:val="TOC3"/>
        <w:rPr>
          <w:lang w:val="es-ES"/>
        </w:rPr>
      </w:pPr>
      <w:r w:rsidRPr="00A84DC3">
        <w:rPr>
          <w:lang w:val="pt-BR"/>
        </w:rPr>
        <w:tab/>
      </w:r>
      <w:r w:rsidR="00725902" w:rsidRPr="00A84DC3">
        <w:rPr>
          <w:lang w:val="es-ES"/>
        </w:rPr>
        <w:t>ANEXO I</w:t>
      </w:r>
    </w:p>
    <w:p w14:paraId="05742875" w14:textId="77777777" w:rsidR="002B2976" w:rsidRPr="00A84DC3" w:rsidRDefault="002B2976" w:rsidP="001D1187">
      <w:pPr>
        <w:rPr>
          <w:rFonts w:ascii="Arial" w:hAnsi="Arial" w:cs="Arial"/>
          <w:lang w:val="es-ES" w:eastAsia="ja-JP"/>
        </w:rPr>
        <w:sectPr w:rsidR="002B2976" w:rsidRPr="00A84DC3" w:rsidSect="00A84DC3">
          <w:footerReference w:type="default" r:id="rId11"/>
          <w:footerReference w:type="first" r:id="rId12"/>
          <w:pgSz w:w="12242" w:h="15842" w:code="1"/>
          <w:pgMar w:top="1440" w:right="1800" w:bottom="1440" w:left="1800" w:header="720" w:footer="720" w:gutter="0"/>
          <w:pgNumType w:start="0"/>
          <w:cols w:space="708"/>
          <w:titlePg/>
          <w:docGrid w:linePitch="360"/>
        </w:sectPr>
      </w:pPr>
    </w:p>
    <w:p w14:paraId="5440D13E" w14:textId="77777777" w:rsidR="0082724D" w:rsidRPr="00A84DC3" w:rsidRDefault="0082724D" w:rsidP="002B2976">
      <w:pPr>
        <w:spacing w:after="0"/>
        <w:rPr>
          <w:rFonts w:ascii="Arial" w:hAnsi="Arial" w:cs="Arial"/>
          <w:lang w:val="es-ES"/>
        </w:rPr>
        <w:sectPr w:rsidR="0082724D" w:rsidRPr="00A84DC3" w:rsidSect="00A84DC3">
          <w:footerReference w:type="first" r:id="rId13"/>
          <w:pgSz w:w="12242" w:h="15842" w:code="1"/>
          <w:pgMar w:top="1440" w:right="1800" w:bottom="1440" w:left="1800" w:header="720" w:footer="720" w:gutter="0"/>
          <w:cols w:space="708"/>
          <w:titlePg/>
          <w:docGrid w:linePitch="360"/>
        </w:sectPr>
      </w:pPr>
    </w:p>
    <w:p w14:paraId="55A80EF7" w14:textId="77777777" w:rsidR="00F10FC6" w:rsidRPr="00A84DC3" w:rsidRDefault="00F10FC6" w:rsidP="00244828">
      <w:pPr>
        <w:pStyle w:val="Chapter"/>
        <w:spacing w:before="0" w:after="120"/>
        <w:ind w:left="720"/>
        <w:rPr>
          <w:rFonts w:ascii="Arial" w:hAnsi="Arial" w:cs="Arial"/>
          <w:color w:val="000000" w:themeColor="text1"/>
          <w:szCs w:val="24"/>
          <w:lang w:val="es-ES"/>
        </w:rPr>
      </w:pPr>
      <w:bookmarkStart w:id="4" w:name="_Toc492041893"/>
      <w:r w:rsidRPr="00A84DC3">
        <w:rPr>
          <w:rFonts w:ascii="Arial" w:hAnsi="Arial" w:cs="Arial"/>
          <w:color w:val="000000" w:themeColor="text1"/>
          <w:szCs w:val="24"/>
          <w:lang w:val="es-ES"/>
        </w:rPr>
        <w:t>Introducción</w:t>
      </w:r>
      <w:bookmarkEnd w:id="2"/>
      <w:bookmarkEnd w:id="3"/>
      <w:bookmarkEnd w:id="4"/>
    </w:p>
    <w:p w14:paraId="2B52F299" w14:textId="4441E854" w:rsidR="006526F3" w:rsidRPr="00A84DC3" w:rsidRDefault="006526F3" w:rsidP="00A84DC3">
      <w:pPr>
        <w:pStyle w:val="ListParagraph"/>
        <w:numPr>
          <w:ilvl w:val="1"/>
          <w:numId w:val="4"/>
        </w:numPr>
        <w:tabs>
          <w:tab w:val="clear" w:pos="2448"/>
          <w:tab w:val="num" w:pos="1170"/>
        </w:tabs>
        <w:spacing w:before="120" w:after="120" w:line="240" w:lineRule="auto"/>
        <w:ind w:left="720" w:hanging="720"/>
        <w:contextualSpacing w:val="0"/>
        <w:jc w:val="both"/>
        <w:rPr>
          <w:rFonts w:ascii="Arial" w:eastAsia="Times New Roman" w:hAnsi="Arial" w:cs="Arial"/>
          <w:b/>
          <w:lang w:val="es-ES"/>
        </w:rPr>
      </w:pPr>
      <w:r w:rsidRPr="00A84DC3">
        <w:rPr>
          <w:rFonts w:ascii="Arial" w:eastAsia="Times New Roman" w:hAnsi="Arial" w:cs="Arial"/>
          <w:b/>
          <w:lang w:val="es-ES"/>
        </w:rPr>
        <w:t xml:space="preserve">Cuenca del Río de la Plata: Zona de integración regional. </w:t>
      </w:r>
      <w:r w:rsidR="002C6F48" w:rsidRPr="00A84DC3">
        <w:rPr>
          <w:rFonts w:ascii="Arial" w:eastAsia="Times New Roman" w:hAnsi="Arial" w:cs="Arial"/>
          <w:lang w:val="es-ES"/>
        </w:rPr>
        <w:t xml:space="preserve">La Cuenca del Río de la Plata, </w:t>
      </w:r>
      <w:r w:rsidRPr="00A84DC3">
        <w:rPr>
          <w:rFonts w:ascii="Arial" w:eastAsia="Times New Roman" w:hAnsi="Arial" w:cs="Arial"/>
          <w:lang w:val="es-ES"/>
        </w:rPr>
        <w:t>segunda cuenca hidrográfica más ext</w:t>
      </w:r>
      <w:r w:rsidR="002C6F48" w:rsidRPr="00A84DC3">
        <w:rPr>
          <w:rFonts w:ascii="Arial" w:eastAsia="Times New Roman" w:hAnsi="Arial" w:cs="Arial"/>
          <w:lang w:val="es-ES"/>
        </w:rPr>
        <w:t xml:space="preserve">ensa de América </w:t>
      </w:r>
      <w:r w:rsidR="00A84DC3" w:rsidRPr="00A84DC3">
        <w:rPr>
          <w:rFonts w:ascii="Arial" w:eastAsia="Times New Roman" w:hAnsi="Arial" w:cs="Arial"/>
          <w:lang w:val="es-ES"/>
        </w:rPr>
        <w:t>Latina</w:t>
      </w:r>
      <w:r w:rsidR="002C6F48" w:rsidRPr="00A84DC3">
        <w:rPr>
          <w:rFonts w:ascii="Arial" w:eastAsia="Times New Roman" w:hAnsi="Arial" w:cs="Arial"/>
          <w:lang w:val="es-ES"/>
        </w:rPr>
        <w:t xml:space="preserve"> abarca</w:t>
      </w:r>
      <w:r w:rsidRPr="00A84DC3">
        <w:rPr>
          <w:rFonts w:ascii="Arial" w:eastAsia="Times New Roman" w:hAnsi="Arial" w:cs="Arial"/>
          <w:lang w:val="es-ES"/>
        </w:rPr>
        <w:t xml:space="preserve"> 3,2 millones de Km</w:t>
      </w:r>
      <w:r w:rsidRPr="00A84DC3">
        <w:rPr>
          <w:rFonts w:ascii="Arial" w:eastAsia="Times New Roman" w:hAnsi="Arial" w:cs="Arial"/>
          <w:vertAlign w:val="superscript"/>
          <w:lang w:val="es-ES"/>
        </w:rPr>
        <w:t>2</w:t>
      </w:r>
      <w:r w:rsidRPr="00A84DC3">
        <w:rPr>
          <w:rFonts w:ascii="Arial" w:eastAsia="Times New Roman" w:hAnsi="Arial" w:cs="Arial"/>
          <w:lang w:val="es-ES"/>
        </w:rPr>
        <w:t xml:space="preserve"> en los territorios de Argentina, Bolivia, Brasil, Paraguay y Uruguay. </w:t>
      </w:r>
      <w:r w:rsidR="002C6F48" w:rsidRPr="00A84DC3">
        <w:rPr>
          <w:rFonts w:ascii="Arial" w:eastAsia="Times New Roman" w:hAnsi="Arial" w:cs="Arial"/>
          <w:lang w:val="es-ES"/>
        </w:rPr>
        <w:t xml:space="preserve">Dentro de esta área se reúne una población </w:t>
      </w:r>
      <w:r w:rsidRPr="00A84DC3">
        <w:rPr>
          <w:rFonts w:ascii="Arial" w:eastAsia="Times New Roman" w:hAnsi="Arial" w:cs="Arial"/>
          <w:lang w:val="es-ES"/>
        </w:rPr>
        <w:t>de más de 130 millones de habitantes, 57 ciudades con más de 100,000 habitantes y una economía que representa el 70% del Producto Interno Bruto (PIB)  de los cinco países integrantes</w:t>
      </w:r>
      <w:r w:rsidR="002C6F48" w:rsidRPr="00A84DC3">
        <w:rPr>
          <w:rFonts w:ascii="Arial" w:eastAsia="Times New Roman" w:hAnsi="Arial" w:cs="Arial"/>
          <w:lang w:val="es-ES"/>
        </w:rPr>
        <w:t>.</w:t>
      </w:r>
      <w:r w:rsidR="002C6F48" w:rsidRPr="00A84DC3">
        <w:rPr>
          <w:rStyle w:val="FootnoteReference"/>
          <w:rFonts w:ascii="Arial" w:eastAsia="Times New Roman" w:hAnsi="Arial" w:cs="Arial"/>
          <w:lang w:val="es-ES"/>
        </w:rPr>
        <w:footnoteReference w:id="2"/>
      </w:r>
      <w:r w:rsidR="002C6F48" w:rsidRPr="00A84DC3">
        <w:rPr>
          <w:rFonts w:ascii="Arial" w:eastAsia="Times New Roman" w:hAnsi="Arial" w:cs="Arial"/>
          <w:lang w:val="es-ES"/>
        </w:rPr>
        <w:t xml:space="preserve"> </w:t>
      </w:r>
      <w:r w:rsidRPr="00A84DC3">
        <w:rPr>
          <w:rFonts w:ascii="Arial" w:eastAsia="Times New Roman" w:hAnsi="Arial" w:cs="Arial"/>
          <w:lang w:val="es-ES"/>
        </w:rPr>
        <w:t>Las principales actividades económicas a lo largo de la Cuenca pertenecen al sector primario</w:t>
      </w:r>
      <w:r w:rsidR="002C6F48" w:rsidRPr="00A84DC3">
        <w:rPr>
          <w:rFonts w:ascii="Arial" w:eastAsia="Times New Roman" w:hAnsi="Arial" w:cs="Arial"/>
          <w:lang w:val="es-ES"/>
        </w:rPr>
        <w:t>, a la producción agroindustrial y a</w:t>
      </w:r>
      <w:r w:rsidRPr="00A84DC3">
        <w:rPr>
          <w:rFonts w:ascii="Arial" w:eastAsia="Times New Roman" w:hAnsi="Arial" w:cs="Arial"/>
          <w:lang w:val="es-ES"/>
        </w:rPr>
        <w:t>l comercio</w:t>
      </w:r>
      <w:r w:rsidR="002C6F48" w:rsidRPr="00A84DC3">
        <w:rPr>
          <w:rFonts w:ascii="Arial" w:eastAsia="Times New Roman" w:hAnsi="Arial" w:cs="Arial"/>
          <w:lang w:val="es-ES"/>
        </w:rPr>
        <w:t>.</w:t>
      </w:r>
      <w:r w:rsidR="002C6F48" w:rsidRPr="00A84DC3">
        <w:rPr>
          <w:rStyle w:val="FootnoteReference"/>
          <w:rFonts w:ascii="Arial" w:eastAsia="Times New Roman" w:hAnsi="Arial" w:cs="Arial"/>
          <w:lang w:val="es-ES"/>
        </w:rPr>
        <w:footnoteReference w:id="3"/>
      </w:r>
      <w:r w:rsidRPr="00A84DC3">
        <w:rPr>
          <w:rFonts w:ascii="Arial" w:eastAsia="Times New Roman" w:hAnsi="Arial" w:cs="Arial"/>
          <w:lang w:val="es-ES"/>
        </w:rPr>
        <w:t xml:space="preserve"> La Cuenca integra a los cinco países</w:t>
      </w:r>
      <w:r w:rsidR="002C6F48" w:rsidRPr="00A84DC3">
        <w:rPr>
          <w:rFonts w:ascii="Arial" w:eastAsia="Times New Roman" w:hAnsi="Arial" w:cs="Arial"/>
          <w:lang w:val="es-ES"/>
        </w:rPr>
        <w:t xml:space="preserve"> a través de sus</w:t>
      </w:r>
      <w:r w:rsidRPr="00A84DC3">
        <w:rPr>
          <w:rFonts w:ascii="Arial" w:eastAsia="Times New Roman" w:hAnsi="Arial" w:cs="Arial"/>
          <w:lang w:val="es-ES"/>
        </w:rPr>
        <w:t xml:space="preserve"> corredores y zonas fronterizas en los que comparten</w:t>
      </w:r>
      <w:r w:rsidR="002C6F48" w:rsidRPr="00A84DC3">
        <w:rPr>
          <w:rFonts w:ascii="Arial" w:eastAsia="Times New Roman" w:hAnsi="Arial" w:cs="Arial"/>
          <w:lang w:val="es-ES"/>
        </w:rPr>
        <w:t xml:space="preserve">, junto con los ecosistemas naturales, infraestructuras básicas como </w:t>
      </w:r>
      <w:r w:rsidRPr="00A84DC3">
        <w:rPr>
          <w:rFonts w:ascii="Arial" w:eastAsia="Times New Roman" w:hAnsi="Arial" w:cs="Arial"/>
          <w:lang w:val="es-ES"/>
        </w:rPr>
        <w:t>redes de energía, trans</w:t>
      </w:r>
      <w:r w:rsidR="002C6F48" w:rsidRPr="00A84DC3">
        <w:rPr>
          <w:rFonts w:ascii="Arial" w:eastAsia="Times New Roman" w:hAnsi="Arial" w:cs="Arial"/>
          <w:lang w:val="es-ES"/>
        </w:rPr>
        <w:t>porte y comunicación, entre otra</w:t>
      </w:r>
      <w:r w:rsidRPr="00A84DC3">
        <w:rPr>
          <w:rFonts w:ascii="Arial" w:eastAsia="Times New Roman" w:hAnsi="Arial" w:cs="Arial"/>
          <w:lang w:val="es-ES"/>
        </w:rPr>
        <w:t>s. Además del aspecto físico, en la cuenca se establecen fuertes lazos culturales, sociales e históricos donde se erigen corredores de integración social y económica.</w:t>
      </w:r>
      <w:r w:rsidRPr="00A84DC3">
        <w:rPr>
          <w:rFonts w:ascii="Arial" w:eastAsia="Times New Roman" w:hAnsi="Arial" w:cs="Arial"/>
          <w:b/>
          <w:lang w:val="es-ES"/>
        </w:rPr>
        <w:t xml:space="preserve"> </w:t>
      </w:r>
    </w:p>
    <w:p w14:paraId="28319B65" w14:textId="77777777" w:rsidR="00ED76F9" w:rsidRPr="00A84DC3" w:rsidRDefault="002C6F48" w:rsidP="00A84DC3">
      <w:pPr>
        <w:pStyle w:val="ListParagraph"/>
        <w:numPr>
          <w:ilvl w:val="1"/>
          <w:numId w:val="4"/>
        </w:numPr>
        <w:tabs>
          <w:tab w:val="clear" w:pos="2448"/>
          <w:tab w:val="num" w:pos="1170"/>
        </w:tabs>
        <w:spacing w:before="120" w:after="120" w:line="240" w:lineRule="auto"/>
        <w:ind w:left="720" w:hanging="720"/>
        <w:contextualSpacing w:val="0"/>
        <w:jc w:val="both"/>
        <w:rPr>
          <w:rFonts w:ascii="Arial" w:eastAsia="Times New Roman" w:hAnsi="Arial" w:cs="Arial"/>
          <w:lang w:val="es-ES"/>
        </w:rPr>
      </w:pPr>
      <w:r w:rsidRPr="00A84DC3">
        <w:rPr>
          <w:rFonts w:ascii="Arial" w:eastAsia="Times New Roman" w:hAnsi="Arial" w:cs="Arial"/>
          <w:b/>
          <w:lang w:val="es-ES"/>
        </w:rPr>
        <w:t xml:space="preserve">Deficiencias y asimetrías para la integración. </w:t>
      </w:r>
      <w:r w:rsidRPr="00A84DC3">
        <w:rPr>
          <w:rFonts w:ascii="Arial" w:eastAsia="Times New Roman" w:hAnsi="Arial" w:cs="Arial"/>
          <w:lang w:val="es-ES"/>
        </w:rPr>
        <w:t xml:space="preserve">La Cuenca ofrece oportunidades de integración regional que permitirían generar beneficios económicos y sociales multinacionales, potenciándola como un mercado subregional, contribuyendo sobre todo a reducir la heterogeneidad y asimetrías de desarrollo en sectores como infraestructura, que se manifiestan en las </w:t>
      </w:r>
      <w:r w:rsidR="0072093A" w:rsidRPr="00A84DC3">
        <w:rPr>
          <w:rFonts w:ascii="Arial" w:eastAsia="Times New Roman" w:hAnsi="Arial" w:cs="Arial"/>
          <w:lang w:val="es-ES"/>
        </w:rPr>
        <w:t>zonas fronterizas de la cuenca. En este sentido, los limitantes más relevantes desde una perspectiva de integración económica y comercio regional vienen del lado de la conectividad logística y de infraestructura, considerados indispensables para incrementar la productividad, crecimiento y, por ende, competitividad de los países. En este sentido, si bien los indicadores internacionales señalan unos bajos niveles de cantidad y calidad de la infraestructura para toda la región de América Latina y el Caribe, esos mismos datos apunta</w:t>
      </w:r>
      <w:r w:rsidR="00AC4DB3" w:rsidRPr="00A84DC3">
        <w:rPr>
          <w:rFonts w:ascii="Arial" w:eastAsia="Times New Roman" w:hAnsi="Arial" w:cs="Arial"/>
          <w:lang w:val="es-ES"/>
        </w:rPr>
        <w:t>n</w:t>
      </w:r>
      <w:r w:rsidR="0072093A" w:rsidRPr="00A84DC3">
        <w:rPr>
          <w:rFonts w:ascii="Arial" w:eastAsia="Times New Roman" w:hAnsi="Arial" w:cs="Arial"/>
          <w:lang w:val="es-ES"/>
        </w:rPr>
        <w:t xml:space="preserve"> a profundas asimetrías intrarregionales que son también marcadas para el caso de los países de la Cuenca. Así pues, el </w:t>
      </w:r>
      <w:r w:rsidR="0072093A" w:rsidRPr="00A84DC3">
        <w:rPr>
          <w:rFonts w:ascii="Arial" w:eastAsia="Times New Roman" w:hAnsi="Arial" w:cs="Arial"/>
          <w:i/>
          <w:lang w:val="es-ES"/>
        </w:rPr>
        <w:t>Logist</w:t>
      </w:r>
      <w:r w:rsidR="00ED76F9" w:rsidRPr="00A84DC3">
        <w:rPr>
          <w:rFonts w:ascii="Arial" w:eastAsia="Times New Roman" w:hAnsi="Arial" w:cs="Arial"/>
          <w:i/>
          <w:lang w:val="es-ES"/>
        </w:rPr>
        <w:t>i</w:t>
      </w:r>
      <w:r w:rsidR="0072093A" w:rsidRPr="00A84DC3">
        <w:rPr>
          <w:rFonts w:ascii="Arial" w:eastAsia="Times New Roman" w:hAnsi="Arial" w:cs="Arial"/>
          <w:i/>
          <w:lang w:val="es-ES"/>
        </w:rPr>
        <w:t xml:space="preserve">cs </w:t>
      </w:r>
      <w:r w:rsidR="00ED76F9" w:rsidRPr="00A84DC3">
        <w:rPr>
          <w:rFonts w:ascii="Arial" w:eastAsia="Times New Roman" w:hAnsi="Arial" w:cs="Arial"/>
          <w:i/>
          <w:lang w:val="es-ES"/>
        </w:rPr>
        <w:t>Performance</w:t>
      </w:r>
      <w:r w:rsidR="0072093A" w:rsidRPr="00A84DC3">
        <w:rPr>
          <w:rFonts w:ascii="Arial" w:eastAsia="Times New Roman" w:hAnsi="Arial" w:cs="Arial"/>
          <w:i/>
          <w:lang w:val="es-ES"/>
        </w:rPr>
        <w:t xml:space="preserve"> Index</w:t>
      </w:r>
      <w:r w:rsidR="0072093A" w:rsidRPr="00A84DC3">
        <w:rPr>
          <w:rFonts w:ascii="Arial" w:eastAsia="Times New Roman" w:hAnsi="Arial" w:cs="Arial"/>
          <w:lang w:val="es-ES"/>
        </w:rPr>
        <w:t xml:space="preserve"> (LPI) del Banco Mundial, muestra en su última edición de 2017 una significativa dispersión con Brasil puntuando en el cuartil más alto, Argentina y Uruguay dentro del segundo cuartil y Paraguay y Bolivia encuadrados dentro del tercer y cuarto cuartil respectivamente.</w:t>
      </w:r>
      <w:r w:rsidR="00AC4DB3" w:rsidRPr="00A84DC3">
        <w:rPr>
          <w:rStyle w:val="FootnoteReference"/>
          <w:rFonts w:ascii="Arial" w:eastAsia="Times New Roman" w:hAnsi="Arial" w:cs="Arial"/>
          <w:lang w:val="es-ES"/>
        </w:rPr>
        <w:footnoteReference w:id="4"/>
      </w:r>
      <w:r w:rsidR="0072093A" w:rsidRPr="00A84DC3">
        <w:rPr>
          <w:rFonts w:ascii="Arial" w:eastAsia="Times New Roman" w:hAnsi="Arial" w:cs="Arial"/>
          <w:lang w:val="es-ES"/>
        </w:rPr>
        <w:t xml:space="preserve"> </w:t>
      </w:r>
      <w:r w:rsidR="003D5486" w:rsidRPr="00A84DC3">
        <w:rPr>
          <w:rFonts w:ascii="Arial" w:eastAsia="Times New Roman" w:hAnsi="Arial" w:cs="Arial"/>
          <w:lang w:val="es-ES"/>
        </w:rPr>
        <w:t xml:space="preserve">Además de esta dispersión, los componentes del LPI muestran los espacios de mejora de todos los países de la Cuenca, especialmente en cuanto a la provisión de infraestructuras de calidad. Más concretamente, el índice muestra a este respecto a Brasil, Argentina y Uruguay entre los países del segundo cuartil en cuanto a calidad de caminos, puertos, aeropuertos y tecnología de la información para el comercio; con Paraguay y Bolivia nuevamente entre el tercer y cuarto cuartil respectivamente. Por otra parte, del factor correspondiente a </w:t>
      </w:r>
      <w:r w:rsidR="003D5486" w:rsidRPr="00A84DC3">
        <w:rPr>
          <w:rFonts w:ascii="Arial" w:eastAsia="Times New Roman" w:hAnsi="Arial" w:cs="Arial"/>
          <w:i/>
          <w:lang w:val="es-ES"/>
        </w:rPr>
        <w:t>Aduanas</w:t>
      </w:r>
      <w:r w:rsidR="00AC4DB3" w:rsidRPr="00A84DC3">
        <w:rPr>
          <w:rFonts w:ascii="Arial" w:eastAsia="Times New Roman" w:hAnsi="Arial" w:cs="Arial"/>
          <w:i/>
          <w:lang w:val="es-ES"/>
        </w:rPr>
        <w:t xml:space="preserve"> </w:t>
      </w:r>
      <w:r w:rsidR="00AC4DB3" w:rsidRPr="00A84DC3">
        <w:rPr>
          <w:rFonts w:ascii="Arial" w:eastAsia="Times New Roman" w:hAnsi="Arial" w:cs="Arial"/>
          <w:lang w:val="es-ES"/>
        </w:rPr>
        <w:t>dentro de LPI -que combina no solamente elementos hardware, sino también software-</w:t>
      </w:r>
      <w:r w:rsidR="003D5486" w:rsidRPr="00A84DC3">
        <w:rPr>
          <w:rFonts w:ascii="Arial" w:eastAsia="Times New Roman" w:hAnsi="Arial" w:cs="Arial"/>
          <w:lang w:val="es-ES"/>
        </w:rPr>
        <w:t xml:space="preserve">, encontramos también oportunidades de mejora. </w:t>
      </w:r>
    </w:p>
    <w:p w14:paraId="122333EE" w14:textId="77777777" w:rsidR="00F06D67" w:rsidRPr="00A84DC3" w:rsidRDefault="00ED76F9" w:rsidP="00A84DC3">
      <w:pPr>
        <w:pStyle w:val="ListParagraph"/>
        <w:numPr>
          <w:ilvl w:val="1"/>
          <w:numId w:val="4"/>
        </w:numPr>
        <w:tabs>
          <w:tab w:val="clear" w:pos="2448"/>
          <w:tab w:val="num" w:pos="1170"/>
        </w:tabs>
        <w:spacing w:before="120" w:after="120" w:line="240" w:lineRule="auto"/>
        <w:ind w:left="720" w:hanging="720"/>
        <w:contextualSpacing w:val="0"/>
        <w:jc w:val="both"/>
        <w:rPr>
          <w:rFonts w:ascii="Arial" w:eastAsia="Times New Roman" w:hAnsi="Arial" w:cs="Arial"/>
          <w:lang w:val="es-ES"/>
        </w:rPr>
      </w:pPr>
      <w:r w:rsidRPr="00A84DC3">
        <w:rPr>
          <w:rFonts w:ascii="Arial" w:eastAsia="Times New Roman" w:hAnsi="Arial" w:cs="Arial"/>
          <w:lang w:val="es-ES"/>
        </w:rPr>
        <w:lastRenderedPageBreak/>
        <w:t xml:space="preserve">Analizado bajo otro prisma, el reporte </w:t>
      </w:r>
      <w:r w:rsidRPr="00A84DC3">
        <w:rPr>
          <w:rFonts w:ascii="Arial" w:eastAsia="Times New Roman" w:hAnsi="Arial" w:cs="Arial"/>
          <w:i/>
          <w:lang w:val="es-ES"/>
        </w:rPr>
        <w:t>Trading Across Borders</w:t>
      </w:r>
      <w:r w:rsidRPr="00A84DC3">
        <w:rPr>
          <w:rFonts w:ascii="Arial" w:eastAsia="Times New Roman" w:hAnsi="Arial" w:cs="Arial"/>
          <w:lang w:val="es-ES"/>
        </w:rPr>
        <w:t xml:space="preserve"> (</w:t>
      </w:r>
      <w:r w:rsidRPr="00A84DC3">
        <w:rPr>
          <w:rFonts w:ascii="Arial" w:eastAsia="Times New Roman" w:hAnsi="Arial" w:cs="Arial"/>
          <w:i/>
          <w:lang w:val="es-ES"/>
        </w:rPr>
        <w:t>Doing Business</w:t>
      </w:r>
      <w:r w:rsidRPr="00A84DC3">
        <w:rPr>
          <w:rFonts w:ascii="Arial" w:eastAsia="Times New Roman" w:hAnsi="Arial" w:cs="Arial"/>
          <w:lang w:val="es-ES"/>
        </w:rPr>
        <w:t xml:space="preserve">, Banco Mundial) recoge los altos costos del transporte en la región, producto de deficiencias tanto hardware como software. Los países de la Cuenca no son la excepción con Uruguay (US$1,326) y Brasil (US$1,185) siendo los países más caros, llegando a duplicar el costo promedio de LAC (US$637). Paraguay (US$935), Argentina (US$210) y Bolivia (US$90) completan la lista. Estos costos -que además de afectar al tráfico de bienes y servicios, sirve como proxy para representar la misma realidad con el comercio de servicios- son relativamente </w:t>
      </w:r>
      <w:r w:rsidR="00B867D3" w:rsidRPr="00A84DC3">
        <w:rPr>
          <w:rFonts w:ascii="Arial" w:eastAsia="Times New Roman" w:hAnsi="Arial" w:cs="Arial"/>
          <w:lang w:val="es-ES"/>
        </w:rPr>
        <w:t>altos incluso</w:t>
      </w:r>
      <w:r w:rsidRPr="00A84DC3">
        <w:rPr>
          <w:rFonts w:ascii="Arial" w:eastAsia="Times New Roman" w:hAnsi="Arial" w:cs="Arial"/>
          <w:lang w:val="es-ES"/>
        </w:rPr>
        <w:t xml:space="preserve"> controlando por la canasta de bienes (</w:t>
      </w:r>
      <w:r w:rsidR="00B867D3" w:rsidRPr="00A84DC3">
        <w:rPr>
          <w:rFonts w:ascii="Arial" w:eastAsia="Times New Roman" w:hAnsi="Arial" w:cs="Arial"/>
          <w:lang w:val="es-ES"/>
        </w:rPr>
        <w:t xml:space="preserve">Moreira, Volpe y Blyde, </w:t>
      </w:r>
      <w:r w:rsidRPr="00A84DC3">
        <w:rPr>
          <w:rFonts w:ascii="Arial" w:eastAsia="Times New Roman" w:hAnsi="Arial" w:cs="Arial"/>
          <w:lang w:val="es-ES"/>
        </w:rPr>
        <w:t>2008</w:t>
      </w:r>
      <w:r w:rsidR="00B867D3" w:rsidRPr="00A84DC3">
        <w:rPr>
          <w:rFonts w:ascii="Arial" w:eastAsia="Times New Roman" w:hAnsi="Arial" w:cs="Arial"/>
          <w:lang w:val="es-ES"/>
        </w:rPr>
        <w:t>;</w:t>
      </w:r>
      <w:r w:rsidRPr="00A84DC3">
        <w:rPr>
          <w:rFonts w:ascii="Arial" w:eastAsia="Times New Roman" w:hAnsi="Arial" w:cs="Arial"/>
          <w:lang w:val="es-ES"/>
        </w:rPr>
        <w:t xml:space="preserve"> y Moreira, Bl</w:t>
      </w:r>
      <w:r w:rsidR="00B867D3" w:rsidRPr="00A84DC3">
        <w:rPr>
          <w:rFonts w:ascii="Arial" w:eastAsia="Times New Roman" w:hAnsi="Arial" w:cs="Arial"/>
          <w:lang w:val="es-ES"/>
        </w:rPr>
        <w:t>yde, Volpe, and Molina, 2013), justificación</w:t>
      </w:r>
      <w:r w:rsidRPr="00A84DC3">
        <w:rPr>
          <w:rFonts w:ascii="Arial" w:eastAsia="Times New Roman" w:hAnsi="Arial" w:cs="Arial"/>
          <w:lang w:val="es-ES"/>
        </w:rPr>
        <w:t xml:space="preserve"> </w:t>
      </w:r>
      <w:r w:rsidR="00B867D3" w:rsidRPr="00A84DC3">
        <w:rPr>
          <w:rFonts w:ascii="Arial" w:eastAsia="Times New Roman" w:hAnsi="Arial" w:cs="Arial"/>
          <w:lang w:val="es-ES"/>
        </w:rPr>
        <w:t>para la</w:t>
      </w:r>
      <w:r w:rsidRPr="00A84DC3">
        <w:rPr>
          <w:rFonts w:ascii="Arial" w:eastAsia="Times New Roman" w:hAnsi="Arial" w:cs="Arial"/>
          <w:lang w:val="es-ES"/>
        </w:rPr>
        <w:t xml:space="preserve"> mejora</w:t>
      </w:r>
      <w:r w:rsidR="00B867D3" w:rsidRPr="00A84DC3">
        <w:rPr>
          <w:rFonts w:ascii="Arial" w:eastAsia="Times New Roman" w:hAnsi="Arial" w:cs="Arial"/>
          <w:lang w:val="es-ES"/>
        </w:rPr>
        <w:t xml:space="preserve"> de</w:t>
      </w:r>
      <w:r w:rsidRPr="00A84DC3">
        <w:rPr>
          <w:rFonts w:ascii="Arial" w:eastAsia="Times New Roman" w:hAnsi="Arial" w:cs="Arial"/>
          <w:lang w:val="es-ES"/>
        </w:rPr>
        <w:t xml:space="preserve"> la infraestructura de transporte y </w:t>
      </w:r>
      <w:r w:rsidR="00B867D3" w:rsidRPr="00A84DC3">
        <w:rPr>
          <w:rFonts w:ascii="Arial" w:eastAsia="Times New Roman" w:hAnsi="Arial" w:cs="Arial"/>
          <w:lang w:val="es-ES"/>
        </w:rPr>
        <w:t xml:space="preserve">de </w:t>
      </w:r>
      <w:r w:rsidRPr="00A84DC3">
        <w:rPr>
          <w:rFonts w:ascii="Arial" w:eastAsia="Times New Roman" w:hAnsi="Arial" w:cs="Arial"/>
          <w:lang w:val="es-ES"/>
        </w:rPr>
        <w:t xml:space="preserve">servicios asociados como las aduanas. </w:t>
      </w:r>
    </w:p>
    <w:p w14:paraId="6B8BFAD0" w14:textId="0045253A" w:rsidR="00B825BA" w:rsidRPr="00A84DC3" w:rsidRDefault="00F06D67" w:rsidP="00A84DC3">
      <w:pPr>
        <w:pStyle w:val="ListParagraph"/>
        <w:numPr>
          <w:ilvl w:val="1"/>
          <w:numId w:val="4"/>
        </w:numPr>
        <w:tabs>
          <w:tab w:val="clear" w:pos="2448"/>
          <w:tab w:val="num" w:pos="1170"/>
        </w:tabs>
        <w:spacing w:before="120" w:after="120" w:line="240" w:lineRule="auto"/>
        <w:ind w:left="720" w:hanging="720"/>
        <w:contextualSpacing w:val="0"/>
        <w:jc w:val="both"/>
        <w:rPr>
          <w:rFonts w:ascii="Arial" w:eastAsia="Times New Roman" w:hAnsi="Arial" w:cs="Arial"/>
          <w:lang w:val="es-ES"/>
        </w:rPr>
      </w:pPr>
      <w:r w:rsidRPr="00A84DC3">
        <w:rPr>
          <w:rFonts w:ascii="Arial" w:eastAsia="Times New Roman" w:hAnsi="Arial" w:cs="Arial"/>
          <w:lang w:val="es-ES"/>
        </w:rPr>
        <w:t xml:space="preserve">Por último, a las debilidades ya descritas se suman otras del lado </w:t>
      </w:r>
      <w:r w:rsidRPr="00A84DC3">
        <w:rPr>
          <w:rFonts w:ascii="Arial" w:eastAsia="Times New Roman" w:hAnsi="Arial" w:cs="Arial"/>
          <w:i/>
          <w:lang w:val="es-ES"/>
        </w:rPr>
        <w:t xml:space="preserve">software, </w:t>
      </w:r>
      <w:r w:rsidRPr="00A84DC3">
        <w:rPr>
          <w:rFonts w:ascii="Arial" w:eastAsia="Times New Roman" w:hAnsi="Arial" w:cs="Arial"/>
          <w:lang w:val="es-ES"/>
        </w:rPr>
        <w:t>destacando para la Cuenca Sumándose a la problemática descrita, encontramos en la Cuenca brechas entre los distintos niveles de la Administración Pública en relación con la disponibilidad y utilización de Tecnologías de la Información y de las Comunicaciones (TIC)</w:t>
      </w:r>
      <w:r w:rsidRPr="00A84DC3">
        <w:rPr>
          <w:rStyle w:val="FootnoteReference"/>
          <w:rFonts w:ascii="Arial" w:hAnsi="Arial" w:cs="Arial"/>
          <w:lang w:val="es-ES"/>
        </w:rPr>
        <w:footnoteReference w:id="5"/>
      </w:r>
      <w:r w:rsidRPr="00A84DC3">
        <w:rPr>
          <w:rFonts w:ascii="Arial" w:eastAsia="Times New Roman" w:hAnsi="Arial" w:cs="Arial"/>
          <w:lang w:val="es-ES"/>
        </w:rPr>
        <w:t xml:space="preserve">. </w:t>
      </w:r>
      <w:r w:rsidRPr="00A84DC3">
        <w:rPr>
          <w:rFonts w:ascii="Arial" w:hAnsi="Arial" w:cs="Arial"/>
          <w:lang w:val="es-ES"/>
        </w:rPr>
        <w:t xml:space="preserve">Igualmente, es frecuente encontrar carencias sociales y económicas a lo largo de los territorios de la Cuenca, así como escasez de recursos y dificultades para el acceso </w:t>
      </w:r>
      <w:r w:rsidRPr="00A84DC3">
        <w:rPr>
          <w:rFonts w:ascii="Arial" w:eastAsia="Times New Roman" w:hAnsi="Arial" w:cs="Arial"/>
          <w:lang w:val="es-ES"/>
        </w:rPr>
        <w:t>físico</w:t>
      </w:r>
      <w:r w:rsidRPr="00A84DC3">
        <w:rPr>
          <w:rFonts w:ascii="Arial" w:hAnsi="Arial" w:cs="Arial"/>
          <w:lang w:val="es-ES"/>
        </w:rPr>
        <w:t xml:space="preserve"> a estas zonas, inclusive en centros urbanos de tamaño intermedio, o limitantes al crecimiento de la productividad de las MyPyMEs. </w:t>
      </w:r>
      <w:r w:rsidRPr="00A84DC3">
        <w:rPr>
          <w:rFonts w:ascii="Arial" w:eastAsia="Times New Roman" w:hAnsi="Arial" w:cs="Arial"/>
          <w:lang w:val="es-ES"/>
        </w:rPr>
        <w:t>Con todo, queda patente</w:t>
      </w:r>
      <w:r w:rsidR="003D5486" w:rsidRPr="00A84DC3">
        <w:rPr>
          <w:rFonts w:ascii="Arial" w:eastAsia="Times New Roman" w:hAnsi="Arial" w:cs="Arial"/>
          <w:lang w:val="es-ES"/>
        </w:rPr>
        <w:t xml:space="preserve"> la necesidad de </w:t>
      </w:r>
      <w:r w:rsidR="00D853C8" w:rsidRPr="00A84DC3">
        <w:rPr>
          <w:rFonts w:ascii="Arial" w:eastAsia="Times New Roman" w:hAnsi="Arial" w:cs="Arial"/>
          <w:lang w:val="es-ES"/>
        </w:rPr>
        <w:t>ahondar</w:t>
      </w:r>
      <w:r w:rsidR="003D5486" w:rsidRPr="00A84DC3">
        <w:rPr>
          <w:rFonts w:ascii="Arial" w:eastAsia="Times New Roman" w:hAnsi="Arial" w:cs="Arial"/>
          <w:lang w:val="es-ES"/>
        </w:rPr>
        <w:t xml:space="preserve"> en</w:t>
      </w:r>
      <w:r w:rsidR="00B867D3" w:rsidRPr="00A84DC3">
        <w:rPr>
          <w:rFonts w:ascii="Arial" w:eastAsia="Times New Roman" w:hAnsi="Arial" w:cs="Arial"/>
          <w:lang w:val="es-ES"/>
        </w:rPr>
        <w:t xml:space="preserve"> la inversión en integración -</w:t>
      </w:r>
      <w:r w:rsidR="003D5486" w:rsidRPr="00A84DC3">
        <w:rPr>
          <w:rFonts w:ascii="Arial" w:eastAsia="Times New Roman" w:hAnsi="Arial" w:cs="Arial"/>
          <w:lang w:val="es-ES"/>
        </w:rPr>
        <w:t>especialmente en dotación de infraestructura de calidad</w:t>
      </w:r>
      <w:r w:rsidR="00B867D3" w:rsidRPr="00A84DC3">
        <w:rPr>
          <w:rFonts w:ascii="Arial" w:eastAsia="Times New Roman" w:hAnsi="Arial" w:cs="Arial"/>
          <w:lang w:val="es-ES"/>
        </w:rPr>
        <w:t>-</w:t>
      </w:r>
      <w:r w:rsidR="00D853C8" w:rsidRPr="00A84DC3">
        <w:rPr>
          <w:rFonts w:ascii="Arial" w:eastAsia="Times New Roman" w:hAnsi="Arial" w:cs="Arial"/>
          <w:lang w:val="es-ES"/>
        </w:rPr>
        <w:t>, que es, de hecho, prioridad en toda la región.</w:t>
      </w:r>
      <w:r w:rsidR="00D853C8" w:rsidRPr="00A84DC3">
        <w:rPr>
          <w:rStyle w:val="FootnoteReference"/>
          <w:rFonts w:ascii="Arial" w:eastAsia="Times New Roman" w:hAnsi="Arial" w:cs="Arial"/>
          <w:lang w:val="es-ES"/>
        </w:rPr>
        <w:footnoteReference w:id="6"/>
      </w:r>
    </w:p>
    <w:p w14:paraId="7421F718" w14:textId="77777777" w:rsidR="00B825BA" w:rsidRPr="00A84DC3" w:rsidRDefault="00D853C8" w:rsidP="00A84DC3">
      <w:pPr>
        <w:pStyle w:val="ListParagraph"/>
        <w:numPr>
          <w:ilvl w:val="1"/>
          <w:numId w:val="4"/>
        </w:numPr>
        <w:tabs>
          <w:tab w:val="clear" w:pos="2448"/>
          <w:tab w:val="num" w:pos="1170"/>
        </w:tabs>
        <w:spacing w:before="120" w:after="120" w:line="240" w:lineRule="auto"/>
        <w:ind w:left="720" w:hanging="720"/>
        <w:contextualSpacing w:val="0"/>
        <w:jc w:val="both"/>
        <w:rPr>
          <w:rFonts w:ascii="Arial" w:hAnsi="Arial" w:cs="Arial"/>
          <w:lang w:val="es-ES"/>
        </w:rPr>
      </w:pPr>
      <w:r w:rsidRPr="00A84DC3">
        <w:rPr>
          <w:rFonts w:ascii="Arial" w:hAnsi="Arial" w:cs="Arial"/>
          <w:b/>
          <w:lang w:val="es-ES"/>
        </w:rPr>
        <w:t>Inversión en integración.</w:t>
      </w:r>
      <w:r w:rsidRPr="00A84DC3">
        <w:rPr>
          <w:rFonts w:ascii="Arial" w:hAnsi="Arial" w:cs="Arial"/>
          <w:lang w:val="es-ES"/>
        </w:rPr>
        <w:t xml:space="preserve"> Si bien como componente fundamental para la integración física económica en LAC, la inversión en infr</w:t>
      </w:r>
      <w:r w:rsidR="00AC4DB3" w:rsidRPr="00A84DC3">
        <w:rPr>
          <w:rFonts w:ascii="Arial" w:hAnsi="Arial" w:cs="Arial"/>
          <w:lang w:val="es-ES"/>
        </w:rPr>
        <w:t>aestructura ha sido prioridad, é</w:t>
      </w:r>
      <w:r w:rsidRPr="00A84DC3">
        <w:rPr>
          <w:rFonts w:ascii="Arial" w:hAnsi="Arial" w:cs="Arial"/>
          <w:lang w:val="es-ES"/>
        </w:rPr>
        <w:t xml:space="preserve">sta ha sido hasta la fecha insuficiente. La región de América Latina y el Caribe </w:t>
      </w:r>
      <w:r w:rsidRPr="00A84DC3">
        <w:rPr>
          <w:rFonts w:ascii="Arial" w:eastAsia="Times New Roman" w:hAnsi="Arial" w:cs="Arial"/>
          <w:lang w:val="es-ES"/>
        </w:rPr>
        <w:t>registró</w:t>
      </w:r>
      <w:r w:rsidRPr="00A84DC3">
        <w:rPr>
          <w:rFonts w:ascii="Arial" w:hAnsi="Arial" w:cs="Arial"/>
          <w:lang w:val="es-ES"/>
        </w:rPr>
        <w:t xml:space="preserve"> en los últimos años una inversión en promedio en torno al 2% del PIB de la región. Se trata de valores mucho menores a los observados en Asia, y lejos también del 5% de inversión sobre el PIB que diversos estudios sugieren necesaria para cerrar la brecha en infraestructura; lo que ha provocado tanto un déficit de infraestructura como un déficit en la calidad de la misma</w:t>
      </w:r>
      <w:r w:rsidRPr="00A84DC3">
        <w:rPr>
          <w:rStyle w:val="FootnoteReference"/>
          <w:rFonts w:ascii="Arial" w:hAnsi="Arial" w:cs="Arial"/>
          <w:lang w:val="es-ES"/>
        </w:rPr>
        <w:footnoteReference w:id="7"/>
      </w:r>
      <w:r w:rsidR="00A84DC3">
        <w:rPr>
          <w:rFonts w:ascii="Arial" w:hAnsi="Arial" w:cs="Arial"/>
          <w:lang w:val="es-ES"/>
        </w:rPr>
        <w:t>.</w:t>
      </w:r>
      <w:r w:rsidRPr="00A84DC3">
        <w:rPr>
          <w:rFonts w:ascii="Arial" w:hAnsi="Arial" w:cs="Arial"/>
          <w:lang w:val="es-ES"/>
        </w:rPr>
        <w:t xml:space="preserve"> </w:t>
      </w:r>
      <w:r w:rsidR="00B825BA" w:rsidRPr="00A84DC3">
        <w:rPr>
          <w:rFonts w:ascii="Arial" w:hAnsi="Arial" w:cs="Arial"/>
          <w:lang w:val="es-ES"/>
        </w:rPr>
        <w:t xml:space="preserve">La literatura que soporta la evidencia empírica del efecto de la inversión para integración entre países en América Latina y el Caribe y en particular en la Cuenca es escasa. Sin embargo, el Banco, en conjunto con el Banco Mundial (BM) y la Comisión Económica para América Latina y el Caribe de las Naciones Unidas (ECLAC), llevó a cabo un esfuerzo en hacer una estimación de los retornos de inversión de </w:t>
      </w:r>
      <w:r w:rsidR="00B825BA" w:rsidRPr="00A84DC3">
        <w:rPr>
          <w:rFonts w:ascii="Arial" w:hAnsi="Arial" w:cs="Arial"/>
          <w:lang w:val="es-ES"/>
        </w:rPr>
        <w:lastRenderedPageBreak/>
        <w:t>las inversiones en estos conceptos utilizando un modelo de Equilibrio General Computable (CGE) para el período 2010-2020</w:t>
      </w:r>
      <w:r w:rsidR="00B825BA" w:rsidRPr="00A84DC3">
        <w:rPr>
          <w:rFonts w:ascii="Arial" w:hAnsi="Arial" w:cs="Arial"/>
          <w:vertAlign w:val="superscript"/>
          <w:lang w:val="es-ES"/>
        </w:rPr>
        <w:footnoteReference w:id="8"/>
      </w:r>
      <w:r w:rsidR="00B825BA" w:rsidRPr="00A84DC3">
        <w:rPr>
          <w:rFonts w:ascii="Arial" w:hAnsi="Arial" w:cs="Arial"/>
          <w:vertAlign w:val="superscript"/>
          <w:lang w:val="es-ES"/>
        </w:rPr>
        <w:t xml:space="preserve"> </w:t>
      </w:r>
      <w:r w:rsidR="00B825BA" w:rsidRPr="00A84DC3">
        <w:rPr>
          <w:rFonts w:ascii="Arial" w:hAnsi="Arial" w:cs="Arial"/>
          <w:vertAlign w:val="superscript"/>
          <w:lang w:val="es-ES"/>
        </w:rPr>
        <w:footnoteReference w:id="9"/>
      </w:r>
      <w:r w:rsidR="00B825BA" w:rsidRPr="00A84DC3">
        <w:rPr>
          <w:rFonts w:ascii="Arial" w:hAnsi="Arial" w:cs="Arial"/>
          <w:lang w:val="es-ES"/>
        </w:rPr>
        <w:t>.</w:t>
      </w:r>
      <w:r w:rsidR="00DF2C23" w:rsidRPr="00A84DC3">
        <w:rPr>
          <w:rFonts w:ascii="Arial" w:hAnsi="Arial" w:cs="Arial"/>
          <w:lang w:val="es-ES"/>
        </w:rPr>
        <w:t xml:space="preserve"> El estudio señala el efecto de las inversiones en integración sobre el volumen de exportaciones intrarregionales, que provocan un aumento promedio del 27% cuando se trata de inversiones en </w:t>
      </w:r>
      <w:r w:rsidR="00DF2C23" w:rsidRPr="00A84DC3">
        <w:rPr>
          <w:rFonts w:ascii="Arial" w:hAnsi="Arial" w:cs="Arial"/>
          <w:i/>
          <w:lang w:val="es-ES"/>
        </w:rPr>
        <w:t>hardware</w:t>
      </w:r>
      <w:r w:rsidR="00DF2C23" w:rsidRPr="00A84DC3">
        <w:rPr>
          <w:rFonts w:ascii="Arial" w:hAnsi="Arial" w:cs="Arial"/>
          <w:lang w:val="es-ES"/>
        </w:rPr>
        <w:t xml:space="preserve">, y un 20% a través de inversiones del tipo </w:t>
      </w:r>
      <w:r w:rsidR="00DF2C23" w:rsidRPr="00A84DC3">
        <w:rPr>
          <w:rFonts w:ascii="Arial" w:hAnsi="Arial" w:cs="Arial"/>
          <w:i/>
          <w:lang w:val="es-ES"/>
        </w:rPr>
        <w:t>software</w:t>
      </w:r>
      <w:r w:rsidR="00DF2C23" w:rsidRPr="00A84DC3">
        <w:rPr>
          <w:rFonts w:ascii="Arial" w:hAnsi="Arial" w:cs="Arial"/>
          <w:lang w:val="es-ES"/>
        </w:rPr>
        <w:t>.</w:t>
      </w:r>
      <w:r w:rsidR="00B825BA" w:rsidRPr="00A84DC3">
        <w:rPr>
          <w:rFonts w:ascii="Arial" w:hAnsi="Arial" w:cs="Arial"/>
          <w:lang w:val="es-ES"/>
        </w:rPr>
        <w:t xml:space="preserve"> Sin embargo, el efecto más interesante resulta ser el de las inversiones en infraestructura sobre el PIB, que tienen un retorno a la inversión que llega a ser del 70% o más</w:t>
      </w:r>
      <w:r w:rsidR="00DF2C23" w:rsidRPr="00A84DC3">
        <w:rPr>
          <w:rFonts w:ascii="Arial" w:hAnsi="Arial" w:cs="Arial"/>
          <w:lang w:val="es-ES"/>
        </w:rPr>
        <w:t xml:space="preserve">, gracias a una reducción del coste generalizado del transporte </w:t>
      </w:r>
      <w:r w:rsidR="00980FE8" w:rsidRPr="00A84DC3">
        <w:rPr>
          <w:rFonts w:ascii="Arial" w:hAnsi="Arial" w:cs="Arial"/>
          <w:lang w:val="es-ES"/>
        </w:rPr>
        <w:t>-</w:t>
      </w:r>
      <w:r w:rsidR="00DF2C23" w:rsidRPr="00A84DC3">
        <w:rPr>
          <w:rFonts w:ascii="Arial" w:hAnsi="Arial" w:cs="Arial"/>
          <w:lang w:val="es-ES"/>
        </w:rPr>
        <w:t>tiempo, accidentes, desgaste por uso de vehículos, etc.</w:t>
      </w:r>
      <w:r w:rsidR="00980FE8" w:rsidRPr="00A84DC3">
        <w:rPr>
          <w:rFonts w:ascii="Arial" w:hAnsi="Arial" w:cs="Arial"/>
          <w:lang w:val="es-ES"/>
        </w:rPr>
        <w:t>- y a un aumento de la productividad debido a una mejor localización y acceso a los factores de producción</w:t>
      </w:r>
      <w:r w:rsidR="00B825BA" w:rsidRPr="00A84DC3">
        <w:rPr>
          <w:rFonts w:ascii="Arial" w:hAnsi="Arial" w:cs="Arial"/>
          <w:lang w:val="es-ES"/>
        </w:rPr>
        <w:t xml:space="preserve">. Este resultado </w:t>
      </w:r>
      <w:r w:rsidR="00980FE8" w:rsidRPr="00A84DC3">
        <w:rPr>
          <w:rFonts w:ascii="Arial" w:hAnsi="Arial" w:cs="Arial"/>
          <w:lang w:val="es-ES"/>
        </w:rPr>
        <w:t>es</w:t>
      </w:r>
      <w:r w:rsidR="00B825BA" w:rsidRPr="00A84DC3">
        <w:rPr>
          <w:rFonts w:ascii="Arial" w:hAnsi="Arial" w:cs="Arial"/>
          <w:lang w:val="es-ES"/>
        </w:rPr>
        <w:t xml:space="preserve"> mayor en países con mayores brechas de infraestructura, como Bolivia, en donde supera el 100%</w:t>
      </w:r>
      <w:r w:rsidR="00980FE8" w:rsidRPr="00A84DC3">
        <w:rPr>
          <w:rFonts w:ascii="Arial" w:hAnsi="Arial" w:cs="Arial"/>
          <w:lang w:val="es-ES"/>
        </w:rPr>
        <w:t xml:space="preserve"> del PIB</w:t>
      </w:r>
      <w:r w:rsidR="00B825BA" w:rsidRPr="00A84DC3">
        <w:rPr>
          <w:rFonts w:ascii="Arial" w:hAnsi="Arial" w:cs="Arial"/>
          <w:lang w:val="es-ES"/>
        </w:rPr>
        <w:t xml:space="preserve">, con un efecto directo en la reducción de las asimetrías sub-regionales de la Cuenca. </w:t>
      </w:r>
      <w:r w:rsidR="00980FE8" w:rsidRPr="00A84DC3">
        <w:rPr>
          <w:rFonts w:ascii="Arial" w:hAnsi="Arial" w:cs="Arial"/>
          <w:lang w:val="es-ES"/>
        </w:rPr>
        <w:t xml:space="preserve">Cabe señalar además que existe complementariedad entre las intervenciones </w:t>
      </w:r>
      <w:r w:rsidR="00980FE8" w:rsidRPr="00A84DC3">
        <w:rPr>
          <w:rFonts w:ascii="Arial" w:hAnsi="Arial" w:cs="Arial"/>
          <w:i/>
          <w:lang w:val="es-ES"/>
        </w:rPr>
        <w:t xml:space="preserve">hard </w:t>
      </w:r>
      <w:r w:rsidR="00980FE8" w:rsidRPr="00A84DC3">
        <w:rPr>
          <w:rFonts w:ascii="Arial" w:hAnsi="Arial" w:cs="Arial"/>
          <w:lang w:val="es-ES"/>
        </w:rPr>
        <w:t xml:space="preserve">y </w:t>
      </w:r>
      <w:r w:rsidR="00980FE8" w:rsidRPr="00A84DC3">
        <w:rPr>
          <w:rFonts w:ascii="Arial" w:hAnsi="Arial" w:cs="Arial"/>
          <w:i/>
          <w:lang w:val="es-ES"/>
        </w:rPr>
        <w:t>soft</w:t>
      </w:r>
      <w:r w:rsidR="00980FE8" w:rsidRPr="00A84DC3">
        <w:rPr>
          <w:rFonts w:ascii="Arial" w:hAnsi="Arial" w:cs="Arial"/>
          <w:lang w:val="es-ES"/>
        </w:rPr>
        <w:t>, cuyas sinergias redundan en un aumento del 47% de la exportación</w:t>
      </w:r>
      <w:r w:rsidR="00B825BA" w:rsidRPr="00A84DC3">
        <w:rPr>
          <w:rFonts w:ascii="Arial" w:hAnsi="Arial" w:cs="Arial"/>
          <w:lang w:val="es-ES"/>
        </w:rPr>
        <w:t xml:space="preserve">. </w:t>
      </w:r>
      <w:r w:rsidR="00980FE8" w:rsidRPr="00A84DC3">
        <w:rPr>
          <w:rFonts w:ascii="Arial" w:hAnsi="Arial" w:cs="Arial"/>
          <w:lang w:val="es-ES"/>
        </w:rPr>
        <w:t xml:space="preserve">Por último, el estudio recoge como las inversiones en integración tienen un efecto redistributivo, que redunda en un mayor bienestar social, afectando a la población con menores recursos en elementos clave de subsistencia como el precio de la cesta básica. </w:t>
      </w:r>
    </w:p>
    <w:p w14:paraId="56114589" w14:textId="77777777" w:rsidR="00D853C8" w:rsidRPr="00A84DC3" w:rsidRDefault="00D853C8" w:rsidP="00A84DC3">
      <w:pPr>
        <w:pStyle w:val="ListParagraph"/>
        <w:numPr>
          <w:ilvl w:val="1"/>
          <w:numId w:val="4"/>
        </w:numPr>
        <w:tabs>
          <w:tab w:val="clear" w:pos="2448"/>
          <w:tab w:val="num" w:pos="1170"/>
        </w:tabs>
        <w:spacing w:before="120" w:after="120" w:line="240" w:lineRule="auto"/>
        <w:ind w:left="720" w:hanging="720"/>
        <w:contextualSpacing w:val="0"/>
        <w:jc w:val="both"/>
        <w:rPr>
          <w:rFonts w:ascii="Arial" w:hAnsi="Arial" w:cs="Arial"/>
          <w:lang w:val="es-ES"/>
        </w:rPr>
      </w:pPr>
      <w:r w:rsidRPr="00A84DC3">
        <w:rPr>
          <w:rFonts w:ascii="Arial" w:hAnsi="Arial" w:cs="Arial"/>
          <w:lang w:val="es-ES"/>
        </w:rPr>
        <w:t xml:space="preserve">Además de </w:t>
      </w:r>
      <w:r w:rsidR="00A22665" w:rsidRPr="00A84DC3">
        <w:rPr>
          <w:rFonts w:ascii="Arial" w:hAnsi="Arial" w:cs="Arial"/>
          <w:lang w:val="es-ES"/>
        </w:rPr>
        <w:t xml:space="preserve">compartir la </w:t>
      </w:r>
      <w:r w:rsidRPr="00A84DC3">
        <w:rPr>
          <w:rFonts w:ascii="Arial" w:hAnsi="Arial" w:cs="Arial"/>
          <w:lang w:val="es-ES"/>
        </w:rPr>
        <w:t>realidad regional</w:t>
      </w:r>
      <w:r w:rsidR="00A22665" w:rsidRPr="00A84DC3">
        <w:rPr>
          <w:rFonts w:ascii="Arial" w:hAnsi="Arial" w:cs="Arial"/>
          <w:lang w:val="es-ES"/>
        </w:rPr>
        <w:t xml:space="preserve"> de déficit de infraestructura de calidad</w:t>
      </w:r>
      <w:r w:rsidRPr="00A84DC3">
        <w:rPr>
          <w:rFonts w:ascii="Arial" w:hAnsi="Arial" w:cs="Arial"/>
          <w:lang w:val="es-ES"/>
        </w:rPr>
        <w:t xml:space="preserve">, la Cuenca sufre también de un problema de dimensión a la hora de </w:t>
      </w:r>
      <w:r w:rsidR="00F06D67" w:rsidRPr="00A84DC3">
        <w:rPr>
          <w:rFonts w:ascii="Arial" w:hAnsi="Arial" w:cs="Arial"/>
          <w:lang w:val="es-ES"/>
        </w:rPr>
        <w:t>generar proyectos financiables</w:t>
      </w:r>
      <w:r w:rsidRPr="00A84DC3">
        <w:rPr>
          <w:rFonts w:ascii="Arial" w:hAnsi="Arial" w:cs="Arial"/>
          <w:lang w:val="es-ES"/>
        </w:rPr>
        <w:t>.</w:t>
      </w:r>
      <w:r w:rsidR="00F06D67" w:rsidRPr="00A84DC3">
        <w:rPr>
          <w:rFonts w:ascii="Arial" w:hAnsi="Arial" w:cs="Arial"/>
          <w:lang w:val="es-ES"/>
        </w:rPr>
        <w:t xml:space="preserve"> </w:t>
      </w:r>
      <w:r w:rsidR="002104F7" w:rsidRPr="00A84DC3">
        <w:rPr>
          <w:rFonts w:ascii="Arial" w:hAnsi="Arial" w:cs="Arial"/>
          <w:lang w:val="es-ES"/>
        </w:rPr>
        <w:t>Debido al tamaño y carácter disperso, diverso y aislado de las poblaciones locales y sus unidades productivas, l</w:t>
      </w:r>
      <w:r w:rsidR="00F06D67" w:rsidRPr="00A84DC3">
        <w:rPr>
          <w:rFonts w:ascii="Arial" w:hAnsi="Arial" w:cs="Arial"/>
          <w:lang w:val="es-ES"/>
        </w:rPr>
        <w:t xml:space="preserve">os proyectos de los que adolece esta subregión </w:t>
      </w:r>
      <w:r w:rsidR="002104F7" w:rsidRPr="00A84DC3">
        <w:rPr>
          <w:rFonts w:ascii="Arial" w:hAnsi="Arial" w:cs="Arial"/>
          <w:lang w:val="es-ES"/>
        </w:rPr>
        <w:t>son de carácter integral y multisectorial que, por definición, tienen implicaciones transfronterizas y son de pequeña y mediana escala -luego con altos costes de transacción y la dificultad añadida de la coordinación multinacional -, limitando su cabida dentro de la programación de financiamiento nacional.</w:t>
      </w:r>
      <w:bookmarkStart w:id="5" w:name="_Ref484089085"/>
      <w:r w:rsidR="002104F7" w:rsidRPr="00A84DC3">
        <w:rPr>
          <w:rFonts w:ascii="Arial" w:hAnsi="Arial" w:cs="Arial"/>
          <w:vertAlign w:val="superscript"/>
          <w:lang w:val="es-ES"/>
        </w:rPr>
        <w:footnoteReference w:id="10"/>
      </w:r>
      <w:bookmarkEnd w:id="5"/>
      <w:r w:rsidR="002104F7" w:rsidRPr="00A84DC3">
        <w:rPr>
          <w:rFonts w:ascii="Arial" w:hAnsi="Arial" w:cs="Arial"/>
          <w:lang w:val="es-ES"/>
        </w:rPr>
        <w:t xml:space="preserve"> </w:t>
      </w:r>
      <w:r w:rsidR="009405AE" w:rsidRPr="00A84DC3">
        <w:rPr>
          <w:rFonts w:ascii="Arial" w:hAnsi="Arial" w:cs="Arial"/>
          <w:lang w:val="es-ES"/>
        </w:rPr>
        <w:t xml:space="preserve">En este sentido, </w:t>
      </w:r>
      <w:r w:rsidR="004B0DEC" w:rsidRPr="00A84DC3">
        <w:rPr>
          <w:rFonts w:ascii="Arial" w:hAnsi="Arial" w:cs="Arial"/>
          <w:lang w:val="es-ES"/>
        </w:rPr>
        <w:t>el Fondo financiero para el desarrollo de la Cuenca del Plata (</w:t>
      </w:r>
      <w:r w:rsidR="009405AE" w:rsidRPr="00A84DC3">
        <w:rPr>
          <w:rFonts w:ascii="Arial" w:hAnsi="Arial" w:cs="Arial"/>
          <w:lang w:val="es-ES"/>
        </w:rPr>
        <w:t>FONPLATA</w:t>
      </w:r>
      <w:r w:rsidR="004B0DEC" w:rsidRPr="00A84DC3">
        <w:rPr>
          <w:rFonts w:ascii="Arial" w:hAnsi="Arial" w:cs="Arial"/>
          <w:lang w:val="es-ES"/>
        </w:rPr>
        <w:t>)</w:t>
      </w:r>
      <w:r w:rsidR="009405AE" w:rsidRPr="00A84DC3">
        <w:rPr>
          <w:rFonts w:ascii="Arial" w:hAnsi="Arial" w:cs="Arial"/>
          <w:lang w:val="es-ES"/>
        </w:rPr>
        <w:t xml:space="preserve"> presenta ventajas comparativas en la zona para el fomento de proyectos de pre-inversión e inversión de mediana y pequeña escala</w:t>
      </w:r>
      <w:r w:rsidR="003B06E6" w:rsidRPr="00A84DC3">
        <w:rPr>
          <w:rFonts w:ascii="Arial" w:hAnsi="Arial" w:cs="Arial"/>
          <w:lang w:val="es-ES"/>
        </w:rPr>
        <w:t xml:space="preserve"> -y con el objeto de favorecer a uno o más países en el logro de una mejor inserción en la subregión, en la región y en el mercado global-, </w:t>
      </w:r>
      <w:r w:rsidR="009405AE" w:rsidRPr="00A84DC3">
        <w:rPr>
          <w:rFonts w:ascii="Arial" w:hAnsi="Arial" w:cs="Arial"/>
          <w:lang w:val="es-ES"/>
        </w:rPr>
        <w:t>en los que el Banco no realizaría intervenciones en razón a su tamaño, ubicación geográfica o nicho.</w:t>
      </w:r>
      <w:r w:rsidR="004B0DEC" w:rsidRPr="00A84DC3">
        <w:rPr>
          <w:rFonts w:ascii="Arial" w:hAnsi="Arial" w:cs="Arial"/>
          <w:lang w:val="es-ES"/>
        </w:rPr>
        <w:t xml:space="preserve"> </w:t>
      </w:r>
      <w:r w:rsidR="009D4F3F" w:rsidRPr="00A84DC3">
        <w:rPr>
          <w:rFonts w:ascii="Arial" w:hAnsi="Arial" w:cs="Arial"/>
          <w:lang w:val="es-ES"/>
        </w:rPr>
        <w:t>E</w:t>
      </w:r>
      <w:r w:rsidR="00675FF0" w:rsidRPr="00A84DC3">
        <w:rPr>
          <w:rFonts w:ascii="Arial" w:hAnsi="Arial" w:cs="Arial"/>
          <w:lang w:val="es-ES"/>
        </w:rPr>
        <w:t xml:space="preserve">ste préstamo constituye </w:t>
      </w:r>
      <w:r w:rsidR="009D4F3F" w:rsidRPr="00A84DC3">
        <w:rPr>
          <w:rFonts w:ascii="Arial" w:hAnsi="Arial" w:cs="Arial"/>
          <w:lang w:val="es-ES"/>
        </w:rPr>
        <w:t xml:space="preserve">así </w:t>
      </w:r>
      <w:r w:rsidR="00675FF0" w:rsidRPr="00A84DC3">
        <w:rPr>
          <w:rFonts w:ascii="Arial" w:hAnsi="Arial" w:cs="Arial"/>
          <w:lang w:val="es-ES"/>
        </w:rPr>
        <w:t xml:space="preserve">una alternativa innovadora </w:t>
      </w:r>
      <w:r w:rsidR="003B06E6" w:rsidRPr="00A84DC3">
        <w:rPr>
          <w:rFonts w:ascii="Arial" w:hAnsi="Arial" w:cs="Arial"/>
          <w:lang w:val="es-ES"/>
        </w:rPr>
        <w:t>para</w:t>
      </w:r>
      <w:r w:rsidR="00675FF0" w:rsidRPr="00A84DC3">
        <w:rPr>
          <w:rFonts w:ascii="Arial" w:hAnsi="Arial" w:cs="Arial"/>
          <w:lang w:val="es-ES"/>
        </w:rPr>
        <w:t xml:space="preserve"> las intervenciones del BID al ampliar la dimensión del crédito de segundo piso tradicional, con una institución multilateral sub-regional, hacia entidades nacionales y sub-nacionales con sub-proyectos multisectoriales de integración, articulados por un tema de alto valor regional de interés común.  </w:t>
      </w:r>
    </w:p>
    <w:p w14:paraId="6FA56F4F" w14:textId="77777777" w:rsidR="008D31EA" w:rsidRPr="00A84DC3" w:rsidRDefault="00A22665" w:rsidP="00A84DC3">
      <w:pPr>
        <w:pStyle w:val="ListParagraph"/>
        <w:numPr>
          <w:ilvl w:val="1"/>
          <w:numId w:val="4"/>
        </w:numPr>
        <w:tabs>
          <w:tab w:val="clear" w:pos="2448"/>
          <w:tab w:val="num" w:pos="1170"/>
        </w:tabs>
        <w:spacing w:before="120" w:after="120" w:line="240" w:lineRule="auto"/>
        <w:ind w:left="720" w:hanging="720"/>
        <w:contextualSpacing w:val="0"/>
        <w:jc w:val="both"/>
        <w:rPr>
          <w:rFonts w:ascii="Arial" w:hAnsi="Arial" w:cs="Arial"/>
          <w:lang w:val="es-ES"/>
        </w:rPr>
      </w:pPr>
      <w:r w:rsidRPr="00A84DC3">
        <w:rPr>
          <w:rFonts w:ascii="Arial" w:hAnsi="Arial" w:cs="Arial"/>
          <w:lang w:val="es-ES"/>
        </w:rPr>
        <w:t>Todo lo anterior apunta a la necesidad de desarrollar proyectos multisectoriales para satisfacer las demandas específicas de la C</w:t>
      </w:r>
      <w:r w:rsidR="00662A92" w:rsidRPr="00A84DC3">
        <w:rPr>
          <w:rFonts w:ascii="Arial" w:hAnsi="Arial" w:cs="Arial"/>
          <w:lang w:val="es-ES"/>
        </w:rPr>
        <w:t xml:space="preserve">uenca en materia de integración, identificando la falta de inversión como limitante clave lograr la reducción de </w:t>
      </w:r>
      <w:r w:rsidR="00662A92" w:rsidRPr="00A84DC3">
        <w:rPr>
          <w:rFonts w:ascii="Arial" w:hAnsi="Arial" w:cs="Arial"/>
          <w:lang w:val="es-ES"/>
        </w:rPr>
        <w:lastRenderedPageBreak/>
        <w:t>asimetrías en integración en estos países</w:t>
      </w:r>
      <w:r w:rsidR="007A4D16" w:rsidRPr="00A84DC3">
        <w:rPr>
          <w:rFonts w:ascii="Arial" w:hAnsi="Arial" w:cs="Arial"/>
          <w:lang w:val="es-ES"/>
        </w:rPr>
        <w:t xml:space="preserve"> y a FONPLATA como agencia capaz de superar las barreras al financiamiento de este tipo de proyectos</w:t>
      </w:r>
      <w:r w:rsidR="00662A92" w:rsidRPr="00A84DC3">
        <w:rPr>
          <w:rFonts w:ascii="Arial" w:hAnsi="Arial" w:cs="Arial"/>
          <w:lang w:val="es-ES"/>
        </w:rPr>
        <w:t xml:space="preserve">. </w:t>
      </w:r>
    </w:p>
    <w:p w14:paraId="38AC2209" w14:textId="77777777" w:rsidR="00185981" w:rsidRPr="00A84DC3" w:rsidRDefault="00185981" w:rsidP="00185981">
      <w:pPr>
        <w:rPr>
          <w:rFonts w:ascii="Arial" w:hAnsi="Arial" w:cs="Arial"/>
          <w:color w:val="000000" w:themeColor="text1"/>
          <w:lang w:val="es-ES"/>
        </w:rPr>
      </w:pPr>
      <w:bookmarkStart w:id="6" w:name="_Toc388249752"/>
      <w:bookmarkStart w:id="7" w:name="_Ref388349396"/>
    </w:p>
    <w:p w14:paraId="3EA28252" w14:textId="77777777" w:rsidR="00185981" w:rsidRPr="00A84DC3" w:rsidRDefault="00185981" w:rsidP="00185981">
      <w:pPr>
        <w:rPr>
          <w:rFonts w:ascii="Arial" w:hAnsi="Arial" w:cs="Arial"/>
          <w:color w:val="000000" w:themeColor="text1"/>
          <w:lang w:val="es-ES"/>
        </w:rPr>
        <w:sectPr w:rsidR="00185981" w:rsidRPr="00A84DC3" w:rsidSect="00A84DC3">
          <w:footerReference w:type="default" r:id="rId14"/>
          <w:type w:val="continuous"/>
          <w:pgSz w:w="12242" w:h="15842" w:code="1"/>
          <w:pgMar w:top="1440" w:right="1800" w:bottom="1440" w:left="1800" w:header="720" w:footer="720" w:gutter="0"/>
          <w:cols w:space="708"/>
          <w:docGrid w:linePitch="360"/>
        </w:sectPr>
      </w:pPr>
    </w:p>
    <w:p w14:paraId="7B6E4F77" w14:textId="77777777" w:rsidR="00F92059" w:rsidRPr="00A84DC3" w:rsidRDefault="00F10FC6" w:rsidP="00A84DC3">
      <w:pPr>
        <w:pStyle w:val="Chapter"/>
        <w:spacing w:before="0"/>
        <w:ind w:left="720"/>
        <w:rPr>
          <w:rFonts w:ascii="Arial" w:hAnsi="Arial" w:cs="Arial"/>
          <w:color w:val="000000" w:themeColor="text1"/>
          <w:szCs w:val="24"/>
          <w:lang w:val="es-ES"/>
        </w:rPr>
      </w:pPr>
      <w:bookmarkStart w:id="8" w:name="_Toc492041894"/>
      <w:r w:rsidRPr="00A84DC3">
        <w:rPr>
          <w:rFonts w:ascii="Arial" w:hAnsi="Arial" w:cs="Arial"/>
          <w:color w:val="000000" w:themeColor="text1"/>
          <w:szCs w:val="24"/>
          <w:lang w:val="es-ES"/>
        </w:rPr>
        <w:lastRenderedPageBreak/>
        <w:t>Metodología y Supuestos</w:t>
      </w:r>
      <w:bookmarkEnd w:id="6"/>
      <w:bookmarkEnd w:id="7"/>
      <w:bookmarkEnd w:id="8"/>
    </w:p>
    <w:p w14:paraId="51EB739A" w14:textId="77777777" w:rsidR="00F10FC6" w:rsidRPr="00A84DC3" w:rsidRDefault="00B36037" w:rsidP="005A046C">
      <w:pPr>
        <w:pStyle w:val="FirstHeading"/>
        <w:ind w:left="720"/>
        <w:rPr>
          <w:rFonts w:ascii="Arial" w:hAnsi="Arial" w:cs="Arial"/>
          <w:noProof/>
          <w:color w:val="000000" w:themeColor="text1"/>
          <w:sz w:val="22"/>
          <w:szCs w:val="22"/>
          <w:lang w:val="es-ES"/>
        </w:rPr>
      </w:pPr>
      <w:r w:rsidRPr="00A84DC3">
        <w:rPr>
          <w:rFonts w:ascii="Arial" w:hAnsi="Arial" w:cs="Arial"/>
          <w:noProof/>
          <w:color w:val="000000" w:themeColor="text1"/>
          <w:sz w:val="22"/>
          <w:szCs w:val="22"/>
          <w:lang w:val="es-ES"/>
        </w:rPr>
        <w:fldChar w:fldCharType="begin"/>
      </w:r>
      <w:r w:rsidRPr="00A84DC3">
        <w:rPr>
          <w:rFonts w:ascii="Arial" w:hAnsi="Arial" w:cs="Arial"/>
          <w:noProof/>
          <w:color w:val="000000" w:themeColor="text1"/>
          <w:sz w:val="22"/>
          <w:szCs w:val="22"/>
          <w:lang w:val="es-ES"/>
        </w:rPr>
        <w:instrText xml:space="preserve"> SEQ "</w:instrText>
      </w:r>
      <w:r w:rsidR="00456CE2" w:rsidRPr="00A84DC3">
        <w:rPr>
          <w:rFonts w:ascii="Arial" w:hAnsi="Arial" w:cs="Arial"/>
          <w:noProof/>
          <w:color w:val="000000" w:themeColor="text1"/>
          <w:sz w:val="22"/>
          <w:szCs w:val="22"/>
          <w:lang w:val="es-ES"/>
        </w:rPr>
        <w:fldChar w:fldCharType="begin"/>
      </w:r>
      <w:r w:rsidR="00456CE2" w:rsidRPr="00A84DC3">
        <w:rPr>
          <w:rFonts w:ascii="Arial" w:hAnsi="Arial" w:cs="Arial"/>
          <w:noProof/>
          <w:color w:val="000000" w:themeColor="text1"/>
          <w:sz w:val="22"/>
          <w:szCs w:val="22"/>
          <w:lang w:val="es-ES"/>
        </w:rPr>
        <w:instrText xml:space="preserve"> SECTION  \* MERGEFORMAT </w:instrText>
      </w:r>
      <w:r w:rsidR="00456CE2" w:rsidRPr="00A84DC3">
        <w:rPr>
          <w:rFonts w:ascii="Arial" w:hAnsi="Arial" w:cs="Arial"/>
          <w:noProof/>
          <w:color w:val="000000" w:themeColor="text1"/>
          <w:sz w:val="22"/>
          <w:szCs w:val="22"/>
          <w:lang w:val="es-ES"/>
        </w:rPr>
        <w:fldChar w:fldCharType="separate"/>
      </w:r>
      <w:r w:rsidR="002A0A84" w:rsidRPr="00A84DC3">
        <w:rPr>
          <w:rFonts w:ascii="Arial" w:hAnsi="Arial" w:cs="Arial"/>
          <w:noProof/>
          <w:color w:val="000000" w:themeColor="text1"/>
          <w:sz w:val="22"/>
          <w:szCs w:val="22"/>
          <w:lang w:val="es-ES"/>
        </w:rPr>
        <w:instrText>5</w:instrText>
      </w:r>
      <w:r w:rsidR="00456CE2" w:rsidRPr="00A84DC3">
        <w:rPr>
          <w:rFonts w:ascii="Arial" w:hAnsi="Arial" w:cs="Arial"/>
          <w:noProof/>
          <w:color w:val="000000" w:themeColor="text1"/>
          <w:sz w:val="22"/>
          <w:szCs w:val="22"/>
          <w:lang w:val="es-ES"/>
        </w:rPr>
        <w:fldChar w:fldCharType="end"/>
      </w:r>
      <w:r w:rsidRPr="00A84DC3">
        <w:rPr>
          <w:rFonts w:ascii="Arial" w:hAnsi="Arial" w:cs="Arial"/>
          <w:noProof/>
          <w:color w:val="000000" w:themeColor="text1"/>
          <w:sz w:val="22"/>
          <w:szCs w:val="22"/>
          <w:lang w:val="es-ES"/>
        </w:rPr>
        <w:instrText xml:space="preserve">#"\* ALPHABETIC \* MERGEFORMAT </w:instrText>
      </w:r>
      <w:r w:rsidRPr="00A84DC3">
        <w:rPr>
          <w:rFonts w:ascii="Arial" w:hAnsi="Arial" w:cs="Arial"/>
          <w:noProof/>
          <w:color w:val="000000" w:themeColor="text1"/>
          <w:sz w:val="22"/>
          <w:szCs w:val="22"/>
          <w:lang w:val="es-ES"/>
        </w:rPr>
        <w:fldChar w:fldCharType="separate"/>
      </w:r>
      <w:bookmarkStart w:id="9" w:name="_Toc492041895"/>
      <w:r w:rsidR="002A0A84" w:rsidRPr="00A84DC3">
        <w:rPr>
          <w:rFonts w:ascii="Arial" w:hAnsi="Arial" w:cs="Arial"/>
          <w:noProof/>
          <w:color w:val="000000" w:themeColor="text1"/>
          <w:sz w:val="22"/>
          <w:szCs w:val="22"/>
          <w:lang w:val="es-ES"/>
        </w:rPr>
        <w:t>A</w:t>
      </w:r>
      <w:r w:rsidRPr="00A84DC3">
        <w:rPr>
          <w:rFonts w:ascii="Arial" w:hAnsi="Arial" w:cs="Arial"/>
          <w:noProof/>
          <w:color w:val="000000" w:themeColor="text1"/>
          <w:sz w:val="22"/>
          <w:szCs w:val="22"/>
          <w:lang w:val="es-ES"/>
        </w:rPr>
        <w:fldChar w:fldCharType="end"/>
      </w:r>
      <w:r w:rsidRPr="00A84DC3">
        <w:rPr>
          <w:rFonts w:ascii="Arial" w:hAnsi="Arial" w:cs="Arial"/>
          <w:noProof/>
          <w:color w:val="000000" w:themeColor="text1"/>
          <w:sz w:val="22"/>
          <w:szCs w:val="22"/>
          <w:lang w:val="es-ES"/>
        </w:rPr>
        <w:t>.</w:t>
      </w:r>
      <w:r w:rsidRPr="00A84DC3">
        <w:rPr>
          <w:rFonts w:ascii="Arial" w:hAnsi="Arial" w:cs="Arial"/>
          <w:noProof/>
          <w:color w:val="000000" w:themeColor="text1"/>
          <w:sz w:val="22"/>
          <w:szCs w:val="22"/>
          <w:lang w:val="es-ES"/>
        </w:rPr>
        <w:tab/>
      </w:r>
      <w:r w:rsidR="00F10FC6" w:rsidRPr="00A84DC3">
        <w:rPr>
          <w:rFonts w:ascii="Arial" w:hAnsi="Arial" w:cs="Arial"/>
          <w:noProof/>
          <w:color w:val="000000" w:themeColor="text1"/>
          <w:sz w:val="22"/>
          <w:szCs w:val="22"/>
          <w:lang w:val="es-ES"/>
        </w:rPr>
        <w:t>Metodología</w:t>
      </w:r>
      <w:bookmarkEnd w:id="9"/>
    </w:p>
    <w:p w14:paraId="50BEC006" w14:textId="77777777" w:rsidR="00F527ED" w:rsidRPr="00A84DC3" w:rsidRDefault="00F527ED" w:rsidP="009C7E38">
      <w:pPr>
        <w:pStyle w:val="SecHeading"/>
        <w:tabs>
          <w:tab w:val="clear" w:pos="5400"/>
          <w:tab w:val="num" w:pos="720"/>
        </w:tabs>
        <w:ind w:left="720" w:hanging="720"/>
        <w:rPr>
          <w:rFonts w:ascii="Arial" w:hAnsi="Arial" w:cs="Arial"/>
          <w:color w:val="000000" w:themeColor="text1"/>
          <w:sz w:val="22"/>
          <w:szCs w:val="22"/>
          <w:lang w:val="es-ES"/>
        </w:rPr>
      </w:pPr>
      <w:bookmarkStart w:id="10" w:name="_Toc492041896"/>
      <w:r w:rsidRPr="00A84DC3">
        <w:rPr>
          <w:rFonts w:ascii="Arial" w:hAnsi="Arial" w:cs="Arial"/>
          <w:color w:val="000000" w:themeColor="text1"/>
          <w:sz w:val="22"/>
          <w:szCs w:val="22"/>
          <w:lang w:val="es-ES"/>
        </w:rPr>
        <w:t>Alineamiento</w:t>
      </w:r>
      <w:bookmarkEnd w:id="10"/>
    </w:p>
    <w:p w14:paraId="40D9814B" w14:textId="30738BDE" w:rsidR="008D31EA" w:rsidRPr="00A84DC3" w:rsidRDefault="004F37CE" w:rsidP="00A84DC3">
      <w:pPr>
        <w:pStyle w:val="Paragraph"/>
        <w:tabs>
          <w:tab w:val="num" w:pos="720"/>
        </w:tabs>
        <w:ind w:left="720" w:hanging="720"/>
        <w:rPr>
          <w:rFonts w:ascii="Arial" w:hAnsi="Arial" w:cs="Arial"/>
          <w:color w:val="000000" w:themeColor="text1"/>
          <w:sz w:val="22"/>
          <w:szCs w:val="22"/>
          <w:lang w:val="es-ES"/>
        </w:rPr>
      </w:pPr>
      <w:r w:rsidRPr="00A84DC3">
        <w:rPr>
          <w:rFonts w:ascii="Arial" w:hAnsi="Arial" w:cs="Arial"/>
          <w:color w:val="000000" w:themeColor="text1"/>
          <w:sz w:val="22"/>
          <w:szCs w:val="22"/>
          <w:lang w:val="es-ES"/>
        </w:rPr>
        <w:t>La metodología utilizada para el presente análisis de los flujos de costos y beneficios asociados a la realización del presente programa se alinea con los</w:t>
      </w:r>
      <w:r w:rsidR="008D31EA" w:rsidRPr="00A84DC3">
        <w:rPr>
          <w:rFonts w:ascii="Arial" w:hAnsi="Arial" w:cs="Arial"/>
          <w:color w:val="000000" w:themeColor="text1"/>
          <w:sz w:val="22"/>
          <w:szCs w:val="22"/>
          <w:lang w:val="es-ES"/>
        </w:rPr>
        <w:t xml:space="preserve"> diferentes documentos internos del Banco dan soporte a esta intervención. Por un lado, el Documento del Marco Sectorial de Integ</w:t>
      </w:r>
      <w:r w:rsidR="00A84DC3">
        <w:rPr>
          <w:rFonts w:ascii="Arial" w:hAnsi="Arial" w:cs="Arial"/>
          <w:color w:val="000000" w:themeColor="text1"/>
          <w:sz w:val="22"/>
          <w:szCs w:val="22"/>
          <w:lang w:val="es-ES"/>
        </w:rPr>
        <w:t>ración y Comercio del Banco (</w:t>
      </w:r>
      <w:r w:rsidR="00093B00" w:rsidRPr="00553926">
        <w:rPr>
          <w:rFonts w:ascii="Arial" w:hAnsi="Arial" w:cs="Arial"/>
          <w:color w:val="000000" w:themeColor="text1"/>
          <w:sz w:val="22"/>
          <w:szCs w:val="22"/>
          <w:lang w:val="es-ES"/>
        </w:rPr>
        <w:t>GN</w:t>
      </w:r>
      <w:r w:rsidR="00244828">
        <w:rPr>
          <w:rFonts w:ascii="Arial" w:hAnsi="Arial" w:cs="Arial"/>
          <w:color w:val="000000" w:themeColor="text1"/>
          <w:sz w:val="22"/>
          <w:szCs w:val="22"/>
          <w:lang w:val="es-ES"/>
        </w:rPr>
        <w:t>˗</w:t>
      </w:r>
      <w:r w:rsidR="00093B00" w:rsidRPr="00553926">
        <w:rPr>
          <w:rFonts w:ascii="Arial" w:hAnsi="Arial" w:cs="Arial"/>
          <w:color w:val="000000" w:themeColor="text1"/>
          <w:sz w:val="22"/>
          <w:szCs w:val="22"/>
          <w:lang w:val="es-ES"/>
        </w:rPr>
        <w:t>2715-6</w:t>
      </w:r>
      <w:r w:rsidR="008D31EA" w:rsidRPr="00A84DC3">
        <w:rPr>
          <w:rFonts w:ascii="Arial" w:hAnsi="Arial" w:cs="Arial"/>
          <w:color w:val="000000" w:themeColor="text1"/>
          <w:sz w:val="22"/>
          <w:szCs w:val="22"/>
          <w:lang w:val="es-ES"/>
        </w:rPr>
        <w:t>) pone de manifiesto la necesidad de mejora en la infraestructura de transporte y servicios asociados para la reducción de los costos logísticos, y presenta evidencia empírica sobre cómo las inversiones de infraestructura y la facilitación de servicios aduaneros tienen efectos positivos sobre las exportaciones y los países. De igual manera, el Documento expone cómo la facilitación de acceso a la financiación resulta ser clave en una región en donde solo el 25% de los productos bancarios se dirige a</w:t>
      </w:r>
      <w:r w:rsidR="00244828">
        <w:rPr>
          <w:rFonts w:ascii="Arial" w:hAnsi="Arial" w:cs="Arial"/>
          <w:color w:val="000000" w:themeColor="text1"/>
          <w:sz w:val="22"/>
          <w:szCs w:val="22"/>
          <w:lang w:val="es-ES"/>
        </w:rPr>
        <w:t xml:space="preserve"> las</w:t>
      </w:r>
      <w:r w:rsidR="008D31EA" w:rsidRPr="00A84DC3">
        <w:rPr>
          <w:rFonts w:ascii="Arial" w:hAnsi="Arial" w:cs="Arial"/>
          <w:color w:val="000000" w:themeColor="text1"/>
          <w:sz w:val="22"/>
          <w:szCs w:val="22"/>
          <w:lang w:val="es-ES"/>
        </w:rPr>
        <w:t xml:space="preserve"> MiPyM</w:t>
      </w:r>
      <w:r w:rsidR="00D661F7" w:rsidRPr="00A84DC3">
        <w:rPr>
          <w:rFonts w:ascii="Arial" w:hAnsi="Arial" w:cs="Arial"/>
          <w:color w:val="000000" w:themeColor="text1"/>
          <w:sz w:val="22"/>
          <w:szCs w:val="22"/>
          <w:lang w:val="es-ES"/>
        </w:rPr>
        <w:t>E</w:t>
      </w:r>
      <w:r w:rsidR="008D31EA" w:rsidRPr="00A84DC3">
        <w:rPr>
          <w:rFonts w:ascii="Arial" w:hAnsi="Arial" w:cs="Arial"/>
          <w:color w:val="000000" w:themeColor="text1"/>
          <w:sz w:val="22"/>
          <w:szCs w:val="22"/>
          <w:lang w:val="es-ES"/>
        </w:rPr>
        <w:t xml:space="preserve"> exportadora</w:t>
      </w:r>
      <w:r w:rsidR="00D661F7" w:rsidRPr="00A84DC3">
        <w:rPr>
          <w:rFonts w:ascii="Arial" w:hAnsi="Arial" w:cs="Arial"/>
          <w:color w:val="000000" w:themeColor="text1"/>
          <w:sz w:val="22"/>
          <w:szCs w:val="22"/>
          <w:lang w:val="es-ES"/>
        </w:rPr>
        <w:t>s</w:t>
      </w:r>
      <w:r w:rsidR="008D31EA" w:rsidRPr="00A84DC3">
        <w:rPr>
          <w:rFonts w:ascii="Arial" w:hAnsi="Arial" w:cs="Arial"/>
          <w:color w:val="000000" w:themeColor="text1"/>
          <w:sz w:val="22"/>
          <w:szCs w:val="22"/>
          <w:lang w:val="es-ES"/>
        </w:rPr>
        <w:t xml:space="preserve"> de bienes y servicios. Finalmente, desde la perspectiva de corredores turísticos como espacios de desarrollo económico, el Banco ha recogido experiencias diversas que se reflejan en el Marco Sectorial de Turismo (GN-2779-7), en donde se muestra cómo la puesta en valor de bienes públicos regionales puede constituir un motor de cooperación e integración regional importante. Allí se muestra cómo Culiuc (2014), a partir de un modelo aplicado a 191 países para el período 1999</w:t>
      </w:r>
      <w:r w:rsidR="00A84DC3">
        <w:rPr>
          <w:rFonts w:ascii="Arial" w:hAnsi="Arial" w:cs="Arial"/>
          <w:color w:val="000000" w:themeColor="text1"/>
          <w:sz w:val="22"/>
          <w:szCs w:val="22"/>
          <w:lang w:val="es-ES"/>
        </w:rPr>
        <w:noBreakHyphen/>
      </w:r>
      <w:r w:rsidR="008D31EA" w:rsidRPr="00A84DC3">
        <w:rPr>
          <w:rFonts w:ascii="Arial" w:hAnsi="Arial" w:cs="Arial"/>
          <w:color w:val="000000" w:themeColor="text1"/>
          <w:sz w:val="22"/>
          <w:szCs w:val="22"/>
          <w:lang w:val="es-ES"/>
        </w:rPr>
        <w:t>2005, encontró que la cercanía geográfica entre países que comparten fronteras incrementa las llegadas turísticas hasta un 150%</w:t>
      </w:r>
      <w:r w:rsidR="008D31EA" w:rsidRPr="00A84DC3">
        <w:rPr>
          <w:rFonts w:ascii="Arial" w:hAnsi="Arial" w:cs="Arial"/>
          <w:color w:val="000000" w:themeColor="text1"/>
          <w:sz w:val="22"/>
          <w:szCs w:val="22"/>
          <w:lang w:val="es-ES"/>
        </w:rPr>
        <w:footnoteReference w:id="11"/>
      </w:r>
      <w:r w:rsidR="008D31EA" w:rsidRPr="00A84DC3">
        <w:rPr>
          <w:rFonts w:ascii="Arial" w:hAnsi="Arial" w:cs="Arial"/>
          <w:color w:val="000000" w:themeColor="text1"/>
          <w:sz w:val="22"/>
          <w:szCs w:val="22"/>
          <w:lang w:val="es-ES"/>
        </w:rPr>
        <w:t>. Por otra parte, se encuentra referencia a las evaluaciones ex-post de la Cooperación Territorial INTERREG II y III, llevadas a cabo entre 1994 y 2006, encontraron que los proyectos transfronterizos, destinados al desarrollo y mejora de productos turísticos conjuntos, fueron más efectivos en impulsar la integración que otros sectores económicos (LRDP Ltd., 2003; Panteia &amp; Partners, 2010).</w:t>
      </w:r>
      <w:r w:rsidR="008D31EA" w:rsidRPr="00A84DC3">
        <w:rPr>
          <w:rFonts w:ascii="Arial" w:hAnsi="Arial" w:cs="Arial"/>
          <w:color w:val="000000" w:themeColor="text1"/>
          <w:sz w:val="22"/>
          <w:szCs w:val="22"/>
          <w:vertAlign w:val="superscript"/>
          <w:lang w:val="es-ES"/>
        </w:rPr>
        <w:footnoteReference w:id="12"/>
      </w:r>
      <w:r w:rsidR="00244828">
        <w:rPr>
          <w:rFonts w:ascii="Arial" w:hAnsi="Arial" w:cs="Arial"/>
          <w:color w:val="000000" w:themeColor="text1"/>
          <w:sz w:val="22"/>
          <w:szCs w:val="22"/>
          <w:vertAlign w:val="superscript"/>
          <w:lang w:val="es-ES"/>
        </w:rPr>
        <w:t>,</w:t>
      </w:r>
      <w:r w:rsidR="008D31EA" w:rsidRPr="00A84DC3">
        <w:rPr>
          <w:rFonts w:ascii="Arial" w:hAnsi="Arial" w:cs="Arial"/>
          <w:color w:val="000000" w:themeColor="text1"/>
          <w:sz w:val="22"/>
          <w:szCs w:val="22"/>
          <w:vertAlign w:val="superscript"/>
          <w:lang w:val="es-ES"/>
        </w:rPr>
        <w:t xml:space="preserve"> </w:t>
      </w:r>
      <w:r w:rsidR="008D31EA" w:rsidRPr="00A84DC3">
        <w:rPr>
          <w:rFonts w:ascii="Arial" w:hAnsi="Arial" w:cs="Arial"/>
          <w:color w:val="000000" w:themeColor="text1"/>
          <w:sz w:val="22"/>
          <w:szCs w:val="22"/>
          <w:vertAlign w:val="superscript"/>
          <w:lang w:val="es-ES"/>
        </w:rPr>
        <w:footnoteReference w:id="13"/>
      </w:r>
    </w:p>
    <w:p w14:paraId="7341EF49" w14:textId="77777777" w:rsidR="00E262EE" w:rsidRPr="00A84DC3" w:rsidRDefault="00E262EE" w:rsidP="00A84DC3">
      <w:pPr>
        <w:pStyle w:val="Paragraph"/>
        <w:tabs>
          <w:tab w:val="num" w:pos="720"/>
        </w:tabs>
        <w:ind w:left="720" w:hanging="720"/>
        <w:rPr>
          <w:rFonts w:ascii="Arial" w:hAnsi="Arial" w:cs="Arial"/>
          <w:color w:val="000000" w:themeColor="text1"/>
          <w:sz w:val="22"/>
          <w:szCs w:val="22"/>
          <w:lang w:val="es-ES"/>
        </w:rPr>
      </w:pPr>
      <w:r w:rsidRPr="00A84DC3">
        <w:rPr>
          <w:rFonts w:ascii="Arial" w:hAnsi="Arial" w:cs="Arial"/>
          <w:color w:val="000000" w:themeColor="text1"/>
          <w:sz w:val="22"/>
          <w:szCs w:val="22"/>
          <w:lang w:val="es-ES"/>
        </w:rPr>
        <w:t xml:space="preserve">En línea con lo anterior, el proyecto que aquí se plantea busca, a través de un Programa Global de Crédito, contribuir al financiamiento de intervenciones de pequeña y mediana escala para el desarrollo de infraestructura de transporte y conectividad, el apoyo a Micro, Pequeña y Mediana Empresa (MiPyME), el desarrollo de pasos fronterizos y el desarrollo turístico, entre otros; todos apuntando a la generación de beneficios económicos, cadenas de valor y mayor flujo de bienes y servicios en este espacio geográfico. </w:t>
      </w:r>
    </w:p>
    <w:p w14:paraId="4385C9F1" w14:textId="6B8381DF" w:rsidR="008E5835" w:rsidRPr="00A84DC3" w:rsidRDefault="008E5835" w:rsidP="00A84DC3">
      <w:pPr>
        <w:pStyle w:val="Paragraph"/>
        <w:tabs>
          <w:tab w:val="num" w:pos="720"/>
        </w:tabs>
        <w:ind w:left="720" w:hanging="720"/>
        <w:rPr>
          <w:rFonts w:ascii="Arial" w:hAnsi="Arial" w:cs="Arial"/>
          <w:color w:val="000000" w:themeColor="text1"/>
          <w:sz w:val="22"/>
          <w:szCs w:val="22"/>
          <w:lang w:val="es-ES"/>
        </w:rPr>
      </w:pPr>
      <w:r w:rsidRPr="00A84DC3">
        <w:rPr>
          <w:rFonts w:ascii="Arial" w:hAnsi="Arial" w:cs="Arial"/>
          <w:sz w:val="22"/>
          <w:szCs w:val="22"/>
          <w:lang w:val="es-ES"/>
        </w:rPr>
        <w:t xml:space="preserve">En la siguiente sección se </w:t>
      </w:r>
      <w:r w:rsidR="000375F6" w:rsidRPr="00A84DC3">
        <w:rPr>
          <w:rFonts w:ascii="Arial" w:hAnsi="Arial" w:cs="Arial"/>
          <w:sz w:val="22"/>
          <w:szCs w:val="22"/>
          <w:lang w:val="es-ES"/>
        </w:rPr>
        <w:t xml:space="preserve">aproxima una caracterización de los proyectos típicos -y perfil típico, para el caso de las intervenciones a través de </w:t>
      </w:r>
      <w:r w:rsidR="00244828">
        <w:rPr>
          <w:rFonts w:ascii="Arial" w:hAnsi="Arial" w:cs="Arial"/>
          <w:sz w:val="22"/>
          <w:szCs w:val="22"/>
          <w:lang w:val="es-ES"/>
        </w:rPr>
        <w:t xml:space="preserve">las </w:t>
      </w:r>
      <w:r w:rsidR="000375F6" w:rsidRPr="00A84DC3">
        <w:rPr>
          <w:rFonts w:ascii="Arial" w:hAnsi="Arial" w:cs="Arial"/>
          <w:sz w:val="22"/>
          <w:szCs w:val="22"/>
          <w:lang w:val="es-ES"/>
        </w:rPr>
        <w:t>MiPyME-</w:t>
      </w:r>
      <w:r w:rsidRPr="00A84DC3">
        <w:rPr>
          <w:rFonts w:ascii="Arial" w:hAnsi="Arial" w:cs="Arial"/>
          <w:sz w:val="22"/>
          <w:szCs w:val="22"/>
          <w:lang w:val="es-ES"/>
        </w:rPr>
        <w:t xml:space="preserve"> a financiar con los fondos del programa. Como se ha indicado, </w:t>
      </w:r>
      <w:r w:rsidR="000375F6" w:rsidRPr="00A84DC3">
        <w:rPr>
          <w:rFonts w:ascii="Arial" w:hAnsi="Arial" w:cs="Arial"/>
          <w:sz w:val="22"/>
          <w:szCs w:val="22"/>
          <w:lang w:val="es-ES"/>
        </w:rPr>
        <w:t xml:space="preserve">estas caracterizaciones corresponderán a proyectos multisectoriales de </w:t>
      </w:r>
      <w:r w:rsidR="003F4F47" w:rsidRPr="00A84DC3">
        <w:rPr>
          <w:rFonts w:ascii="Arial" w:hAnsi="Arial" w:cs="Arial"/>
          <w:sz w:val="22"/>
          <w:szCs w:val="22"/>
          <w:lang w:val="es-ES"/>
        </w:rPr>
        <w:t>inversión</w:t>
      </w:r>
      <w:r w:rsidR="000375F6" w:rsidRPr="00A84DC3">
        <w:rPr>
          <w:rFonts w:ascii="Arial" w:hAnsi="Arial" w:cs="Arial"/>
          <w:sz w:val="22"/>
          <w:szCs w:val="22"/>
          <w:lang w:val="es-ES"/>
        </w:rPr>
        <w:t>, mayoritariamente a través de inversiones de infraestructura y promoción de la productividad,</w:t>
      </w:r>
      <w:r w:rsidRPr="00A84DC3">
        <w:rPr>
          <w:rFonts w:ascii="Arial" w:hAnsi="Arial" w:cs="Arial"/>
          <w:sz w:val="22"/>
          <w:szCs w:val="22"/>
          <w:lang w:val="es-ES"/>
        </w:rPr>
        <w:t xml:space="preserve"> </w:t>
      </w:r>
      <w:r w:rsidR="000375F6" w:rsidRPr="00A84DC3">
        <w:rPr>
          <w:rFonts w:ascii="Arial" w:hAnsi="Arial" w:cs="Arial"/>
          <w:sz w:val="22"/>
          <w:szCs w:val="22"/>
          <w:lang w:val="es-ES"/>
        </w:rPr>
        <w:t xml:space="preserve">en beneficio de un mayor nivel de integración intrarregional en la </w:t>
      </w:r>
      <w:r w:rsidR="000375F6" w:rsidRPr="00A84DC3">
        <w:rPr>
          <w:rFonts w:ascii="Arial" w:hAnsi="Arial" w:cs="Arial"/>
          <w:sz w:val="22"/>
          <w:szCs w:val="22"/>
          <w:lang w:val="es-ES"/>
        </w:rPr>
        <w:lastRenderedPageBreak/>
        <w:t xml:space="preserve">Cuenca. </w:t>
      </w:r>
      <w:r w:rsidRPr="00A84DC3">
        <w:rPr>
          <w:rFonts w:ascii="Arial" w:hAnsi="Arial" w:cs="Arial"/>
          <w:sz w:val="22"/>
          <w:szCs w:val="22"/>
          <w:lang w:val="es-ES"/>
        </w:rPr>
        <w:t xml:space="preserve">En este sentido cabe establecer con claridad que se está orientando el </w:t>
      </w:r>
      <w:r w:rsidR="000375F6" w:rsidRPr="00A84DC3">
        <w:rPr>
          <w:rFonts w:ascii="Arial" w:hAnsi="Arial" w:cs="Arial"/>
          <w:sz w:val="22"/>
          <w:szCs w:val="22"/>
          <w:lang w:val="es-ES"/>
        </w:rPr>
        <w:t xml:space="preserve">financiamiento hacia intervenciones públicas beneficiosas socioeconómicamente hablando, en el caso de </w:t>
      </w:r>
      <w:r w:rsidR="003F4F47" w:rsidRPr="00A84DC3">
        <w:rPr>
          <w:rFonts w:ascii="Arial" w:hAnsi="Arial" w:cs="Arial"/>
          <w:sz w:val="22"/>
          <w:szCs w:val="22"/>
          <w:lang w:val="es-ES"/>
        </w:rPr>
        <w:t xml:space="preserve">las intervenciones </w:t>
      </w:r>
      <w:r w:rsidR="003F4F47" w:rsidRPr="00A84DC3">
        <w:rPr>
          <w:rFonts w:ascii="Arial" w:hAnsi="Arial" w:cs="Arial"/>
          <w:i/>
          <w:sz w:val="22"/>
          <w:szCs w:val="22"/>
          <w:lang w:val="es-ES"/>
        </w:rPr>
        <w:t>software</w:t>
      </w:r>
      <w:r w:rsidR="003F4F47" w:rsidRPr="00A84DC3">
        <w:rPr>
          <w:rFonts w:ascii="Arial" w:hAnsi="Arial" w:cs="Arial"/>
          <w:sz w:val="22"/>
          <w:szCs w:val="22"/>
          <w:lang w:val="es-ES"/>
        </w:rPr>
        <w:t xml:space="preserve"> y </w:t>
      </w:r>
      <w:r w:rsidR="003F4F47" w:rsidRPr="00A84DC3">
        <w:rPr>
          <w:rFonts w:ascii="Arial" w:hAnsi="Arial" w:cs="Arial"/>
          <w:i/>
          <w:sz w:val="22"/>
          <w:szCs w:val="22"/>
          <w:lang w:val="es-ES"/>
        </w:rPr>
        <w:t>hardware</w:t>
      </w:r>
      <w:r w:rsidR="003F4F47" w:rsidRPr="00A84DC3">
        <w:rPr>
          <w:rFonts w:ascii="Arial" w:hAnsi="Arial" w:cs="Arial"/>
          <w:sz w:val="22"/>
          <w:szCs w:val="22"/>
          <w:lang w:val="es-ES"/>
        </w:rPr>
        <w:t xml:space="preserve"> para la integración, y hacia sujetos pasibles de recibir financiamiento </w:t>
      </w:r>
      <w:r w:rsidR="00BC1652" w:rsidRPr="00A84DC3">
        <w:rPr>
          <w:rFonts w:ascii="Arial" w:hAnsi="Arial" w:cs="Arial"/>
          <w:sz w:val="22"/>
          <w:szCs w:val="22"/>
          <w:lang w:val="es-ES"/>
        </w:rPr>
        <w:t xml:space="preserve">productivo </w:t>
      </w:r>
      <w:r w:rsidR="003F4F47" w:rsidRPr="00A84DC3">
        <w:rPr>
          <w:rFonts w:ascii="Arial" w:hAnsi="Arial" w:cs="Arial"/>
          <w:sz w:val="22"/>
          <w:szCs w:val="22"/>
          <w:lang w:val="es-ES"/>
        </w:rPr>
        <w:t xml:space="preserve">formal en el caso de crédito a </w:t>
      </w:r>
      <w:r w:rsidR="00244828">
        <w:rPr>
          <w:rFonts w:ascii="Arial" w:hAnsi="Arial" w:cs="Arial"/>
          <w:sz w:val="22"/>
          <w:szCs w:val="22"/>
          <w:lang w:val="es-ES"/>
        </w:rPr>
        <w:t xml:space="preserve">las </w:t>
      </w:r>
      <w:r w:rsidR="003F4F47" w:rsidRPr="00A84DC3">
        <w:rPr>
          <w:rFonts w:ascii="Arial" w:hAnsi="Arial" w:cs="Arial"/>
          <w:sz w:val="22"/>
          <w:szCs w:val="22"/>
          <w:lang w:val="es-ES"/>
        </w:rPr>
        <w:t>MiPyME</w:t>
      </w:r>
      <w:r w:rsidR="00FF0028" w:rsidRPr="00A84DC3">
        <w:rPr>
          <w:rFonts w:ascii="Arial" w:hAnsi="Arial" w:cs="Arial"/>
          <w:sz w:val="22"/>
          <w:szCs w:val="22"/>
          <w:lang w:val="es-ES"/>
        </w:rPr>
        <w:t>,</w:t>
      </w:r>
      <w:r w:rsidR="003F4F47" w:rsidRPr="00A84DC3">
        <w:rPr>
          <w:rFonts w:ascii="Arial" w:hAnsi="Arial" w:cs="Arial"/>
          <w:sz w:val="22"/>
          <w:szCs w:val="22"/>
          <w:lang w:val="es-ES"/>
        </w:rPr>
        <w:t xml:space="preserve"> distinguiéndoles de este modo</w:t>
      </w:r>
      <w:r w:rsidRPr="00A84DC3">
        <w:rPr>
          <w:rFonts w:ascii="Arial" w:hAnsi="Arial" w:cs="Arial"/>
          <w:sz w:val="22"/>
          <w:szCs w:val="22"/>
          <w:lang w:val="es-ES"/>
        </w:rPr>
        <w:t xml:space="preserve"> de los grupos a los que pertenecen. </w:t>
      </w:r>
    </w:p>
    <w:p w14:paraId="7EA0F74B" w14:textId="77777777" w:rsidR="00B36037" w:rsidRPr="00A84DC3" w:rsidRDefault="00B36037" w:rsidP="009C7E38">
      <w:pPr>
        <w:pStyle w:val="SecHeading"/>
        <w:tabs>
          <w:tab w:val="clear" w:pos="5400"/>
          <w:tab w:val="num" w:pos="720"/>
        </w:tabs>
        <w:ind w:left="720" w:hanging="720"/>
        <w:rPr>
          <w:rFonts w:ascii="Arial" w:hAnsi="Arial" w:cs="Arial"/>
          <w:sz w:val="22"/>
          <w:szCs w:val="22"/>
          <w:lang w:val="es-ES"/>
        </w:rPr>
      </w:pPr>
      <w:bookmarkStart w:id="11" w:name="_Toc492041897"/>
      <w:r w:rsidRPr="00A84DC3">
        <w:rPr>
          <w:rFonts w:ascii="Arial" w:hAnsi="Arial" w:cs="Arial"/>
          <w:sz w:val="22"/>
          <w:szCs w:val="22"/>
          <w:lang w:val="es-ES"/>
        </w:rPr>
        <w:t xml:space="preserve">Descripción de la </w:t>
      </w:r>
      <w:r w:rsidR="00F7734A" w:rsidRPr="00A84DC3">
        <w:rPr>
          <w:rFonts w:ascii="Arial" w:hAnsi="Arial" w:cs="Arial"/>
          <w:sz w:val="22"/>
          <w:szCs w:val="22"/>
          <w:lang w:val="es-ES"/>
        </w:rPr>
        <w:t>estrategia</w:t>
      </w:r>
      <w:r w:rsidRPr="00A84DC3">
        <w:rPr>
          <w:rFonts w:ascii="Arial" w:hAnsi="Arial" w:cs="Arial"/>
          <w:sz w:val="22"/>
          <w:szCs w:val="22"/>
          <w:lang w:val="es-ES"/>
        </w:rPr>
        <w:t xml:space="preserve"> en términos generales</w:t>
      </w:r>
      <w:bookmarkEnd w:id="11"/>
    </w:p>
    <w:p w14:paraId="003BE2CC" w14:textId="38F0C054" w:rsidR="007975E0" w:rsidRPr="00A84DC3" w:rsidRDefault="007929EC" w:rsidP="00A84DC3">
      <w:pPr>
        <w:pStyle w:val="Paragraph"/>
        <w:tabs>
          <w:tab w:val="num" w:pos="720"/>
        </w:tabs>
        <w:ind w:left="720" w:hanging="720"/>
        <w:rPr>
          <w:rFonts w:ascii="Arial" w:hAnsi="Arial" w:cs="Arial"/>
          <w:color w:val="000000" w:themeColor="text1"/>
          <w:sz w:val="22"/>
          <w:szCs w:val="22"/>
          <w:lang w:val="es-ES"/>
        </w:rPr>
      </w:pPr>
      <w:r w:rsidRPr="00A84DC3">
        <w:rPr>
          <w:rFonts w:ascii="Arial" w:hAnsi="Arial" w:cs="Arial"/>
          <w:b/>
          <w:color w:val="000000" w:themeColor="text1"/>
          <w:sz w:val="22"/>
          <w:szCs w:val="22"/>
          <w:lang w:val="es-ES"/>
        </w:rPr>
        <w:t>Fuente de datos.</w:t>
      </w:r>
      <w:r w:rsidRPr="00A84DC3">
        <w:rPr>
          <w:rFonts w:ascii="Arial" w:hAnsi="Arial" w:cs="Arial"/>
          <w:color w:val="000000" w:themeColor="text1"/>
          <w:sz w:val="22"/>
          <w:szCs w:val="22"/>
          <w:lang w:val="es-ES"/>
        </w:rPr>
        <w:t xml:space="preserve"> </w:t>
      </w:r>
      <w:r w:rsidR="00F10FC6" w:rsidRPr="00A84DC3">
        <w:rPr>
          <w:rFonts w:ascii="Arial" w:hAnsi="Arial" w:cs="Arial"/>
          <w:color w:val="000000" w:themeColor="text1"/>
          <w:sz w:val="22"/>
          <w:szCs w:val="22"/>
          <w:lang w:val="es-ES"/>
        </w:rPr>
        <w:t>El presente análisis nos permite, a partir de</w:t>
      </w:r>
      <w:r w:rsidR="00290765" w:rsidRPr="00A84DC3">
        <w:rPr>
          <w:rFonts w:ascii="Arial" w:hAnsi="Arial" w:cs="Arial"/>
          <w:color w:val="000000" w:themeColor="text1"/>
          <w:sz w:val="22"/>
          <w:szCs w:val="22"/>
          <w:lang w:val="es-ES"/>
        </w:rPr>
        <w:t xml:space="preserve"> </w:t>
      </w:r>
      <w:r w:rsidR="004B0DEC" w:rsidRPr="00A84DC3">
        <w:rPr>
          <w:rFonts w:ascii="Arial" w:hAnsi="Arial" w:cs="Arial"/>
          <w:color w:val="000000" w:themeColor="text1"/>
          <w:sz w:val="22"/>
          <w:szCs w:val="22"/>
          <w:lang w:val="es-ES"/>
        </w:rPr>
        <w:t xml:space="preserve">la información </w:t>
      </w:r>
      <w:r w:rsidR="00290765" w:rsidRPr="00A84DC3">
        <w:rPr>
          <w:rFonts w:ascii="Arial" w:hAnsi="Arial" w:cs="Arial"/>
          <w:color w:val="000000" w:themeColor="text1"/>
          <w:sz w:val="22"/>
          <w:szCs w:val="22"/>
          <w:lang w:val="es-ES"/>
        </w:rPr>
        <w:t xml:space="preserve">suministrada por </w:t>
      </w:r>
      <w:r w:rsidR="004B0DEC" w:rsidRPr="00A84DC3">
        <w:rPr>
          <w:rFonts w:ascii="Arial" w:hAnsi="Arial" w:cs="Arial"/>
          <w:color w:val="000000" w:themeColor="text1"/>
          <w:sz w:val="22"/>
          <w:szCs w:val="22"/>
          <w:lang w:val="es-ES"/>
        </w:rPr>
        <w:t xml:space="preserve">FONPLATA </w:t>
      </w:r>
      <w:r w:rsidR="00290765" w:rsidRPr="00A84DC3">
        <w:rPr>
          <w:rFonts w:ascii="Arial" w:hAnsi="Arial" w:cs="Arial"/>
          <w:color w:val="000000" w:themeColor="text1"/>
          <w:sz w:val="22"/>
          <w:szCs w:val="22"/>
          <w:lang w:val="es-ES"/>
        </w:rPr>
        <w:t>y de un conjunto de</w:t>
      </w:r>
      <w:r w:rsidR="00F10FC6" w:rsidRPr="00A84DC3">
        <w:rPr>
          <w:rFonts w:ascii="Arial" w:hAnsi="Arial" w:cs="Arial"/>
          <w:color w:val="000000" w:themeColor="text1"/>
          <w:sz w:val="22"/>
          <w:szCs w:val="22"/>
          <w:lang w:val="es-ES"/>
        </w:rPr>
        <w:t xml:space="preserve"> supuestos</w:t>
      </w:r>
      <w:r w:rsidR="00290765" w:rsidRPr="00A84DC3">
        <w:rPr>
          <w:rFonts w:ascii="Arial" w:hAnsi="Arial" w:cs="Arial"/>
          <w:color w:val="000000" w:themeColor="text1"/>
          <w:sz w:val="22"/>
          <w:szCs w:val="22"/>
          <w:lang w:val="es-ES"/>
        </w:rPr>
        <w:t xml:space="preserve"> (que se detallan debidamente en la</w:t>
      </w:r>
      <w:r w:rsidR="00C950EF" w:rsidRPr="00A84DC3">
        <w:rPr>
          <w:rFonts w:ascii="Arial" w:hAnsi="Arial" w:cs="Arial"/>
          <w:color w:val="000000" w:themeColor="text1"/>
          <w:sz w:val="22"/>
          <w:szCs w:val="22"/>
          <w:lang w:val="es-ES"/>
        </w:rPr>
        <w:t>s</w:t>
      </w:r>
      <w:r w:rsidR="00290765" w:rsidRPr="00A84DC3">
        <w:rPr>
          <w:rFonts w:ascii="Arial" w:hAnsi="Arial" w:cs="Arial"/>
          <w:color w:val="000000" w:themeColor="text1"/>
          <w:sz w:val="22"/>
          <w:szCs w:val="22"/>
          <w:lang w:val="es-ES"/>
        </w:rPr>
        <w:t xml:space="preserve"> secciones siguientes)</w:t>
      </w:r>
      <w:r w:rsidR="00F10FC6" w:rsidRPr="00A84DC3">
        <w:rPr>
          <w:rFonts w:ascii="Arial" w:hAnsi="Arial" w:cs="Arial"/>
          <w:color w:val="000000" w:themeColor="text1"/>
          <w:sz w:val="22"/>
          <w:szCs w:val="22"/>
          <w:lang w:val="es-ES"/>
        </w:rPr>
        <w:t xml:space="preserve">, </w:t>
      </w:r>
      <w:r w:rsidR="00290765" w:rsidRPr="00A84DC3">
        <w:rPr>
          <w:rFonts w:ascii="Arial" w:hAnsi="Arial" w:cs="Arial"/>
          <w:color w:val="000000" w:themeColor="text1"/>
          <w:sz w:val="22"/>
          <w:szCs w:val="22"/>
          <w:lang w:val="es-ES"/>
        </w:rPr>
        <w:t xml:space="preserve">proyectar los flujos de ingresos y egresos correspondientes a </w:t>
      </w:r>
      <w:r w:rsidR="00C950EF" w:rsidRPr="00A84DC3">
        <w:rPr>
          <w:rFonts w:ascii="Arial" w:hAnsi="Arial" w:cs="Arial"/>
          <w:color w:val="000000" w:themeColor="text1"/>
          <w:sz w:val="22"/>
          <w:szCs w:val="22"/>
          <w:lang w:val="es-ES"/>
        </w:rPr>
        <w:t>los diferentes tipos de</w:t>
      </w:r>
      <w:r w:rsidR="00290765" w:rsidRPr="00A84DC3">
        <w:rPr>
          <w:rFonts w:ascii="Arial" w:hAnsi="Arial" w:cs="Arial"/>
          <w:color w:val="000000" w:themeColor="text1"/>
          <w:sz w:val="22"/>
          <w:szCs w:val="22"/>
          <w:lang w:val="es-ES"/>
        </w:rPr>
        <w:t xml:space="preserve"> operación típica (representativa) apoyada por </w:t>
      </w:r>
      <w:r w:rsidR="00C950EF" w:rsidRPr="00A84DC3">
        <w:rPr>
          <w:rFonts w:ascii="Arial" w:hAnsi="Arial" w:cs="Arial"/>
          <w:color w:val="000000" w:themeColor="text1"/>
          <w:sz w:val="22"/>
          <w:szCs w:val="22"/>
          <w:lang w:val="es-ES"/>
        </w:rPr>
        <w:t>la entidad</w:t>
      </w:r>
      <w:r w:rsidR="00290765" w:rsidRPr="00A84DC3">
        <w:rPr>
          <w:rFonts w:ascii="Arial" w:hAnsi="Arial" w:cs="Arial"/>
          <w:color w:val="000000" w:themeColor="text1"/>
          <w:sz w:val="22"/>
          <w:szCs w:val="22"/>
          <w:lang w:val="es-ES"/>
        </w:rPr>
        <w:t xml:space="preserve"> con los fondos provistos por el programa</w:t>
      </w:r>
      <w:r w:rsidR="00B177E3" w:rsidRPr="00A84DC3">
        <w:rPr>
          <w:rFonts w:ascii="Arial" w:hAnsi="Arial" w:cs="Arial"/>
          <w:color w:val="000000" w:themeColor="text1"/>
          <w:sz w:val="22"/>
          <w:szCs w:val="22"/>
          <w:lang w:val="es-ES"/>
        </w:rPr>
        <w:t xml:space="preserve">. Cabe </w:t>
      </w:r>
      <w:r w:rsidR="00760046" w:rsidRPr="00A84DC3">
        <w:rPr>
          <w:rFonts w:ascii="Arial" w:hAnsi="Arial" w:cs="Arial"/>
          <w:color w:val="000000" w:themeColor="text1"/>
          <w:sz w:val="22"/>
          <w:szCs w:val="22"/>
          <w:lang w:val="es-ES"/>
        </w:rPr>
        <w:t>señalar</w:t>
      </w:r>
      <w:r w:rsidR="00B177E3" w:rsidRPr="00A84DC3">
        <w:rPr>
          <w:rFonts w:ascii="Arial" w:hAnsi="Arial" w:cs="Arial"/>
          <w:color w:val="000000" w:themeColor="text1"/>
          <w:sz w:val="22"/>
          <w:szCs w:val="22"/>
          <w:lang w:val="es-ES"/>
        </w:rPr>
        <w:t xml:space="preserve"> que las caracterizaciones aquí presentadas </w:t>
      </w:r>
      <w:r w:rsidR="007C17D6" w:rsidRPr="00A84DC3">
        <w:rPr>
          <w:rFonts w:ascii="Arial" w:hAnsi="Arial" w:cs="Arial"/>
          <w:color w:val="000000" w:themeColor="text1"/>
          <w:sz w:val="22"/>
          <w:szCs w:val="22"/>
          <w:lang w:val="es-ES"/>
        </w:rPr>
        <w:t xml:space="preserve">para inversiones en infraestructura de integración con el objeto de reducir el coste generalizado del transporte </w:t>
      </w:r>
      <w:r w:rsidR="00B177E3" w:rsidRPr="00A84DC3">
        <w:rPr>
          <w:rFonts w:ascii="Arial" w:hAnsi="Arial" w:cs="Arial"/>
          <w:color w:val="000000" w:themeColor="text1"/>
          <w:sz w:val="22"/>
          <w:szCs w:val="22"/>
          <w:lang w:val="es-ES"/>
        </w:rPr>
        <w:t>se basan</w:t>
      </w:r>
      <w:r w:rsidR="007C17D6" w:rsidRPr="00A84DC3">
        <w:rPr>
          <w:rFonts w:ascii="Arial" w:hAnsi="Arial" w:cs="Arial"/>
          <w:color w:val="000000" w:themeColor="text1"/>
          <w:sz w:val="22"/>
          <w:szCs w:val="22"/>
          <w:lang w:val="es-ES"/>
        </w:rPr>
        <w:t xml:space="preserve">, </w:t>
      </w:r>
      <w:r w:rsidR="00760046" w:rsidRPr="00A84DC3">
        <w:rPr>
          <w:rFonts w:ascii="Arial" w:hAnsi="Arial" w:cs="Arial"/>
          <w:color w:val="000000" w:themeColor="text1"/>
          <w:sz w:val="22"/>
          <w:szCs w:val="22"/>
          <w:lang w:val="es-ES"/>
        </w:rPr>
        <w:t>tanto en la experiencia internacional para analizar los componentes de los flujos de ingresos y egresos</w:t>
      </w:r>
      <w:r w:rsidR="007C17D6" w:rsidRPr="00A84DC3">
        <w:rPr>
          <w:rFonts w:ascii="Arial" w:hAnsi="Arial" w:cs="Arial"/>
          <w:color w:val="000000" w:themeColor="text1"/>
          <w:sz w:val="22"/>
          <w:szCs w:val="22"/>
          <w:lang w:val="es-ES"/>
        </w:rPr>
        <w:t xml:space="preserve">, como en los datos proporcionados por FONPLATA para ejemplificar lo anterior a través de la propia experiencia de la institución en intervenciones similares. De otro lado, para las intervenciones de apoyo al financiamiento </w:t>
      </w:r>
      <w:r w:rsidR="00BC1652" w:rsidRPr="00A84DC3">
        <w:rPr>
          <w:rFonts w:ascii="Arial" w:hAnsi="Arial" w:cs="Arial"/>
          <w:color w:val="000000" w:themeColor="text1"/>
          <w:sz w:val="22"/>
          <w:szCs w:val="22"/>
          <w:lang w:val="es-ES"/>
        </w:rPr>
        <w:t xml:space="preserve">productivo </w:t>
      </w:r>
      <w:r w:rsidR="007C17D6" w:rsidRPr="00A84DC3">
        <w:rPr>
          <w:rFonts w:ascii="Arial" w:hAnsi="Arial" w:cs="Arial"/>
          <w:color w:val="000000" w:themeColor="text1"/>
          <w:sz w:val="22"/>
          <w:szCs w:val="22"/>
          <w:lang w:val="es-ES"/>
        </w:rPr>
        <w:t>de</w:t>
      </w:r>
      <w:r w:rsidR="00244828">
        <w:rPr>
          <w:rFonts w:ascii="Arial" w:hAnsi="Arial" w:cs="Arial"/>
          <w:color w:val="000000" w:themeColor="text1"/>
          <w:sz w:val="22"/>
          <w:szCs w:val="22"/>
          <w:lang w:val="es-ES"/>
        </w:rPr>
        <w:t xml:space="preserve"> las</w:t>
      </w:r>
      <w:r w:rsidR="007C17D6" w:rsidRPr="00A84DC3">
        <w:rPr>
          <w:rFonts w:ascii="Arial" w:hAnsi="Arial" w:cs="Arial"/>
          <w:color w:val="000000" w:themeColor="text1"/>
          <w:sz w:val="22"/>
          <w:szCs w:val="22"/>
          <w:lang w:val="es-ES"/>
        </w:rPr>
        <w:t xml:space="preserve"> MiPyME, los supuestos para la proyección de los flujos de ingresos y egresos este</w:t>
      </w:r>
      <w:r w:rsidR="00760046" w:rsidRPr="00A84DC3">
        <w:rPr>
          <w:rFonts w:ascii="Arial" w:hAnsi="Arial" w:cs="Arial"/>
          <w:color w:val="000000" w:themeColor="text1"/>
          <w:sz w:val="22"/>
          <w:szCs w:val="22"/>
          <w:lang w:val="es-ES"/>
        </w:rPr>
        <w:t xml:space="preserve"> tipo de intervenciones </w:t>
      </w:r>
      <w:r w:rsidR="007C17D6" w:rsidRPr="00A84DC3">
        <w:rPr>
          <w:rFonts w:ascii="Arial" w:hAnsi="Arial" w:cs="Arial"/>
          <w:color w:val="000000" w:themeColor="text1"/>
          <w:sz w:val="22"/>
          <w:szCs w:val="22"/>
          <w:lang w:val="es-ES"/>
        </w:rPr>
        <w:t>se basa únicamente</w:t>
      </w:r>
      <w:r w:rsidR="00760046" w:rsidRPr="00A84DC3">
        <w:rPr>
          <w:rFonts w:ascii="Arial" w:hAnsi="Arial" w:cs="Arial"/>
          <w:color w:val="000000" w:themeColor="text1"/>
          <w:sz w:val="22"/>
          <w:szCs w:val="22"/>
          <w:lang w:val="es-ES"/>
        </w:rPr>
        <w:t xml:space="preserve"> </w:t>
      </w:r>
      <w:r w:rsidR="00B177E3" w:rsidRPr="00A84DC3">
        <w:rPr>
          <w:rFonts w:ascii="Arial" w:hAnsi="Arial" w:cs="Arial"/>
          <w:color w:val="000000" w:themeColor="text1"/>
          <w:sz w:val="22"/>
          <w:szCs w:val="22"/>
          <w:lang w:val="es-ES"/>
        </w:rPr>
        <w:t xml:space="preserve">en </w:t>
      </w:r>
      <w:r w:rsidR="00760046" w:rsidRPr="00A84DC3">
        <w:rPr>
          <w:rFonts w:ascii="Arial" w:hAnsi="Arial" w:cs="Arial"/>
          <w:color w:val="000000" w:themeColor="text1"/>
          <w:sz w:val="22"/>
          <w:szCs w:val="22"/>
          <w:lang w:val="es-ES"/>
        </w:rPr>
        <w:t xml:space="preserve">la </w:t>
      </w:r>
      <w:r w:rsidR="00B177E3" w:rsidRPr="00A84DC3">
        <w:rPr>
          <w:rFonts w:ascii="Arial" w:hAnsi="Arial" w:cs="Arial"/>
          <w:color w:val="000000" w:themeColor="text1"/>
          <w:sz w:val="22"/>
          <w:szCs w:val="22"/>
          <w:lang w:val="es-ES"/>
        </w:rPr>
        <w:t xml:space="preserve">información provista por </w:t>
      </w:r>
      <w:r w:rsidR="00C950EF" w:rsidRPr="00A84DC3">
        <w:rPr>
          <w:rFonts w:ascii="Arial" w:hAnsi="Arial" w:cs="Arial"/>
          <w:color w:val="000000" w:themeColor="text1"/>
          <w:sz w:val="22"/>
          <w:szCs w:val="22"/>
          <w:lang w:val="es-ES"/>
        </w:rPr>
        <w:t>FONPLATA</w:t>
      </w:r>
      <w:r w:rsidR="00B177E3" w:rsidRPr="00A84DC3">
        <w:rPr>
          <w:rFonts w:ascii="Arial" w:hAnsi="Arial" w:cs="Arial"/>
          <w:color w:val="000000" w:themeColor="text1"/>
          <w:sz w:val="22"/>
          <w:szCs w:val="22"/>
          <w:lang w:val="es-ES"/>
        </w:rPr>
        <w:t xml:space="preserve"> luego de realizar un extenso trabajo interno de </w:t>
      </w:r>
      <w:r w:rsidR="00C950EF" w:rsidRPr="00A84DC3">
        <w:rPr>
          <w:rFonts w:ascii="Arial" w:hAnsi="Arial" w:cs="Arial"/>
          <w:color w:val="000000" w:themeColor="text1"/>
          <w:sz w:val="22"/>
          <w:szCs w:val="22"/>
          <w:lang w:val="es-ES"/>
        </w:rPr>
        <w:t xml:space="preserve">análisis de </w:t>
      </w:r>
      <w:r w:rsidR="003533D4" w:rsidRPr="00A84DC3">
        <w:rPr>
          <w:rFonts w:ascii="Arial" w:hAnsi="Arial" w:cs="Arial"/>
          <w:color w:val="000000" w:themeColor="text1"/>
          <w:sz w:val="22"/>
          <w:szCs w:val="22"/>
          <w:lang w:val="es-ES"/>
        </w:rPr>
        <w:t xml:space="preserve">su experiencia de intervención en este ámbito a través del Programa de Acceso al Financiamiento Productivo en el Norte Argentino, </w:t>
      </w:r>
      <w:r w:rsidR="00B177E3" w:rsidRPr="00A84DC3">
        <w:rPr>
          <w:rFonts w:ascii="Arial" w:hAnsi="Arial" w:cs="Arial"/>
          <w:color w:val="000000" w:themeColor="text1"/>
          <w:sz w:val="22"/>
          <w:szCs w:val="22"/>
          <w:lang w:val="es-ES"/>
        </w:rPr>
        <w:t>el análisis de sus expertos, y comunicación con otras entidades financieras</w:t>
      </w:r>
      <w:r w:rsidR="00760046" w:rsidRPr="00A84DC3">
        <w:rPr>
          <w:rFonts w:ascii="Arial" w:hAnsi="Arial" w:cs="Arial"/>
          <w:color w:val="000000" w:themeColor="text1"/>
          <w:sz w:val="22"/>
          <w:szCs w:val="22"/>
          <w:lang w:val="es-ES"/>
        </w:rPr>
        <w:t xml:space="preserve">. </w:t>
      </w:r>
      <w:r w:rsidR="003533D4" w:rsidRPr="00A84DC3">
        <w:rPr>
          <w:rFonts w:ascii="Arial" w:hAnsi="Arial" w:cs="Arial"/>
          <w:color w:val="000000" w:themeColor="text1"/>
          <w:sz w:val="22"/>
          <w:szCs w:val="22"/>
          <w:lang w:val="es-ES"/>
        </w:rPr>
        <w:t xml:space="preserve">Los realizados para </w:t>
      </w:r>
      <w:r w:rsidR="00760046" w:rsidRPr="00A84DC3">
        <w:rPr>
          <w:rFonts w:ascii="Arial" w:hAnsi="Arial" w:cs="Arial"/>
          <w:color w:val="000000" w:themeColor="text1"/>
          <w:sz w:val="22"/>
          <w:szCs w:val="22"/>
          <w:lang w:val="es-ES"/>
        </w:rPr>
        <w:t xml:space="preserve">las intervenciones de apoyo al financiamiento </w:t>
      </w:r>
      <w:r w:rsidR="00BC1652" w:rsidRPr="00A84DC3">
        <w:rPr>
          <w:rFonts w:ascii="Arial" w:hAnsi="Arial" w:cs="Arial"/>
          <w:color w:val="000000" w:themeColor="text1"/>
          <w:sz w:val="22"/>
          <w:szCs w:val="22"/>
          <w:lang w:val="es-ES"/>
        </w:rPr>
        <w:t xml:space="preserve">productivo </w:t>
      </w:r>
      <w:r w:rsidR="00760046" w:rsidRPr="00A84DC3">
        <w:rPr>
          <w:rFonts w:ascii="Arial" w:hAnsi="Arial" w:cs="Arial"/>
          <w:color w:val="000000" w:themeColor="text1"/>
          <w:sz w:val="22"/>
          <w:szCs w:val="22"/>
          <w:lang w:val="es-ES"/>
        </w:rPr>
        <w:t xml:space="preserve">de </w:t>
      </w:r>
      <w:r w:rsidR="00244828">
        <w:rPr>
          <w:rFonts w:ascii="Arial" w:hAnsi="Arial" w:cs="Arial"/>
          <w:color w:val="000000" w:themeColor="text1"/>
          <w:sz w:val="22"/>
          <w:szCs w:val="22"/>
          <w:lang w:val="es-ES"/>
        </w:rPr>
        <w:t xml:space="preserve">los </w:t>
      </w:r>
      <w:r w:rsidR="00760046" w:rsidRPr="00A84DC3">
        <w:rPr>
          <w:rFonts w:ascii="Arial" w:hAnsi="Arial" w:cs="Arial"/>
          <w:color w:val="000000" w:themeColor="text1"/>
          <w:sz w:val="22"/>
          <w:szCs w:val="22"/>
          <w:lang w:val="es-ES"/>
        </w:rPr>
        <w:t xml:space="preserve">MiPyME </w:t>
      </w:r>
      <w:r w:rsidR="004A5EB0" w:rsidRPr="00A84DC3">
        <w:rPr>
          <w:rFonts w:ascii="Arial" w:hAnsi="Arial" w:cs="Arial"/>
          <w:color w:val="000000" w:themeColor="text1"/>
          <w:sz w:val="22"/>
          <w:szCs w:val="22"/>
          <w:lang w:val="es-ES"/>
        </w:rPr>
        <w:t>no son</w:t>
      </w:r>
      <w:r w:rsidR="00B177E3" w:rsidRPr="00A84DC3">
        <w:rPr>
          <w:rFonts w:ascii="Arial" w:hAnsi="Arial" w:cs="Arial"/>
          <w:color w:val="000000" w:themeColor="text1"/>
          <w:sz w:val="22"/>
          <w:szCs w:val="22"/>
          <w:lang w:val="es-ES"/>
        </w:rPr>
        <w:t xml:space="preserve"> realizados por el equipo de CMF ni </w:t>
      </w:r>
      <w:r w:rsidR="003533D4" w:rsidRPr="00A84DC3">
        <w:rPr>
          <w:rFonts w:ascii="Arial" w:hAnsi="Arial" w:cs="Arial"/>
          <w:color w:val="000000" w:themeColor="text1"/>
          <w:sz w:val="22"/>
          <w:szCs w:val="22"/>
          <w:lang w:val="es-ES"/>
        </w:rPr>
        <w:t xml:space="preserve">se basan en </w:t>
      </w:r>
      <w:r w:rsidR="00B177E3" w:rsidRPr="00A84DC3">
        <w:rPr>
          <w:rFonts w:ascii="Arial" w:hAnsi="Arial" w:cs="Arial"/>
          <w:color w:val="000000" w:themeColor="text1"/>
          <w:sz w:val="22"/>
          <w:szCs w:val="22"/>
          <w:lang w:val="es-ES"/>
        </w:rPr>
        <w:t xml:space="preserve">aproximaciones </w:t>
      </w:r>
      <w:r w:rsidR="003533D4" w:rsidRPr="00A84DC3">
        <w:rPr>
          <w:rFonts w:ascii="Arial" w:hAnsi="Arial" w:cs="Arial"/>
          <w:color w:val="000000" w:themeColor="text1"/>
          <w:sz w:val="22"/>
          <w:szCs w:val="22"/>
          <w:lang w:val="es-ES"/>
        </w:rPr>
        <w:t>con fundamento</w:t>
      </w:r>
      <w:r w:rsidR="00B177E3" w:rsidRPr="00A84DC3">
        <w:rPr>
          <w:rFonts w:ascii="Arial" w:hAnsi="Arial" w:cs="Arial"/>
          <w:color w:val="000000" w:themeColor="text1"/>
          <w:sz w:val="22"/>
          <w:szCs w:val="22"/>
          <w:lang w:val="es-ES"/>
        </w:rPr>
        <w:t xml:space="preserve"> en literatura de casos similares</w:t>
      </w:r>
      <w:r w:rsidR="004A5EB0" w:rsidRPr="00A84DC3">
        <w:rPr>
          <w:rFonts w:ascii="Arial" w:hAnsi="Arial" w:cs="Arial"/>
          <w:color w:val="000000" w:themeColor="text1"/>
          <w:sz w:val="22"/>
          <w:szCs w:val="22"/>
          <w:lang w:val="es-ES"/>
        </w:rPr>
        <w:t>,</w:t>
      </w:r>
      <w:r w:rsidR="00B177E3" w:rsidRPr="00A84DC3">
        <w:rPr>
          <w:rFonts w:ascii="Arial" w:hAnsi="Arial" w:cs="Arial"/>
          <w:color w:val="000000" w:themeColor="text1"/>
          <w:sz w:val="22"/>
          <w:szCs w:val="22"/>
          <w:lang w:val="es-ES"/>
        </w:rPr>
        <w:t xml:space="preserve"> sino </w:t>
      </w:r>
      <w:r w:rsidR="004A5EB0" w:rsidRPr="00A84DC3">
        <w:rPr>
          <w:rFonts w:ascii="Arial" w:hAnsi="Arial" w:cs="Arial"/>
          <w:color w:val="000000" w:themeColor="text1"/>
          <w:sz w:val="22"/>
          <w:szCs w:val="22"/>
          <w:lang w:val="es-ES"/>
        </w:rPr>
        <w:t xml:space="preserve">que provienen de </w:t>
      </w:r>
      <w:r w:rsidR="00B177E3" w:rsidRPr="00A84DC3">
        <w:rPr>
          <w:rFonts w:ascii="Arial" w:hAnsi="Arial" w:cs="Arial"/>
          <w:color w:val="000000" w:themeColor="text1"/>
          <w:sz w:val="22"/>
          <w:szCs w:val="22"/>
          <w:lang w:val="es-ES"/>
        </w:rPr>
        <w:t>los mejores datos disponibles para la caracterización de estas actividades</w:t>
      </w:r>
      <w:r w:rsidR="00F10FC6" w:rsidRPr="00A84DC3">
        <w:rPr>
          <w:rFonts w:ascii="Arial" w:hAnsi="Arial" w:cs="Arial"/>
          <w:color w:val="000000" w:themeColor="text1"/>
          <w:sz w:val="22"/>
          <w:szCs w:val="22"/>
          <w:lang w:val="es-ES"/>
        </w:rPr>
        <w:t xml:space="preserve">. </w:t>
      </w:r>
    </w:p>
    <w:p w14:paraId="14786AFA" w14:textId="77777777" w:rsidR="00A84DC3" w:rsidRDefault="007929EC" w:rsidP="002F4186">
      <w:pPr>
        <w:pStyle w:val="Paragraph"/>
        <w:tabs>
          <w:tab w:val="num" w:pos="720"/>
        </w:tabs>
        <w:ind w:left="720" w:hanging="720"/>
        <w:rPr>
          <w:rFonts w:ascii="Arial" w:hAnsi="Arial" w:cs="Arial"/>
          <w:color w:val="000000" w:themeColor="text1"/>
          <w:sz w:val="22"/>
          <w:szCs w:val="22"/>
          <w:lang w:val="es-ES"/>
        </w:rPr>
      </w:pPr>
      <w:r w:rsidRPr="00A84DC3">
        <w:rPr>
          <w:rFonts w:ascii="Arial" w:hAnsi="Arial" w:cs="Arial"/>
          <w:b/>
          <w:color w:val="000000" w:themeColor="text1"/>
          <w:sz w:val="22"/>
          <w:szCs w:val="22"/>
          <w:lang w:val="es-ES"/>
        </w:rPr>
        <w:t>Flujos netos y otras caracterizaciones.</w:t>
      </w:r>
      <w:r w:rsidRPr="00A84DC3">
        <w:rPr>
          <w:rFonts w:ascii="Arial" w:hAnsi="Arial" w:cs="Arial"/>
          <w:color w:val="000000" w:themeColor="text1"/>
          <w:sz w:val="22"/>
          <w:szCs w:val="22"/>
          <w:lang w:val="es-ES"/>
        </w:rPr>
        <w:t xml:space="preserve"> </w:t>
      </w:r>
      <w:r w:rsidR="00866A00" w:rsidRPr="00A84DC3">
        <w:rPr>
          <w:rFonts w:ascii="Arial" w:hAnsi="Arial" w:cs="Arial"/>
          <w:color w:val="000000" w:themeColor="text1"/>
          <w:sz w:val="22"/>
          <w:szCs w:val="22"/>
          <w:lang w:val="es-ES"/>
        </w:rPr>
        <w:t xml:space="preserve">Las mencionadas proyecciones permiten calcular la diferencia entre ingresos y egresos atribuibles a la ejecución </w:t>
      </w:r>
      <w:r w:rsidR="00C91329" w:rsidRPr="00A84DC3">
        <w:rPr>
          <w:rFonts w:ascii="Arial" w:hAnsi="Arial" w:cs="Arial"/>
          <w:color w:val="000000" w:themeColor="text1"/>
          <w:sz w:val="22"/>
          <w:szCs w:val="22"/>
          <w:lang w:val="es-ES"/>
        </w:rPr>
        <w:t>de los proyectos</w:t>
      </w:r>
      <w:r w:rsidR="00866A00" w:rsidRPr="00A84DC3">
        <w:rPr>
          <w:rFonts w:ascii="Arial" w:hAnsi="Arial" w:cs="Arial"/>
          <w:color w:val="000000" w:themeColor="text1"/>
          <w:sz w:val="22"/>
          <w:szCs w:val="22"/>
          <w:lang w:val="es-ES"/>
        </w:rPr>
        <w:t xml:space="preserve"> de inversión </w:t>
      </w:r>
      <w:r w:rsidR="00C91329" w:rsidRPr="00A84DC3">
        <w:rPr>
          <w:rFonts w:ascii="Arial" w:hAnsi="Arial" w:cs="Arial"/>
          <w:color w:val="000000" w:themeColor="text1"/>
          <w:sz w:val="22"/>
          <w:szCs w:val="22"/>
          <w:lang w:val="es-ES"/>
        </w:rPr>
        <w:t xml:space="preserve">y crédito </w:t>
      </w:r>
      <w:r w:rsidR="00866A00" w:rsidRPr="00A84DC3">
        <w:rPr>
          <w:rFonts w:ascii="Arial" w:hAnsi="Arial" w:cs="Arial"/>
          <w:color w:val="000000" w:themeColor="text1"/>
          <w:sz w:val="22"/>
          <w:szCs w:val="22"/>
          <w:lang w:val="es-ES"/>
        </w:rPr>
        <w:t>típico</w:t>
      </w:r>
      <w:r w:rsidR="00C91329" w:rsidRPr="00A84DC3">
        <w:rPr>
          <w:rFonts w:ascii="Arial" w:hAnsi="Arial" w:cs="Arial"/>
          <w:color w:val="000000" w:themeColor="text1"/>
          <w:sz w:val="22"/>
          <w:szCs w:val="22"/>
          <w:lang w:val="es-ES"/>
        </w:rPr>
        <w:t>s</w:t>
      </w:r>
      <w:r w:rsidR="00866A00" w:rsidRPr="00A84DC3">
        <w:rPr>
          <w:rFonts w:ascii="Arial" w:hAnsi="Arial" w:cs="Arial"/>
          <w:color w:val="000000" w:themeColor="text1"/>
          <w:sz w:val="22"/>
          <w:szCs w:val="22"/>
          <w:lang w:val="es-ES"/>
        </w:rPr>
        <w:t xml:space="preserve"> apoyado</w:t>
      </w:r>
      <w:r w:rsidR="00C91329" w:rsidRPr="00A84DC3">
        <w:rPr>
          <w:rFonts w:ascii="Arial" w:hAnsi="Arial" w:cs="Arial"/>
          <w:color w:val="000000" w:themeColor="text1"/>
          <w:sz w:val="22"/>
          <w:szCs w:val="22"/>
          <w:lang w:val="es-ES"/>
        </w:rPr>
        <w:t>s</w:t>
      </w:r>
      <w:r w:rsidR="00866A00" w:rsidRPr="00A84DC3">
        <w:rPr>
          <w:rFonts w:ascii="Arial" w:hAnsi="Arial" w:cs="Arial"/>
          <w:color w:val="000000" w:themeColor="text1"/>
          <w:sz w:val="22"/>
          <w:szCs w:val="22"/>
          <w:lang w:val="es-ES"/>
        </w:rPr>
        <w:t xml:space="preserve"> por </w:t>
      </w:r>
      <w:r w:rsidR="00C91329" w:rsidRPr="00A84DC3">
        <w:rPr>
          <w:rFonts w:ascii="Arial" w:hAnsi="Arial" w:cs="Arial"/>
          <w:color w:val="000000" w:themeColor="text1"/>
          <w:sz w:val="22"/>
          <w:szCs w:val="22"/>
          <w:lang w:val="es-ES"/>
        </w:rPr>
        <w:t>FONPLATA</w:t>
      </w:r>
      <w:r w:rsidR="00866A00" w:rsidRPr="00A84DC3">
        <w:rPr>
          <w:rFonts w:ascii="Arial" w:hAnsi="Arial" w:cs="Arial"/>
          <w:color w:val="000000" w:themeColor="text1"/>
          <w:sz w:val="22"/>
          <w:szCs w:val="22"/>
          <w:lang w:val="es-ES"/>
        </w:rPr>
        <w:t xml:space="preserve">. Las condiciones se detallan con más precisión más adelante, pero cabe adelantar que </w:t>
      </w:r>
      <w:r w:rsidR="00C91329" w:rsidRPr="00A84DC3">
        <w:rPr>
          <w:rFonts w:ascii="Arial" w:hAnsi="Arial" w:cs="Arial"/>
          <w:color w:val="000000" w:themeColor="text1"/>
          <w:sz w:val="22"/>
          <w:szCs w:val="22"/>
          <w:lang w:val="es-ES"/>
        </w:rPr>
        <w:t>e</w:t>
      </w:r>
      <w:r w:rsidR="00C7056E" w:rsidRPr="00A84DC3">
        <w:rPr>
          <w:rFonts w:ascii="Arial" w:hAnsi="Arial" w:cs="Arial"/>
          <w:color w:val="000000" w:themeColor="text1"/>
          <w:sz w:val="22"/>
          <w:szCs w:val="22"/>
          <w:lang w:val="es-ES"/>
        </w:rPr>
        <w:t xml:space="preserve">l cálculo del VPN supone que el capital remanente del programa será destinado a la generación de </w:t>
      </w:r>
      <w:r w:rsidR="00214CB7" w:rsidRPr="00A84DC3">
        <w:rPr>
          <w:rFonts w:ascii="Arial" w:hAnsi="Arial" w:cs="Arial"/>
          <w:color w:val="000000" w:themeColor="text1"/>
          <w:sz w:val="22"/>
          <w:szCs w:val="22"/>
          <w:lang w:val="es-ES"/>
        </w:rPr>
        <w:t>proyectos de inversión</w:t>
      </w:r>
      <w:r w:rsidR="00C7056E" w:rsidRPr="00A84DC3">
        <w:rPr>
          <w:rFonts w:ascii="Arial" w:hAnsi="Arial" w:cs="Arial"/>
          <w:color w:val="000000" w:themeColor="text1"/>
          <w:sz w:val="22"/>
          <w:szCs w:val="22"/>
          <w:lang w:val="es-ES"/>
        </w:rPr>
        <w:t xml:space="preserve">, y no se incluye en el cálculo los </w:t>
      </w:r>
      <w:r w:rsidR="00214CB7" w:rsidRPr="00A84DC3">
        <w:rPr>
          <w:rFonts w:ascii="Arial" w:hAnsi="Arial" w:cs="Arial"/>
          <w:color w:val="000000" w:themeColor="text1"/>
          <w:sz w:val="22"/>
          <w:szCs w:val="22"/>
          <w:lang w:val="es-ES"/>
        </w:rPr>
        <w:t>proyectos</w:t>
      </w:r>
      <w:r w:rsidR="00C7056E" w:rsidRPr="00A84DC3">
        <w:rPr>
          <w:rFonts w:ascii="Arial" w:hAnsi="Arial" w:cs="Arial"/>
          <w:color w:val="000000" w:themeColor="text1"/>
          <w:sz w:val="22"/>
          <w:szCs w:val="22"/>
          <w:lang w:val="es-ES"/>
        </w:rPr>
        <w:t xml:space="preserve"> adicionales que se podrían otorgar a partir </w:t>
      </w:r>
      <w:r w:rsidR="00CB14CD" w:rsidRPr="00A84DC3">
        <w:rPr>
          <w:rFonts w:ascii="Arial" w:hAnsi="Arial" w:cs="Arial"/>
          <w:color w:val="000000" w:themeColor="text1"/>
          <w:sz w:val="22"/>
          <w:szCs w:val="22"/>
          <w:lang w:val="es-ES"/>
        </w:rPr>
        <w:t xml:space="preserve">de </w:t>
      </w:r>
      <w:r w:rsidR="00C7056E" w:rsidRPr="00A84DC3">
        <w:rPr>
          <w:rFonts w:ascii="Arial" w:hAnsi="Arial" w:cs="Arial"/>
          <w:color w:val="000000" w:themeColor="text1"/>
          <w:sz w:val="22"/>
          <w:szCs w:val="22"/>
          <w:lang w:val="es-ES"/>
        </w:rPr>
        <w:t xml:space="preserve">las ganancias operativas derivadas de estas operaciones por parte de </w:t>
      </w:r>
      <w:r w:rsidR="00214CB7" w:rsidRPr="00A84DC3">
        <w:rPr>
          <w:rFonts w:ascii="Arial" w:hAnsi="Arial" w:cs="Arial"/>
          <w:color w:val="000000" w:themeColor="text1"/>
          <w:sz w:val="22"/>
          <w:szCs w:val="22"/>
          <w:lang w:val="es-ES"/>
        </w:rPr>
        <w:t>FONPLATA</w:t>
      </w:r>
      <w:r w:rsidR="00C7056E" w:rsidRPr="00A84DC3">
        <w:rPr>
          <w:rFonts w:ascii="Arial" w:hAnsi="Arial" w:cs="Arial"/>
          <w:color w:val="000000" w:themeColor="text1"/>
          <w:sz w:val="22"/>
          <w:szCs w:val="22"/>
          <w:lang w:val="es-ES"/>
        </w:rPr>
        <w:t>. Se procede de esta manera bajo el principio de prudencia en la estimación de</w:t>
      </w:r>
      <w:r w:rsidR="00A84DC3" w:rsidRPr="00A84DC3">
        <w:rPr>
          <w:rFonts w:ascii="Arial" w:hAnsi="Arial" w:cs="Arial"/>
          <w:color w:val="000000" w:themeColor="text1"/>
          <w:sz w:val="22"/>
          <w:szCs w:val="22"/>
          <w:lang w:val="es-ES"/>
        </w:rPr>
        <w:t xml:space="preserve"> los flujos positivos asociados </w:t>
      </w:r>
      <w:r w:rsidR="00C7056E" w:rsidRPr="00A84DC3">
        <w:rPr>
          <w:rFonts w:ascii="Arial" w:hAnsi="Arial" w:cs="Arial"/>
          <w:color w:val="000000" w:themeColor="text1"/>
          <w:sz w:val="22"/>
          <w:szCs w:val="22"/>
          <w:lang w:val="es-ES"/>
        </w:rPr>
        <w:t>al</w:t>
      </w:r>
      <w:r w:rsidR="00A84DC3" w:rsidRPr="00A84DC3">
        <w:rPr>
          <w:rFonts w:ascii="Arial" w:hAnsi="Arial" w:cs="Arial"/>
          <w:color w:val="000000" w:themeColor="text1"/>
          <w:sz w:val="22"/>
          <w:szCs w:val="22"/>
          <w:lang w:val="es-ES"/>
        </w:rPr>
        <w:t> </w:t>
      </w:r>
      <w:bookmarkStart w:id="12" w:name="_Ref360388520"/>
      <w:r w:rsidR="00A84DC3">
        <w:rPr>
          <w:rFonts w:ascii="Arial" w:hAnsi="Arial" w:cs="Arial"/>
          <w:color w:val="000000" w:themeColor="text1"/>
          <w:sz w:val="22"/>
          <w:szCs w:val="22"/>
          <w:lang w:val="es-ES"/>
        </w:rPr>
        <w:t>programa.</w:t>
      </w:r>
    </w:p>
    <w:p w14:paraId="6AACBB81" w14:textId="64C38837" w:rsidR="00F7734A" w:rsidRPr="00A84DC3" w:rsidRDefault="0074742C" w:rsidP="00A84DC3">
      <w:pPr>
        <w:pStyle w:val="Paragraph"/>
        <w:tabs>
          <w:tab w:val="num" w:pos="720"/>
        </w:tabs>
        <w:ind w:left="720" w:hanging="720"/>
        <w:rPr>
          <w:rFonts w:ascii="Arial" w:hAnsi="Arial" w:cs="Arial"/>
          <w:color w:val="000000" w:themeColor="text1"/>
          <w:sz w:val="22"/>
          <w:szCs w:val="22"/>
          <w:lang w:val="es-ES"/>
        </w:rPr>
      </w:pPr>
      <w:r w:rsidRPr="00A84DC3">
        <w:rPr>
          <w:rFonts w:ascii="Arial" w:hAnsi="Arial" w:cs="Arial"/>
          <w:b/>
          <w:color w:val="000000" w:themeColor="text1"/>
          <w:sz w:val="22"/>
          <w:szCs w:val="22"/>
          <w:lang w:val="es-ES"/>
        </w:rPr>
        <w:t>Montos y mecanismos de distribución</w:t>
      </w:r>
      <w:r w:rsidRPr="00A84DC3">
        <w:rPr>
          <w:rFonts w:ascii="Arial" w:hAnsi="Arial" w:cs="Arial"/>
          <w:color w:val="000000" w:themeColor="text1"/>
          <w:sz w:val="22"/>
          <w:szCs w:val="22"/>
          <w:lang w:val="es-ES"/>
        </w:rPr>
        <w:t xml:space="preserve">. </w:t>
      </w:r>
      <w:r w:rsidR="008F0E4F" w:rsidRPr="00A84DC3">
        <w:rPr>
          <w:rFonts w:ascii="Arial" w:hAnsi="Arial" w:cs="Arial"/>
          <w:color w:val="000000" w:themeColor="text1"/>
          <w:sz w:val="22"/>
          <w:szCs w:val="22"/>
          <w:lang w:val="es-ES"/>
        </w:rPr>
        <w:t>E</w:t>
      </w:r>
      <w:r w:rsidR="00F10FC6" w:rsidRPr="00A84DC3">
        <w:rPr>
          <w:rFonts w:ascii="Arial" w:hAnsi="Arial" w:cs="Arial"/>
          <w:color w:val="000000" w:themeColor="text1"/>
          <w:sz w:val="22"/>
          <w:szCs w:val="22"/>
          <w:lang w:val="es-ES"/>
        </w:rPr>
        <w:t>l monto total de</w:t>
      </w:r>
      <w:r w:rsidR="008F0E4F" w:rsidRPr="00A84DC3">
        <w:rPr>
          <w:rFonts w:ascii="Arial" w:hAnsi="Arial" w:cs="Arial"/>
          <w:color w:val="000000" w:themeColor="text1"/>
          <w:sz w:val="22"/>
          <w:szCs w:val="22"/>
          <w:lang w:val="es-ES"/>
        </w:rPr>
        <w:t xml:space="preserve">stinado a </w:t>
      </w:r>
      <w:r w:rsidR="00F10FC6" w:rsidRPr="00A84DC3">
        <w:rPr>
          <w:rFonts w:ascii="Arial" w:hAnsi="Arial" w:cs="Arial"/>
          <w:color w:val="000000" w:themeColor="text1"/>
          <w:sz w:val="22"/>
          <w:szCs w:val="22"/>
          <w:lang w:val="es-ES"/>
        </w:rPr>
        <w:t xml:space="preserve">financiamiento </w:t>
      </w:r>
      <w:r w:rsidR="008F0E4F" w:rsidRPr="00A84DC3">
        <w:rPr>
          <w:rFonts w:ascii="Arial" w:hAnsi="Arial" w:cs="Arial"/>
          <w:color w:val="000000" w:themeColor="text1"/>
          <w:sz w:val="22"/>
          <w:szCs w:val="22"/>
          <w:lang w:val="es-ES"/>
        </w:rPr>
        <w:t xml:space="preserve">asciende </w:t>
      </w:r>
      <w:r w:rsidR="00280C72" w:rsidRPr="00A84DC3">
        <w:rPr>
          <w:rFonts w:ascii="Arial" w:hAnsi="Arial" w:cs="Arial"/>
          <w:color w:val="000000" w:themeColor="text1"/>
          <w:sz w:val="22"/>
          <w:szCs w:val="22"/>
          <w:lang w:val="es-ES"/>
        </w:rPr>
        <w:t>a</w:t>
      </w:r>
      <w:r w:rsidR="008F0E4F" w:rsidRPr="00A84DC3">
        <w:rPr>
          <w:rFonts w:ascii="Arial" w:hAnsi="Arial" w:cs="Arial"/>
          <w:color w:val="000000" w:themeColor="text1"/>
          <w:sz w:val="22"/>
          <w:szCs w:val="22"/>
          <w:lang w:val="es-ES"/>
        </w:rPr>
        <w:t xml:space="preserve"> </w:t>
      </w:r>
      <w:r w:rsidR="00280C72" w:rsidRPr="00A84DC3">
        <w:rPr>
          <w:rFonts w:ascii="Arial" w:hAnsi="Arial" w:cs="Arial"/>
          <w:color w:val="000000" w:themeColor="text1"/>
          <w:sz w:val="22"/>
          <w:szCs w:val="22"/>
          <w:lang w:val="es-ES"/>
        </w:rPr>
        <w:t xml:space="preserve">US$100 </w:t>
      </w:r>
      <w:r w:rsidR="00F10FC6" w:rsidRPr="00A84DC3">
        <w:rPr>
          <w:rFonts w:ascii="Arial" w:hAnsi="Arial" w:cs="Arial"/>
          <w:color w:val="000000" w:themeColor="text1"/>
          <w:sz w:val="22"/>
          <w:szCs w:val="22"/>
          <w:lang w:val="es-ES"/>
        </w:rPr>
        <w:t>millones</w:t>
      </w:r>
      <w:r w:rsidR="00280C72" w:rsidRPr="00A84DC3">
        <w:rPr>
          <w:rFonts w:ascii="Arial" w:hAnsi="Arial" w:cs="Arial"/>
          <w:color w:val="000000" w:themeColor="text1"/>
          <w:sz w:val="22"/>
          <w:szCs w:val="22"/>
          <w:lang w:val="es-ES"/>
        </w:rPr>
        <w:t xml:space="preserve">, con una </w:t>
      </w:r>
      <w:r w:rsidR="00DF292E" w:rsidRPr="00A84DC3">
        <w:rPr>
          <w:rFonts w:ascii="Arial" w:hAnsi="Arial" w:cs="Arial"/>
          <w:color w:val="000000" w:themeColor="text1"/>
          <w:sz w:val="22"/>
          <w:szCs w:val="22"/>
          <w:lang w:val="es-ES"/>
        </w:rPr>
        <w:t xml:space="preserve">contrapartida de </w:t>
      </w:r>
      <w:r w:rsidR="00280C72" w:rsidRPr="00A84DC3">
        <w:rPr>
          <w:rFonts w:ascii="Arial" w:hAnsi="Arial" w:cs="Arial"/>
          <w:color w:val="000000" w:themeColor="text1"/>
          <w:sz w:val="22"/>
          <w:szCs w:val="22"/>
          <w:lang w:val="es-ES"/>
        </w:rPr>
        <w:t>US$3</w:t>
      </w:r>
      <w:r w:rsidR="00A84DC3">
        <w:rPr>
          <w:rFonts w:ascii="Arial" w:hAnsi="Arial" w:cs="Arial"/>
          <w:color w:val="000000" w:themeColor="text1"/>
          <w:sz w:val="22"/>
          <w:szCs w:val="22"/>
          <w:lang w:val="es-ES"/>
        </w:rPr>
        <w:t>0 </w:t>
      </w:r>
      <w:r w:rsidR="00280C72" w:rsidRPr="00A84DC3">
        <w:rPr>
          <w:rFonts w:ascii="Arial" w:hAnsi="Arial" w:cs="Arial"/>
          <w:color w:val="000000" w:themeColor="text1"/>
          <w:sz w:val="22"/>
          <w:szCs w:val="22"/>
          <w:lang w:val="es-ES"/>
        </w:rPr>
        <w:t>millones</w:t>
      </w:r>
      <w:r w:rsidR="008F0E4F" w:rsidRPr="00A84DC3">
        <w:rPr>
          <w:rFonts w:ascii="Arial" w:hAnsi="Arial" w:cs="Arial"/>
          <w:color w:val="000000" w:themeColor="text1"/>
          <w:sz w:val="22"/>
          <w:szCs w:val="22"/>
          <w:lang w:val="es-ES"/>
        </w:rPr>
        <w:t>.</w:t>
      </w:r>
      <w:r w:rsidR="00C7056E" w:rsidRPr="00A84DC3">
        <w:rPr>
          <w:rFonts w:ascii="Arial" w:hAnsi="Arial" w:cs="Arial"/>
          <w:color w:val="000000" w:themeColor="text1"/>
          <w:sz w:val="22"/>
          <w:szCs w:val="22"/>
          <w:lang w:val="es-ES"/>
        </w:rPr>
        <w:t xml:space="preserve"> Se espera que el</w:t>
      </w:r>
      <w:r w:rsidR="00F7734A" w:rsidRPr="00A84DC3">
        <w:rPr>
          <w:rFonts w:ascii="Arial" w:hAnsi="Arial" w:cs="Arial"/>
          <w:color w:val="000000" w:themeColor="text1"/>
          <w:sz w:val="22"/>
          <w:szCs w:val="22"/>
          <w:lang w:val="es-ES"/>
        </w:rPr>
        <w:t xml:space="preserve"> </w:t>
      </w:r>
      <w:r w:rsidR="00280C72" w:rsidRPr="00A84DC3">
        <w:rPr>
          <w:rFonts w:ascii="Arial" w:hAnsi="Arial" w:cs="Arial"/>
          <w:color w:val="000000" w:themeColor="text1"/>
          <w:sz w:val="22"/>
          <w:szCs w:val="22"/>
          <w:lang w:val="es-ES"/>
        </w:rPr>
        <w:t>80</w:t>
      </w:r>
      <w:r w:rsidR="00F7734A" w:rsidRPr="00A84DC3">
        <w:rPr>
          <w:rFonts w:ascii="Arial" w:hAnsi="Arial" w:cs="Arial"/>
          <w:color w:val="000000" w:themeColor="text1"/>
          <w:sz w:val="22"/>
          <w:szCs w:val="22"/>
          <w:lang w:val="es-ES"/>
        </w:rPr>
        <w:t xml:space="preserve">% </w:t>
      </w:r>
      <w:r w:rsidR="00280C72" w:rsidRPr="00A84DC3">
        <w:rPr>
          <w:rFonts w:ascii="Arial" w:hAnsi="Arial" w:cs="Arial"/>
          <w:color w:val="000000" w:themeColor="text1"/>
          <w:sz w:val="22"/>
          <w:szCs w:val="22"/>
          <w:lang w:val="es-ES"/>
        </w:rPr>
        <w:t>del monto sea</w:t>
      </w:r>
      <w:r w:rsidR="00F7734A" w:rsidRPr="00A84DC3">
        <w:rPr>
          <w:rFonts w:ascii="Arial" w:hAnsi="Arial" w:cs="Arial"/>
          <w:color w:val="000000" w:themeColor="text1"/>
          <w:sz w:val="22"/>
          <w:szCs w:val="22"/>
          <w:lang w:val="es-ES"/>
        </w:rPr>
        <w:t xml:space="preserve"> destinado a los </w:t>
      </w:r>
      <w:r w:rsidR="00280C72" w:rsidRPr="00A84DC3">
        <w:rPr>
          <w:rFonts w:ascii="Arial" w:hAnsi="Arial" w:cs="Arial"/>
          <w:color w:val="000000" w:themeColor="text1"/>
          <w:sz w:val="22"/>
          <w:szCs w:val="22"/>
          <w:lang w:val="es-ES"/>
        </w:rPr>
        <w:t xml:space="preserve">proyectos de inversión en infraestructura para la integración </w:t>
      </w:r>
      <w:r w:rsidR="00285F0E" w:rsidRPr="00A84DC3">
        <w:rPr>
          <w:rFonts w:ascii="Arial" w:hAnsi="Arial" w:cs="Arial"/>
          <w:color w:val="000000" w:themeColor="text1"/>
          <w:sz w:val="22"/>
          <w:szCs w:val="22"/>
          <w:lang w:val="es-ES"/>
        </w:rPr>
        <w:t xml:space="preserve">socioeconómicamente </w:t>
      </w:r>
      <w:r w:rsidR="00285F0E" w:rsidRPr="00A84DC3">
        <w:rPr>
          <w:rFonts w:ascii="Arial" w:hAnsi="Arial" w:cs="Arial"/>
          <w:color w:val="000000" w:themeColor="text1"/>
          <w:sz w:val="22"/>
          <w:szCs w:val="22"/>
          <w:lang w:val="es-ES"/>
        </w:rPr>
        <w:lastRenderedPageBreak/>
        <w:t xml:space="preserve">beneficiosos y </w:t>
      </w:r>
      <w:r w:rsidR="00280C72" w:rsidRPr="00A84DC3">
        <w:rPr>
          <w:rFonts w:ascii="Arial" w:hAnsi="Arial" w:cs="Arial"/>
          <w:color w:val="000000" w:themeColor="text1"/>
          <w:sz w:val="22"/>
          <w:szCs w:val="22"/>
          <w:lang w:val="es-ES"/>
        </w:rPr>
        <w:t>elegibles</w:t>
      </w:r>
      <w:r w:rsidR="00285F0E" w:rsidRPr="00A84DC3">
        <w:rPr>
          <w:rFonts w:ascii="Arial" w:hAnsi="Arial" w:cs="Arial"/>
          <w:color w:val="000000" w:themeColor="text1"/>
          <w:sz w:val="22"/>
          <w:szCs w:val="22"/>
          <w:lang w:val="es-ES"/>
        </w:rPr>
        <w:t xml:space="preserve"> según las políticas de BID y FONPLATA</w:t>
      </w:r>
      <w:r w:rsidR="00285F0E" w:rsidRPr="00A84DC3">
        <w:rPr>
          <w:rStyle w:val="FootnoteReference"/>
          <w:rFonts w:ascii="Arial" w:hAnsi="Arial" w:cs="Arial"/>
          <w:color w:val="000000" w:themeColor="text1"/>
          <w:sz w:val="22"/>
          <w:szCs w:val="22"/>
          <w:lang w:val="es-ES"/>
        </w:rPr>
        <w:footnoteReference w:id="14"/>
      </w:r>
      <w:r w:rsidR="00285F0E" w:rsidRPr="00A84DC3">
        <w:rPr>
          <w:rFonts w:ascii="Arial" w:hAnsi="Arial" w:cs="Arial"/>
          <w:color w:val="000000" w:themeColor="text1"/>
          <w:sz w:val="22"/>
          <w:szCs w:val="22"/>
          <w:lang w:val="es-ES"/>
        </w:rPr>
        <w:t xml:space="preserve"> -en particular, se espera que US$64 millones se destine a proyectos de rehabilitación de infraestructura existente para la integración (principalmente carreteras y puentes</w:t>
      </w:r>
      <w:r w:rsidR="00A84DC3">
        <w:rPr>
          <w:rFonts w:ascii="Arial" w:hAnsi="Arial" w:cs="Arial"/>
          <w:color w:val="000000" w:themeColor="text1"/>
          <w:sz w:val="22"/>
          <w:szCs w:val="22"/>
          <w:lang w:val="es-ES"/>
        </w:rPr>
        <w:t>)</w:t>
      </w:r>
      <w:r w:rsidR="000F4E64">
        <w:rPr>
          <w:rFonts w:ascii="Arial" w:hAnsi="Arial" w:cs="Arial"/>
          <w:color w:val="000000" w:themeColor="text1"/>
          <w:sz w:val="22"/>
          <w:szCs w:val="22"/>
          <w:lang w:val="es-ES"/>
        </w:rPr>
        <w:t xml:space="preserve">, </w:t>
      </w:r>
      <w:r w:rsidR="00280C72" w:rsidRPr="00A84DC3">
        <w:rPr>
          <w:rFonts w:ascii="Arial" w:hAnsi="Arial" w:cs="Arial"/>
          <w:color w:val="000000" w:themeColor="text1"/>
          <w:sz w:val="22"/>
          <w:szCs w:val="22"/>
          <w:lang w:val="es-ES"/>
        </w:rPr>
        <w:t xml:space="preserve">y un 20% en programas de apoyo al financiamiento </w:t>
      </w:r>
      <w:r w:rsidR="00BC1652" w:rsidRPr="00A84DC3">
        <w:rPr>
          <w:rFonts w:ascii="Arial" w:hAnsi="Arial" w:cs="Arial"/>
          <w:color w:val="000000" w:themeColor="text1"/>
          <w:sz w:val="22"/>
          <w:szCs w:val="22"/>
          <w:lang w:val="es-ES"/>
        </w:rPr>
        <w:t xml:space="preserve">productivo </w:t>
      </w:r>
      <w:r w:rsidR="00280C72" w:rsidRPr="00A84DC3">
        <w:rPr>
          <w:rFonts w:ascii="Arial" w:hAnsi="Arial" w:cs="Arial"/>
          <w:color w:val="000000" w:themeColor="text1"/>
          <w:sz w:val="22"/>
          <w:szCs w:val="22"/>
          <w:lang w:val="es-ES"/>
        </w:rPr>
        <w:t xml:space="preserve">de </w:t>
      </w:r>
      <w:r w:rsidR="00244828">
        <w:rPr>
          <w:rFonts w:ascii="Arial" w:hAnsi="Arial" w:cs="Arial"/>
          <w:color w:val="000000" w:themeColor="text1"/>
          <w:sz w:val="22"/>
          <w:szCs w:val="22"/>
          <w:lang w:val="es-ES"/>
        </w:rPr>
        <w:t xml:space="preserve">las </w:t>
      </w:r>
      <w:r w:rsidR="00280C72" w:rsidRPr="00A84DC3">
        <w:rPr>
          <w:rFonts w:ascii="Arial" w:hAnsi="Arial" w:cs="Arial"/>
          <w:color w:val="000000" w:themeColor="text1"/>
          <w:sz w:val="22"/>
          <w:szCs w:val="22"/>
          <w:lang w:val="es-ES"/>
        </w:rPr>
        <w:t>MiPyME</w:t>
      </w:r>
      <w:r w:rsidR="00285F0E" w:rsidRPr="00A84DC3">
        <w:rPr>
          <w:rFonts w:ascii="Arial" w:hAnsi="Arial" w:cs="Arial"/>
          <w:color w:val="000000" w:themeColor="text1"/>
          <w:sz w:val="22"/>
          <w:szCs w:val="22"/>
          <w:lang w:val="es-ES"/>
        </w:rPr>
        <w:t xml:space="preserve">. </w:t>
      </w:r>
      <w:r w:rsidR="00E9482D" w:rsidRPr="00A84DC3">
        <w:rPr>
          <w:rFonts w:ascii="Arial" w:hAnsi="Arial" w:cs="Arial"/>
          <w:color w:val="000000" w:themeColor="text1"/>
          <w:sz w:val="22"/>
          <w:szCs w:val="22"/>
          <w:lang w:val="es-ES"/>
        </w:rPr>
        <w:t>Las características particulares que informan los valores típicos utilizados para los proyectos se detallan con mayor precisión más abajo.</w:t>
      </w:r>
    </w:p>
    <w:bookmarkEnd w:id="12"/>
    <w:p w14:paraId="7FA24564" w14:textId="77777777" w:rsidR="00F10FC6" w:rsidRPr="00A84DC3" w:rsidRDefault="0074742C" w:rsidP="00C7056E">
      <w:pPr>
        <w:pStyle w:val="Paragraph"/>
        <w:tabs>
          <w:tab w:val="num" w:pos="720"/>
        </w:tabs>
        <w:ind w:left="720" w:hanging="720"/>
        <w:rPr>
          <w:rFonts w:ascii="Arial" w:hAnsi="Arial" w:cs="Arial"/>
          <w:color w:val="000000" w:themeColor="text1"/>
          <w:sz w:val="22"/>
          <w:szCs w:val="22"/>
          <w:lang w:val="es-ES"/>
        </w:rPr>
      </w:pPr>
      <w:r w:rsidRPr="00A84DC3">
        <w:rPr>
          <w:rFonts w:ascii="Arial" w:hAnsi="Arial" w:cs="Arial"/>
          <w:b/>
          <w:color w:val="000000" w:themeColor="text1"/>
          <w:sz w:val="22"/>
          <w:szCs w:val="22"/>
          <w:lang w:val="es-ES"/>
        </w:rPr>
        <w:t>Tasa de descuento y VPN total</w:t>
      </w:r>
      <w:r w:rsidRPr="00A84DC3">
        <w:rPr>
          <w:rFonts w:ascii="Arial" w:hAnsi="Arial" w:cs="Arial"/>
          <w:color w:val="000000" w:themeColor="text1"/>
          <w:sz w:val="22"/>
          <w:szCs w:val="22"/>
          <w:lang w:val="es-ES"/>
        </w:rPr>
        <w:t xml:space="preserve">. </w:t>
      </w:r>
      <w:r w:rsidR="008F0E4F" w:rsidRPr="00A84DC3">
        <w:rPr>
          <w:rFonts w:ascii="Arial" w:hAnsi="Arial" w:cs="Arial"/>
          <w:color w:val="000000" w:themeColor="text1"/>
          <w:sz w:val="22"/>
          <w:szCs w:val="22"/>
          <w:lang w:val="es-ES"/>
        </w:rPr>
        <w:t>Los flujos de ingresos y egresos atribuibles se descuentan</w:t>
      </w:r>
      <w:r w:rsidR="00F10FC6" w:rsidRPr="00A84DC3">
        <w:rPr>
          <w:rFonts w:ascii="Arial" w:hAnsi="Arial" w:cs="Arial"/>
          <w:color w:val="000000" w:themeColor="text1"/>
          <w:sz w:val="22"/>
          <w:szCs w:val="22"/>
          <w:lang w:val="es-ES"/>
        </w:rPr>
        <w:t xml:space="preserve"> a la tasa del 12% (</w:t>
      </w:r>
      <w:r w:rsidR="008F0E4F" w:rsidRPr="00A84DC3">
        <w:rPr>
          <w:rFonts w:ascii="Arial" w:hAnsi="Arial" w:cs="Arial"/>
          <w:color w:val="000000" w:themeColor="text1"/>
          <w:sz w:val="22"/>
          <w:szCs w:val="22"/>
          <w:lang w:val="es-ES"/>
        </w:rPr>
        <w:t>tasa prestablecida por el Banco para este tipo de evaluaciones</w:t>
      </w:r>
      <w:r w:rsidR="00F10FC6" w:rsidRPr="00A84DC3">
        <w:rPr>
          <w:rFonts w:ascii="Arial" w:hAnsi="Arial" w:cs="Arial"/>
          <w:color w:val="000000" w:themeColor="text1"/>
          <w:sz w:val="22"/>
          <w:szCs w:val="22"/>
          <w:lang w:val="es-ES"/>
        </w:rPr>
        <w:t xml:space="preserve">). </w:t>
      </w:r>
      <w:r w:rsidR="008F0E4F" w:rsidRPr="00A84DC3">
        <w:rPr>
          <w:rFonts w:ascii="Arial" w:hAnsi="Arial" w:cs="Arial"/>
          <w:color w:val="000000" w:themeColor="text1"/>
          <w:sz w:val="22"/>
          <w:szCs w:val="22"/>
          <w:lang w:val="es-ES"/>
        </w:rPr>
        <w:t xml:space="preserve">Luego de tener </w:t>
      </w:r>
      <w:r w:rsidR="004B58A9" w:rsidRPr="00A84DC3">
        <w:rPr>
          <w:rFonts w:ascii="Arial" w:hAnsi="Arial" w:cs="Arial"/>
          <w:color w:val="000000" w:themeColor="text1"/>
          <w:sz w:val="22"/>
          <w:szCs w:val="22"/>
          <w:lang w:val="es-ES"/>
        </w:rPr>
        <w:t>en</w:t>
      </w:r>
      <w:r w:rsidR="008F0E4F" w:rsidRPr="00A84DC3">
        <w:rPr>
          <w:rFonts w:ascii="Arial" w:hAnsi="Arial" w:cs="Arial"/>
          <w:color w:val="000000" w:themeColor="text1"/>
          <w:sz w:val="22"/>
          <w:szCs w:val="22"/>
          <w:lang w:val="es-ES"/>
        </w:rPr>
        <w:t xml:space="preserve"> cuenta el perfil de</w:t>
      </w:r>
      <w:r w:rsidR="00F7734A" w:rsidRPr="00A84DC3">
        <w:rPr>
          <w:rFonts w:ascii="Arial" w:hAnsi="Arial" w:cs="Arial"/>
          <w:color w:val="000000" w:themeColor="text1"/>
          <w:sz w:val="22"/>
          <w:szCs w:val="22"/>
          <w:lang w:val="es-ES"/>
        </w:rPr>
        <w:t xml:space="preserve"> desembolsos, se calcula el VPN</w:t>
      </w:r>
      <w:r w:rsidR="008F0E4F" w:rsidRPr="00A84DC3">
        <w:rPr>
          <w:rFonts w:ascii="Arial" w:hAnsi="Arial" w:cs="Arial"/>
          <w:color w:val="000000" w:themeColor="text1"/>
          <w:sz w:val="22"/>
          <w:szCs w:val="22"/>
          <w:lang w:val="es-ES"/>
        </w:rPr>
        <w:t xml:space="preserve"> (Valor Presente Neto)</w:t>
      </w:r>
      <w:r w:rsidR="00F10FC6" w:rsidRPr="00A84DC3">
        <w:rPr>
          <w:rFonts w:ascii="Arial" w:hAnsi="Arial" w:cs="Arial"/>
          <w:color w:val="000000" w:themeColor="text1"/>
          <w:sz w:val="22"/>
          <w:szCs w:val="22"/>
          <w:lang w:val="es-ES"/>
        </w:rPr>
        <w:t xml:space="preserve">, indicador </w:t>
      </w:r>
      <w:r w:rsidR="008F0E4F" w:rsidRPr="00A84DC3">
        <w:rPr>
          <w:rFonts w:ascii="Arial" w:hAnsi="Arial" w:cs="Arial"/>
          <w:color w:val="000000" w:themeColor="text1"/>
          <w:sz w:val="22"/>
          <w:szCs w:val="22"/>
          <w:lang w:val="es-ES"/>
        </w:rPr>
        <w:t>que determina si se espera que el programa genere beneficios o pérdidas para el país.</w:t>
      </w:r>
    </w:p>
    <w:p w14:paraId="0F4D1793" w14:textId="4A87413D" w:rsidR="00FB7877" w:rsidRPr="00A84DC3" w:rsidRDefault="00DB782F" w:rsidP="00FB7877">
      <w:pPr>
        <w:pStyle w:val="Paragraph"/>
        <w:tabs>
          <w:tab w:val="num" w:pos="720"/>
        </w:tabs>
        <w:ind w:left="720" w:hanging="720"/>
        <w:rPr>
          <w:rFonts w:ascii="Arial" w:hAnsi="Arial" w:cs="Arial"/>
          <w:color w:val="000000" w:themeColor="text1"/>
          <w:sz w:val="22"/>
          <w:szCs w:val="22"/>
          <w:lang w:val="es-ES"/>
        </w:rPr>
      </w:pPr>
      <w:r w:rsidRPr="00A84DC3">
        <w:rPr>
          <w:rFonts w:ascii="Arial" w:hAnsi="Arial" w:cs="Arial"/>
          <w:b/>
          <w:color w:val="000000" w:themeColor="text1"/>
          <w:sz w:val="22"/>
          <w:szCs w:val="22"/>
          <w:lang w:val="es-ES"/>
        </w:rPr>
        <w:t>Lineamientos sensibilización</w:t>
      </w:r>
      <w:r w:rsidRPr="00A84DC3">
        <w:rPr>
          <w:rFonts w:ascii="Arial" w:hAnsi="Arial" w:cs="Arial"/>
          <w:color w:val="000000" w:themeColor="text1"/>
          <w:sz w:val="22"/>
          <w:szCs w:val="22"/>
          <w:lang w:val="es-ES"/>
        </w:rPr>
        <w:t xml:space="preserve">. </w:t>
      </w:r>
      <w:r w:rsidR="008F0E4F" w:rsidRPr="00A84DC3">
        <w:rPr>
          <w:rFonts w:ascii="Arial" w:hAnsi="Arial" w:cs="Arial"/>
          <w:color w:val="000000" w:themeColor="text1"/>
          <w:sz w:val="22"/>
          <w:szCs w:val="22"/>
          <w:lang w:val="es-ES"/>
        </w:rPr>
        <w:t xml:space="preserve">Se realizan además ejercicios de sensibilidad para establecer la tolerancia del VPN </w:t>
      </w:r>
      <w:r w:rsidR="004B58A9" w:rsidRPr="00A84DC3">
        <w:rPr>
          <w:rFonts w:ascii="Arial" w:hAnsi="Arial" w:cs="Arial"/>
          <w:color w:val="000000" w:themeColor="text1"/>
          <w:sz w:val="22"/>
          <w:szCs w:val="22"/>
          <w:lang w:val="es-ES"/>
        </w:rPr>
        <w:t xml:space="preserve">ante </w:t>
      </w:r>
      <w:r w:rsidR="008F0E4F" w:rsidRPr="00A84DC3">
        <w:rPr>
          <w:rFonts w:ascii="Arial" w:hAnsi="Arial" w:cs="Arial"/>
          <w:color w:val="000000" w:themeColor="text1"/>
          <w:sz w:val="22"/>
          <w:szCs w:val="22"/>
          <w:lang w:val="es-ES"/>
        </w:rPr>
        <w:t xml:space="preserve">cambios en las condiciones relevantes que desembocan en el </w:t>
      </w:r>
      <w:r w:rsidR="000F4634" w:rsidRPr="00A84DC3">
        <w:rPr>
          <w:rFonts w:ascii="Arial" w:hAnsi="Arial" w:cs="Arial"/>
          <w:color w:val="000000" w:themeColor="text1"/>
          <w:sz w:val="22"/>
          <w:szCs w:val="22"/>
          <w:lang w:val="es-ES"/>
        </w:rPr>
        <w:t>escenario</w:t>
      </w:r>
      <w:r w:rsidR="008F0E4F" w:rsidRPr="00A84DC3">
        <w:rPr>
          <w:rFonts w:ascii="Arial" w:hAnsi="Arial" w:cs="Arial"/>
          <w:color w:val="000000" w:themeColor="text1"/>
          <w:sz w:val="22"/>
          <w:szCs w:val="22"/>
          <w:lang w:val="es-ES"/>
        </w:rPr>
        <w:t xml:space="preserve"> central. </w:t>
      </w:r>
      <w:r w:rsidR="00BD2292" w:rsidRPr="00A84DC3">
        <w:rPr>
          <w:rFonts w:ascii="Arial" w:hAnsi="Arial" w:cs="Arial"/>
          <w:color w:val="000000" w:themeColor="text1"/>
          <w:sz w:val="22"/>
          <w:szCs w:val="22"/>
          <w:lang w:val="es-ES"/>
        </w:rPr>
        <w:t>Cabe notar aquí que la capacidad de generación de información de la contraparte (F</w:t>
      </w:r>
      <w:r w:rsidR="00DC2EF4" w:rsidRPr="00A84DC3">
        <w:rPr>
          <w:rFonts w:ascii="Arial" w:hAnsi="Arial" w:cs="Arial"/>
          <w:color w:val="000000" w:themeColor="text1"/>
          <w:sz w:val="22"/>
          <w:szCs w:val="22"/>
          <w:lang w:val="es-ES"/>
        </w:rPr>
        <w:t>ONPLATA)</w:t>
      </w:r>
      <w:r w:rsidR="00BD2292" w:rsidRPr="00A84DC3">
        <w:rPr>
          <w:rFonts w:ascii="Arial" w:hAnsi="Arial" w:cs="Arial"/>
          <w:color w:val="000000" w:themeColor="text1"/>
          <w:sz w:val="22"/>
          <w:szCs w:val="22"/>
          <w:lang w:val="es-ES"/>
        </w:rPr>
        <w:t xml:space="preserve"> ha permitido caracterizar separadamente </w:t>
      </w:r>
      <w:r w:rsidR="00DC2EF4" w:rsidRPr="00A84DC3">
        <w:rPr>
          <w:rFonts w:ascii="Arial" w:hAnsi="Arial" w:cs="Arial"/>
          <w:color w:val="000000" w:themeColor="text1"/>
          <w:sz w:val="22"/>
          <w:szCs w:val="22"/>
          <w:lang w:val="es-ES"/>
        </w:rPr>
        <w:t>los</w:t>
      </w:r>
      <w:r w:rsidR="00BD2292" w:rsidRPr="00A84DC3">
        <w:rPr>
          <w:rFonts w:ascii="Arial" w:hAnsi="Arial" w:cs="Arial"/>
          <w:color w:val="000000" w:themeColor="text1"/>
          <w:sz w:val="22"/>
          <w:szCs w:val="22"/>
          <w:lang w:val="es-ES"/>
        </w:rPr>
        <w:t xml:space="preserve"> perfil</w:t>
      </w:r>
      <w:r w:rsidR="00DC2EF4" w:rsidRPr="00A84DC3">
        <w:rPr>
          <w:rFonts w:ascii="Arial" w:hAnsi="Arial" w:cs="Arial"/>
          <w:color w:val="000000" w:themeColor="text1"/>
          <w:sz w:val="22"/>
          <w:szCs w:val="22"/>
          <w:lang w:val="es-ES"/>
        </w:rPr>
        <w:t xml:space="preserve">es </w:t>
      </w:r>
      <w:r w:rsidR="00BD2292" w:rsidRPr="00A84DC3">
        <w:rPr>
          <w:rFonts w:ascii="Arial" w:hAnsi="Arial" w:cs="Arial"/>
          <w:color w:val="000000" w:themeColor="text1"/>
          <w:sz w:val="22"/>
          <w:szCs w:val="22"/>
          <w:lang w:val="es-ES"/>
        </w:rPr>
        <w:t>típico</w:t>
      </w:r>
      <w:r w:rsidR="00DC2EF4" w:rsidRPr="00A84DC3">
        <w:rPr>
          <w:rFonts w:ascii="Arial" w:hAnsi="Arial" w:cs="Arial"/>
          <w:color w:val="000000" w:themeColor="text1"/>
          <w:sz w:val="22"/>
          <w:szCs w:val="22"/>
          <w:lang w:val="es-ES"/>
        </w:rPr>
        <w:t xml:space="preserve">s para proyectos de </w:t>
      </w:r>
      <w:r w:rsidR="00A72A4D" w:rsidRPr="00A84DC3">
        <w:rPr>
          <w:rFonts w:ascii="Arial" w:hAnsi="Arial" w:cs="Arial"/>
          <w:color w:val="000000" w:themeColor="text1"/>
          <w:sz w:val="22"/>
          <w:szCs w:val="22"/>
          <w:lang w:val="es-ES"/>
        </w:rPr>
        <w:t>inversión</w:t>
      </w:r>
      <w:r w:rsidR="00DC2EF4" w:rsidRPr="00A84DC3">
        <w:rPr>
          <w:rFonts w:ascii="Arial" w:hAnsi="Arial" w:cs="Arial"/>
          <w:color w:val="000000" w:themeColor="text1"/>
          <w:sz w:val="22"/>
          <w:szCs w:val="22"/>
          <w:lang w:val="es-ES"/>
        </w:rPr>
        <w:t xml:space="preserve"> en infraestructura y de apoyo al financiamiento </w:t>
      </w:r>
      <w:r w:rsidR="00BC1652" w:rsidRPr="00A84DC3">
        <w:rPr>
          <w:rFonts w:ascii="Arial" w:hAnsi="Arial" w:cs="Arial"/>
          <w:color w:val="000000" w:themeColor="text1"/>
          <w:sz w:val="22"/>
          <w:szCs w:val="22"/>
          <w:lang w:val="es-ES"/>
        </w:rPr>
        <w:t xml:space="preserve">productivo </w:t>
      </w:r>
      <w:r w:rsidR="00DC2EF4" w:rsidRPr="00A84DC3">
        <w:rPr>
          <w:rFonts w:ascii="Arial" w:hAnsi="Arial" w:cs="Arial"/>
          <w:color w:val="000000" w:themeColor="text1"/>
          <w:sz w:val="22"/>
          <w:szCs w:val="22"/>
          <w:lang w:val="es-ES"/>
        </w:rPr>
        <w:t>de</w:t>
      </w:r>
      <w:r w:rsidR="00244828">
        <w:rPr>
          <w:rFonts w:ascii="Arial" w:hAnsi="Arial" w:cs="Arial"/>
          <w:color w:val="000000" w:themeColor="text1"/>
          <w:sz w:val="22"/>
          <w:szCs w:val="22"/>
          <w:lang w:val="es-ES"/>
        </w:rPr>
        <w:t xml:space="preserve"> las</w:t>
      </w:r>
      <w:r w:rsidR="00DC2EF4" w:rsidRPr="00A84DC3">
        <w:rPr>
          <w:rFonts w:ascii="Arial" w:hAnsi="Arial" w:cs="Arial"/>
          <w:color w:val="000000" w:themeColor="text1"/>
          <w:sz w:val="22"/>
          <w:szCs w:val="22"/>
          <w:lang w:val="es-ES"/>
        </w:rPr>
        <w:t xml:space="preserve"> MiPyME,</w:t>
      </w:r>
      <w:r w:rsidR="00BD2292" w:rsidRPr="00A84DC3">
        <w:rPr>
          <w:rFonts w:ascii="Arial" w:hAnsi="Arial" w:cs="Arial"/>
          <w:color w:val="000000" w:themeColor="text1"/>
          <w:sz w:val="22"/>
          <w:szCs w:val="22"/>
          <w:lang w:val="es-ES"/>
        </w:rPr>
        <w:t xml:space="preserve"> y que se ha computado el VPN para cada una de las componentes, y la sensibilización se realiza para cada componente por separado para </w:t>
      </w:r>
      <w:r w:rsidR="003715A3" w:rsidRPr="00A84DC3">
        <w:rPr>
          <w:rFonts w:ascii="Arial" w:hAnsi="Arial" w:cs="Arial"/>
          <w:color w:val="000000" w:themeColor="text1"/>
          <w:sz w:val="22"/>
          <w:szCs w:val="22"/>
          <w:lang w:val="es-ES"/>
        </w:rPr>
        <w:t>evaluar su</w:t>
      </w:r>
      <w:r w:rsidR="00BD2292" w:rsidRPr="00A84DC3">
        <w:rPr>
          <w:rFonts w:ascii="Arial" w:hAnsi="Arial" w:cs="Arial"/>
          <w:color w:val="000000" w:themeColor="text1"/>
          <w:sz w:val="22"/>
          <w:szCs w:val="22"/>
          <w:lang w:val="es-ES"/>
        </w:rPr>
        <w:t xml:space="preserve"> impacto en el VPN de la operación global. Hecha esta consideración, se han considerado</w:t>
      </w:r>
      <w:r w:rsidR="003003CB" w:rsidRPr="00A84DC3">
        <w:rPr>
          <w:rFonts w:ascii="Arial" w:hAnsi="Arial" w:cs="Arial"/>
          <w:color w:val="000000" w:themeColor="text1"/>
          <w:sz w:val="22"/>
          <w:szCs w:val="22"/>
          <w:lang w:val="es-ES"/>
        </w:rPr>
        <w:t xml:space="preserve"> los siguientes ejercicios de sensibilización: </w:t>
      </w:r>
      <w:r w:rsidR="00FB7877" w:rsidRPr="00A84DC3">
        <w:rPr>
          <w:rFonts w:ascii="Arial" w:hAnsi="Arial" w:cs="Arial"/>
          <w:color w:val="000000" w:themeColor="text1"/>
          <w:sz w:val="22"/>
          <w:szCs w:val="22"/>
          <w:lang w:val="es-ES"/>
        </w:rPr>
        <w:t>para los proyectos de inversión en infraestructura, de manera general se considera</w:t>
      </w:r>
      <w:r w:rsidR="000F4E64">
        <w:rPr>
          <w:rFonts w:ascii="Arial" w:hAnsi="Arial" w:cs="Arial"/>
          <w:color w:val="000000" w:themeColor="text1"/>
          <w:sz w:val="22"/>
          <w:szCs w:val="22"/>
          <w:lang w:val="es-ES"/>
        </w:rPr>
        <w:t>:</w:t>
      </w:r>
      <w:r w:rsidR="00FB7877" w:rsidRPr="00A84DC3">
        <w:rPr>
          <w:rFonts w:ascii="Arial" w:hAnsi="Arial" w:cs="Arial"/>
          <w:color w:val="000000" w:themeColor="text1"/>
          <w:sz w:val="22"/>
          <w:szCs w:val="22"/>
          <w:lang w:val="es-ES"/>
        </w:rPr>
        <w:t xml:space="preserve"> (i) incremento de un 20% en costes; (ii) reducción en 20% de los beneficios</w:t>
      </w:r>
      <w:r w:rsidR="000F4E64">
        <w:rPr>
          <w:rFonts w:ascii="Arial" w:hAnsi="Arial" w:cs="Arial"/>
          <w:color w:val="000000" w:themeColor="text1"/>
          <w:sz w:val="22"/>
          <w:szCs w:val="22"/>
          <w:lang w:val="es-ES"/>
        </w:rPr>
        <w:t>;</w:t>
      </w:r>
      <w:r w:rsidR="00FB7877" w:rsidRPr="00A84DC3">
        <w:rPr>
          <w:rFonts w:ascii="Arial" w:hAnsi="Arial" w:cs="Arial"/>
          <w:color w:val="000000" w:themeColor="text1"/>
          <w:sz w:val="22"/>
          <w:szCs w:val="22"/>
          <w:lang w:val="es-ES"/>
        </w:rPr>
        <w:t xml:space="preserve"> y (iii) Incrementos de costes del 10% conjuntamente con una reducción de beneficios del 10%; para los programas de apoyo al financiamiento productivo de </w:t>
      </w:r>
      <w:r w:rsidR="00244828">
        <w:rPr>
          <w:rFonts w:ascii="Arial" w:hAnsi="Arial" w:cs="Arial"/>
          <w:color w:val="000000" w:themeColor="text1"/>
          <w:sz w:val="22"/>
          <w:szCs w:val="22"/>
          <w:lang w:val="es-ES"/>
        </w:rPr>
        <w:t xml:space="preserve">las </w:t>
      </w:r>
      <w:r w:rsidR="00FB7877" w:rsidRPr="00A84DC3">
        <w:rPr>
          <w:rFonts w:ascii="Arial" w:hAnsi="Arial" w:cs="Arial"/>
          <w:color w:val="000000" w:themeColor="text1"/>
          <w:sz w:val="22"/>
          <w:szCs w:val="22"/>
          <w:lang w:val="es-ES"/>
        </w:rPr>
        <w:t>MiPyME se toman</w:t>
      </w:r>
      <w:r w:rsidR="00244828">
        <w:rPr>
          <w:rFonts w:ascii="Arial" w:hAnsi="Arial" w:cs="Arial"/>
          <w:color w:val="000000" w:themeColor="text1"/>
          <w:sz w:val="22"/>
          <w:szCs w:val="22"/>
          <w:lang w:val="es-ES"/>
        </w:rPr>
        <w:t xml:space="preserve"> como escenarios (i) las MiPyME</w:t>
      </w:r>
      <w:r w:rsidR="00FB7877" w:rsidRPr="00A84DC3">
        <w:rPr>
          <w:rFonts w:ascii="Arial" w:hAnsi="Arial" w:cs="Arial"/>
          <w:color w:val="000000" w:themeColor="text1"/>
          <w:sz w:val="22"/>
          <w:szCs w:val="22"/>
          <w:lang w:val="es-ES"/>
        </w:rPr>
        <w:t xml:space="preserve"> beneficiarias </w:t>
      </w:r>
      <w:r w:rsidR="003D1765" w:rsidRPr="00A84DC3">
        <w:rPr>
          <w:rFonts w:ascii="Arial" w:hAnsi="Arial" w:cs="Arial"/>
          <w:color w:val="000000" w:themeColor="text1"/>
          <w:sz w:val="22"/>
          <w:szCs w:val="22"/>
          <w:lang w:val="es-ES"/>
        </w:rPr>
        <w:t>presentas incrementos de productividad un 5%</w:t>
      </w:r>
      <w:r w:rsidR="00244828">
        <w:rPr>
          <w:rFonts w:ascii="Arial" w:hAnsi="Arial" w:cs="Arial"/>
          <w:color w:val="000000" w:themeColor="text1"/>
          <w:sz w:val="22"/>
          <w:szCs w:val="22"/>
          <w:lang w:val="es-ES"/>
        </w:rPr>
        <w:t> </w:t>
      </w:r>
      <w:r w:rsidR="003D1765" w:rsidRPr="00A84DC3">
        <w:rPr>
          <w:rFonts w:ascii="Arial" w:hAnsi="Arial" w:cs="Arial"/>
          <w:color w:val="000000" w:themeColor="text1"/>
          <w:sz w:val="22"/>
          <w:szCs w:val="22"/>
          <w:lang w:val="es-ES"/>
        </w:rPr>
        <w:t xml:space="preserve">menores a los esperados para el escenario central; </w:t>
      </w:r>
      <w:r w:rsidR="00FB7877" w:rsidRPr="00A84DC3">
        <w:rPr>
          <w:rFonts w:ascii="Arial" w:hAnsi="Arial" w:cs="Arial"/>
          <w:color w:val="000000" w:themeColor="text1"/>
          <w:sz w:val="22"/>
          <w:szCs w:val="22"/>
          <w:lang w:val="es-ES"/>
        </w:rPr>
        <w:t>(ii) se produce una devaluación de la moneda local que sirve la deuda en dólares y esto redunda en un incremen</w:t>
      </w:r>
      <w:r w:rsidR="003D1765" w:rsidRPr="00A84DC3">
        <w:rPr>
          <w:rFonts w:ascii="Arial" w:hAnsi="Arial" w:cs="Arial"/>
          <w:color w:val="000000" w:themeColor="text1"/>
          <w:sz w:val="22"/>
          <w:szCs w:val="22"/>
          <w:lang w:val="es-ES"/>
        </w:rPr>
        <w:t>to de los costes; y (iii) un escenario simultaneo de un 30% de devaluación, una reducción de las ventas esperadas del 15% sobre el escenario central y un incremento en costes del 10% sobre el escenario central</w:t>
      </w:r>
    </w:p>
    <w:p w14:paraId="1B8E1AD3" w14:textId="77777777" w:rsidR="00F10FC6" w:rsidRPr="00A84DC3" w:rsidRDefault="00F92059" w:rsidP="005A046C">
      <w:pPr>
        <w:pStyle w:val="FirstHeading"/>
        <w:ind w:left="720"/>
        <w:rPr>
          <w:rFonts w:ascii="Arial" w:hAnsi="Arial" w:cs="Arial"/>
          <w:noProof/>
          <w:color w:val="000000" w:themeColor="text1"/>
          <w:sz w:val="22"/>
          <w:szCs w:val="22"/>
          <w:lang w:val="es-ES"/>
        </w:rPr>
      </w:pPr>
      <w:r w:rsidRPr="00A84DC3">
        <w:rPr>
          <w:rFonts w:ascii="Arial" w:hAnsi="Arial" w:cs="Arial"/>
          <w:noProof/>
          <w:color w:val="000000" w:themeColor="text1"/>
          <w:sz w:val="22"/>
          <w:szCs w:val="22"/>
          <w:lang w:val="es-ES"/>
        </w:rPr>
        <w:fldChar w:fldCharType="begin"/>
      </w:r>
      <w:r w:rsidRPr="00A84DC3">
        <w:rPr>
          <w:rFonts w:ascii="Arial" w:hAnsi="Arial" w:cs="Arial"/>
          <w:noProof/>
          <w:color w:val="000000" w:themeColor="text1"/>
          <w:sz w:val="22"/>
          <w:szCs w:val="22"/>
          <w:lang w:val="es-ES"/>
        </w:rPr>
        <w:instrText xml:space="preserve"> SEQ "</w:instrText>
      </w:r>
      <w:r w:rsidR="009C45C9" w:rsidRPr="00A84DC3">
        <w:rPr>
          <w:rFonts w:ascii="Arial" w:hAnsi="Arial" w:cs="Arial"/>
          <w:noProof/>
          <w:color w:val="000000" w:themeColor="text1"/>
          <w:sz w:val="22"/>
          <w:szCs w:val="22"/>
          <w:lang w:val="es-ES"/>
        </w:rPr>
        <w:fldChar w:fldCharType="begin"/>
      </w:r>
      <w:r w:rsidR="009C45C9" w:rsidRPr="00A84DC3">
        <w:rPr>
          <w:rFonts w:ascii="Arial" w:hAnsi="Arial" w:cs="Arial"/>
          <w:noProof/>
          <w:color w:val="000000" w:themeColor="text1"/>
          <w:sz w:val="22"/>
          <w:szCs w:val="22"/>
          <w:lang w:val="es-ES"/>
        </w:rPr>
        <w:instrText xml:space="preserve"> SECTION  \* MERGEFORMAT </w:instrText>
      </w:r>
      <w:r w:rsidR="009C45C9" w:rsidRPr="00A84DC3">
        <w:rPr>
          <w:rFonts w:ascii="Arial" w:hAnsi="Arial" w:cs="Arial"/>
          <w:noProof/>
          <w:color w:val="000000" w:themeColor="text1"/>
          <w:sz w:val="22"/>
          <w:szCs w:val="22"/>
          <w:lang w:val="es-ES"/>
        </w:rPr>
        <w:fldChar w:fldCharType="separate"/>
      </w:r>
      <w:r w:rsidR="002A0A84" w:rsidRPr="00A84DC3">
        <w:rPr>
          <w:rFonts w:ascii="Arial" w:hAnsi="Arial" w:cs="Arial"/>
          <w:noProof/>
          <w:color w:val="000000" w:themeColor="text1"/>
          <w:sz w:val="22"/>
          <w:szCs w:val="22"/>
          <w:lang w:val="es-ES"/>
        </w:rPr>
        <w:instrText>5</w:instrText>
      </w:r>
      <w:r w:rsidR="009C45C9" w:rsidRPr="00A84DC3">
        <w:rPr>
          <w:rFonts w:ascii="Arial" w:hAnsi="Arial" w:cs="Arial"/>
          <w:noProof/>
          <w:color w:val="000000" w:themeColor="text1"/>
          <w:sz w:val="22"/>
          <w:szCs w:val="22"/>
          <w:lang w:val="es-ES"/>
        </w:rPr>
        <w:fldChar w:fldCharType="end"/>
      </w:r>
      <w:r w:rsidRPr="00A84DC3">
        <w:rPr>
          <w:rFonts w:ascii="Arial" w:hAnsi="Arial" w:cs="Arial"/>
          <w:noProof/>
          <w:color w:val="000000" w:themeColor="text1"/>
          <w:sz w:val="22"/>
          <w:szCs w:val="22"/>
          <w:lang w:val="es-ES"/>
        </w:rPr>
        <w:instrText xml:space="preserve">#"\* ALPHABETIC \* MERGEFORMAT </w:instrText>
      </w:r>
      <w:r w:rsidRPr="00A84DC3">
        <w:rPr>
          <w:rFonts w:ascii="Arial" w:hAnsi="Arial" w:cs="Arial"/>
          <w:noProof/>
          <w:color w:val="000000" w:themeColor="text1"/>
          <w:sz w:val="22"/>
          <w:szCs w:val="22"/>
          <w:lang w:val="es-ES"/>
        </w:rPr>
        <w:fldChar w:fldCharType="separate"/>
      </w:r>
      <w:bookmarkStart w:id="13" w:name="_Toc492041898"/>
      <w:r w:rsidR="002A0A84" w:rsidRPr="00A84DC3">
        <w:rPr>
          <w:rFonts w:ascii="Arial" w:hAnsi="Arial" w:cs="Arial"/>
          <w:noProof/>
          <w:color w:val="000000" w:themeColor="text1"/>
          <w:sz w:val="22"/>
          <w:szCs w:val="22"/>
          <w:lang w:val="es-ES"/>
        </w:rPr>
        <w:t>B</w:t>
      </w:r>
      <w:r w:rsidRPr="00A84DC3">
        <w:rPr>
          <w:rFonts w:ascii="Arial" w:hAnsi="Arial" w:cs="Arial"/>
          <w:noProof/>
          <w:color w:val="000000" w:themeColor="text1"/>
          <w:sz w:val="22"/>
          <w:szCs w:val="22"/>
          <w:lang w:val="es-ES"/>
        </w:rPr>
        <w:fldChar w:fldCharType="end"/>
      </w:r>
      <w:r w:rsidRPr="00A84DC3">
        <w:rPr>
          <w:rFonts w:ascii="Arial" w:hAnsi="Arial" w:cs="Arial"/>
          <w:noProof/>
          <w:color w:val="000000" w:themeColor="text1"/>
          <w:sz w:val="22"/>
          <w:szCs w:val="22"/>
          <w:lang w:val="es-ES"/>
        </w:rPr>
        <w:t>.</w:t>
      </w:r>
      <w:r w:rsidRPr="00A84DC3">
        <w:rPr>
          <w:rFonts w:ascii="Arial" w:hAnsi="Arial" w:cs="Arial"/>
          <w:noProof/>
          <w:color w:val="000000" w:themeColor="text1"/>
          <w:sz w:val="22"/>
          <w:szCs w:val="22"/>
          <w:lang w:val="es-ES"/>
        </w:rPr>
        <w:tab/>
      </w:r>
      <w:r w:rsidR="00F63EED" w:rsidRPr="00A84DC3">
        <w:rPr>
          <w:rFonts w:ascii="Arial" w:hAnsi="Arial" w:cs="Arial"/>
          <w:noProof/>
          <w:color w:val="000000" w:themeColor="text1"/>
          <w:sz w:val="22"/>
          <w:szCs w:val="22"/>
          <w:lang w:val="es-ES"/>
        </w:rPr>
        <w:t>S</w:t>
      </w:r>
      <w:r w:rsidR="00F10FC6" w:rsidRPr="00A84DC3">
        <w:rPr>
          <w:rFonts w:ascii="Arial" w:hAnsi="Arial" w:cs="Arial"/>
          <w:noProof/>
          <w:color w:val="000000" w:themeColor="text1"/>
          <w:sz w:val="22"/>
          <w:szCs w:val="22"/>
          <w:lang w:val="es-ES"/>
        </w:rPr>
        <w:t>upuestos</w:t>
      </w:r>
      <w:r w:rsidR="00A24E78" w:rsidRPr="00A84DC3">
        <w:rPr>
          <w:rFonts w:ascii="Arial" w:hAnsi="Arial" w:cs="Arial"/>
          <w:noProof/>
          <w:color w:val="000000" w:themeColor="text1"/>
          <w:sz w:val="22"/>
          <w:szCs w:val="22"/>
          <w:lang w:val="es-ES"/>
        </w:rPr>
        <w:t>, parámetros, fuentes</w:t>
      </w:r>
      <w:bookmarkEnd w:id="13"/>
    </w:p>
    <w:p w14:paraId="35A7E1E0" w14:textId="77777777" w:rsidR="003003CB" w:rsidRPr="00A84DC3" w:rsidRDefault="003003CB" w:rsidP="000E22B1">
      <w:pPr>
        <w:pStyle w:val="Paragraph"/>
        <w:tabs>
          <w:tab w:val="num" w:pos="720"/>
        </w:tabs>
        <w:ind w:left="720" w:hanging="720"/>
        <w:rPr>
          <w:rFonts w:ascii="Arial" w:hAnsi="Arial" w:cs="Arial"/>
          <w:color w:val="000000" w:themeColor="text1"/>
          <w:sz w:val="22"/>
          <w:szCs w:val="22"/>
          <w:lang w:val="es-ES"/>
        </w:rPr>
      </w:pPr>
      <w:bookmarkStart w:id="14" w:name="_Ref360385447"/>
      <w:r w:rsidRPr="00A84DC3">
        <w:rPr>
          <w:rFonts w:ascii="Arial" w:hAnsi="Arial" w:cs="Arial"/>
          <w:color w:val="000000" w:themeColor="text1"/>
          <w:sz w:val="22"/>
          <w:szCs w:val="22"/>
          <w:lang w:val="es-ES"/>
        </w:rPr>
        <w:t xml:space="preserve">Los cálculos realizados para este análisis de costo beneficio se basan en </w:t>
      </w:r>
      <w:r w:rsidR="003715A3" w:rsidRPr="00A84DC3">
        <w:rPr>
          <w:rFonts w:ascii="Arial" w:hAnsi="Arial" w:cs="Arial"/>
          <w:color w:val="000000" w:themeColor="text1"/>
          <w:sz w:val="22"/>
          <w:szCs w:val="22"/>
          <w:lang w:val="es-ES"/>
        </w:rPr>
        <w:t>las siguientes informaciones</w:t>
      </w:r>
      <w:r w:rsidR="000E22B1" w:rsidRPr="00A84DC3">
        <w:rPr>
          <w:rFonts w:ascii="Arial" w:hAnsi="Arial" w:cs="Arial"/>
          <w:color w:val="000000" w:themeColor="text1"/>
          <w:sz w:val="22"/>
          <w:szCs w:val="22"/>
          <w:lang w:val="es-ES"/>
        </w:rPr>
        <w:t xml:space="preserve"> (datos) y</w:t>
      </w:r>
      <w:r w:rsidRPr="00A84DC3">
        <w:rPr>
          <w:rFonts w:ascii="Arial" w:hAnsi="Arial" w:cs="Arial"/>
          <w:color w:val="000000" w:themeColor="text1"/>
          <w:sz w:val="22"/>
          <w:szCs w:val="22"/>
          <w:lang w:val="es-ES"/>
        </w:rPr>
        <w:t xml:space="preserve"> supuestos:</w:t>
      </w:r>
    </w:p>
    <w:p w14:paraId="04912452" w14:textId="77777777" w:rsidR="00E55D99" w:rsidRPr="00A84DC3" w:rsidRDefault="006E152C" w:rsidP="0099636A">
      <w:pPr>
        <w:pStyle w:val="subpar"/>
        <w:numPr>
          <w:ilvl w:val="2"/>
          <w:numId w:val="5"/>
        </w:numPr>
        <w:tabs>
          <w:tab w:val="clear" w:pos="2304"/>
          <w:tab w:val="num" w:pos="1152"/>
        </w:tabs>
        <w:ind w:left="1170" w:hanging="450"/>
        <w:rPr>
          <w:rFonts w:ascii="Arial" w:hAnsi="Arial" w:cs="Arial"/>
          <w:sz w:val="22"/>
          <w:szCs w:val="22"/>
          <w:lang w:val="es-ES"/>
        </w:rPr>
      </w:pPr>
      <w:r w:rsidRPr="00A84DC3">
        <w:rPr>
          <w:rFonts w:ascii="Arial" w:hAnsi="Arial" w:cs="Arial"/>
          <w:b/>
          <w:sz w:val="22"/>
          <w:szCs w:val="22"/>
          <w:lang w:val="es-ES"/>
        </w:rPr>
        <w:t xml:space="preserve">Información sobre el proyecto típico </w:t>
      </w:r>
      <w:r w:rsidR="00857428" w:rsidRPr="00A84DC3">
        <w:rPr>
          <w:rFonts w:ascii="Arial" w:hAnsi="Arial" w:cs="Arial"/>
          <w:b/>
          <w:sz w:val="22"/>
          <w:szCs w:val="22"/>
          <w:lang w:val="es-ES"/>
        </w:rPr>
        <w:t xml:space="preserve">de inversión en infraestructura </w:t>
      </w:r>
      <w:r w:rsidRPr="00A84DC3">
        <w:rPr>
          <w:rFonts w:ascii="Arial" w:hAnsi="Arial" w:cs="Arial"/>
          <w:b/>
          <w:sz w:val="22"/>
          <w:szCs w:val="22"/>
          <w:lang w:val="es-ES"/>
        </w:rPr>
        <w:t xml:space="preserve">provista por </w:t>
      </w:r>
      <w:r w:rsidR="00C23663" w:rsidRPr="00A84DC3">
        <w:rPr>
          <w:rFonts w:ascii="Arial" w:hAnsi="Arial" w:cs="Arial"/>
          <w:b/>
          <w:sz w:val="22"/>
          <w:szCs w:val="22"/>
          <w:lang w:val="es-ES"/>
        </w:rPr>
        <w:t>FONPLATA</w:t>
      </w:r>
      <w:r w:rsidR="003D1765" w:rsidRPr="00A84DC3">
        <w:rPr>
          <w:rFonts w:ascii="Arial" w:hAnsi="Arial" w:cs="Arial"/>
          <w:sz w:val="22"/>
          <w:szCs w:val="22"/>
          <w:lang w:val="es-ES"/>
        </w:rPr>
        <w:t xml:space="preserve">. En cumplimiento con la misión de FONPLATA, los proyectos de infraestructura considerados son de dimensión pequeña o media. Se prevé que al menos el 80% de los mismos se concreten en proyectos de rehabilitación viaria. </w:t>
      </w:r>
      <w:r w:rsidR="00112280" w:rsidRPr="00A84DC3">
        <w:rPr>
          <w:rFonts w:ascii="Arial" w:hAnsi="Arial" w:cs="Arial"/>
          <w:sz w:val="22"/>
          <w:szCs w:val="22"/>
          <w:lang w:val="es-ES"/>
        </w:rPr>
        <w:t xml:space="preserve">Se toma como referencia tanto la amplia </w:t>
      </w:r>
      <w:r w:rsidR="00112280" w:rsidRPr="00A84DC3">
        <w:rPr>
          <w:rFonts w:ascii="Arial" w:hAnsi="Arial" w:cs="Arial"/>
          <w:sz w:val="22"/>
          <w:szCs w:val="22"/>
          <w:lang w:val="es-ES"/>
        </w:rPr>
        <w:lastRenderedPageBreak/>
        <w:t>experiencia internacional para el análisis costo beneficio de este tipo de proyectos como la propia experiencia de FONPLATA con proyectos pertenecientes a su cartera. Cabe señalar que en lo que respecta a la información de FONPLATA, se comunicó al equipo de CMF a través de los informes de valoración socioeconómica y en la que la fluida comunicación con la contraparte ha sido de total importancia.</w:t>
      </w:r>
      <w:r w:rsidR="00C77A11" w:rsidRPr="00A84DC3">
        <w:rPr>
          <w:rFonts w:ascii="Arial" w:hAnsi="Arial" w:cs="Arial"/>
          <w:sz w:val="22"/>
          <w:szCs w:val="22"/>
          <w:lang w:val="es-ES"/>
        </w:rPr>
        <w:t xml:space="preserve"> </w:t>
      </w:r>
    </w:p>
    <w:p w14:paraId="4F2B1E60" w14:textId="74C90454" w:rsidR="00EB0DC1" w:rsidRPr="00A84DC3" w:rsidRDefault="00EB0DC1" w:rsidP="000F4E64">
      <w:pPr>
        <w:pStyle w:val="subpar"/>
        <w:numPr>
          <w:ilvl w:val="2"/>
          <w:numId w:val="5"/>
        </w:numPr>
        <w:tabs>
          <w:tab w:val="clear" w:pos="2304"/>
          <w:tab w:val="num" w:pos="1152"/>
        </w:tabs>
        <w:ind w:left="1170" w:hanging="450"/>
        <w:rPr>
          <w:rFonts w:ascii="Arial" w:hAnsi="Arial" w:cs="Arial"/>
          <w:sz w:val="22"/>
          <w:szCs w:val="22"/>
          <w:lang w:val="es-ES"/>
        </w:rPr>
      </w:pPr>
      <w:r w:rsidRPr="00A84DC3">
        <w:rPr>
          <w:rFonts w:ascii="Arial" w:hAnsi="Arial" w:cs="Arial"/>
          <w:b/>
          <w:sz w:val="22"/>
          <w:szCs w:val="22"/>
          <w:lang w:val="es-ES"/>
        </w:rPr>
        <w:t xml:space="preserve">Información sobre el proyecto típico de apoyo al financiamiento </w:t>
      </w:r>
      <w:r w:rsidR="00BC1652" w:rsidRPr="00A84DC3">
        <w:rPr>
          <w:rFonts w:ascii="Arial" w:hAnsi="Arial" w:cs="Arial"/>
          <w:b/>
          <w:sz w:val="22"/>
          <w:szCs w:val="22"/>
          <w:lang w:val="es-ES"/>
        </w:rPr>
        <w:t xml:space="preserve">productivo </w:t>
      </w:r>
      <w:r w:rsidRPr="00A84DC3">
        <w:rPr>
          <w:rFonts w:ascii="Arial" w:hAnsi="Arial" w:cs="Arial"/>
          <w:b/>
          <w:sz w:val="22"/>
          <w:szCs w:val="22"/>
          <w:lang w:val="es-ES"/>
        </w:rPr>
        <w:t xml:space="preserve">de </w:t>
      </w:r>
      <w:r w:rsidR="00244828">
        <w:rPr>
          <w:rFonts w:ascii="Arial" w:hAnsi="Arial" w:cs="Arial"/>
          <w:b/>
          <w:sz w:val="22"/>
          <w:szCs w:val="22"/>
          <w:lang w:val="es-ES"/>
        </w:rPr>
        <w:t xml:space="preserve">las </w:t>
      </w:r>
      <w:r w:rsidRPr="00A84DC3">
        <w:rPr>
          <w:rFonts w:ascii="Arial" w:hAnsi="Arial" w:cs="Arial"/>
          <w:b/>
          <w:sz w:val="22"/>
          <w:szCs w:val="22"/>
          <w:lang w:val="es-ES"/>
        </w:rPr>
        <w:t>MiPyME provista por FONPLATA</w:t>
      </w:r>
      <w:r w:rsidRPr="00A84DC3">
        <w:rPr>
          <w:rFonts w:ascii="Arial" w:hAnsi="Arial" w:cs="Arial"/>
          <w:sz w:val="22"/>
          <w:szCs w:val="22"/>
          <w:lang w:val="es-ES"/>
        </w:rPr>
        <w:t xml:space="preserve">. Se toman como unidades de referencia los proyectos típicos de inversión a llevarse a cabo con ayuda de la financiación de FONPLATA. La caracterización de estos proyectos típicos, en cuanto a flujos de ingresos, egresos, distribución de la inversión, período de repago, condiciones de repago y monto de inversión, ha sido realizada en función de la información provista por FONPLATA. </w:t>
      </w:r>
      <w:r w:rsidR="00F02DFA" w:rsidRPr="00A84DC3">
        <w:rPr>
          <w:rFonts w:ascii="Arial" w:hAnsi="Arial" w:cs="Arial"/>
          <w:sz w:val="22"/>
          <w:szCs w:val="22"/>
          <w:lang w:val="es-ES"/>
        </w:rPr>
        <w:t>FONPLATA</w:t>
      </w:r>
      <w:r w:rsidRPr="00A84DC3">
        <w:rPr>
          <w:rFonts w:ascii="Arial" w:hAnsi="Arial" w:cs="Arial"/>
          <w:sz w:val="22"/>
          <w:szCs w:val="22"/>
          <w:lang w:val="es-ES"/>
        </w:rPr>
        <w:t xml:space="preserve"> cuenta con una fuerte capacidad institucional y sistemas de información, complementados por el conocimiento experto de sus especialistas</w:t>
      </w:r>
      <w:r w:rsidR="00F02DFA" w:rsidRPr="00A84DC3">
        <w:rPr>
          <w:rFonts w:ascii="Arial" w:hAnsi="Arial" w:cs="Arial"/>
          <w:sz w:val="22"/>
          <w:szCs w:val="22"/>
          <w:lang w:val="es-ES"/>
        </w:rPr>
        <w:t xml:space="preserve"> y </w:t>
      </w:r>
      <w:r w:rsidR="00760046" w:rsidRPr="00A84DC3">
        <w:rPr>
          <w:rFonts w:ascii="Arial" w:hAnsi="Arial" w:cs="Arial"/>
          <w:sz w:val="22"/>
          <w:szCs w:val="22"/>
          <w:lang w:val="es-ES"/>
        </w:rPr>
        <w:t>la capacidad</w:t>
      </w:r>
      <w:r w:rsidR="00F02DFA" w:rsidRPr="00A84DC3">
        <w:rPr>
          <w:rFonts w:ascii="Arial" w:hAnsi="Arial" w:cs="Arial"/>
          <w:sz w:val="22"/>
          <w:szCs w:val="22"/>
          <w:lang w:val="es-ES"/>
        </w:rPr>
        <w:t xml:space="preserve"> también de las agencias a través de las cuales canaliza el financiamiento</w:t>
      </w:r>
      <w:r w:rsidRPr="00A84DC3">
        <w:rPr>
          <w:rFonts w:ascii="Arial" w:hAnsi="Arial" w:cs="Arial"/>
          <w:sz w:val="22"/>
          <w:szCs w:val="22"/>
          <w:lang w:val="es-ES"/>
        </w:rPr>
        <w:t xml:space="preserve">, que </w:t>
      </w:r>
      <w:r w:rsidR="00F02DFA" w:rsidRPr="00A84DC3">
        <w:rPr>
          <w:rFonts w:ascii="Arial" w:hAnsi="Arial" w:cs="Arial"/>
          <w:sz w:val="22"/>
          <w:szCs w:val="22"/>
          <w:lang w:val="es-ES"/>
        </w:rPr>
        <w:t xml:space="preserve">le </w:t>
      </w:r>
      <w:r w:rsidRPr="00A84DC3">
        <w:rPr>
          <w:rFonts w:ascii="Arial" w:hAnsi="Arial" w:cs="Arial"/>
          <w:sz w:val="22"/>
          <w:szCs w:val="22"/>
          <w:lang w:val="es-ES"/>
        </w:rPr>
        <w:t xml:space="preserve">permite caracterizar los flujos de la empresa e inversión típica que se espera atender con recursos del programa propuesto. </w:t>
      </w:r>
      <w:r w:rsidR="00F02DFA" w:rsidRPr="00A84DC3">
        <w:rPr>
          <w:rFonts w:ascii="Arial" w:hAnsi="Arial" w:cs="Arial"/>
          <w:sz w:val="22"/>
          <w:szCs w:val="22"/>
          <w:lang w:val="es-ES"/>
        </w:rPr>
        <w:t>Nuevamente, la información ha sido trasladada al equipo de CMF</w:t>
      </w:r>
      <w:r w:rsidRPr="00A84DC3">
        <w:rPr>
          <w:rFonts w:ascii="Arial" w:hAnsi="Arial" w:cs="Arial"/>
          <w:sz w:val="22"/>
          <w:szCs w:val="22"/>
          <w:lang w:val="es-ES"/>
        </w:rPr>
        <w:t xml:space="preserve"> a través de informes y extenso dialogo, y </w:t>
      </w:r>
      <w:r w:rsidR="00F02DFA" w:rsidRPr="00A84DC3">
        <w:rPr>
          <w:rFonts w:ascii="Arial" w:hAnsi="Arial" w:cs="Arial"/>
          <w:sz w:val="22"/>
          <w:szCs w:val="22"/>
          <w:lang w:val="es-ES"/>
        </w:rPr>
        <w:t xml:space="preserve">es información </w:t>
      </w:r>
      <w:r w:rsidRPr="00A84DC3">
        <w:rPr>
          <w:rFonts w:ascii="Arial" w:hAnsi="Arial" w:cs="Arial"/>
          <w:sz w:val="22"/>
          <w:szCs w:val="22"/>
          <w:lang w:val="es-ES"/>
        </w:rPr>
        <w:t>central para el presente análisis.</w:t>
      </w:r>
    </w:p>
    <w:p w14:paraId="443938BE" w14:textId="77777777" w:rsidR="000F4CE0" w:rsidRPr="00A84DC3" w:rsidRDefault="006E152C" w:rsidP="0048191C">
      <w:pPr>
        <w:pStyle w:val="subpar"/>
        <w:numPr>
          <w:ilvl w:val="2"/>
          <w:numId w:val="5"/>
        </w:numPr>
        <w:tabs>
          <w:tab w:val="clear" w:pos="2304"/>
          <w:tab w:val="num" w:pos="1152"/>
        </w:tabs>
        <w:ind w:left="1170" w:hanging="450"/>
        <w:rPr>
          <w:rFonts w:ascii="Arial" w:hAnsi="Arial" w:cs="Arial"/>
          <w:sz w:val="22"/>
          <w:szCs w:val="22"/>
          <w:lang w:val="es-ES"/>
        </w:rPr>
      </w:pPr>
      <w:r w:rsidRPr="00A84DC3">
        <w:rPr>
          <w:rFonts w:ascii="Arial" w:hAnsi="Arial" w:cs="Arial"/>
          <w:b/>
          <w:sz w:val="22"/>
          <w:szCs w:val="22"/>
          <w:lang w:val="es-ES"/>
        </w:rPr>
        <w:t xml:space="preserve">Caracterización </w:t>
      </w:r>
      <w:r w:rsidR="001D4CBB" w:rsidRPr="00A84DC3">
        <w:rPr>
          <w:rFonts w:ascii="Arial" w:hAnsi="Arial" w:cs="Arial"/>
          <w:b/>
          <w:sz w:val="22"/>
          <w:szCs w:val="22"/>
          <w:lang w:val="es-ES"/>
        </w:rPr>
        <w:t>de las intervenciones</w:t>
      </w:r>
      <w:r w:rsidRPr="00A84DC3">
        <w:rPr>
          <w:rFonts w:ascii="Arial" w:hAnsi="Arial" w:cs="Arial"/>
          <w:sz w:val="22"/>
          <w:szCs w:val="22"/>
          <w:lang w:val="es-ES"/>
        </w:rPr>
        <w:t xml:space="preserve">. </w:t>
      </w:r>
      <w:r w:rsidR="001D4CBB" w:rsidRPr="00A84DC3">
        <w:rPr>
          <w:rFonts w:ascii="Arial" w:hAnsi="Arial" w:cs="Arial"/>
          <w:sz w:val="22"/>
          <w:szCs w:val="22"/>
          <w:lang w:val="es-ES"/>
        </w:rPr>
        <w:t xml:space="preserve">Se presenta una caracterización diferenciada para los diferentes tipos de proyectos objetivo, según su distinta naturaleza.  </w:t>
      </w:r>
    </w:p>
    <w:p w14:paraId="6242B221" w14:textId="77777777" w:rsidR="00FA0BB5" w:rsidRPr="00A84DC3" w:rsidRDefault="00A4605A" w:rsidP="00A4605A">
      <w:pPr>
        <w:pStyle w:val="subpar"/>
        <w:numPr>
          <w:ilvl w:val="2"/>
          <w:numId w:val="5"/>
        </w:numPr>
        <w:tabs>
          <w:tab w:val="clear" w:pos="2304"/>
          <w:tab w:val="num" w:pos="1152"/>
        </w:tabs>
        <w:ind w:left="1170" w:hanging="450"/>
        <w:rPr>
          <w:rFonts w:ascii="Arial" w:hAnsi="Arial" w:cs="Arial"/>
          <w:sz w:val="22"/>
          <w:szCs w:val="22"/>
          <w:lang w:val="es-ES"/>
        </w:rPr>
      </w:pPr>
      <w:r w:rsidRPr="00A84DC3">
        <w:rPr>
          <w:rFonts w:ascii="Arial" w:hAnsi="Arial" w:cs="Arial"/>
          <w:b/>
          <w:sz w:val="22"/>
          <w:szCs w:val="22"/>
          <w:lang w:val="es-ES"/>
        </w:rPr>
        <w:t xml:space="preserve">Perfil típico en proyectos de inversión en infraestructura para la integración. </w:t>
      </w:r>
      <w:r w:rsidR="003D1765" w:rsidRPr="00A84DC3">
        <w:rPr>
          <w:rFonts w:ascii="Arial" w:hAnsi="Arial" w:cs="Arial"/>
          <w:sz w:val="22"/>
          <w:szCs w:val="22"/>
          <w:lang w:val="es-ES"/>
        </w:rPr>
        <w:t xml:space="preserve">Atendiendo a la información ya mencionada, </w:t>
      </w:r>
      <w:r w:rsidR="00FA0BB5" w:rsidRPr="00A84DC3">
        <w:rPr>
          <w:rFonts w:ascii="Arial" w:hAnsi="Arial" w:cs="Arial"/>
          <w:sz w:val="22"/>
          <w:szCs w:val="22"/>
          <w:lang w:val="es-ES"/>
        </w:rPr>
        <w:t xml:space="preserve">los supuestos considerados </w:t>
      </w:r>
      <w:r w:rsidR="003D1765" w:rsidRPr="00A84DC3">
        <w:rPr>
          <w:rFonts w:ascii="Arial" w:hAnsi="Arial" w:cs="Arial"/>
          <w:sz w:val="22"/>
          <w:szCs w:val="22"/>
          <w:lang w:val="es-ES"/>
        </w:rPr>
        <w:t xml:space="preserve">para estos proyectos </w:t>
      </w:r>
      <w:r w:rsidR="00FA0BB5" w:rsidRPr="00A84DC3">
        <w:rPr>
          <w:rFonts w:ascii="Arial" w:hAnsi="Arial" w:cs="Arial"/>
          <w:sz w:val="22"/>
          <w:szCs w:val="22"/>
          <w:lang w:val="es-ES"/>
        </w:rPr>
        <w:t xml:space="preserve">son los </w:t>
      </w:r>
      <w:r w:rsidR="00747925" w:rsidRPr="00A84DC3">
        <w:rPr>
          <w:rFonts w:ascii="Arial" w:hAnsi="Arial" w:cs="Arial"/>
          <w:sz w:val="22"/>
          <w:szCs w:val="22"/>
          <w:lang w:val="es-ES"/>
        </w:rPr>
        <w:t>s</w:t>
      </w:r>
      <w:r w:rsidR="00FA0BB5" w:rsidRPr="00A84DC3">
        <w:rPr>
          <w:rFonts w:ascii="Arial" w:hAnsi="Arial" w:cs="Arial"/>
          <w:sz w:val="22"/>
          <w:szCs w:val="22"/>
          <w:lang w:val="es-ES"/>
        </w:rPr>
        <w:t>iguientes:</w:t>
      </w:r>
    </w:p>
    <w:p w14:paraId="33B8856A" w14:textId="77777777" w:rsidR="00FA0BB5" w:rsidRPr="00A84DC3" w:rsidRDefault="00FA0BB5" w:rsidP="000F4E64">
      <w:pPr>
        <w:pStyle w:val="subpar"/>
        <w:numPr>
          <w:ilvl w:val="3"/>
          <w:numId w:val="5"/>
        </w:numPr>
        <w:tabs>
          <w:tab w:val="clear" w:pos="2736"/>
        </w:tabs>
        <w:ind w:left="1530" w:hanging="360"/>
        <w:rPr>
          <w:rFonts w:ascii="Arial" w:hAnsi="Arial" w:cs="Arial"/>
          <w:sz w:val="22"/>
          <w:szCs w:val="22"/>
          <w:lang w:val="es-ES"/>
        </w:rPr>
      </w:pPr>
      <w:r w:rsidRPr="00A84DC3">
        <w:rPr>
          <w:rFonts w:ascii="Arial" w:hAnsi="Arial" w:cs="Arial"/>
          <w:b/>
          <w:sz w:val="22"/>
          <w:szCs w:val="22"/>
          <w:lang w:val="es-ES"/>
        </w:rPr>
        <w:t>Monto de los proyectos.</w:t>
      </w:r>
      <w:r w:rsidRPr="00A84DC3">
        <w:rPr>
          <w:rFonts w:ascii="Arial" w:hAnsi="Arial" w:cs="Arial"/>
          <w:sz w:val="22"/>
          <w:szCs w:val="22"/>
          <w:lang w:val="es-ES"/>
        </w:rPr>
        <w:t xml:space="preserve"> Para acomodarse a la dimensión requerida, se considera un monto pro</w:t>
      </w:r>
      <w:r w:rsidR="000F4E64">
        <w:rPr>
          <w:rFonts w:ascii="Arial" w:hAnsi="Arial" w:cs="Arial"/>
          <w:sz w:val="22"/>
          <w:szCs w:val="22"/>
          <w:lang w:val="es-ES"/>
        </w:rPr>
        <w:t>medio de estos proyectos de US$</w:t>
      </w:r>
      <w:r w:rsidRPr="00A84DC3">
        <w:rPr>
          <w:rFonts w:ascii="Arial" w:hAnsi="Arial" w:cs="Arial"/>
          <w:sz w:val="22"/>
          <w:szCs w:val="22"/>
          <w:lang w:val="es-ES"/>
        </w:rPr>
        <w:t>10 millones.</w:t>
      </w:r>
    </w:p>
    <w:p w14:paraId="48E2FCCA" w14:textId="77777777" w:rsidR="00FA0BB5" w:rsidRPr="00A84DC3" w:rsidRDefault="00FA0BB5" w:rsidP="000F4E64">
      <w:pPr>
        <w:pStyle w:val="subpar"/>
        <w:numPr>
          <w:ilvl w:val="3"/>
          <w:numId w:val="5"/>
        </w:numPr>
        <w:tabs>
          <w:tab w:val="clear" w:pos="2736"/>
        </w:tabs>
        <w:ind w:left="1530" w:hanging="360"/>
        <w:rPr>
          <w:rFonts w:ascii="Arial" w:hAnsi="Arial" w:cs="Arial"/>
          <w:sz w:val="22"/>
          <w:szCs w:val="22"/>
          <w:lang w:val="es-ES"/>
        </w:rPr>
      </w:pPr>
      <w:r w:rsidRPr="00A84DC3">
        <w:rPr>
          <w:rFonts w:ascii="Arial" w:hAnsi="Arial" w:cs="Arial"/>
          <w:b/>
          <w:sz w:val="22"/>
          <w:szCs w:val="22"/>
          <w:lang w:val="es-ES"/>
        </w:rPr>
        <w:t>Obras de construcción o rehabilitación.</w:t>
      </w:r>
      <w:r w:rsidRPr="00A84DC3">
        <w:rPr>
          <w:rFonts w:ascii="Arial" w:hAnsi="Arial" w:cs="Arial"/>
          <w:sz w:val="22"/>
          <w:szCs w:val="22"/>
          <w:lang w:val="es-ES"/>
        </w:rPr>
        <w:t xml:space="preserve"> Las obras de </w:t>
      </w:r>
      <w:r w:rsidRPr="000F4E64">
        <w:rPr>
          <w:rFonts w:ascii="Arial" w:hAnsi="Arial" w:cs="Arial"/>
          <w:b/>
          <w:sz w:val="22"/>
          <w:szCs w:val="22"/>
          <w:lang w:val="es-ES"/>
        </w:rPr>
        <w:t>construcción</w:t>
      </w:r>
      <w:r w:rsidRPr="00A84DC3">
        <w:rPr>
          <w:rFonts w:ascii="Arial" w:hAnsi="Arial" w:cs="Arial"/>
          <w:sz w:val="22"/>
          <w:szCs w:val="22"/>
          <w:lang w:val="es-ES"/>
        </w:rPr>
        <w:t xml:space="preserve"> se estima </w:t>
      </w:r>
      <w:r w:rsidR="00747925" w:rsidRPr="00A84DC3">
        <w:rPr>
          <w:rFonts w:ascii="Arial" w:hAnsi="Arial" w:cs="Arial"/>
          <w:sz w:val="22"/>
          <w:szCs w:val="22"/>
          <w:lang w:val="es-ES"/>
        </w:rPr>
        <w:t xml:space="preserve">que </w:t>
      </w:r>
      <w:r w:rsidRPr="00A84DC3">
        <w:rPr>
          <w:rFonts w:ascii="Arial" w:hAnsi="Arial" w:cs="Arial"/>
          <w:sz w:val="22"/>
          <w:szCs w:val="22"/>
          <w:lang w:val="es-ES"/>
        </w:rPr>
        <w:t>asciendan en promedio a US$8</w:t>
      </w:r>
      <w:r w:rsidR="000F4E64">
        <w:rPr>
          <w:rFonts w:ascii="Arial" w:hAnsi="Arial" w:cs="Arial"/>
          <w:sz w:val="22"/>
          <w:szCs w:val="22"/>
          <w:lang w:val="es-ES"/>
        </w:rPr>
        <w:t>.</w:t>
      </w:r>
      <w:r w:rsidRPr="00A84DC3">
        <w:rPr>
          <w:rFonts w:ascii="Arial" w:hAnsi="Arial" w:cs="Arial"/>
          <w:sz w:val="22"/>
          <w:szCs w:val="22"/>
          <w:lang w:val="es-ES"/>
        </w:rPr>
        <w:t>9 millones</w:t>
      </w:r>
      <w:r w:rsidR="00747925" w:rsidRPr="00A84DC3">
        <w:rPr>
          <w:rFonts w:ascii="Arial" w:hAnsi="Arial" w:cs="Arial"/>
          <w:sz w:val="22"/>
          <w:szCs w:val="22"/>
          <w:lang w:val="es-ES"/>
        </w:rPr>
        <w:t>.</w:t>
      </w:r>
    </w:p>
    <w:p w14:paraId="47089D96" w14:textId="77777777" w:rsidR="00CB39A1" w:rsidRPr="00A84DC3" w:rsidRDefault="0093674E" w:rsidP="000F4E64">
      <w:pPr>
        <w:pStyle w:val="subpar"/>
        <w:numPr>
          <w:ilvl w:val="3"/>
          <w:numId w:val="5"/>
        </w:numPr>
        <w:tabs>
          <w:tab w:val="clear" w:pos="2736"/>
        </w:tabs>
        <w:ind w:left="1530" w:hanging="360"/>
        <w:rPr>
          <w:rFonts w:ascii="Arial" w:hAnsi="Arial" w:cs="Arial"/>
          <w:sz w:val="22"/>
          <w:szCs w:val="22"/>
          <w:lang w:val="es-ES"/>
        </w:rPr>
      </w:pPr>
      <w:r w:rsidRPr="00A84DC3">
        <w:rPr>
          <w:rFonts w:ascii="Arial" w:hAnsi="Arial" w:cs="Arial"/>
          <w:b/>
          <w:sz w:val="22"/>
          <w:szCs w:val="22"/>
          <w:lang w:val="es-ES"/>
        </w:rPr>
        <w:t>Longitud</w:t>
      </w:r>
      <w:r w:rsidR="00CB39A1" w:rsidRPr="00A84DC3">
        <w:rPr>
          <w:rFonts w:ascii="Arial" w:hAnsi="Arial" w:cs="Arial"/>
          <w:b/>
          <w:sz w:val="22"/>
          <w:szCs w:val="22"/>
          <w:lang w:val="es-ES"/>
        </w:rPr>
        <w:t xml:space="preserve"> de </w:t>
      </w:r>
      <w:r w:rsidRPr="00A84DC3">
        <w:rPr>
          <w:rFonts w:ascii="Arial" w:hAnsi="Arial" w:cs="Arial"/>
          <w:b/>
          <w:sz w:val="22"/>
          <w:szCs w:val="22"/>
          <w:lang w:val="es-ES"/>
        </w:rPr>
        <w:t>vía</w:t>
      </w:r>
      <w:r w:rsidR="00CB39A1" w:rsidRPr="00A84DC3">
        <w:rPr>
          <w:rFonts w:ascii="Arial" w:hAnsi="Arial" w:cs="Arial"/>
          <w:b/>
          <w:sz w:val="22"/>
          <w:szCs w:val="22"/>
          <w:lang w:val="es-ES"/>
        </w:rPr>
        <w:t xml:space="preserve"> intervenida.</w:t>
      </w:r>
      <w:r w:rsidR="00CB39A1" w:rsidRPr="00A84DC3">
        <w:rPr>
          <w:rFonts w:ascii="Arial" w:hAnsi="Arial" w:cs="Arial"/>
          <w:sz w:val="22"/>
          <w:szCs w:val="22"/>
          <w:lang w:val="es-ES"/>
        </w:rPr>
        <w:t xml:space="preserve"> Teniendo en cuenta los montos anteriores, se </w:t>
      </w:r>
      <w:r w:rsidRPr="00A84DC3">
        <w:rPr>
          <w:rFonts w:ascii="Arial" w:hAnsi="Arial" w:cs="Arial"/>
          <w:sz w:val="22"/>
          <w:szCs w:val="22"/>
          <w:lang w:val="es-ES"/>
        </w:rPr>
        <w:t xml:space="preserve">supone una longitud de </w:t>
      </w:r>
      <w:r w:rsidR="00A72A4D" w:rsidRPr="00A84DC3">
        <w:rPr>
          <w:rFonts w:ascii="Arial" w:hAnsi="Arial" w:cs="Arial"/>
          <w:sz w:val="22"/>
          <w:szCs w:val="22"/>
          <w:lang w:val="es-ES"/>
        </w:rPr>
        <w:t>vía</w:t>
      </w:r>
      <w:r w:rsidRPr="00A84DC3">
        <w:rPr>
          <w:rFonts w:ascii="Arial" w:hAnsi="Arial" w:cs="Arial"/>
          <w:sz w:val="22"/>
          <w:szCs w:val="22"/>
          <w:lang w:val="es-ES"/>
        </w:rPr>
        <w:t xml:space="preserve"> intervenida de 20Kms por proyecto.</w:t>
      </w:r>
    </w:p>
    <w:p w14:paraId="309252EB" w14:textId="77777777" w:rsidR="00FA0BB5" w:rsidRPr="00A84DC3" w:rsidRDefault="00747925" w:rsidP="000F4E64">
      <w:pPr>
        <w:pStyle w:val="subpar"/>
        <w:numPr>
          <w:ilvl w:val="3"/>
          <w:numId w:val="5"/>
        </w:numPr>
        <w:tabs>
          <w:tab w:val="clear" w:pos="2736"/>
        </w:tabs>
        <w:ind w:left="1530" w:hanging="360"/>
        <w:rPr>
          <w:rFonts w:ascii="Arial" w:hAnsi="Arial" w:cs="Arial"/>
          <w:sz w:val="22"/>
          <w:szCs w:val="22"/>
          <w:lang w:val="es-ES"/>
        </w:rPr>
      </w:pPr>
      <w:r w:rsidRPr="000F4E64">
        <w:rPr>
          <w:rFonts w:ascii="Arial" w:hAnsi="Arial" w:cs="Arial"/>
          <w:b/>
          <w:sz w:val="22"/>
          <w:szCs w:val="22"/>
          <w:lang w:val="es-ES"/>
        </w:rPr>
        <w:t>Fiscalización de las obras</w:t>
      </w:r>
      <w:r w:rsidRPr="00A84DC3">
        <w:rPr>
          <w:rFonts w:ascii="Arial" w:hAnsi="Arial" w:cs="Arial"/>
          <w:b/>
          <w:sz w:val="22"/>
          <w:szCs w:val="22"/>
          <w:lang w:val="es-ES"/>
        </w:rPr>
        <w:t>.</w:t>
      </w:r>
      <w:r w:rsidRPr="00A84DC3">
        <w:rPr>
          <w:rFonts w:ascii="Arial" w:hAnsi="Arial" w:cs="Arial"/>
          <w:sz w:val="22"/>
          <w:szCs w:val="22"/>
          <w:lang w:val="es-ES"/>
        </w:rPr>
        <w:t xml:space="preserve"> El plan y gestión para la fiscalización de este tipo de proyectos se estima en torno a un 5% del valor correspondiente al monto por obras. En este caso, el monto promedio a destinar a esta categoría de costes es de US$447.127.</w:t>
      </w:r>
    </w:p>
    <w:p w14:paraId="7883C986" w14:textId="77777777" w:rsidR="00FA0BB5" w:rsidRPr="00A84DC3" w:rsidRDefault="00FA0BB5" w:rsidP="000F4E64">
      <w:pPr>
        <w:pStyle w:val="subpar"/>
        <w:numPr>
          <w:ilvl w:val="3"/>
          <w:numId w:val="5"/>
        </w:numPr>
        <w:tabs>
          <w:tab w:val="clear" w:pos="2736"/>
        </w:tabs>
        <w:ind w:left="1530" w:hanging="360"/>
        <w:rPr>
          <w:rFonts w:ascii="Arial" w:hAnsi="Arial" w:cs="Arial"/>
          <w:sz w:val="22"/>
          <w:szCs w:val="22"/>
          <w:lang w:val="es-ES"/>
        </w:rPr>
      </w:pPr>
      <w:r w:rsidRPr="00A84DC3">
        <w:rPr>
          <w:rFonts w:ascii="Arial" w:hAnsi="Arial" w:cs="Arial"/>
          <w:b/>
          <w:sz w:val="22"/>
          <w:szCs w:val="22"/>
          <w:lang w:val="es-ES"/>
        </w:rPr>
        <w:t>Planeamiento social y ambiental.</w:t>
      </w:r>
      <w:r w:rsidR="00747925" w:rsidRPr="00A84DC3">
        <w:rPr>
          <w:rFonts w:ascii="Arial" w:hAnsi="Arial" w:cs="Arial"/>
          <w:sz w:val="22"/>
          <w:szCs w:val="22"/>
          <w:lang w:val="es-ES"/>
        </w:rPr>
        <w:t xml:space="preserve"> Siguiendo la base de que, al tratarse de obras de rehabilitación mayoritariamente, sobre trazados existentes, no se prevén mayores impactos sociales o ambientales. Pese a esto, se contempla la partida para el diseño e implementación de un plan ambiental y social por valor de US$134.138.</w:t>
      </w:r>
    </w:p>
    <w:p w14:paraId="72D716CF" w14:textId="77777777" w:rsidR="00A4605A" w:rsidRPr="00A84DC3" w:rsidRDefault="00FA0BB5" w:rsidP="000F4E64">
      <w:pPr>
        <w:pStyle w:val="subpar"/>
        <w:numPr>
          <w:ilvl w:val="3"/>
          <w:numId w:val="5"/>
        </w:numPr>
        <w:tabs>
          <w:tab w:val="clear" w:pos="2736"/>
        </w:tabs>
        <w:ind w:left="1530" w:hanging="360"/>
        <w:rPr>
          <w:rFonts w:ascii="Arial" w:hAnsi="Arial" w:cs="Arial"/>
          <w:sz w:val="22"/>
          <w:szCs w:val="22"/>
          <w:lang w:val="es-ES"/>
        </w:rPr>
      </w:pPr>
      <w:r w:rsidRPr="00A84DC3">
        <w:rPr>
          <w:rFonts w:ascii="Arial" w:hAnsi="Arial" w:cs="Arial"/>
          <w:b/>
          <w:sz w:val="22"/>
          <w:szCs w:val="22"/>
          <w:lang w:val="es-ES"/>
        </w:rPr>
        <w:lastRenderedPageBreak/>
        <w:t>Contingencia</w:t>
      </w:r>
      <w:r w:rsidR="000F4E64">
        <w:rPr>
          <w:rFonts w:ascii="Arial" w:hAnsi="Arial" w:cs="Arial"/>
          <w:sz w:val="22"/>
          <w:szCs w:val="22"/>
          <w:lang w:val="es-ES"/>
        </w:rPr>
        <w:t xml:space="preserve">. </w:t>
      </w:r>
      <w:r w:rsidR="00747925" w:rsidRPr="00A84DC3">
        <w:rPr>
          <w:rFonts w:ascii="Arial" w:hAnsi="Arial" w:cs="Arial"/>
          <w:sz w:val="22"/>
          <w:szCs w:val="22"/>
          <w:lang w:val="es-ES"/>
        </w:rPr>
        <w:t>Pese a una identificación de riesgos reducidos, los proyectos contaran con una partida de contingencia para hacer frente a los imprevistos que puedan surgir. Se considera un monto por contingencia de un 5% sobre el coste total del proyecto que asciende aquí a US$476.190.</w:t>
      </w:r>
    </w:p>
    <w:p w14:paraId="4092EA3A" w14:textId="77777777" w:rsidR="000161F1" w:rsidRPr="00A84DC3" w:rsidRDefault="000161F1" w:rsidP="000F4E64">
      <w:pPr>
        <w:pStyle w:val="subpar"/>
        <w:numPr>
          <w:ilvl w:val="3"/>
          <w:numId w:val="5"/>
        </w:numPr>
        <w:tabs>
          <w:tab w:val="clear" w:pos="2736"/>
        </w:tabs>
        <w:ind w:left="1530" w:hanging="360"/>
        <w:rPr>
          <w:rFonts w:ascii="Arial" w:hAnsi="Arial" w:cs="Arial"/>
          <w:sz w:val="22"/>
          <w:szCs w:val="22"/>
          <w:lang w:val="es-ES"/>
        </w:rPr>
      </w:pPr>
      <w:r w:rsidRPr="00A84DC3">
        <w:rPr>
          <w:rFonts w:ascii="Arial" w:hAnsi="Arial" w:cs="Arial"/>
          <w:b/>
          <w:sz w:val="22"/>
          <w:szCs w:val="22"/>
          <w:lang w:val="es-ES"/>
        </w:rPr>
        <w:t>Incrementos de la velocidad media</w:t>
      </w:r>
      <w:r w:rsidRPr="00A84DC3">
        <w:rPr>
          <w:rFonts w:ascii="Arial" w:hAnsi="Arial" w:cs="Arial"/>
          <w:sz w:val="22"/>
          <w:szCs w:val="22"/>
          <w:lang w:val="es-ES"/>
        </w:rPr>
        <w:t xml:space="preserve">. </w:t>
      </w:r>
      <w:r w:rsidR="00C53DD1" w:rsidRPr="00A84DC3">
        <w:rPr>
          <w:rFonts w:ascii="Arial" w:hAnsi="Arial" w:cs="Arial"/>
          <w:sz w:val="22"/>
          <w:szCs w:val="22"/>
          <w:lang w:val="es-ES"/>
        </w:rPr>
        <w:t xml:space="preserve">Se prevé que las intervenciones conlleven un aumento en la velocidad media de los tramos rehabilitados de 35 Km/hora gracias a las mejoras en la calzada. </w:t>
      </w:r>
    </w:p>
    <w:p w14:paraId="5F30839E" w14:textId="36EF41A6" w:rsidR="000F67FA" w:rsidRPr="00A84DC3" w:rsidRDefault="001B09DD" w:rsidP="000F4E64">
      <w:pPr>
        <w:pStyle w:val="subpar"/>
        <w:numPr>
          <w:ilvl w:val="2"/>
          <w:numId w:val="5"/>
        </w:numPr>
        <w:tabs>
          <w:tab w:val="clear" w:pos="2304"/>
          <w:tab w:val="num" w:pos="1152"/>
        </w:tabs>
        <w:ind w:left="1170" w:hanging="450"/>
        <w:rPr>
          <w:rFonts w:ascii="Arial" w:hAnsi="Arial" w:cs="Arial"/>
          <w:sz w:val="22"/>
          <w:szCs w:val="22"/>
          <w:lang w:val="es-ES"/>
        </w:rPr>
      </w:pPr>
      <w:r w:rsidRPr="00A84DC3">
        <w:rPr>
          <w:rFonts w:ascii="Arial" w:hAnsi="Arial" w:cs="Arial"/>
          <w:b/>
          <w:sz w:val="22"/>
          <w:szCs w:val="22"/>
          <w:lang w:val="es-ES"/>
        </w:rPr>
        <w:t xml:space="preserve">Perfil típico en programas de </w:t>
      </w:r>
      <w:r w:rsidR="003A569B" w:rsidRPr="00A84DC3">
        <w:rPr>
          <w:rFonts w:ascii="Arial" w:hAnsi="Arial" w:cs="Arial"/>
          <w:b/>
          <w:sz w:val="22"/>
          <w:szCs w:val="22"/>
          <w:lang w:val="es-ES"/>
        </w:rPr>
        <w:t>apoyo al financiamiento</w:t>
      </w:r>
      <w:r w:rsidR="00BC1652" w:rsidRPr="00A84DC3">
        <w:rPr>
          <w:rFonts w:ascii="Arial" w:hAnsi="Arial" w:cs="Arial"/>
          <w:b/>
          <w:sz w:val="22"/>
          <w:szCs w:val="22"/>
          <w:lang w:val="es-ES"/>
        </w:rPr>
        <w:t xml:space="preserve"> productivo </w:t>
      </w:r>
      <w:r w:rsidR="003A569B" w:rsidRPr="00A84DC3">
        <w:rPr>
          <w:rFonts w:ascii="Arial" w:hAnsi="Arial" w:cs="Arial"/>
          <w:b/>
          <w:sz w:val="22"/>
          <w:szCs w:val="22"/>
          <w:lang w:val="es-ES"/>
        </w:rPr>
        <w:t xml:space="preserve">de </w:t>
      </w:r>
      <w:r w:rsidR="00244828">
        <w:rPr>
          <w:rFonts w:ascii="Arial" w:hAnsi="Arial" w:cs="Arial"/>
          <w:b/>
          <w:sz w:val="22"/>
          <w:szCs w:val="22"/>
          <w:lang w:val="es-ES"/>
        </w:rPr>
        <w:t xml:space="preserve">las </w:t>
      </w:r>
      <w:r w:rsidR="003A569B" w:rsidRPr="00A84DC3">
        <w:rPr>
          <w:rFonts w:ascii="Arial" w:hAnsi="Arial" w:cs="Arial"/>
          <w:b/>
          <w:sz w:val="22"/>
          <w:szCs w:val="22"/>
          <w:lang w:val="es-ES"/>
        </w:rPr>
        <w:t>MiPyME</w:t>
      </w:r>
      <w:r w:rsidR="003200FD" w:rsidRPr="00A84DC3">
        <w:rPr>
          <w:rFonts w:ascii="Arial" w:hAnsi="Arial" w:cs="Arial"/>
          <w:b/>
          <w:sz w:val="22"/>
          <w:szCs w:val="22"/>
          <w:lang w:val="es-ES"/>
        </w:rPr>
        <w:t>.</w:t>
      </w:r>
      <w:r w:rsidR="00B45983" w:rsidRPr="00A84DC3">
        <w:rPr>
          <w:rFonts w:ascii="Arial" w:hAnsi="Arial" w:cs="Arial"/>
          <w:sz w:val="22"/>
          <w:szCs w:val="22"/>
          <w:lang w:val="es-ES"/>
        </w:rPr>
        <w:t xml:space="preserve"> </w:t>
      </w:r>
      <w:r w:rsidR="000F67FA" w:rsidRPr="00A84DC3">
        <w:rPr>
          <w:rFonts w:ascii="Arial" w:hAnsi="Arial" w:cs="Arial"/>
          <w:sz w:val="22"/>
          <w:szCs w:val="22"/>
          <w:lang w:val="es-ES"/>
        </w:rPr>
        <w:t xml:space="preserve">Estos programas tienen </w:t>
      </w:r>
      <w:r w:rsidR="003200FD" w:rsidRPr="00A84DC3">
        <w:rPr>
          <w:rFonts w:ascii="Arial" w:hAnsi="Arial" w:cs="Arial"/>
          <w:sz w:val="22"/>
          <w:szCs w:val="22"/>
          <w:lang w:val="es-ES"/>
        </w:rPr>
        <w:t>por objeto ap</w:t>
      </w:r>
      <w:r w:rsidR="000F67FA" w:rsidRPr="00A84DC3">
        <w:rPr>
          <w:rFonts w:ascii="Arial" w:hAnsi="Arial" w:cs="Arial"/>
          <w:sz w:val="22"/>
          <w:szCs w:val="22"/>
          <w:lang w:val="es-ES"/>
        </w:rPr>
        <w:t xml:space="preserve">oyar el desarrollo productivo en la Cuenca </w:t>
      </w:r>
      <w:r w:rsidR="003200FD" w:rsidRPr="00A84DC3">
        <w:rPr>
          <w:rFonts w:ascii="Arial" w:hAnsi="Arial" w:cs="Arial"/>
          <w:sz w:val="22"/>
          <w:szCs w:val="22"/>
          <w:lang w:val="es-ES"/>
        </w:rPr>
        <w:t>mediante la facilitación del acceso al financiamiento productivo en condiciones competitivas de tasas y plazos de las Micro, Pequeñas y Medianas Empresas.</w:t>
      </w:r>
      <w:r w:rsidR="000F67FA" w:rsidRPr="00A84DC3">
        <w:rPr>
          <w:rFonts w:ascii="Arial" w:hAnsi="Arial" w:cs="Arial"/>
          <w:sz w:val="22"/>
          <w:szCs w:val="22"/>
          <w:lang w:val="es-ES"/>
        </w:rPr>
        <w:t xml:space="preserve"> FONPLATA en estos casos operará a través de la banca pública de segundo piso para la </w:t>
      </w:r>
      <w:r w:rsidR="00354E6B" w:rsidRPr="00A84DC3">
        <w:rPr>
          <w:rFonts w:ascii="Arial" w:hAnsi="Arial" w:cs="Arial"/>
          <w:sz w:val="22"/>
          <w:szCs w:val="22"/>
          <w:lang w:val="es-ES"/>
        </w:rPr>
        <w:t>intermediación</w:t>
      </w:r>
      <w:r w:rsidR="000F67FA" w:rsidRPr="00A84DC3">
        <w:rPr>
          <w:rFonts w:ascii="Arial" w:hAnsi="Arial" w:cs="Arial"/>
          <w:sz w:val="22"/>
          <w:szCs w:val="22"/>
          <w:lang w:val="es-ES"/>
        </w:rPr>
        <w:t xml:space="preserve"> financiera, quien colocará los recursos entre distintas instituciones financieras (</w:t>
      </w:r>
      <w:r w:rsidR="00A72A4D" w:rsidRPr="00A84DC3">
        <w:rPr>
          <w:rFonts w:ascii="Arial" w:hAnsi="Arial" w:cs="Arial"/>
          <w:sz w:val="22"/>
          <w:szCs w:val="22"/>
          <w:lang w:val="es-ES"/>
        </w:rPr>
        <w:t>Iris</w:t>
      </w:r>
      <w:r w:rsidR="000F67FA" w:rsidRPr="00A84DC3">
        <w:rPr>
          <w:rFonts w:ascii="Arial" w:hAnsi="Arial" w:cs="Arial"/>
          <w:sz w:val="22"/>
          <w:szCs w:val="22"/>
          <w:lang w:val="es-ES"/>
        </w:rPr>
        <w:t xml:space="preserve">) de primer piso para llegar al beneficiario final, en este caso, </w:t>
      </w:r>
      <w:r w:rsidR="00244828">
        <w:rPr>
          <w:rFonts w:ascii="Arial" w:hAnsi="Arial" w:cs="Arial"/>
          <w:sz w:val="22"/>
          <w:szCs w:val="22"/>
          <w:lang w:val="es-ES"/>
        </w:rPr>
        <w:t xml:space="preserve">las </w:t>
      </w:r>
      <w:r w:rsidR="000F67FA" w:rsidRPr="00A84DC3">
        <w:rPr>
          <w:rFonts w:ascii="Arial" w:hAnsi="Arial" w:cs="Arial"/>
          <w:sz w:val="22"/>
          <w:szCs w:val="22"/>
          <w:lang w:val="es-ES"/>
        </w:rPr>
        <w:t xml:space="preserve">MiPyME.  </w:t>
      </w:r>
    </w:p>
    <w:p w14:paraId="6336285A" w14:textId="77777777" w:rsidR="00A87B7E" w:rsidRPr="00A84DC3" w:rsidRDefault="00A87B7E" w:rsidP="000F4E64">
      <w:pPr>
        <w:pStyle w:val="subpar"/>
        <w:numPr>
          <w:ilvl w:val="3"/>
          <w:numId w:val="5"/>
        </w:numPr>
        <w:tabs>
          <w:tab w:val="clear" w:pos="2736"/>
        </w:tabs>
        <w:ind w:left="1530" w:hanging="450"/>
        <w:rPr>
          <w:rFonts w:ascii="Arial" w:hAnsi="Arial" w:cs="Arial"/>
          <w:sz w:val="22"/>
          <w:szCs w:val="22"/>
          <w:lang w:val="es-ES"/>
        </w:rPr>
      </w:pPr>
      <w:r w:rsidRPr="00A84DC3">
        <w:rPr>
          <w:rFonts w:ascii="Arial" w:hAnsi="Arial" w:cs="Arial"/>
          <w:sz w:val="22"/>
          <w:szCs w:val="22"/>
          <w:lang w:val="es-ES"/>
        </w:rPr>
        <w:t>Los costos están dados por el monto total del financiamiento del pr</w:t>
      </w:r>
      <w:r w:rsidR="00354E6B" w:rsidRPr="00A84DC3">
        <w:rPr>
          <w:rFonts w:ascii="Arial" w:hAnsi="Arial" w:cs="Arial"/>
          <w:sz w:val="22"/>
          <w:szCs w:val="22"/>
          <w:lang w:val="es-ES"/>
        </w:rPr>
        <w:t>ograma US$66</w:t>
      </w:r>
      <w:r w:rsidR="000F4E64">
        <w:rPr>
          <w:rFonts w:ascii="Arial" w:hAnsi="Arial" w:cs="Arial"/>
          <w:sz w:val="22"/>
          <w:szCs w:val="22"/>
          <w:lang w:val="es-ES"/>
        </w:rPr>
        <w:t>.</w:t>
      </w:r>
      <w:r w:rsidR="00354E6B" w:rsidRPr="00A84DC3">
        <w:rPr>
          <w:rFonts w:ascii="Arial" w:hAnsi="Arial" w:cs="Arial"/>
          <w:sz w:val="22"/>
          <w:szCs w:val="22"/>
          <w:lang w:val="es-ES"/>
        </w:rPr>
        <w:t>6</w:t>
      </w:r>
      <w:r w:rsidRPr="00A84DC3">
        <w:rPr>
          <w:rFonts w:ascii="Arial" w:hAnsi="Arial" w:cs="Arial"/>
          <w:sz w:val="22"/>
          <w:szCs w:val="22"/>
          <w:lang w:val="es-ES"/>
        </w:rPr>
        <w:t xml:space="preserve"> millones, incluyendo los intereses y plazos de intermediación de primer y segundo piso.</w:t>
      </w:r>
    </w:p>
    <w:p w14:paraId="2FB6EA60" w14:textId="38D52EBC" w:rsidR="00A87B7E" w:rsidRPr="00A84DC3" w:rsidRDefault="00A87B7E" w:rsidP="000F4E64">
      <w:pPr>
        <w:pStyle w:val="subpar"/>
        <w:numPr>
          <w:ilvl w:val="3"/>
          <w:numId w:val="5"/>
        </w:numPr>
        <w:tabs>
          <w:tab w:val="clear" w:pos="2736"/>
        </w:tabs>
        <w:ind w:left="1530" w:hanging="450"/>
        <w:rPr>
          <w:rFonts w:ascii="Arial" w:hAnsi="Arial" w:cs="Arial"/>
          <w:sz w:val="22"/>
          <w:szCs w:val="22"/>
          <w:lang w:val="es-ES"/>
        </w:rPr>
      </w:pPr>
      <w:r w:rsidRPr="00A84DC3">
        <w:rPr>
          <w:rFonts w:ascii="Arial" w:hAnsi="Arial" w:cs="Arial"/>
          <w:sz w:val="22"/>
          <w:szCs w:val="22"/>
          <w:lang w:val="es-ES"/>
        </w:rPr>
        <w:t>En la o</w:t>
      </w:r>
      <w:r w:rsidR="00354E6B" w:rsidRPr="00A84DC3">
        <w:rPr>
          <w:rFonts w:ascii="Arial" w:hAnsi="Arial" w:cs="Arial"/>
          <w:sz w:val="22"/>
          <w:szCs w:val="22"/>
          <w:lang w:val="es-ES"/>
        </w:rPr>
        <w:t xml:space="preserve">peración de crédito participará BID, FONPLATA y banca de segundo piso actuando intermediario en la colocación de dichos recursos entre las </w:t>
      </w:r>
      <w:r w:rsidR="004A4F0F" w:rsidRPr="00A84DC3">
        <w:rPr>
          <w:rFonts w:ascii="Arial" w:hAnsi="Arial" w:cs="Arial"/>
          <w:sz w:val="22"/>
          <w:szCs w:val="22"/>
          <w:lang w:val="es-ES"/>
        </w:rPr>
        <w:t>distintas</w:t>
      </w:r>
      <w:r w:rsidR="00354E6B" w:rsidRPr="00A84DC3">
        <w:rPr>
          <w:rFonts w:ascii="Arial" w:hAnsi="Arial" w:cs="Arial"/>
          <w:sz w:val="22"/>
          <w:szCs w:val="22"/>
          <w:lang w:val="es-ES"/>
        </w:rPr>
        <w:t xml:space="preserve"> </w:t>
      </w:r>
      <w:r w:rsidR="00244828">
        <w:rPr>
          <w:rFonts w:ascii="Arial" w:hAnsi="Arial" w:cs="Arial"/>
          <w:sz w:val="22"/>
          <w:szCs w:val="22"/>
          <w:lang w:val="es-ES"/>
        </w:rPr>
        <w:t>I</w:t>
      </w:r>
      <w:r w:rsidR="00354E6B" w:rsidRPr="00A84DC3">
        <w:rPr>
          <w:rFonts w:ascii="Arial" w:hAnsi="Arial" w:cs="Arial"/>
          <w:sz w:val="22"/>
          <w:szCs w:val="22"/>
          <w:lang w:val="es-ES"/>
        </w:rPr>
        <w:t>nst</w:t>
      </w:r>
      <w:r w:rsidR="004A4F0F" w:rsidRPr="00A84DC3">
        <w:rPr>
          <w:rFonts w:ascii="Arial" w:hAnsi="Arial" w:cs="Arial"/>
          <w:sz w:val="22"/>
          <w:szCs w:val="22"/>
          <w:lang w:val="es-ES"/>
        </w:rPr>
        <w:t>it</w:t>
      </w:r>
      <w:r w:rsidR="00354E6B" w:rsidRPr="00A84DC3">
        <w:rPr>
          <w:rFonts w:ascii="Arial" w:hAnsi="Arial" w:cs="Arial"/>
          <w:sz w:val="22"/>
          <w:szCs w:val="22"/>
          <w:lang w:val="es-ES"/>
        </w:rPr>
        <w:t xml:space="preserve">uciones </w:t>
      </w:r>
      <w:r w:rsidR="00244828">
        <w:rPr>
          <w:rFonts w:ascii="Arial" w:hAnsi="Arial" w:cs="Arial"/>
          <w:sz w:val="22"/>
          <w:szCs w:val="22"/>
          <w:lang w:val="es-ES"/>
        </w:rPr>
        <w:t>F</w:t>
      </w:r>
      <w:r w:rsidR="00354E6B" w:rsidRPr="00A84DC3">
        <w:rPr>
          <w:rFonts w:ascii="Arial" w:hAnsi="Arial" w:cs="Arial"/>
          <w:sz w:val="22"/>
          <w:szCs w:val="22"/>
          <w:lang w:val="es-ES"/>
        </w:rPr>
        <w:t>inancieras</w:t>
      </w:r>
      <w:r w:rsidR="00244828">
        <w:rPr>
          <w:rFonts w:ascii="Arial" w:hAnsi="Arial" w:cs="Arial"/>
          <w:sz w:val="22"/>
          <w:szCs w:val="22"/>
          <w:lang w:val="es-ES"/>
        </w:rPr>
        <w:t xml:space="preserve"> Intermediarias</w:t>
      </w:r>
      <w:r w:rsidR="00354E6B" w:rsidRPr="00A84DC3">
        <w:rPr>
          <w:rFonts w:ascii="Arial" w:hAnsi="Arial" w:cs="Arial"/>
          <w:sz w:val="22"/>
          <w:szCs w:val="22"/>
          <w:lang w:val="es-ES"/>
        </w:rPr>
        <w:t xml:space="preserve"> (IFI).</w:t>
      </w:r>
    </w:p>
    <w:p w14:paraId="174A2B03" w14:textId="77777777" w:rsidR="00A87B7E" w:rsidRPr="00A84DC3" w:rsidRDefault="00A87B7E" w:rsidP="000F4E64">
      <w:pPr>
        <w:pStyle w:val="subpar"/>
        <w:numPr>
          <w:ilvl w:val="3"/>
          <w:numId w:val="5"/>
        </w:numPr>
        <w:tabs>
          <w:tab w:val="clear" w:pos="2736"/>
        </w:tabs>
        <w:ind w:left="1530" w:hanging="450"/>
        <w:rPr>
          <w:rFonts w:ascii="Arial" w:hAnsi="Arial" w:cs="Arial"/>
          <w:sz w:val="22"/>
          <w:szCs w:val="22"/>
          <w:lang w:val="es-ES"/>
        </w:rPr>
      </w:pPr>
      <w:r w:rsidRPr="00A84DC3">
        <w:rPr>
          <w:rFonts w:ascii="Arial" w:hAnsi="Arial" w:cs="Arial"/>
          <w:sz w:val="22"/>
          <w:szCs w:val="22"/>
          <w:lang w:val="es-ES"/>
        </w:rPr>
        <w:t>Las IFIs, que col</w:t>
      </w:r>
      <w:r w:rsidR="00354E6B" w:rsidRPr="00A84DC3">
        <w:rPr>
          <w:rFonts w:ascii="Arial" w:hAnsi="Arial" w:cs="Arial"/>
          <w:sz w:val="22"/>
          <w:szCs w:val="22"/>
          <w:lang w:val="es-ES"/>
        </w:rPr>
        <w:t xml:space="preserve">ocan los recursos obtenidos de la banca de segundo piso </w:t>
      </w:r>
      <w:r w:rsidRPr="00A84DC3">
        <w:rPr>
          <w:rFonts w:ascii="Arial" w:hAnsi="Arial" w:cs="Arial"/>
          <w:sz w:val="22"/>
          <w:szCs w:val="22"/>
          <w:lang w:val="es-ES"/>
        </w:rPr>
        <w:t>entre sus clientes: firmas prestatarias que necesitan crédito para inversiones productivas.</w:t>
      </w:r>
    </w:p>
    <w:p w14:paraId="1360C62B" w14:textId="3B16E768" w:rsidR="00A87B7E" w:rsidRPr="00A84DC3" w:rsidRDefault="00A87B7E" w:rsidP="000F4E64">
      <w:pPr>
        <w:pStyle w:val="subpar"/>
        <w:numPr>
          <w:ilvl w:val="3"/>
          <w:numId w:val="5"/>
        </w:numPr>
        <w:tabs>
          <w:tab w:val="clear" w:pos="2736"/>
        </w:tabs>
        <w:ind w:left="1530" w:hanging="450"/>
        <w:rPr>
          <w:rFonts w:ascii="Arial" w:hAnsi="Arial" w:cs="Arial"/>
          <w:sz w:val="22"/>
          <w:szCs w:val="22"/>
          <w:lang w:val="es-ES"/>
        </w:rPr>
      </w:pPr>
      <w:r w:rsidRPr="00A84DC3">
        <w:rPr>
          <w:rFonts w:ascii="Arial" w:hAnsi="Arial" w:cs="Arial"/>
          <w:sz w:val="22"/>
          <w:szCs w:val="22"/>
          <w:lang w:val="es-ES"/>
        </w:rPr>
        <w:t>Las empresas prestatarias, q</w:t>
      </w:r>
      <w:r w:rsidR="00244828">
        <w:rPr>
          <w:rFonts w:ascii="Arial" w:hAnsi="Arial" w:cs="Arial"/>
          <w:sz w:val="22"/>
          <w:szCs w:val="22"/>
          <w:lang w:val="es-ES"/>
        </w:rPr>
        <w:t>ue adquieren crédito de las IFI</w:t>
      </w:r>
      <w:r w:rsidRPr="00A84DC3">
        <w:rPr>
          <w:rFonts w:ascii="Arial" w:hAnsi="Arial" w:cs="Arial"/>
          <w:sz w:val="22"/>
          <w:szCs w:val="22"/>
          <w:lang w:val="es-ES"/>
        </w:rPr>
        <w:t xml:space="preserve"> para sus necesidades de financiamiento, en este caso relacionadas con la inversión productiva de mediano y largo plazo para el crecimiento de sus negocios.</w:t>
      </w:r>
    </w:p>
    <w:p w14:paraId="029F1C51" w14:textId="77777777" w:rsidR="00A87B7E" w:rsidRPr="00A84DC3" w:rsidRDefault="00A87B7E" w:rsidP="000F4E64">
      <w:pPr>
        <w:pStyle w:val="subpar"/>
        <w:numPr>
          <w:ilvl w:val="3"/>
          <w:numId w:val="5"/>
        </w:numPr>
        <w:tabs>
          <w:tab w:val="clear" w:pos="2736"/>
        </w:tabs>
        <w:ind w:left="1530" w:hanging="450"/>
        <w:rPr>
          <w:rFonts w:ascii="Arial" w:hAnsi="Arial" w:cs="Arial"/>
          <w:sz w:val="22"/>
          <w:szCs w:val="22"/>
          <w:lang w:val="es-ES"/>
        </w:rPr>
      </w:pPr>
      <w:r w:rsidRPr="00A84DC3">
        <w:rPr>
          <w:rFonts w:ascii="Arial" w:hAnsi="Arial" w:cs="Arial"/>
          <w:sz w:val="22"/>
          <w:szCs w:val="22"/>
          <w:lang w:val="es-ES"/>
        </w:rPr>
        <w:t>Cada uno de los agentes antes mencionados incurrirá en costos y logrará beneficios por las actividades que realicen con recursos provenientes del programa, ya sea como prestamista y/o como deudor.</w:t>
      </w:r>
    </w:p>
    <w:p w14:paraId="2D0E07D9" w14:textId="77777777" w:rsidR="006E152C" w:rsidRPr="00A84DC3" w:rsidRDefault="00CA2A1E" w:rsidP="000F4E64">
      <w:pPr>
        <w:pStyle w:val="subpar"/>
        <w:numPr>
          <w:ilvl w:val="3"/>
          <w:numId w:val="5"/>
        </w:numPr>
        <w:tabs>
          <w:tab w:val="clear" w:pos="2736"/>
        </w:tabs>
        <w:ind w:left="1530" w:hanging="450"/>
        <w:rPr>
          <w:rFonts w:ascii="Arial" w:hAnsi="Arial" w:cs="Arial"/>
          <w:sz w:val="22"/>
          <w:szCs w:val="22"/>
          <w:lang w:val="es-ES"/>
        </w:rPr>
      </w:pPr>
      <w:r w:rsidRPr="00A84DC3">
        <w:rPr>
          <w:rFonts w:ascii="Arial" w:hAnsi="Arial" w:cs="Arial"/>
          <w:sz w:val="22"/>
          <w:szCs w:val="22"/>
          <w:lang w:val="es-ES"/>
        </w:rPr>
        <w:t xml:space="preserve">Con la información obtenida a través de FONPLATA, se </w:t>
      </w:r>
      <w:r w:rsidR="008C01DF" w:rsidRPr="00A84DC3">
        <w:rPr>
          <w:rFonts w:ascii="Arial" w:hAnsi="Arial" w:cs="Arial"/>
          <w:sz w:val="22"/>
          <w:szCs w:val="22"/>
          <w:lang w:val="es-ES"/>
        </w:rPr>
        <w:t>ha realizado una caracterización del perfil típico a financiar bajo est</w:t>
      </w:r>
      <w:r w:rsidR="00354E6B" w:rsidRPr="00A84DC3">
        <w:rPr>
          <w:rFonts w:ascii="Arial" w:hAnsi="Arial" w:cs="Arial"/>
          <w:sz w:val="22"/>
          <w:szCs w:val="22"/>
          <w:lang w:val="es-ES"/>
        </w:rPr>
        <w:t xml:space="preserve">a modalidad. </w:t>
      </w:r>
      <w:r w:rsidR="004327BE" w:rsidRPr="00A84DC3">
        <w:rPr>
          <w:rFonts w:ascii="Arial" w:hAnsi="Arial" w:cs="Arial"/>
          <w:sz w:val="22"/>
          <w:szCs w:val="22"/>
          <w:lang w:val="es-ES"/>
        </w:rPr>
        <w:t>L</w:t>
      </w:r>
      <w:r w:rsidR="00351F05" w:rsidRPr="00A84DC3">
        <w:rPr>
          <w:rFonts w:ascii="Arial" w:hAnsi="Arial" w:cs="Arial"/>
          <w:sz w:val="22"/>
          <w:szCs w:val="22"/>
          <w:lang w:val="es-ES"/>
        </w:rPr>
        <w:t xml:space="preserve">os </w:t>
      </w:r>
      <w:r w:rsidR="0099722B" w:rsidRPr="00A84DC3">
        <w:rPr>
          <w:rFonts w:ascii="Arial" w:hAnsi="Arial" w:cs="Arial"/>
          <w:sz w:val="22"/>
          <w:szCs w:val="22"/>
          <w:lang w:val="es-ES"/>
        </w:rPr>
        <w:t>parámetros</w:t>
      </w:r>
      <w:r w:rsidR="00351F05" w:rsidRPr="00A84DC3">
        <w:rPr>
          <w:rFonts w:ascii="Arial" w:hAnsi="Arial" w:cs="Arial"/>
          <w:sz w:val="22"/>
          <w:szCs w:val="22"/>
          <w:lang w:val="es-ES"/>
        </w:rPr>
        <w:t xml:space="preserve"> más pertinentes se presenta</w:t>
      </w:r>
      <w:r w:rsidR="004327BE" w:rsidRPr="00A84DC3">
        <w:rPr>
          <w:rFonts w:ascii="Arial" w:hAnsi="Arial" w:cs="Arial"/>
          <w:sz w:val="22"/>
          <w:szCs w:val="22"/>
          <w:lang w:val="es-ES"/>
        </w:rPr>
        <w:t>n</w:t>
      </w:r>
      <w:r w:rsidR="00351F05" w:rsidRPr="00A84DC3">
        <w:rPr>
          <w:rFonts w:ascii="Arial" w:hAnsi="Arial" w:cs="Arial"/>
          <w:sz w:val="22"/>
          <w:szCs w:val="22"/>
          <w:lang w:val="es-ES"/>
        </w:rPr>
        <w:t xml:space="preserve"> a continuación.</w:t>
      </w:r>
    </w:p>
    <w:p w14:paraId="0E4FE10F" w14:textId="72D1722E" w:rsidR="008B7715" w:rsidRPr="00A84DC3" w:rsidRDefault="008B7715" w:rsidP="000F4E64">
      <w:pPr>
        <w:pStyle w:val="subpar"/>
        <w:numPr>
          <w:ilvl w:val="3"/>
          <w:numId w:val="5"/>
        </w:numPr>
        <w:tabs>
          <w:tab w:val="clear" w:pos="2736"/>
        </w:tabs>
        <w:ind w:left="1530" w:hanging="450"/>
        <w:rPr>
          <w:rFonts w:ascii="Arial" w:hAnsi="Arial" w:cs="Arial"/>
          <w:sz w:val="22"/>
          <w:szCs w:val="22"/>
          <w:lang w:val="es-ES"/>
        </w:rPr>
      </w:pPr>
      <w:r w:rsidRPr="00A84DC3">
        <w:rPr>
          <w:rFonts w:ascii="Arial" w:hAnsi="Arial" w:cs="Arial"/>
          <w:sz w:val="22"/>
          <w:szCs w:val="22"/>
          <w:lang w:val="es-ES"/>
        </w:rPr>
        <w:t xml:space="preserve">Las </w:t>
      </w:r>
      <w:r w:rsidR="00244828">
        <w:rPr>
          <w:rFonts w:ascii="Arial" w:hAnsi="Arial" w:cs="Arial"/>
          <w:sz w:val="22"/>
          <w:szCs w:val="22"/>
          <w:lang w:val="es-ES"/>
        </w:rPr>
        <w:t>MiPyME</w:t>
      </w:r>
      <w:r w:rsidRPr="00A84DC3">
        <w:rPr>
          <w:rFonts w:ascii="Arial" w:hAnsi="Arial" w:cs="Arial"/>
          <w:sz w:val="22"/>
          <w:szCs w:val="22"/>
          <w:lang w:val="es-ES"/>
        </w:rPr>
        <w:t xml:space="preserve"> beneficiarias de financiamiento para inversión productiva en general, presentan en promedio ventas por US$</w:t>
      </w:r>
      <w:r w:rsidR="003D051D" w:rsidRPr="00A84DC3">
        <w:rPr>
          <w:rFonts w:ascii="Arial" w:hAnsi="Arial" w:cs="Arial"/>
          <w:sz w:val="22"/>
          <w:szCs w:val="22"/>
          <w:lang w:val="es-ES"/>
        </w:rPr>
        <w:t>1.9</w:t>
      </w:r>
      <w:r w:rsidR="00F63F88" w:rsidRPr="00A84DC3">
        <w:rPr>
          <w:rFonts w:ascii="Arial" w:hAnsi="Arial" w:cs="Arial"/>
          <w:sz w:val="22"/>
          <w:szCs w:val="22"/>
          <w:lang w:val="es-ES"/>
        </w:rPr>
        <w:t>11</w:t>
      </w:r>
      <w:r w:rsidR="003D051D" w:rsidRPr="00A84DC3">
        <w:rPr>
          <w:rFonts w:ascii="Arial" w:hAnsi="Arial" w:cs="Arial"/>
          <w:sz w:val="22"/>
          <w:szCs w:val="22"/>
          <w:lang w:val="es-ES"/>
        </w:rPr>
        <w:t>.</w:t>
      </w:r>
      <w:r w:rsidR="00EE49CD" w:rsidRPr="00A84DC3">
        <w:rPr>
          <w:rFonts w:ascii="Arial" w:hAnsi="Arial" w:cs="Arial"/>
          <w:sz w:val="22"/>
          <w:szCs w:val="22"/>
          <w:lang w:val="es-ES"/>
        </w:rPr>
        <w:t>111</w:t>
      </w:r>
      <w:r w:rsidRPr="00A84DC3">
        <w:rPr>
          <w:rFonts w:ascii="Arial" w:hAnsi="Arial" w:cs="Arial"/>
          <w:sz w:val="22"/>
          <w:szCs w:val="22"/>
          <w:lang w:val="es-ES"/>
        </w:rPr>
        <w:t xml:space="preserve"> y con un plantel de 34 empleados. Se estima por la utilización del financiamiento, un incremento porcentual de la productividad promedio de las </w:t>
      </w:r>
      <w:r w:rsidR="00244828">
        <w:rPr>
          <w:rFonts w:ascii="Arial" w:hAnsi="Arial" w:cs="Arial"/>
          <w:sz w:val="22"/>
          <w:szCs w:val="22"/>
          <w:lang w:val="es-ES"/>
        </w:rPr>
        <w:t>MiPyME</w:t>
      </w:r>
      <w:r w:rsidRPr="00A84DC3">
        <w:rPr>
          <w:rFonts w:ascii="Arial" w:hAnsi="Arial" w:cs="Arial"/>
          <w:sz w:val="22"/>
          <w:szCs w:val="22"/>
          <w:lang w:val="es-ES"/>
        </w:rPr>
        <w:t xml:space="preserve"> beneficiarias en 15%. </w:t>
      </w:r>
    </w:p>
    <w:p w14:paraId="2979C309" w14:textId="0A50E44C" w:rsidR="008B7715" w:rsidRPr="00A84DC3" w:rsidRDefault="00244828" w:rsidP="000F4E64">
      <w:pPr>
        <w:pStyle w:val="subpar"/>
        <w:numPr>
          <w:ilvl w:val="3"/>
          <w:numId w:val="5"/>
        </w:numPr>
        <w:tabs>
          <w:tab w:val="clear" w:pos="2736"/>
        </w:tabs>
        <w:ind w:left="1530" w:hanging="450"/>
        <w:rPr>
          <w:rFonts w:ascii="Arial" w:hAnsi="Arial" w:cs="Arial"/>
          <w:sz w:val="22"/>
          <w:szCs w:val="22"/>
          <w:lang w:val="es-ES"/>
        </w:rPr>
      </w:pPr>
      <w:r>
        <w:rPr>
          <w:rFonts w:ascii="Arial" w:hAnsi="Arial" w:cs="Arial"/>
          <w:sz w:val="22"/>
          <w:szCs w:val="22"/>
          <w:lang w:val="es-ES"/>
        </w:rPr>
        <w:lastRenderedPageBreak/>
        <w:t>Las IFI</w:t>
      </w:r>
      <w:r w:rsidR="008B7715" w:rsidRPr="00A84DC3">
        <w:rPr>
          <w:rFonts w:ascii="Arial" w:hAnsi="Arial" w:cs="Arial"/>
          <w:sz w:val="22"/>
          <w:szCs w:val="22"/>
          <w:lang w:val="es-ES"/>
        </w:rPr>
        <w:t xml:space="preserve"> dan créditos a las </w:t>
      </w:r>
      <w:r>
        <w:rPr>
          <w:rFonts w:ascii="Arial" w:hAnsi="Arial" w:cs="Arial"/>
          <w:sz w:val="22"/>
          <w:szCs w:val="22"/>
          <w:lang w:val="es-ES"/>
        </w:rPr>
        <w:t>MiPyME</w:t>
      </w:r>
      <w:r w:rsidR="008B7715" w:rsidRPr="00A84DC3">
        <w:rPr>
          <w:rFonts w:ascii="Arial" w:hAnsi="Arial" w:cs="Arial"/>
          <w:sz w:val="22"/>
          <w:szCs w:val="22"/>
          <w:lang w:val="es-ES"/>
        </w:rPr>
        <w:t xml:space="preserve"> en </w:t>
      </w:r>
      <w:r w:rsidR="003D051D" w:rsidRPr="00A84DC3">
        <w:rPr>
          <w:rFonts w:ascii="Arial" w:hAnsi="Arial" w:cs="Arial"/>
          <w:sz w:val="22"/>
          <w:szCs w:val="22"/>
          <w:lang w:val="es-ES"/>
        </w:rPr>
        <w:t>moneda local</w:t>
      </w:r>
      <w:r w:rsidR="008B7715" w:rsidRPr="00A84DC3">
        <w:rPr>
          <w:rFonts w:ascii="Arial" w:hAnsi="Arial" w:cs="Arial"/>
          <w:sz w:val="22"/>
          <w:szCs w:val="22"/>
          <w:lang w:val="es-ES"/>
        </w:rPr>
        <w:t xml:space="preserve"> a un plazo promedio de 7 años y co</w:t>
      </w:r>
      <w:r>
        <w:rPr>
          <w:rFonts w:ascii="Arial" w:hAnsi="Arial" w:cs="Arial"/>
          <w:sz w:val="22"/>
          <w:szCs w:val="22"/>
          <w:lang w:val="es-ES"/>
        </w:rPr>
        <w:t>n tasas máximas de 16%; las IFI</w:t>
      </w:r>
      <w:r w:rsidR="008B7715" w:rsidRPr="00A84DC3">
        <w:rPr>
          <w:rFonts w:ascii="Arial" w:hAnsi="Arial" w:cs="Arial"/>
          <w:sz w:val="22"/>
          <w:szCs w:val="22"/>
          <w:lang w:val="es-ES"/>
        </w:rPr>
        <w:t xml:space="preserve"> reciben los fondos en </w:t>
      </w:r>
      <w:r w:rsidR="003D051D" w:rsidRPr="00A84DC3">
        <w:rPr>
          <w:rFonts w:ascii="Arial" w:hAnsi="Arial" w:cs="Arial"/>
          <w:sz w:val="22"/>
          <w:szCs w:val="22"/>
          <w:lang w:val="es-ES"/>
        </w:rPr>
        <w:t xml:space="preserve">moneda local </w:t>
      </w:r>
      <w:r w:rsidR="008B7715" w:rsidRPr="00A84DC3">
        <w:rPr>
          <w:rFonts w:ascii="Arial" w:hAnsi="Arial" w:cs="Arial"/>
          <w:sz w:val="22"/>
          <w:szCs w:val="22"/>
          <w:lang w:val="es-ES"/>
        </w:rPr>
        <w:t>de</w:t>
      </w:r>
      <w:r w:rsidR="003D051D" w:rsidRPr="00A84DC3">
        <w:rPr>
          <w:rFonts w:ascii="Arial" w:hAnsi="Arial" w:cs="Arial"/>
          <w:sz w:val="22"/>
          <w:szCs w:val="22"/>
          <w:lang w:val="es-ES"/>
        </w:rPr>
        <w:t xml:space="preserve"> la banca de segundo piso </w:t>
      </w:r>
      <w:r w:rsidR="008B7715" w:rsidRPr="00A84DC3">
        <w:rPr>
          <w:rFonts w:ascii="Arial" w:hAnsi="Arial" w:cs="Arial"/>
          <w:sz w:val="22"/>
          <w:szCs w:val="22"/>
          <w:lang w:val="es-ES"/>
        </w:rPr>
        <w:t xml:space="preserve">a una tasa máxima del 14% y a un plazo de 7 años. </w:t>
      </w:r>
      <w:r w:rsidR="003D051D" w:rsidRPr="00A84DC3">
        <w:rPr>
          <w:rFonts w:ascii="Arial" w:hAnsi="Arial" w:cs="Arial"/>
          <w:sz w:val="22"/>
          <w:szCs w:val="22"/>
          <w:lang w:val="es-ES"/>
        </w:rPr>
        <w:t>La banca de segundo piso</w:t>
      </w:r>
      <w:r w:rsidR="008B7715" w:rsidRPr="00A84DC3">
        <w:rPr>
          <w:rFonts w:ascii="Arial" w:hAnsi="Arial" w:cs="Arial"/>
          <w:sz w:val="22"/>
          <w:szCs w:val="22"/>
          <w:lang w:val="es-ES"/>
        </w:rPr>
        <w:t xml:space="preserve"> recibe los fondos </w:t>
      </w:r>
      <w:r w:rsidR="003D051D" w:rsidRPr="00A84DC3">
        <w:rPr>
          <w:rFonts w:ascii="Arial" w:hAnsi="Arial" w:cs="Arial"/>
          <w:sz w:val="22"/>
          <w:szCs w:val="22"/>
          <w:lang w:val="es-ES"/>
        </w:rPr>
        <w:t>moneda local</w:t>
      </w:r>
      <w:r w:rsidR="008B7715" w:rsidRPr="00A84DC3">
        <w:rPr>
          <w:rFonts w:ascii="Arial" w:hAnsi="Arial" w:cs="Arial"/>
          <w:sz w:val="22"/>
          <w:szCs w:val="22"/>
          <w:lang w:val="es-ES"/>
        </w:rPr>
        <w:t xml:space="preserve"> y los cancela en igual moneda, en idénticas condiciones de amortización e interés que el préstamo recibido por el país. </w:t>
      </w:r>
    </w:p>
    <w:p w14:paraId="3F3BE7CB" w14:textId="2C34BDEE" w:rsidR="00351F05" w:rsidRPr="00A84DC3" w:rsidRDefault="008B7715" w:rsidP="000F4E64">
      <w:pPr>
        <w:pStyle w:val="subpar"/>
        <w:numPr>
          <w:ilvl w:val="3"/>
          <w:numId w:val="5"/>
        </w:numPr>
        <w:tabs>
          <w:tab w:val="clear" w:pos="2736"/>
        </w:tabs>
        <w:ind w:left="1530" w:hanging="450"/>
        <w:rPr>
          <w:rFonts w:ascii="Arial" w:hAnsi="Arial" w:cs="Arial"/>
          <w:sz w:val="22"/>
          <w:szCs w:val="22"/>
          <w:lang w:val="es-ES"/>
        </w:rPr>
      </w:pPr>
      <w:r w:rsidRPr="00A84DC3">
        <w:rPr>
          <w:rFonts w:ascii="Arial" w:hAnsi="Arial" w:cs="Arial"/>
          <w:sz w:val="22"/>
          <w:szCs w:val="22"/>
          <w:lang w:val="es-ES"/>
        </w:rPr>
        <w:t>El país amortiza el préstamo a FONPLATA en dólares dentro del plazo improrrogable de ocho años; mediante su amortización en cuotas semestrales, consecutivas e iguales. La primera cuota de amortización se pagará a los 180 días calendario de la fecha originalmente prevista para el último desembolso del proyecto. El interés se pagará a tasa LIBOR más el margen fijo de 244 puntos-base; en cuotas semestrales y se devengará sobre los saldos deudores diarios del préstamo. El pago de la primera cuota semestral de intereses deberá efectuarse a los 180 días calendario, contados a partir de la fecha en que se efectúe el primer desembolso del financiamiento.</w:t>
      </w:r>
    </w:p>
    <w:p w14:paraId="78382112" w14:textId="70485F64" w:rsidR="003D051D" w:rsidRPr="00A84DC3" w:rsidRDefault="003D051D" w:rsidP="000F4E64">
      <w:pPr>
        <w:pStyle w:val="subpar"/>
        <w:numPr>
          <w:ilvl w:val="3"/>
          <w:numId w:val="5"/>
        </w:numPr>
        <w:tabs>
          <w:tab w:val="clear" w:pos="2736"/>
        </w:tabs>
        <w:ind w:left="1530" w:hanging="450"/>
        <w:rPr>
          <w:rFonts w:ascii="Arial" w:hAnsi="Arial" w:cs="Arial"/>
          <w:sz w:val="22"/>
          <w:szCs w:val="22"/>
          <w:lang w:val="es-ES"/>
        </w:rPr>
      </w:pPr>
      <w:r w:rsidRPr="00A84DC3">
        <w:rPr>
          <w:rFonts w:ascii="Arial" w:hAnsi="Arial" w:cs="Arial"/>
          <w:sz w:val="22"/>
          <w:szCs w:val="22"/>
          <w:lang w:val="es-ES"/>
        </w:rPr>
        <w:t xml:space="preserve">Por último, además del crédito percibido, se considera que las MiPyME utilizan recursos propios para complementar la inversión. </w:t>
      </w:r>
    </w:p>
    <w:p w14:paraId="1C59B6F0" w14:textId="77777777" w:rsidR="00AA1F92" w:rsidRPr="00A84DC3" w:rsidRDefault="00AA1F92" w:rsidP="005A046C">
      <w:pPr>
        <w:pStyle w:val="SubSubPar"/>
        <w:numPr>
          <w:ilvl w:val="0"/>
          <w:numId w:val="0"/>
        </w:numPr>
        <w:spacing w:before="40" w:after="40"/>
        <w:rPr>
          <w:rFonts w:ascii="Arial" w:hAnsi="Arial" w:cs="Arial"/>
          <w:sz w:val="22"/>
          <w:szCs w:val="22"/>
          <w:lang w:val="es-ES"/>
        </w:rPr>
      </w:pPr>
    </w:p>
    <w:p w14:paraId="38CBD15B" w14:textId="77777777" w:rsidR="00F10FC6" w:rsidRPr="00A84DC3" w:rsidRDefault="00F10FC6" w:rsidP="00A84DC3">
      <w:pPr>
        <w:pStyle w:val="Chapter"/>
        <w:spacing w:before="0"/>
        <w:ind w:left="720"/>
        <w:rPr>
          <w:rFonts w:ascii="Arial" w:hAnsi="Arial" w:cs="Arial"/>
          <w:color w:val="000000" w:themeColor="text1"/>
          <w:szCs w:val="24"/>
          <w:lang w:val="es-ES"/>
        </w:rPr>
      </w:pPr>
      <w:bookmarkStart w:id="15" w:name="_Toc389817803"/>
      <w:bookmarkStart w:id="16" w:name="_Toc389817804"/>
      <w:bookmarkStart w:id="17" w:name="_Toc389817805"/>
      <w:bookmarkStart w:id="18" w:name="_Toc389817806"/>
      <w:bookmarkStart w:id="19" w:name="_Toc389817807"/>
      <w:bookmarkStart w:id="20" w:name="_Toc389817808"/>
      <w:bookmarkStart w:id="21" w:name="_Toc389817809"/>
      <w:bookmarkStart w:id="22" w:name="_Toc389817810"/>
      <w:bookmarkStart w:id="23" w:name="_Toc389817811"/>
      <w:bookmarkStart w:id="24" w:name="_Toc389817812"/>
      <w:bookmarkStart w:id="25" w:name="_Toc389817813"/>
      <w:bookmarkStart w:id="26" w:name="_Toc389817814"/>
      <w:bookmarkStart w:id="27" w:name="_Toc389817815"/>
      <w:bookmarkStart w:id="28" w:name="_Toc389817816"/>
      <w:bookmarkStart w:id="29" w:name="_Toc388249753"/>
      <w:bookmarkStart w:id="30" w:name="_Ref388349414"/>
      <w:bookmarkStart w:id="31" w:name="_Toc49204189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84DC3">
        <w:rPr>
          <w:rFonts w:ascii="Arial" w:hAnsi="Arial" w:cs="Arial"/>
          <w:color w:val="000000" w:themeColor="text1"/>
          <w:szCs w:val="24"/>
          <w:lang w:val="es-ES"/>
        </w:rPr>
        <w:t>Valoración del Beneficio Económico</w:t>
      </w:r>
      <w:bookmarkEnd w:id="29"/>
      <w:bookmarkEnd w:id="30"/>
      <w:bookmarkEnd w:id="31"/>
    </w:p>
    <w:p w14:paraId="7E2B646D" w14:textId="77777777" w:rsidR="005F3FF8" w:rsidRPr="00A84DC3" w:rsidRDefault="003D051D" w:rsidP="000F4E64">
      <w:pPr>
        <w:pStyle w:val="FirstHeading"/>
        <w:tabs>
          <w:tab w:val="clear" w:pos="0"/>
          <w:tab w:val="clear" w:pos="86"/>
          <w:tab w:val="left" w:pos="720"/>
          <w:tab w:val="left" w:pos="900"/>
        </w:tabs>
        <w:ind w:left="720"/>
        <w:rPr>
          <w:rFonts w:ascii="Arial" w:hAnsi="Arial" w:cs="Arial"/>
          <w:noProof/>
          <w:color w:val="000000" w:themeColor="text1"/>
          <w:sz w:val="22"/>
          <w:szCs w:val="22"/>
          <w:lang w:val="es-ES"/>
        </w:rPr>
      </w:pPr>
      <w:r w:rsidRPr="00A84DC3">
        <w:rPr>
          <w:rFonts w:ascii="Arial" w:hAnsi="Arial" w:cs="Arial"/>
          <w:noProof/>
          <w:color w:val="000000" w:themeColor="text1"/>
          <w:sz w:val="22"/>
          <w:szCs w:val="22"/>
          <w:lang w:val="es-ES"/>
        </w:rPr>
        <w:fldChar w:fldCharType="begin"/>
      </w:r>
      <w:r w:rsidRPr="00A84DC3">
        <w:rPr>
          <w:rFonts w:ascii="Arial" w:hAnsi="Arial" w:cs="Arial"/>
          <w:noProof/>
          <w:color w:val="000000" w:themeColor="text1"/>
          <w:sz w:val="22"/>
          <w:szCs w:val="22"/>
          <w:lang w:val="es-ES"/>
        </w:rPr>
        <w:instrText xml:space="preserve"> SEQ "</w:instrText>
      </w:r>
      <w:r w:rsidRPr="00A84DC3">
        <w:rPr>
          <w:rFonts w:ascii="Arial" w:hAnsi="Arial" w:cs="Arial"/>
          <w:noProof/>
          <w:color w:val="000000" w:themeColor="text1"/>
          <w:sz w:val="22"/>
          <w:szCs w:val="22"/>
          <w:lang w:val="es-ES"/>
        </w:rPr>
        <w:fldChar w:fldCharType="begin"/>
      </w:r>
      <w:r w:rsidRPr="00A84DC3">
        <w:rPr>
          <w:rFonts w:ascii="Arial" w:hAnsi="Arial" w:cs="Arial"/>
          <w:noProof/>
          <w:color w:val="000000" w:themeColor="text1"/>
          <w:sz w:val="22"/>
          <w:szCs w:val="22"/>
          <w:lang w:val="es-ES"/>
        </w:rPr>
        <w:instrText xml:space="preserve"> SECTION  \* MERGEFORMAT </w:instrText>
      </w:r>
      <w:r w:rsidRPr="00A84DC3">
        <w:rPr>
          <w:rFonts w:ascii="Arial" w:hAnsi="Arial" w:cs="Arial"/>
          <w:noProof/>
          <w:color w:val="000000" w:themeColor="text1"/>
          <w:sz w:val="22"/>
          <w:szCs w:val="22"/>
          <w:lang w:val="es-ES"/>
        </w:rPr>
        <w:fldChar w:fldCharType="separate"/>
      </w:r>
      <w:r w:rsidRPr="00A84DC3">
        <w:rPr>
          <w:rFonts w:ascii="Arial" w:hAnsi="Arial" w:cs="Arial"/>
          <w:noProof/>
          <w:color w:val="000000" w:themeColor="text1"/>
          <w:sz w:val="22"/>
          <w:szCs w:val="22"/>
          <w:lang w:val="es-ES"/>
        </w:rPr>
        <w:instrText>5</w:instrText>
      </w:r>
      <w:r w:rsidRPr="00A84DC3">
        <w:rPr>
          <w:rFonts w:ascii="Arial" w:hAnsi="Arial" w:cs="Arial"/>
          <w:noProof/>
          <w:color w:val="000000" w:themeColor="text1"/>
          <w:sz w:val="22"/>
          <w:szCs w:val="22"/>
          <w:lang w:val="es-ES"/>
        </w:rPr>
        <w:fldChar w:fldCharType="end"/>
      </w:r>
      <w:r w:rsidRPr="00A84DC3">
        <w:rPr>
          <w:rFonts w:ascii="Arial" w:hAnsi="Arial" w:cs="Arial"/>
          <w:noProof/>
          <w:color w:val="000000" w:themeColor="text1"/>
          <w:sz w:val="22"/>
          <w:szCs w:val="22"/>
          <w:lang w:val="es-ES"/>
        </w:rPr>
        <w:instrText xml:space="preserve">#"\* ALPHABETIC \* MERGEFORMAT </w:instrText>
      </w:r>
      <w:r w:rsidRPr="00A84DC3">
        <w:rPr>
          <w:rFonts w:ascii="Arial" w:hAnsi="Arial" w:cs="Arial"/>
          <w:noProof/>
          <w:color w:val="000000" w:themeColor="text1"/>
          <w:sz w:val="22"/>
          <w:szCs w:val="22"/>
          <w:lang w:val="es-ES"/>
        </w:rPr>
        <w:fldChar w:fldCharType="separate"/>
      </w:r>
      <w:bookmarkStart w:id="32" w:name="_Toc492041900"/>
      <w:r w:rsidRPr="00A84DC3">
        <w:rPr>
          <w:rFonts w:ascii="Arial" w:hAnsi="Arial" w:cs="Arial"/>
          <w:noProof/>
          <w:color w:val="000000" w:themeColor="text1"/>
          <w:sz w:val="22"/>
          <w:szCs w:val="22"/>
          <w:lang w:val="es-ES"/>
        </w:rPr>
        <w:t>A</w:t>
      </w:r>
      <w:r w:rsidRPr="00A84DC3">
        <w:rPr>
          <w:rFonts w:ascii="Arial" w:hAnsi="Arial" w:cs="Arial"/>
          <w:noProof/>
          <w:color w:val="000000" w:themeColor="text1"/>
          <w:sz w:val="22"/>
          <w:szCs w:val="22"/>
          <w:lang w:val="es-ES"/>
        </w:rPr>
        <w:fldChar w:fldCharType="end"/>
      </w:r>
      <w:r w:rsidRPr="00A84DC3">
        <w:rPr>
          <w:rFonts w:ascii="Arial" w:hAnsi="Arial" w:cs="Arial"/>
          <w:noProof/>
          <w:color w:val="000000" w:themeColor="text1"/>
          <w:sz w:val="22"/>
          <w:szCs w:val="22"/>
          <w:lang w:val="es-ES"/>
        </w:rPr>
        <w:t>.</w:t>
      </w:r>
      <w:r w:rsidR="005F3FF8" w:rsidRPr="00A84DC3">
        <w:rPr>
          <w:rFonts w:ascii="Arial" w:hAnsi="Arial" w:cs="Arial"/>
          <w:noProof/>
          <w:color w:val="000000" w:themeColor="text1"/>
          <w:sz w:val="22"/>
          <w:szCs w:val="22"/>
          <w:lang w:val="es-ES"/>
        </w:rPr>
        <w:t xml:space="preserve"> </w:t>
      </w:r>
      <w:r w:rsidR="000F4E64">
        <w:rPr>
          <w:rFonts w:ascii="Arial" w:hAnsi="Arial" w:cs="Arial"/>
          <w:noProof/>
          <w:color w:val="000000" w:themeColor="text1"/>
          <w:sz w:val="22"/>
          <w:szCs w:val="22"/>
          <w:lang w:val="es-ES"/>
        </w:rPr>
        <w:tab/>
      </w:r>
      <w:r w:rsidR="00AB725B" w:rsidRPr="00A84DC3">
        <w:rPr>
          <w:rFonts w:ascii="Arial" w:hAnsi="Arial" w:cs="Arial"/>
          <w:noProof/>
          <w:color w:val="000000" w:themeColor="text1"/>
          <w:sz w:val="22"/>
          <w:szCs w:val="22"/>
          <w:lang w:val="es-ES"/>
        </w:rPr>
        <w:t xml:space="preserve">Inversiones en infraestructura para la </w:t>
      </w:r>
      <w:r w:rsidR="00C6521E" w:rsidRPr="00A84DC3">
        <w:rPr>
          <w:rFonts w:ascii="Arial" w:hAnsi="Arial" w:cs="Arial"/>
          <w:noProof/>
          <w:color w:val="000000" w:themeColor="text1"/>
          <w:sz w:val="22"/>
          <w:szCs w:val="22"/>
          <w:lang w:val="es-ES"/>
        </w:rPr>
        <w:t>integración</w:t>
      </w:r>
      <w:r w:rsidR="005F3FF8" w:rsidRPr="00A84DC3">
        <w:rPr>
          <w:rFonts w:ascii="Arial" w:hAnsi="Arial" w:cs="Arial"/>
          <w:noProof/>
          <w:color w:val="000000" w:themeColor="text1"/>
          <w:sz w:val="22"/>
          <w:szCs w:val="22"/>
          <w:lang w:val="es-ES"/>
        </w:rPr>
        <w:t>.</w:t>
      </w:r>
      <w:bookmarkEnd w:id="32"/>
      <w:r w:rsidR="005F3FF8" w:rsidRPr="00A84DC3">
        <w:rPr>
          <w:rFonts w:ascii="Arial" w:hAnsi="Arial" w:cs="Arial"/>
          <w:noProof/>
          <w:color w:val="000000" w:themeColor="text1"/>
          <w:sz w:val="22"/>
          <w:szCs w:val="22"/>
          <w:lang w:val="es-ES"/>
        </w:rPr>
        <w:t xml:space="preserve"> </w:t>
      </w:r>
    </w:p>
    <w:p w14:paraId="61B897AA" w14:textId="77777777" w:rsidR="003D051D" w:rsidRPr="00A84DC3" w:rsidRDefault="005F3FF8" w:rsidP="005F3FF8">
      <w:pPr>
        <w:pStyle w:val="Paragraph"/>
        <w:tabs>
          <w:tab w:val="num" w:pos="720"/>
        </w:tabs>
        <w:ind w:left="720" w:hanging="720"/>
        <w:rPr>
          <w:rFonts w:ascii="Arial" w:hAnsi="Arial" w:cs="Arial"/>
          <w:noProof/>
          <w:color w:val="000000" w:themeColor="text1"/>
          <w:sz w:val="22"/>
          <w:szCs w:val="22"/>
          <w:lang w:val="es-ES"/>
        </w:rPr>
      </w:pPr>
      <w:r w:rsidRPr="00A84DC3">
        <w:rPr>
          <w:rFonts w:ascii="Arial" w:hAnsi="Arial" w:cs="Arial"/>
          <w:sz w:val="22"/>
          <w:szCs w:val="22"/>
          <w:lang w:val="es-ES"/>
        </w:rPr>
        <w:t>El análisis costo beneficio para estos proyectos se aplica utilizando la determinación del excedente del consumidor, basada en los ahorros de los usuarios y de la agencia vial generados por el proyecto. Para ello se utiliza como herramienta el modelo HDM-4 desarrollado por el Banco Mundial, que consiste en un simulador del deterioro de la vía en función de las características estructurales, dimensiones geométricas y flujo de tránsito vehicular. Actualmente constituye la herramienta disponible más idónea para el análisis técnico y económico de proyectos viales.</w:t>
      </w:r>
      <w:r w:rsidR="007E7732" w:rsidRPr="00A84DC3">
        <w:rPr>
          <w:rFonts w:ascii="Arial" w:hAnsi="Arial" w:cs="Arial"/>
          <w:sz w:val="22"/>
          <w:szCs w:val="22"/>
          <w:lang w:val="es-ES"/>
        </w:rPr>
        <w:t xml:space="preserve"> Es importante recalcar que solo se consideraran los efectos directos para el análisis costo beneficio, dejando de lado los posibles efectos indirectos, difíciles de atribuir exclusivamente a la realización de las inversiones descritas.</w:t>
      </w:r>
    </w:p>
    <w:p w14:paraId="019F4E85" w14:textId="08FA704B" w:rsidR="00E55D99" w:rsidRPr="00A84DC3" w:rsidRDefault="007E7732" w:rsidP="00E55D99">
      <w:pPr>
        <w:pStyle w:val="Paragraph"/>
        <w:tabs>
          <w:tab w:val="num" w:pos="720"/>
        </w:tabs>
        <w:ind w:left="720" w:hanging="720"/>
        <w:rPr>
          <w:rFonts w:ascii="Arial" w:hAnsi="Arial" w:cs="Arial"/>
          <w:sz w:val="22"/>
          <w:szCs w:val="22"/>
          <w:lang w:val="es-ES"/>
        </w:rPr>
      </w:pPr>
      <w:r w:rsidRPr="00A84DC3">
        <w:rPr>
          <w:rFonts w:ascii="Arial" w:hAnsi="Arial" w:cs="Arial"/>
          <w:b/>
          <w:sz w:val="22"/>
          <w:szCs w:val="22"/>
          <w:lang w:val="es-ES"/>
        </w:rPr>
        <w:t xml:space="preserve">Costos del </w:t>
      </w:r>
      <w:r w:rsidR="00E55D99" w:rsidRPr="00A84DC3">
        <w:rPr>
          <w:rFonts w:ascii="Arial" w:hAnsi="Arial" w:cs="Arial"/>
          <w:b/>
          <w:sz w:val="22"/>
          <w:szCs w:val="22"/>
          <w:lang w:val="es-ES"/>
        </w:rPr>
        <w:t>proyecto</w:t>
      </w:r>
      <w:r w:rsidRPr="00A84DC3">
        <w:rPr>
          <w:rFonts w:ascii="Arial" w:hAnsi="Arial" w:cs="Arial"/>
          <w:b/>
          <w:sz w:val="22"/>
          <w:szCs w:val="22"/>
          <w:lang w:val="es-ES"/>
        </w:rPr>
        <w:t>.</w:t>
      </w:r>
      <w:r w:rsidRPr="00A84DC3">
        <w:rPr>
          <w:rFonts w:ascii="Arial" w:hAnsi="Arial" w:cs="Arial"/>
          <w:sz w:val="22"/>
          <w:szCs w:val="22"/>
          <w:lang w:val="es-ES"/>
        </w:rPr>
        <w:t xml:space="preserve"> </w:t>
      </w:r>
      <w:r w:rsidR="00E55D99" w:rsidRPr="00A84DC3">
        <w:rPr>
          <w:rFonts w:ascii="Arial" w:hAnsi="Arial" w:cs="Arial"/>
          <w:sz w:val="22"/>
          <w:szCs w:val="22"/>
          <w:lang w:val="es-ES"/>
        </w:rPr>
        <w:t xml:space="preserve">Los costos de estos proyectos constituyen los de inversión fija y los de mantenimiento. En este proyecto, los costos de inversión presente son los siguientes: (i) </w:t>
      </w:r>
      <w:r w:rsidR="00A22465">
        <w:rPr>
          <w:rFonts w:ascii="Arial" w:hAnsi="Arial" w:cs="Arial"/>
          <w:sz w:val="22"/>
          <w:szCs w:val="22"/>
          <w:lang w:val="es-ES"/>
        </w:rPr>
        <w:t>c</w:t>
      </w:r>
      <w:r w:rsidR="00E55D99" w:rsidRPr="00A84DC3">
        <w:rPr>
          <w:rFonts w:ascii="Arial" w:hAnsi="Arial" w:cs="Arial"/>
          <w:sz w:val="22"/>
          <w:szCs w:val="22"/>
          <w:lang w:val="es-ES"/>
        </w:rPr>
        <w:t xml:space="preserve">osto de </w:t>
      </w:r>
      <w:r w:rsidR="00A22465">
        <w:rPr>
          <w:rFonts w:ascii="Arial" w:hAnsi="Arial" w:cs="Arial"/>
          <w:sz w:val="22"/>
          <w:szCs w:val="22"/>
          <w:lang w:val="es-ES"/>
        </w:rPr>
        <w:t>o</w:t>
      </w:r>
      <w:r w:rsidR="00E55D99" w:rsidRPr="00A84DC3">
        <w:rPr>
          <w:rFonts w:ascii="Arial" w:hAnsi="Arial" w:cs="Arial"/>
          <w:sz w:val="22"/>
          <w:szCs w:val="22"/>
          <w:lang w:val="es-ES"/>
        </w:rPr>
        <w:t>bra</w:t>
      </w:r>
      <w:r w:rsidR="000F4E64">
        <w:rPr>
          <w:rFonts w:ascii="Arial" w:hAnsi="Arial" w:cs="Arial"/>
          <w:sz w:val="22"/>
          <w:szCs w:val="22"/>
          <w:lang w:val="es-ES"/>
        </w:rPr>
        <w:t>;</w:t>
      </w:r>
      <w:r w:rsidR="00E55D99" w:rsidRPr="00A84DC3">
        <w:rPr>
          <w:rFonts w:ascii="Arial" w:hAnsi="Arial" w:cs="Arial"/>
          <w:sz w:val="22"/>
          <w:szCs w:val="22"/>
          <w:lang w:val="es-ES"/>
        </w:rPr>
        <w:t xml:space="preserve"> (ii) </w:t>
      </w:r>
      <w:r w:rsidR="00A22465">
        <w:rPr>
          <w:rFonts w:ascii="Arial" w:hAnsi="Arial" w:cs="Arial"/>
          <w:sz w:val="22"/>
          <w:szCs w:val="22"/>
          <w:lang w:val="es-ES"/>
        </w:rPr>
        <w:t>c</w:t>
      </w:r>
      <w:r w:rsidR="00E55D99" w:rsidRPr="00A84DC3">
        <w:rPr>
          <w:rFonts w:ascii="Arial" w:hAnsi="Arial" w:cs="Arial"/>
          <w:sz w:val="22"/>
          <w:szCs w:val="22"/>
          <w:lang w:val="es-ES"/>
        </w:rPr>
        <w:t xml:space="preserve">osto de </w:t>
      </w:r>
      <w:r w:rsidR="00A22465">
        <w:rPr>
          <w:rFonts w:ascii="Arial" w:hAnsi="Arial" w:cs="Arial"/>
          <w:sz w:val="22"/>
          <w:szCs w:val="22"/>
          <w:lang w:val="es-ES"/>
        </w:rPr>
        <w:t>f</w:t>
      </w:r>
      <w:r w:rsidR="00E55D99" w:rsidRPr="00A84DC3">
        <w:rPr>
          <w:rFonts w:ascii="Arial" w:hAnsi="Arial" w:cs="Arial"/>
          <w:sz w:val="22"/>
          <w:szCs w:val="22"/>
          <w:lang w:val="es-ES"/>
        </w:rPr>
        <w:t>iscalización de la obra</w:t>
      </w:r>
      <w:r w:rsidR="000F4E64">
        <w:rPr>
          <w:rFonts w:ascii="Arial" w:hAnsi="Arial" w:cs="Arial"/>
          <w:sz w:val="22"/>
          <w:szCs w:val="22"/>
          <w:lang w:val="es-ES"/>
        </w:rPr>
        <w:t>;</w:t>
      </w:r>
      <w:r w:rsidR="00E55D99" w:rsidRPr="00A84DC3">
        <w:rPr>
          <w:rFonts w:ascii="Arial" w:hAnsi="Arial" w:cs="Arial"/>
          <w:sz w:val="22"/>
          <w:szCs w:val="22"/>
          <w:lang w:val="es-ES"/>
        </w:rPr>
        <w:t xml:space="preserve"> (iii) </w:t>
      </w:r>
      <w:r w:rsidR="00A22465">
        <w:rPr>
          <w:rFonts w:ascii="Arial" w:hAnsi="Arial" w:cs="Arial"/>
          <w:sz w:val="22"/>
          <w:szCs w:val="22"/>
          <w:lang w:val="es-ES"/>
        </w:rPr>
        <w:t>c</w:t>
      </w:r>
      <w:r w:rsidR="00E55D99" w:rsidRPr="00A84DC3">
        <w:rPr>
          <w:rFonts w:ascii="Arial" w:hAnsi="Arial" w:cs="Arial"/>
          <w:sz w:val="22"/>
          <w:szCs w:val="22"/>
          <w:lang w:val="es-ES"/>
        </w:rPr>
        <w:t xml:space="preserve">ostos de Plan de Gestión Ambiental y (iv) </w:t>
      </w:r>
      <w:r w:rsidR="00A22465">
        <w:rPr>
          <w:rFonts w:ascii="Arial" w:hAnsi="Arial" w:cs="Arial"/>
          <w:sz w:val="22"/>
          <w:szCs w:val="22"/>
          <w:lang w:val="es-ES"/>
        </w:rPr>
        <w:t>c</w:t>
      </w:r>
      <w:r w:rsidR="00E55D99" w:rsidRPr="00A84DC3">
        <w:rPr>
          <w:rFonts w:ascii="Arial" w:hAnsi="Arial" w:cs="Arial"/>
          <w:sz w:val="22"/>
          <w:szCs w:val="22"/>
          <w:lang w:val="es-ES"/>
        </w:rPr>
        <w:t xml:space="preserve">ostos de </w:t>
      </w:r>
      <w:r w:rsidR="00A22465">
        <w:rPr>
          <w:rFonts w:ascii="Arial" w:hAnsi="Arial" w:cs="Arial"/>
          <w:sz w:val="22"/>
          <w:szCs w:val="22"/>
          <w:lang w:val="es-ES"/>
        </w:rPr>
        <w:t>c</w:t>
      </w:r>
      <w:r w:rsidR="00E55D99" w:rsidRPr="00A84DC3">
        <w:rPr>
          <w:rFonts w:ascii="Arial" w:hAnsi="Arial" w:cs="Arial"/>
          <w:sz w:val="22"/>
          <w:szCs w:val="22"/>
          <w:lang w:val="es-ES"/>
        </w:rPr>
        <w:t xml:space="preserve">ontingencia o </w:t>
      </w:r>
      <w:r w:rsidR="00A22465">
        <w:rPr>
          <w:rFonts w:ascii="Arial" w:hAnsi="Arial" w:cs="Arial"/>
          <w:sz w:val="22"/>
          <w:szCs w:val="22"/>
          <w:lang w:val="es-ES"/>
        </w:rPr>
        <w:t>i</w:t>
      </w:r>
      <w:r w:rsidR="00E55D99" w:rsidRPr="00A84DC3">
        <w:rPr>
          <w:rFonts w:ascii="Arial" w:hAnsi="Arial" w:cs="Arial"/>
          <w:sz w:val="22"/>
          <w:szCs w:val="22"/>
          <w:lang w:val="es-ES"/>
        </w:rPr>
        <w:t>mprevistos. Se consideran costos de mantenimiento que corresponden a las tareas rutinarias y periódicas que el gobierno correspondiente debe realizar para mantener el nivel de servicio de la vía durante su vida útil.</w:t>
      </w:r>
    </w:p>
    <w:p w14:paraId="5793FE29" w14:textId="30A69BCF" w:rsidR="00E55D99" w:rsidRPr="00A84DC3" w:rsidRDefault="00E55D99" w:rsidP="00E55D99">
      <w:pPr>
        <w:pStyle w:val="Paragraph"/>
        <w:tabs>
          <w:tab w:val="num" w:pos="720"/>
        </w:tabs>
        <w:ind w:left="720" w:hanging="720"/>
        <w:rPr>
          <w:rFonts w:ascii="Arial" w:hAnsi="Arial" w:cs="Arial"/>
          <w:sz w:val="22"/>
          <w:szCs w:val="22"/>
          <w:lang w:val="es-ES"/>
        </w:rPr>
      </w:pPr>
      <w:r w:rsidRPr="00A84DC3">
        <w:rPr>
          <w:rFonts w:ascii="Arial" w:hAnsi="Arial" w:cs="Arial"/>
          <w:b/>
          <w:sz w:val="22"/>
          <w:szCs w:val="22"/>
          <w:lang w:val="es-ES"/>
        </w:rPr>
        <w:t xml:space="preserve">Beneficios del proyecto. </w:t>
      </w:r>
      <w:r w:rsidRPr="00A84DC3">
        <w:rPr>
          <w:rFonts w:ascii="Arial" w:hAnsi="Arial" w:cs="Arial"/>
          <w:sz w:val="22"/>
          <w:szCs w:val="22"/>
          <w:lang w:val="es-ES"/>
        </w:rPr>
        <w:t xml:space="preserve">Los beneficios directos son aquellos impactos positivos que genera el proyecto y que afectan a los usuarios directos del proyecto, es decir a los propietarios, pasajeros y cargadores de los vehículos que utilizarán el proyecto durante su vida útil. Entre los beneficiarios se incluye también a la autoridad vial que se verá afectada en lo que respecta a los costos de </w:t>
      </w:r>
      <w:r w:rsidRPr="00A84DC3">
        <w:rPr>
          <w:rFonts w:ascii="Arial" w:hAnsi="Arial" w:cs="Arial"/>
          <w:sz w:val="22"/>
          <w:szCs w:val="22"/>
          <w:lang w:val="es-ES"/>
        </w:rPr>
        <w:lastRenderedPageBreak/>
        <w:t xml:space="preserve">mantenimiento. Los beneficios directos pueden clasificarse de la siguiente manera: (i) </w:t>
      </w:r>
      <w:r w:rsidR="00A22465">
        <w:rPr>
          <w:rFonts w:ascii="Arial" w:hAnsi="Arial" w:cs="Arial"/>
          <w:sz w:val="22"/>
          <w:szCs w:val="22"/>
          <w:lang w:val="es-ES"/>
        </w:rPr>
        <w:t>a</w:t>
      </w:r>
      <w:r w:rsidRPr="00A84DC3">
        <w:rPr>
          <w:rFonts w:ascii="Arial" w:hAnsi="Arial" w:cs="Arial"/>
          <w:sz w:val="22"/>
          <w:szCs w:val="22"/>
          <w:lang w:val="es-ES"/>
        </w:rPr>
        <w:t>horros en los costos de operación de vehículos o costos de transporte en general</w:t>
      </w:r>
      <w:r w:rsidR="000F4E64">
        <w:rPr>
          <w:rFonts w:ascii="Arial" w:hAnsi="Arial" w:cs="Arial"/>
          <w:sz w:val="22"/>
          <w:szCs w:val="22"/>
          <w:lang w:val="es-ES"/>
        </w:rPr>
        <w:t>;</w:t>
      </w:r>
      <w:r w:rsidRPr="00A84DC3">
        <w:rPr>
          <w:rFonts w:ascii="Arial" w:hAnsi="Arial" w:cs="Arial"/>
          <w:sz w:val="22"/>
          <w:szCs w:val="22"/>
          <w:lang w:val="es-ES"/>
        </w:rPr>
        <w:t xml:space="preserve"> (ii) </w:t>
      </w:r>
      <w:r w:rsidR="00A22465">
        <w:rPr>
          <w:rFonts w:ascii="Arial" w:hAnsi="Arial" w:cs="Arial"/>
          <w:sz w:val="22"/>
          <w:szCs w:val="22"/>
          <w:lang w:val="es-ES"/>
        </w:rPr>
        <w:t>d</w:t>
      </w:r>
      <w:r w:rsidRPr="00A84DC3">
        <w:rPr>
          <w:rFonts w:ascii="Arial" w:hAnsi="Arial" w:cs="Arial"/>
          <w:sz w:val="22"/>
          <w:szCs w:val="22"/>
          <w:lang w:val="es-ES"/>
        </w:rPr>
        <w:t>isminución del tiempo de viaje de pasajeros y de la carga</w:t>
      </w:r>
      <w:r w:rsidR="000F4E64">
        <w:rPr>
          <w:rFonts w:ascii="Arial" w:hAnsi="Arial" w:cs="Arial"/>
          <w:sz w:val="22"/>
          <w:szCs w:val="22"/>
          <w:lang w:val="es-ES"/>
        </w:rPr>
        <w:t>; (iii) </w:t>
      </w:r>
      <w:r w:rsidR="00A22465">
        <w:rPr>
          <w:rFonts w:ascii="Arial" w:hAnsi="Arial" w:cs="Arial"/>
          <w:sz w:val="22"/>
          <w:szCs w:val="22"/>
          <w:lang w:val="es-ES"/>
        </w:rPr>
        <w:t>d</w:t>
      </w:r>
      <w:r w:rsidRPr="00A84DC3">
        <w:rPr>
          <w:rFonts w:ascii="Arial" w:hAnsi="Arial" w:cs="Arial"/>
          <w:sz w:val="22"/>
          <w:szCs w:val="22"/>
          <w:lang w:val="es-ES"/>
        </w:rPr>
        <w:t>isminución de accidentes</w:t>
      </w:r>
      <w:r w:rsidR="000F4E64">
        <w:rPr>
          <w:rFonts w:ascii="Arial" w:hAnsi="Arial" w:cs="Arial"/>
          <w:sz w:val="22"/>
          <w:szCs w:val="22"/>
          <w:lang w:val="es-ES"/>
        </w:rPr>
        <w:t>;</w:t>
      </w:r>
      <w:r w:rsidRPr="00A84DC3">
        <w:rPr>
          <w:rFonts w:ascii="Arial" w:hAnsi="Arial" w:cs="Arial"/>
          <w:sz w:val="22"/>
          <w:szCs w:val="22"/>
          <w:lang w:val="es-ES"/>
        </w:rPr>
        <w:t xml:space="preserve"> y (iv) </w:t>
      </w:r>
      <w:r w:rsidR="00A22465">
        <w:rPr>
          <w:rFonts w:ascii="Arial" w:hAnsi="Arial" w:cs="Arial"/>
          <w:sz w:val="22"/>
          <w:szCs w:val="22"/>
          <w:lang w:val="es-ES"/>
        </w:rPr>
        <w:t>d</w:t>
      </w:r>
      <w:r w:rsidRPr="00A84DC3">
        <w:rPr>
          <w:rFonts w:ascii="Arial" w:hAnsi="Arial" w:cs="Arial"/>
          <w:sz w:val="22"/>
          <w:szCs w:val="22"/>
          <w:lang w:val="es-ES"/>
        </w:rPr>
        <w:t xml:space="preserve">isminución en los costos de mantenimiento vial. Así pues, los beneficios a ser considerados en la evaluación económica del presente proyecto son los Ahorros en costos de </w:t>
      </w:r>
      <w:r w:rsidR="00A22465">
        <w:rPr>
          <w:rFonts w:ascii="Arial" w:hAnsi="Arial" w:cs="Arial"/>
          <w:sz w:val="22"/>
          <w:szCs w:val="22"/>
          <w:lang w:val="es-ES"/>
        </w:rPr>
        <w:t>o</w:t>
      </w:r>
      <w:r w:rsidRPr="00A84DC3">
        <w:rPr>
          <w:rFonts w:ascii="Arial" w:hAnsi="Arial" w:cs="Arial"/>
          <w:sz w:val="22"/>
          <w:szCs w:val="22"/>
          <w:lang w:val="es-ES"/>
        </w:rPr>
        <w:t xml:space="preserve">peración </w:t>
      </w:r>
      <w:r w:rsidR="00A22465">
        <w:rPr>
          <w:rFonts w:ascii="Arial" w:hAnsi="Arial" w:cs="Arial"/>
          <w:sz w:val="22"/>
          <w:szCs w:val="22"/>
          <w:lang w:val="es-ES"/>
        </w:rPr>
        <w:t>v</w:t>
      </w:r>
      <w:r w:rsidRPr="00A84DC3">
        <w:rPr>
          <w:rFonts w:ascii="Arial" w:hAnsi="Arial" w:cs="Arial"/>
          <w:sz w:val="22"/>
          <w:szCs w:val="22"/>
          <w:lang w:val="es-ES"/>
        </w:rPr>
        <w:t xml:space="preserve">ehicular, </w:t>
      </w:r>
      <w:r w:rsidR="00A22465">
        <w:rPr>
          <w:rFonts w:ascii="Arial" w:hAnsi="Arial" w:cs="Arial"/>
          <w:sz w:val="22"/>
          <w:szCs w:val="22"/>
          <w:lang w:val="es-ES"/>
        </w:rPr>
        <w:t>a</w:t>
      </w:r>
      <w:r w:rsidRPr="00A84DC3">
        <w:rPr>
          <w:rFonts w:ascii="Arial" w:hAnsi="Arial" w:cs="Arial"/>
          <w:sz w:val="22"/>
          <w:szCs w:val="22"/>
          <w:lang w:val="es-ES"/>
        </w:rPr>
        <w:t xml:space="preserve">horro en </w:t>
      </w:r>
      <w:r w:rsidR="00A22465">
        <w:rPr>
          <w:rFonts w:ascii="Arial" w:hAnsi="Arial" w:cs="Arial"/>
          <w:sz w:val="22"/>
          <w:szCs w:val="22"/>
          <w:lang w:val="es-ES"/>
        </w:rPr>
        <w:t>t</w:t>
      </w:r>
      <w:r w:rsidRPr="00A84DC3">
        <w:rPr>
          <w:rFonts w:ascii="Arial" w:hAnsi="Arial" w:cs="Arial"/>
          <w:sz w:val="22"/>
          <w:szCs w:val="22"/>
          <w:lang w:val="es-ES"/>
        </w:rPr>
        <w:t xml:space="preserve">iempo de </w:t>
      </w:r>
      <w:r w:rsidR="00A22465">
        <w:rPr>
          <w:rFonts w:ascii="Arial" w:hAnsi="Arial" w:cs="Arial"/>
          <w:sz w:val="22"/>
          <w:szCs w:val="22"/>
          <w:lang w:val="es-ES"/>
        </w:rPr>
        <w:t>v</w:t>
      </w:r>
      <w:r w:rsidRPr="00A84DC3">
        <w:rPr>
          <w:rFonts w:ascii="Arial" w:hAnsi="Arial" w:cs="Arial"/>
          <w:sz w:val="22"/>
          <w:szCs w:val="22"/>
          <w:lang w:val="es-ES"/>
        </w:rPr>
        <w:t xml:space="preserve">iaje y </w:t>
      </w:r>
      <w:r w:rsidR="00A22465">
        <w:rPr>
          <w:rFonts w:ascii="Arial" w:hAnsi="Arial" w:cs="Arial"/>
          <w:sz w:val="22"/>
          <w:szCs w:val="22"/>
          <w:lang w:val="es-ES"/>
        </w:rPr>
        <w:t>a</w:t>
      </w:r>
      <w:r w:rsidRPr="00A84DC3">
        <w:rPr>
          <w:rFonts w:ascii="Arial" w:hAnsi="Arial" w:cs="Arial"/>
          <w:sz w:val="22"/>
          <w:szCs w:val="22"/>
          <w:lang w:val="es-ES"/>
        </w:rPr>
        <w:t>horro en la administración de la vía</w:t>
      </w:r>
      <w:r w:rsidR="00E87313" w:rsidRPr="00A84DC3">
        <w:rPr>
          <w:rFonts w:ascii="Arial" w:hAnsi="Arial" w:cs="Arial"/>
          <w:sz w:val="22"/>
          <w:szCs w:val="22"/>
          <w:lang w:val="es-ES"/>
        </w:rPr>
        <w:t xml:space="preserve"> que se compararan en la situación con y sin proyecto.</w:t>
      </w:r>
      <w:r w:rsidR="00E87313" w:rsidRPr="00A84DC3">
        <w:rPr>
          <w:rStyle w:val="FootnoteReference"/>
          <w:rFonts w:ascii="Arial" w:hAnsi="Arial" w:cs="Arial"/>
          <w:sz w:val="22"/>
          <w:szCs w:val="22"/>
          <w:lang w:val="es-ES"/>
        </w:rPr>
        <w:footnoteReference w:id="15"/>
      </w:r>
      <w:r w:rsidR="00E87313" w:rsidRPr="00A84DC3">
        <w:rPr>
          <w:rFonts w:ascii="Arial" w:hAnsi="Arial" w:cs="Arial"/>
          <w:sz w:val="22"/>
          <w:szCs w:val="22"/>
          <w:lang w:val="es-ES"/>
        </w:rPr>
        <w:t xml:space="preserve"> </w:t>
      </w:r>
    </w:p>
    <w:p w14:paraId="638A4D6D" w14:textId="43D8004D" w:rsidR="00710844" w:rsidRPr="00A84DC3" w:rsidRDefault="00E87313" w:rsidP="000F4E64">
      <w:pPr>
        <w:pStyle w:val="subpar"/>
        <w:tabs>
          <w:tab w:val="clear" w:pos="2304"/>
          <w:tab w:val="num" w:pos="1170"/>
        </w:tabs>
        <w:ind w:left="1170" w:hanging="450"/>
        <w:rPr>
          <w:rFonts w:ascii="Arial" w:hAnsi="Arial" w:cs="Arial"/>
          <w:sz w:val="22"/>
          <w:szCs w:val="22"/>
          <w:lang w:val="es-ES"/>
        </w:rPr>
      </w:pPr>
      <w:r w:rsidRPr="00A84DC3">
        <w:rPr>
          <w:rFonts w:ascii="Arial" w:hAnsi="Arial" w:cs="Arial"/>
          <w:b/>
          <w:sz w:val="22"/>
          <w:szCs w:val="22"/>
          <w:lang w:val="es-ES"/>
        </w:rPr>
        <w:t>Operación</w:t>
      </w:r>
      <w:r w:rsidR="00E55D99" w:rsidRPr="00A84DC3">
        <w:rPr>
          <w:rFonts w:ascii="Arial" w:hAnsi="Arial" w:cs="Arial"/>
          <w:b/>
          <w:sz w:val="22"/>
          <w:szCs w:val="22"/>
          <w:lang w:val="es-ES"/>
        </w:rPr>
        <w:t xml:space="preserve"> vehicular.</w:t>
      </w:r>
      <w:r w:rsidR="00E55D99" w:rsidRPr="00A84DC3">
        <w:rPr>
          <w:rFonts w:ascii="Arial" w:hAnsi="Arial" w:cs="Arial"/>
          <w:sz w:val="22"/>
          <w:szCs w:val="22"/>
          <w:lang w:val="es-ES"/>
        </w:rPr>
        <w:t xml:space="preserve"> Atendiendo a estadísticas sobre </w:t>
      </w:r>
      <w:r w:rsidR="0099636A" w:rsidRPr="00A84DC3">
        <w:rPr>
          <w:rFonts w:ascii="Arial" w:hAnsi="Arial" w:cs="Arial"/>
          <w:sz w:val="22"/>
          <w:szCs w:val="22"/>
          <w:lang w:val="es-ES"/>
        </w:rPr>
        <w:t>tráfico</w:t>
      </w:r>
      <w:r w:rsidR="00E55D99" w:rsidRPr="00A84DC3">
        <w:rPr>
          <w:rFonts w:ascii="Arial" w:hAnsi="Arial" w:cs="Arial"/>
          <w:sz w:val="22"/>
          <w:szCs w:val="22"/>
          <w:lang w:val="es-ES"/>
        </w:rPr>
        <w:t xml:space="preserve"> en la región, se han considerado como vehículos a incluir en la </w:t>
      </w:r>
      <w:r w:rsidR="0099636A" w:rsidRPr="00A84DC3">
        <w:rPr>
          <w:rFonts w:ascii="Arial" w:hAnsi="Arial" w:cs="Arial"/>
          <w:sz w:val="22"/>
          <w:szCs w:val="22"/>
          <w:lang w:val="es-ES"/>
        </w:rPr>
        <w:t>metodología</w:t>
      </w:r>
      <w:r w:rsidR="00E55D99" w:rsidRPr="00A84DC3">
        <w:rPr>
          <w:rFonts w:ascii="Arial" w:hAnsi="Arial" w:cs="Arial"/>
          <w:sz w:val="22"/>
          <w:szCs w:val="22"/>
          <w:lang w:val="es-ES"/>
        </w:rPr>
        <w:t xml:space="preserve"> HDM </w:t>
      </w:r>
      <w:r w:rsidR="00A22465">
        <w:rPr>
          <w:rFonts w:ascii="Arial" w:hAnsi="Arial" w:cs="Arial"/>
          <w:sz w:val="22"/>
          <w:szCs w:val="22"/>
          <w:lang w:val="es-ES"/>
        </w:rPr>
        <w:t>cuatro</w:t>
      </w:r>
      <w:r w:rsidR="00E55D99" w:rsidRPr="00A84DC3">
        <w:rPr>
          <w:rFonts w:ascii="Arial" w:hAnsi="Arial" w:cs="Arial"/>
          <w:sz w:val="22"/>
          <w:szCs w:val="22"/>
          <w:lang w:val="es-ES"/>
        </w:rPr>
        <w:t xml:space="preserve"> los vehículos livianos, buses y camiones pesados y se han utilizado datos representativos sobre la flota. La variación de los costos, para la situación sin proyecto y con proyecto, se da por la diferencia en el consumo de los insumos según el estado de la calzada. </w:t>
      </w:r>
      <w:r w:rsidR="00D54641" w:rsidRPr="00A84DC3">
        <w:rPr>
          <w:rFonts w:ascii="Arial" w:hAnsi="Arial" w:cs="Arial"/>
          <w:sz w:val="22"/>
          <w:szCs w:val="22"/>
          <w:lang w:val="es-ES"/>
        </w:rPr>
        <w:t xml:space="preserve">Los costos asumidos para cada insumo pueden consultarse en el Anexo I. </w:t>
      </w:r>
    </w:p>
    <w:p w14:paraId="4BC92E6E" w14:textId="77777777" w:rsidR="00C6521E" w:rsidRPr="00A84DC3" w:rsidRDefault="00D54641" w:rsidP="000F4E64">
      <w:pPr>
        <w:pStyle w:val="subpar"/>
        <w:numPr>
          <w:ilvl w:val="3"/>
          <w:numId w:val="2"/>
        </w:numPr>
        <w:tabs>
          <w:tab w:val="clear" w:pos="2736"/>
          <w:tab w:val="num" w:pos="2448"/>
        </w:tabs>
        <w:ind w:left="1350" w:hanging="90"/>
        <w:rPr>
          <w:rFonts w:ascii="Arial" w:hAnsi="Arial" w:cs="Arial"/>
          <w:noProof/>
          <w:color w:val="000000" w:themeColor="text1"/>
          <w:sz w:val="22"/>
          <w:szCs w:val="22"/>
          <w:lang w:val="es-ES"/>
        </w:rPr>
      </w:pPr>
      <w:r w:rsidRPr="00A84DC3">
        <w:rPr>
          <w:rFonts w:ascii="Arial" w:hAnsi="Arial" w:cs="Arial"/>
          <w:b/>
          <w:sz w:val="22"/>
          <w:szCs w:val="22"/>
          <w:lang w:val="es-ES"/>
        </w:rPr>
        <w:t xml:space="preserve">Situación sin y con proyecto. </w:t>
      </w:r>
      <w:r w:rsidRPr="00A84DC3">
        <w:rPr>
          <w:rFonts w:ascii="Arial" w:hAnsi="Arial" w:cs="Arial"/>
          <w:sz w:val="22"/>
          <w:szCs w:val="22"/>
          <w:lang w:val="es-ES"/>
        </w:rPr>
        <w:t xml:space="preserve">A partir del diagnóstico de la situación actual de la vía, se han determinado los </w:t>
      </w:r>
      <w:r w:rsidR="00C6521E" w:rsidRPr="00A84DC3">
        <w:rPr>
          <w:rFonts w:ascii="Arial" w:hAnsi="Arial" w:cs="Arial"/>
          <w:sz w:val="22"/>
          <w:szCs w:val="22"/>
          <w:lang w:val="es-ES"/>
        </w:rPr>
        <w:t>valores correspondientes</w:t>
      </w:r>
      <w:r w:rsidRPr="00A84DC3">
        <w:rPr>
          <w:rFonts w:ascii="Arial" w:hAnsi="Arial" w:cs="Arial"/>
          <w:sz w:val="22"/>
          <w:szCs w:val="22"/>
          <w:lang w:val="es-ES"/>
        </w:rPr>
        <w:t xml:space="preserve"> al Índice de Regularidad (IRI), Área de fisuras, Cantidad de baches, Profundidad del Ahuellamiento o Rodadera, Área de Rotura del Borde, Resistencia al Desplazamiento, a más de la caracterización de la estructura y dimensiones geométricas. Todos estos valores son introducidos al HDM 4 para la situación sin proyecto. Para la situación con proyecto se estiman las mejoras en los índices mencionados y en la geometría. En este caso se tiene una ampliación de la calzada, de 6,50 a 7,00 metros, reduciendo la banquina de 2,30 a 2,05 metros. Los costos totales de operación vehicular dependerán también del tránsito proyectado, sin y con proyecto. Estas proyecciones se obtienen del estudio de tránsito realizado.</w:t>
      </w:r>
    </w:p>
    <w:p w14:paraId="00071804" w14:textId="77777777" w:rsidR="0033408E" w:rsidRPr="00A84DC3" w:rsidRDefault="0033408E" w:rsidP="000F4E64">
      <w:pPr>
        <w:pStyle w:val="subpar"/>
        <w:tabs>
          <w:tab w:val="clear" w:pos="2304"/>
          <w:tab w:val="num" w:pos="1170"/>
        </w:tabs>
        <w:ind w:left="1170" w:hanging="450"/>
        <w:rPr>
          <w:rFonts w:ascii="Arial" w:hAnsi="Arial" w:cs="Arial"/>
          <w:sz w:val="22"/>
          <w:szCs w:val="22"/>
          <w:lang w:val="es-ES"/>
        </w:rPr>
      </w:pPr>
      <w:r w:rsidRPr="00A84DC3">
        <w:rPr>
          <w:rFonts w:ascii="Arial" w:hAnsi="Arial" w:cs="Arial"/>
          <w:b/>
          <w:sz w:val="22"/>
          <w:szCs w:val="22"/>
          <w:lang w:val="es-ES"/>
        </w:rPr>
        <w:t>Tiempo de viaje.</w:t>
      </w:r>
      <w:r w:rsidRPr="00A84DC3">
        <w:rPr>
          <w:rFonts w:ascii="Arial" w:hAnsi="Arial" w:cs="Arial"/>
          <w:sz w:val="22"/>
          <w:szCs w:val="22"/>
          <w:lang w:val="es-ES"/>
        </w:rPr>
        <w:t xml:space="preserve"> De manera idéntica a los costos de operación vehicular, la determinación del costo del tiempo de viaje lo realiza el programa HDM 4 a partir de la introducción de los valores correspondientes al costo del tiempo del pasajero y la cantidad de pasajeros promedio por tipo de vehículo, considerando solamente livianos y buses que se pueden consultar en el Anexo I. </w:t>
      </w:r>
    </w:p>
    <w:p w14:paraId="2B311411" w14:textId="77777777" w:rsidR="0033408E" w:rsidRPr="00A84DC3" w:rsidRDefault="000C5024" w:rsidP="00C47F5E">
      <w:pPr>
        <w:pStyle w:val="subpar"/>
        <w:numPr>
          <w:ilvl w:val="3"/>
          <w:numId w:val="2"/>
        </w:numPr>
        <w:tabs>
          <w:tab w:val="clear" w:pos="2736"/>
          <w:tab w:val="num" w:pos="1350"/>
          <w:tab w:val="num" w:pos="2448"/>
        </w:tabs>
        <w:ind w:left="1350" w:hanging="180"/>
        <w:rPr>
          <w:rFonts w:ascii="Arial" w:hAnsi="Arial" w:cs="Arial"/>
          <w:b/>
          <w:sz w:val="22"/>
          <w:szCs w:val="22"/>
          <w:lang w:val="es-ES"/>
        </w:rPr>
      </w:pPr>
      <w:r w:rsidRPr="00A84DC3">
        <w:rPr>
          <w:rFonts w:ascii="Arial" w:hAnsi="Arial" w:cs="Arial"/>
          <w:b/>
          <w:sz w:val="22"/>
          <w:szCs w:val="22"/>
          <w:lang w:val="es-ES"/>
        </w:rPr>
        <w:t xml:space="preserve">Situación con y sin proyecto. </w:t>
      </w:r>
      <w:r w:rsidR="0033408E" w:rsidRPr="00A84DC3">
        <w:rPr>
          <w:rFonts w:ascii="Arial" w:hAnsi="Arial" w:cs="Arial"/>
          <w:sz w:val="22"/>
          <w:szCs w:val="22"/>
          <w:lang w:val="es-ES"/>
        </w:rPr>
        <w:t>El ahorro en tiempo de viaje se da por el mejoramiento de la velocidad promedio de recorrido del tramo objeto del proyecto.</w:t>
      </w:r>
      <w:r w:rsidRPr="00A84DC3">
        <w:rPr>
          <w:rFonts w:ascii="Arial" w:hAnsi="Arial" w:cs="Arial"/>
          <w:sz w:val="22"/>
          <w:szCs w:val="22"/>
          <w:lang w:val="es-ES"/>
        </w:rPr>
        <w:t xml:space="preserve"> Se considera un aumento de la velocidad promedio de 35 Km/hora, generando así el correspondiente ahorro en tiempo de viaje.</w:t>
      </w:r>
      <w:r w:rsidRPr="00A84DC3">
        <w:rPr>
          <w:rFonts w:ascii="Arial" w:hAnsi="Arial" w:cs="Arial"/>
          <w:b/>
          <w:sz w:val="22"/>
          <w:szCs w:val="22"/>
          <w:lang w:val="es-ES"/>
        </w:rPr>
        <w:t xml:space="preserve"> </w:t>
      </w:r>
    </w:p>
    <w:p w14:paraId="14DB9603" w14:textId="77777777" w:rsidR="0033408E" w:rsidRPr="00A84DC3" w:rsidRDefault="000C5024" w:rsidP="000C5024">
      <w:pPr>
        <w:pStyle w:val="subpar"/>
        <w:tabs>
          <w:tab w:val="clear" w:pos="2304"/>
          <w:tab w:val="num" w:pos="1170"/>
        </w:tabs>
        <w:ind w:left="1620" w:hanging="450"/>
        <w:rPr>
          <w:rFonts w:ascii="Arial" w:hAnsi="Arial" w:cs="Arial"/>
          <w:sz w:val="22"/>
          <w:szCs w:val="22"/>
          <w:lang w:val="es-ES"/>
        </w:rPr>
      </w:pPr>
      <w:r w:rsidRPr="00A84DC3">
        <w:rPr>
          <w:rFonts w:ascii="Arial" w:hAnsi="Arial" w:cs="Arial"/>
          <w:b/>
          <w:sz w:val="22"/>
          <w:szCs w:val="22"/>
          <w:lang w:val="es-ES"/>
        </w:rPr>
        <w:t xml:space="preserve">Mantenimiento rutinario y periódico. </w:t>
      </w:r>
      <w:r w:rsidR="0033408E" w:rsidRPr="00A84DC3">
        <w:rPr>
          <w:rFonts w:ascii="Arial" w:hAnsi="Arial" w:cs="Arial"/>
          <w:sz w:val="22"/>
          <w:szCs w:val="22"/>
          <w:lang w:val="es-ES"/>
        </w:rPr>
        <w:t>Las tareas de mantenimiento rutinario y periódico son definidas para los escenarios con y sin proyecto</w:t>
      </w:r>
      <w:r w:rsidRPr="00A84DC3">
        <w:rPr>
          <w:rFonts w:ascii="Arial" w:hAnsi="Arial" w:cs="Arial"/>
          <w:sz w:val="22"/>
          <w:szCs w:val="22"/>
          <w:lang w:val="es-ES"/>
        </w:rPr>
        <w:t xml:space="preserve"> durante 10 años</w:t>
      </w:r>
      <w:r w:rsidR="0033408E" w:rsidRPr="00A84DC3">
        <w:rPr>
          <w:rFonts w:ascii="Arial" w:hAnsi="Arial" w:cs="Arial"/>
          <w:sz w:val="22"/>
          <w:szCs w:val="22"/>
          <w:lang w:val="es-ES"/>
        </w:rPr>
        <w:t>, considerando el estado de la vía inicial y el deterioro simulado con el programa HDM 4.</w:t>
      </w:r>
      <w:r w:rsidRPr="00A84DC3">
        <w:rPr>
          <w:rFonts w:ascii="Arial" w:hAnsi="Arial" w:cs="Arial"/>
          <w:sz w:val="22"/>
          <w:szCs w:val="22"/>
          <w:lang w:val="es-ES"/>
        </w:rPr>
        <w:t xml:space="preserve"> </w:t>
      </w:r>
      <w:r w:rsidR="0033408E" w:rsidRPr="00A84DC3">
        <w:rPr>
          <w:rFonts w:ascii="Arial" w:hAnsi="Arial" w:cs="Arial"/>
          <w:sz w:val="22"/>
          <w:szCs w:val="22"/>
          <w:lang w:val="es-ES"/>
        </w:rPr>
        <w:t>El mantenimiento rutinario comprende tareas anuales como limpieza de franja de dominio, alcantarillas, cunetas, reposición de señalización vertical y horizontal.</w:t>
      </w:r>
      <w:r w:rsidRPr="00A84DC3">
        <w:rPr>
          <w:rFonts w:ascii="Arial" w:hAnsi="Arial" w:cs="Arial"/>
          <w:sz w:val="22"/>
          <w:szCs w:val="22"/>
          <w:lang w:val="es-ES"/>
        </w:rPr>
        <w:t xml:space="preserve"> </w:t>
      </w:r>
      <w:r w:rsidR="0033408E" w:rsidRPr="00A84DC3">
        <w:rPr>
          <w:rFonts w:ascii="Arial" w:hAnsi="Arial" w:cs="Arial"/>
          <w:sz w:val="22"/>
          <w:szCs w:val="22"/>
          <w:lang w:val="es-ES"/>
        </w:rPr>
        <w:t xml:space="preserve">El mantenimiento periódico comprende actividades que pueden ser </w:t>
      </w:r>
      <w:r w:rsidR="0033408E" w:rsidRPr="00A84DC3">
        <w:rPr>
          <w:rFonts w:ascii="Arial" w:hAnsi="Arial" w:cs="Arial"/>
          <w:sz w:val="22"/>
          <w:szCs w:val="22"/>
          <w:lang w:val="es-ES"/>
        </w:rPr>
        <w:lastRenderedPageBreak/>
        <w:t>programadas o por respuesta. La actividad programada para el proyecto es un refuerzo a los 10 años de operación de manera que la vida útil de la vía se extienda a 20 años. El refuerzo previsto consiste en un recapado asfáltico de 4,3 cm de material bituminoso en caliente.</w:t>
      </w:r>
    </w:p>
    <w:p w14:paraId="4716BD4B" w14:textId="77777777" w:rsidR="0033408E" w:rsidRPr="00A84DC3" w:rsidRDefault="0033408E" w:rsidP="000C5024">
      <w:pPr>
        <w:pStyle w:val="subpar"/>
        <w:numPr>
          <w:ilvl w:val="3"/>
          <w:numId w:val="2"/>
        </w:numPr>
        <w:tabs>
          <w:tab w:val="clear" w:pos="2736"/>
          <w:tab w:val="num" w:pos="1170"/>
          <w:tab w:val="num" w:pos="2448"/>
        </w:tabs>
        <w:ind w:left="2070"/>
        <w:rPr>
          <w:rFonts w:ascii="Arial" w:hAnsi="Arial" w:cs="Arial"/>
          <w:sz w:val="22"/>
          <w:szCs w:val="22"/>
          <w:lang w:val="es-ES"/>
        </w:rPr>
      </w:pPr>
      <w:r w:rsidRPr="00A84DC3">
        <w:rPr>
          <w:rFonts w:ascii="Arial" w:hAnsi="Arial" w:cs="Arial"/>
          <w:sz w:val="22"/>
          <w:szCs w:val="22"/>
          <w:lang w:val="es-ES"/>
        </w:rPr>
        <w:t>Los costos de mantenimiento para la situación sin y con proye</w:t>
      </w:r>
      <w:r w:rsidR="000C5024" w:rsidRPr="00A84DC3">
        <w:rPr>
          <w:rFonts w:ascii="Arial" w:hAnsi="Arial" w:cs="Arial"/>
          <w:sz w:val="22"/>
          <w:szCs w:val="22"/>
          <w:lang w:val="es-ES"/>
        </w:rPr>
        <w:t>cto se presentan a continuación:</w:t>
      </w:r>
    </w:p>
    <w:p w14:paraId="4E68B5AB" w14:textId="77777777" w:rsidR="0033408E" w:rsidRPr="00A84DC3" w:rsidRDefault="0033408E" w:rsidP="00F9765F">
      <w:pPr>
        <w:spacing w:after="0"/>
        <w:jc w:val="center"/>
        <w:rPr>
          <w:rFonts w:ascii="Arial" w:hAnsi="Arial" w:cs="Arial"/>
          <w:lang w:val="es-ES"/>
        </w:rPr>
      </w:pPr>
      <w:r w:rsidRPr="00A84DC3">
        <w:rPr>
          <w:rFonts w:ascii="Arial" w:hAnsi="Arial" w:cs="Arial"/>
          <w:b/>
          <w:i/>
          <w:lang w:val="es-ES"/>
        </w:rPr>
        <w:t>Sin proyecto</w:t>
      </w:r>
      <w:r w:rsidRPr="00A84DC3">
        <w:rPr>
          <w:rFonts w:ascii="Arial" w:hAnsi="Arial" w:cs="Arial"/>
          <w:lang w:val="es-ES"/>
        </w:rPr>
        <w:t>:</w:t>
      </w:r>
    </w:p>
    <w:tbl>
      <w:tblPr>
        <w:tblStyle w:val="TableGrid"/>
        <w:tblW w:w="6236" w:type="dxa"/>
        <w:tblInd w:w="2400" w:type="dxa"/>
        <w:tblLook w:val="04A0" w:firstRow="1" w:lastRow="0" w:firstColumn="1" w:lastColumn="0" w:noHBand="0" w:noVBand="1"/>
      </w:tblPr>
      <w:tblGrid>
        <w:gridCol w:w="3129"/>
        <w:gridCol w:w="3107"/>
      </w:tblGrid>
      <w:tr w:rsidR="00A40CE1" w:rsidRPr="00A84DC3" w14:paraId="43FC9FD8" w14:textId="77777777" w:rsidTr="00A22465">
        <w:trPr>
          <w:trHeight w:val="340"/>
        </w:trPr>
        <w:tc>
          <w:tcPr>
            <w:tcW w:w="3129" w:type="dxa"/>
            <w:shd w:val="clear" w:color="auto" w:fill="FDE9D9" w:themeFill="accent6" w:themeFillTint="33"/>
            <w:vAlign w:val="center"/>
          </w:tcPr>
          <w:p w14:paraId="220E4FA4" w14:textId="77777777" w:rsidR="00A40CE1" w:rsidRPr="009E7B86" w:rsidRDefault="00A40CE1" w:rsidP="00A40CE1">
            <w:pPr>
              <w:jc w:val="center"/>
              <w:rPr>
                <w:rFonts w:ascii="Arial" w:hAnsi="Arial" w:cs="Arial"/>
                <w:b/>
                <w:sz w:val="18"/>
                <w:szCs w:val="18"/>
                <w:lang w:val="es-ES"/>
              </w:rPr>
            </w:pPr>
            <w:r w:rsidRPr="009E7B86">
              <w:rPr>
                <w:rFonts w:ascii="Arial" w:hAnsi="Arial" w:cs="Arial"/>
                <w:b/>
                <w:sz w:val="18"/>
                <w:szCs w:val="18"/>
                <w:lang w:val="es-ES"/>
              </w:rPr>
              <w:t>Acción</w:t>
            </w:r>
          </w:p>
        </w:tc>
        <w:tc>
          <w:tcPr>
            <w:tcW w:w="3107" w:type="dxa"/>
            <w:shd w:val="clear" w:color="auto" w:fill="FDE9D9" w:themeFill="accent6" w:themeFillTint="33"/>
            <w:vAlign w:val="center"/>
          </w:tcPr>
          <w:p w14:paraId="1A121D59" w14:textId="77777777" w:rsidR="00A40CE1" w:rsidRPr="009E7B86" w:rsidRDefault="00A40CE1" w:rsidP="00A40CE1">
            <w:pPr>
              <w:jc w:val="center"/>
              <w:rPr>
                <w:rFonts w:ascii="Arial" w:hAnsi="Arial" w:cs="Arial"/>
                <w:b/>
                <w:sz w:val="18"/>
                <w:szCs w:val="18"/>
                <w:lang w:val="es-ES"/>
              </w:rPr>
            </w:pPr>
            <w:r w:rsidRPr="009E7B86">
              <w:rPr>
                <w:rFonts w:ascii="Arial" w:hAnsi="Arial" w:cs="Arial"/>
                <w:b/>
                <w:sz w:val="18"/>
                <w:szCs w:val="18"/>
                <w:lang w:val="es-ES"/>
              </w:rPr>
              <w:t>Costo</w:t>
            </w:r>
          </w:p>
        </w:tc>
      </w:tr>
      <w:tr w:rsidR="00A40CE1" w:rsidRPr="00A84DC3" w14:paraId="6F4954EC" w14:textId="77777777" w:rsidTr="00A22465">
        <w:trPr>
          <w:trHeight w:val="340"/>
        </w:trPr>
        <w:tc>
          <w:tcPr>
            <w:tcW w:w="3129" w:type="dxa"/>
            <w:vAlign w:val="center"/>
          </w:tcPr>
          <w:p w14:paraId="4D8D0A5E" w14:textId="77777777" w:rsidR="00A40CE1" w:rsidRPr="009E7B86" w:rsidRDefault="00A40CE1" w:rsidP="00A40CE1">
            <w:pPr>
              <w:jc w:val="center"/>
              <w:rPr>
                <w:rFonts w:ascii="Arial" w:hAnsi="Arial" w:cs="Arial"/>
                <w:sz w:val="18"/>
                <w:szCs w:val="18"/>
                <w:lang w:val="es-ES"/>
              </w:rPr>
            </w:pPr>
            <w:r w:rsidRPr="009E7B86">
              <w:rPr>
                <w:rFonts w:ascii="Arial" w:hAnsi="Arial" w:cs="Arial"/>
                <w:sz w:val="18"/>
                <w:szCs w:val="18"/>
                <w:lang w:val="es-ES"/>
              </w:rPr>
              <w:t>Mantenimiento Rutinario</w:t>
            </w:r>
          </w:p>
        </w:tc>
        <w:tc>
          <w:tcPr>
            <w:tcW w:w="3107" w:type="dxa"/>
            <w:vAlign w:val="center"/>
          </w:tcPr>
          <w:p w14:paraId="36D39D61" w14:textId="77777777" w:rsidR="00A40CE1" w:rsidRPr="009E7B86" w:rsidRDefault="00A40CE1" w:rsidP="00A40CE1">
            <w:pPr>
              <w:jc w:val="center"/>
              <w:rPr>
                <w:rFonts w:ascii="Arial" w:hAnsi="Arial" w:cs="Arial"/>
                <w:sz w:val="18"/>
                <w:szCs w:val="18"/>
                <w:lang w:val="es-ES"/>
              </w:rPr>
            </w:pPr>
            <w:r w:rsidRPr="009E7B86">
              <w:rPr>
                <w:rFonts w:ascii="Arial" w:hAnsi="Arial" w:cs="Arial"/>
                <w:sz w:val="18"/>
                <w:szCs w:val="18"/>
                <w:lang w:val="es-ES"/>
              </w:rPr>
              <w:t>5.700 US$/Km</w:t>
            </w:r>
          </w:p>
        </w:tc>
      </w:tr>
      <w:tr w:rsidR="00A40CE1" w:rsidRPr="00A84DC3" w14:paraId="686E0948" w14:textId="77777777" w:rsidTr="00A22465">
        <w:trPr>
          <w:trHeight w:val="340"/>
        </w:trPr>
        <w:tc>
          <w:tcPr>
            <w:tcW w:w="3129" w:type="dxa"/>
            <w:vAlign w:val="center"/>
          </w:tcPr>
          <w:p w14:paraId="6B4BD4E6" w14:textId="77777777" w:rsidR="00A40CE1" w:rsidRPr="009E7B86" w:rsidRDefault="00A40CE1" w:rsidP="00A40CE1">
            <w:pPr>
              <w:jc w:val="center"/>
              <w:rPr>
                <w:rFonts w:ascii="Arial" w:hAnsi="Arial" w:cs="Arial"/>
                <w:sz w:val="18"/>
                <w:szCs w:val="18"/>
                <w:lang w:val="es-ES"/>
              </w:rPr>
            </w:pPr>
            <w:r w:rsidRPr="009E7B86">
              <w:rPr>
                <w:rFonts w:ascii="Arial" w:hAnsi="Arial" w:cs="Arial"/>
                <w:sz w:val="18"/>
                <w:szCs w:val="18"/>
                <w:lang w:val="es-ES"/>
              </w:rPr>
              <w:t>Bacheo</w:t>
            </w:r>
          </w:p>
        </w:tc>
        <w:tc>
          <w:tcPr>
            <w:tcW w:w="3107" w:type="dxa"/>
            <w:vAlign w:val="center"/>
          </w:tcPr>
          <w:p w14:paraId="57335C70" w14:textId="77777777" w:rsidR="00A40CE1" w:rsidRPr="009E7B86" w:rsidRDefault="00A40CE1" w:rsidP="00A40CE1">
            <w:pPr>
              <w:jc w:val="center"/>
              <w:rPr>
                <w:rFonts w:ascii="Arial" w:hAnsi="Arial" w:cs="Arial"/>
                <w:sz w:val="18"/>
                <w:szCs w:val="18"/>
                <w:lang w:val="es-ES"/>
              </w:rPr>
            </w:pPr>
            <w:r w:rsidRPr="009E7B86">
              <w:rPr>
                <w:rFonts w:ascii="Arial" w:hAnsi="Arial" w:cs="Arial"/>
                <w:sz w:val="18"/>
                <w:szCs w:val="18"/>
                <w:lang w:val="es-ES"/>
              </w:rPr>
              <w:t>16,39 US$/m2</w:t>
            </w:r>
          </w:p>
        </w:tc>
      </w:tr>
    </w:tbl>
    <w:p w14:paraId="6066EBC4" w14:textId="77777777" w:rsidR="0033408E" w:rsidRPr="00A84DC3" w:rsidRDefault="0033408E" w:rsidP="00F9765F">
      <w:pPr>
        <w:spacing w:after="0"/>
        <w:jc w:val="center"/>
        <w:rPr>
          <w:rFonts w:ascii="Arial" w:hAnsi="Arial" w:cs="Arial"/>
          <w:b/>
          <w:i/>
          <w:lang w:val="es-ES"/>
        </w:rPr>
      </w:pPr>
      <w:r w:rsidRPr="00A84DC3">
        <w:rPr>
          <w:rFonts w:ascii="Arial" w:hAnsi="Arial" w:cs="Arial"/>
          <w:b/>
          <w:i/>
          <w:lang w:val="es-ES"/>
        </w:rPr>
        <w:t>Con proyecto:</w:t>
      </w:r>
    </w:p>
    <w:tbl>
      <w:tblPr>
        <w:tblStyle w:val="TableGrid"/>
        <w:tblW w:w="6236" w:type="dxa"/>
        <w:tblInd w:w="2400" w:type="dxa"/>
        <w:tblLook w:val="04A0" w:firstRow="1" w:lastRow="0" w:firstColumn="1" w:lastColumn="0" w:noHBand="0" w:noVBand="1"/>
      </w:tblPr>
      <w:tblGrid>
        <w:gridCol w:w="3129"/>
        <w:gridCol w:w="3107"/>
      </w:tblGrid>
      <w:tr w:rsidR="00A40CE1" w:rsidRPr="00A84DC3" w14:paraId="166B9816" w14:textId="77777777" w:rsidTr="00A22465">
        <w:trPr>
          <w:trHeight w:val="340"/>
        </w:trPr>
        <w:tc>
          <w:tcPr>
            <w:tcW w:w="3129" w:type="dxa"/>
            <w:shd w:val="clear" w:color="auto" w:fill="FDE9D9" w:themeFill="accent6" w:themeFillTint="33"/>
          </w:tcPr>
          <w:p w14:paraId="676FAB85" w14:textId="77777777" w:rsidR="00A40CE1" w:rsidRPr="009E7B86" w:rsidRDefault="00A40CE1" w:rsidP="00A40CE1">
            <w:pPr>
              <w:jc w:val="center"/>
              <w:rPr>
                <w:rFonts w:ascii="Arial" w:hAnsi="Arial" w:cs="Arial"/>
                <w:b/>
                <w:sz w:val="18"/>
                <w:szCs w:val="18"/>
                <w:lang w:val="es-ES"/>
              </w:rPr>
            </w:pPr>
            <w:r w:rsidRPr="009E7B86">
              <w:rPr>
                <w:rFonts w:ascii="Arial" w:hAnsi="Arial" w:cs="Arial"/>
                <w:b/>
                <w:sz w:val="18"/>
                <w:szCs w:val="18"/>
                <w:lang w:val="es-ES"/>
              </w:rPr>
              <w:t>Acción</w:t>
            </w:r>
          </w:p>
        </w:tc>
        <w:tc>
          <w:tcPr>
            <w:tcW w:w="3107" w:type="dxa"/>
            <w:shd w:val="clear" w:color="auto" w:fill="FDE9D9" w:themeFill="accent6" w:themeFillTint="33"/>
          </w:tcPr>
          <w:p w14:paraId="42140E0B" w14:textId="77777777" w:rsidR="00A40CE1" w:rsidRPr="009E7B86" w:rsidRDefault="00A40CE1" w:rsidP="00A40CE1">
            <w:pPr>
              <w:jc w:val="center"/>
              <w:rPr>
                <w:rFonts w:ascii="Arial" w:hAnsi="Arial" w:cs="Arial"/>
                <w:b/>
                <w:sz w:val="18"/>
                <w:szCs w:val="18"/>
                <w:lang w:val="es-ES"/>
              </w:rPr>
            </w:pPr>
            <w:r w:rsidRPr="009E7B86">
              <w:rPr>
                <w:rFonts w:ascii="Arial" w:hAnsi="Arial" w:cs="Arial"/>
                <w:b/>
                <w:sz w:val="18"/>
                <w:szCs w:val="18"/>
                <w:lang w:val="es-ES"/>
              </w:rPr>
              <w:t>Costo</w:t>
            </w:r>
          </w:p>
        </w:tc>
      </w:tr>
      <w:tr w:rsidR="00A40CE1" w:rsidRPr="00A84DC3" w14:paraId="3DA9BEDD" w14:textId="77777777" w:rsidTr="00A22465">
        <w:trPr>
          <w:trHeight w:val="340"/>
        </w:trPr>
        <w:tc>
          <w:tcPr>
            <w:tcW w:w="3129" w:type="dxa"/>
          </w:tcPr>
          <w:p w14:paraId="38B64089" w14:textId="77777777" w:rsidR="00A40CE1" w:rsidRPr="009E7B86" w:rsidRDefault="00A40CE1" w:rsidP="00A40CE1">
            <w:pPr>
              <w:jc w:val="center"/>
              <w:rPr>
                <w:rFonts w:ascii="Arial" w:hAnsi="Arial" w:cs="Arial"/>
                <w:sz w:val="18"/>
                <w:szCs w:val="18"/>
                <w:lang w:val="es-ES"/>
              </w:rPr>
            </w:pPr>
            <w:r w:rsidRPr="009E7B86">
              <w:rPr>
                <w:rFonts w:ascii="Arial" w:hAnsi="Arial" w:cs="Arial"/>
                <w:sz w:val="18"/>
                <w:szCs w:val="18"/>
                <w:lang w:val="es-ES"/>
              </w:rPr>
              <w:t>Mantenimiento Rutinario</w:t>
            </w:r>
          </w:p>
        </w:tc>
        <w:tc>
          <w:tcPr>
            <w:tcW w:w="3107" w:type="dxa"/>
          </w:tcPr>
          <w:p w14:paraId="42D6989E" w14:textId="77777777" w:rsidR="00A40CE1" w:rsidRPr="009E7B86" w:rsidRDefault="00A40CE1" w:rsidP="00A40CE1">
            <w:pPr>
              <w:jc w:val="center"/>
              <w:rPr>
                <w:rFonts w:ascii="Arial" w:hAnsi="Arial" w:cs="Arial"/>
                <w:sz w:val="18"/>
                <w:szCs w:val="18"/>
                <w:lang w:val="es-ES"/>
              </w:rPr>
            </w:pPr>
            <w:r w:rsidRPr="009E7B86">
              <w:rPr>
                <w:rFonts w:ascii="Arial" w:hAnsi="Arial" w:cs="Arial"/>
                <w:sz w:val="18"/>
                <w:szCs w:val="18"/>
                <w:lang w:val="es-ES"/>
              </w:rPr>
              <w:t>5.700 US$/Km</w:t>
            </w:r>
          </w:p>
        </w:tc>
      </w:tr>
      <w:tr w:rsidR="00A40CE1" w:rsidRPr="00A84DC3" w14:paraId="12AF0EC8" w14:textId="77777777" w:rsidTr="00A22465">
        <w:trPr>
          <w:trHeight w:val="340"/>
        </w:trPr>
        <w:tc>
          <w:tcPr>
            <w:tcW w:w="3129" w:type="dxa"/>
          </w:tcPr>
          <w:p w14:paraId="340BF97B" w14:textId="77777777" w:rsidR="00A40CE1" w:rsidRPr="009E7B86" w:rsidRDefault="00A40CE1" w:rsidP="00A40CE1">
            <w:pPr>
              <w:jc w:val="center"/>
              <w:rPr>
                <w:rFonts w:ascii="Arial" w:hAnsi="Arial" w:cs="Arial"/>
                <w:sz w:val="18"/>
                <w:szCs w:val="18"/>
                <w:lang w:val="es-ES"/>
              </w:rPr>
            </w:pPr>
            <w:r w:rsidRPr="009E7B86">
              <w:rPr>
                <w:rFonts w:ascii="Arial" w:hAnsi="Arial" w:cs="Arial"/>
                <w:sz w:val="18"/>
                <w:szCs w:val="18"/>
                <w:lang w:val="es-ES"/>
              </w:rPr>
              <w:t>Sellado de Fisuras</w:t>
            </w:r>
          </w:p>
        </w:tc>
        <w:tc>
          <w:tcPr>
            <w:tcW w:w="3107" w:type="dxa"/>
          </w:tcPr>
          <w:p w14:paraId="4A6EAB51" w14:textId="77777777" w:rsidR="00A40CE1" w:rsidRPr="009E7B86" w:rsidRDefault="00A40CE1" w:rsidP="00A40CE1">
            <w:pPr>
              <w:jc w:val="center"/>
              <w:rPr>
                <w:rFonts w:ascii="Arial" w:hAnsi="Arial" w:cs="Arial"/>
                <w:sz w:val="18"/>
                <w:szCs w:val="18"/>
                <w:lang w:val="es-ES"/>
              </w:rPr>
            </w:pPr>
            <w:r w:rsidRPr="009E7B86">
              <w:rPr>
                <w:rFonts w:ascii="Arial" w:hAnsi="Arial" w:cs="Arial"/>
                <w:sz w:val="18"/>
                <w:szCs w:val="18"/>
                <w:lang w:val="es-ES"/>
              </w:rPr>
              <w:t>2,18 US$/m2</w:t>
            </w:r>
          </w:p>
        </w:tc>
      </w:tr>
      <w:tr w:rsidR="00A40CE1" w:rsidRPr="00A84DC3" w14:paraId="2C11846F" w14:textId="77777777" w:rsidTr="00A22465">
        <w:trPr>
          <w:trHeight w:val="340"/>
        </w:trPr>
        <w:tc>
          <w:tcPr>
            <w:tcW w:w="3129" w:type="dxa"/>
          </w:tcPr>
          <w:p w14:paraId="60D6C5A7" w14:textId="77777777" w:rsidR="00A40CE1" w:rsidRPr="009E7B86" w:rsidRDefault="00A40CE1" w:rsidP="00A40CE1">
            <w:pPr>
              <w:jc w:val="center"/>
              <w:rPr>
                <w:rFonts w:ascii="Arial" w:hAnsi="Arial" w:cs="Arial"/>
                <w:sz w:val="18"/>
                <w:szCs w:val="18"/>
                <w:lang w:val="es-ES"/>
              </w:rPr>
            </w:pPr>
            <w:r w:rsidRPr="009E7B86">
              <w:rPr>
                <w:rFonts w:ascii="Arial" w:hAnsi="Arial" w:cs="Arial"/>
                <w:sz w:val="18"/>
                <w:szCs w:val="18"/>
                <w:lang w:val="es-ES"/>
              </w:rPr>
              <w:t>Refuerzo a los 10 años</w:t>
            </w:r>
          </w:p>
        </w:tc>
        <w:tc>
          <w:tcPr>
            <w:tcW w:w="3107" w:type="dxa"/>
          </w:tcPr>
          <w:p w14:paraId="2A697DF2" w14:textId="77777777" w:rsidR="00A40CE1" w:rsidRPr="009E7B86" w:rsidRDefault="00A40CE1" w:rsidP="00A40CE1">
            <w:pPr>
              <w:jc w:val="center"/>
              <w:rPr>
                <w:rFonts w:ascii="Arial" w:hAnsi="Arial" w:cs="Arial"/>
                <w:sz w:val="18"/>
                <w:szCs w:val="18"/>
                <w:lang w:val="es-ES"/>
              </w:rPr>
            </w:pPr>
            <w:r w:rsidRPr="009E7B86">
              <w:rPr>
                <w:rFonts w:ascii="Arial" w:hAnsi="Arial" w:cs="Arial"/>
                <w:sz w:val="18"/>
                <w:szCs w:val="18"/>
                <w:lang w:val="es-ES"/>
              </w:rPr>
              <w:t>18,56 US$/m2</w:t>
            </w:r>
          </w:p>
        </w:tc>
      </w:tr>
    </w:tbl>
    <w:p w14:paraId="37124FCC" w14:textId="77777777" w:rsidR="00C064C9" w:rsidRPr="00A84DC3" w:rsidRDefault="00C064C9" w:rsidP="00F9765F">
      <w:pPr>
        <w:pStyle w:val="subpar"/>
        <w:tabs>
          <w:tab w:val="clear" w:pos="2304"/>
          <w:tab w:val="num" w:pos="1170"/>
        </w:tabs>
        <w:spacing w:before="240"/>
        <w:ind w:left="1612" w:hanging="446"/>
        <w:rPr>
          <w:rFonts w:ascii="Arial" w:hAnsi="Arial" w:cs="Arial"/>
          <w:sz w:val="22"/>
          <w:szCs w:val="22"/>
          <w:lang w:val="es-ES"/>
        </w:rPr>
      </w:pPr>
      <w:bookmarkStart w:id="33" w:name="_Ref389817664"/>
      <w:r w:rsidRPr="00A84DC3">
        <w:rPr>
          <w:rFonts w:ascii="Arial" w:hAnsi="Arial" w:cs="Arial"/>
          <w:b/>
          <w:sz w:val="22"/>
          <w:szCs w:val="22"/>
          <w:lang w:val="es-ES"/>
        </w:rPr>
        <w:t xml:space="preserve">Tránsito. </w:t>
      </w:r>
      <w:r w:rsidRPr="00A84DC3">
        <w:rPr>
          <w:rFonts w:ascii="Arial" w:hAnsi="Arial" w:cs="Arial"/>
          <w:sz w:val="22"/>
          <w:szCs w:val="22"/>
          <w:lang w:val="es-ES"/>
        </w:rPr>
        <w:t xml:space="preserve">La asignación de tráfico a los tramos intervenidos se determina mediante un análisis de </w:t>
      </w:r>
      <w:r w:rsidR="00F27BAB" w:rsidRPr="00A84DC3">
        <w:rPr>
          <w:rFonts w:ascii="Arial" w:hAnsi="Arial" w:cs="Arial"/>
          <w:sz w:val="22"/>
          <w:szCs w:val="22"/>
          <w:lang w:val="es-ES"/>
        </w:rPr>
        <w:t>l</w:t>
      </w:r>
      <w:r w:rsidRPr="00A84DC3">
        <w:rPr>
          <w:rFonts w:ascii="Arial" w:hAnsi="Arial" w:cs="Arial"/>
          <w:sz w:val="22"/>
          <w:szCs w:val="22"/>
          <w:lang w:val="es-ES"/>
        </w:rPr>
        <w:t xml:space="preserve">as distancias y de los tiempos de viajes en la red vial </w:t>
      </w:r>
      <w:r w:rsidR="00F27BAB" w:rsidRPr="00A84DC3">
        <w:rPr>
          <w:rFonts w:ascii="Arial" w:hAnsi="Arial" w:cs="Arial"/>
          <w:sz w:val="22"/>
          <w:szCs w:val="22"/>
          <w:lang w:val="es-ES"/>
        </w:rPr>
        <w:t xml:space="preserve">considerada. </w:t>
      </w:r>
      <w:r w:rsidRPr="00A84DC3">
        <w:rPr>
          <w:rFonts w:ascii="Arial" w:hAnsi="Arial" w:cs="Arial"/>
          <w:sz w:val="22"/>
          <w:szCs w:val="22"/>
          <w:lang w:val="es-ES"/>
        </w:rPr>
        <w:t xml:space="preserve">El método de asignación </w:t>
      </w:r>
      <w:r w:rsidR="00F27BAB" w:rsidRPr="00A84DC3">
        <w:rPr>
          <w:rFonts w:ascii="Arial" w:hAnsi="Arial" w:cs="Arial"/>
          <w:sz w:val="22"/>
          <w:szCs w:val="22"/>
          <w:lang w:val="es-ES"/>
        </w:rPr>
        <w:t>es</w:t>
      </w:r>
      <w:r w:rsidRPr="00A84DC3">
        <w:rPr>
          <w:rFonts w:ascii="Arial" w:hAnsi="Arial" w:cs="Arial"/>
          <w:sz w:val="22"/>
          <w:szCs w:val="22"/>
          <w:lang w:val="es-ES"/>
        </w:rPr>
        <w:t xml:space="preserve"> la curva de derivación, que estima la proporción de personas, bienes o vehículos que probablemente se transfiera a una mejora o nuevo proyecto, sobre la base de parámetros técnicos, tales como distancia, costo o velocidad.</w:t>
      </w:r>
      <w:r w:rsidR="00F27BAB" w:rsidRPr="00A84DC3">
        <w:rPr>
          <w:rFonts w:ascii="Arial" w:hAnsi="Arial" w:cs="Arial"/>
          <w:sz w:val="22"/>
          <w:szCs w:val="22"/>
          <w:lang w:val="es-ES"/>
        </w:rPr>
        <w:t xml:space="preserve"> </w:t>
      </w:r>
      <w:r w:rsidRPr="00A84DC3">
        <w:rPr>
          <w:rFonts w:ascii="Arial" w:hAnsi="Arial" w:cs="Arial"/>
          <w:sz w:val="22"/>
          <w:szCs w:val="22"/>
          <w:lang w:val="es-ES"/>
        </w:rPr>
        <w:t>Considerando dicha metodología, el tránsito asignado consta de los siguientes componentes</w:t>
      </w:r>
      <w:r w:rsidR="00F27BAB" w:rsidRPr="00A84DC3">
        <w:rPr>
          <w:rFonts w:ascii="Arial" w:hAnsi="Arial" w:cs="Arial"/>
          <w:sz w:val="22"/>
          <w:szCs w:val="22"/>
          <w:lang w:val="es-ES"/>
        </w:rPr>
        <w:t>:</w:t>
      </w:r>
      <w:r w:rsidR="00F27BAB" w:rsidRPr="00A84DC3">
        <w:rPr>
          <w:rFonts w:ascii="Arial" w:hAnsi="Arial" w:cs="Arial"/>
          <w:b/>
          <w:sz w:val="22"/>
          <w:szCs w:val="22"/>
          <w:lang w:val="es-ES"/>
        </w:rPr>
        <w:t xml:space="preserve"> </w:t>
      </w:r>
    </w:p>
    <w:p w14:paraId="548C04CC" w14:textId="77777777" w:rsidR="00C064C9" w:rsidRPr="00A84DC3" w:rsidRDefault="00C064C9" w:rsidP="00F27BAB">
      <w:pPr>
        <w:pStyle w:val="subpar"/>
        <w:numPr>
          <w:ilvl w:val="3"/>
          <w:numId w:val="2"/>
        </w:numPr>
        <w:tabs>
          <w:tab w:val="clear" w:pos="2736"/>
          <w:tab w:val="num" w:pos="1170"/>
          <w:tab w:val="num" w:pos="2448"/>
        </w:tabs>
        <w:ind w:left="2070"/>
        <w:rPr>
          <w:rFonts w:ascii="Arial" w:hAnsi="Arial" w:cs="Arial"/>
          <w:sz w:val="22"/>
          <w:szCs w:val="22"/>
          <w:lang w:val="es-ES"/>
        </w:rPr>
      </w:pPr>
      <w:r w:rsidRPr="00A84DC3">
        <w:rPr>
          <w:rFonts w:ascii="Arial" w:hAnsi="Arial" w:cs="Arial"/>
          <w:b/>
          <w:sz w:val="22"/>
          <w:szCs w:val="22"/>
          <w:lang w:val="es-ES"/>
        </w:rPr>
        <w:t xml:space="preserve">Tránsito normal o existente: </w:t>
      </w:r>
      <w:r w:rsidRPr="00A84DC3">
        <w:rPr>
          <w:rFonts w:ascii="Arial" w:hAnsi="Arial" w:cs="Arial"/>
          <w:sz w:val="22"/>
          <w:szCs w:val="22"/>
          <w:lang w:val="es-ES"/>
        </w:rPr>
        <w:t>Comprende a los usuarios que circulan actualmente por el tramo y que circularán en el futuro en caso de que esta no fuese mejorada. Es el tránsito censado en la actualidad. Constituye el tránsito “Sin Proyecto”</w:t>
      </w:r>
    </w:p>
    <w:p w14:paraId="1AA0EF16" w14:textId="77777777" w:rsidR="00C064C9" w:rsidRPr="00A84DC3" w:rsidRDefault="00C064C9" w:rsidP="00F27BAB">
      <w:pPr>
        <w:pStyle w:val="subpar"/>
        <w:numPr>
          <w:ilvl w:val="3"/>
          <w:numId w:val="2"/>
        </w:numPr>
        <w:tabs>
          <w:tab w:val="clear" w:pos="2736"/>
          <w:tab w:val="num" w:pos="1170"/>
          <w:tab w:val="num" w:pos="2448"/>
        </w:tabs>
        <w:ind w:left="2070"/>
        <w:rPr>
          <w:rFonts w:ascii="Arial" w:hAnsi="Arial" w:cs="Arial"/>
          <w:b/>
          <w:sz w:val="22"/>
          <w:szCs w:val="22"/>
          <w:lang w:val="es-ES"/>
        </w:rPr>
      </w:pPr>
      <w:r w:rsidRPr="00A84DC3">
        <w:rPr>
          <w:rFonts w:ascii="Arial" w:hAnsi="Arial" w:cs="Arial"/>
          <w:b/>
          <w:sz w:val="22"/>
          <w:szCs w:val="22"/>
          <w:lang w:val="es-ES"/>
        </w:rPr>
        <w:t xml:space="preserve">Tránsito derivado o atraído: </w:t>
      </w:r>
      <w:r w:rsidRPr="00A84DC3">
        <w:rPr>
          <w:rFonts w:ascii="Arial" w:hAnsi="Arial" w:cs="Arial"/>
          <w:sz w:val="22"/>
          <w:szCs w:val="22"/>
          <w:lang w:val="es-ES"/>
        </w:rPr>
        <w:t>Es el usuario que utilizará el tramo una vez concretada la mejora proyectada; y que actualmente no lo utiliza por el nivel de servicio que ofrece. También aquellos que actualmente utilizan otras rutas u otros medios de transporte alternativos y que luego de la mejora pasarán a usarla cambiando de itinerario. Se obtiene de las matrices de origen y destino, analizando los viajes a cada zona. Para nuestro caso no habrá derivados por no existir otras rutas de donde derivar al proyecto mejorado.</w:t>
      </w:r>
    </w:p>
    <w:p w14:paraId="2B00E4D4" w14:textId="77777777" w:rsidR="00C064C9" w:rsidRPr="00A84DC3" w:rsidRDefault="00C064C9" w:rsidP="00F27BAB">
      <w:pPr>
        <w:pStyle w:val="subpar"/>
        <w:numPr>
          <w:ilvl w:val="3"/>
          <w:numId w:val="2"/>
        </w:numPr>
        <w:tabs>
          <w:tab w:val="clear" w:pos="2736"/>
          <w:tab w:val="num" w:pos="1170"/>
          <w:tab w:val="num" w:pos="2448"/>
        </w:tabs>
        <w:ind w:left="2070"/>
        <w:rPr>
          <w:rFonts w:ascii="Arial" w:hAnsi="Arial" w:cs="Arial"/>
          <w:sz w:val="22"/>
          <w:szCs w:val="22"/>
          <w:lang w:val="es-ES"/>
        </w:rPr>
      </w:pPr>
      <w:r w:rsidRPr="00A84DC3">
        <w:rPr>
          <w:rFonts w:ascii="Arial" w:hAnsi="Arial" w:cs="Arial"/>
          <w:b/>
          <w:sz w:val="22"/>
          <w:szCs w:val="22"/>
          <w:lang w:val="es-ES"/>
        </w:rPr>
        <w:t xml:space="preserve">Tránsito inducido o generado: </w:t>
      </w:r>
      <w:r w:rsidRPr="00A84DC3">
        <w:rPr>
          <w:rFonts w:ascii="Arial" w:hAnsi="Arial" w:cs="Arial"/>
          <w:sz w:val="22"/>
          <w:szCs w:val="22"/>
          <w:lang w:val="es-ES"/>
        </w:rPr>
        <w:t xml:space="preserve">Comprende a aquellos usuarios que no realizan viajes actualmente, ni lo realizarán en el futuro si la ruta no fuese mejorada. El tránsito inducido o generado comprende el incremento de los viajes de los usuarios existentes debido a la disminución de los costos operativos de transporte y por la eliminación de clausuras de ruta. Constituye el tránsito “Con </w:t>
      </w:r>
      <w:r w:rsidRPr="00A84DC3">
        <w:rPr>
          <w:rFonts w:ascii="Arial" w:hAnsi="Arial" w:cs="Arial"/>
          <w:sz w:val="22"/>
          <w:szCs w:val="22"/>
          <w:lang w:val="es-ES"/>
        </w:rPr>
        <w:lastRenderedPageBreak/>
        <w:t>Proyecto” y se agrega a partir del primer año de habilitación de la mejora.</w:t>
      </w:r>
      <w:r w:rsidR="0024377F" w:rsidRPr="00A84DC3">
        <w:rPr>
          <w:rFonts w:ascii="Arial" w:hAnsi="Arial" w:cs="Arial"/>
          <w:sz w:val="22"/>
          <w:szCs w:val="22"/>
          <w:lang w:val="es-ES"/>
        </w:rPr>
        <w:t xml:space="preserve"> Las intervenciones consideran en principio el tránsito de vehículos ligeros, ómnibus y camiones simples.</w:t>
      </w:r>
    </w:p>
    <w:p w14:paraId="5C575794" w14:textId="77777777" w:rsidR="00C064C9" w:rsidRPr="00A84DC3" w:rsidRDefault="00C064C9" w:rsidP="00365048">
      <w:pPr>
        <w:pStyle w:val="subpar"/>
        <w:numPr>
          <w:ilvl w:val="0"/>
          <w:numId w:val="0"/>
        </w:numPr>
        <w:ind w:left="2070"/>
        <w:rPr>
          <w:rFonts w:ascii="Arial" w:hAnsi="Arial" w:cs="Arial"/>
          <w:sz w:val="22"/>
          <w:szCs w:val="22"/>
          <w:lang w:val="es-ES"/>
        </w:rPr>
      </w:pPr>
      <w:r w:rsidRPr="00A84DC3">
        <w:rPr>
          <w:rFonts w:ascii="Arial" w:hAnsi="Arial" w:cs="Arial"/>
          <w:sz w:val="22"/>
          <w:szCs w:val="22"/>
          <w:lang w:val="es-ES"/>
        </w:rPr>
        <w:t xml:space="preserve">El tránsito inducido por efecto de la disminución de costos de transporte se calcula empleando el concepto de elasticidad-precio, en este caso, la elasticidad de la demanda de viajes en relación al costo de los mismos. Se obtenido </w:t>
      </w:r>
      <w:r w:rsidR="00F27BAB" w:rsidRPr="00A84DC3">
        <w:rPr>
          <w:rFonts w:ascii="Arial" w:hAnsi="Arial" w:cs="Arial"/>
          <w:sz w:val="22"/>
          <w:szCs w:val="22"/>
          <w:lang w:val="es-ES"/>
        </w:rPr>
        <w:t>de</w:t>
      </w:r>
      <w:r w:rsidRPr="00A84DC3">
        <w:rPr>
          <w:rFonts w:ascii="Arial" w:hAnsi="Arial" w:cs="Arial"/>
          <w:sz w:val="22"/>
          <w:szCs w:val="22"/>
          <w:lang w:val="es-ES"/>
        </w:rPr>
        <w:t xml:space="preserve"> la siguiente expresión, para cada alternativa.</w:t>
      </w:r>
    </w:p>
    <w:p w14:paraId="1DC7BC4F" w14:textId="77777777" w:rsidR="00C064C9" w:rsidRPr="00A84DC3" w:rsidRDefault="00C064C9" w:rsidP="00F9765F">
      <w:pPr>
        <w:spacing w:after="120"/>
        <w:jc w:val="center"/>
        <w:rPr>
          <w:rFonts w:ascii="Arial" w:hAnsi="Arial" w:cs="Arial"/>
          <w:lang w:val="es-ES"/>
        </w:rPr>
      </w:pPr>
      <w:r w:rsidRPr="00A84DC3">
        <w:rPr>
          <w:rFonts w:ascii="Arial" w:hAnsi="Arial" w:cs="Arial"/>
          <w:lang w:val="es-ES"/>
        </w:rPr>
        <w:object w:dxaOrig="4120" w:dyaOrig="460" w14:anchorId="1ABAA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6.15pt;height:21.75pt" o:ole="">
            <v:imagedata r:id="rId15" o:title=""/>
          </v:shape>
          <o:OLEObject Type="Embed" ProgID="Equation.3" ShapeID="_x0000_i1033" DrawAspect="Content" ObjectID="_1569187870" r:id="rId16"/>
        </w:object>
      </w:r>
    </w:p>
    <w:p w14:paraId="128FD9A0" w14:textId="77777777" w:rsidR="00C064C9" w:rsidRPr="00A84DC3" w:rsidRDefault="00C064C9" w:rsidP="00365048">
      <w:pPr>
        <w:pStyle w:val="subpar"/>
        <w:numPr>
          <w:ilvl w:val="0"/>
          <w:numId w:val="0"/>
        </w:numPr>
        <w:ind w:left="2070"/>
        <w:rPr>
          <w:rFonts w:ascii="Arial" w:hAnsi="Arial" w:cs="Arial"/>
          <w:b/>
          <w:sz w:val="22"/>
          <w:szCs w:val="22"/>
          <w:lang w:val="es-ES"/>
        </w:rPr>
      </w:pPr>
      <w:r w:rsidRPr="00A84DC3">
        <w:rPr>
          <w:rFonts w:ascii="Arial" w:hAnsi="Arial" w:cs="Arial"/>
          <w:sz w:val="22"/>
          <w:szCs w:val="22"/>
          <w:lang w:val="es-ES"/>
        </w:rPr>
        <w:t>Dónde:</w:t>
      </w:r>
    </w:p>
    <w:p w14:paraId="339C8812" w14:textId="77777777" w:rsidR="00F27BAB" w:rsidRPr="00A84DC3" w:rsidRDefault="00F27BAB" w:rsidP="00365048">
      <w:pPr>
        <w:pStyle w:val="subpar"/>
        <w:numPr>
          <w:ilvl w:val="0"/>
          <w:numId w:val="0"/>
        </w:numPr>
        <w:tabs>
          <w:tab w:val="num" w:pos="1620"/>
          <w:tab w:val="left" w:pos="2070"/>
          <w:tab w:val="left" w:pos="3240"/>
        </w:tabs>
        <w:ind w:left="450"/>
        <w:rPr>
          <w:rFonts w:ascii="Arial" w:hAnsi="Arial" w:cs="Arial"/>
          <w:sz w:val="22"/>
          <w:szCs w:val="22"/>
          <w:lang w:val="es-ES"/>
        </w:rPr>
      </w:pPr>
      <w:r w:rsidRPr="00A84DC3">
        <w:rPr>
          <w:rFonts w:ascii="Arial" w:hAnsi="Arial" w:cs="Arial"/>
          <w:b/>
          <w:sz w:val="22"/>
          <w:szCs w:val="22"/>
          <w:lang w:val="es-ES"/>
        </w:rPr>
        <w:tab/>
      </w:r>
      <w:r w:rsidR="00365048" w:rsidRPr="00A84DC3">
        <w:rPr>
          <w:rFonts w:ascii="Arial" w:hAnsi="Arial" w:cs="Arial"/>
          <w:b/>
          <w:sz w:val="22"/>
          <w:szCs w:val="22"/>
          <w:lang w:val="es-ES"/>
        </w:rPr>
        <w:tab/>
      </w:r>
      <w:r w:rsidR="00C064C9" w:rsidRPr="00A84DC3">
        <w:rPr>
          <w:rFonts w:ascii="Arial" w:hAnsi="Arial" w:cs="Arial"/>
          <w:b/>
          <w:sz w:val="22"/>
          <w:szCs w:val="22"/>
          <w:lang w:val="es-ES"/>
        </w:rPr>
        <w:t>TMDAex</w:t>
      </w:r>
      <w:r w:rsidR="00365048" w:rsidRPr="00A84DC3">
        <w:rPr>
          <w:rFonts w:ascii="Arial" w:hAnsi="Arial" w:cs="Arial"/>
          <w:b/>
          <w:sz w:val="22"/>
          <w:szCs w:val="22"/>
          <w:lang w:val="es-ES"/>
        </w:rPr>
        <w:t>:</w:t>
      </w:r>
      <w:r w:rsidR="00365048" w:rsidRPr="00A84DC3">
        <w:rPr>
          <w:rFonts w:ascii="Arial" w:hAnsi="Arial" w:cs="Arial"/>
          <w:b/>
          <w:sz w:val="22"/>
          <w:szCs w:val="22"/>
          <w:lang w:val="es-ES"/>
        </w:rPr>
        <w:tab/>
      </w:r>
      <w:r w:rsidR="00C064C9" w:rsidRPr="00A84DC3">
        <w:rPr>
          <w:rFonts w:ascii="Arial" w:hAnsi="Arial" w:cs="Arial"/>
          <w:sz w:val="22"/>
          <w:szCs w:val="22"/>
          <w:lang w:val="es-ES"/>
        </w:rPr>
        <w:t>TMDA existente en el tramo</w:t>
      </w:r>
    </w:p>
    <w:p w14:paraId="171CF62E" w14:textId="77777777" w:rsidR="00F27BAB" w:rsidRPr="00A84DC3" w:rsidRDefault="00C064C9" w:rsidP="00365048">
      <w:pPr>
        <w:pStyle w:val="subpar"/>
        <w:numPr>
          <w:ilvl w:val="0"/>
          <w:numId w:val="0"/>
        </w:numPr>
        <w:tabs>
          <w:tab w:val="num" w:pos="1620"/>
          <w:tab w:val="left" w:pos="3240"/>
        </w:tabs>
        <w:ind w:left="2070"/>
        <w:rPr>
          <w:rFonts w:ascii="Arial" w:hAnsi="Arial" w:cs="Arial"/>
          <w:sz w:val="22"/>
          <w:szCs w:val="22"/>
          <w:lang w:val="es-ES"/>
        </w:rPr>
      </w:pPr>
      <w:r w:rsidRPr="00A84DC3">
        <w:rPr>
          <w:rFonts w:ascii="Arial" w:hAnsi="Arial" w:cs="Arial"/>
          <w:b/>
          <w:sz w:val="22"/>
          <w:szCs w:val="22"/>
          <w:lang w:val="es-ES"/>
        </w:rPr>
        <w:t>C o:</w:t>
      </w:r>
      <w:r w:rsidR="00365048" w:rsidRPr="00A84DC3">
        <w:rPr>
          <w:rFonts w:ascii="Arial" w:hAnsi="Arial" w:cs="Arial"/>
          <w:b/>
          <w:sz w:val="22"/>
          <w:szCs w:val="22"/>
          <w:lang w:val="es-ES"/>
        </w:rPr>
        <w:t xml:space="preserve"> </w:t>
      </w:r>
      <w:r w:rsidRPr="00A84DC3">
        <w:rPr>
          <w:rFonts w:ascii="Arial" w:hAnsi="Arial" w:cs="Arial"/>
          <w:sz w:val="22"/>
          <w:szCs w:val="22"/>
          <w:lang w:val="es-ES"/>
        </w:rPr>
        <w:t>Costos de transporte en la situación antes de la mejora del camino.</w:t>
      </w:r>
      <w:r w:rsidR="00F27BAB" w:rsidRPr="00A84DC3">
        <w:rPr>
          <w:rFonts w:ascii="Arial" w:hAnsi="Arial" w:cs="Arial"/>
          <w:sz w:val="22"/>
          <w:szCs w:val="22"/>
          <w:lang w:val="es-ES"/>
        </w:rPr>
        <w:t xml:space="preserve"> </w:t>
      </w:r>
    </w:p>
    <w:p w14:paraId="4D1CFBCE" w14:textId="77777777" w:rsidR="00F27BAB" w:rsidRPr="00A84DC3" w:rsidRDefault="00C064C9" w:rsidP="00365048">
      <w:pPr>
        <w:pStyle w:val="subpar"/>
        <w:numPr>
          <w:ilvl w:val="0"/>
          <w:numId w:val="0"/>
        </w:numPr>
        <w:tabs>
          <w:tab w:val="num" w:pos="1620"/>
        </w:tabs>
        <w:ind w:left="2070"/>
        <w:rPr>
          <w:rFonts w:ascii="Arial" w:hAnsi="Arial" w:cs="Arial"/>
          <w:sz w:val="22"/>
          <w:szCs w:val="22"/>
          <w:lang w:val="es-ES"/>
        </w:rPr>
      </w:pPr>
      <w:r w:rsidRPr="00A84DC3">
        <w:rPr>
          <w:rFonts w:ascii="Arial" w:hAnsi="Arial" w:cs="Arial"/>
          <w:b/>
          <w:sz w:val="22"/>
          <w:szCs w:val="22"/>
          <w:lang w:val="es-ES"/>
        </w:rPr>
        <w:t xml:space="preserve">C m: </w:t>
      </w:r>
      <w:r w:rsidRPr="00A84DC3">
        <w:rPr>
          <w:rFonts w:ascii="Arial" w:hAnsi="Arial" w:cs="Arial"/>
          <w:sz w:val="22"/>
          <w:szCs w:val="22"/>
          <w:lang w:val="es-ES"/>
        </w:rPr>
        <w:t>Costos de transporte luego de las mejoras del camino.</w:t>
      </w:r>
      <w:r w:rsidR="00F27BAB" w:rsidRPr="00A84DC3">
        <w:rPr>
          <w:rFonts w:ascii="Arial" w:hAnsi="Arial" w:cs="Arial"/>
          <w:sz w:val="22"/>
          <w:szCs w:val="22"/>
          <w:lang w:val="es-ES"/>
        </w:rPr>
        <w:t xml:space="preserve"> </w:t>
      </w:r>
    </w:p>
    <w:p w14:paraId="6BF4F768" w14:textId="77777777" w:rsidR="00F27BAB" w:rsidRPr="00A84DC3" w:rsidRDefault="00C064C9" w:rsidP="00365048">
      <w:pPr>
        <w:pStyle w:val="subpar"/>
        <w:numPr>
          <w:ilvl w:val="0"/>
          <w:numId w:val="0"/>
        </w:numPr>
        <w:tabs>
          <w:tab w:val="num" w:pos="1620"/>
        </w:tabs>
        <w:ind w:left="2340" w:hanging="270"/>
        <w:rPr>
          <w:rFonts w:ascii="Arial" w:hAnsi="Arial" w:cs="Arial"/>
          <w:sz w:val="22"/>
          <w:szCs w:val="22"/>
          <w:lang w:val="es-ES"/>
        </w:rPr>
      </w:pPr>
      <w:r w:rsidRPr="00A84DC3">
        <w:rPr>
          <w:rFonts w:ascii="Arial" w:hAnsi="Arial" w:cs="Arial"/>
          <w:b/>
          <w:sz w:val="22"/>
          <w:szCs w:val="22"/>
          <w:lang w:val="es-ES"/>
        </w:rPr>
        <w:t>E:</w:t>
      </w:r>
      <w:r w:rsidR="00365048" w:rsidRPr="00A84DC3">
        <w:rPr>
          <w:rFonts w:ascii="Arial" w:hAnsi="Arial" w:cs="Arial"/>
          <w:b/>
          <w:sz w:val="22"/>
          <w:szCs w:val="22"/>
          <w:lang w:val="es-ES"/>
        </w:rPr>
        <w:t xml:space="preserve"> </w:t>
      </w:r>
      <w:r w:rsidRPr="00A84DC3">
        <w:rPr>
          <w:rFonts w:ascii="Arial" w:hAnsi="Arial" w:cs="Arial"/>
          <w:sz w:val="22"/>
          <w:szCs w:val="22"/>
          <w:lang w:val="es-ES"/>
        </w:rPr>
        <w:t xml:space="preserve">Elasticidad precio de la demanda de viajes. </w:t>
      </w:r>
      <w:r w:rsidRPr="00A84DC3">
        <w:rPr>
          <w:rFonts w:ascii="Arial" w:hAnsi="Arial" w:cs="Arial"/>
          <w:sz w:val="22"/>
          <w:szCs w:val="22"/>
          <w:lang w:val="pt-BR"/>
        </w:rPr>
        <w:t xml:space="preserve">Para </w:t>
      </w:r>
      <w:r w:rsidR="00F30EC0" w:rsidRPr="00A84DC3">
        <w:rPr>
          <w:rFonts w:ascii="Arial" w:hAnsi="Arial" w:cs="Arial"/>
          <w:sz w:val="22"/>
          <w:szCs w:val="22"/>
          <w:lang w:val="pt-BR"/>
        </w:rPr>
        <w:t>vehículos livianos</w:t>
      </w:r>
      <w:r w:rsidRPr="00A84DC3">
        <w:rPr>
          <w:rFonts w:ascii="Arial" w:hAnsi="Arial" w:cs="Arial"/>
          <w:sz w:val="22"/>
          <w:szCs w:val="22"/>
          <w:lang w:val="pt-BR"/>
        </w:rPr>
        <w:t xml:space="preserve"> E liv. </w:t>
      </w:r>
      <w:r w:rsidRPr="00A84DC3">
        <w:rPr>
          <w:rFonts w:ascii="Arial" w:hAnsi="Arial" w:cs="Arial"/>
          <w:sz w:val="22"/>
          <w:szCs w:val="22"/>
          <w:lang w:val="es-ES"/>
        </w:rPr>
        <w:t>= 1.5; E ómn = 0,8; E cam. = 1,00</w:t>
      </w:r>
      <w:r w:rsidR="00F27BAB" w:rsidRPr="00A84DC3">
        <w:rPr>
          <w:rFonts w:ascii="Arial" w:hAnsi="Arial" w:cs="Arial"/>
          <w:sz w:val="22"/>
          <w:szCs w:val="22"/>
          <w:lang w:val="es-ES"/>
        </w:rPr>
        <w:t xml:space="preserve">. </w:t>
      </w:r>
    </w:p>
    <w:p w14:paraId="2FC44E5D" w14:textId="77777777" w:rsidR="00C064C9" w:rsidRPr="00A84DC3" w:rsidRDefault="00C064C9" w:rsidP="00365048">
      <w:pPr>
        <w:pStyle w:val="subpar"/>
        <w:numPr>
          <w:ilvl w:val="0"/>
          <w:numId w:val="0"/>
        </w:numPr>
        <w:ind w:left="2070"/>
        <w:rPr>
          <w:rFonts w:ascii="Arial" w:hAnsi="Arial" w:cs="Arial"/>
          <w:sz w:val="22"/>
          <w:szCs w:val="22"/>
          <w:lang w:val="es-ES"/>
        </w:rPr>
      </w:pPr>
      <w:r w:rsidRPr="00A84DC3">
        <w:rPr>
          <w:rFonts w:ascii="Arial" w:hAnsi="Arial" w:cs="Arial"/>
          <w:sz w:val="22"/>
          <w:szCs w:val="22"/>
          <w:lang w:val="es-ES"/>
        </w:rPr>
        <w:t xml:space="preserve">Los costos incluidos en </w:t>
      </w:r>
      <w:r w:rsidR="00F27BAB" w:rsidRPr="00A84DC3">
        <w:rPr>
          <w:rFonts w:ascii="Arial" w:hAnsi="Arial" w:cs="Arial"/>
          <w:sz w:val="22"/>
          <w:szCs w:val="22"/>
          <w:lang w:val="es-ES"/>
        </w:rPr>
        <w:t xml:space="preserve">la fórmula anterior son costos </w:t>
      </w:r>
      <w:r w:rsidRPr="00A84DC3">
        <w:rPr>
          <w:rFonts w:ascii="Arial" w:hAnsi="Arial" w:cs="Arial"/>
          <w:sz w:val="22"/>
          <w:szCs w:val="22"/>
          <w:lang w:val="es-ES"/>
        </w:rPr>
        <w:t>con tiempo de pasajeros, prorrateados con los porcentajes de participación de cada tipo de vehículos y que son los que influyen en las decisiones de los usuarios.</w:t>
      </w:r>
    </w:p>
    <w:p w14:paraId="18FF09BF" w14:textId="77777777" w:rsidR="0066029A" w:rsidRPr="00A84DC3" w:rsidRDefault="0066029A" w:rsidP="0066029A">
      <w:pPr>
        <w:pStyle w:val="FirstHeading"/>
        <w:ind w:left="720"/>
        <w:rPr>
          <w:rFonts w:ascii="Arial" w:hAnsi="Arial" w:cs="Arial"/>
          <w:noProof/>
          <w:color w:val="000000" w:themeColor="text1"/>
          <w:sz w:val="22"/>
          <w:szCs w:val="22"/>
          <w:lang w:val="es-ES"/>
        </w:rPr>
      </w:pPr>
      <w:bookmarkStart w:id="34" w:name="_Toc492041901"/>
      <w:r w:rsidRPr="00A84DC3">
        <w:rPr>
          <w:rFonts w:ascii="Arial" w:hAnsi="Arial" w:cs="Arial"/>
          <w:noProof/>
          <w:color w:val="000000" w:themeColor="text1"/>
          <w:sz w:val="22"/>
          <w:szCs w:val="22"/>
          <w:lang w:val="es-ES"/>
        </w:rPr>
        <w:t>B.</w:t>
      </w:r>
      <w:r w:rsidRPr="00A84DC3">
        <w:rPr>
          <w:rFonts w:ascii="Arial" w:hAnsi="Arial" w:cs="Arial"/>
          <w:noProof/>
          <w:color w:val="000000" w:themeColor="text1"/>
          <w:sz w:val="22"/>
          <w:szCs w:val="22"/>
          <w:lang w:val="es-ES"/>
        </w:rPr>
        <w:tab/>
        <w:t>Apoyo al financiamiento productivo para MiPyMEs</w:t>
      </w:r>
      <w:bookmarkEnd w:id="34"/>
    </w:p>
    <w:p w14:paraId="0B25B490" w14:textId="00771D45" w:rsidR="00C47B4E" w:rsidRPr="0093674E" w:rsidRDefault="00C47B4E" w:rsidP="00C47B4E">
      <w:pPr>
        <w:pStyle w:val="Paragraph"/>
        <w:tabs>
          <w:tab w:val="num" w:pos="720"/>
        </w:tabs>
        <w:ind w:left="720" w:hanging="720"/>
        <w:rPr>
          <w:rFonts w:ascii="Arial" w:hAnsi="Arial" w:cs="Arial"/>
          <w:sz w:val="22"/>
          <w:szCs w:val="22"/>
          <w:lang w:val="es-ES"/>
        </w:rPr>
      </w:pPr>
      <w:r w:rsidRPr="0093674E">
        <w:rPr>
          <w:rFonts w:ascii="Arial" w:hAnsi="Arial" w:cs="Arial"/>
          <w:b/>
          <w:sz w:val="22"/>
          <w:szCs w:val="22"/>
          <w:lang w:val="es-ES"/>
        </w:rPr>
        <w:t>El costo</w:t>
      </w:r>
      <w:r w:rsidRPr="0093674E">
        <w:rPr>
          <w:rFonts w:ascii="Arial" w:hAnsi="Arial" w:cs="Arial"/>
          <w:sz w:val="22"/>
          <w:szCs w:val="22"/>
          <w:lang w:val="es-ES"/>
        </w:rPr>
        <w:t xml:space="preserve"> se calcula como el valor neto de los flujos de costos de las actividades que realicen los agentes participantes de la operación (acreditados e intermediarios) con recursos provenientes del programa</w:t>
      </w:r>
      <w:r>
        <w:rPr>
          <w:rFonts w:ascii="Arial" w:hAnsi="Arial" w:cs="Arial"/>
          <w:sz w:val="22"/>
          <w:szCs w:val="22"/>
          <w:lang w:val="es-ES"/>
        </w:rPr>
        <w:t xml:space="preserve"> y los apalancados como consecuencia</w:t>
      </w:r>
      <w:r w:rsidRPr="0093674E">
        <w:rPr>
          <w:rFonts w:ascii="Arial" w:hAnsi="Arial" w:cs="Arial"/>
          <w:sz w:val="22"/>
          <w:szCs w:val="22"/>
          <w:lang w:val="es-ES"/>
        </w:rPr>
        <w:t>, ya sea como prestamistas y/o como deudores. El cálculo se ha realizado estimando, para cada agente, desembolsos y amortización de los préstamos</w:t>
      </w:r>
      <w:r>
        <w:rPr>
          <w:rFonts w:ascii="Arial" w:hAnsi="Arial" w:cs="Arial"/>
          <w:sz w:val="22"/>
          <w:szCs w:val="22"/>
          <w:lang w:val="es-ES"/>
        </w:rPr>
        <w:t>, dejando el repago de intereses fuera del ejercicio por tratarse de transferencias dentro de la misma sociedad</w:t>
      </w:r>
      <w:r w:rsidRPr="0093674E">
        <w:rPr>
          <w:rFonts w:ascii="Arial" w:hAnsi="Arial" w:cs="Arial"/>
          <w:sz w:val="22"/>
          <w:szCs w:val="22"/>
          <w:lang w:val="es-ES"/>
        </w:rPr>
        <w:t>.</w:t>
      </w:r>
    </w:p>
    <w:p w14:paraId="71B25E84" w14:textId="77777777" w:rsidR="0066029A" w:rsidRPr="00A84DC3" w:rsidRDefault="0066029A" w:rsidP="009E7B86">
      <w:pPr>
        <w:pStyle w:val="Paragraph"/>
        <w:tabs>
          <w:tab w:val="num" w:pos="720"/>
        </w:tabs>
        <w:ind w:left="720" w:hanging="720"/>
        <w:rPr>
          <w:rFonts w:ascii="Arial" w:hAnsi="Arial" w:cs="Arial"/>
          <w:sz w:val="22"/>
          <w:szCs w:val="22"/>
          <w:lang w:val="es-ES"/>
        </w:rPr>
      </w:pPr>
      <w:r w:rsidRPr="00A84DC3">
        <w:rPr>
          <w:rFonts w:ascii="Arial" w:hAnsi="Arial" w:cs="Arial"/>
          <w:b/>
          <w:sz w:val="22"/>
          <w:szCs w:val="22"/>
          <w:lang w:val="es-ES"/>
        </w:rPr>
        <w:t>Beneficios de financiamiento productivo.</w:t>
      </w:r>
      <w:r w:rsidRPr="00A84DC3">
        <w:rPr>
          <w:rFonts w:ascii="Arial" w:hAnsi="Arial" w:cs="Arial"/>
          <w:sz w:val="22"/>
          <w:szCs w:val="22"/>
          <w:lang w:val="es-ES"/>
        </w:rPr>
        <w:t xml:space="preserve"> Utilizando como datos base los niveles de ventas y bajo los supuestos descritos en la sección anterior, se calcula el beneficio incremental de las firmas beneficiarias de crédito para inversión productiva, contabilizándolo por un periodo promedio de 10 años.</w:t>
      </w:r>
    </w:p>
    <w:p w14:paraId="62E0D893" w14:textId="77777777" w:rsidR="0066029A" w:rsidRPr="00A84DC3" w:rsidRDefault="00244828" w:rsidP="008D2A08">
      <w:pPr>
        <w:pStyle w:val="Paragraph"/>
        <w:numPr>
          <w:ilvl w:val="0"/>
          <w:numId w:val="0"/>
        </w:numPr>
        <w:ind w:left="720"/>
        <w:rPr>
          <w:rFonts w:ascii="Arial" w:hAnsi="Arial" w:cs="Arial"/>
          <w:sz w:val="22"/>
          <w:szCs w:val="22"/>
          <w:lang w:val="es-ES"/>
        </w:rPr>
      </w:pPr>
      <m:oMathPara>
        <m:oMathParaPr>
          <m:jc m:val="left"/>
        </m:oMathParaPr>
        <m:oMath>
          <m:sSub>
            <m:sSubPr>
              <m:ctrlPr>
                <w:rPr>
                  <w:rFonts w:ascii="Cambria Math" w:hAnsi="Cambria Math" w:cs="Arial"/>
                  <w:sz w:val="22"/>
                  <w:szCs w:val="22"/>
                  <w:lang w:val="es-ES"/>
                </w:rPr>
              </m:ctrlPr>
            </m:sSubPr>
            <m:e>
              <m:r>
                <w:rPr>
                  <w:rFonts w:ascii="Cambria Math" w:hAnsi="Cambria Math" w:cs="Arial"/>
                  <w:sz w:val="22"/>
                  <w:szCs w:val="22"/>
                  <w:lang w:val="es-ES"/>
                </w:rPr>
                <m:t>Beneficio</m:t>
              </m:r>
            </m:e>
            <m:sub>
              <m:r>
                <w:rPr>
                  <w:rFonts w:ascii="Cambria Math" w:hAnsi="Cambria Math" w:cs="Arial"/>
                  <w:sz w:val="22"/>
                  <w:szCs w:val="22"/>
                  <w:lang w:val="es-ES"/>
                </w:rPr>
                <m:t>n</m:t>
              </m:r>
            </m:sub>
          </m:sSub>
          <m:r>
            <m:rPr>
              <m:sty m:val="p"/>
            </m:rPr>
            <w:rPr>
              <w:rFonts w:ascii="Cambria Math" w:hAnsi="Cambria Math" w:cs="Arial"/>
              <w:sz w:val="22"/>
              <w:szCs w:val="22"/>
              <w:lang w:val="es-ES"/>
            </w:rPr>
            <m:t xml:space="preserve">= </m:t>
          </m:r>
          <m:nary>
            <m:naryPr>
              <m:chr m:val="∑"/>
              <m:limLoc m:val="undOvr"/>
              <m:subHide m:val="1"/>
              <m:supHide m:val="1"/>
              <m:ctrlPr>
                <w:rPr>
                  <w:rFonts w:ascii="Cambria Math" w:hAnsi="Cambria Math" w:cs="Arial"/>
                  <w:sz w:val="22"/>
                  <w:szCs w:val="22"/>
                  <w:lang w:val="es-ES"/>
                </w:rPr>
              </m:ctrlPr>
            </m:naryPr>
            <m:sub/>
            <m:sup/>
            <m:e>
              <m:sSub>
                <m:sSubPr>
                  <m:ctrlPr>
                    <w:rPr>
                      <w:rFonts w:ascii="Cambria Math" w:hAnsi="Cambria Math" w:cs="Arial"/>
                      <w:sz w:val="22"/>
                      <w:szCs w:val="22"/>
                      <w:lang w:val="es-ES"/>
                    </w:rPr>
                  </m:ctrlPr>
                </m:sSubPr>
                <m:e>
                  <m:sSub>
                    <m:sSubPr>
                      <m:ctrlPr>
                        <w:rPr>
                          <w:rFonts w:ascii="Cambria Math" w:hAnsi="Cambria Math" w:cs="Arial"/>
                          <w:sz w:val="22"/>
                          <w:szCs w:val="22"/>
                          <w:lang w:val="es-ES"/>
                        </w:rPr>
                      </m:ctrlPr>
                    </m:sSubPr>
                    <m:e>
                      <m:r>
                        <w:rPr>
                          <w:rFonts w:ascii="Cambria Math" w:hAnsi="Cambria Math" w:cs="Arial"/>
                          <w:sz w:val="22"/>
                          <w:szCs w:val="22"/>
                          <w:lang w:val="es-ES"/>
                        </w:rPr>
                        <m:t>Beneficio</m:t>
                      </m:r>
                    </m:e>
                    <m:sub>
                      <m:r>
                        <w:rPr>
                          <w:rFonts w:ascii="Cambria Math" w:hAnsi="Cambria Math" w:cs="Arial"/>
                          <w:sz w:val="22"/>
                          <w:szCs w:val="22"/>
                          <w:lang w:val="es-ES"/>
                        </w:rPr>
                        <m:t>n</m:t>
                      </m:r>
                    </m:sub>
                  </m:sSub>
                  <m:r>
                    <m:rPr>
                      <m:sty m:val="p"/>
                    </m:rPr>
                    <w:rPr>
                      <w:rFonts w:ascii="Cambria Math" w:hAnsi="Cambria Math" w:cs="Arial"/>
                      <w:sz w:val="22"/>
                      <w:szCs w:val="22"/>
                      <w:lang w:val="es-ES"/>
                    </w:rPr>
                    <m:t xml:space="preserve"> </m:t>
                  </m:r>
                  <m:r>
                    <w:rPr>
                      <w:rFonts w:ascii="Cambria Math" w:hAnsi="Cambria Math" w:cs="Arial"/>
                      <w:sz w:val="22"/>
                      <w:szCs w:val="22"/>
                      <w:lang w:val="es-ES"/>
                    </w:rPr>
                    <m:t>Tipo</m:t>
                  </m:r>
                </m:e>
                <m:sub>
                  <m:r>
                    <m:rPr>
                      <m:sty m:val="p"/>
                    </m:rPr>
                    <w:rPr>
                      <w:rFonts w:ascii="Cambria Math" w:hAnsi="Cambria Math" w:cs="Arial"/>
                      <w:sz w:val="22"/>
                      <w:szCs w:val="22"/>
                      <w:lang w:val="es-ES"/>
                    </w:rPr>
                    <m:t>1…</m:t>
                  </m:r>
                  <m:r>
                    <w:rPr>
                      <w:rFonts w:ascii="Cambria Math" w:hAnsi="Cambria Math" w:cs="Arial"/>
                      <w:sz w:val="22"/>
                      <w:szCs w:val="22"/>
                      <w:lang w:val="es-ES"/>
                    </w:rPr>
                    <m:t>t</m:t>
                  </m:r>
                </m:sub>
              </m:sSub>
            </m:e>
          </m:nary>
        </m:oMath>
      </m:oMathPara>
    </w:p>
    <w:p w14:paraId="66E16B86" w14:textId="77777777" w:rsidR="0066029A" w:rsidRPr="00A84DC3" w:rsidRDefault="00244828" w:rsidP="008D2A08">
      <w:pPr>
        <w:pStyle w:val="Paragraph"/>
        <w:numPr>
          <w:ilvl w:val="0"/>
          <w:numId w:val="0"/>
        </w:numPr>
        <w:ind w:left="720"/>
        <w:rPr>
          <w:rFonts w:ascii="Arial" w:hAnsi="Arial" w:cs="Arial"/>
          <w:sz w:val="22"/>
          <w:szCs w:val="22"/>
          <w:lang w:val="es-ES"/>
        </w:rPr>
      </w:pPr>
      <m:oMathPara>
        <m:oMathParaPr>
          <m:jc m:val="left"/>
        </m:oMathParaPr>
        <m:oMath>
          <m:sSub>
            <m:sSubPr>
              <m:ctrlPr>
                <w:rPr>
                  <w:rFonts w:ascii="Cambria Math" w:hAnsi="Cambria Math" w:cs="Arial"/>
                  <w:sz w:val="22"/>
                  <w:szCs w:val="22"/>
                  <w:lang w:val="es-ES"/>
                </w:rPr>
              </m:ctrlPr>
            </m:sSubPr>
            <m:e>
              <m:sSub>
                <m:sSubPr>
                  <m:ctrlPr>
                    <w:rPr>
                      <w:rFonts w:ascii="Cambria Math" w:hAnsi="Cambria Math" w:cs="Arial"/>
                      <w:sz w:val="22"/>
                      <w:szCs w:val="22"/>
                      <w:lang w:val="es-ES"/>
                    </w:rPr>
                  </m:ctrlPr>
                </m:sSubPr>
                <m:e>
                  <m:r>
                    <w:rPr>
                      <w:rFonts w:ascii="Cambria Math" w:hAnsi="Cambria Math" w:cs="Arial"/>
                      <w:sz w:val="22"/>
                      <w:szCs w:val="22"/>
                      <w:lang w:val="es-ES"/>
                    </w:rPr>
                    <m:t>Beneficio</m:t>
                  </m:r>
                </m:e>
                <m:sub>
                  <m:r>
                    <w:rPr>
                      <w:rFonts w:ascii="Cambria Math" w:hAnsi="Cambria Math" w:cs="Arial"/>
                      <w:sz w:val="22"/>
                      <w:szCs w:val="22"/>
                      <w:lang w:val="es-ES"/>
                    </w:rPr>
                    <m:t>n</m:t>
                  </m:r>
                </m:sub>
              </m:sSub>
              <m:r>
                <m:rPr>
                  <m:sty m:val="p"/>
                </m:rPr>
                <w:rPr>
                  <w:rFonts w:ascii="Cambria Math" w:hAnsi="Cambria Math" w:cs="Arial"/>
                  <w:sz w:val="22"/>
                  <w:szCs w:val="22"/>
                  <w:lang w:val="es-ES"/>
                </w:rPr>
                <m:t xml:space="preserve"> </m:t>
              </m:r>
              <m:r>
                <w:rPr>
                  <w:rFonts w:ascii="Cambria Math" w:hAnsi="Cambria Math" w:cs="Arial"/>
                  <w:sz w:val="22"/>
                  <w:szCs w:val="22"/>
                  <w:lang w:val="es-ES"/>
                </w:rPr>
                <m:t>Tipo</m:t>
              </m:r>
            </m:e>
            <m:sub>
              <m:r>
                <m:rPr>
                  <m:sty m:val="p"/>
                </m:rPr>
                <w:rPr>
                  <w:rFonts w:ascii="Cambria Math" w:hAnsi="Cambria Math" w:cs="Arial"/>
                  <w:sz w:val="22"/>
                  <w:szCs w:val="22"/>
                  <w:lang w:val="es-ES"/>
                </w:rPr>
                <m:t>1…</m:t>
              </m:r>
              <m:r>
                <w:rPr>
                  <w:rFonts w:ascii="Cambria Math" w:hAnsi="Cambria Math" w:cs="Arial"/>
                  <w:sz w:val="22"/>
                  <w:szCs w:val="22"/>
                  <w:lang w:val="es-ES"/>
                </w:rPr>
                <m:t>t</m:t>
              </m:r>
            </m:sub>
          </m:sSub>
          <m:r>
            <m:rPr>
              <m:sty m:val="p"/>
            </m:rPr>
            <w:rPr>
              <w:rFonts w:ascii="Cambria Math" w:hAnsi="Cambria Math" w:cs="Arial"/>
              <w:sz w:val="22"/>
              <w:szCs w:val="22"/>
              <w:lang w:val="es-ES"/>
            </w:rPr>
            <m:t>=</m:t>
          </m:r>
          <m:r>
            <w:rPr>
              <w:rFonts w:ascii="Cambria Math" w:hAnsi="Cambria Math" w:cs="Arial"/>
              <w:sz w:val="22"/>
              <w:szCs w:val="22"/>
              <w:lang w:val="es-ES"/>
            </w:rPr>
            <m:t>T</m:t>
          </m:r>
          <m:r>
            <m:rPr>
              <m:sty m:val="p"/>
            </m:rPr>
            <w:rPr>
              <w:rFonts w:ascii="Cambria Math" w:hAnsi="Cambria Math" w:cs="Arial"/>
              <w:sz w:val="22"/>
              <w:szCs w:val="22"/>
              <w:lang w:val="es-ES"/>
            </w:rPr>
            <m:t>% ×</m:t>
          </m:r>
          <m:sSub>
            <m:sSubPr>
              <m:ctrlPr>
                <w:rPr>
                  <w:rFonts w:ascii="Cambria Math" w:hAnsi="Cambria Math" w:cs="Arial"/>
                  <w:sz w:val="22"/>
                  <w:szCs w:val="22"/>
                  <w:lang w:val="es-ES"/>
                </w:rPr>
              </m:ctrlPr>
            </m:sSubPr>
            <m:e>
              <m:r>
                <w:rPr>
                  <w:rFonts w:ascii="Cambria Math" w:hAnsi="Cambria Math" w:cs="Arial"/>
                  <w:sz w:val="22"/>
                  <w:szCs w:val="22"/>
                  <w:lang w:val="es-ES"/>
                </w:rPr>
                <m:t>Ventas</m:t>
              </m:r>
              <m:r>
                <m:rPr>
                  <m:sty m:val="p"/>
                </m:rPr>
                <w:rPr>
                  <w:rFonts w:ascii="Cambria Math" w:hAnsi="Cambria Math" w:cs="Arial"/>
                  <w:sz w:val="22"/>
                  <w:szCs w:val="22"/>
                  <w:lang w:val="es-ES"/>
                </w:rPr>
                <m:t xml:space="preserve"> </m:t>
              </m:r>
              <m:r>
                <w:rPr>
                  <w:rFonts w:ascii="Cambria Math" w:hAnsi="Cambria Math" w:cs="Arial"/>
                  <w:sz w:val="22"/>
                  <w:szCs w:val="22"/>
                  <w:lang w:val="es-ES"/>
                </w:rPr>
                <m:t>incrementales</m:t>
              </m:r>
            </m:e>
            <m:sub>
              <m:r>
                <w:rPr>
                  <w:rFonts w:ascii="Cambria Math" w:hAnsi="Cambria Math" w:cs="Arial"/>
                  <w:sz w:val="22"/>
                  <w:szCs w:val="22"/>
                  <w:lang w:val="es-ES"/>
                </w:rPr>
                <m:t>n</m:t>
              </m:r>
            </m:sub>
          </m:sSub>
        </m:oMath>
      </m:oMathPara>
    </w:p>
    <w:p w14:paraId="70E6D1A3" w14:textId="77777777" w:rsidR="0066029A" w:rsidRPr="00A84DC3" w:rsidRDefault="00244828" w:rsidP="008D2A08">
      <w:pPr>
        <w:pStyle w:val="Paragraph"/>
        <w:numPr>
          <w:ilvl w:val="0"/>
          <w:numId w:val="0"/>
        </w:numPr>
        <w:ind w:left="720"/>
        <w:rPr>
          <w:rFonts w:ascii="Arial" w:hAnsi="Arial" w:cs="Arial"/>
          <w:sz w:val="22"/>
          <w:szCs w:val="22"/>
          <w:lang w:val="es-ES"/>
        </w:rPr>
      </w:pPr>
      <m:oMathPara>
        <m:oMathParaPr>
          <m:jc m:val="left"/>
        </m:oMathParaPr>
        <m:oMath>
          <m:sSub>
            <m:sSubPr>
              <m:ctrlPr>
                <w:rPr>
                  <w:rFonts w:ascii="Cambria Math" w:hAnsi="Cambria Math" w:cs="Arial"/>
                  <w:sz w:val="22"/>
                  <w:szCs w:val="22"/>
                  <w:lang w:val="es-ES"/>
                </w:rPr>
              </m:ctrlPr>
            </m:sSubPr>
            <m:e>
              <m:r>
                <w:rPr>
                  <w:rFonts w:ascii="Cambria Math" w:hAnsi="Cambria Math" w:cs="Arial"/>
                  <w:sz w:val="22"/>
                  <w:szCs w:val="22"/>
                  <w:lang w:val="es-ES"/>
                </w:rPr>
                <m:t>Ventas</m:t>
              </m:r>
              <m:r>
                <m:rPr>
                  <m:sty m:val="p"/>
                </m:rPr>
                <w:rPr>
                  <w:rFonts w:ascii="Cambria Math" w:hAnsi="Cambria Math" w:cs="Arial"/>
                  <w:sz w:val="22"/>
                  <w:szCs w:val="22"/>
                  <w:lang w:val="es-ES"/>
                </w:rPr>
                <m:t xml:space="preserve"> </m:t>
              </m:r>
              <m:r>
                <w:rPr>
                  <w:rFonts w:ascii="Cambria Math" w:hAnsi="Cambria Math" w:cs="Arial"/>
                  <w:sz w:val="22"/>
                  <w:szCs w:val="22"/>
                  <w:lang w:val="es-ES"/>
                </w:rPr>
                <m:t>incrementales</m:t>
              </m:r>
            </m:e>
            <m:sub>
              <m:r>
                <w:rPr>
                  <w:rFonts w:ascii="Cambria Math" w:hAnsi="Cambria Math" w:cs="Arial"/>
                  <w:sz w:val="22"/>
                  <w:szCs w:val="22"/>
                  <w:lang w:val="es-ES"/>
                </w:rPr>
                <m:t>n</m:t>
              </m:r>
            </m:sub>
          </m:sSub>
          <m:r>
            <m:rPr>
              <m:sty m:val="p"/>
            </m:rPr>
            <w:rPr>
              <w:rFonts w:ascii="Cambria Math" w:hAnsi="Cambria Math" w:cs="Arial"/>
              <w:sz w:val="22"/>
              <w:szCs w:val="22"/>
              <w:lang w:val="es-ES"/>
            </w:rPr>
            <m:t>=</m:t>
          </m:r>
          <m:sSub>
            <m:sSubPr>
              <m:ctrlPr>
                <w:rPr>
                  <w:rFonts w:ascii="Cambria Math" w:hAnsi="Cambria Math" w:cs="Arial"/>
                  <w:sz w:val="22"/>
                  <w:szCs w:val="22"/>
                  <w:lang w:val="es-ES"/>
                </w:rPr>
              </m:ctrlPr>
            </m:sSubPr>
            <m:e>
              <m:r>
                <w:rPr>
                  <w:rFonts w:ascii="Cambria Math" w:hAnsi="Cambria Math" w:cs="Arial"/>
                  <w:sz w:val="22"/>
                  <w:szCs w:val="22"/>
                  <w:lang w:val="es-ES"/>
                </w:rPr>
                <m:t>V</m:t>
              </m:r>
            </m:e>
            <m:sub>
              <m:r>
                <w:rPr>
                  <w:rFonts w:ascii="Cambria Math" w:hAnsi="Cambria Math" w:cs="Arial"/>
                  <w:sz w:val="22"/>
                  <w:szCs w:val="22"/>
                  <w:lang w:val="es-ES"/>
                </w:rPr>
                <m:t>Bn</m:t>
              </m:r>
            </m:sub>
          </m:sSub>
          <m:r>
            <m:rPr>
              <m:sty m:val="p"/>
            </m:rPr>
            <w:rPr>
              <w:rFonts w:ascii="Cambria Math" w:hAnsi="Cambria Math" w:cs="Arial"/>
              <w:sz w:val="22"/>
              <w:szCs w:val="22"/>
              <w:lang w:val="es-ES"/>
            </w:rPr>
            <m:t>-</m:t>
          </m:r>
          <m:sSub>
            <m:sSubPr>
              <m:ctrlPr>
                <w:rPr>
                  <w:rFonts w:ascii="Cambria Math" w:hAnsi="Cambria Math" w:cs="Arial"/>
                  <w:sz w:val="22"/>
                  <w:szCs w:val="22"/>
                  <w:lang w:val="es-ES"/>
                </w:rPr>
              </m:ctrlPr>
            </m:sSubPr>
            <m:e>
              <m:r>
                <w:rPr>
                  <w:rFonts w:ascii="Cambria Math" w:hAnsi="Cambria Math" w:cs="Arial"/>
                  <w:sz w:val="22"/>
                  <w:szCs w:val="22"/>
                  <w:lang w:val="es-ES"/>
                </w:rPr>
                <m:t>V</m:t>
              </m:r>
            </m:e>
            <m:sub>
              <m:r>
                <w:rPr>
                  <w:rFonts w:ascii="Cambria Math" w:hAnsi="Cambria Math" w:cs="Arial"/>
                  <w:sz w:val="22"/>
                  <w:szCs w:val="22"/>
                  <w:lang w:val="es-ES"/>
                </w:rPr>
                <m:t>Cn</m:t>
              </m:r>
            </m:sub>
          </m:sSub>
          <m:r>
            <m:rPr>
              <m:sty m:val="p"/>
            </m:rPr>
            <w:rPr>
              <w:rFonts w:ascii="Cambria Math" w:hAnsi="Cambria Math" w:cs="Arial"/>
              <w:sz w:val="22"/>
              <w:szCs w:val="22"/>
              <w:lang w:val="es-ES"/>
            </w:rPr>
            <m:t xml:space="preserve"> </m:t>
          </m:r>
        </m:oMath>
      </m:oMathPara>
    </w:p>
    <w:p w14:paraId="620551E0" w14:textId="77777777" w:rsidR="0066029A" w:rsidRPr="00A84DC3" w:rsidRDefault="00244828" w:rsidP="008D2A08">
      <w:pPr>
        <w:pStyle w:val="Paragraph"/>
        <w:numPr>
          <w:ilvl w:val="0"/>
          <w:numId w:val="0"/>
        </w:numPr>
        <w:ind w:left="720"/>
        <w:rPr>
          <w:rFonts w:ascii="Arial" w:hAnsi="Arial" w:cs="Arial"/>
          <w:sz w:val="22"/>
          <w:szCs w:val="22"/>
          <w:lang w:val="es-ES"/>
        </w:rPr>
      </w:pPr>
      <m:oMath>
        <m:sSub>
          <m:sSubPr>
            <m:ctrlPr>
              <w:rPr>
                <w:rFonts w:ascii="Cambria Math" w:hAnsi="Cambria Math" w:cs="Arial"/>
                <w:sz w:val="22"/>
                <w:szCs w:val="22"/>
                <w:lang w:val="es-ES"/>
              </w:rPr>
            </m:ctrlPr>
          </m:sSubPr>
          <m:e>
            <m:r>
              <w:rPr>
                <w:rFonts w:ascii="Cambria Math" w:hAnsi="Cambria Math" w:cs="Arial"/>
                <w:sz w:val="22"/>
                <w:szCs w:val="22"/>
                <w:lang w:val="es-ES"/>
              </w:rPr>
              <m:t>V</m:t>
            </m:r>
          </m:e>
          <m:sub>
            <m:r>
              <w:rPr>
                <w:rFonts w:ascii="Cambria Math" w:hAnsi="Cambria Math" w:cs="Arial"/>
                <w:sz w:val="22"/>
                <w:szCs w:val="22"/>
                <w:lang w:val="es-ES"/>
              </w:rPr>
              <m:t>Bn</m:t>
            </m:r>
          </m:sub>
        </m:sSub>
        <m:r>
          <m:rPr>
            <m:sty m:val="p"/>
          </m:rPr>
          <w:rPr>
            <w:rFonts w:ascii="Cambria Math" w:hAnsi="Cambria Math" w:cs="Arial"/>
            <w:sz w:val="22"/>
            <w:szCs w:val="22"/>
            <w:lang w:val="es-ES"/>
          </w:rPr>
          <m:t>=(1+∆</m:t>
        </m:r>
        <m:sSub>
          <m:sSubPr>
            <m:ctrlPr>
              <w:rPr>
                <w:rFonts w:ascii="Cambria Math" w:hAnsi="Cambria Math" w:cs="Arial"/>
                <w:sz w:val="22"/>
                <w:szCs w:val="22"/>
                <w:lang w:val="es-ES"/>
              </w:rPr>
            </m:ctrlPr>
          </m:sSubPr>
          <m:e>
            <m:r>
              <w:rPr>
                <w:rFonts w:ascii="Cambria Math" w:hAnsi="Cambria Math" w:cs="Arial"/>
                <w:sz w:val="22"/>
                <w:szCs w:val="22"/>
                <w:lang w:val="es-ES"/>
              </w:rPr>
              <m:t>V</m:t>
            </m:r>
          </m:e>
          <m:sub>
            <m:r>
              <w:rPr>
                <w:rFonts w:ascii="Cambria Math" w:hAnsi="Cambria Math" w:cs="Arial"/>
                <w:sz w:val="22"/>
                <w:szCs w:val="22"/>
                <w:lang w:val="es-ES"/>
              </w:rPr>
              <m:t>B</m:t>
            </m:r>
          </m:sub>
        </m:sSub>
        <m:r>
          <m:rPr>
            <m:sty m:val="p"/>
          </m:rPr>
          <w:rPr>
            <w:rFonts w:ascii="Cambria Math" w:hAnsi="Cambria Math" w:cs="Arial"/>
            <w:sz w:val="22"/>
            <w:szCs w:val="22"/>
            <w:lang w:val="es-ES"/>
          </w:rPr>
          <m:t>%) ×</m:t>
        </m:r>
        <m:sSub>
          <m:sSubPr>
            <m:ctrlPr>
              <w:rPr>
                <w:rFonts w:ascii="Cambria Math" w:hAnsi="Cambria Math" w:cs="Arial"/>
                <w:sz w:val="22"/>
                <w:szCs w:val="22"/>
                <w:lang w:val="es-ES"/>
              </w:rPr>
            </m:ctrlPr>
          </m:sSubPr>
          <m:e>
            <m:r>
              <w:rPr>
                <w:rFonts w:ascii="Cambria Math" w:hAnsi="Cambria Math" w:cs="Arial"/>
                <w:sz w:val="22"/>
                <w:szCs w:val="22"/>
                <w:lang w:val="es-ES"/>
              </w:rPr>
              <m:t>V</m:t>
            </m:r>
          </m:e>
          <m:sub>
            <m:r>
              <w:rPr>
                <w:rFonts w:ascii="Cambria Math" w:hAnsi="Cambria Math" w:cs="Arial"/>
                <w:sz w:val="22"/>
                <w:szCs w:val="22"/>
                <w:lang w:val="es-ES"/>
              </w:rPr>
              <m:t>B</m:t>
            </m:r>
            <m:r>
              <m:rPr>
                <m:sty m:val="p"/>
              </m:rPr>
              <w:rPr>
                <w:rFonts w:ascii="Cambria Math" w:hAnsi="Cambria Math" w:cs="Arial"/>
                <w:sz w:val="22"/>
                <w:szCs w:val="22"/>
                <w:lang w:val="es-ES"/>
              </w:rPr>
              <m:t>(</m:t>
            </m:r>
            <m:r>
              <w:rPr>
                <w:rFonts w:ascii="Cambria Math" w:hAnsi="Cambria Math" w:cs="Arial"/>
                <w:sz w:val="22"/>
                <w:szCs w:val="22"/>
                <w:lang w:val="es-ES"/>
              </w:rPr>
              <m:t>n</m:t>
            </m:r>
            <m:r>
              <m:rPr>
                <m:sty m:val="p"/>
              </m:rPr>
              <w:rPr>
                <w:rFonts w:ascii="Cambria Math" w:hAnsi="Cambria Math" w:cs="Arial"/>
                <w:sz w:val="22"/>
                <w:szCs w:val="22"/>
                <w:lang w:val="es-ES"/>
              </w:rPr>
              <m:t>-1)</m:t>
            </m:r>
          </m:sub>
        </m:sSub>
      </m:oMath>
      <w:r w:rsidR="0066029A" w:rsidRPr="00A84DC3">
        <w:rPr>
          <w:rFonts w:ascii="Arial" w:hAnsi="Arial" w:cs="Arial"/>
          <w:sz w:val="22"/>
          <w:szCs w:val="22"/>
          <w:lang w:val="es-ES"/>
        </w:rPr>
        <w:t>;</w:t>
      </w:r>
    </w:p>
    <w:p w14:paraId="0122DB5D" w14:textId="77777777" w:rsidR="0066029A" w:rsidRPr="00A84DC3" w:rsidRDefault="00244828" w:rsidP="008D2A08">
      <w:pPr>
        <w:pStyle w:val="Paragraph"/>
        <w:numPr>
          <w:ilvl w:val="0"/>
          <w:numId w:val="0"/>
        </w:numPr>
        <w:ind w:left="720"/>
        <w:rPr>
          <w:rFonts w:ascii="Arial" w:hAnsi="Arial" w:cs="Arial"/>
          <w:sz w:val="22"/>
          <w:szCs w:val="22"/>
          <w:lang w:val="es-ES"/>
        </w:rPr>
      </w:pPr>
      <m:oMathPara>
        <m:oMathParaPr>
          <m:jc m:val="left"/>
        </m:oMathParaPr>
        <m:oMath>
          <m:sSub>
            <m:sSubPr>
              <m:ctrlPr>
                <w:rPr>
                  <w:rFonts w:ascii="Cambria Math" w:hAnsi="Cambria Math" w:cs="Arial"/>
                  <w:sz w:val="22"/>
                  <w:szCs w:val="22"/>
                  <w:lang w:val="es-ES"/>
                </w:rPr>
              </m:ctrlPr>
            </m:sSubPr>
            <m:e>
              <m:r>
                <w:rPr>
                  <w:rFonts w:ascii="Cambria Math" w:hAnsi="Cambria Math" w:cs="Arial"/>
                  <w:sz w:val="22"/>
                  <w:szCs w:val="22"/>
                  <w:lang w:val="es-ES"/>
                </w:rPr>
                <m:t>V</m:t>
              </m:r>
            </m:e>
            <m:sub>
              <m:r>
                <w:rPr>
                  <w:rFonts w:ascii="Cambria Math" w:hAnsi="Cambria Math" w:cs="Arial"/>
                  <w:sz w:val="22"/>
                  <w:szCs w:val="22"/>
                  <w:lang w:val="es-ES"/>
                </w:rPr>
                <m:t>B</m:t>
              </m:r>
            </m:sub>
          </m:sSub>
          <m:r>
            <m:rPr>
              <m:sty m:val="p"/>
            </m:rPr>
            <w:rPr>
              <w:rFonts w:ascii="Cambria Math" w:hAnsi="Cambria Math" w:cs="Arial"/>
              <w:sz w:val="22"/>
              <w:szCs w:val="22"/>
              <w:lang w:val="es-ES"/>
            </w:rPr>
            <m:t>=</m:t>
          </m:r>
          <m:r>
            <w:rPr>
              <w:rFonts w:ascii="Cambria Math" w:hAnsi="Cambria Math" w:cs="Arial"/>
              <w:sz w:val="22"/>
              <w:szCs w:val="22"/>
              <w:lang w:val="es-ES"/>
            </w:rPr>
            <m:t>vtas</m:t>
          </m:r>
          <m:r>
            <m:rPr>
              <m:sty m:val="p"/>
            </m:rPr>
            <w:rPr>
              <w:rFonts w:ascii="Cambria Math" w:hAnsi="Cambria Math" w:cs="Arial"/>
              <w:sz w:val="22"/>
              <w:szCs w:val="22"/>
              <w:lang w:val="es-ES"/>
            </w:rPr>
            <m:t xml:space="preserve"> </m:t>
          </m:r>
          <m:r>
            <w:rPr>
              <w:rFonts w:ascii="Cambria Math" w:hAnsi="Cambria Math" w:cs="Arial"/>
              <w:sz w:val="22"/>
              <w:szCs w:val="22"/>
              <w:lang w:val="es-ES"/>
            </w:rPr>
            <m:t>promedio</m:t>
          </m:r>
          <m:r>
            <m:rPr>
              <m:sty m:val="p"/>
            </m:rPr>
            <w:rPr>
              <w:rFonts w:ascii="Cambria Math" w:hAnsi="Cambria Math" w:cs="Arial"/>
              <w:sz w:val="22"/>
              <w:szCs w:val="22"/>
              <w:lang w:val="es-ES"/>
            </w:rPr>
            <m:t xml:space="preserve"> </m:t>
          </m:r>
          <m:r>
            <w:rPr>
              <w:rFonts w:ascii="Cambria Math" w:hAnsi="Cambria Math" w:cs="Arial"/>
              <w:sz w:val="22"/>
              <w:szCs w:val="22"/>
              <w:lang w:val="es-ES"/>
            </w:rPr>
            <m:t>Pymes</m:t>
          </m:r>
          <m:r>
            <m:rPr>
              <m:sty m:val="p"/>
            </m:rPr>
            <w:rPr>
              <w:rFonts w:ascii="Cambria Math" w:hAnsi="Cambria Math" w:cs="Arial"/>
              <w:sz w:val="22"/>
              <w:szCs w:val="22"/>
              <w:lang w:val="es-ES"/>
            </w:rPr>
            <m:t xml:space="preserve"> </m:t>
          </m:r>
          <m:r>
            <w:rPr>
              <w:rFonts w:ascii="Cambria Math" w:hAnsi="Cambria Math" w:cs="Arial"/>
              <w:sz w:val="22"/>
              <w:szCs w:val="22"/>
              <w:lang w:val="es-ES"/>
            </w:rPr>
            <m:t>beneficiarias</m:t>
          </m:r>
        </m:oMath>
      </m:oMathPara>
    </w:p>
    <w:p w14:paraId="31464239" w14:textId="77777777" w:rsidR="0066029A" w:rsidRPr="00A84DC3" w:rsidRDefault="0066029A" w:rsidP="008D2A08">
      <w:pPr>
        <w:pStyle w:val="Paragraph"/>
        <w:numPr>
          <w:ilvl w:val="0"/>
          <w:numId w:val="0"/>
        </w:numPr>
        <w:ind w:left="720"/>
        <w:rPr>
          <w:rFonts w:ascii="Arial" w:hAnsi="Arial" w:cs="Arial"/>
          <w:sz w:val="22"/>
          <w:szCs w:val="22"/>
          <w:lang w:val="es-ES"/>
        </w:rPr>
      </w:pPr>
      <m:oMathPara>
        <m:oMathParaPr>
          <m:jc m:val="left"/>
        </m:oMathParaPr>
        <m:oMath>
          <m:r>
            <w:rPr>
              <w:rFonts w:ascii="Cambria Math" w:hAnsi="Cambria Math" w:cs="Arial"/>
              <w:sz w:val="22"/>
              <w:szCs w:val="22"/>
              <w:lang w:val="es-ES"/>
            </w:rPr>
            <m:t>Donde</m:t>
          </m:r>
          <m:r>
            <m:rPr>
              <m:sty m:val="p"/>
            </m:rPr>
            <w:rPr>
              <w:rFonts w:ascii="Cambria Math" w:hAnsi="Cambria Math" w:cs="Arial"/>
              <w:sz w:val="22"/>
              <w:szCs w:val="22"/>
              <w:lang w:val="es-ES"/>
            </w:rPr>
            <m:t xml:space="preserve">: </m:t>
          </m:r>
          <m:r>
            <w:rPr>
              <w:rFonts w:ascii="Cambria Math" w:hAnsi="Cambria Math" w:cs="Arial"/>
              <w:sz w:val="22"/>
              <w:szCs w:val="22"/>
              <w:lang w:val="es-ES"/>
            </w:rPr>
            <m:t>T</m:t>
          </m:r>
          <m:r>
            <m:rPr>
              <m:sty m:val="p"/>
            </m:rPr>
            <w:rPr>
              <w:rFonts w:ascii="Cambria Math" w:hAnsi="Cambria Math" w:cs="Arial"/>
              <w:sz w:val="22"/>
              <w:szCs w:val="22"/>
              <w:lang w:val="es-ES"/>
            </w:rPr>
            <m:t>% =</m:t>
          </m:r>
          <m:r>
            <w:rPr>
              <w:rFonts w:ascii="Cambria Math" w:hAnsi="Cambria Math" w:cs="Arial"/>
              <w:sz w:val="22"/>
              <w:szCs w:val="22"/>
              <w:lang w:val="es-ES"/>
            </w:rPr>
            <m:t>tasa</m:t>
          </m:r>
          <m:r>
            <m:rPr>
              <m:sty m:val="p"/>
            </m:rPr>
            <w:rPr>
              <w:rFonts w:ascii="Cambria Math" w:hAnsi="Cambria Math" w:cs="Arial"/>
              <w:sz w:val="22"/>
              <w:szCs w:val="22"/>
              <w:lang w:val="es-ES"/>
            </w:rPr>
            <m:t xml:space="preserve"> </m:t>
          </m:r>
          <m:r>
            <w:rPr>
              <w:rFonts w:ascii="Cambria Math" w:hAnsi="Cambria Math" w:cs="Arial"/>
              <w:sz w:val="22"/>
              <w:szCs w:val="22"/>
              <w:lang w:val="es-ES"/>
            </w:rPr>
            <m:t>de</m:t>
          </m:r>
          <m:r>
            <m:rPr>
              <m:sty m:val="p"/>
            </m:rPr>
            <w:rPr>
              <w:rFonts w:ascii="Cambria Math" w:hAnsi="Cambria Math" w:cs="Arial"/>
              <w:sz w:val="22"/>
              <w:szCs w:val="22"/>
              <w:lang w:val="es-ES"/>
            </w:rPr>
            <m:t xml:space="preserve"> </m:t>
          </m:r>
          <m:r>
            <w:rPr>
              <w:rFonts w:ascii="Cambria Math" w:hAnsi="Cambria Math" w:cs="Arial"/>
              <w:sz w:val="22"/>
              <w:szCs w:val="22"/>
              <w:lang w:val="es-ES"/>
            </w:rPr>
            <m:t>utilidad</m:t>
          </m:r>
          <m:r>
            <m:rPr>
              <m:sty m:val="p"/>
            </m:rPr>
            <w:rPr>
              <w:rFonts w:ascii="Cambria Math" w:hAnsi="Cambria Math" w:cs="Arial"/>
              <w:sz w:val="22"/>
              <w:szCs w:val="22"/>
              <w:lang w:val="es-ES"/>
            </w:rPr>
            <m:t xml:space="preserve"> </m:t>
          </m:r>
          <m:r>
            <w:rPr>
              <w:rFonts w:ascii="Cambria Math" w:hAnsi="Cambria Math" w:cs="Arial"/>
              <w:sz w:val="22"/>
              <w:szCs w:val="22"/>
              <w:lang w:val="es-ES"/>
            </w:rPr>
            <m:t>sobre</m:t>
          </m:r>
          <m:r>
            <m:rPr>
              <m:sty m:val="p"/>
            </m:rPr>
            <w:rPr>
              <w:rFonts w:ascii="Cambria Math" w:hAnsi="Cambria Math" w:cs="Arial"/>
              <w:sz w:val="22"/>
              <w:szCs w:val="22"/>
              <w:lang w:val="es-ES"/>
            </w:rPr>
            <m:t xml:space="preserve"> </m:t>
          </m:r>
          <m:r>
            <w:rPr>
              <w:rFonts w:ascii="Cambria Math" w:hAnsi="Cambria Math" w:cs="Arial"/>
              <w:sz w:val="22"/>
              <w:szCs w:val="22"/>
              <w:lang w:val="es-ES"/>
            </w:rPr>
            <m:t>ventas</m:t>
          </m:r>
          <m:r>
            <m:rPr>
              <m:sty m:val="p"/>
            </m:rPr>
            <w:rPr>
              <w:rFonts w:ascii="Cambria Math" w:hAnsi="Cambria Math" w:cs="Arial"/>
              <w:sz w:val="22"/>
              <w:szCs w:val="22"/>
              <w:lang w:val="es-ES"/>
            </w:rPr>
            <m:t>;</m:t>
          </m:r>
        </m:oMath>
      </m:oMathPara>
    </w:p>
    <w:p w14:paraId="6F674A77" w14:textId="77777777" w:rsidR="0066029A" w:rsidRPr="00A84DC3" w:rsidRDefault="0066029A" w:rsidP="008D2A08">
      <w:pPr>
        <w:pStyle w:val="Paragraph"/>
        <w:numPr>
          <w:ilvl w:val="0"/>
          <w:numId w:val="0"/>
        </w:numPr>
        <w:ind w:left="720"/>
        <w:rPr>
          <w:rFonts w:ascii="Arial" w:hAnsi="Arial" w:cs="Arial"/>
          <w:sz w:val="22"/>
          <w:szCs w:val="22"/>
          <w:lang w:val="es-ES"/>
        </w:rPr>
      </w:pPr>
      <m:oMathPara>
        <m:oMathParaPr>
          <m:jc m:val="left"/>
        </m:oMathParaPr>
        <m:oMath>
          <m:r>
            <m:rPr>
              <m:sty m:val="p"/>
            </m:rPr>
            <w:rPr>
              <w:rFonts w:ascii="Cambria Math" w:hAnsi="Cambria Math" w:cs="Arial"/>
              <w:sz w:val="22"/>
              <w:szCs w:val="22"/>
              <w:lang w:val="es-ES"/>
            </w:rPr>
            <m:t xml:space="preserve"> </m:t>
          </m:r>
          <m:r>
            <w:rPr>
              <w:rFonts w:ascii="Cambria Math" w:hAnsi="Cambria Math" w:cs="Arial"/>
              <w:sz w:val="22"/>
              <w:szCs w:val="22"/>
              <w:lang w:val="es-ES"/>
            </w:rPr>
            <m:t>y</m:t>
          </m:r>
          <m:r>
            <m:rPr>
              <m:sty m:val="p"/>
            </m:rPr>
            <w:rPr>
              <w:rFonts w:ascii="Cambria Math" w:hAnsi="Cambria Math" w:cs="Arial"/>
              <w:sz w:val="22"/>
              <w:szCs w:val="22"/>
              <w:lang w:val="es-ES"/>
            </w:rPr>
            <m:t xml:space="preserve"> ∆</m:t>
          </m:r>
          <m:r>
            <w:rPr>
              <w:rFonts w:ascii="Cambria Math" w:hAnsi="Cambria Math" w:cs="Arial"/>
              <w:sz w:val="22"/>
              <w:szCs w:val="22"/>
              <w:lang w:val="es-ES"/>
            </w:rPr>
            <m:t>V</m:t>
          </m:r>
          <m:r>
            <m:rPr>
              <m:sty m:val="p"/>
            </m:rPr>
            <w:rPr>
              <w:rFonts w:ascii="Cambria Math" w:hAnsi="Cambria Math" w:cs="Arial"/>
              <w:sz w:val="22"/>
              <w:szCs w:val="22"/>
              <w:lang w:val="es-ES"/>
            </w:rPr>
            <m:t>%=</m:t>
          </m:r>
          <m:r>
            <w:rPr>
              <w:rFonts w:ascii="Cambria Math" w:hAnsi="Cambria Math" w:cs="Arial"/>
              <w:sz w:val="22"/>
              <w:szCs w:val="22"/>
              <w:lang w:val="es-ES"/>
            </w:rPr>
            <m:t>incremento</m:t>
          </m:r>
          <m:r>
            <m:rPr>
              <m:sty m:val="p"/>
            </m:rPr>
            <w:rPr>
              <w:rFonts w:ascii="Cambria Math" w:hAnsi="Cambria Math" w:cs="Arial"/>
              <w:sz w:val="22"/>
              <w:szCs w:val="22"/>
              <w:lang w:val="es-ES"/>
            </w:rPr>
            <m:t xml:space="preserve"> </m:t>
          </m:r>
          <m:r>
            <w:rPr>
              <w:rFonts w:ascii="Cambria Math" w:hAnsi="Cambria Math" w:cs="Arial"/>
              <w:sz w:val="22"/>
              <w:szCs w:val="22"/>
              <w:lang w:val="es-ES"/>
            </w:rPr>
            <m:t>porcentual</m:t>
          </m:r>
          <m:r>
            <m:rPr>
              <m:sty m:val="p"/>
            </m:rPr>
            <w:rPr>
              <w:rFonts w:ascii="Cambria Math" w:hAnsi="Cambria Math" w:cs="Arial"/>
              <w:sz w:val="22"/>
              <w:szCs w:val="22"/>
              <w:lang w:val="es-ES"/>
            </w:rPr>
            <m:t xml:space="preserve"> </m:t>
          </m:r>
          <m:r>
            <w:rPr>
              <w:rFonts w:ascii="Cambria Math" w:hAnsi="Cambria Math" w:cs="Arial"/>
              <w:sz w:val="22"/>
              <w:szCs w:val="22"/>
              <w:lang w:val="es-ES"/>
            </w:rPr>
            <m:t>en</m:t>
          </m:r>
          <m:r>
            <m:rPr>
              <m:sty m:val="p"/>
            </m:rPr>
            <w:rPr>
              <w:rFonts w:ascii="Cambria Math" w:hAnsi="Cambria Math" w:cs="Arial"/>
              <w:sz w:val="22"/>
              <w:szCs w:val="22"/>
              <w:lang w:val="es-ES"/>
            </w:rPr>
            <m:t xml:space="preserve"> </m:t>
          </m:r>
          <m:r>
            <w:rPr>
              <w:rFonts w:ascii="Cambria Math" w:hAnsi="Cambria Math" w:cs="Arial"/>
              <w:sz w:val="22"/>
              <w:szCs w:val="22"/>
              <w:lang w:val="es-ES"/>
            </w:rPr>
            <m:t>las</m:t>
          </m:r>
          <m:r>
            <m:rPr>
              <m:sty m:val="p"/>
            </m:rPr>
            <w:rPr>
              <w:rFonts w:ascii="Cambria Math" w:hAnsi="Cambria Math" w:cs="Arial"/>
              <w:sz w:val="22"/>
              <w:szCs w:val="22"/>
              <w:lang w:val="es-ES"/>
            </w:rPr>
            <m:t xml:space="preserve"> </m:t>
          </m:r>
          <m:r>
            <w:rPr>
              <w:rFonts w:ascii="Cambria Math" w:hAnsi="Cambria Math" w:cs="Arial"/>
              <w:sz w:val="22"/>
              <w:szCs w:val="22"/>
              <w:lang w:val="es-ES"/>
            </w:rPr>
            <m:t>ventas</m:t>
          </m:r>
        </m:oMath>
      </m:oMathPara>
    </w:p>
    <w:p w14:paraId="68A0A0B1" w14:textId="57C42522" w:rsidR="0066029A" w:rsidRPr="00A84DC3" w:rsidRDefault="0066029A" w:rsidP="008738E1">
      <w:pPr>
        <w:pStyle w:val="Paragraph"/>
        <w:tabs>
          <w:tab w:val="num" w:pos="720"/>
        </w:tabs>
        <w:ind w:left="720" w:hanging="720"/>
        <w:rPr>
          <w:rFonts w:ascii="Arial" w:hAnsi="Arial" w:cs="Arial"/>
          <w:sz w:val="22"/>
          <w:szCs w:val="22"/>
          <w:lang w:val="es-ES"/>
        </w:rPr>
      </w:pPr>
      <w:r w:rsidRPr="00A84DC3">
        <w:rPr>
          <w:rFonts w:ascii="Arial" w:hAnsi="Arial" w:cs="Arial"/>
          <w:sz w:val="22"/>
          <w:szCs w:val="22"/>
          <w:lang w:val="es-ES"/>
        </w:rPr>
        <w:t>El valor presente neto (VPN) de un proyecto de inversión hipotético parcialmente financiado por un préstamo que llega hasta un momento T. Las líneas 1-3 representan los flujos asociados a la solicitud y repago del préstamo</w:t>
      </w:r>
      <w:r w:rsidR="00AB15D5">
        <w:rPr>
          <w:rFonts w:ascii="Arial" w:hAnsi="Arial" w:cs="Arial"/>
          <w:sz w:val="22"/>
          <w:szCs w:val="22"/>
          <w:lang w:val="es-ES"/>
        </w:rPr>
        <w:t>, excluyendo los intereses por tratarse de una transferencia</w:t>
      </w:r>
      <w:r w:rsidRPr="00A84DC3">
        <w:rPr>
          <w:rFonts w:ascii="Arial" w:hAnsi="Arial" w:cs="Arial"/>
          <w:sz w:val="22"/>
          <w:szCs w:val="22"/>
          <w:lang w:val="es-ES"/>
        </w:rPr>
        <w:t xml:space="preserve">. Las líneas 6-7 indican los flujos de inversión, y la línea 8 el valor de recupero (de existir) de la inversión. Las líneas 10-11 representan respectivamente los flujos positivos que se espera tenga la empresa sin y con proyecto respectivamente; la línea 12 representa la diferencia entre la línea </w:t>
      </w:r>
      <w:r w:rsidR="00AB15D5" w:rsidRPr="00A84DC3">
        <w:rPr>
          <w:rFonts w:ascii="Arial" w:hAnsi="Arial" w:cs="Arial"/>
          <w:sz w:val="22"/>
          <w:szCs w:val="22"/>
          <w:lang w:val="es-ES"/>
        </w:rPr>
        <w:t>1</w:t>
      </w:r>
      <w:r w:rsidR="00AB15D5">
        <w:rPr>
          <w:rFonts w:ascii="Arial" w:hAnsi="Arial" w:cs="Arial"/>
          <w:sz w:val="22"/>
          <w:szCs w:val="22"/>
          <w:lang w:val="es-ES"/>
        </w:rPr>
        <w:t>0</w:t>
      </w:r>
      <w:r w:rsidR="00AB15D5" w:rsidRPr="00A84DC3">
        <w:rPr>
          <w:rFonts w:ascii="Arial" w:hAnsi="Arial" w:cs="Arial"/>
          <w:sz w:val="22"/>
          <w:szCs w:val="22"/>
          <w:lang w:val="es-ES"/>
        </w:rPr>
        <w:t xml:space="preserve"> </w:t>
      </w:r>
      <w:r w:rsidRPr="00A84DC3">
        <w:rPr>
          <w:rFonts w:ascii="Arial" w:hAnsi="Arial" w:cs="Arial"/>
          <w:sz w:val="22"/>
          <w:szCs w:val="22"/>
          <w:lang w:val="es-ES"/>
        </w:rPr>
        <w:t xml:space="preserve">y </w:t>
      </w:r>
      <w:r w:rsidR="00AB15D5" w:rsidRPr="00A84DC3">
        <w:rPr>
          <w:rFonts w:ascii="Arial" w:hAnsi="Arial" w:cs="Arial"/>
          <w:sz w:val="22"/>
          <w:szCs w:val="22"/>
          <w:lang w:val="es-ES"/>
        </w:rPr>
        <w:t>1</w:t>
      </w:r>
      <w:r w:rsidR="00AB15D5">
        <w:rPr>
          <w:rFonts w:ascii="Arial" w:hAnsi="Arial" w:cs="Arial"/>
          <w:sz w:val="22"/>
          <w:szCs w:val="22"/>
          <w:lang w:val="es-ES"/>
        </w:rPr>
        <w:t>1</w:t>
      </w:r>
      <w:r w:rsidR="00AB15D5" w:rsidRPr="00A84DC3">
        <w:rPr>
          <w:rFonts w:ascii="Arial" w:hAnsi="Arial" w:cs="Arial"/>
          <w:sz w:val="22"/>
          <w:szCs w:val="22"/>
          <w:lang w:val="es-ES"/>
        </w:rPr>
        <w:t xml:space="preserve"> </w:t>
      </w:r>
      <w:r w:rsidRPr="00A84DC3">
        <w:rPr>
          <w:rFonts w:ascii="Arial" w:hAnsi="Arial" w:cs="Arial"/>
          <w:sz w:val="22"/>
          <w:szCs w:val="22"/>
          <w:lang w:val="es-ES"/>
        </w:rPr>
        <w:t xml:space="preserve">(el flujo de ingreso diferencial que se espera genere la inversión). Las líneas </w:t>
      </w:r>
      <w:r w:rsidR="00AB15D5" w:rsidRPr="00A84DC3">
        <w:rPr>
          <w:rFonts w:ascii="Arial" w:hAnsi="Arial" w:cs="Arial"/>
          <w:sz w:val="22"/>
          <w:szCs w:val="22"/>
          <w:lang w:val="es-ES"/>
        </w:rPr>
        <w:t>1</w:t>
      </w:r>
      <w:r w:rsidR="00AB15D5">
        <w:rPr>
          <w:rFonts w:ascii="Arial" w:hAnsi="Arial" w:cs="Arial"/>
          <w:sz w:val="22"/>
          <w:szCs w:val="22"/>
          <w:lang w:val="es-ES"/>
        </w:rPr>
        <w:t>4</w:t>
      </w:r>
      <w:r w:rsidRPr="00A84DC3">
        <w:rPr>
          <w:rFonts w:ascii="Arial" w:hAnsi="Arial" w:cs="Arial"/>
          <w:sz w:val="22"/>
          <w:szCs w:val="22"/>
          <w:lang w:val="es-ES"/>
        </w:rPr>
        <w:t>-</w:t>
      </w:r>
      <w:r w:rsidR="00AB15D5" w:rsidRPr="00A84DC3">
        <w:rPr>
          <w:rFonts w:ascii="Arial" w:hAnsi="Arial" w:cs="Arial"/>
          <w:sz w:val="22"/>
          <w:szCs w:val="22"/>
          <w:lang w:val="es-ES"/>
        </w:rPr>
        <w:t>1</w:t>
      </w:r>
      <w:r w:rsidR="00AB15D5">
        <w:rPr>
          <w:rFonts w:ascii="Arial" w:hAnsi="Arial" w:cs="Arial"/>
          <w:sz w:val="22"/>
          <w:szCs w:val="22"/>
          <w:lang w:val="es-ES"/>
        </w:rPr>
        <w:t>5</w:t>
      </w:r>
      <w:r w:rsidRPr="00A84DC3">
        <w:rPr>
          <w:rFonts w:ascii="Arial" w:hAnsi="Arial" w:cs="Arial"/>
          <w:sz w:val="22"/>
          <w:szCs w:val="22"/>
          <w:lang w:val="es-ES"/>
        </w:rPr>
        <w:t xml:space="preserve">, y </w:t>
      </w:r>
      <w:r w:rsidR="00AB15D5" w:rsidRPr="00A84DC3">
        <w:rPr>
          <w:rFonts w:ascii="Arial" w:hAnsi="Arial" w:cs="Arial"/>
          <w:sz w:val="22"/>
          <w:szCs w:val="22"/>
          <w:lang w:val="es-ES"/>
        </w:rPr>
        <w:t>1</w:t>
      </w:r>
      <w:r w:rsidR="00AB15D5">
        <w:rPr>
          <w:rFonts w:ascii="Arial" w:hAnsi="Arial" w:cs="Arial"/>
          <w:sz w:val="22"/>
          <w:szCs w:val="22"/>
          <w:lang w:val="es-ES"/>
        </w:rPr>
        <w:t>6</w:t>
      </w:r>
      <w:r w:rsidR="00AB15D5" w:rsidRPr="00A84DC3">
        <w:rPr>
          <w:rFonts w:ascii="Arial" w:hAnsi="Arial" w:cs="Arial"/>
          <w:sz w:val="22"/>
          <w:szCs w:val="22"/>
          <w:lang w:val="es-ES"/>
        </w:rPr>
        <w:t xml:space="preserve"> </w:t>
      </w:r>
      <w:r w:rsidRPr="00A84DC3">
        <w:rPr>
          <w:rFonts w:ascii="Arial" w:hAnsi="Arial" w:cs="Arial"/>
          <w:sz w:val="22"/>
          <w:szCs w:val="22"/>
          <w:lang w:val="es-ES"/>
        </w:rPr>
        <w:t xml:space="preserve">representan los conceptos análogos, pero para los flujos negativos (egresos) que se espera genere el proyecto. La línea </w:t>
      </w:r>
      <w:r w:rsidR="00AB15D5" w:rsidRPr="00A84DC3">
        <w:rPr>
          <w:rFonts w:ascii="Arial" w:hAnsi="Arial" w:cs="Arial"/>
          <w:sz w:val="22"/>
          <w:szCs w:val="22"/>
          <w:lang w:val="es-ES"/>
        </w:rPr>
        <w:t>1</w:t>
      </w:r>
      <w:r w:rsidR="00AB15D5">
        <w:rPr>
          <w:rFonts w:ascii="Arial" w:hAnsi="Arial" w:cs="Arial"/>
          <w:sz w:val="22"/>
          <w:szCs w:val="22"/>
          <w:lang w:val="es-ES"/>
        </w:rPr>
        <w:t>7</w:t>
      </w:r>
      <w:r w:rsidR="00AB15D5" w:rsidRPr="00A84DC3">
        <w:rPr>
          <w:rFonts w:ascii="Arial" w:hAnsi="Arial" w:cs="Arial"/>
          <w:sz w:val="22"/>
          <w:szCs w:val="22"/>
          <w:lang w:val="es-ES"/>
        </w:rPr>
        <w:t xml:space="preserve"> </w:t>
      </w:r>
      <w:r w:rsidRPr="00A84DC3">
        <w:rPr>
          <w:rFonts w:ascii="Arial" w:hAnsi="Arial" w:cs="Arial"/>
          <w:sz w:val="22"/>
          <w:szCs w:val="22"/>
          <w:lang w:val="es-ES"/>
        </w:rPr>
        <w:t xml:space="preserve">captura los flujos netos, y en la </w:t>
      </w:r>
      <w:r w:rsidR="00AB15D5" w:rsidRPr="00A84DC3">
        <w:rPr>
          <w:rFonts w:ascii="Arial" w:hAnsi="Arial" w:cs="Arial"/>
          <w:sz w:val="22"/>
          <w:szCs w:val="22"/>
          <w:lang w:val="es-ES"/>
        </w:rPr>
        <w:t>1</w:t>
      </w:r>
      <w:r w:rsidR="00AB15D5">
        <w:rPr>
          <w:rFonts w:ascii="Arial" w:hAnsi="Arial" w:cs="Arial"/>
          <w:sz w:val="22"/>
          <w:szCs w:val="22"/>
          <w:lang w:val="es-ES"/>
        </w:rPr>
        <w:t>8</w:t>
      </w:r>
      <w:r w:rsidR="00AB15D5" w:rsidRPr="00A84DC3">
        <w:rPr>
          <w:rFonts w:ascii="Arial" w:hAnsi="Arial" w:cs="Arial"/>
          <w:sz w:val="22"/>
          <w:szCs w:val="22"/>
          <w:lang w:val="es-ES"/>
        </w:rPr>
        <w:t xml:space="preserve"> </w:t>
      </w:r>
      <w:r w:rsidRPr="00A84DC3">
        <w:rPr>
          <w:rFonts w:ascii="Arial" w:hAnsi="Arial" w:cs="Arial"/>
          <w:sz w:val="22"/>
          <w:szCs w:val="22"/>
          <w:lang w:val="es-ES"/>
        </w:rPr>
        <w:t>se captura el VPN utilizando una tasa de descuento prestablecida.</w:t>
      </w:r>
      <w:r w:rsidR="008D2A08" w:rsidRPr="00A84DC3">
        <w:rPr>
          <w:rFonts w:ascii="Arial" w:hAnsi="Arial" w:cs="Arial"/>
          <w:sz w:val="22"/>
          <w:szCs w:val="22"/>
          <w:lang w:val="es-ES"/>
        </w:rPr>
        <w:t xml:space="preserve"> Los flujos para el proyecto y su contrafactual pueden estudiarse en el siguiente cuadro: </w:t>
      </w:r>
    </w:p>
    <w:p w14:paraId="6DC96C25" w14:textId="56108A93" w:rsidR="00AB15D5" w:rsidRPr="00A84DC3" w:rsidRDefault="008D2A08" w:rsidP="00553926">
      <w:pPr>
        <w:pStyle w:val="Paragraph"/>
        <w:numPr>
          <w:ilvl w:val="0"/>
          <w:numId w:val="0"/>
        </w:numPr>
        <w:ind w:left="720"/>
        <w:jc w:val="center"/>
        <w:rPr>
          <w:rFonts w:ascii="Arial" w:hAnsi="Arial" w:cs="Arial"/>
          <w:sz w:val="22"/>
          <w:szCs w:val="22"/>
          <w:lang w:val="es-ES"/>
        </w:rPr>
      </w:pPr>
      <w:r w:rsidRPr="00A84DC3">
        <w:rPr>
          <w:rFonts w:ascii="Arial" w:hAnsi="Arial" w:cs="Arial"/>
          <w:b/>
          <w:sz w:val="22"/>
          <w:szCs w:val="22"/>
          <w:lang w:val="es-ES"/>
        </w:rPr>
        <w:t xml:space="preserve">Cuadro 1. </w:t>
      </w:r>
      <w:r w:rsidR="0066029A" w:rsidRPr="00A84DC3">
        <w:rPr>
          <w:rFonts w:ascii="Arial" w:hAnsi="Arial" w:cs="Arial"/>
          <w:b/>
          <w:sz w:val="22"/>
          <w:szCs w:val="22"/>
          <w:lang w:val="es-ES"/>
        </w:rPr>
        <w:t>Flujo de fondos de la empresa promedio con y sin proyecto de inversión</w:t>
      </w:r>
    </w:p>
    <w:tbl>
      <w:tblPr>
        <w:tblW w:w="8899" w:type="dxa"/>
        <w:tblLook w:val="04A0" w:firstRow="1" w:lastRow="0" w:firstColumn="1" w:lastColumn="0" w:noHBand="0" w:noVBand="1"/>
      </w:tblPr>
      <w:tblGrid>
        <w:gridCol w:w="372"/>
        <w:gridCol w:w="3960"/>
        <w:gridCol w:w="267"/>
        <w:gridCol w:w="667"/>
        <w:gridCol w:w="249"/>
        <w:gridCol w:w="667"/>
        <w:gridCol w:w="249"/>
        <w:gridCol w:w="667"/>
        <w:gridCol w:w="249"/>
        <w:gridCol w:w="667"/>
        <w:gridCol w:w="249"/>
        <w:gridCol w:w="667"/>
      </w:tblGrid>
      <w:tr w:rsidR="00AB15D5" w:rsidRPr="00E95F7E" w14:paraId="1A5460A5" w14:textId="77777777" w:rsidTr="002F4186">
        <w:trPr>
          <w:trHeight w:val="262"/>
        </w:trPr>
        <w:tc>
          <w:tcPr>
            <w:tcW w:w="372" w:type="dxa"/>
            <w:tcBorders>
              <w:top w:val="single" w:sz="4" w:space="0" w:color="auto"/>
              <w:left w:val="nil"/>
              <w:bottom w:val="single" w:sz="4" w:space="0" w:color="auto"/>
              <w:right w:val="nil"/>
            </w:tcBorders>
            <w:shd w:val="clear" w:color="auto" w:fill="auto"/>
            <w:noWrap/>
            <w:vAlign w:val="center"/>
            <w:hideMark/>
          </w:tcPr>
          <w:p w14:paraId="6346A82C"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 </w:t>
            </w:r>
          </w:p>
        </w:tc>
        <w:tc>
          <w:tcPr>
            <w:tcW w:w="3960" w:type="dxa"/>
            <w:tcBorders>
              <w:top w:val="single" w:sz="4" w:space="0" w:color="auto"/>
              <w:left w:val="nil"/>
              <w:bottom w:val="single" w:sz="4" w:space="0" w:color="auto"/>
              <w:right w:val="nil"/>
            </w:tcBorders>
            <w:shd w:val="clear" w:color="auto" w:fill="auto"/>
            <w:noWrap/>
            <w:vAlign w:val="center"/>
            <w:hideMark/>
          </w:tcPr>
          <w:p w14:paraId="28AE8D02" w14:textId="77777777" w:rsidR="00AB15D5" w:rsidRPr="00E95F7E" w:rsidRDefault="00AB15D5" w:rsidP="002F4186">
            <w:pPr>
              <w:spacing w:after="0" w:line="240" w:lineRule="auto"/>
              <w:rPr>
                <w:rFonts w:ascii="Arial" w:eastAsia="Times New Roman" w:hAnsi="Arial" w:cs="Arial"/>
                <w:b/>
                <w:bCs/>
                <w:color w:val="000000"/>
                <w:sz w:val="14"/>
                <w:szCs w:val="18"/>
                <w:lang w:val="es-ES_tradnl" w:eastAsia="en-US"/>
              </w:rPr>
            </w:pPr>
            <w:r w:rsidRPr="00E95F7E">
              <w:rPr>
                <w:rFonts w:ascii="Arial" w:eastAsia="Times New Roman" w:hAnsi="Arial" w:cs="Arial"/>
                <w:b/>
                <w:bCs/>
                <w:color w:val="000000"/>
                <w:sz w:val="14"/>
                <w:szCs w:val="18"/>
                <w:lang w:val="es-ES_tradnl" w:eastAsia="en-US"/>
              </w:rPr>
              <w:t>Empresa representativa</w:t>
            </w:r>
          </w:p>
        </w:tc>
        <w:tc>
          <w:tcPr>
            <w:tcW w:w="236" w:type="dxa"/>
            <w:tcBorders>
              <w:top w:val="single" w:sz="4" w:space="0" w:color="auto"/>
              <w:left w:val="nil"/>
              <w:bottom w:val="nil"/>
              <w:right w:val="nil"/>
            </w:tcBorders>
            <w:shd w:val="clear" w:color="auto" w:fill="auto"/>
            <w:noWrap/>
            <w:vAlign w:val="center"/>
            <w:hideMark/>
          </w:tcPr>
          <w:p w14:paraId="4B644437" w14:textId="77777777" w:rsidR="00AB15D5" w:rsidRPr="00E95F7E" w:rsidRDefault="00AB15D5" w:rsidP="002F4186">
            <w:pPr>
              <w:spacing w:after="0" w:line="240" w:lineRule="auto"/>
              <w:rPr>
                <w:rFonts w:ascii="Arial" w:eastAsia="Times New Roman" w:hAnsi="Arial" w:cs="Arial"/>
                <w:color w:val="000000"/>
                <w:sz w:val="18"/>
                <w:szCs w:val="18"/>
                <w:lang w:val="es-ES_tradnl" w:eastAsia="en-US"/>
              </w:rPr>
            </w:pPr>
            <w:r w:rsidRPr="00E95F7E">
              <w:rPr>
                <w:rFonts w:ascii="Arial" w:eastAsia="Times New Roman" w:hAnsi="Arial" w:cs="Arial"/>
                <w:color w:val="000000"/>
                <w:sz w:val="18"/>
                <w:szCs w:val="18"/>
                <w:lang w:val="es-ES_tradnl" w:eastAsia="en-US"/>
              </w:rPr>
              <w:t> </w:t>
            </w:r>
          </w:p>
        </w:tc>
        <w:tc>
          <w:tcPr>
            <w:tcW w:w="667" w:type="dxa"/>
            <w:tcBorders>
              <w:top w:val="single" w:sz="4" w:space="0" w:color="auto"/>
              <w:left w:val="nil"/>
              <w:bottom w:val="single" w:sz="4" w:space="0" w:color="auto"/>
              <w:right w:val="nil"/>
            </w:tcBorders>
            <w:shd w:val="clear" w:color="auto" w:fill="auto"/>
            <w:noWrap/>
            <w:vAlign w:val="center"/>
            <w:hideMark/>
          </w:tcPr>
          <w:p w14:paraId="6099DE8D"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single" w:sz="4" w:space="0" w:color="auto"/>
              <w:left w:val="nil"/>
              <w:bottom w:val="nil"/>
              <w:right w:val="nil"/>
            </w:tcBorders>
            <w:shd w:val="clear" w:color="auto" w:fill="auto"/>
            <w:noWrap/>
            <w:vAlign w:val="center"/>
            <w:hideMark/>
          </w:tcPr>
          <w:p w14:paraId="09FBA8A2"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1681076D"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t=0</w:t>
            </w:r>
          </w:p>
        </w:tc>
        <w:tc>
          <w:tcPr>
            <w:tcW w:w="249" w:type="dxa"/>
            <w:tcBorders>
              <w:top w:val="single" w:sz="4" w:space="0" w:color="auto"/>
              <w:left w:val="nil"/>
              <w:bottom w:val="nil"/>
              <w:right w:val="nil"/>
            </w:tcBorders>
            <w:shd w:val="clear" w:color="auto" w:fill="auto"/>
            <w:noWrap/>
            <w:vAlign w:val="center"/>
            <w:hideMark/>
          </w:tcPr>
          <w:p w14:paraId="6F069964"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6B378564"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t=1</w:t>
            </w:r>
          </w:p>
        </w:tc>
        <w:tc>
          <w:tcPr>
            <w:tcW w:w="249" w:type="dxa"/>
            <w:tcBorders>
              <w:top w:val="single" w:sz="4" w:space="0" w:color="auto"/>
              <w:left w:val="nil"/>
              <w:bottom w:val="nil"/>
              <w:right w:val="nil"/>
            </w:tcBorders>
            <w:shd w:val="clear" w:color="auto" w:fill="auto"/>
            <w:noWrap/>
            <w:vAlign w:val="center"/>
            <w:hideMark/>
          </w:tcPr>
          <w:p w14:paraId="4C05351A"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7ED3164F"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w:t>
            </w:r>
          </w:p>
        </w:tc>
        <w:tc>
          <w:tcPr>
            <w:tcW w:w="249" w:type="dxa"/>
            <w:tcBorders>
              <w:top w:val="single" w:sz="4" w:space="0" w:color="auto"/>
              <w:left w:val="nil"/>
              <w:bottom w:val="nil"/>
              <w:right w:val="nil"/>
            </w:tcBorders>
            <w:shd w:val="clear" w:color="auto" w:fill="auto"/>
            <w:noWrap/>
            <w:vAlign w:val="center"/>
            <w:hideMark/>
          </w:tcPr>
          <w:p w14:paraId="030BDC2C"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790A470B"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t=T</w:t>
            </w:r>
          </w:p>
        </w:tc>
      </w:tr>
      <w:tr w:rsidR="00AB15D5" w:rsidRPr="00E95F7E" w14:paraId="3F79978D" w14:textId="77777777" w:rsidTr="002F4186">
        <w:trPr>
          <w:trHeight w:val="262"/>
        </w:trPr>
        <w:tc>
          <w:tcPr>
            <w:tcW w:w="372" w:type="dxa"/>
            <w:tcBorders>
              <w:top w:val="nil"/>
              <w:left w:val="nil"/>
              <w:bottom w:val="nil"/>
              <w:right w:val="nil"/>
            </w:tcBorders>
            <w:shd w:val="clear" w:color="auto" w:fill="auto"/>
            <w:noWrap/>
            <w:vAlign w:val="center"/>
            <w:hideMark/>
          </w:tcPr>
          <w:p w14:paraId="320C56DC"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1</w:t>
            </w:r>
          </w:p>
        </w:tc>
        <w:tc>
          <w:tcPr>
            <w:tcW w:w="3960" w:type="dxa"/>
            <w:tcBorders>
              <w:top w:val="nil"/>
              <w:left w:val="nil"/>
              <w:bottom w:val="single" w:sz="4" w:space="0" w:color="auto"/>
              <w:right w:val="nil"/>
            </w:tcBorders>
            <w:shd w:val="clear" w:color="auto" w:fill="auto"/>
            <w:noWrap/>
            <w:vAlign w:val="center"/>
            <w:hideMark/>
          </w:tcPr>
          <w:p w14:paraId="1E6D0340" w14:textId="77777777" w:rsidR="00AB15D5" w:rsidRPr="00E95F7E" w:rsidRDefault="00AB15D5" w:rsidP="002F4186">
            <w:pPr>
              <w:spacing w:after="0" w:line="240" w:lineRule="auto"/>
              <w:rPr>
                <w:rFonts w:ascii="Arial" w:eastAsia="Times New Roman" w:hAnsi="Arial" w:cs="Arial"/>
                <w:b/>
                <w:bCs/>
                <w:color w:val="000000"/>
                <w:sz w:val="14"/>
                <w:szCs w:val="18"/>
                <w:lang w:val="es-ES_tradnl" w:eastAsia="en-US"/>
              </w:rPr>
            </w:pPr>
            <w:r w:rsidRPr="00E95F7E">
              <w:rPr>
                <w:rFonts w:ascii="Arial" w:eastAsia="Times New Roman" w:hAnsi="Arial" w:cs="Arial"/>
                <w:b/>
                <w:bCs/>
                <w:color w:val="000000"/>
                <w:sz w:val="14"/>
                <w:szCs w:val="18"/>
                <w:lang w:val="es-ES_tradnl" w:eastAsia="en-US"/>
              </w:rPr>
              <w:t>Flujos asociados al préstamo</w:t>
            </w:r>
          </w:p>
        </w:tc>
        <w:tc>
          <w:tcPr>
            <w:tcW w:w="236" w:type="dxa"/>
            <w:tcBorders>
              <w:top w:val="nil"/>
              <w:left w:val="nil"/>
              <w:bottom w:val="nil"/>
              <w:right w:val="nil"/>
            </w:tcBorders>
            <w:shd w:val="clear" w:color="auto" w:fill="auto"/>
            <w:noWrap/>
            <w:vAlign w:val="center"/>
            <w:hideMark/>
          </w:tcPr>
          <w:p w14:paraId="5722731C" w14:textId="77777777" w:rsidR="00AB15D5" w:rsidRPr="00E95F7E" w:rsidRDefault="00AB15D5" w:rsidP="002F4186">
            <w:pPr>
              <w:spacing w:after="0" w:line="240" w:lineRule="auto"/>
              <w:rPr>
                <w:rFonts w:ascii="Arial" w:eastAsia="Times New Roman" w:hAnsi="Arial" w:cs="Arial"/>
                <w:b/>
                <w:bCs/>
                <w:color w:val="000000"/>
                <w:sz w:val="18"/>
                <w:szCs w:val="18"/>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5FA6D03D"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1D8F908D"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27A92347"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1EBB1B29"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0B0DA87F"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2605D73F"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491F4DD3"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50F96B7F"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0B9DCACB"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r>
      <w:tr w:rsidR="00AB15D5" w:rsidRPr="00E95F7E" w14:paraId="21982695" w14:textId="77777777" w:rsidTr="002F4186">
        <w:trPr>
          <w:trHeight w:val="262"/>
        </w:trPr>
        <w:tc>
          <w:tcPr>
            <w:tcW w:w="372" w:type="dxa"/>
            <w:tcBorders>
              <w:top w:val="nil"/>
              <w:left w:val="nil"/>
              <w:bottom w:val="nil"/>
              <w:right w:val="nil"/>
            </w:tcBorders>
            <w:shd w:val="clear" w:color="auto" w:fill="auto"/>
            <w:noWrap/>
            <w:vAlign w:val="center"/>
            <w:hideMark/>
          </w:tcPr>
          <w:p w14:paraId="36B7D2D7"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2</w:t>
            </w:r>
          </w:p>
        </w:tc>
        <w:tc>
          <w:tcPr>
            <w:tcW w:w="3960" w:type="dxa"/>
            <w:tcBorders>
              <w:top w:val="nil"/>
              <w:left w:val="nil"/>
              <w:bottom w:val="nil"/>
              <w:right w:val="nil"/>
            </w:tcBorders>
            <w:shd w:val="clear" w:color="auto" w:fill="auto"/>
            <w:noWrap/>
            <w:vAlign w:val="center"/>
            <w:hideMark/>
          </w:tcPr>
          <w:p w14:paraId="45205B0C"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Préstamo</w:t>
            </w:r>
          </w:p>
        </w:tc>
        <w:tc>
          <w:tcPr>
            <w:tcW w:w="236" w:type="dxa"/>
            <w:tcBorders>
              <w:top w:val="nil"/>
              <w:left w:val="nil"/>
              <w:bottom w:val="nil"/>
              <w:right w:val="nil"/>
            </w:tcBorders>
            <w:shd w:val="clear" w:color="auto" w:fill="auto"/>
            <w:noWrap/>
            <w:vAlign w:val="center"/>
            <w:hideMark/>
          </w:tcPr>
          <w:p w14:paraId="0551A624" w14:textId="77777777" w:rsidR="00AB15D5" w:rsidRPr="00E95F7E" w:rsidRDefault="00AB15D5" w:rsidP="002F4186">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285F7132"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708654E4"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6C73A4D6"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+P</w:t>
            </w:r>
          </w:p>
        </w:tc>
        <w:tc>
          <w:tcPr>
            <w:tcW w:w="249" w:type="dxa"/>
            <w:tcBorders>
              <w:top w:val="nil"/>
              <w:left w:val="nil"/>
              <w:bottom w:val="nil"/>
              <w:right w:val="nil"/>
            </w:tcBorders>
            <w:shd w:val="clear" w:color="auto" w:fill="auto"/>
            <w:noWrap/>
            <w:vAlign w:val="center"/>
            <w:hideMark/>
          </w:tcPr>
          <w:p w14:paraId="2B87A93E"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0E7480F9"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268494F2"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4752BC24"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4C087BB5"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7C7EA54B"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r>
      <w:tr w:rsidR="00AB15D5" w:rsidRPr="00E95F7E" w14:paraId="56A55FBF" w14:textId="77777777" w:rsidTr="002F4186">
        <w:trPr>
          <w:trHeight w:val="262"/>
        </w:trPr>
        <w:tc>
          <w:tcPr>
            <w:tcW w:w="372" w:type="dxa"/>
            <w:tcBorders>
              <w:top w:val="nil"/>
              <w:left w:val="nil"/>
              <w:bottom w:val="nil"/>
              <w:right w:val="nil"/>
            </w:tcBorders>
            <w:shd w:val="clear" w:color="auto" w:fill="auto"/>
            <w:noWrap/>
            <w:vAlign w:val="center"/>
            <w:hideMark/>
          </w:tcPr>
          <w:p w14:paraId="650CF12D"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3</w:t>
            </w:r>
          </w:p>
        </w:tc>
        <w:tc>
          <w:tcPr>
            <w:tcW w:w="3960" w:type="dxa"/>
            <w:tcBorders>
              <w:top w:val="nil"/>
              <w:left w:val="nil"/>
              <w:bottom w:val="nil"/>
              <w:right w:val="nil"/>
            </w:tcBorders>
            <w:shd w:val="clear" w:color="auto" w:fill="auto"/>
            <w:noWrap/>
            <w:vAlign w:val="center"/>
            <w:hideMark/>
          </w:tcPr>
          <w:p w14:paraId="3C8D3D64"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Pago principal</w:t>
            </w:r>
          </w:p>
        </w:tc>
        <w:tc>
          <w:tcPr>
            <w:tcW w:w="236" w:type="dxa"/>
            <w:tcBorders>
              <w:top w:val="nil"/>
              <w:left w:val="nil"/>
              <w:bottom w:val="nil"/>
              <w:right w:val="nil"/>
            </w:tcBorders>
            <w:shd w:val="clear" w:color="auto" w:fill="auto"/>
            <w:noWrap/>
            <w:vAlign w:val="center"/>
            <w:hideMark/>
          </w:tcPr>
          <w:p w14:paraId="1178EA57" w14:textId="77777777" w:rsidR="00AB15D5" w:rsidRPr="00E95F7E" w:rsidRDefault="00AB15D5" w:rsidP="002F4186">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66C2CA3E"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59D5A708"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7475B711"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62FD0D38"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20F11BE6" w14:textId="77777777" w:rsidR="00AB15D5" w:rsidRPr="00E95F7E" w:rsidRDefault="000B7959" w:rsidP="002F4186">
            <w:pPr>
              <w:spacing w:after="0" w:line="240" w:lineRule="auto"/>
              <w:jc w:val="center"/>
              <w:rPr>
                <w:rFonts w:ascii="Times New Roman" w:eastAsia="Times New Roman" w:hAnsi="Times New Roman" w:cs="Times New Roman"/>
                <w:sz w:val="20"/>
                <w:szCs w:val="20"/>
                <w:lang w:val="es-ES_tradnl" w:eastAsia="en-US"/>
              </w:rPr>
            </w:pPr>
            <w:r w:rsidRPr="00E95F7E">
              <w:rPr>
                <w:rFonts w:ascii="Arial" w:eastAsia="Times New Roman" w:hAnsi="Arial" w:cs="Arial"/>
                <w:color w:val="000000"/>
                <w:sz w:val="14"/>
                <w:szCs w:val="14"/>
                <w:lang w:val="es-ES_tradnl" w:eastAsia="en-US"/>
              </w:rPr>
              <w:t>-P/T</w:t>
            </w:r>
          </w:p>
        </w:tc>
        <w:tc>
          <w:tcPr>
            <w:tcW w:w="249" w:type="dxa"/>
            <w:tcBorders>
              <w:top w:val="nil"/>
              <w:left w:val="nil"/>
              <w:bottom w:val="nil"/>
              <w:right w:val="nil"/>
            </w:tcBorders>
            <w:shd w:val="clear" w:color="auto" w:fill="auto"/>
            <w:noWrap/>
            <w:vAlign w:val="center"/>
            <w:hideMark/>
          </w:tcPr>
          <w:p w14:paraId="5CC81860"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035C0235"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7BCD4ADF"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0DBE3FE1" w14:textId="77777777" w:rsidR="00AB15D5" w:rsidRPr="00E95F7E" w:rsidRDefault="000B7959" w:rsidP="002F4186">
            <w:pPr>
              <w:spacing w:after="0" w:line="240" w:lineRule="auto"/>
              <w:jc w:val="center"/>
              <w:rPr>
                <w:rFonts w:ascii="Times New Roman" w:eastAsia="Times New Roman" w:hAnsi="Times New Roman" w:cs="Times New Roman"/>
                <w:sz w:val="20"/>
                <w:szCs w:val="20"/>
                <w:lang w:val="es-ES_tradnl" w:eastAsia="en-US"/>
              </w:rPr>
            </w:pPr>
            <w:r w:rsidRPr="00E95F7E">
              <w:rPr>
                <w:rFonts w:ascii="Arial" w:eastAsia="Times New Roman" w:hAnsi="Arial" w:cs="Arial"/>
                <w:color w:val="000000"/>
                <w:sz w:val="14"/>
                <w:szCs w:val="14"/>
                <w:lang w:val="es-ES_tradnl" w:eastAsia="en-US"/>
              </w:rPr>
              <w:t>-P/T</w:t>
            </w:r>
          </w:p>
        </w:tc>
      </w:tr>
      <w:tr w:rsidR="00AB15D5" w:rsidRPr="00E95F7E" w14:paraId="769B12D2" w14:textId="77777777" w:rsidTr="002F4186">
        <w:trPr>
          <w:trHeight w:val="262"/>
        </w:trPr>
        <w:tc>
          <w:tcPr>
            <w:tcW w:w="372" w:type="dxa"/>
            <w:tcBorders>
              <w:top w:val="nil"/>
              <w:left w:val="nil"/>
              <w:bottom w:val="nil"/>
              <w:right w:val="nil"/>
            </w:tcBorders>
            <w:shd w:val="clear" w:color="auto" w:fill="auto"/>
            <w:noWrap/>
            <w:vAlign w:val="center"/>
            <w:hideMark/>
          </w:tcPr>
          <w:p w14:paraId="21570764"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5</w:t>
            </w:r>
          </w:p>
        </w:tc>
        <w:tc>
          <w:tcPr>
            <w:tcW w:w="3960" w:type="dxa"/>
            <w:tcBorders>
              <w:top w:val="single" w:sz="4" w:space="0" w:color="auto"/>
              <w:left w:val="nil"/>
              <w:bottom w:val="single" w:sz="4" w:space="0" w:color="auto"/>
              <w:right w:val="nil"/>
            </w:tcBorders>
            <w:shd w:val="clear" w:color="auto" w:fill="auto"/>
            <w:noWrap/>
            <w:vAlign w:val="center"/>
            <w:hideMark/>
          </w:tcPr>
          <w:p w14:paraId="22C35B7A" w14:textId="77777777" w:rsidR="00AB15D5" w:rsidRPr="00E95F7E" w:rsidRDefault="00AB15D5" w:rsidP="002F4186">
            <w:pPr>
              <w:spacing w:after="0" w:line="240" w:lineRule="auto"/>
              <w:rPr>
                <w:rFonts w:ascii="Arial" w:eastAsia="Times New Roman" w:hAnsi="Arial" w:cs="Arial"/>
                <w:b/>
                <w:bCs/>
                <w:color w:val="000000"/>
                <w:sz w:val="14"/>
                <w:szCs w:val="18"/>
                <w:lang w:val="es-ES_tradnl" w:eastAsia="en-US"/>
              </w:rPr>
            </w:pPr>
            <w:r w:rsidRPr="00E95F7E">
              <w:rPr>
                <w:rFonts w:ascii="Arial" w:eastAsia="Times New Roman" w:hAnsi="Arial" w:cs="Arial"/>
                <w:b/>
                <w:bCs/>
                <w:color w:val="000000"/>
                <w:sz w:val="14"/>
                <w:szCs w:val="18"/>
                <w:lang w:val="es-ES_tradnl" w:eastAsia="en-US"/>
              </w:rPr>
              <w:t>Inversión</w:t>
            </w:r>
          </w:p>
        </w:tc>
        <w:tc>
          <w:tcPr>
            <w:tcW w:w="236" w:type="dxa"/>
            <w:tcBorders>
              <w:top w:val="nil"/>
              <w:left w:val="nil"/>
              <w:bottom w:val="nil"/>
              <w:right w:val="nil"/>
            </w:tcBorders>
            <w:shd w:val="clear" w:color="auto" w:fill="auto"/>
            <w:noWrap/>
            <w:vAlign w:val="center"/>
            <w:hideMark/>
          </w:tcPr>
          <w:p w14:paraId="3B990A1F" w14:textId="77777777" w:rsidR="00AB15D5" w:rsidRPr="00E95F7E" w:rsidRDefault="00AB15D5" w:rsidP="002F4186">
            <w:pPr>
              <w:spacing w:after="0" w:line="240" w:lineRule="auto"/>
              <w:rPr>
                <w:rFonts w:ascii="Arial" w:eastAsia="Times New Roman" w:hAnsi="Arial" w:cs="Arial"/>
                <w:b/>
                <w:bCs/>
                <w:color w:val="000000"/>
                <w:sz w:val="18"/>
                <w:szCs w:val="18"/>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792626F1"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47B0EA08"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690EFFC2"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7F76A0EC"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050869B6"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2ECC14DB"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6648CFB3"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1255046F"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6297DA35"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r>
      <w:tr w:rsidR="00AB15D5" w:rsidRPr="00E95F7E" w14:paraId="1BA98CB8" w14:textId="77777777" w:rsidTr="002F4186">
        <w:trPr>
          <w:trHeight w:val="262"/>
        </w:trPr>
        <w:tc>
          <w:tcPr>
            <w:tcW w:w="372" w:type="dxa"/>
            <w:tcBorders>
              <w:top w:val="nil"/>
              <w:left w:val="nil"/>
              <w:bottom w:val="nil"/>
              <w:right w:val="nil"/>
            </w:tcBorders>
            <w:shd w:val="clear" w:color="auto" w:fill="auto"/>
            <w:noWrap/>
            <w:vAlign w:val="center"/>
            <w:hideMark/>
          </w:tcPr>
          <w:p w14:paraId="362DEDE3"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6</w:t>
            </w:r>
          </w:p>
        </w:tc>
        <w:tc>
          <w:tcPr>
            <w:tcW w:w="3960" w:type="dxa"/>
            <w:tcBorders>
              <w:top w:val="nil"/>
              <w:left w:val="nil"/>
              <w:bottom w:val="nil"/>
              <w:right w:val="nil"/>
            </w:tcBorders>
            <w:shd w:val="clear" w:color="auto" w:fill="auto"/>
            <w:noWrap/>
            <w:vAlign w:val="center"/>
            <w:hideMark/>
          </w:tcPr>
          <w:p w14:paraId="1B0BF103"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Fondos propios</w:t>
            </w:r>
          </w:p>
        </w:tc>
        <w:tc>
          <w:tcPr>
            <w:tcW w:w="236" w:type="dxa"/>
            <w:tcBorders>
              <w:top w:val="nil"/>
              <w:left w:val="nil"/>
              <w:bottom w:val="nil"/>
              <w:right w:val="nil"/>
            </w:tcBorders>
            <w:shd w:val="clear" w:color="auto" w:fill="auto"/>
            <w:noWrap/>
            <w:vAlign w:val="center"/>
            <w:hideMark/>
          </w:tcPr>
          <w:p w14:paraId="3429C7DF" w14:textId="77777777" w:rsidR="00AB15D5" w:rsidRPr="00E95F7E" w:rsidRDefault="00AB15D5" w:rsidP="002F4186">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41E5904D"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1EDDAF18"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3992EC62" w14:textId="77777777" w:rsidR="00AB15D5" w:rsidRPr="00E95F7E" w:rsidRDefault="00AB15D5" w:rsidP="002F4186">
            <w:pPr>
              <w:spacing w:after="0" w:line="240" w:lineRule="auto"/>
              <w:ind w:left="-54" w:right="-120"/>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-FP=(I-P)</w:t>
            </w:r>
          </w:p>
        </w:tc>
        <w:tc>
          <w:tcPr>
            <w:tcW w:w="249" w:type="dxa"/>
            <w:tcBorders>
              <w:top w:val="nil"/>
              <w:left w:val="nil"/>
              <w:bottom w:val="nil"/>
              <w:right w:val="nil"/>
            </w:tcBorders>
            <w:shd w:val="clear" w:color="auto" w:fill="auto"/>
            <w:noWrap/>
            <w:vAlign w:val="center"/>
            <w:hideMark/>
          </w:tcPr>
          <w:p w14:paraId="54833C13"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49A481E3"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4717CB43"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76DDB575"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32874DD4"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0BC18F77"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r>
      <w:tr w:rsidR="00AB15D5" w:rsidRPr="00E95F7E" w14:paraId="72CEF055" w14:textId="77777777" w:rsidTr="002F4186">
        <w:trPr>
          <w:trHeight w:val="262"/>
        </w:trPr>
        <w:tc>
          <w:tcPr>
            <w:tcW w:w="372" w:type="dxa"/>
            <w:tcBorders>
              <w:top w:val="nil"/>
              <w:left w:val="nil"/>
              <w:bottom w:val="nil"/>
              <w:right w:val="nil"/>
            </w:tcBorders>
            <w:shd w:val="clear" w:color="auto" w:fill="auto"/>
            <w:noWrap/>
            <w:vAlign w:val="center"/>
            <w:hideMark/>
          </w:tcPr>
          <w:p w14:paraId="52882311"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7</w:t>
            </w:r>
          </w:p>
        </w:tc>
        <w:tc>
          <w:tcPr>
            <w:tcW w:w="3960" w:type="dxa"/>
            <w:tcBorders>
              <w:top w:val="nil"/>
              <w:left w:val="nil"/>
              <w:bottom w:val="nil"/>
              <w:right w:val="nil"/>
            </w:tcBorders>
            <w:shd w:val="clear" w:color="auto" w:fill="auto"/>
            <w:noWrap/>
            <w:vAlign w:val="center"/>
            <w:hideMark/>
          </w:tcPr>
          <w:p w14:paraId="4BB6342B"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Fondos financiamiento bancario</w:t>
            </w:r>
          </w:p>
        </w:tc>
        <w:tc>
          <w:tcPr>
            <w:tcW w:w="236" w:type="dxa"/>
            <w:tcBorders>
              <w:top w:val="nil"/>
              <w:left w:val="nil"/>
              <w:bottom w:val="nil"/>
              <w:right w:val="nil"/>
            </w:tcBorders>
            <w:shd w:val="clear" w:color="auto" w:fill="auto"/>
            <w:noWrap/>
            <w:vAlign w:val="center"/>
            <w:hideMark/>
          </w:tcPr>
          <w:p w14:paraId="27FC2C2A" w14:textId="77777777" w:rsidR="00AB15D5" w:rsidRPr="00E95F7E" w:rsidRDefault="00AB15D5" w:rsidP="002F4186">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1037193C"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2CCFBB56"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38528FFC"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-P</w:t>
            </w:r>
          </w:p>
        </w:tc>
        <w:tc>
          <w:tcPr>
            <w:tcW w:w="249" w:type="dxa"/>
            <w:tcBorders>
              <w:top w:val="nil"/>
              <w:left w:val="nil"/>
              <w:bottom w:val="nil"/>
              <w:right w:val="nil"/>
            </w:tcBorders>
            <w:shd w:val="clear" w:color="auto" w:fill="auto"/>
            <w:noWrap/>
            <w:vAlign w:val="center"/>
            <w:hideMark/>
          </w:tcPr>
          <w:p w14:paraId="526A83CC"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5B4F0D5D"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02C083FA"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2E93C378"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75BEAE88"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2F3A8361"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r>
      <w:tr w:rsidR="00AB15D5" w:rsidRPr="00E95F7E" w14:paraId="39620CB7" w14:textId="77777777" w:rsidTr="002F4186">
        <w:trPr>
          <w:trHeight w:val="262"/>
        </w:trPr>
        <w:tc>
          <w:tcPr>
            <w:tcW w:w="372" w:type="dxa"/>
            <w:tcBorders>
              <w:top w:val="nil"/>
              <w:left w:val="nil"/>
              <w:bottom w:val="nil"/>
              <w:right w:val="nil"/>
            </w:tcBorders>
            <w:shd w:val="clear" w:color="auto" w:fill="auto"/>
            <w:noWrap/>
            <w:vAlign w:val="center"/>
            <w:hideMark/>
          </w:tcPr>
          <w:p w14:paraId="07E6F3C1"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8</w:t>
            </w:r>
          </w:p>
        </w:tc>
        <w:tc>
          <w:tcPr>
            <w:tcW w:w="3960" w:type="dxa"/>
            <w:tcBorders>
              <w:top w:val="nil"/>
              <w:left w:val="nil"/>
              <w:bottom w:val="nil"/>
              <w:right w:val="nil"/>
            </w:tcBorders>
            <w:shd w:val="clear" w:color="auto" w:fill="auto"/>
            <w:noWrap/>
            <w:vAlign w:val="center"/>
            <w:hideMark/>
          </w:tcPr>
          <w:p w14:paraId="4221E4CA"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Valor residual inversión</w:t>
            </w:r>
          </w:p>
        </w:tc>
        <w:tc>
          <w:tcPr>
            <w:tcW w:w="236" w:type="dxa"/>
            <w:tcBorders>
              <w:top w:val="nil"/>
              <w:left w:val="nil"/>
              <w:bottom w:val="nil"/>
              <w:right w:val="nil"/>
            </w:tcBorders>
            <w:shd w:val="clear" w:color="auto" w:fill="auto"/>
            <w:noWrap/>
            <w:vAlign w:val="center"/>
            <w:hideMark/>
          </w:tcPr>
          <w:p w14:paraId="295303A2" w14:textId="77777777" w:rsidR="00AB15D5" w:rsidRPr="00E95F7E" w:rsidRDefault="00AB15D5" w:rsidP="002F4186">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70BF270E"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704A2FAE"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6914201E"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44210D1E"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43011928"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1C2EE488"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4E01F672"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3C58405E"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20AA1E88"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+RI</w:t>
            </w:r>
          </w:p>
        </w:tc>
      </w:tr>
      <w:tr w:rsidR="00AB15D5" w:rsidRPr="00E95F7E" w14:paraId="4D44FF47" w14:textId="77777777" w:rsidTr="002F4186">
        <w:trPr>
          <w:trHeight w:val="262"/>
        </w:trPr>
        <w:tc>
          <w:tcPr>
            <w:tcW w:w="372" w:type="dxa"/>
            <w:tcBorders>
              <w:top w:val="nil"/>
              <w:left w:val="nil"/>
              <w:bottom w:val="nil"/>
              <w:right w:val="nil"/>
            </w:tcBorders>
            <w:shd w:val="clear" w:color="auto" w:fill="auto"/>
            <w:noWrap/>
            <w:vAlign w:val="center"/>
            <w:hideMark/>
          </w:tcPr>
          <w:p w14:paraId="018EA2FF"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9</w:t>
            </w:r>
          </w:p>
        </w:tc>
        <w:tc>
          <w:tcPr>
            <w:tcW w:w="3960" w:type="dxa"/>
            <w:tcBorders>
              <w:top w:val="single" w:sz="4" w:space="0" w:color="auto"/>
              <w:left w:val="nil"/>
              <w:bottom w:val="single" w:sz="4" w:space="0" w:color="auto"/>
              <w:right w:val="nil"/>
            </w:tcBorders>
            <w:shd w:val="clear" w:color="auto" w:fill="auto"/>
            <w:noWrap/>
            <w:vAlign w:val="center"/>
            <w:hideMark/>
          </w:tcPr>
          <w:p w14:paraId="580FD44C" w14:textId="77777777" w:rsidR="00AB15D5" w:rsidRPr="00E95F7E" w:rsidRDefault="00AB15D5" w:rsidP="002F4186">
            <w:pPr>
              <w:spacing w:after="0" w:line="240" w:lineRule="auto"/>
              <w:rPr>
                <w:rFonts w:ascii="Arial" w:eastAsia="Times New Roman" w:hAnsi="Arial" w:cs="Arial"/>
                <w:b/>
                <w:bCs/>
                <w:color w:val="000000"/>
                <w:sz w:val="14"/>
                <w:szCs w:val="18"/>
                <w:lang w:val="es-ES_tradnl" w:eastAsia="en-US"/>
              </w:rPr>
            </w:pPr>
            <w:r w:rsidRPr="00E95F7E">
              <w:rPr>
                <w:rFonts w:ascii="Arial" w:eastAsia="Times New Roman" w:hAnsi="Arial" w:cs="Arial"/>
                <w:b/>
                <w:bCs/>
                <w:color w:val="000000"/>
                <w:sz w:val="14"/>
                <w:szCs w:val="18"/>
                <w:lang w:val="es-ES_tradnl" w:eastAsia="en-US"/>
              </w:rPr>
              <w:t>Ingresos operativos</w:t>
            </w:r>
          </w:p>
        </w:tc>
        <w:tc>
          <w:tcPr>
            <w:tcW w:w="236" w:type="dxa"/>
            <w:tcBorders>
              <w:top w:val="nil"/>
              <w:left w:val="nil"/>
              <w:bottom w:val="nil"/>
              <w:right w:val="nil"/>
            </w:tcBorders>
            <w:shd w:val="clear" w:color="auto" w:fill="auto"/>
            <w:noWrap/>
            <w:vAlign w:val="center"/>
            <w:hideMark/>
          </w:tcPr>
          <w:p w14:paraId="72504245" w14:textId="77777777" w:rsidR="00AB15D5" w:rsidRPr="00E95F7E" w:rsidRDefault="00AB15D5" w:rsidP="002F4186">
            <w:pPr>
              <w:spacing w:after="0" w:line="240" w:lineRule="auto"/>
              <w:rPr>
                <w:rFonts w:ascii="Arial" w:eastAsia="Times New Roman" w:hAnsi="Arial" w:cs="Arial"/>
                <w:b/>
                <w:bCs/>
                <w:color w:val="000000"/>
                <w:sz w:val="18"/>
                <w:szCs w:val="18"/>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0C0B547E"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29B53054"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270BD617"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0C210674"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6A01384D"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4BD9C999"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7D17D46F"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163DAF12"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57720C0C"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r>
      <w:tr w:rsidR="00AB15D5" w:rsidRPr="00E95F7E" w14:paraId="5BDDA4A8" w14:textId="77777777" w:rsidTr="002F4186">
        <w:trPr>
          <w:trHeight w:val="262"/>
        </w:trPr>
        <w:tc>
          <w:tcPr>
            <w:tcW w:w="372" w:type="dxa"/>
            <w:tcBorders>
              <w:top w:val="nil"/>
              <w:left w:val="nil"/>
              <w:bottom w:val="nil"/>
              <w:right w:val="nil"/>
            </w:tcBorders>
            <w:shd w:val="clear" w:color="auto" w:fill="auto"/>
            <w:noWrap/>
            <w:vAlign w:val="center"/>
            <w:hideMark/>
          </w:tcPr>
          <w:p w14:paraId="6B02153E"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10</w:t>
            </w:r>
          </w:p>
        </w:tc>
        <w:tc>
          <w:tcPr>
            <w:tcW w:w="3960" w:type="dxa"/>
            <w:tcBorders>
              <w:top w:val="nil"/>
              <w:left w:val="nil"/>
              <w:bottom w:val="nil"/>
              <w:right w:val="nil"/>
            </w:tcBorders>
            <w:shd w:val="clear" w:color="auto" w:fill="auto"/>
            <w:noWrap/>
            <w:vAlign w:val="center"/>
            <w:hideMark/>
          </w:tcPr>
          <w:p w14:paraId="49F5CC2E"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Flujos de ingresos sin proyecto</w:t>
            </w:r>
          </w:p>
        </w:tc>
        <w:tc>
          <w:tcPr>
            <w:tcW w:w="236" w:type="dxa"/>
            <w:tcBorders>
              <w:top w:val="nil"/>
              <w:left w:val="nil"/>
              <w:bottom w:val="nil"/>
              <w:right w:val="nil"/>
            </w:tcBorders>
            <w:shd w:val="clear" w:color="auto" w:fill="auto"/>
            <w:noWrap/>
            <w:vAlign w:val="center"/>
            <w:hideMark/>
          </w:tcPr>
          <w:p w14:paraId="75A6E6D6" w14:textId="77777777" w:rsidR="00AB15D5" w:rsidRPr="00E95F7E" w:rsidRDefault="00AB15D5" w:rsidP="002F4186">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1EF28FB0"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5A7F14CC"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584DC959"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+VSP</w:t>
            </w:r>
          </w:p>
        </w:tc>
        <w:tc>
          <w:tcPr>
            <w:tcW w:w="249" w:type="dxa"/>
            <w:tcBorders>
              <w:top w:val="nil"/>
              <w:left w:val="nil"/>
              <w:bottom w:val="nil"/>
              <w:right w:val="nil"/>
            </w:tcBorders>
            <w:shd w:val="clear" w:color="auto" w:fill="auto"/>
            <w:noWrap/>
            <w:vAlign w:val="center"/>
            <w:hideMark/>
          </w:tcPr>
          <w:p w14:paraId="3B32431C"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1245529B"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+VSP</w:t>
            </w:r>
          </w:p>
        </w:tc>
        <w:tc>
          <w:tcPr>
            <w:tcW w:w="249" w:type="dxa"/>
            <w:tcBorders>
              <w:top w:val="nil"/>
              <w:left w:val="nil"/>
              <w:bottom w:val="nil"/>
              <w:right w:val="nil"/>
            </w:tcBorders>
            <w:shd w:val="clear" w:color="auto" w:fill="auto"/>
            <w:noWrap/>
            <w:vAlign w:val="center"/>
            <w:hideMark/>
          </w:tcPr>
          <w:p w14:paraId="087EB816"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0068EB2E"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5412E641"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74181B56"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+VSP</w:t>
            </w:r>
          </w:p>
        </w:tc>
      </w:tr>
      <w:tr w:rsidR="00AB15D5" w:rsidRPr="00E95F7E" w14:paraId="169D3769" w14:textId="77777777" w:rsidTr="002F4186">
        <w:trPr>
          <w:trHeight w:val="262"/>
        </w:trPr>
        <w:tc>
          <w:tcPr>
            <w:tcW w:w="372" w:type="dxa"/>
            <w:tcBorders>
              <w:top w:val="nil"/>
              <w:left w:val="nil"/>
              <w:bottom w:val="nil"/>
              <w:right w:val="nil"/>
            </w:tcBorders>
            <w:shd w:val="clear" w:color="auto" w:fill="auto"/>
            <w:noWrap/>
            <w:vAlign w:val="center"/>
            <w:hideMark/>
          </w:tcPr>
          <w:p w14:paraId="6102A8F5"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11</w:t>
            </w:r>
          </w:p>
        </w:tc>
        <w:tc>
          <w:tcPr>
            <w:tcW w:w="3960" w:type="dxa"/>
            <w:tcBorders>
              <w:top w:val="nil"/>
              <w:left w:val="nil"/>
              <w:bottom w:val="nil"/>
              <w:right w:val="nil"/>
            </w:tcBorders>
            <w:shd w:val="clear" w:color="auto" w:fill="auto"/>
            <w:noWrap/>
            <w:vAlign w:val="center"/>
            <w:hideMark/>
          </w:tcPr>
          <w:p w14:paraId="3E18965F"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Flujos de ingresos con proyecto</w:t>
            </w:r>
          </w:p>
        </w:tc>
        <w:tc>
          <w:tcPr>
            <w:tcW w:w="236" w:type="dxa"/>
            <w:tcBorders>
              <w:top w:val="nil"/>
              <w:left w:val="nil"/>
              <w:bottom w:val="nil"/>
              <w:right w:val="nil"/>
            </w:tcBorders>
            <w:shd w:val="clear" w:color="auto" w:fill="auto"/>
            <w:noWrap/>
            <w:vAlign w:val="center"/>
            <w:hideMark/>
          </w:tcPr>
          <w:p w14:paraId="504D8C68" w14:textId="77777777" w:rsidR="00AB15D5" w:rsidRPr="00E95F7E" w:rsidRDefault="00AB15D5" w:rsidP="002F4186">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4A106013"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7142A120"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242C3BDE"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+VCP</w:t>
            </w:r>
          </w:p>
        </w:tc>
        <w:tc>
          <w:tcPr>
            <w:tcW w:w="249" w:type="dxa"/>
            <w:tcBorders>
              <w:top w:val="nil"/>
              <w:left w:val="nil"/>
              <w:bottom w:val="nil"/>
              <w:right w:val="nil"/>
            </w:tcBorders>
            <w:shd w:val="clear" w:color="auto" w:fill="auto"/>
            <w:noWrap/>
            <w:vAlign w:val="center"/>
            <w:hideMark/>
          </w:tcPr>
          <w:p w14:paraId="50017536"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62FA6FFB"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+VCP</w:t>
            </w:r>
          </w:p>
        </w:tc>
        <w:tc>
          <w:tcPr>
            <w:tcW w:w="249" w:type="dxa"/>
            <w:tcBorders>
              <w:top w:val="nil"/>
              <w:left w:val="nil"/>
              <w:bottom w:val="nil"/>
              <w:right w:val="nil"/>
            </w:tcBorders>
            <w:shd w:val="clear" w:color="auto" w:fill="auto"/>
            <w:noWrap/>
            <w:vAlign w:val="center"/>
            <w:hideMark/>
          </w:tcPr>
          <w:p w14:paraId="3CA6E872"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6A302558"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54158931"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593D100A"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+VCP</w:t>
            </w:r>
          </w:p>
        </w:tc>
      </w:tr>
      <w:tr w:rsidR="00AB15D5" w:rsidRPr="00E95F7E" w14:paraId="62B9D048" w14:textId="77777777" w:rsidTr="002F4186">
        <w:trPr>
          <w:trHeight w:val="262"/>
        </w:trPr>
        <w:tc>
          <w:tcPr>
            <w:tcW w:w="372" w:type="dxa"/>
            <w:tcBorders>
              <w:top w:val="nil"/>
              <w:left w:val="nil"/>
              <w:bottom w:val="nil"/>
              <w:right w:val="nil"/>
            </w:tcBorders>
            <w:shd w:val="clear" w:color="auto" w:fill="auto"/>
            <w:noWrap/>
            <w:vAlign w:val="center"/>
            <w:hideMark/>
          </w:tcPr>
          <w:p w14:paraId="28638093"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12</w:t>
            </w:r>
          </w:p>
        </w:tc>
        <w:tc>
          <w:tcPr>
            <w:tcW w:w="3960" w:type="dxa"/>
            <w:tcBorders>
              <w:top w:val="nil"/>
              <w:left w:val="nil"/>
              <w:bottom w:val="nil"/>
              <w:right w:val="nil"/>
            </w:tcBorders>
            <w:shd w:val="clear" w:color="auto" w:fill="auto"/>
            <w:noWrap/>
            <w:vAlign w:val="center"/>
            <w:hideMark/>
          </w:tcPr>
          <w:p w14:paraId="0C48618B"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Flujo de ing. dif. asociados a la realización del proyecto</w:t>
            </w:r>
          </w:p>
        </w:tc>
        <w:tc>
          <w:tcPr>
            <w:tcW w:w="236" w:type="dxa"/>
            <w:tcBorders>
              <w:top w:val="nil"/>
              <w:left w:val="nil"/>
              <w:bottom w:val="nil"/>
              <w:right w:val="nil"/>
            </w:tcBorders>
            <w:shd w:val="clear" w:color="auto" w:fill="auto"/>
            <w:noWrap/>
            <w:vAlign w:val="center"/>
            <w:hideMark/>
          </w:tcPr>
          <w:p w14:paraId="4FD2D8AD" w14:textId="77777777" w:rsidR="00AB15D5" w:rsidRPr="00E95F7E" w:rsidRDefault="00AB15D5" w:rsidP="002F4186">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66CF541D"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3ADAD29F"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77CF01CA"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Δ VP</w:t>
            </w:r>
          </w:p>
        </w:tc>
        <w:tc>
          <w:tcPr>
            <w:tcW w:w="249" w:type="dxa"/>
            <w:tcBorders>
              <w:top w:val="nil"/>
              <w:left w:val="nil"/>
              <w:bottom w:val="nil"/>
              <w:right w:val="nil"/>
            </w:tcBorders>
            <w:shd w:val="clear" w:color="auto" w:fill="auto"/>
            <w:noWrap/>
            <w:vAlign w:val="center"/>
            <w:hideMark/>
          </w:tcPr>
          <w:p w14:paraId="5B848F07"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076FE812"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Δ VP</w:t>
            </w:r>
          </w:p>
        </w:tc>
        <w:tc>
          <w:tcPr>
            <w:tcW w:w="249" w:type="dxa"/>
            <w:tcBorders>
              <w:top w:val="nil"/>
              <w:left w:val="nil"/>
              <w:bottom w:val="nil"/>
              <w:right w:val="nil"/>
            </w:tcBorders>
            <w:shd w:val="clear" w:color="auto" w:fill="auto"/>
            <w:noWrap/>
            <w:vAlign w:val="center"/>
            <w:hideMark/>
          </w:tcPr>
          <w:p w14:paraId="6B26BCEC"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482AA764"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27647255"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5382F9E6"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Δ VP</w:t>
            </w:r>
          </w:p>
        </w:tc>
      </w:tr>
      <w:tr w:rsidR="00AB15D5" w:rsidRPr="00E95F7E" w14:paraId="3C59F554" w14:textId="77777777" w:rsidTr="002F4186">
        <w:trPr>
          <w:trHeight w:val="262"/>
        </w:trPr>
        <w:tc>
          <w:tcPr>
            <w:tcW w:w="372" w:type="dxa"/>
            <w:tcBorders>
              <w:top w:val="nil"/>
              <w:left w:val="nil"/>
              <w:bottom w:val="nil"/>
              <w:right w:val="nil"/>
            </w:tcBorders>
            <w:shd w:val="clear" w:color="auto" w:fill="auto"/>
            <w:noWrap/>
            <w:vAlign w:val="center"/>
            <w:hideMark/>
          </w:tcPr>
          <w:p w14:paraId="0D78514C"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13</w:t>
            </w:r>
          </w:p>
        </w:tc>
        <w:tc>
          <w:tcPr>
            <w:tcW w:w="3960" w:type="dxa"/>
            <w:tcBorders>
              <w:top w:val="single" w:sz="4" w:space="0" w:color="auto"/>
              <w:left w:val="nil"/>
              <w:bottom w:val="single" w:sz="4" w:space="0" w:color="auto"/>
              <w:right w:val="nil"/>
            </w:tcBorders>
            <w:shd w:val="clear" w:color="auto" w:fill="auto"/>
            <w:noWrap/>
            <w:vAlign w:val="center"/>
            <w:hideMark/>
          </w:tcPr>
          <w:p w14:paraId="5BD37CBE" w14:textId="77777777" w:rsidR="00AB15D5" w:rsidRPr="00E95F7E" w:rsidRDefault="00AB15D5" w:rsidP="002F4186">
            <w:pPr>
              <w:spacing w:after="0" w:line="240" w:lineRule="auto"/>
              <w:rPr>
                <w:rFonts w:ascii="Arial" w:eastAsia="Times New Roman" w:hAnsi="Arial" w:cs="Arial"/>
                <w:b/>
                <w:bCs/>
                <w:color w:val="000000"/>
                <w:sz w:val="14"/>
                <w:szCs w:val="18"/>
                <w:lang w:val="es-ES_tradnl" w:eastAsia="en-US"/>
              </w:rPr>
            </w:pPr>
            <w:r w:rsidRPr="00E95F7E">
              <w:rPr>
                <w:rFonts w:ascii="Arial" w:eastAsia="Times New Roman" w:hAnsi="Arial" w:cs="Arial"/>
                <w:b/>
                <w:bCs/>
                <w:color w:val="000000"/>
                <w:sz w:val="14"/>
                <w:szCs w:val="18"/>
                <w:lang w:val="es-ES_tradnl" w:eastAsia="en-US"/>
              </w:rPr>
              <w:t>Egresos operativos</w:t>
            </w:r>
          </w:p>
        </w:tc>
        <w:tc>
          <w:tcPr>
            <w:tcW w:w="236" w:type="dxa"/>
            <w:tcBorders>
              <w:top w:val="nil"/>
              <w:left w:val="nil"/>
              <w:bottom w:val="nil"/>
              <w:right w:val="nil"/>
            </w:tcBorders>
            <w:shd w:val="clear" w:color="auto" w:fill="auto"/>
            <w:noWrap/>
            <w:vAlign w:val="center"/>
            <w:hideMark/>
          </w:tcPr>
          <w:p w14:paraId="5B655E56" w14:textId="77777777" w:rsidR="00AB15D5" w:rsidRPr="00E95F7E" w:rsidRDefault="00AB15D5" w:rsidP="002F4186">
            <w:pPr>
              <w:spacing w:after="0" w:line="240" w:lineRule="auto"/>
              <w:rPr>
                <w:rFonts w:ascii="Arial" w:eastAsia="Times New Roman" w:hAnsi="Arial" w:cs="Arial"/>
                <w:b/>
                <w:bCs/>
                <w:color w:val="000000"/>
                <w:sz w:val="18"/>
                <w:szCs w:val="18"/>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5AE0F6DC"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036B4C2A"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46558C7F"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5AFBC88A"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08493F43"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7D0C9ABE"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67996E12"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04209CE8"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72302720"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r>
      <w:tr w:rsidR="00AB15D5" w:rsidRPr="00E95F7E" w14:paraId="0D859A61" w14:textId="77777777" w:rsidTr="002F4186">
        <w:trPr>
          <w:trHeight w:val="262"/>
        </w:trPr>
        <w:tc>
          <w:tcPr>
            <w:tcW w:w="372" w:type="dxa"/>
            <w:tcBorders>
              <w:top w:val="nil"/>
              <w:left w:val="nil"/>
              <w:bottom w:val="nil"/>
              <w:right w:val="nil"/>
            </w:tcBorders>
            <w:shd w:val="clear" w:color="auto" w:fill="auto"/>
            <w:noWrap/>
            <w:vAlign w:val="center"/>
            <w:hideMark/>
          </w:tcPr>
          <w:p w14:paraId="62257759"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14</w:t>
            </w:r>
          </w:p>
        </w:tc>
        <w:tc>
          <w:tcPr>
            <w:tcW w:w="3960" w:type="dxa"/>
            <w:tcBorders>
              <w:top w:val="nil"/>
              <w:left w:val="nil"/>
              <w:bottom w:val="nil"/>
              <w:right w:val="nil"/>
            </w:tcBorders>
            <w:shd w:val="clear" w:color="auto" w:fill="auto"/>
            <w:noWrap/>
            <w:vAlign w:val="center"/>
            <w:hideMark/>
          </w:tcPr>
          <w:p w14:paraId="52607762"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Flujos de egresos sin proyecto</w:t>
            </w:r>
          </w:p>
        </w:tc>
        <w:tc>
          <w:tcPr>
            <w:tcW w:w="236" w:type="dxa"/>
            <w:tcBorders>
              <w:top w:val="nil"/>
              <w:left w:val="nil"/>
              <w:bottom w:val="nil"/>
              <w:right w:val="nil"/>
            </w:tcBorders>
            <w:shd w:val="clear" w:color="auto" w:fill="auto"/>
            <w:noWrap/>
            <w:vAlign w:val="center"/>
            <w:hideMark/>
          </w:tcPr>
          <w:p w14:paraId="59D0D393" w14:textId="77777777" w:rsidR="00AB15D5" w:rsidRPr="00E95F7E" w:rsidRDefault="00AB15D5" w:rsidP="002F4186">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3B519A99"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44A4C483"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0013A2C5"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-CSP</w:t>
            </w:r>
          </w:p>
        </w:tc>
        <w:tc>
          <w:tcPr>
            <w:tcW w:w="249" w:type="dxa"/>
            <w:tcBorders>
              <w:top w:val="nil"/>
              <w:left w:val="nil"/>
              <w:bottom w:val="nil"/>
              <w:right w:val="nil"/>
            </w:tcBorders>
            <w:shd w:val="clear" w:color="auto" w:fill="auto"/>
            <w:noWrap/>
            <w:vAlign w:val="center"/>
            <w:hideMark/>
          </w:tcPr>
          <w:p w14:paraId="0C58167E"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2A6398B9"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-CSP</w:t>
            </w:r>
          </w:p>
        </w:tc>
        <w:tc>
          <w:tcPr>
            <w:tcW w:w="249" w:type="dxa"/>
            <w:tcBorders>
              <w:top w:val="nil"/>
              <w:left w:val="nil"/>
              <w:bottom w:val="nil"/>
              <w:right w:val="nil"/>
            </w:tcBorders>
            <w:shd w:val="clear" w:color="auto" w:fill="auto"/>
            <w:noWrap/>
            <w:vAlign w:val="center"/>
            <w:hideMark/>
          </w:tcPr>
          <w:p w14:paraId="49E6B423"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32997C8E"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454C2542"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153E2E5E"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-CSP</w:t>
            </w:r>
          </w:p>
        </w:tc>
      </w:tr>
      <w:tr w:rsidR="00AB15D5" w:rsidRPr="00E95F7E" w14:paraId="1ADCF9AC" w14:textId="77777777" w:rsidTr="002F4186">
        <w:trPr>
          <w:trHeight w:val="262"/>
        </w:trPr>
        <w:tc>
          <w:tcPr>
            <w:tcW w:w="372" w:type="dxa"/>
            <w:tcBorders>
              <w:top w:val="nil"/>
              <w:left w:val="nil"/>
              <w:bottom w:val="nil"/>
              <w:right w:val="nil"/>
            </w:tcBorders>
            <w:shd w:val="clear" w:color="auto" w:fill="auto"/>
            <w:noWrap/>
            <w:vAlign w:val="center"/>
            <w:hideMark/>
          </w:tcPr>
          <w:p w14:paraId="598020A0"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15</w:t>
            </w:r>
          </w:p>
        </w:tc>
        <w:tc>
          <w:tcPr>
            <w:tcW w:w="3960" w:type="dxa"/>
            <w:tcBorders>
              <w:top w:val="nil"/>
              <w:left w:val="nil"/>
              <w:bottom w:val="nil"/>
              <w:right w:val="nil"/>
            </w:tcBorders>
            <w:shd w:val="clear" w:color="auto" w:fill="auto"/>
            <w:noWrap/>
            <w:vAlign w:val="center"/>
            <w:hideMark/>
          </w:tcPr>
          <w:p w14:paraId="23708C78"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Flujos de egresos con proyecto</w:t>
            </w:r>
          </w:p>
        </w:tc>
        <w:tc>
          <w:tcPr>
            <w:tcW w:w="236" w:type="dxa"/>
            <w:tcBorders>
              <w:top w:val="nil"/>
              <w:left w:val="nil"/>
              <w:bottom w:val="nil"/>
              <w:right w:val="nil"/>
            </w:tcBorders>
            <w:shd w:val="clear" w:color="auto" w:fill="auto"/>
            <w:noWrap/>
            <w:vAlign w:val="center"/>
            <w:hideMark/>
          </w:tcPr>
          <w:p w14:paraId="2FC9921D" w14:textId="77777777" w:rsidR="00AB15D5" w:rsidRPr="00E95F7E" w:rsidRDefault="00AB15D5" w:rsidP="002F4186">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62F7370D"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4107E9BB"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679E7602"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-CCP</w:t>
            </w:r>
          </w:p>
        </w:tc>
        <w:tc>
          <w:tcPr>
            <w:tcW w:w="249" w:type="dxa"/>
            <w:tcBorders>
              <w:top w:val="nil"/>
              <w:left w:val="nil"/>
              <w:bottom w:val="nil"/>
              <w:right w:val="nil"/>
            </w:tcBorders>
            <w:shd w:val="clear" w:color="auto" w:fill="auto"/>
            <w:noWrap/>
            <w:vAlign w:val="center"/>
            <w:hideMark/>
          </w:tcPr>
          <w:p w14:paraId="45222B14"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4ADB7DE0"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-CCP</w:t>
            </w:r>
          </w:p>
        </w:tc>
        <w:tc>
          <w:tcPr>
            <w:tcW w:w="249" w:type="dxa"/>
            <w:tcBorders>
              <w:top w:val="nil"/>
              <w:left w:val="nil"/>
              <w:bottom w:val="nil"/>
              <w:right w:val="nil"/>
            </w:tcBorders>
            <w:shd w:val="clear" w:color="auto" w:fill="auto"/>
            <w:noWrap/>
            <w:vAlign w:val="center"/>
            <w:hideMark/>
          </w:tcPr>
          <w:p w14:paraId="6178CB85"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7224A2A7"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0280CBBF"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2215013B"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-CCP</w:t>
            </w:r>
          </w:p>
        </w:tc>
      </w:tr>
      <w:tr w:rsidR="00AB15D5" w:rsidRPr="00E95F7E" w14:paraId="53680A7F" w14:textId="77777777" w:rsidTr="002F4186">
        <w:trPr>
          <w:trHeight w:val="262"/>
        </w:trPr>
        <w:tc>
          <w:tcPr>
            <w:tcW w:w="372" w:type="dxa"/>
            <w:tcBorders>
              <w:top w:val="nil"/>
              <w:left w:val="nil"/>
              <w:bottom w:val="nil"/>
              <w:right w:val="nil"/>
            </w:tcBorders>
            <w:shd w:val="clear" w:color="auto" w:fill="auto"/>
            <w:noWrap/>
            <w:vAlign w:val="center"/>
            <w:hideMark/>
          </w:tcPr>
          <w:p w14:paraId="2A62FFAC"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16</w:t>
            </w:r>
          </w:p>
        </w:tc>
        <w:tc>
          <w:tcPr>
            <w:tcW w:w="3960" w:type="dxa"/>
            <w:tcBorders>
              <w:top w:val="nil"/>
              <w:left w:val="nil"/>
              <w:bottom w:val="nil"/>
              <w:right w:val="nil"/>
            </w:tcBorders>
            <w:shd w:val="clear" w:color="auto" w:fill="auto"/>
            <w:noWrap/>
            <w:vAlign w:val="center"/>
            <w:hideMark/>
          </w:tcPr>
          <w:p w14:paraId="32F72833"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Flujo de egresos. dif. asociados a la realización del proyecto</w:t>
            </w:r>
          </w:p>
        </w:tc>
        <w:tc>
          <w:tcPr>
            <w:tcW w:w="236" w:type="dxa"/>
            <w:tcBorders>
              <w:top w:val="nil"/>
              <w:left w:val="nil"/>
              <w:bottom w:val="nil"/>
              <w:right w:val="nil"/>
            </w:tcBorders>
            <w:shd w:val="clear" w:color="auto" w:fill="auto"/>
            <w:noWrap/>
            <w:vAlign w:val="center"/>
            <w:hideMark/>
          </w:tcPr>
          <w:p w14:paraId="4ECE07A4" w14:textId="77777777" w:rsidR="00AB15D5" w:rsidRPr="00E95F7E" w:rsidRDefault="00AB15D5" w:rsidP="002F4186">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5107F39F"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3919FAD2"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34B81EE2"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Δ CP</w:t>
            </w:r>
          </w:p>
        </w:tc>
        <w:tc>
          <w:tcPr>
            <w:tcW w:w="249" w:type="dxa"/>
            <w:tcBorders>
              <w:top w:val="nil"/>
              <w:left w:val="nil"/>
              <w:bottom w:val="nil"/>
              <w:right w:val="nil"/>
            </w:tcBorders>
            <w:shd w:val="clear" w:color="auto" w:fill="auto"/>
            <w:noWrap/>
            <w:vAlign w:val="center"/>
            <w:hideMark/>
          </w:tcPr>
          <w:p w14:paraId="1685A0B7"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1F735371"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Δ CP</w:t>
            </w:r>
          </w:p>
        </w:tc>
        <w:tc>
          <w:tcPr>
            <w:tcW w:w="249" w:type="dxa"/>
            <w:tcBorders>
              <w:top w:val="nil"/>
              <w:left w:val="nil"/>
              <w:bottom w:val="nil"/>
              <w:right w:val="nil"/>
            </w:tcBorders>
            <w:shd w:val="clear" w:color="auto" w:fill="auto"/>
            <w:noWrap/>
            <w:vAlign w:val="center"/>
            <w:hideMark/>
          </w:tcPr>
          <w:p w14:paraId="2654CA0E"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1DD830D0"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09D5581C"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58A1D4A8"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Δ CP</w:t>
            </w:r>
          </w:p>
        </w:tc>
      </w:tr>
      <w:tr w:rsidR="00AB15D5" w:rsidRPr="00E95F7E" w14:paraId="495474D8" w14:textId="77777777" w:rsidTr="002F4186">
        <w:trPr>
          <w:trHeight w:val="196"/>
        </w:trPr>
        <w:tc>
          <w:tcPr>
            <w:tcW w:w="372" w:type="dxa"/>
            <w:tcBorders>
              <w:top w:val="nil"/>
              <w:left w:val="nil"/>
              <w:bottom w:val="nil"/>
              <w:right w:val="nil"/>
            </w:tcBorders>
            <w:shd w:val="clear" w:color="auto" w:fill="auto"/>
            <w:noWrap/>
            <w:vAlign w:val="center"/>
            <w:hideMark/>
          </w:tcPr>
          <w:p w14:paraId="59677F54" w14:textId="77777777" w:rsidR="00AB15D5" w:rsidRPr="00E95F7E" w:rsidRDefault="00AB15D5" w:rsidP="002F4186">
            <w:pPr>
              <w:spacing w:after="0" w:line="240" w:lineRule="auto"/>
              <w:rPr>
                <w:rFonts w:ascii="Arial" w:eastAsia="Times New Roman" w:hAnsi="Arial" w:cs="Arial"/>
                <w:color w:val="000000"/>
                <w:sz w:val="14"/>
                <w:szCs w:val="14"/>
                <w:lang w:val="es-ES_tradnl" w:eastAsia="en-US"/>
              </w:rPr>
            </w:pPr>
          </w:p>
        </w:tc>
        <w:tc>
          <w:tcPr>
            <w:tcW w:w="3960" w:type="dxa"/>
            <w:tcBorders>
              <w:top w:val="nil"/>
              <w:left w:val="nil"/>
              <w:bottom w:val="nil"/>
              <w:right w:val="nil"/>
            </w:tcBorders>
            <w:shd w:val="clear" w:color="auto" w:fill="auto"/>
            <w:noWrap/>
            <w:vAlign w:val="center"/>
            <w:hideMark/>
          </w:tcPr>
          <w:p w14:paraId="728CA782" w14:textId="77777777" w:rsidR="00AB15D5" w:rsidRPr="00E95F7E" w:rsidRDefault="00AB15D5" w:rsidP="002F4186">
            <w:pPr>
              <w:spacing w:after="0" w:line="240" w:lineRule="auto"/>
              <w:rPr>
                <w:rFonts w:ascii="Times New Roman" w:eastAsia="Times New Roman" w:hAnsi="Times New Roman" w:cs="Times New Roman"/>
                <w:sz w:val="14"/>
                <w:szCs w:val="20"/>
                <w:lang w:val="es-ES_tradnl" w:eastAsia="en-US"/>
              </w:rPr>
            </w:pPr>
          </w:p>
        </w:tc>
        <w:tc>
          <w:tcPr>
            <w:tcW w:w="236" w:type="dxa"/>
            <w:tcBorders>
              <w:top w:val="nil"/>
              <w:left w:val="nil"/>
              <w:bottom w:val="nil"/>
              <w:right w:val="nil"/>
            </w:tcBorders>
            <w:shd w:val="clear" w:color="auto" w:fill="auto"/>
            <w:noWrap/>
            <w:vAlign w:val="center"/>
            <w:hideMark/>
          </w:tcPr>
          <w:p w14:paraId="190318F2" w14:textId="77777777" w:rsidR="00AB15D5" w:rsidRPr="00E95F7E" w:rsidRDefault="00AB15D5" w:rsidP="002F4186">
            <w:pPr>
              <w:spacing w:after="0" w:line="240" w:lineRule="auto"/>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26E0B2FD"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153F5ACC"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3A8AF124"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7F51D248"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00FD1D0E"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0950502C"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6920504B"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17B54E50"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218A1500"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r>
      <w:tr w:rsidR="00AB15D5" w:rsidRPr="00E95F7E" w14:paraId="1D335A90" w14:textId="77777777" w:rsidTr="002F4186">
        <w:trPr>
          <w:trHeight w:val="262"/>
        </w:trPr>
        <w:tc>
          <w:tcPr>
            <w:tcW w:w="372" w:type="dxa"/>
            <w:tcBorders>
              <w:top w:val="nil"/>
              <w:left w:val="nil"/>
              <w:bottom w:val="nil"/>
              <w:right w:val="nil"/>
            </w:tcBorders>
            <w:shd w:val="clear" w:color="auto" w:fill="auto"/>
            <w:noWrap/>
            <w:vAlign w:val="center"/>
            <w:hideMark/>
          </w:tcPr>
          <w:p w14:paraId="48136620"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17</w:t>
            </w:r>
          </w:p>
        </w:tc>
        <w:tc>
          <w:tcPr>
            <w:tcW w:w="3960" w:type="dxa"/>
            <w:tcBorders>
              <w:top w:val="nil"/>
              <w:left w:val="nil"/>
              <w:bottom w:val="nil"/>
              <w:right w:val="nil"/>
            </w:tcBorders>
            <w:shd w:val="clear" w:color="auto" w:fill="auto"/>
            <w:noWrap/>
            <w:vAlign w:val="center"/>
            <w:hideMark/>
          </w:tcPr>
          <w:p w14:paraId="2B41A36E" w14:textId="77777777" w:rsidR="00AB15D5" w:rsidRPr="00E95F7E" w:rsidRDefault="00AB15D5" w:rsidP="002F4186">
            <w:pPr>
              <w:spacing w:after="0" w:line="240" w:lineRule="auto"/>
              <w:rPr>
                <w:rFonts w:ascii="Arial" w:eastAsia="Times New Roman" w:hAnsi="Arial" w:cs="Arial"/>
                <w:b/>
                <w:bCs/>
                <w:color w:val="000000"/>
                <w:sz w:val="14"/>
                <w:szCs w:val="18"/>
                <w:lang w:val="es-ES_tradnl" w:eastAsia="en-US"/>
              </w:rPr>
            </w:pPr>
            <w:r w:rsidRPr="00E95F7E">
              <w:rPr>
                <w:rFonts w:ascii="Arial" w:eastAsia="Times New Roman" w:hAnsi="Arial" w:cs="Arial"/>
                <w:b/>
                <w:bCs/>
                <w:color w:val="000000"/>
                <w:sz w:val="14"/>
                <w:szCs w:val="18"/>
                <w:lang w:val="es-ES_tradnl" w:eastAsia="en-US"/>
              </w:rPr>
              <w:t>Flujos netos</w:t>
            </w:r>
          </w:p>
        </w:tc>
        <w:tc>
          <w:tcPr>
            <w:tcW w:w="236" w:type="dxa"/>
            <w:tcBorders>
              <w:top w:val="nil"/>
              <w:left w:val="nil"/>
              <w:bottom w:val="nil"/>
              <w:right w:val="nil"/>
            </w:tcBorders>
            <w:shd w:val="clear" w:color="auto" w:fill="auto"/>
            <w:noWrap/>
            <w:vAlign w:val="center"/>
            <w:hideMark/>
          </w:tcPr>
          <w:p w14:paraId="10278995" w14:textId="77777777" w:rsidR="00AB15D5" w:rsidRPr="00E95F7E" w:rsidRDefault="00AB15D5" w:rsidP="002F4186">
            <w:pPr>
              <w:spacing w:after="0" w:line="240" w:lineRule="auto"/>
              <w:rPr>
                <w:rFonts w:ascii="Arial" w:eastAsia="Times New Roman" w:hAnsi="Arial" w:cs="Arial"/>
                <w:b/>
                <w:bCs/>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57D5CBB4"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3FF4A988" w14:textId="77777777" w:rsidR="00AB15D5" w:rsidRPr="00E95F7E" w:rsidRDefault="00AB15D5" w:rsidP="002F4186">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2818AAE3"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FN</w:t>
            </w:r>
          </w:p>
        </w:tc>
        <w:tc>
          <w:tcPr>
            <w:tcW w:w="249" w:type="dxa"/>
            <w:tcBorders>
              <w:top w:val="nil"/>
              <w:left w:val="nil"/>
              <w:bottom w:val="nil"/>
              <w:right w:val="nil"/>
            </w:tcBorders>
            <w:shd w:val="clear" w:color="auto" w:fill="auto"/>
            <w:noWrap/>
            <w:vAlign w:val="center"/>
            <w:hideMark/>
          </w:tcPr>
          <w:p w14:paraId="55609031"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74889DCF"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FN</w:t>
            </w:r>
          </w:p>
        </w:tc>
        <w:tc>
          <w:tcPr>
            <w:tcW w:w="249" w:type="dxa"/>
            <w:tcBorders>
              <w:top w:val="nil"/>
              <w:left w:val="nil"/>
              <w:bottom w:val="nil"/>
              <w:right w:val="nil"/>
            </w:tcBorders>
            <w:shd w:val="clear" w:color="auto" w:fill="auto"/>
            <w:noWrap/>
            <w:vAlign w:val="center"/>
            <w:hideMark/>
          </w:tcPr>
          <w:p w14:paraId="381B11A0"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017FF1AF"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FN</w:t>
            </w:r>
          </w:p>
        </w:tc>
        <w:tc>
          <w:tcPr>
            <w:tcW w:w="249" w:type="dxa"/>
            <w:tcBorders>
              <w:top w:val="nil"/>
              <w:left w:val="nil"/>
              <w:bottom w:val="nil"/>
              <w:right w:val="nil"/>
            </w:tcBorders>
            <w:shd w:val="clear" w:color="auto" w:fill="auto"/>
            <w:noWrap/>
            <w:vAlign w:val="center"/>
            <w:hideMark/>
          </w:tcPr>
          <w:p w14:paraId="24676FC9"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2F38481D"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FN</w:t>
            </w:r>
          </w:p>
        </w:tc>
      </w:tr>
      <w:tr w:rsidR="00AB15D5" w:rsidRPr="00E95F7E" w14:paraId="63986546" w14:textId="77777777" w:rsidTr="002F4186">
        <w:trPr>
          <w:trHeight w:val="262"/>
        </w:trPr>
        <w:tc>
          <w:tcPr>
            <w:tcW w:w="372" w:type="dxa"/>
            <w:tcBorders>
              <w:top w:val="nil"/>
              <w:left w:val="nil"/>
              <w:bottom w:val="single" w:sz="4" w:space="0" w:color="auto"/>
              <w:right w:val="nil"/>
            </w:tcBorders>
            <w:shd w:val="clear" w:color="auto" w:fill="auto"/>
            <w:noWrap/>
            <w:vAlign w:val="center"/>
            <w:hideMark/>
          </w:tcPr>
          <w:p w14:paraId="56261639" w14:textId="77777777" w:rsidR="00AB15D5" w:rsidRPr="00E95F7E" w:rsidRDefault="00AB15D5" w:rsidP="002F4186">
            <w:pPr>
              <w:spacing w:after="0" w:line="240" w:lineRule="auto"/>
              <w:rPr>
                <w:rFonts w:ascii="Arial" w:eastAsia="Times New Roman" w:hAnsi="Arial" w:cs="Arial"/>
                <w:color w:val="000000"/>
                <w:sz w:val="14"/>
                <w:szCs w:val="18"/>
                <w:lang w:val="es-ES_tradnl" w:eastAsia="en-US"/>
              </w:rPr>
            </w:pPr>
            <w:r w:rsidRPr="00E95F7E">
              <w:rPr>
                <w:rFonts w:ascii="Arial" w:eastAsia="Times New Roman" w:hAnsi="Arial" w:cs="Arial"/>
                <w:color w:val="000000"/>
                <w:sz w:val="14"/>
                <w:szCs w:val="18"/>
                <w:lang w:val="es-ES_tradnl" w:eastAsia="en-US"/>
              </w:rPr>
              <w:t>18</w:t>
            </w:r>
          </w:p>
        </w:tc>
        <w:tc>
          <w:tcPr>
            <w:tcW w:w="3960" w:type="dxa"/>
            <w:tcBorders>
              <w:top w:val="nil"/>
              <w:left w:val="nil"/>
              <w:bottom w:val="single" w:sz="4" w:space="0" w:color="auto"/>
              <w:right w:val="nil"/>
            </w:tcBorders>
            <w:shd w:val="clear" w:color="auto" w:fill="auto"/>
            <w:noWrap/>
            <w:vAlign w:val="center"/>
            <w:hideMark/>
          </w:tcPr>
          <w:p w14:paraId="0E2F6AFB" w14:textId="77777777" w:rsidR="00AB15D5" w:rsidRPr="00E95F7E" w:rsidRDefault="00AB15D5" w:rsidP="002F4186">
            <w:pPr>
              <w:spacing w:after="0" w:line="240" w:lineRule="auto"/>
              <w:rPr>
                <w:rFonts w:ascii="Arial" w:eastAsia="Times New Roman" w:hAnsi="Arial" w:cs="Arial"/>
                <w:b/>
                <w:bCs/>
                <w:color w:val="000000"/>
                <w:sz w:val="14"/>
                <w:szCs w:val="18"/>
                <w:lang w:val="es-ES_tradnl" w:eastAsia="en-US"/>
              </w:rPr>
            </w:pPr>
            <w:r w:rsidRPr="00E95F7E">
              <w:rPr>
                <w:rFonts w:ascii="Arial" w:eastAsia="Times New Roman" w:hAnsi="Arial" w:cs="Arial"/>
                <w:b/>
                <w:bCs/>
                <w:color w:val="000000"/>
                <w:sz w:val="14"/>
                <w:szCs w:val="18"/>
                <w:lang w:val="es-ES_tradnl" w:eastAsia="en-US"/>
              </w:rPr>
              <w:t>Valor presente flujos netos</w:t>
            </w:r>
          </w:p>
        </w:tc>
        <w:tc>
          <w:tcPr>
            <w:tcW w:w="236" w:type="dxa"/>
            <w:tcBorders>
              <w:top w:val="nil"/>
              <w:left w:val="nil"/>
              <w:bottom w:val="single" w:sz="4" w:space="0" w:color="auto"/>
              <w:right w:val="nil"/>
            </w:tcBorders>
            <w:shd w:val="clear" w:color="auto" w:fill="auto"/>
            <w:noWrap/>
            <w:vAlign w:val="center"/>
            <w:hideMark/>
          </w:tcPr>
          <w:p w14:paraId="4C27C7F2" w14:textId="77777777" w:rsidR="00AB15D5" w:rsidRPr="00E95F7E" w:rsidRDefault="00AB15D5" w:rsidP="002F4186">
            <w:pPr>
              <w:spacing w:after="0" w:line="240" w:lineRule="auto"/>
              <w:rPr>
                <w:rFonts w:ascii="Arial" w:eastAsia="Times New Roman" w:hAnsi="Arial" w:cs="Arial"/>
                <w:color w:val="000000"/>
                <w:sz w:val="18"/>
                <w:szCs w:val="18"/>
                <w:lang w:val="es-ES_tradnl" w:eastAsia="en-US"/>
              </w:rPr>
            </w:pPr>
            <w:r w:rsidRPr="00E95F7E">
              <w:rPr>
                <w:rFonts w:ascii="Arial" w:eastAsia="Times New Roman" w:hAnsi="Arial" w:cs="Arial"/>
                <w:color w:val="000000"/>
                <w:sz w:val="18"/>
                <w:szCs w:val="18"/>
                <w:lang w:val="es-ES_tradnl" w:eastAsia="en-US"/>
              </w:rPr>
              <w:t> </w:t>
            </w:r>
          </w:p>
        </w:tc>
        <w:tc>
          <w:tcPr>
            <w:tcW w:w="667" w:type="dxa"/>
            <w:tcBorders>
              <w:top w:val="nil"/>
              <w:left w:val="nil"/>
              <w:bottom w:val="single" w:sz="4" w:space="0" w:color="auto"/>
              <w:right w:val="nil"/>
            </w:tcBorders>
            <w:shd w:val="clear" w:color="auto" w:fill="auto"/>
            <w:noWrap/>
            <w:vAlign w:val="center"/>
            <w:hideMark/>
          </w:tcPr>
          <w:p w14:paraId="2D2E6190"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r w:rsidRPr="00E95F7E">
              <w:rPr>
                <w:rFonts w:ascii="Arial" w:eastAsia="Times New Roman" w:hAnsi="Arial" w:cs="Arial"/>
                <w:color w:val="000000"/>
                <w:sz w:val="14"/>
                <w:szCs w:val="14"/>
                <w:lang w:val="es-ES_tradnl" w:eastAsia="en-US"/>
              </w:rPr>
              <w:t>VPN</w:t>
            </w:r>
          </w:p>
        </w:tc>
        <w:tc>
          <w:tcPr>
            <w:tcW w:w="249" w:type="dxa"/>
            <w:tcBorders>
              <w:top w:val="nil"/>
              <w:left w:val="nil"/>
              <w:bottom w:val="single" w:sz="4" w:space="0" w:color="auto"/>
              <w:right w:val="nil"/>
            </w:tcBorders>
            <w:shd w:val="clear" w:color="auto" w:fill="auto"/>
            <w:noWrap/>
            <w:vAlign w:val="center"/>
            <w:hideMark/>
          </w:tcPr>
          <w:p w14:paraId="67619233"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253293E8"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single" w:sz="4" w:space="0" w:color="auto"/>
              <w:right w:val="nil"/>
            </w:tcBorders>
            <w:shd w:val="clear" w:color="auto" w:fill="auto"/>
            <w:noWrap/>
            <w:vAlign w:val="center"/>
            <w:hideMark/>
          </w:tcPr>
          <w:p w14:paraId="2060FBE8"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43ACB7D7"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single" w:sz="4" w:space="0" w:color="auto"/>
              <w:right w:val="nil"/>
            </w:tcBorders>
            <w:shd w:val="clear" w:color="auto" w:fill="auto"/>
            <w:noWrap/>
            <w:vAlign w:val="center"/>
            <w:hideMark/>
          </w:tcPr>
          <w:p w14:paraId="541594A9"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5AF50444"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single" w:sz="4" w:space="0" w:color="auto"/>
              <w:right w:val="nil"/>
            </w:tcBorders>
            <w:shd w:val="clear" w:color="auto" w:fill="auto"/>
            <w:noWrap/>
            <w:vAlign w:val="center"/>
            <w:hideMark/>
          </w:tcPr>
          <w:p w14:paraId="04B17BA0"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27E05137" w14:textId="77777777" w:rsidR="00AB15D5" w:rsidRPr="00E95F7E" w:rsidRDefault="00AB15D5" w:rsidP="002F4186">
            <w:pPr>
              <w:spacing w:after="0" w:line="240" w:lineRule="auto"/>
              <w:jc w:val="center"/>
              <w:rPr>
                <w:rFonts w:ascii="Arial" w:eastAsia="Times New Roman" w:hAnsi="Arial" w:cs="Arial"/>
                <w:color w:val="000000"/>
                <w:sz w:val="14"/>
                <w:szCs w:val="14"/>
                <w:lang w:val="es-ES_tradnl" w:eastAsia="en-US"/>
              </w:rPr>
            </w:pPr>
          </w:p>
        </w:tc>
      </w:tr>
    </w:tbl>
    <w:p w14:paraId="68721468" w14:textId="77777777" w:rsidR="0066029A" w:rsidRPr="00A84DC3" w:rsidRDefault="0066029A" w:rsidP="008D2A08">
      <w:pPr>
        <w:pStyle w:val="Paragraph"/>
        <w:numPr>
          <w:ilvl w:val="0"/>
          <w:numId w:val="0"/>
        </w:numPr>
        <w:ind w:left="720"/>
        <w:rPr>
          <w:rFonts w:ascii="Arial" w:hAnsi="Arial" w:cs="Arial"/>
          <w:sz w:val="22"/>
          <w:szCs w:val="22"/>
          <w:lang w:val="es-ES"/>
        </w:rPr>
      </w:pPr>
    </w:p>
    <w:p w14:paraId="7B85BBC9" w14:textId="348AAEB6" w:rsidR="0066029A" w:rsidRDefault="00524B21" w:rsidP="008738E1">
      <w:pPr>
        <w:pStyle w:val="Paragraph"/>
        <w:tabs>
          <w:tab w:val="num" w:pos="720"/>
        </w:tabs>
        <w:ind w:left="720" w:hanging="720"/>
        <w:rPr>
          <w:rFonts w:ascii="Arial" w:hAnsi="Arial" w:cs="Arial"/>
          <w:sz w:val="22"/>
          <w:szCs w:val="22"/>
          <w:lang w:val="es-ES"/>
        </w:rPr>
      </w:pPr>
      <w:r w:rsidRPr="00A84DC3">
        <w:rPr>
          <w:rFonts w:ascii="Arial" w:hAnsi="Arial" w:cs="Arial"/>
          <w:sz w:val="22"/>
          <w:szCs w:val="22"/>
          <w:lang w:val="es-ES"/>
        </w:rPr>
        <w:t xml:space="preserve">Vemos como lo anterior </w:t>
      </w:r>
      <w:r w:rsidR="008D2A08" w:rsidRPr="00A84DC3">
        <w:rPr>
          <w:rFonts w:ascii="Arial" w:hAnsi="Arial" w:cs="Arial"/>
          <w:sz w:val="22"/>
          <w:szCs w:val="22"/>
          <w:lang w:val="es-ES"/>
        </w:rPr>
        <w:t>es</w:t>
      </w:r>
      <w:r w:rsidRPr="00A84DC3">
        <w:rPr>
          <w:rFonts w:ascii="Arial" w:hAnsi="Arial" w:cs="Arial"/>
          <w:sz w:val="22"/>
          <w:szCs w:val="22"/>
          <w:lang w:val="es-ES"/>
        </w:rPr>
        <w:t xml:space="preserve"> susceptible de simplificación </w:t>
      </w:r>
      <w:r w:rsidR="0066029A" w:rsidRPr="00A84DC3">
        <w:rPr>
          <w:rFonts w:ascii="Arial" w:hAnsi="Arial" w:cs="Arial"/>
          <w:sz w:val="22"/>
          <w:szCs w:val="22"/>
          <w:lang w:val="es-ES"/>
        </w:rPr>
        <w:t>que permite computar el VPN</w:t>
      </w:r>
      <w:r w:rsidRPr="00A84DC3">
        <w:rPr>
          <w:rFonts w:ascii="Arial" w:hAnsi="Arial" w:cs="Arial"/>
          <w:sz w:val="22"/>
          <w:szCs w:val="22"/>
          <w:lang w:val="es-ES"/>
        </w:rPr>
        <w:t>,</w:t>
      </w:r>
      <w:r w:rsidR="0066029A" w:rsidRPr="00A84DC3">
        <w:rPr>
          <w:rFonts w:ascii="Arial" w:hAnsi="Arial" w:cs="Arial"/>
          <w:sz w:val="22"/>
          <w:szCs w:val="22"/>
          <w:lang w:val="es-ES"/>
        </w:rPr>
        <w:t xml:space="preserve"> dado que las líneas 2 y 7 se cancelan mutuamente, y que los flujos netos de la línea </w:t>
      </w:r>
      <w:r w:rsidR="002F4186" w:rsidRPr="00A84DC3">
        <w:rPr>
          <w:rFonts w:ascii="Arial" w:hAnsi="Arial" w:cs="Arial"/>
          <w:sz w:val="22"/>
          <w:szCs w:val="22"/>
          <w:lang w:val="es-ES"/>
        </w:rPr>
        <w:t>1</w:t>
      </w:r>
      <w:r w:rsidR="002F4186">
        <w:rPr>
          <w:rFonts w:ascii="Arial" w:hAnsi="Arial" w:cs="Arial"/>
          <w:sz w:val="22"/>
          <w:szCs w:val="22"/>
          <w:lang w:val="es-ES"/>
        </w:rPr>
        <w:t>7</w:t>
      </w:r>
      <w:r w:rsidR="002F4186" w:rsidRPr="00A84DC3">
        <w:rPr>
          <w:rFonts w:ascii="Arial" w:hAnsi="Arial" w:cs="Arial"/>
          <w:sz w:val="22"/>
          <w:szCs w:val="22"/>
          <w:lang w:val="es-ES"/>
        </w:rPr>
        <w:t xml:space="preserve"> </w:t>
      </w:r>
      <w:r w:rsidR="0066029A" w:rsidRPr="00A84DC3">
        <w:rPr>
          <w:rFonts w:ascii="Arial" w:hAnsi="Arial" w:cs="Arial"/>
          <w:sz w:val="22"/>
          <w:szCs w:val="22"/>
          <w:lang w:val="es-ES"/>
        </w:rPr>
        <w:t xml:space="preserve">pueden calcularse tanto si se dispone de la información en las líneas </w:t>
      </w:r>
      <w:r w:rsidR="0066029A" w:rsidRPr="00A84DC3">
        <w:rPr>
          <w:rFonts w:ascii="Arial" w:hAnsi="Arial" w:cs="Arial"/>
          <w:sz w:val="22"/>
          <w:szCs w:val="22"/>
          <w:lang w:val="es-ES"/>
        </w:rPr>
        <w:lastRenderedPageBreak/>
        <w:t xml:space="preserve">10-11 y </w:t>
      </w:r>
      <w:r w:rsidR="000B7959" w:rsidRPr="00A84DC3">
        <w:rPr>
          <w:rFonts w:ascii="Arial" w:hAnsi="Arial" w:cs="Arial"/>
          <w:sz w:val="22"/>
          <w:szCs w:val="22"/>
          <w:lang w:val="es-ES"/>
        </w:rPr>
        <w:t>1</w:t>
      </w:r>
      <w:r w:rsidR="000B7959">
        <w:rPr>
          <w:rFonts w:ascii="Arial" w:hAnsi="Arial" w:cs="Arial"/>
          <w:sz w:val="22"/>
          <w:szCs w:val="22"/>
          <w:lang w:val="es-ES"/>
        </w:rPr>
        <w:t>4</w:t>
      </w:r>
      <w:r w:rsidR="0066029A" w:rsidRPr="00A84DC3">
        <w:rPr>
          <w:rFonts w:ascii="Arial" w:hAnsi="Arial" w:cs="Arial"/>
          <w:sz w:val="22"/>
          <w:szCs w:val="22"/>
          <w:lang w:val="es-ES"/>
        </w:rPr>
        <w:t>-</w:t>
      </w:r>
      <w:r w:rsidR="000B7959" w:rsidRPr="00A84DC3">
        <w:rPr>
          <w:rFonts w:ascii="Arial" w:hAnsi="Arial" w:cs="Arial"/>
          <w:sz w:val="22"/>
          <w:szCs w:val="22"/>
          <w:lang w:val="es-ES"/>
        </w:rPr>
        <w:t>1</w:t>
      </w:r>
      <w:r w:rsidR="000B7959">
        <w:rPr>
          <w:rFonts w:ascii="Arial" w:hAnsi="Arial" w:cs="Arial"/>
          <w:sz w:val="22"/>
          <w:szCs w:val="22"/>
          <w:lang w:val="es-ES"/>
        </w:rPr>
        <w:t>5</w:t>
      </w:r>
      <w:r w:rsidR="0066029A" w:rsidRPr="00A84DC3">
        <w:rPr>
          <w:rFonts w:ascii="Arial" w:hAnsi="Arial" w:cs="Arial"/>
          <w:sz w:val="22"/>
          <w:szCs w:val="22"/>
          <w:lang w:val="es-ES"/>
        </w:rPr>
        <w:t xml:space="preserve">, como si se dispone en su lugar de 12 y </w:t>
      </w:r>
      <w:r w:rsidR="000B7959" w:rsidRPr="00A84DC3">
        <w:rPr>
          <w:rFonts w:ascii="Arial" w:hAnsi="Arial" w:cs="Arial"/>
          <w:sz w:val="22"/>
          <w:szCs w:val="22"/>
          <w:lang w:val="es-ES"/>
        </w:rPr>
        <w:t>1</w:t>
      </w:r>
      <w:r w:rsidR="000B7959">
        <w:rPr>
          <w:rFonts w:ascii="Arial" w:hAnsi="Arial" w:cs="Arial"/>
          <w:sz w:val="22"/>
          <w:szCs w:val="22"/>
          <w:lang w:val="es-ES"/>
        </w:rPr>
        <w:t>6</w:t>
      </w:r>
      <w:r w:rsidR="000B7959" w:rsidRPr="00A84DC3">
        <w:rPr>
          <w:rFonts w:ascii="Arial" w:hAnsi="Arial" w:cs="Arial"/>
          <w:sz w:val="22"/>
          <w:szCs w:val="22"/>
          <w:lang w:val="es-ES"/>
        </w:rPr>
        <w:t xml:space="preserve"> </w:t>
      </w:r>
      <w:r w:rsidR="0066029A" w:rsidRPr="00A84DC3">
        <w:rPr>
          <w:rFonts w:ascii="Arial" w:hAnsi="Arial" w:cs="Arial"/>
          <w:sz w:val="22"/>
          <w:szCs w:val="22"/>
          <w:lang w:val="es-ES"/>
        </w:rPr>
        <w:t>(tal como es el presente caso).</w:t>
      </w:r>
      <w:r w:rsidR="00F17E45" w:rsidRPr="00A84DC3">
        <w:rPr>
          <w:rFonts w:ascii="Arial" w:hAnsi="Arial" w:cs="Arial"/>
          <w:sz w:val="22"/>
          <w:szCs w:val="22"/>
          <w:lang w:val="es-ES"/>
        </w:rPr>
        <w:t xml:space="preserve"> El resultado queda reflejado en el siguiente cuadro.</w:t>
      </w:r>
    </w:p>
    <w:p w14:paraId="1BABFBAE" w14:textId="77777777" w:rsidR="0066029A" w:rsidRDefault="008D2A08" w:rsidP="009E7B86">
      <w:pPr>
        <w:pStyle w:val="Paragraph"/>
        <w:numPr>
          <w:ilvl w:val="0"/>
          <w:numId w:val="0"/>
        </w:numPr>
        <w:spacing w:after="0"/>
        <w:ind w:left="720"/>
        <w:jc w:val="center"/>
        <w:rPr>
          <w:rFonts w:ascii="Arial" w:hAnsi="Arial" w:cs="Arial"/>
          <w:b/>
          <w:sz w:val="22"/>
          <w:szCs w:val="22"/>
          <w:lang w:val="es-ES"/>
        </w:rPr>
      </w:pPr>
      <w:r w:rsidRPr="00A84DC3">
        <w:rPr>
          <w:rFonts w:ascii="Arial" w:hAnsi="Arial" w:cs="Arial"/>
          <w:b/>
          <w:sz w:val="22"/>
          <w:szCs w:val="22"/>
          <w:lang w:val="es-ES"/>
        </w:rPr>
        <w:t xml:space="preserve">Cuadro 2. </w:t>
      </w:r>
      <w:r w:rsidR="0066029A" w:rsidRPr="00A84DC3">
        <w:rPr>
          <w:rFonts w:ascii="Arial" w:hAnsi="Arial" w:cs="Arial"/>
          <w:b/>
          <w:sz w:val="22"/>
          <w:szCs w:val="22"/>
          <w:lang w:val="es-ES"/>
        </w:rPr>
        <w:t>Esquema flujo de fondos de la empresa promedio con y sin proyecto de inversión</w:t>
      </w:r>
    </w:p>
    <w:tbl>
      <w:tblPr>
        <w:tblW w:w="8899" w:type="dxa"/>
        <w:tblLook w:val="04A0" w:firstRow="1" w:lastRow="0" w:firstColumn="1" w:lastColumn="0" w:noHBand="0" w:noVBand="1"/>
      </w:tblPr>
      <w:tblGrid>
        <w:gridCol w:w="372"/>
        <w:gridCol w:w="3960"/>
        <w:gridCol w:w="267"/>
        <w:gridCol w:w="667"/>
        <w:gridCol w:w="249"/>
        <w:gridCol w:w="667"/>
        <w:gridCol w:w="249"/>
        <w:gridCol w:w="667"/>
        <w:gridCol w:w="249"/>
        <w:gridCol w:w="667"/>
        <w:gridCol w:w="249"/>
        <w:gridCol w:w="667"/>
      </w:tblGrid>
      <w:tr w:rsidR="00553926" w:rsidRPr="00AB15D5" w14:paraId="6A8A24FB" w14:textId="77777777" w:rsidTr="00553926">
        <w:trPr>
          <w:trHeight w:val="262"/>
        </w:trPr>
        <w:tc>
          <w:tcPr>
            <w:tcW w:w="372" w:type="dxa"/>
            <w:tcBorders>
              <w:top w:val="single" w:sz="4" w:space="0" w:color="auto"/>
              <w:left w:val="nil"/>
              <w:bottom w:val="single" w:sz="4" w:space="0" w:color="auto"/>
              <w:right w:val="nil"/>
            </w:tcBorders>
            <w:shd w:val="clear" w:color="auto" w:fill="auto"/>
            <w:noWrap/>
            <w:vAlign w:val="center"/>
            <w:hideMark/>
          </w:tcPr>
          <w:p w14:paraId="2FE3099E"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 </w:t>
            </w:r>
          </w:p>
        </w:tc>
        <w:tc>
          <w:tcPr>
            <w:tcW w:w="3960" w:type="dxa"/>
            <w:tcBorders>
              <w:top w:val="single" w:sz="4" w:space="0" w:color="auto"/>
              <w:left w:val="nil"/>
              <w:bottom w:val="single" w:sz="4" w:space="0" w:color="auto"/>
              <w:right w:val="nil"/>
            </w:tcBorders>
            <w:shd w:val="clear" w:color="auto" w:fill="auto"/>
            <w:noWrap/>
            <w:vAlign w:val="center"/>
            <w:hideMark/>
          </w:tcPr>
          <w:p w14:paraId="33F4D036" w14:textId="77777777" w:rsidR="00AB15D5" w:rsidRPr="00553926" w:rsidRDefault="00AB15D5">
            <w:pPr>
              <w:spacing w:after="0" w:line="240" w:lineRule="auto"/>
              <w:rPr>
                <w:rFonts w:ascii="Arial" w:eastAsia="Times New Roman" w:hAnsi="Arial" w:cs="Arial"/>
                <w:b/>
                <w:bCs/>
                <w:color w:val="000000"/>
                <w:sz w:val="14"/>
                <w:szCs w:val="18"/>
                <w:lang w:val="es-ES_tradnl" w:eastAsia="en-US"/>
              </w:rPr>
            </w:pPr>
            <w:r w:rsidRPr="00553926">
              <w:rPr>
                <w:rFonts w:ascii="Arial" w:eastAsia="Times New Roman" w:hAnsi="Arial" w:cs="Arial"/>
                <w:b/>
                <w:bCs/>
                <w:color w:val="000000"/>
                <w:sz w:val="14"/>
                <w:szCs w:val="18"/>
                <w:lang w:val="es-ES_tradnl" w:eastAsia="en-US"/>
              </w:rPr>
              <w:t>Empresa representativa</w:t>
            </w:r>
          </w:p>
        </w:tc>
        <w:tc>
          <w:tcPr>
            <w:tcW w:w="236" w:type="dxa"/>
            <w:tcBorders>
              <w:top w:val="single" w:sz="4" w:space="0" w:color="auto"/>
              <w:left w:val="nil"/>
              <w:bottom w:val="nil"/>
              <w:right w:val="nil"/>
            </w:tcBorders>
            <w:shd w:val="clear" w:color="auto" w:fill="auto"/>
            <w:noWrap/>
            <w:vAlign w:val="center"/>
            <w:hideMark/>
          </w:tcPr>
          <w:p w14:paraId="51E46AFA" w14:textId="77777777" w:rsidR="00AB15D5" w:rsidRPr="00553926" w:rsidRDefault="00AB15D5">
            <w:pPr>
              <w:spacing w:after="0" w:line="240" w:lineRule="auto"/>
              <w:rPr>
                <w:rFonts w:ascii="Arial" w:eastAsia="Times New Roman" w:hAnsi="Arial" w:cs="Arial"/>
                <w:color w:val="000000"/>
                <w:sz w:val="18"/>
                <w:szCs w:val="18"/>
                <w:lang w:val="es-ES_tradnl" w:eastAsia="en-US"/>
              </w:rPr>
            </w:pPr>
            <w:r w:rsidRPr="00553926">
              <w:rPr>
                <w:rFonts w:ascii="Arial" w:eastAsia="Times New Roman" w:hAnsi="Arial" w:cs="Arial"/>
                <w:color w:val="000000"/>
                <w:sz w:val="18"/>
                <w:szCs w:val="18"/>
                <w:lang w:val="es-ES_tradnl" w:eastAsia="en-US"/>
              </w:rPr>
              <w:t> </w:t>
            </w:r>
          </w:p>
        </w:tc>
        <w:tc>
          <w:tcPr>
            <w:tcW w:w="667" w:type="dxa"/>
            <w:tcBorders>
              <w:top w:val="single" w:sz="4" w:space="0" w:color="auto"/>
              <w:left w:val="nil"/>
              <w:bottom w:val="single" w:sz="4" w:space="0" w:color="auto"/>
              <w:right w:val="nil"/>
            </w:tcBorders>
            <w:shd w:val="clear" w:color="auto" w:fill="auto"/>
            <w:noWrap/>
            <w:vAlign w:val="center"/>
            <w:hideMark/>
          </w:tcPr>
          <w:p w14:paraId="42E8DDF9"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single" w:sz="4" w:space="0" w:color="auto"/>
              <w:left w:val="nil"/>
              <w:bottom w:val="nil"/>
              <w:right w:val="nil"/>
            </w:tcBorders>
            <w:shd w:val="clear" w:color="auto" w:fill="auto"/>
            <w:noWrap/>
            <w:vAlign w:val="center"/>
            <w:hideMark/>
          </w:tcPr>
          <w:p w14:paraId="7A987B89" w14:textId="77777777" w:rsidR="00AB15D5" w:rsidRPr="00553926" w:rsidRDefault="00AB15D5" w:rsidP="0055392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46C82E0E"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t=0</w:t>
            </w:r>
          </w:p>
        </w:tc>
        <w:tc>
          <w:tcPr>
            <w:tcW w:w="249" w:type="dxa"/>
            <w:tcBorders>
              <w:top w:val="single" w:sz="4" w:space="0" w:color="auto"/>
              <w:left w:val="nil"/>
              <w:bottom w:val="nil"/>
              <w:right w:val="nil"/>
            </w:tcBorders>
            <w:shd w:val="clear" w:color="auto" w:fill="auto"/>
            <w:noWrap/>
            <w:vAlign w:val="center"/>
            <w:hideMark/>
          </w:tcPr>
          <w:p w14:paraId="089BAF86" w14:textId="77777777" w:rsidR="00AB15D5" w:rsidRPr="00553926" w:rsidRDefault="00AB15D5" w:rsidP="0055392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57A95263"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t=1</w:t>
            </w:r>
          </w:p>
        </w:tc>
        <w:tc>
          <w:tcPr>
            <w:tcW w:w="249" w:type="dxa"/>
            <w:tcBorders>
              <w:top w:val="single" w:sz="4" w:space="0" w:color="auto"/>
              <w:left w:val="nil"/>
              <w:bottom w:val="nil"/>
              <w:right w:val="nil"/>
            </w:tcBorders>
            <w:shd w:val="clear" w:color="auto" w:fill="auto"/>
            <w:noWrap/>
            <w:vAlign w:val="center"/>
            <w:hideMark/>
          </w:tcPr>
          <w:p w14:paraId="15CA8E56" w14:textId="77777777" w:rsidR="00AB15D5" w:rsidRPr="00553926" w:rsidRDefault="00AB15D5" w:rsidP="0055392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16C34213"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w:t>
            </w:r>
          </w:p>
        </w:tc>
        <w:tc>
          <w:tcPr>
            <w:tcW w:w="249" w:type="dxa"/>
            <w:tcBorders>
              <w:top w:val="single" w:sz="4" w:space="0" w:color="auto"/>
              <w:left w:val="nil"/>
              <w:bottom w:val="nil"/>
              <w:right w:val="nil"/>
            </w:tcBorders>
            <w:shd w:val="clear" w:color="auto" w:fill="auto"/>
            <w:noWrap/>
            <w:vAlign w:val="center"/>
            <w:hideMark/>
          </w:tcPr>
          <w:p w14:paraId="5BCA9BA8" w14:textId="77777777" w:rsidR="00AB15D5" w:rsidRPr="00553926" w:rsidRDefault="00AB15D5" w:rsidP="00553926">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06C2642F"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t=T</w:t>
            </w:r>
          </w:p>
        </w:tc>
      </w:tr>
      <w:tr w:rsidR="00553926" w:rsidRPr="00AB15D5" w14:paraId="07F286FD" w14:textId="77777777" w:rsidTr="00553926">
        <w:trPr>
          <w:trHeight w:val="262"/>
        </w:trPr>
        <w:tc>
          <w:tcPr>
            <w:tcW w:w="372" w:type="dxa"/>
            <w:tcBorders>
              <w:top w:val="nil"/>
              <w:left w:val="nil"/>
              <w:bottom w:val="nil"/>
              <w:right w:val="nil"/>
            </w:tcBorders>
            <w:shd w:val="clear" w:color="auto" w:fill="auto"/>
            <w:noWrap/>
            <w:vAlign w:val="center"/>
            <w:hideMark/>
          </w:tcPr>
          <w:p w14:paraId="50B99D14"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1</w:t>
            </w:r>
          </w:p>
        </w:tc>
        <w:tc>
          <w:tcPr>
            <w:tcW w:w="3960" w:type="dxa"/>
            <w:tcBorders>
              <w:top w:val="nil"/>
              <w:left w:val="nil"/>
              <w:bottom w:val="single" w:sz="4" w:space="0" w:color="auto"/>
              <w:right w:val="nil"/>
            </w:tcBorders>
            <w:shd w:val="clear" w:color="auto" w:fill="auto"/>
            <w:noWrap/>
            <w:vAlign w:val="center"/>
            <w:hideMark/>
          </w:tcPr>
          <w:p w14:paraId="7BCBF7AE" w14:textId="77777777" w:rsidR="00AB15D5" w:rsidRPr="00553926" w:rsidRDefault="00AB15D5">
            <w:pPr>
              <w:spacing w:after="0" w:line="240" w:lineRule="auto"/>
              <w:rPr>
                <w:rFonts w:ascii="Arial" w:eastAsia="Times New Roman" w:hAnsi="Arial" w:cs="Arial"/>
                <w:b/>
                <w:bCs/>
                <w:color w:val="000000"/>
                <w:sz w:val="14"/>
                <w:szCs w:val="18"/>
                <w:lang w:val="es-ES_tradnl" w:eastAsia="en-US"/>
              </w:rPr>
            </w:pPr>
            <w:r w:rsidRPr="00553926">
              <w:rPr>
                <w:rFonts w:ascii="Arial" w:eastAsia="Times New Roman" w:hAnsi="Arial" w:cs="Arial"/>
                <w:b/>
                <w:bCs/>
                <w:color w:val="000000"/>
                <w:sz w:val="14"/>
                <w:szCs w:val="18"/>
                <w:lang w:val="es-ES_tradnl" w:eastAsia="en-US"/>
              </w:rPr>
              <w:t xml:space="preserve">Flujos asociados al </w:t>
            </w:r>
            <w:r w:rsidRPr="00AB15D5">
              <w:rPr>
                <w:rFonts w:ascii="Arial" w:eastAsia="Times New Roman" w:hAnsi="Arial" w:cs="Arial"/>
                <w:b/>
                <w:bCs/>
                <w:color w:val="000000"/>
                <w:sz w:val="14"/>
                <w:szCs w:val="18"/>
                <w:lang w:val="es-ES_tradnl" w:eastAsia="en-US"/>
              </w:rPr>
              <w:t>préstamo</w:t>
            </w:r>
          </w:p>
        </w:tc>
        <w:tc>
          <w:tcPr>
            <w:tcW w:w="236" w:type="dxa"/>
            <w:tcBorders>
              <w:top w:val="nil"/>
              <w:left w:val="nil"/>
              <w:bottom w:val="nil"/>
              <w:right w:val="nil"/>
            </w:tcBorders>
            <w:shd w:val="clear" w:color="auto" w:fill="auto"/>
            <w:noWrap/>
            <w:vAlign w:val="center"/>
            <w:hideMark/>
          </w:tcPr>
          <w:p w14:paraId="5AE9D23C" w14:textId="77777777" w:rsidR="00AB15D5" w:rsidRPr="00553926" w:rsidRDefault="00AB15D5">
            <w:pPr>
              <w:spacing w:after="0" w:line="240" w:lineRule="auto"/>
              <w:rPr>
                <w:rFonts w:ascii="Arial" w:eastAsia="Times New Roman" w:hAnsi="Arial" w:cs="Arial"/>
                <w:b/>
                <w:bCs/>
                <w:color w:val="000000"/>
                <w:sz w:val="18"/>
                <w:szCs w:val="18"/>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573323BC"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5FEEB844"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641FE1CA"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36260176"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6B12E81A"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4F5F1E49"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0F19C5A4"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6ABFE65D"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5EF56A0E"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r>
      <w:tr w:rsidR="00AB15D5" w:rsidRPr="00AB15D5" w14:paraId="0F7A5A69" w14:textId="77777777" w:rsidTr="00553926">
        <w:trPr>
          <w:trHeight w:val="262"/>
        </w:trPr>
        <w:tc>
          <w:tcPr>
            <w:tcW w:w="372" w:type="dxa"/>
            <w:tcBorders>
              <w:top w:val="nil"/>
              <w:left w:val="nil"/>
              <w:bottom w:val="nil"/>
              <w:right w:val="nil"/>
            </w:tcBorders>
            <w:shd w:val="clear" w:color="auto" w:fill="auto"/>
            <w:noWrap/>
            <w:vAlign w:val="center"/>
          </w:tcPr>
          <w:p w14:paraId="7E313A99"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p>
        </w:tc>
        <w:tc>
          <w:tcPr>
            <w:tcW w:w="3960" w:type="dxa"/>
            <w:tcBorders>
              <w:top w:val="nil"/>
              <w:left w:val="nil"/>
              <w:bottom w:val="nil"/>
              <w:right w:val="nil"/>
            </w:tcBorders>
            <w:shd w:val="clear" w:color="auto" w:fill="auto"/>
            <w:noWrap/>
            <w:vAlign w:val="center"/>
          </w:tcPr>
          <w:p w14:paraId="41A2039B" w14:textId="77777777" w:rsidR="00AB15D5" w:rsidRPr="00553926" w:rsidRDefault="00AB15D5">
            <w:pPr>
              <w:spacing w:after="0" w:line="240" w:lineRule="auto"/>
              <w:rPr>
                <w:rFonts w:ascii="Arial" w:eastAsia="Times New Roman" w:hAnsi="Arial" w:cs="Arial"/>
                <w:color w:val="000000"/>
                <w:sz w:val="14"/>
                <w:szCs w:val="18"/>
                <w:lang w:val="es-ES_tradnl" w:eastAsia="en-US"/>
              </w:rPr>
            </w:pPr>
          </w:p>
        </w:tc>
        <w:tc>
          <w:tcPr>
            <w:tcW w:w="236" w:type="dxa"/>
            <w:tcBorders>
              <w:top w:val="nil"/>
              <w:left w:val="nil"/>
              <w:bottom w:val="nil"/>
              <w:right w:val="nil"/>
            </w:tcBorders>
            <w:shd w:val="clear" w:color="auto" w:fill="auto"/>
            <w:noWrap/>
            <w:vAlign w:val="center"/>
          </w:tcPr>
          <w:p w14:paraId="7F712D3E" w14:textId="77777777" w:rsidR="00AB15D5" w:rsidRPr="00553926" w:rsidRDefault="00AB15D5">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tcPr>
          <w:p w14:paraId="33E19EDB"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tcPr>
          <w:p w14:paraId="719810CC"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tcPr>
          <w:p w14:paraId="71C948C2"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51F934FC"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607280C9"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tcPr>
          <w:p w14:paraId="23C385AC"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tcPr>
          <w:p w14:paraId="1EEBEB7B"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5BB598E9"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60B80A92"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r>
      <w:tr w:rsidR="00AB15D5" w:rsidRPr="00AB15D5" w14:paraId="61A99B8D" w14:textId="77777777" w:rsidTr="00553926">
        <w:trPr>
          <w:trHeight w:val="262"/>
        </w:trPr>
        <w:tc>
          <w:tcPr>
            <w:tcW w:w="372" w:type="dxa"/>
            <w:tcBorders>
              <w:top w:val="nil"/>
              <w:left w:val="nil"/>
              <w:bottom w:val="nil"/>
              <w:right w:val="nil"/>
            </w:tcBorders>
            <w:shd w:val="clear" w:color="auto" w:fill="auto"/>
            <w:noWrap/>
            <w:vAlign w:val="center"/>
            <w:hideMark/>
          </w:tcPr>
          <w:p w14:paraId="63EB19AD"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3</w:t>
            </w:r>
          </w:p>
        </w:tc>
        <w:tc>
          <w:tcPr>
            <w:tcW w:w="3960" w:type="dxa"/>
            <w:tcBorders>
              <w:top w:val="nil"/>
              <w:left w:val="nil"/>
              <w:bottom w:val="nil"/>
              <w:right w:val="nil"/>
            </w:tcBorders>
            <w:shd w:val="clear" w:color="auto" w:fill="auto"/>
            <w:noWrap/>
            <w:vAlign w:val="center"/>
            <w:hideMark/>
          </w:tcPr>
          <w:p w14:paraId="4D44F024" w14:textId="77777777" w:rsidR="00AB15D5" w:rsidRPr="00553926" w:rsidRDefault="00AB15D5">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Pago principal</w:t>
            </w:r>
          </w:p>
        </w:tc>
        <w:tc>
          <w:tcPr>
            <w:tcW w:w="236" w:type="dxa"/>
            <w:tcBorders>
              <w:top w:val="nil"/>
              <w:left w:val="nil"/>
              <w:bottom w:val="nil"/>
              <w:right w:val="nil"/>
            </w:tcBorders>
            <w:shd w:val="clear" w:color="auto" w:fill="auto"/>
            <w:noWrap/>
            <w:vAlign w:val="center"/>
            <w:hideMark/>
          </w:tcPr>
          <w:p w14:paraId="68BD7D4D" w14:textId="77777777" w:rsidR="00AB15D5" w:rsidRPr="00553926" w:rsidRDefault="00AB15D5">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487CE636"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7A988D64"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4975251F"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2E1DF067"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4D9C6699" w14:textId="77777777" w:rsidR="00AB15D5" w:rsidRPr="00553926" w:rsidRDefault="000B7959" w:rsidP="00553926">
            <w:pPr>
              <w:spacing w:after="0" w:line="240" w:lineRule="auto"/>
              <w:jc w:val="center"/>
              <w:rPr>
                <w:rFonts w:ascii="Times New Roman" w:eastAsia="Times New Roman" w:hAnsi="Times New Roman" w:cs="Times New Roman"/>
                <w:sz w:val="20"/>
                <w:szCs w:val="20"/>
                <w:lang w:val="es-ES_tradnl" w:eastAsia="en-US"/>
              </w:rPr>
            </w:pPr>
            <w:r w:rsidRPr="00E95F7E">
              <w:rPr>
                <w:rFonts w:ascii="Arial" w:eastAsia="Times New Roman" w:hAnsi="Arial" w:cs="Arial"/>
                <w:color w:val="000000"/>
                <w:sz w:val="14"/>
                <w:szCs w:val="14"/>
                <w:lang w:val="es-ES_tradnl" w:eastAsia="en-US"/>
              </w:rPr>
              <w:t>-</w:t>
            </w:r>
            <w:r>
              <w:rPr>
                <w:rFonts w:ascii="Arial" w:eastAsia="Times New Roman" w:hAnsi="Arial" w:cs="Arial"/>
                <w:color w:val="000000"/>
                <w:sz w:val="14"/>
                <w:szCs w:val="14"/>
                <w:lang w:val="es-ES_tradnl" w:eastAsia="en-US"/>
              </w:rPr>
              <w:t>P/T</w:t>
            </w:r>
          </w:p>
        </w:tc>
        <w:tc>
          <w:tcPr>
            <w:tcW w:w="249" w:type="dxa"/>
            <w:tcBorders>
              <w:top w:val="nil"/>
              <w:left w:val="nil"/>
              <w:bottom w:val="nil"/>
              <w:right w:val="nil"/>
            </w:tcBorders>
            <w:shd w:val="clear" w:color="auto" w:fill="auto"/>
            <w:noWrap/>
            <w:vAlign w:val="center"/>
            <w:hideMark/>
          </w:tcPr>
          <w:p w14:paraId="0418EADB"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4AF67CEB"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6D232766"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78AB60B3" w14:textId="77777777" w:rsidR="00AB15D5" w:rsidRPr="00553926" w:rsidRDefault="000B7959" w:rsidP="00553926">
            <w:pPr>
              <w:spacing w:after="0" w:line="240" w:lineRule="auto"/>
              <w:jc w:val="center"/>
              <w:rPr>
                <w:rFonts w:ascii="Times New Roman" w:eastAsia="Times New Roman" w:hAnsi="Times New Roman" w:cs="Times New Roman"/>
                <w:sz w:val="20"/>
                <w:szCs w:val="20"/>
                <w:lang w:val="es-ES_tradnl" w:eastAsia="en-US"/>
              </w:rPr>
            </w:pPr>
            <w:r w:rsidRPr="00553926">
              <w:rPr>
                <w:rFonts w:ascii="Arial" w:eastAsia="Times New Roman" w:hAnsi="Arial" w:cs="Arial"/>
                <w:color w:val="000000"/>
                <w:sz w:val="14"/>
                <w:szCs w:val="14"/>
                <w:lang w:val="es-ES_tradnl" w:eastAsia="en-US"/>
              </w:rPr>
              <w:t>-P/T</w:t>
            </w:r>
          </w:p>
        </w:tc>
      </w:tr>
      <w:tr w:rsidR="00553926" w:rsidRPr="00AB15D5" w14:paraId="00BC3872" w14:textId="77777777" w:rsidTr="00553926">
        <w:trPr>
          <w:trHeight w:val="262"/>
        </w:trPr>
        <w:tc>
          <w:tcPr>
            <w:tcW w:w="372" w:type="dxa"/>
            <w:tcBorders>
              <w:top w:val="nil"/>
              <w:left w:val="nil"/>
              <w:bottom w:val="nil"/>
              <w:right w:val="nil"/>
            </w:tcBorders>
            <w:shd w:val="clear" w:color="auto" w:fill="auto"/>
            <w:noWrap/>
            <w:vAlign w:val="center"/>
            <w:hideMark/>
          </w:tcPr>
          <w:p w14:paraId="42C1590C"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5</w:t>
            </w:r>
          </w:p>
        </w:tc>
        <w:tc>
          <w:tcPr>
            <w:tcW w:w="3960" w:type="dxa"/>
            <w:tcBorders>
              <w:top w:val="single" w:sz="4" w:space="0" w:color="auto"/>
              <w:left w:val="nil"/>
              <w:bottom w:val="single" w:sz="4" w:space="0" w:color="auto"/>
              <w:right w:val="nil"/>
            </w:tcBorders>
            <w:shd w:val="clear" w:color="auto" w:fill="auto"/>
            <w:noWrap/>
            <w:vAlign w:val="center"/>
            <w:hideMark/>
          </w:tcPr>
          <w:p w14:paraId="0E81FF9F" w14:textId="77777777" w:rsidR="00AB15D5" w:rsidRPr="00553926" w:rsidRDefault="00AB15D5">
            <w:pPr>
              <w:spacing w:after="0" w:line="240" w:lineRule="auto"/>
              <w:rPr>
                <w:rFonts w:ascii="Arial" w:eastAsia="Times New Roman" w:hAnsi="Arial" w:cs="Arial"/>
                <w:b/>
                <w:bCs/>
                <w:color w:val="000000"/>
                <w:sz w:val="14"/>
                <w:szCs w:val="18"/>
                <w:lang w:val="es-ES_tradnl" w:eastAsia="en-US"/>
              </w:rPr>
            </w:pPr>
            <w:r w:rsidRPr="00AB15D5">
              <w:rPr>
                <w:rFonts w:ascii="Arial" w:eastAsia="Times New Roman" w:hAnsi="Arial" w:cs="Arial"/>
                <w:b/>
                <w:bCs/>
                <w:color w:val="000000"/>
                <w:sz w:val="14"/>
                <w:szCs w:val="18"/>
                <w:lang w:val="es-ES_tradnl" w:eastAsia="en-US"/>
              </w:rPr>
              <w:t>Inversión</w:t>
            </w:r>
          </w:p>
        </w:tc>
        <w:tc>
          <w:tcPr>
            <w:tcW w:w="236" w:type="dxa"/>
            <w:tcBorders>
              <w:top w:val="nil"/>
              <w:left w:val="nil"/>
              <w:bottom w:val="nil"/>
              <w:right w:val="nil"/>
            </w:tcBorders>
            <w:shd w:val="clear" w:color="auto" w:fill="auto"/>
            <w:noWrap/>
            <w:vAlign w:val="center"/>
            <w:hideMark/>
          </w:tcPr>
          <w:p w14:paraId="2C383D92" w14:textId="77777777" w:rsidR="00AB15D5" w:rsidRPr="00553926" w:rsidRDefault="00AB15D5">
            <w:pPr>
              <w:spacing w:after="0" w:line="240" w:lineRule="auto"/>
              <w:rPr>
                <w:rFonts w:ascii="Arial" w:eastAsia="Times New Roman" w:hAnsi="Arial" w:cs="Arial"/>
                <w:b/>
                <w:bCs/>
                <w:color w:val="000000"/>
                <w:sz w:val="18"/>
                <w:szCs w:val="18"/>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049ED678"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5C96778F"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13758B1C"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1F6662B4"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35E54957"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383B600E"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58E0BD92"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40D564A1"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55823F1E"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r>
      <w:tr w:rsidR="00AB15D5" w:rsidRPr="00AB15D5" w14:paraId="059C4DE6" w14:textId="77777777" w:rsidTr="00553926">
        <w:trPr>
          <w:trHeight w:val="262"/>
        </w:trPr>
        <w:tc>
          <w:tcPr>
            <w:tcW w:w="372" w:type="dxa"/>
            <w:tcBorders>
              <w:top w:val="nil"/>
              <w:left w:val="nil"/>
              <w:bottom w:val="nil"/>
              <w:right w:val="nil"/>
            </w:tcBorders>
            <w:shd w:val="clear" w:color="auto" w:fill="auto"/>
            <w:noWrap/>
            <w:vAlign w:val="center"/>
            <w:hideMark/>
          </w:tcPr>
          <w:p w14:paraId="4FCE1906"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6</w:t>
            </w:r>
          </w:p>
        </w:tc>
        <w:tc>
          <w:tcPr>
            <w:tcW w:w="3960" w:type="dxa"/>
            <w:tcBorders>
              <w:top w:val="nil"/>
              <w:left w:val="nil"/>
              <w:bottom w:val="nil"/>
              <w:right w:val="nil"/>
            </w:tcBorders>
            <w:shd w:val="clear" w:color="auto" w:fill="auto"/>
            <w:noWrap/>
            <w:vAlign w:val="center"/>
            <w:hideMark/>
          </w:tcPr>
          <w:p w14:paraId="30A2CA15" w14:textId="77777777" w:rsidR="00AB15D5" w:rsidRPr="00553926" w:rsidRDefault="00AB15D5">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Fondos propios</w:t>
            </w:r>
          </w:p>
        </w:tc>
        <w:tc>
          <w:tcPr>
            <w:tcW w:w="236" w:type="dxa"/>
            <w:tcBorders>
              <w:top w:val="nil"/>
              <w:left w:val="nil"/>
              <w:bottom w:val="nil"/>
              <w:right w:val="nil"/>
            </w:tcBorders>
            <w:shd w:val="clear" w:color="auto" w:fill="auto"/>
            <w:noWrap/>
            <w:vAlign w:val="center"/>
            <w:hideMark/>
          </w:tcPr>
          <w:p w14:paraId="702F50D5" w14:textId="77777777" w:rsidR="00AB15D5" w:rsidRPr="00553926" w:rsidRDefault="00AB15D5">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623CE6F9"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5575D85D"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24FA55EF" w14:textId="77777777" w:rsidR="00AB15D5" w:rsidRPr="00553926" w:rsidRDefault="00AB15D5" w:rsidP="00553926">
            <w:pPr>
              <w:spacing w:after="0" w:line="240" w:lineRule="auto"/>
              <w:ind w:left="-54" w:right="-120"/>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-FP=(I-P)</w:t>
            </w:r>
          </w:p>
        </w:tc>
        <w:tc>
          <w:tcPr>
            <w:tcW w:w="249" w:type="dxa"/>
            <w:tcBorders>
              <w:top w:val="nil"/>
              <w:left w:val="nil"/>
              <w:bottom w:val="nil"/>
              <w:right w:val="nil"/>
            </w:tcBorders>
            <w:shd w:val="clear" w:color="auto" w:fill="auto"/>
            <w:noWrap/>
            <w:vAlign w:val="center"/>
            <w:hideMark/>
          </w:tcPr>
          <w:p w14:paraId="32BF65C0"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73AF4BDE"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26FE6AAD"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094F3F66"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403FE9A5"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6EF3449E"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r>
      <w:tr w:rsidR="00AB15D5" w:rsidRPr="00AB15D5" w14:paraId="42099CA8" w14:textId="77777777" w:rsidTr="00553926">
        <w:trPr>
          <w:trHeight w:val="262"/>
        </w:trPr>
        <w:tc>
          <w:tcPr>
            <w:tcW w:w="372" w:type="dxa"/>
            <w:tcBorders>
              <w:top w:val="nil"/>
              <w:left w:val="nil"/>
              <w:bottom w:val="nil"/>
              <w:right w:val="nil"/>
            </w:tcBorders>
            <w:shd w:val="clear" w:color="auto" w:fill="auto"/>
            <w:noWrap/>
            <w:vAlign w:val="center"/>
          </w:tcPr>
          <w:p w14:paraId="586524A1"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p>
        </w:tc>
        <w:tc>
          <w:tcPr>
            <w:tcW w:w="3960" w:type="dxa"/>
            <w:tcBorders>
              <w:top w:val="nil"/>
              <w:left w:val="nil"/>
              <w:bottom w:val="nil"/>
              <w:right w:val="nil"/>
            </w:tcBorders>
            <w:shd w:val="clear" w:color="auto" w:fill="auto"/>
            <w:noWrap/>
            <w:vAlign w:val="center"/>
          </w:tcPr>
          <w:p w14:paraId="3B3B178B" w14:textId="77777777" w:rsidR="00AB15D5" w:rsidRPr="00553926" w:rsidRDefault="00AB15D5">
            <w:pPr>
              <w:spacing w:after="0" w:line="240" w:lineRule="auto"/>
              <w:rPr>
                <w:rFonts w:ascii="Arial" w:eastAsia="Times New Roman" w:hAnsi="Arial" w:cs="Arial"/>
                <w:color w:val="000000"/>
                <w:sz w:val="14"/>
                <w:szCs w:val="18"/>
                <w:lang w:val="es-ES_tradnl" w:eastAsia="en-US"/>
              </w:rPr>
            </w:pPr>
          </w:p>
        </w:tc>
        <w:tc>
          <w:tcPr>
            <w:tcW w:w="236" w:type="dxa"/>
            <w:tcBorders>
              <w:top w:val="nil"/>
              <w:left w:val="nil"/>
              <w:bottom w:val="nil"/>
              <w:right w:val="nil"/>
            </w:tcBorders>
            <w:shd w:val="clear" w:color="auto" w:fill="auto"/>
            <w:noWrap/>
            <w:vAlign w:val="center"/>
          </w:tcPr>
          <w:p w14:paraId="65030E47" w14:textId="77777777" w:rsidR="00AB15D5" w:rsidRPr="00553926" w:rsidRDefault="00AB15D5">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tcPr>
          <w:p w14:paraId="4147B161"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tcPr>
          <w:p w14:paraId="766CAC2E"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tcPr>
          <w:p w14:paraId="421647AA"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6BC80E69"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74DDC12F"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tcPr>
          <w:p w14:paraId="7A492FC4"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tcPr>
          <w:p w14:paraId="64BA709B"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5F7ED4A1"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1FB01B07"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r>
      <w:tr w:rsidR="00AB15D5" w:rsidRPr="00AB15D5" w14:paraId="440D7A72" w14:textId="77777777" w:rsidTr="00553926">
        <w:trPr>
          <w:trHeight w:val="262"/>
        </w:trPr>
        <w:tc>
          <w:tcPr>
            <w:tcW w:w="372" w:type="dxa"/>
            <w:tcBorders>
              <w:top w:val="nil"/>
              <w:left w:val="nil"/>
              <w:bottom w:val="nil"/>
              <w:right w:val="nil"/>
            </w:tcBorders>
            <w:shd w:val="clear" w:color="auto" w:fill="auto"/>
            <w:noWrap/>
            <w:vAlign w:val="center"/>
            <w:hideMark/>
          </w:tcPr>
          <w:p w14:paraId="05CBACF4"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8</w:t>
            </w:r>
          </w:p>
        </w:tc>
        <w:tc>
          <w:tcPr>
            <w:tcW w:w="3960" w:type="dxa"/>
            <w:tcBorders>
              <w:top w:val="nil"/>
              <w:left w:val="nil"/>
              <w:bottom w:val="nil"/>
              <w:right w:val="nil"/>
            </w:tcBorders>
            <w:shd w:val="clear" w:color="auto" w:fill="auto"/>
            <w:noWrap/>
            <w:vAlign w:val="center"/>
            <w:hideMark/>
          </w:tcPr>
          <w:p w14:paraId="71B6D0E6" w14:textId="77777777" w:rsidR="00AB15D5" w:rsidRPr="00553926" w:rsidRDefault="00AB15D5">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 xml:space="preserve">Valor residual </w:t>
            </w:r>
            <w:r w:rsidRPr="00AB15D5">
              <w:rPr>
                <w:rFonts w:ascii="Arial" w:eastAsia="Times New Roman" w:hAnsi="Arial" w:cs="Arial"/>
                <w:color w:val="000000"/>
                <w:sz w:val="14"/>
                <w:szCs w:val="18"/>
                <w:lang w:val="es-ES_tradnl" w:eastAsia="en-US"/>
              </w:rPr>
              <w:t>inversión</w:t>
            </w:r>
          </w:p>
        </w:tc>
        <w:tc>
          <w:tcPr>
            <w:tcW w:w="236" w:type="dxa"/>
            <w:tcBorders>
              <w:top w:val="nil"/>
              <w:left w:val="nil"/>
              <w:bottom w:val="nil"/>
              <w:right w:val="nil"/>
            </w:tcBorders>
            <w:shd w:val="clear" w:color="auto" w:fill="auto"/>
            <w:noWrap/>
            <w:vAlign w:val="center"/>
            <w:hideMark/>
          </w:tcPr>
          <w:p w14:paraId="0D78F39B" w14:textId="77777777" w:rsidR="00AB15D5" w:rsidRPr="00553926" w:rsidRDefault="00AB15D5">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74263216"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785C5958"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09DC7FC8"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6B1EC40A"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1653B02B"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239A10E7"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688738FE"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26A268A1"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3F94A1BC"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+RI</w:t>
            </w:r>
          </w:p>
        </w:tc>
      </w:tr>
      <w:tr w:rsidR="00553926" w:rsidRPr="00AB15D5" w14:paraId="40B0F13A" w14:textId="77777777" w:rsidTr="00553926">
        <w:trPr>
          <w:trHeight w:val="262"/>
        </w:trPr>
        <w:tc>
          <w:tcPr>
            <w:tcW w:w="372" w:type="dxa"/>
            <w:tcBorders>
              <w:top w:val="nil"/>
              <w:left w:val="nil"/>
              <w:bottom w:val="nil"/>
              <w:right w:val="nil"/>
            </w:tcBorders>
            <w:shd w:val="clear" w:color="auto" w:fill="auto"/>
            <w:noWrap/>
            <w:vAlign w:val="center"/>
            <w:hideMark/>
          </w:tcPr>
          <w:p w14:paraId="541F3663"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9</w:t>
            </w:r>
          </w:p>
        </w:tc>
        <w:tc>
          <w:tcPr>
            <w:tcW w:w="3960" w:type="dxa"/>
            <w:tcBorders>
              <w:top w:val="single" w:sz="4" w:space="0" w:color="auto"/>
              <w:left w:val="nil"/>
              <w:bottom w:val="single" w:sz="4" w:space="0" w:color="auto"/>
              <w:right w:val="nil"/>
            </w:tcBorders>
            <w:shd w:val="clear" w:color="auto" w:fill="auto"/>
            <w:noWrap/>
            <w:vAlign w:val="center"/>
            <w:hideMark/>
          </w:tcPr>
          <w:p w14:paraId="4C765F09" w14:textId="77777777" w:rsidR="00AB15D5" w:rsidRPr="00553926" w:rsidRDefault="00AB15D5">
            <w:pPr>
              <w:spacing w:after="0" w:line="240" w:lineRule="auto"/>
              <w:rPr>
                <w:rFonts w:ascii="Arial" w:eastAsia="Times New Roman" w:hAnsi="Arial" w:cs="Arial"/>
                <w:b/>
                <w:bCs/>
                <w:color w:val="000000"/>
                <w:sz w:val="14"/>
                <w:szCs w:val="18"/>
                <w:lang w:val="es-ES_tradnl" w:eastAsia="en-US"/>
              </w:rPr>
            </w:pPr>
            <w:r w:rsidRPr="00553926">
              <w:rPr>
                <w:rFonts w:ascii="Arial" w:eastAsia="Times New Roman" w:hAnsi="Arial" w:cs="Arial"/>
                <w:b/>
                <w:bCs/>
                <w:color w:val="000000"/>
                <w:sz w:val="14"/>
                <w:szCs w:val="18"/>
                <w:lang w:val="es-ES_tradnl" w:eastAsia="en-US"/>
              </w:rPr>
              <w:t>Ingresos operativos</w:t>
            </w:r>
          </w:p>
        </w:tc>
        <w:tc>
          <w:tcPr>
            <w:tcW w:w="236" w:type="dxa"/>
            <w:tcBorders>
              <w:top w:val="nil"/>
              <w:left w:val="nil"/>
              <w:bottom w:val="nil"/>
              <w:right w:val="nil"/>
            </w:tcBorders>
            <w:shd w:val="clear" w:color="auto" w:fill="auto"/>
            <w:noWrap/>
            <w:vAlign w:val="center"/>
            <w:hideMark/>
          </w:tcPr>
          <w:p w14:paraId="7428CBC3" w14:textId="77777777" w:rsidR="00AB15D5" w:rsidRPr="00553926" w:rsidRDefault="00AB15D5">
            <w:pPr>
              <w:spacing w:after="0" w:line="240" w:lineRule="auto"/>
              <w:rPr>
                <w:rFonts w:ascii="Arial" w:eastAsia="Times New Roman" w:hAnsi="Arial" w:cs="Arial"/>
                <w:b/>
                <w:bCs/>
                <w:color w:val="000000"/>
                <w:sz w:val="18"/>
                <w:szCs w:val="18"/>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5C1DDC78"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009FBF57"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0B7C149F"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322FCB17"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6E8F0097"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7F169122"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1FCAB9B8"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3F437EC4"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1B630484"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r>
      <w:tr w:rsidR="00AB15D5" w:rsidRPr="00AB15D5" w14:paraId="1E407FB8" w14:textId="77777777" w:rsidTr="00553926">
        <w:trPr>
          <w:trHeight w:val="262"/>
        </w:trPr>
        <w:tc>
          <w:tcPr>
            <w:tcW w:w="372" w:type="dxa"/>
            <w:tcBorders>
              <w:top w:val="nil"/>
              <w:left w:val="nil"/>
              <w:bottom w:val="nil"/>
              <w:right w:val="nil"/>
            </w:tcBorders>
            <w:shd w:val="clear" w:color="auto" w:fill="auto"/>
            <w:noWrap/>
            <w:vAlign w:val="center"/>
          </w:tcPr>
          <w:p w14:paraId="5F231D87"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p>
        </w:tc>
        <w:tc>
          <w:tcPr>
            <w:tcW w:w="3960" w:type="dxa"/>
            <w:tcBorders>
              <w:top w:val="nil"/>
              <w:left w:val="nil"/>
              <w:bottom w:val="nil"/>
              <w:right w:val="nil"/>
            </w:tcBorders>
            <w:shd w:val="clear" w:color="auto" w:fill="auto"/>
            <w:noWrap/>
            <w:vAlign w:val="center"/>
          </w:tcPr>
          <w:p w14:paraId="6130AD9D" w14:textId="77777777" w:rsidR="00AB15D5" w:rsidRPr="00553926" w:rsidRDefault="00AB15D5">
            <w:pPr>
              <w:spacing w:after="0" w:line="240" w:lineRule="auto"/>
              <w:rPr>
                <w:rFonts w:ascii="Arial" w:eastAsia="Times New Roman" w:hAnsi="Arial" w:cs="Arial"/>
                <w:color w:val="000000"/>
                <w:sz w:val="14"/>
                <w:szCs w:val="18"/>
                <w:lang w:val="es-ES_tradnl" w:eastAsia="en-US"/>
              </w:rPr>
            </w:pPr>
          </w:p>
        </w:tc>
        <w:tc>
          <w:tcPr>
            <w:tcW w:w="236" w:type="dxa"/>
            <w:tcBorders>
              <w:top w:val="nil"/>
              <w:left w:val="nil"/>
              <w:bottom w:val="nil"/>
              <w:right w:val="nil"/>
            </w:tcBorders>
            <w:shd w:val="clear" w:color="auto" w:fill="auto"/>
            <w:noWrap/>
            <w:vAlign w:val="center"/>
          </w:tcPr>
          <w:p w14:paraId="23815D9E" w14:textId="77777777" w:rsidR="00AB15D5" w:rsidRPr="00553926" w:rsidRDefault="00AB15D5">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tcPr>
          <w:p w14:paraId="34F13A5C"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tcPr>
          <w:p w14:paraId="2558AB99"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tcPr>
          <w:p w14:paraId="55BBCDB2"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20CEF996"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3F49B3C1"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0981B8CD"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509B411A"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6F1D57DC"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53C095D2"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r>
      <w:tr w:rsidR="00AB15D5" w:rsidRPr="00AB15D5" w14:paraId="41CBA867" w14:textId="77777777" w:rsidTr="00553926">
        <w:trPr>
          <w:trHeight w:val="262"/>
        </w:trPr>
        <w:tc>
          <w:tcPr>
            <w:tcW w:w="372" w:type="dxa"/>
            <w:tcBorders>
              <w:top w:val="nil"/>
              <w:left w:val="nil"/>
              <w:bottom w:val="nil"/>
              <w:right w:val="nil"/>
            </w:tcBorders>
            <w:shd w:val="clear" w:color="auto" w:fill="auto"/>
            <w:noWrap/>
            <w:vAlign w:val="center"/>
          </w:tcPr>
          <w:p w14:paraId="2B7074EF"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p>
        </w:tc>
        <w:tc>
          <w:tcPr>
            <w:tcW w:w="3960" w:type="dxa"/>
            <w:tcBorders>
              <w:top w:val="nil"/>
              <w:left w:val="nil"/>
              <w:bottom w:val="nil"/>
              <w:right w:val="nil"/>
            </w:tcBorders>
            <w:shd w:val="clear" w:color="auto" w:fill="auto"/>
            <w:noWrap/>
            <w:vAlign w:val="center"/>
          </w:tcPr>
          <w:p w14:paraId="1442CC6B" w14:textId="77777777" w:rsidR="00AB15D5" w:rsidRPr="00553926" w:rsidRDefault="00AB15D5">
            <w:pPr>
              <w:spacing w:after="0" w:line="240" w:lineRule="auto"/>
              <w:rPr>
                <w:rFonts w:ascii="Arial" w:eastAsia="Times New Roman" w:hAnsi="Arial" w:cs="Arial"/>
                <w:color w:val="000000"/>
                <w:sz w:val="14"/>
                <w:szCs w:val="18"/>
                <w:lang w:val="es-ES_tradnl" w:eastAsia="en-US"/>
              </w:rPr>
            </w:pPr>
          </w:p>
        </w:tc>
        <w:tc>
          <w:tcPr>
            <w:tcW w:w="236" w:type="dxa"/>
            <w:tcBorders>
              <w:top w:val="nil"/>
              <w:left w:val="nil"/>
              <w:bottom w:val="nil"/>
              <w:right w:val="nil"/>
            </w:tcBorders>
            <w:shd w:val="clear" w:color="auto" w:fill="auto"/>
            <w:noWrap/>
            <w:vAlign w:val="center"/>
          </w:tcPr>
          <w:p w14:paraId="61A8E54F" w14:textId="77777777" w:rsidR="00AB15D5" w:rsidRPr="00553926" w:rsidRDefault="00AB15D5">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tcPr>
          <w:p w14:paraId="2771E9A2"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tcPr>
          <w:p w14:paraId="581CAED6"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tcPr>
          <w:p w14:paraId="5F6C306A"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548A4931"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5826D236"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645B53A8"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1EA53F68"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447E376C"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3920FE61"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r>
      <w:tr w:rsidR="00AB15D5" w:rsidRPr="00AB15D5" w14:paraId="11504692" w14:textId="77777777" w:rsidTr="00553926">
        <w:trPr>
          <w:trHeight w:val="262"/>
        </w:trPr>
        <w:tc>
          <w:tcPr>
            <w:tcW w:w="372" w:type="dxa"/>
            <w:tcBorders>
              <w:top w:val="nil"/>
              <w:left w:val="nil"/>
              <w:bottom w:val="nil"/>
              <w:right w:val="nil"/>
            </w:tcBorders>
            <w:shd w:val="clear" w:color="auto" w:fill="auto"/>
            <w:noWrap/>
            <w:vAlign w:val="center"/>
            <w:hideMark/>
          </w:tcPr>
          <w:p w14:paraId="3D08571A"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12</w:t>
            </w:r>
          </w:p>
        </w:tc>
        <w:tc>
          <w:tcPr>
            <w:tcW w:w="3960" w:type="dxa"/>
            <w:tcBorders>
              <w:top w:val="nil"/>
              <w:left w:val="nil"/>
              <w:bottom w:val="nil"/>
              <w:right w:val="nil"/>
            </w:tcBorders>
            <w:shd w:val="clear" w:color="auto" w:fill="auto"/>
            <w:noWrap/>
            <w:vAlign w:val="center"/>
            <w:hideMark/>
          </w:tcPr>
          <w:p w14:paraId="04025891" w14:textId="77777777" w:rsidR="00AB15D5" w:rsidRPr="00553926" w:rsidRDefault="00AB15D5">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 xml:space="preserve">Flujo de ing. dif. asociados a la </w:t>
            </w:r>
            <w:r w:rsidRPr="00AB15D5">
              <w:rPr>
                <w:rFonts w:ascii="Arial" w:eastAsia="Times New Roman" w:hAnsi="Arial" w:cs="Arial"/>
                <w:color w:val="000000"/>
                <w:sz w:val="14"/>
                <w:szCs w:val="18"/>
                <w:lang w:val="es-ES_tradnl" w:eastAsia="en-US"/>
              </w:rPr>
              <w:t>realización</w:t>
            </w:r>
            <w:r w:rsidRPr="00553926">
              <w:rPr>
                <w:rFonts w:ascii="Arial" w:eastAsia="Times New Roman" w:hAnsi="Arial" w:cs="Arial"/>
                <w:color w:val="000000"/>
                <w:sz w:val="14"/>
                <w:szCs w:val="18"/>
                <w:lang w:val="es-ES_tradnl" w:eastAsia="en-US"/>
              </w:rPr>
              <w:t xml:space="preserve"> del proyecto</w:t>
            </w:r>
          </w:p>
        </w:tc>
        <w:tc>
          <w:tcPr>
            <w:tcW w:w="236" w:type="dxa"/>
            <w:tcBorders>
              <w:top w:val="nil"/>
              <w:left w:val="nil"/>
              <w:bottom w:val="nil"/>
              <w:right w:val="nil"/>
            </w:tcBorders>
            <w:shd w:val="clear" w:color="auto" w:fill="auto"/>
            <w:noWrap/>
            <w:vAlign w:val="center"/>
            <w:hideMark/>
          </w:tcPr>
          <w:p w14:paraId="690C572A" w14:textId="77777777" w:rsidR="00AB15D5" w:rsidRPr="00553926" w:rsidRDefault="00AB15D5">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1978D1B5"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4B11D25D"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05C009D0"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Δ VP</w:t>
            </w:r>
          </w:p>
        </w:tc>
        <w:tc>
          <w:tcPr>
            <w:tcW w:w="249" w:type="dxa"/>
            <w:tcBorders>
              <w:top w:val="nil"/>
              <w:left w:val="nil"/>
              <w:bottom w:val="nil"/>
              <w:right w:val="nil"/>
            </w:tcBorders>
            <w:shd w:val="clear" w:color="auto" w:fill="auto"/>
            <w:noWrap/>
            <w:vAlign w:val="center"/>
            <w:hideMark/>
          </w:tcPr>
          <w:p w14:paraId="334523BD"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7E78E5D2"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Δ VP</w:t>
            </w:r>
          </w:p>
        </w:tc>
        <w:tc>
          <w:tcPr>
            <w:tcW w:w="249" w:type="dxa"/>
            <w:tcBorders>
              <w:top w:val="nil"/>
              <w:left w:val="nil"/>
              <w:bottom w:val="nil"/>
              <w:right w:val="nil"/>
            </w:tcBorders>
            <w:shd w:val="clear" w:color="auto" w:fill="auto"/>
            <w:noWrap/>
            <w:vAlign w:val="center"/>
            <w:hideMark/>
          </w:tcPr>
          <w:p w14:paraId="7F159329"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79BB7F0E"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29064355"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7051E878"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Δ VP</w:t>
            </w:r>
          </w:p>
        </w:tc>
      </w:tr>
      <w:tr w:rsidR="00553926" w:rsidRPr="00AB15D5" w14:paraId="267727FE" w14:textId="77777777" w:rsidTr="00553926">
        <w:trPr>
          <w:trHeight w:val="262"/>
        </w:trPr>
        <w:tc>
          <w:tcPr>
            <w:tcW w:w="372" w:type="dxa"/>
            <w:tcBorders>
              <w:top w:val="nil"/>
              <w:left w:val="nil"/>
              <w:bottom w:val="nil"/>
              <w:right w:val="nil"/>
            </w:tcBorders>
            <w:shd w:val="clear" w:color="auto" w:fill="auto"/>
            <w:noWrap/>
            <w:vAlign w:val="center"/>
            <w:hideMark/>
          </w:tcPr>
          <w:p w14:paraId="4FB015FF"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13</w:t>
            </w:r>
          </w:p>
        </w:tc>
        <w:tc>
          <w:tcPr>
            <w:tcW w:w="3960" w:type="dxa"/>
            <w:tcBorders>
              <w:top w:val="single" w:sz="4" w:space="0" w:color="auto"/>
              <w:left w:val="nil"/>
              <w:bottom w:val="single" w:sz="4" w:space="0" w:color="auto"/>
              <w:right w:val="nil"/>
            </w:tcBorders>
            <w:shd w:val="clear" w:color="auto" w:fill="auto"/>
            <w:noWrap/>
            <w:vAlign w:val="center"/>
            <w:hideMark/>
          </w:tcPr>
          <w:p w14:paraId="3148B200" w14:textId="77777777" w:rsidR="00AB15D5" w:rsidRPr="00553926" w:rsidRDefault="00AB15D5">
            <w:pPr>
              <w:spacing w:after="0" w:line="240" w:lineRule="auto"/>
              <w:rPr>
                <w:rFonts w:ascii="Arial" w:eastAsia="Times New Roman" w:hAnsi="Arial" w:cs="Arial"/>
                <w:b/>
                <w:bCs/>
                <w:color w:val="000000"/>
                <w:sz w:val="14"/>
                <w:szCs w:val="18"/>
                <w:lang w:val="es-ES_tradnl" w:eastAsia="en-US"/>
              </w:rPr>
            </w:pPr>
            <w:r w:rsidRPr="00553926">
              <w:rPr>
                <w:rFonts w:ascii="Arial" w:eastAsia="Times New Roman" w:hAnsi="Arial" w:cs="Arial"/>
                <w:b/>
                <w:bCs/>
                <w:color w:val="000000"/>
                <w:sz w:val="14"/>
                <w:szCs w:val="18"/>
                <w:lang w:val="es-ES_tradnl" w:eastAsia="en-US"/>
              </w:rPr>
              <w:t>Egresos operativos</w:t>
            </w:r>
          </w:p>
        </w:tc>
        <w:tc>
          <w:tcPr>
            <w:tcW w:w="236" w:type="dxa"/>
            <w:tcBorders>
              <w:top w:val="nil"/>
              <w:left w:val="nil"/>
              <w:bottom w:val="nil"/>
              <w:right w:val="nil"/>
            </w:tcBorders>
            <w:shd w:val="clear" w:color="auto" w:fill="auto"/>
            <w:noWrap/>
            <w:vAlign w:val="center"/>
            <w:hideMark/>
          </w:tcPr>
          <w:p w14:paraId="4CE18616" w14:textId="77777777" w:rsidR="00AB15D5" w:rsidRPr="00553926" w:rsidRDefault="00AB15D5">
            <w:pPr>
              <w:spacing w:after="0" w:line="240" w:lineRule="auto"/>
              <w:rPr>
                <w:rFonts w:ascii="Arial" w:eastAsia="Times New Roman" w:hAnsi="Arial" w:cs="Arial"/>
                <w:b/>
                <w:bCs/>
                <w:color w:val="000000"/>
                <w:sz w:val="18"/>
                <w:szCs w:val="18"/>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02E1DCE7"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2DE43467"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26BB2CE3"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75B5C64C"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59853689"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668A1962"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5AFCA8DB"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hideMark/>
          </w:tcPr>
          <w:p w14:paraId="29E6B4BF"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single" w:sz="4" w:space="0" w:color="auto"/>
              <w:left w:val="nil"/>
              <w:bottom w:val="single" w:sz="4" w:space="0" w:color="auto"/>
              <w:right w:val="nil"/>
            </w:tcBorders>
            <w:shd w:val="clear" w:color="auto" w:fill="auto"/>
            <w:noWrap/>
            <w:vAlign w:val="center"/>
            <w:hideMark/>
          </w:tcPr>
          <w:p w14:paraId="12B0DF67"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r>
      <w:tr w:rsidR="00AB15D5" w:rsidRPr="00AB15D5" w14:paraId="4D84E043" w14:textId="77777777" w:rsidTr="00553926">
        <w:trPr>
          <w:trHeight w:val="262"/>
        </w:trPr>
        <w:tc>
          <w:tcPr>
            <w:tcW w:w="372" w:type="dxa"/>
            <w:tcBorders>
              <w:top w:val="nil"/>
              <w:left w:val="nil"/>
              <w:bottom w:val="nil"/>
              <w:right w:val="nil"/>
            </w:tcBorders>
            <w:shd w:val="clear" w:color="auto" w:fill="auto"/>
            <w:noWrap/>
            <w:vAlign w:val="center"/>
          </w:tcPr>
          <w:p w14:paraId="4446103E"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p>
        </w:tc>
        <w:tc>
          <w:tcPr>
            <w:tcW w:w="3960" w:type="dxa"/>
            <w:tcBorders>
              <w:top w:val="nil"/>
              <w:left w:val="nil"/>
              <w:bottom w:val="nil"/>
              <w:right w:val="nil"/>
            </w:tcBorders>
            <w:shd w:val="clear" w:color="auto" w:fill="auto"/>
            <w:noWrap/>
            <w:vAlign w:val="center"/>
          </w:tcPr>
          <w:p w14:paraId="4EE9F39D" w14:textId="77777777" w:rsidR="00AB15D5" w:rsidRPr="00553926" w:rsidRDefault="00AB15D5">
            <w:pPr>
              <w:spacing w:after="0" w:line="240" w:lineRule="auto"/>
              <w:rPr>
                <w:rFonts w:ascii="Arial" w:eastAsia="Times New Roman" w:hAnsi="Arial" w:cs="Arial"/>
                <w:color w:val="000000"/>
                <w:sz w:val="14"/>
                <w:szCs w:val="18"/>
                <w:lang w:val="es-ES_tradnl" w:eastAsia="en-US"/>
              </w:rPr>
            </w:pPr>
          </w:p>
        </w:tc>
        <w:tc>
          <w:tcPr>
            <w:tcW w:w="236" w:type="dxa"/>
            <w:tcBorders>
              <w:top w:val="nil"/>
              <w:left w:val="nil"/>
              <w:bottom w:val="nil"/>
              <w:right w:val="nil"/>
            </w:tcBorders>
            <w:shd w:val="clear" w:color="auto" w:fill="auto"/>
            <w:noWrap/>
            <w:vAlign w:val="center"/>
          </w:tcPr>
          <w:p w14:paraId="0033A6C1" w14:textId="77777777" w:rsidR="00AB15D5" w:rsidRPr="00553926" w:rsidRDefault="00AB15D5">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tcPr>
          <w:p w14:paraId="5890EFFC"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tcPr>
          <w:p w14:paraId="4B538764"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tcPr>
          <w:p w14:paraId="5E7DDE51"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1DC6C536"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6D885ECA"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23A951BD"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31B177EF"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0052CF1D"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03E0435C"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r>
      <w:tr w:rsidR="00AB15D5" w:rsidRPr="00AB15D5" w14:paraId="5582EF99" w14:textId="77777777" w:rsidTr="00553926">
        <w:trPr>
          <w:trHeight w:val="262"/>
        </w:trPr>
        <w:tc>
          <w:tcPr>
            <w:tcW w:w="372" w:type="dxa"/>
            <w:tcBorders>
              <w:top w:val="nil"/>
              <w:left w:val="nil"/>
              <w:bottom w:val="nil"/>
              <w:right w:val="nil"/>
            </w:tcBorders>
            <w:shd w:val="clear" w:color="auto" w:fill="auto"/>
            <w:noWrap/>
            <w:vAlign w:val="center"/>
          </w:tcPr>
          <w:p w14:paraId="7D9C4942"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p>
        </w:tc>
        <w:tc>
          <w:tcPr>
            <w:tcW w:w="3960" w:type="dxa"/>
            <w:tcBorders>
              <w:top w:val="nil"/>
              <w:left w:val="nil"/>
              <w:bottom w:val="nil"/>
              <w:right w:val="nil"/>
            </w:tcBorders>
            <w:shd w:val="clear" w:color="auto" w:fill="auto"/>
            <w:noWrap/>
            <w:vAlign w:val="center"/>
          </w:tcPr>
          <w:p w14:paraId="6FB357A5" w14:textId="77777777" w:rsidR="00AB15D5" w:rsidRPr="00553926" w:rsidRDefault="00AB15D5">
            <w:pPr>
              <w:spacing w:after="0" w:line="240" w:lineRule="auto"/>
              <w:rPr>
                <w:rFonts w:ascii="Arial" w:eastAsia="Times New Roman" w:hAnsi="Arial" w:cs="Arial"/>
                <w:color w:val="000000"/>
                <w:sz w:val="14"/>
                <w:szCs w:val="18"/>
                <w:lang w:val="es-ES_tradnl" w:eastAsia="en-US"/>
              </w:rPr>
            </w:pPr>
          </w:p>
        </w:tc>
        <w:tc>
          <w:tcPr>
            <w:tcW w:w="236" w:type="dxa"/>
            <w:tcBorders>
              <w:top w:val="nil"/>
              <w:left w:val="nil"/>
              <w:bottom w:val="nil"/>
              <w:right w:val="nil"/>
            </w:tcBorders>
            <w:shd w:val="clear" w:color="auto" w:fill="auto"/>
            <w:noWrap/>
            <w:vAlign w:val="center"/>
          </w:tcPr>
          <w:p w14:paraId="4E3639B8" w14:textId="77777777" w:rsidR="00AB15D5" w:rsidRPr="00553926" w:rsidRDefault="00AB15D5">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tcPr>
          <w:p w14:paraId="11512D86"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tcPr>
          <w:p w14:paraId="724C33CF"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tcPr>
          <w:p w14:paraId="706C8D00"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0F6A1C22"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74C603D0"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6B8D3CFE"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2469D4FC"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nil"/>
              <w:right w:val="nil"/>
            </w:tcBorders>
            <w:shd w:val="clear" w:color="auto" w:fill="auto"/>
            <w:noWrap/>
            <w:vAlign w:val="center"/>
          </w:tcPr>
          <w:p w14:paraId="0B1C9301"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tcPr>
          <w:p w14:paraId="62403D77"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r>
      <w:tr w:rsidR="00AB15D5" w:rsidRPr="00AB15D5" w14:paraId="1251C72D" w14:textId="77777777" w:rsidTr="00553926">
        <w:trPr>
          <w:trHeight w:val="262"/>
        </w:trPr>
        <w:tc>
          <w:tcPr>
            <w:tcW w:w="372" w:type="dxa"/>
            <w:tcBorders>
              <w:top w:val="nil"/>
              <w:left w:val="nil"/>
              <w:bottom w:val="nil"/>
              <w:right w:val="nil"/>
            </w:tcBorders>
            <w:shd w:val="clear" w:color="auto" w:fill="auto"/>
            <w:noWrap/>
            <w:vAlign w:val="center"/>
            <w:hideMark/>
          </w:tcPr>
          <w:p w14:paraId="1B2E939B"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16</w:t>
            </w:r>
          </w:p>
        </w:tc>
        <w:tc>
          <w:tcPr>
            <w:tcW w:w="3960" w:type="dxa"/>
            <w:tcBorders>
              <w:top w:val="nil"/>
              <w:left w:val="nil"/>
              <w:bottom w:val="nil"/>
              <w:right w:val="nil"/>
            </w:tcBorders>
            <w:shd w:val="clear" w:color="auto" w:fill="auto"/>
            <w:noWrap/>
            <w:vAlign w:val="center"/>
            <w:hideMark/>
          </w:tcPr>
          <w:p w14:paraId="64E15EAC" w14:textId="77777777" w:rsidR="00AB15D5" w:rsidRPr="00553926" w:rsidRDefault="00AB15D5">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 xml:space="preserve">Flujo de egresos. dif. asociados a la </w:t>
            </w:r>
            <w:r w:rsidRPr="00AB15D5">
              <w:rPr>
                <w:rFonts w:ascii="Arial" w:eastAsia="Times New Roman" w:hAnsi="Arial" w:cs="Arial"/>
                <w:color w:val="000000"/>
                <w:sz w:val="14"/>
                <w:szCs w:val="18"/>
                <w:lang w:val="es-ES_tradnl" w:eastAsia="en-US"/>
              </w:rPr>
              <w:t>realización</w:t>
            </w:r>
            <w:r w:rsidRPr="00553926">
              <w:rPr>
                <w:rFonts w:ascii="Arial" w:eastAsia="Times New Roman" w:hAnsi="Arial" w:cs="Arial"/>
                <w:color w:val="000000"/>
                <w:sz w:val="14"/>
                <w:szCs w:val="18"/>
                <w:lang w:val="es-ES_tradnl" w:eastAsia="en-US"/>
              </w:rPr>
              <w:t xml:space="preserve"> del proyecto</w:t>
            </w:r>
          </w:p>
        </w:tc>
        <w:tc>
          <w:tcPr>
            <w:tcW w:w="236" w:type="dxa"/>
            <w:tcBorders>
              <w:top w:val="nil"/>
              <w:left w:val="nil"/>
              <w:bottom w:val="nil"/>
              <w:right w:val="nil"/>
            </w:tcBorders>
            <w:shd w:val="clear" w:color="auto" w:fill="auto"/>
            <w:noWrap/>
            <w:vAlign w:val="center"/>
            <w:hideMark/>
          </w:tcPr>
          <w:p w14:paraId="34F9E39F" w14:textId="77777777" w:rsidR="00AB15D5" w:rsidRPr="00553926" w:rsidRDefault="00AB15D5">
            <w:pPr>
              <w:spacing w:after="0" w:line="240" w:lineRule="auto"/>
              <w:rPr>
                <w:rFonts w:ascii="Arial" w:eastAsia="Times New Roman" w:hAnsi="Arial" w:cs="Arial"/>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719E1D41"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59D5464A"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65F67280"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Δ CP</w:t>
            </w:r>
          </w:p>
        </w:tc>
        <w:tc>
          <w:tcPr>
            <w:tcW w:w="249" w:type="dxa"/>
            <w:tcBorders>
              <w:top w:val="nil"/>
              <w:left w:val="nil"/>
              <w:bottom w:val="nil"/>
              <w:right w:val="nil"/>
            </w:tcBorders>
            <w:shd w:val="clear" w:color="auto" w:fill="auto"/>
            <w:noWrap/>
            <w:vAlign w:val="center"/>
            <w:hideMark/>
          </w:tcPr>
          <w:p w14:paraId="3A938EBD"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49D7B443"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Δ CP</w:t>
            </w:r>
          </w:p>
        </w:tc>
        <w:tc>
          <w:tcPr>
            <w:tcW w:w="249" w:type="dxa"/>
            <w:tcBorders>
              <w:top w:val="nil"/>
              <w:left w:val="nil"/>
              <w:bottom w:val="nil"/>
              <w:right w:val="nil"/>
            </w:tcBorders>
            <w:shd w:val="clear" w:color="auto" w:fill="auto"/>
            <w:noWrap/>
            <w:vAlign w:val="center"/>
            <w:hideMark/>
          </w:tcPr>
          <w:p w14:paraId="732B52BE"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60122C25"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w:t>
            </w:r>
          </w:p>
        </w:tc>
        <w:tc>
          <w:tcPr>
            <w:tcW w:w="249" w:type="dxa"/>
            <w:tcBorders>
              <w:top w:val="nil"/>
              <w:left w:val="nil"/>
              <w:bottom w:val="nil"/>
              <w:right w:val="nil"/>
            </w:tcBorders>
            <w:shd w:val="clear" w:color="auto" w:fill="auto"/>
            <w:noWrap/>
            <w:vAlign w:val="center"/>
            <w:hideMark/>
          </w:tcPr>
          <w:p w14:paraId="343481A7"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5D5EA0F5"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Δ CP</w:t>
            </w:r>
          </w:p>
        </w:tc>
      </w:tr>
      <w:tr w:rsidR="00AB15D5" w:rsidRPr="00AB15D5" w14:paraId="050E1CD6" w14:textId="77777777" w:rsidTr="00553926">
        <w:trPr>
          <w:trHeight w:val="196"/>
        </w:trPr>
        <w:tc>
          <w:tcPr>
            <w:tcW w:w="372" w:type="dxa"/>
            <w:tcBorders>
              <w:top w:val="nil"/>
              <w:left w:val="nil"/>
              <w:bottom w:val="nil"/>
              <w:right w:val="nil"/>
            </w:tcBorders>
            <w:shd w:val="clear" w:color="auto" w:fill="auto"/>
            <w:noWrap/>
            <w:vAlign w:val="center"/>
            <w:hideMark/>
          </w:tcPr>
          <w:p w14:paraId="6652B999" w14:textId="77777777" w:rsidR="00AB15D5" w:rsidRPr="00553926" w:rsidRDefault="00AB15D5" w:rsidP="00553926">
            <w:pPr>
              <w:spacing w:after="0" w:line="240" w:lineRule="auto"/>
              <w:rPr>
                <w:rFonts w:ascii="Arial" w:eastAsia="Times New Roman" w:hAnsi="Arial" w:cs="Arial"/>
                <w:color w:val="000000"/>
                <w:sz w:val="14"/>
                <w:szCs w:val="14"/>
                <w:lang w:val="es-ES_tradnl" w:eastAsia="en-US"/>
              </w:rPr>
            </w:pPr>
          </w:p>
        </w:tc>
        <w:tc>
          <w:tcPr>
            <w:tcW w:w="3960" w:type="dxa"/>
            <w:tcBorders>
              <w:top w:val="nil"/>
              <w:left w:val="nil"/>
              <w:bottom w:val="nil"/>
              <w:right w:val="nil"/>
            </w:tcBorders>
            <w:shd w:val="clear" w:color="auto" w:fill="auto"/>
            <w:noWrap/>
            <w:vAlign w:val="center"/>
            <w:hideMark/>
          </w:tcPr>
          <w:p w14:paraId="0EA721E3" w14:textId="77777777" w:rsidR="00AB15D5" w:rsidRPr="00553926" w:rsidRDefault="00AB15D5" w:rsidP="00553926">
            <w:pPr>
              <w:spacing w:after="0" w:line="240" w:lineRule="auto"/>
              <w:rPr>
                <w:rFonts w:ascii="Times New Roman" w:eastAsia="Times New Roman" w:hAnsi="Times New Roman" w:cs="Times New Roman"/>
                <w:sz w:val="14"/>
                <w:szCs w:val="20"/>
                <w:lang w:val="es-ES_tradnl" w:eastAsia="en-US"/>
              </w:rPr>
            </w:pPr>
          </w:p>
        </w:tc>
        <w:tc>
          <w:tcPr>
            <w:tcW w:w="236" w:type="dxa"/>
            <w:tcBorders>
              <w:top w:val="nil"/>
              <w:left w:val="nil"/>
              <w:bottom w:val="nil"/>
              <w:right w:val="nil"/>
            </w:tcBorders>
            <w:shd w:val="clear" w:color="auto" w:fill="auto"/>
            <w:noWrap/>
            <w:vAlign w:val="center"/>
            <w:hideMark/>
          </w:tcPr>
          <w:p w14:paraId="3CCBCC3E" w14:textId="77777777" w:rsidR="00AB15D5" w:rsidRPr="00553926" w:rsidRDefault="00AB15D5">
            <w:pPr>
              <w:spacing w:after="0" w:line="240" w:lineRule="auto"/>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71674B00"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22B52F18"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1BDC7B5F"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7475A235"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5FDCBC05"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3225F3E5"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750A5721"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28BD7D02"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08717E7C"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r>
      <w:tr w:rsidR="00AB15D5" w:rsidRPr="00AB15D5" w14:paraId="5F08F728" w14:textId="77777777" w:rsidTr="00553926">
        <w:trPr>
          <w:trHeight w:val="262"/>
        </w:trPr>
        <w:tc>
          <w:tcPr>
            <w:tcW w:w="372" w:type="dxa"/>
            <w:tcBorders>
              <w:top w:val="nil"/>
              <w:left w:val="nil"/>
              <w:bottom w:val="nil"/>
              <w:right w:val="nil"/>
            </w:tcBorders>
            <w:shd w:val="clear" w:color="auto" w:fill="auto"/>
            <w:noWrap/>
            <w:vAlign w:val="center"/>
            <w:hideMark/>
          </w:tcPr>
          <w:p w14:paraId="097503A7"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17</w:t>
            </w:r>
          </w:p>
        </w:tc>
        <w:tc>
          <w:tcPr>
            <w:tcW w:w="3960" w:type="dxa"/>
            <w:tcBorders>
              <w:top w:val="nil"/>
              <w:left w:val="nil"/>
              <w:bottom w:val="nil"/>
              <w:right w:val="nil"/>
            </w:tcBorders>
            <w:shd w:val="clear" w:color="auto" w:fill="auto"/>
            <w:noWrap/>
            <w:vAlign w:val="center"/>
            <w:hideMark/>
          </w:tcPr>
          <w:p w14:paraId="6919E333" w14:textId="77777777" w:rsidR="00AB15D5" w:rsidRPr="00553926" w:rsidRDefault="00AB15D5">
            <w:pPr>
              <w:spacing w:after="0" w:line="240" w:lineRule="auto"/>
              <w:rPr>
                <w:rFonts w:ascii="Arial" w:eastAsia="Times New Roman" w:hAnsi="Arial" w:cs="Arial"/>
                <w:b/>
                <w:bCs/>
                <w:color w:val="000000"/>
                <w:sz w:val="14"/>
                <w:szCs w:val="18"/>
                <w:lang w:val="es-ES_tradnl" w:eastAsia="en-US"/>
              </w:rPr>
            </w:pPr>
            <w:r w:rsidRPr="00553926">
              <w:rPr>
                <w:rFonts w:ascii="Arial" w:eastAsia="Times New Roman" w:hAnsi="Arial" w:cs="Arial"/>
                <w:b/>
                <w:bCs/>
                <w:color w:val="000000"/>
                <w:sz w:val="14"/>
                <w:szCs w:val="18"/>
                <w:lang w:val="es-ES_tradnl" w:eastAsia="en-US"/>
              </w:rPr>
              <w:t>Flujos netos</w:t>
            </w:r>
          </w:p>
        </w:tc>
        <w:tc>
          <w:tcPr>
            <w:tcW w:w="236" w:type="dxa"/>
            <w:tcBorders>
              <w:top w:val="nil"/>
              <w:left w:val="nil"/>
              <w:bottom w:val="nil"/>
              <w:right w:val="nil"/>
            </w:tcBorders>
            <w:shd w:val="clear" w:color="auto" w:fill="auto"/>
            <w:noWrap/>
            <w:vAlign w:val="center"/>
            <w:hideMark/>
          </w:tcPr>
          <w:p w14:paraId="212E0AF3" w14:textId="77777777" w:rsidR="00AB15D5" w:rsidRPr="00553926" w:rsidRDefault="00AB15D5">
            <w:pPr>
              <w:spacing w:after="0" w:line="240" w:lineRule="auto"/>
              <w:rPr>
                <w:rFonts w:ascii="Arial" w:eastAsia="Times New Roman" w:hAnsi="Arial" w:cs="Arial"/>
                <w:b/>
                <w:bCs/>
                <w:color w:val="000000"/>
                <w:sz w:val="18"/>
                <w:szCs w:val="18"/>
                <w:lang w:val="es-ES_tradnl" w:eastAsia="en-US"/>
              </w:rPr>
            </w:pPr>
          </w:p>
        </w:tc>
        <w:tc>
          <w:tcPr>
            <w:tcW w:w="667" w:type="dxa"/>
            <w:tcBorders>
              <w:top w:val="nil"/>
              <w:left w:val="nil"/>
              <w:bottom w:val="nil"/>
              <w:right w:val="nil"/>
            </w:tcBorders>
            <w:shd w:val="clear" w:color="auto" w:fill="auto"/>
            <w:noWrap/>
            <w:vAlign w:val="center"/>
            <w:hideMark/>
          </w:tcPr>
          <w:p w14:paraId="7E66C392" w14:textId="77777777" w:rsidR="00AB15D5" w:rsidRPr="00553926" w:rsidRDefault="00AB15D5" w:rsidP="00553926">
            <w:pPr>
              <w:spacing w:after="0" w:line="240" w:lineRule="auto"/>
              <w:jc w:val="center"/>
              <w:rPr>
                <w:rFonts w:ascii="Times New Roman" w:eastAsia="Times New Roman" w:hAnsi="Times New Roman" w:cs="Times New Roman"/>
                <w:sz w:val="20"/>
                <w:szCs w:val="20"/>
                <w:lang w:val="es-ES_tradnl" w:eastAsia="en-US"/>
              </w:rPr>
            </w:pPr>
          </w:p>
        </w:tc>
        <w:tc>
          <w:tcPr>
            <w:tcW w:w="249" w:type="dxa"/>
            <w:tcBorders>
              <w:top w:val="nil"/>
              <w:left w:val="nil"/>
              <w:bottom w:val="nil"/>
              <w:right w:val="nil"/>
            </w:tcBorders>
            <w:shd w:val="clear" w:color="auto" w:fill="auto"/>
            <w:noWrap/>
            <w:vAlign w:val="center"/>
            <w:hideMark/>
          </w:tcPr>
          <w:p w14:paraId="4769BA30" w14:textId="77777777" w:rsidR="00AB15D5" w:rsidRPr="00553926" w:rsidRDefault="00AB15D5">
            <w:pPr>
              <w:spacing w:after="0" w:line="240" w:lineRule="auto"/>
              <w:jc w:val="center"/>
              <w:rPr>
                <w:rFonts w:ascii="Times New Roman" w:eastAsia="Times New Roman" w:hAnsi="Times New Roman" w:cs="Times New Roman"/>
                <w:sz w:val="20"/>
                <w:szCs w:val="20"/>
                <w:lang w:val="es-ES_tradnl" w:eastAsia="en-US"/>
              </w:rPr>
            </w:pPr>
          </w:p>
        </w:tc>
        <w:tc>
          <w:tcPr>
            <w:tcW w:w="667" w:type="dxa"/>
            <w:tcBorders>
              <w:top w:val="nil"/>
              <w:left w:val="nil"/>
              <w:bottom w:val="nil"/>
              <w:right w:val="nil"/>
            </w:tcBorders>
            <w:shd w:val="clear" w:color="auto" w:fill="auto"/>
            <w:noWrap/>
            <w:vAlign w:val="center"/>
            <w:hideMark/>
          </w:tcPr>
          <w:p w14:paraId="3E18B0E8"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FN</w:t>
            </w:r>
          </w:p>
        </w:tc>
        <w:tc>
          <w:tcPr>
            <w:tcW w:w="249" w:type="dxa"/>
            <w:tcBorders>
              <w:top w:val="nil"/>
              <w:left w:val="nil"/>
              <w:bottom w:val="nil"/>
              <w:right w:val="nil"/>
            </w:tcBorders>
            <w:shd w:val="clear" w:color="auto" w:fill="auto"/>
            <w:noWrap/>
            <w:vAlign w:val="center"/>
            <w:hideMark/>
          </w:tcPr>
          <w:p w14:paraId="54479C95"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5A4ED3F9"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FN</w:t>
            </w:r>
          </w:p>
        </w:tc>
        <w:tc>
          <w:tcPr>
            <w:tcW w:w="249" w:type="dxa"/>
            <w:tcBorders>
              <w:top w:val="nil"/>
              <w:left w:val="nil"/>
              <w:bottom w:val="nil"/>
              <w:right w:val="nil"/>
            </w:tcBorders>
            <w:shd w:val="clear" w:color="auto" w:fill="auto"/>
            <w:noWrap/>
            <w:vAlign w:val="center"/>
            <w:hideMark/>
          </w:tcPr>
          <w:p w14:paraId="1D26DB1D"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76B0B156"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FN</w:t>
            </w:r>
          </w:p>
        </w:tc>
        <w:tc>
          <w:tcPr>
            <w:tcW w:w="249" w:type="dxa"/>
            <w:tcBorders>
              <w:top w:val="nil"/>
              <w:left w:val="nil"/>
              <w:bottom w:val="nil"/>
              <w:right w:val="nil"/>
            </w:tcBorders>
            <w:shd w:val="clear" w:color="auto" w:fill="auto"/>
            <w:noWrap/>
            <w:vAlign w:val="center"/>
            <w:hideMark/>
          </w:tcPr>
          <w:p w14:paraId="73902D38"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nil"/>
              <w:right w:val="nil"/>
            </w:tcBorders>
            <w:shd w:val="clear" w:color="auto" w:fill="auto"/>
            <w:noWrap/>
            <w:vAlign w:val="center"/>
            <w:hideMark/>
          </w:tcPr>
          <w:p w14:paraId="7D23BCA5"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FN</w:t>
            </w:r>
          </w:p>
        </w:tc>
      </w:tr>
      <w:tr w:rsidR="00AB15D5" w:rsidRPr="00AB15D5" w14:paraId="745C7175" w14:textId="77777777" w:rsidTr="00553926">
        <w:trPr>
          <w:trHeight w:val="262"/>
        </w:trPr>
        <w:tc>
          <w:tcPr>
            <w:tcW w:w="372" w:type="dxa"/>
            <w:tcBorders>
              <w:top w:val="nil"/>
              <w:left w:val="nil"/>
              <w:bottom w:val="single" w:sz="4" w:space="0" w:color="auto"/>
              <w:right w:val="nil"/>
            </w:tcBorders>
            <w:shd w:val="clear" w:color="auto" w:fill="auto"/>
            <w:noWrap/>
            <w:vAlign w:val="center"/>
            <w:hideMark/>
          </w:tcPr>
          <w:p w14:paraId="75FEA50D" w14:textId="77777777" w:rsidR="00AB15D5" w:rsidRPr="00553926" w:rsidRDefault="00AB15D5" w:rsidP="00553926">
            <w:pPr>
              <w:spacing w:after="0" w:line="240" w:lineRule="auto"/>
              <w:rPr>
                <w:rFonts w:ascii="Arial" w:eastAsia="Times New Roman" w:hAnsi="Arial" w:cs="Arial"/>
                <w:color w:val="000000"/>
                <w:sz w:val="14"/>
                <w:szCs w:val="18"/>
                <w:lang w:val="es-ES_tradnl" w:eastAsia="en-US"/>
              </w:rPr>
            </w:pPr>
            <w:r w:rsidRPr="00553926">
              <w:rPr>
                <w:rFonts w:ascii="Arial" w:eastAsia="Times New Roman" w:hAnsi="Arial" w:cs="Arial"/>
                <w:color w:val="000000"/>
                <w:sz w:val="14"/>
                <w:szCs w:val="18"/>
                <w:lang w:val="es-ES_tradnl" w:eastAsia="en-US"/>
              </w:rPr>
              <w:t>18</w:t>
            </w:r>
          </w:p>
        </w:tc>
        <w:tc>
          <w:tcPr>
            <w:tcW w:w="3960" w:type="dxa"/>
            <w:tcBorders>
              <w:top w:val="nil"/>
              <w:left w:val="nil"/>
              <w:bottom w:val="single" w:sz="4" w:space="0" w:color="auto"/>
              <w:right w:val="nil"/>
            </w:tcBorders>
            <w:shd w:val="clear" w:color="auto" w:fill="auto"/>
            <w:noWrap/>
            <w:vAlign w:val="center"/>
            <w:hideMark/>
          </w:tcPr>
          <w:p w14:paraId="450ED6AA" w14:textId="77777777" w:rsidR="00AB15D5" w:rsidRPr="00553926" w:rsidRDefault="00AB15D5">
            <w:pPr>
              <w:spacing w:after="0" w:line="240" w:lineRule="auto"/>
              <w:rPr>
                <w:rFonts w:ascii="Arial" w:eastAsia="Times New Roman" w:hAnsi="Arial" w:cs="Arial"/>
                <w:b/>
                <w:bCs/>
                <w:color w:val="000000"/>
                <w:sz w:val="14"/>
                <w:szCs w:val="18"/>
                <w:lang w:val="es-ES_tradnl" w:eastAsia="en-US"/>
              </w:rPr>
            </w:pPr>
            <w:r w:rsidRPr="00553926">
              <w:rPr>
                <w:rFonts w:ascii="Arial" w:eastAsia="Times New Roman" w:hAnsi="Arial" w:cs="Arial"/>
                <w:b/>
                <w:bCs/>
                <w:color w:val="000000"/>
                <w:sz w:val="14"/>
                <w:szCs w:val="18"/>
                <w:lang w:val="es-ES_tradnl" w:eastAsia="en-US"/>
              </w:rPr>
              <w:t>Valor presente flujos netos</w:t>
            </w:r>
          </w:p>
        </w:tc>
        <w:tc>
          <w:tcPr>
            <w:tcW w:w="236" w:type="dxa"/>
            <w:tcBorders>
              <w:top w:val="nil"/>
              <w:left w:val="nil"/>
              <w:bottom w:val="single" w:sz="4" w:space="0" w:color="auto"/>
              <w:right w:val="nil"/>
            </w:tcBorders>
            <w:shd w:val="clear" w:color="auto" w:fill="auto"/>
            <w:noWrap/>
            <w:vAlign w:val="center"/>
            <w:hideMark/>
          </w:tcPr>
          <w:p w14:paraId="654E03CF" w14:textId="77777777" w:rsidR="00AB15D5" w:rsidRPr="00553926" w:rsidRDefault="00AB15D5">
            <w:pPr>
              <w:spacing w:after="0" w:line="240" w:lineRule="auto"/>
              <w:rPr>
                <w:rFonts w:ascii="Arial" w:eastAsia="Times New Roman" w:hAnsi="Arial" w:cs="Arial"/>
                <w:color w:val="000000"/>
                <w:sz w:val="18"/>
                <w:szCs w:val="18"/>
                <w:lang w:val="es-ES_tradnl" w:eastAsia="en-US"/>
              </w:rPr>
            </w:pPr>
            <w:r w:rsidRPr="00553926">
              <w:rPr>
                <w:rFonts w:ascii="Arial" w:eastAsia="Times New Roman" w:hAnsi="Arial" w:cs="Arial"/>
                <w:color w:val="000000"/>
                <w:sz w:val="18"/>
                <w:szCs w:val="18"/>
                <w:lang w:val="es-ES_tradnl" w:eastAsia="en-US"/>
              </w:rPr>
              <w:t> </w:t>
            </w:r>
          </w:p>
        </w:tc>
        <w:tc>
          <w:tcPr>
            <w:tcW w:w="667" w:type="dxa"/>
            <w:tcBorders>
              <w:top w:val="nil"/>
              <w:left w:val="nil"/>
              <w:bottom w:val="single" w:sz="4" w:space="0" w:color="auto"/>
              <w:right w:val="nil"/>
            </w:tcBorders>
            <w:shd w:val="clear" w:color="auto" w:fill="auto"/>
            <w:noWrap/>
            <w:vAlign w:val="center"/>
            <w:hideMark/>
          </w:tcPr>
          <w:p w14:paraId="7CF5040C"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r w:rsidRPr="00553926">
              <w:rPr>
                <w:rFonts w:ascii="Arial" w:eastAsia="Times New Roman" w:hAnsi="Arial" w:cs="Arial"/>
                <w:color w:val="000000"/>
                <w:sz w:val="14"/>
                <w:szCs w:val="14"/>
                <w:lang w:val="es-ES_tradnl" w:eastAsia="en-US"/>
              </w:rPr>
              <w:t>VPN</w:t>
            </w:r>
          </w:p>
        </w:tc>
        <w:tc>
          <w:tcPr>
            <w:tcW w:w="249" w:type="dxa"/>
            <w:tcBorders>
              <w:top w:val="nil"/>
              <w:left w:val="nil"/>
              <w:bottom w:val="single" w:sz="4" w:space="0" w:color="auto"/>
              <w:right w:val="nil"/>
            </w:tcBorders>
            <w:shd w:val="clear" w:color="auto" w:fill="auto"/>
            <w:noWrap/>
            <w:vAlign w:val="center"/>
            <w:hideMark/>
          </w:tcPr>
          <w:p w14:paraId="5EA9371F" w14:textId="77777777" w:rsidR="00AB15D5" w:rsidRPr="00553926" w:rsidRDefault="00AB15D5" w:rsidP="0055392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1CB4765B"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single" w:sz="4" w:space="0" w:color="auto"/>
              <w:right w:val="nil"/>
            </w:tcBorders>
            <w:shd w:val="clear" w:color="auto" w:fill="auto"/>
            <w:noWrap/>
            <w:vAlign w:val="center"/>
            <w:hideMark/>
          </w:tcPr>
          <w:p w14:paraId="522D4F95" w14:textId="77777777" w:rsidR="00AB15D5" w:rsidRPr="00553926" w:rsidRDefault="00AB15D5" w:rsidP="0055392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2F52EEC2"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single" w:sz="4" w:space="0" w:color="auto"/>
              <w:right w:val="nil"/>
            </w:tcBorders>
            <w:shd w:val="clear" w:color="auto" w:fill="auto"/>
            <w:noWrap/>
            <w:vAlign w:val="center"/>
            <w:hideMark/>
          </w:tcPr>
          <w:p w14:paraId="1B9E43F9" w14:textId="77777777" w:rsidR="00AB15D5" w:rsidRPr="00553926" w:rsidRDefault="00AB15D5" w:rsidP="0055392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21A2637A"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c>
          <w:tcPr>
            <w:tcW w:w="249" w:type="dxa"/>
            <w:tcBorders>
              <w:top w:val="nil"/>
              <w:left w:val="nil"/>
              <w:bottom w:val="single" w:sz="4" w:space="0" w:color="auto"/>
              <w:right w:val="nil"/>
            </w:tcBorders>
            <w:shd w:val="clear" w:color="auto" w:fill="auto"/>
            <w:noWrap/>
            <w:vAlign w:val="center"/>
            <w:hideMark/>
          </w:tcPr>
          <w:p w14:paraId="6DCF05C0" w14:textId="77777777" w:rsidR="00AB15D5" w:rsidRPr="00553926" w:rsidRDefault="00AB15D5" w:rsidP="00553926">
            <w:pPr>
              <w:spacing w:after="0" w:line="240" w:lineRule="auto"/>
              <w:jc w:val="center"/>
              <w:rPr>
                <w:rFonts w:ascii="Arial" w:eastAsia="Times New Roman" w:hAnsi="Arial" w:cs="Arial"/>
                <w:color w:val="000000"/>
                <w:sz w:val="14"/>
                <w:szCs w:val="14"/>
                <w:lang w:val="es-ES_tradnl" w:eastAsia="en-US"/>
              </w:rPr>
            </w:pPr>
          </w:p>
        </w:tc>
        <w:tc>
          <w:tcPr>
            <w:tcW w:w="667" w:type="dxa"/>
            <w:tcBorders>
              <w:top w:val="nil"/>
              <w:left w:val="nil"/>
              <w:bottom w:val="single" w:sz="4" w:space="0" w:color="auto"/>
              <w:right w:val="nil"/>
            </w:tcBorders>
            <w:shd w:val="clear" w:color="auto" w:fill="auto"/>
            <w:noWrap/>
            <w:vAlign w:val="center"/>
            <w:hideMark/>
          </w:tcPr>
          <w:p w14:paraId="3A1C8D10" w14:textId="77777777" w:rsidR="00AB15D5" w:rsidRPr="00553926" w:rsidRDefault="00AB15D5">
            <w:pPr>
              <w:spacing w:after="0" w:line="240" w:lineRule="auto"/>
              <w:jc w:val="center"/>
              <w:rPr>
                <w:rFonts w:ascii="Arial" w:eastAsia="Times New Roman" w:hAnsi="Arial" w:cs="Arial"/>
                <w:color w:val="000000"/>
                <w:sz w:val="14"/>
                <w:szCs w:val="14"/>
                <w:lang w:val="es-ES_tradnl" w:eastAsia="en-US"/>
              </w:rPr>
            </w:pPr>
          </w:p>
        </w:tc>
      </w:tr>
    </w:tbl>
    <w:p w14:paraId="19797CC2" w14:textId="77777777" w:rsidR="00AB15D5" w:rsidRPr="00A84DC3" w:rsidRDefault="00AB15D5" w:rsidP="009E7B86">
      <w:pPr>
        <w:pStyle w:val="Paragraph"/>
        <w:numPr>
          <w:ilvl w:val="0"/>
          <w:numId w:val="0"/>
        </w:numPr>
        <w:spacing w:after="0"/>
        <w:ind w:left="720"/>
        <w:jc w:val="center"/>
        <w:rPr>
          <w:rFonts w:ascii="Arial" w:hAnsi="Arial" w:cs="Arial"/>
          <w:b/>
          <w:sz w:val="22"/>
          <w:szCs w:val="22"/>
          <w:lang w:val="es-ES"/>
        </w:rPr>
      </w:pPr>
    </w:p>
    <w:p w14:paraId="64B3DDA4" w14:textId="77777777" w:rsidR="0066029A" w:rsidRPr="00A84DC3" w:rsidRDefault="0066029A" w:rsidP="008D2A08">
      <w:pPr>
        <w:pStyle w:val="Paragraph"/>
        <w:numPr>
          <w:ilvl w:val="0"/>
          <w:numId w:val="0"/>
        </w:numPr>
        <w:ind w:left="720"/>
        <w:rPr>
          <w:rFonts w:ascii="Arial" w:hAnsi="Arial" w:cs="Arial"/>
          <w:sz w:val="22"/>
          <w:szCs w:val="22"/>
          <w:lang w:val="es-ES"/>
        </w:rPr>
      </w:pPr>
      <w:r w:rsidRPr="00A84DC3">
        <w:rPr>
          <w:rFonts w:ascii="Arial" w:hAnsi="Arial" w:cs="Arial"/>
          <w:noProof/>
          <w:sz w:val="22"/>
          <w:szCs w:val="22"/>
          <w:lang w:eastAsia="en-US"/>
        </w:rPr>
        <w:drawing>
          <wp:inline distT="0" distB="0" distL="0" distR="0" wp14:anchorId="4525C56F" wp14:editId="5514096A">
            <wp:extent cx="4831307" cy="2831683"/>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7493" cy="2835309"/>
                    </a:xfrm>
                    <a:prstGeom prst="rect">
                      <a:avLst/>
                    </a:prstGeom>
                    <a:noFill/>
                    <a:ln>
                      <a:noFill/>
                    </a:ln>
                  </pic:spPr>
                </pic:pic>
              </a:graphicData>
            </a:graphic>
          </wp:inline>
        </w:drawing>
      </w:r>
    </w:p>
    <w:p w14:paraId="634ABB23" w14:textId="77777777" w:rsidR="0066029A" w:rsidRPr="00A84DC3" w:rsidRDefault="0066029A" w:rsidP="008738E1">
      <w:pPr>
        <w:pStyle w:val="Paragraph"/>
        <w:tabs>
          <w:tab w:val="num" w:pos="720"/>
        </w:tabs>
        <w:ind w:left="720" w:hanging="720"/>
        <w:rPr>
          <w:rFonts w:ascii="Arial" w:hAnsi="Arial" w:cs="Arial"/>
          <w:sz w:val="22"/>
          <w:szCs w:val="22"/>
          <w:lang w:val="es-ES"/>
        </w:rPr>
      </w:pPr>
      <w:r w:rsidRPr="00A84DC3">
        <w:rPr>
          <w:rFonts w:ascii="Arial" w:hAnsi="Arial" w:cs="Arial"/>
          <w:sz w:val="22"/>
          <w:szCs w:val="22"/>
          <w:lang w:val="es-ES"/>
        </w:rPr>
        <w:t xml:space="preserve">A partir de estos flujos, se calcula el flujo neto período a período, que luego se descuenta para obtener el VPN del proyecto típico que se inicia en t=0, t=1, t=2; se estima que habrá inversiones que se inician en esos 3 períodos y esos flujos se capturan en los distintos paneles de los 5, y 13-25. El valor presente neto (VPN) obtenido para los proyectos promedios empezados en los distintos períodos luego </w:t>
      </w:r>
      <w:r w:rsidRPr="00A84DC3">
        <w:rPr>
          <w:rFonts w:ascii="Arial" w:hAnsi="Arial" w:cs="Arial"/>
          <w:sz w:val="22"/>
          <w:szCs w:val="22"/>
          <w:lang w:val="es-ES"/>
        </w:rPr>
        <w:lastRenderedPageBreak/>
        <w:t>se ajustan por el número de préstamos en cada período y se obtiene el VPN - valor presente neto agregado, correspondiente para ese grupo de inversiones-. Dichos VPN se suman para dar el VPN total Valor Presente Neto Total, resultante del valor presente neto directo del desembolso total del financiamiento del programa.</w:t>
      </w:r>
    </w:p>
    <w:p w14:paraId="44FA1065" w14:textId="60532538" w:rsidR="008738E1" w:rsidRPr="00A84DC3" w:rsidRDefault="0066029A" w:rsidP="00A84DC3">
      <w:pPr>
        <w:pStyle w:val="Paragraph"/>
        <w:tabs>
          <w:tab w:val="num" w:pos="720"/>
        </w:tabs>
        <w:ind w:left="720" w:hanging="720"/>
        <w:rPr>
          <w:rFonts w:ascii="Arial" w:hAnsi="Arial" w:cs="Arial"/>
          <w:sz w:val="22"/>
          <w:szCs w:val="22"/>
          <w:lang w:val="es-ES"/>
        </w:rPr>
      </w:pPr>
      <w:r w:rsidRPr="00A84DC3">
        <w:rPr>
          <w:rFonts w:ascii="Arial" w:hAnsi="Arial" w:cs="Arial"/>
          <w:sz w:val="22"/>
          <w:szCs w:val="22"/>
          <w:lang w:val="es-ES"/>
        </w:rPr>
        <w:t xml:space="preserve">En base a este análisis, se ha calculado el Valor Presente Neto (VPN) de los beneficios incrementales por mejora de </w:t>
      </w:r>
      <w:r w:rsidR="00F13084">
        <w:rPr>
          <w:rFonts w:ascii="Arial" w:hAnsi="Arial" w:cs="Arial"/>
          <w:sz w:val="22"/>
          <w:szCs w:val="22"/>
          <w:lang w:val="es-ES"/>
        </w:rPr>
        <w:t>las ventas</w:t>
      </w:r>
      <w:r w:rsidRPr="00A84DC3">
        <w:rPr>
          <w:rFonts w:ascii="Arial" w:hAnsi="Arial" w:cs="Arial"/>
          <w:sz w:val="22"/>
          <w:szCs w:val="22"/>
          <w:lang w:val="es-ES"/>
        </w:rPr>
        <w:t>de las M</w:t>
      </w:r>
      <w:r w:rsidR="00626C76" w:rsidRPr="00A84DC3">
        <w:rPr>
          <w:rFonts w:ascii="Arial" w:hAnsi="Arial" w:cs="Arial"/>
          <w:sz w:val="22"/>
          <w:szCs w:val="22"/>
          <w:lang w:val="es-ES"/>
        </w:rPr>
        <w:t>iPy</w:t>
      </w:r>
      <w:r w:rsidRPr="00A84DC3">
        <w:rPr>
          <w:rFonts w:ascii="Arial" w:hAnsi="Arial" w:cs="Arial"/>
          <w:sz w:val="22"/>
          <w:szCs w:val="22"/>
          <w:lang w:val="es-ES"/>
        </w:rPr>
        <w:t>MEs beneficiarias. Este resulta mayor que el VPN del costo efectivo asociado al préstamo. El beneficio actual neto global del programa, conforme lo</w:t>
      </w:r>
      <w:r w:rsidR="009D4133" w:rsidRPr="00A84DC3">
        <w:rPr>
          <w:rFonts w:ascii="Arial" w:hAnsi="Arial" w:cs="Arial"/>
          <w:sz w:val="22"/>
          <w:szCs w:val="22"/>
          <w:lang w:val="es-ES"/>
        </w:rPr>
        <w:t>s supuestos evaluados, es de US$</w:t>
      </w:r>
      <w:r w:rsidRPr="00A84DC3">
        <w:rPr>
          <w:rFonts w:ascii="Arial" w:hAnsi="Arial" w:cs="Arial"/>
          <w:sz w:val="22"/>
          <w:szCs w:val="22"/>
          <w:lang w:val="es-ES"/>
        </w:rPr>
        <w:t xml:space="preserve"> </w:t>
      </w:r>
      <w:r w:rsidR="00700249">
        <w:rPr>
          <w:rFonts w:ascii="Arial" w:hAnsi="Arial" w:cs="Arial"/>
          <w:sz w:val="22"/>
          <w:szCs w:val="22"/>
          <w:lang w:val="es-ES"/>
        </w:rPr>
        <w:t>21,33</w:t>
      </w:r>
      <w:r w:rsidRPr="00A84DC3">
        <w:rPr>
          <w:rFonts w:ascii="Arial" w:hAnsi="Arial" w:cs="Arial"/>
          <w:sz w:val="22"/>
          <w:szCs w:val="22"/>
          <w:lang w:val="es-ES"/>
        </w:rPr>
        <w:t xml:space="preserve"> millones.</w:t>
      </w:r>
    </w:p>
    <w:p w14:paraId="4853D4FF" w14:textId="77777777" w:rsidR="008738E1" w:rsidRPr="00A84DC3" w:rsidRDefault="008738E1" w:rsidP="00A84DC3">
      <w:pPr>
        <w:pStyle w:val="Chapter"/>
        <w:spacing w:before="120" w:after="120"/>
        <w:ind w:left="720"/>
        <w:rPr>
          <w:rFonts w:ascii="Arial" w:hAnsi="Arial" w:cs="Arial"/>
          <w:color w:val="000000" w:themeColor="text1"/>
          <w:szCs w:val="24"/>
          <w:lang w:val="es-ES"/>
        </w:rPr>
      </w:pPr>
      <w:bookmarkStart w:id="35" w:name="_Toc492041902"/>
      <w:r w:rsidRPr="00A84DC3">
        <w:rPr>
          <w:rFonts w:ascii="Arial" w:hAnsi="Arial" w:cs="Arial"/>
          <w:color w:val="000000" w:themeColor="text1"/>
          <w:szCs w:val="24"/>
          <w:lang w:val="es-ES"/>
        </w:rPr>
        <w:t>Análisis de Sensibilidad</w:t>
      </w:r>
      <w:bookmarkEnd w:id="35"/>
    </w:p>
    <w:p w14:paraId="531F2077" w14:textId="77777777" w:rsidR="008233D1" w:rsidRPr="00A84DC3" w:rsidRDefault="008233D1" w:rsidP="008738E1">
      <w:pPr>
        <w:pStyle w:val="Paragraph"/>
        <w:tabs>
          <w:tab w:val="num" w:pos="720"/>
        </w:tabs>
        <w:ind w:left="720" w:hanging="720"/>
        <w:rPr>
          <w:rFonts w:ascii="Arial" w:hAnsi="Arial" w:cs="Arial"/>
          <w:sz w:val="22"/>
          <w:szCs w:val="22"/>
          <w:lang w:val="es-ES"/>
        </w:rPr>
      </w:pPr>
      <w:bookmarkStart w:id="36" w:name="_Toc388249755"/>
      <w:bookmarkStart w:id="37" w:name="_Ref388349433"/>
      <w:bookmarkEnd w:id="33"/>
      <w:r w:rsidRPr="00A84DC3">
        <w:rPr>
          <w:rFonts w:ascii="Arial" w:hAnsi="Arial" w:cs="Arial"/>
          <w:sz w:val="22"/>
          <w:szCs w:val="22"/>
          <w:lang w:val="es-ES"/>
        </w:rPr>
        <w:t xml:space="preserve">El escenario anterior se sensibiliza a continuación en múltiples dimensiones para los dos tipos de proyectos considerados. </w:t>
      </w:r>
    </w:p>
    <w:p w14:paraId="6C2D494C" w14:textId="77777777" w:rsidR="008738E1" w:rsidRPr="00A84DC3" w:rsidRDefault="008738E1" w:rsidP="009E7B86">
      <w:pPr>
        <w:pStyle w:val="FirstHeading"/>
        <w:tabs>
          <w:tab w:val="clear" w:pos="86"/>
          <w:tab w:val="left" w:pos="90"/>
        </w:tabs>
        <w:ind w:left="720"/>
        <w:rPr>
          <w:rFonts w:ascii="Arial" w:hAnsi="Arial" w:cs="Arial"/>
          <w:noProof/>
          <w:color w:val="000000" w:themeColor="text1"/>
          <w:sz w:val="22"/>
          <w:szCs w:val="22"/>
          <w:lang w:val="es-ES"/>
        </w:rPr>
      </w:pPr>
      <w:bookmarkStart w:id="38" w:name="_Toc492041903"/>
      <w:r w:rsidRPr="00A84DC3">
        <w:rPr>
          <w:rFonts w:ascii="Arial" w:hAnsi="Arial" w:cs="Arial"/>
          <w:noProof/>
          <w:color w:val="000000" w:themeColor="text1"/>
          <w:sz w:val="22"/>
          <w:szCs w:val="22"/>
          <w:lang w:val="es-ES"/>
        </w:rPr>
        <w:t xml:space="preserve">A. </w:t>
      </w:r>
      <w:r w:rsidR="009E7B86">
        <w:rPr>
          <w:rFonts w:ascii="Arial" w:hAnsi="Arial" w:cs="Arial"/>
          <w:noProof/>
          <w:color w:val="000000" w:themeColor="text1"/>
          <w:sz w:val="22"/>
          <w:szCs w:val="22"/>
          <w:lang w:val="es-ES"/>
        </w:rPr>
        <w:tab/>
      </w:r>
      <w:r w:rsidR="008233D1" w:rsidRPr="00A84DC3">
        <w:rPr>
          <w:rFonts w:ascii="Arial" w:hAnsi="Arial" w:cs="Arial"/>
          <w:noProof/>
          <w:color w:val="000000" w:themeColor="text1"/>
          <w:sz w:val="22"/>
          <w:szCs w:val="22"/>
          <w:lang w:val="es-ES"/>
        </w:rPr>
        <w:t>Proyectos de inversión en infraestructura.</w:t>
      </w:r>
      <w:bookmarkEnd w:id="38"/>
      <w:r w:rsidR="008233D1" w:rsidRPr="00A84DC3">
        <w:rPr>
          <w:rFonts w:ascii="Arial" w:hAnsi="Arial" w:cs="Arial"/>
          <w:noProof/>
          <w:color w:val="000000" w:themeColor="text1"/>
          <w:sz w:val="22"/>
          <w:szCs w:val="22"/>
          <w:lang w:val="es-ES"/>
        </w:rPr>
        <w:t xml:space="preserve"> </w:t>
      </w:r>
    </w:p>
    <w:p w14:paraId="2061E12C" w14:textId="77777777" w:rsidR="008233D1" w:rsidRPr="00A84DC3" w:rsidRDefault="008233D1" w:rsidP="00C6521E">
      <w:pPr>
        <w:pStyle w:val="Paragraph"/>
        <w:tabs>
          <w:tab w:val="num" w:pos="720"/>
        </w:tabs>
        <w:ind w:left="720" w:hanging="720"/>
        <w:rPr>
          <w:rFonts w:ascii="Arial" w:hAnsi="Arial" w:cs="Arial"/>
          <w:sz w:val="22"/>
          <w:szCs w:val="22"/>
          <w:lang w:val="es-ES"/>
        </w:rPr>
      </w:pPr>
      <w:r w:rsidRPr="00A84DC3">
        <w:rPr>
          <w:rFonts w:ascii="Arial" w:hAnsi="Arial" w:cs="Arial"/>
          <w:sz w:val="22"/>
          <w:szCs w:val="22"/>
          <w:lang w:val="es-ES"/>
        </w:rPr>
        <w:t>De manera general, los riesgos que se identifican para un proyecto de inversión en carreteras son los siguientes: del lado de los costos se encuentran (i) diseño y construcción</w:t>
      </w:r>
      <w:r w:rsidR="009E7B86">
        <w:rPr>
          <w:rFonts w:ascii="Arial" w:hAnsi="Arial" w:cs="Arial"/>
          <w:sz w:val="22"/>
          <w:szCs w:val="22"/>
          <w:lang w:val="es-ES"/>
        </w:rPr>
        <w:t xml:space="preserve">; </w:t>
      </w:r>
      <w:r w:rsidRPr="00A84DC3">
        <w:rPr>
          <w:rFonts w:ascii="Arial" w:hAnsi="Arial" w:cs="Arial"/>
          <w:sz w:val="22"/>
          <w:szCs w:val="22"/>
          <w:lang w:val="es-ES"/>
        </w:rPr>
        <w:t>(ii) puesta en marcha</w:t>
      </w:r>
      <w:r w:rsidR="009E7B86">
        <w:rPr>
          <w:rFonts w:ascii="Arial" w:hAnsi="Arial" w:cs="Arial"/>
          <w:sz w:val="22"/>
          <w:szCs w:val="22"/>
          <w:lang w:val="es-ES"/>
        </w:rPr>
        <w:t>;</w:t>
      </w:r>
      <w:r w:rsidRPr="00A84DC3">
        <w:rPr>
          <w:rFonts w:ascii="Arial" w:hAnsi="Arial" w:cs="Arial"/>
          <w:sz w:val="22"/>
          <w:szCs w:val="22"/>
          <w:lang w:val="es-ES"/>
        </w:rPr>
        <w:t xml:space="preserve"> (iii) expropiaciones</w:t>
      </w:r>
      <w:r w:rsidR="009E7B86">
        <w:rPr>
          <w:rFonts w:ascii="Arial" w:hAnsi="Arial" w:cs="Arial"/>
          <w:sz w:val="22"/>
          <w:szCs w:val="22"/>
          <w:lang w:val="es-ES"/>
        </w:rPr>
        <w:t>;</w:t>
      </w:r>
      <w:r w:rsidRPr="00A84DC3">
        <w:rPr>
          <w:rFonts w:ascii="Arial" w:hAnsi="Arial" w:cs="Arial"/>
          <w:sz w:val="22"/>
          <w:szCs w:val="22"/>
          <w:lang w:val="es-ES"/>
        </w:rPr>
        <w:t xml:space="preserve"> (iv) riesgos medioambientales</w:t>
      </w:r>
      <w:r w:rsidR="009E7B86">
        <w:rPr>
          <w:rFonts w:ascii="Arial" w:hAnsi="Arial" w:cs="Arial"/>
          <w:sz w:val="22"/>
          <w:szCs w:val="22"/>
          <w:lang w:val="es-ES"/>
        </w:rPr>
        <w:t>;</w:t>
      </w:r>
      <w:r w:rsidRPr="00A84DC3">
        <w:rPr>
          <w:rFonts w:ascii="Arial" w:hAnsi="Arial" w:cs="Arial"/>
          <w:sz w:val="22"/>
          <w:szCs w:val="22"/>
          <w:lang w:val="es-ES"/>
        </w:rPr>
        <w:t xml:space="preserve"> (v) cambios en el costo de la finan</w:t>
      </w:r>
      <w:r w:rsidR="009E7B86">
        <w:rPr>
          <w:rFonts w:ascii="Arial" w:hAnsi="Arial" w:cs="Arial"/>
          <w:sz w:val="22"/>
          <w:szCs w:val="22"/>
          <w:lang w:val="es-ES"/>
        </w:rPr>
        <w:t>ciación; (vi) inflación y (vii) </w:t>
      </w:r>
      <w:r w:rsidRPr="00A84DC3">
        <w:rPr>
          <w:rFonts w:ascii="Arial" w:hAnsi="Arial" w:cs="Arial"/>
          <w:sz w:val="22"/>
          <w:szCs w:val="22"/>
          <w:lang w:val="es-ES"/>
        </w:rPr>
        <w:t>fuerza mayor; mientras que del lado de los beneficios se concentra mayoritariamente en reducción de la demanda/ disponibilidad que impacte negativamente sobre los ahorros de tiempo totales.</w:t>
      </w:r>
    </w:p>
    <w:p w14:paraId="66081280" w14:textId="77777777" w:rsidR="008233D1" w:rsidRPr="00A84DC3" w:rsidRDefault="008233D1" w:rsidP="00C6521E">
      <w:pPr>
        <w:pStyle w:val="Paragraph"/>
        <w:tabs>
          <w:tab w:val="num" w:pos="720"/>
        </w:tabs>
        <w:ind w:left="720" w:hanging="720"/>
        <w:rPr>
          <w:rFonts w:ascii="Arial" w:hAnsi="Arial" w:cs="Arial"/>
          <w:sz w:val="22"/>
          <w:szCs w:val="22"/>
          <w:lang w:val="es-ES"/>
        </w:rPr>
      </w:pPr>
      <w:r w:rsidRPr="00A84DC3">
        <w:rPr>
          <w:rFonts w:ascii="Arial" w:hAnsi="Arial" w:cs="Arial"/>
          <w:sz w:val="22"/>
          <w:szCs w:val="22"/>
          <w:lang w:val="es-ES"/>
        </w:rPr>
        <w:t>Para el presente análisis económico se consideran los siguientes escenarios alternativos:</w:t>
      </w:r>
    </w:p>
    <w:p w14:paraId="5EBA9735" w14:textId="77777777" w:rsidR="008233D1" w:rsidRPr="00A84DC3" w:rsidRDefault="008233D1" w:rsidP="009E7B86">
      <w:pPr>
        <w:pStyle w:val="SubHeading1"/>
        <w:ind w:left="1080" w:hanging="360"/>
        <w:jc w:val="both"/>
        <w:rPr>
          <w:rFonts w:ascii="Arial" w:hAnsi="Arial" w:cs="Arial"/>
          <w:b w:val="0"/>
          <w:sz w:val="22"/>
          <w:szCs w:val="22"/>
          <w:lang w:val="es-ES"/>
        </w:rPr>
      </w:pPr>
      <w:r w:rsidRPr="00A84DC3">
        <w:rPr>
          <w:rFonts w:ascii="Arial" w:hAnsi="Arial" w:cs="Arial"/>
          <w:sz w:val="22"/>
          <w:szCs w:val="22"/>
          <w:lang w:val="es-ES"/>
        </w:rPr>
        <w:t>Variaciones de costos.</w:t>
      </w:r>
      <w:r w:rsidRPr="00A84DC3">
        <w:rPr>
          <w:rFonts w:ascii="Arial" w:hAnsi="Arial" w:cs="Arial"/>
          <w:b w:val="0"/>
          <w:sz w:val="22"/>
          <w:szCs w:val="22"/>
          <w:lang w:val="es-ES"/>
        </w:rPr>
        <w:t xml:space="preserve"> En primer lugar, se varía el escenario central en lo que hace a los flujos de costos considerando un incremento del 20%. Recordamos que los costes vendrán determinados por las obras de rehabilitación de infraestructura existente, fiscalización de las mismas, plan de gestión social y ambiental y posibles contingencias. Por la naturaleza del ejercicio de análisis costo beneficio realizado para este tipo de proyectos - basado en supuestos provenientes de una combinación de literatura existente y experiencia de FONPLATA-, y por la naturaleza misma de estos proyectos -obras de pequeña y media escala, principalmente de rehabilitación viaria-, se desprende que éstos no presentan tantas oportunidades de superar este incremento en costes del 20%, promedio en obras de rehabilitación viaria a esta escala. Pese a que el ejercicio de sensibilización se realiza de manera global, se destaca que los principales factores de riesgo para un incremento de costes en los proyectos a financiar con ayuda de esta operación vienen del lado de los riesgos de construcción, las contingencias medioambientales -</w:t>
      </w:r>
      <w:r w:rsidRPr="00A84DC3">
        <w:rPr>
          <w:rFonts w:ascii="Arial" w:hAnsi="Arial" w:cs="Arial"/>
          <w:b w:val="0"/>
          <w:sz w:val="22"/>
          <w:szCs w:val="22"/>
          <w:lang w:val="es-ES"/>
        </w:rPr>
        <w:lastRenderedPageBreak/>
        <w:t>reducidas por tratarse de rehabilitación de infraestructura viaria existente- y fuerza mayor.</w:t>
      </w:r>
      <w:r w:rsidRPr="00A84DC3">
        <w:rPr>
          <w:rStyle w:val="FootnoteReference"/>
          <w:rFonts w:ascii="Arial" w:hAnsi="Arial" w:cs="Arial"/>
          <w:b w:val="0"/>
          <w:sz w:val="22"/>
          <w:szCs w:val="22"/>
          <w:lang w:val="es-ES"/>
        </w:rPr>
        <w:footnoteReference w:id="16"/>
      </w:r>
      <w:r w:rsidRPr="00A84DC3">
        <w:rPr>
          <w:rFonts w:ascii="Arial" w:hAnsi="Arial" w:cs="Arial"/>
          <w:b w:val="0"/>
          <w:sz w:val="22"/>
          <w:szCs w:val="22"/>
          <w:lang w:val="es-ES"/>
        </w:rPr>
        <w:t xml:space="preserve"> </w:t>
      </w:r>
    </w:p>
    <w:p w14:paraId="3747BCDF" w14:textId="77777777" w:rsidR="008233D1" w:rsidRPr="00A84DC3" w:rsidRDefault="008233D1" w:rsidP="009E7B86">
      <w:pPr>
        <w:pStyle w:val="SubHeading1"/>
        <w:tabs>
          <w:tab w:val="clear" w:pos="5976"/>
        </w:tabs>
        <w:ind w:left="1080" w:hanging="360"/>
        <w:jc w:val="both"/>
        <w:rPr>
          <w:rFonts w:ascii="Arial" w:hAnsi="Arial" w:cs="Arial"/>
          <w:b w:val="0"/>
          <w:sz w:val="22"/>
          <w:szCs w:val="22"/>
          <w:lang w:val="es-ES"/>
        </w:rPr>
      </w:pPr>
      <w:r w:rsidRPr="00A84DC3">
        <w:rPr>
          <w:rFonts w:ascii="Arial" w:hAnsi="Arial" w:cs="Arial"/>
          <w:sz w:val="22"/>
          <w:szCs w:val="22"/>
          <w:lang w:val="es-ES"/>
        </w:rPr>
        <w:t xml:space="preserve">Variaciones de beneficios. </w:t>
      </w:r>
      <w:r w:rsidRPr="00A84DC3">
        <w:rPr>
          <w:rFonts w:ascii="Arial" w:hAnsi="Arial" w:cs="Arial"/>
          <w:b w:val="0"/>
          <w:sz w:val="22"/>
          <w:szCs w:val="22"/>
          <w:lang w:val="es-ES"/>
        </w:rPr>
        <w:t>Como en el caso anterior, se realiza un ejercicio de sensibilización global para el que s</w:t>
      </w:r>
      <w:r w:rsidR="008738E1" w:rsidRPr="00A84DC3">
        <w:rPr>
          <w:rFonts w:ascii="Arial" w:hAnsi="Arial" w:cs="Arial"/>
          <w:b w:val="0"/>
          <w:sz w:val="22"/>
          <w:szCs w:val="22"/>
          <w:lang w:val="es-ES"/>
        </w:rPr>
        <w:t>e considera un escenario con un</w:t>
      </w:r>
      <w:r w:rsidRPr="00A84DC3">
        <w:rPr>
          <w:rFonts w:ascii="Arial" w:hAnsi="Arial" w:cs="Arial"/>
          <w:b w:val="0"/>
          <w:sz w:val="22"/>
          <w:szCs w:val="22"/>
          <w:lang w:val="es-ES"/>
        </w:rPr>
        <w:t xml:space="preserve">a reducción de beneficios del 20%. Cabe señalar que los factores de riesgo para el flujo de beneficios vienen del lado de una demanda inferior a la esperada que, de un lado, afecte al ahorro total de tiempo y, de otra parte, a los ahorros provenientes de los costos de operación vehicular. </w:t>
      </w:r>
    </w:p>
    <w:p w14:paraId="56259113" w14:textId="77777777" w:rsidR="008233D1" w:rsidRPr="00A84DC3" w:rsidRDefault="008233D1" w:rsidP="009E7B86">
      <w:pPr>
        <w:pStyle w:val="SubHeading1"/>
        <w:tabs>
          <w:tab w:val="clear" w:pos="5976"/>
        </w:tabs>
        <w:ind w:left="1080" w:hanging="360"/>
        <w:jc w:val="both"/>
        <w:rPr>
          <w:rFonts w:ascii="Arial" w:hAnsi="Arial" w:cs="Arial"/>
          <w:b w:val="0"/>
          <w:sz w:val="22"/>
          <w:szCs w:val="22"/>
          <w:lang w:val="es-ES"/>
        </w:rPr>
      </w:pPr>
      <w:r w:rsidRPr="00A84DC3">
        <w:rPr>
          <w:rFonts w:ascii="Arial" w:hAnsi="Arial" w:cs="Arial"/>
          <w:sz w:val="22"/>
          <w:szCs w:val="22"/>
          <w:lang w:val="es-ES"/>
        </w:rPr>
        <w:t>Valores de nivelación.</w:t>
      </w:r>
      <w:r w:rsidRPr="00A84DC3">
        <w:rPr>
          <w:rFonts w:ascii="Arial" w:hAnsi="Arial" w:cs="Arial"/>
          <w:b w:val="0"/>
          <w:sz w:val="22"/>
          <w:szCs w:val="22"/>
          <w:lang w:val="es-ES"/>
        </w:rPr>
        <w:t xml:space="preserve"> Se considera un ejercicio particular en el cual se calcula una reducción simultánea de los beneficios (10%), e incrementos de costos (10%).</w:t>
      </w:r>
    </w:p>
    <w:p w14:paraId="7A3B6C7A" w14:textId="77777777" w:rsidR="008233D1" w:rsidRPr="00A84DC3" w:rsidRDefault="008233D1" w:rsidP="00C6521E">
      <w:pPr>
        <w:pStyle w:val="Paragraph"/>
        <w:tabs>
          <w:tab w:val="num" w:pos="720"/>
        </w:tabs>
        <w:ind w:left="720" w:hanging="720"/>
        <w:rPr>
          <w:rFonts w:ascii="Arial" w:hAnsi="Arial" w:cs="Arial"/>
          <w:sz w:val="22"/>
          <w:szCs w:val="22"/>
          <w:lang w:val="es-ES"/>
        </w:rPr>
      </w:pPr>
      <w:r w:rsidRPr="00A84DC3">
        <w:rPr>
          <w:rFonts w:ascii="Arial" w:hAnsi="Arial" w:cs="Arial"/>
          <w:sz w:val="22"/>
          <w:szCs w:val="22"/>
          <w:lang w:val="es-ES"/>
        </w:rPr>
        <w:t>La Tabla 1 a continuación resume los resultados de los puntos anteriores. Como puede verse, los resultados aparecen más sensibles para el flujo de beneficios frente al efecto potencial de un aumento en los costes. Por último, puede observarse que en todos los escenarios el VPN resulta positivo.</w:t>
      </w:r>
    </w:p>
    <w:p w14:paraId="54BD77B5" w14:textId="77777777" w:rsidR="008233D1" w:rsidRPr="00A84DC3" w:rsidRDefault="008233D1" w:rsidP="009E7B86">
      <w:pPr>
        <w:pStyle w:val="Paragraph"/>
        <w:numPr>
          <w:ilvl w:val="0"/>
          <w:numId w:val="0"/>
        </w:numPr>
        <w:spacing w:after="0"/>
        <w:jc w:val="center"/>
        <w:rPr>
          <w:rFonts w:ascii="Arial" w:hAnsi="Arial" w:cs="Arial"/>
          <w:sz w:val="22"/>
          <w:szCs w:val="22"/>
          <w:lang w:val="es-ES"/>
        </w:rPr>
      </w:pPr>
      <w:r w:rsidRPr="00A84DC3">
        <w:rPr>
          <w:rFonts w:ascii="Arial" w:hAnsi="Arial" w:cs="Arial"/>
          <w:b/>
          <w:sz w:val="22"/>
          <w:szCs w:val="22"/>
          <w:lang w:val="es-ES"/>
        </w:rPr>
        <w:t>Tabla 1</w:t>
      </w:r>
      <w:r w:rsidRPr="00A84DC3">
        <w:rPr>
          <w:rFonts w:ascii="Arial" w:hAnsi="Arial" w:cs="Arial"/>
          <w:sz w:val="22"/>
          <w:szCs w:val="22"/>
          <w:lang w:val="es-ES"/>
        </w:rPr>
        <w:t xml:space="preserve">. </w:t>
      </w:r>
      <w:r w:rsidRPr="00A84DC3">
        <w:rPr>
          <w:rFonts w:ascii="Arial" w:hAnsi="Arial" w:cs="Arial"/>
          <w:b/>
          <w:sz w:val="22"/>
          <w:szCs w:val="22"/>
          <w:lang w:val="es-ES"/>
        </w:rPr>
        <w:t>Análisis de sensibilidad en proyectos de infraestructura para la integración (Millones US$)</w:t>
      </w:r>
    </w:p>
    <w:tbl>
      <w:tblPr>
        <w:tblStyle w:val="Sombreadoclaro2"/>
        <w:tblW w:w="8233" w:type="dxa"/>
        <w:jc w:val="right"/>
        <w:tblLook w:val="04A0" w:firstRow="1" w:lastRow="0" w:firstColumn="1" w:lastColumn="0" w:noHBand="0" w:noVBand="1"/>
      </w:tblPr>
      <w:tblGrid>
        <w:gridCol w:w="669"/>
        <w:gridCol w:w="1980"/>
        <w:gridCol w:w="1908"/>
        <w:gridCol w:w="3676"/>
      </w:tblGrid>
      <w:tr w:rsidR="008233D1" w:rsidRPr="00244828" w14:paraId="2794AD45" w14:textId="77777777" w:rsidTr="00E55D99">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69" w:type="dxa"/>
            <w:shd w:val="clear" w:color="auto" w:fill="DBE5F1" w:themeFill="accent1" w:themeFillTint="33"/>
          </w:tcPr>
          <w:p w14:paraId="03A65078" w14:textId="77777777" w:rsidR="008233D1" w:rsidRPr="009E7B86" w:rsidRDefault="008233D1" w:rsidP="00E55D99">
            <w:pPr>
              <w:tabs>
                <w:tab w:val="left" w:pos="1004"/>
              </w:tabs>
              <w:jc w:val="center"/>
              <w:rPr>
                <w:rFonts w:ascii="Arial" w:hAnsi="Arial" w:cs="Arial"/>
                <w:sz w:val="18"/>
                <w:szCs w:val="18"/>
                <w:lang w:val="es-ES"/>
              </w:rPr>
            </w:pPr>
          </w:p>
        </w:tc>
        <w:tc>
          <w:tcPr>
            <w:tcW w:w="1980" w:type="dxa"/>
            <w:shd w:val="clear" w:color="auto" w:fill="DBE5F1" w:themeFill="accent1" w:themeFillTint="33"/>
          </w:tcPr>
          <w:p w14:paraId="1E69CCC9" w14:textId="77777777" w:rsidR="008233D1" w:rsidRPr="009E7B86" w:rsidRDefault="008233D1" w:rsidP="00E55D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
              </w:rPr>
            </w:pPr>
            <w:r w:rsidRPr="009E7B86">
              <w:rPr>
                <w:rFonts w:ascii="Arial" w:hAnsi="Arial" w:cs="Arial"/>
                <w:sz w:val="18"/>
                <w:szCs w:val="18"/>
                <w:lang w:val="es-ES"/>
              </w:rPr>
              <w:t>Escenario I.</w:t>
            </w:r>
          </w:p>
          <w:p w14:paraId="5BE1EF8B" w14:textId="77777777" w:rsidR="008233D1" w:rsidRPr="009E7B86" w:rsidRDefault="008233D1" w:rsidP="00E55D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
              </w:rPr>
            </w:pPr>
            <w:r w:rsidRPr="009E7B86">
              <w:rPr>
                <w:rFonts w:ascii="Arial" w:hAnsi="Arial" w:cs="Arial"/>
                <w:sz w:val="18"/>
                <w:szCs w:val="18"/>
                <w:lang w:val="es-ES"/>
              </w:rPr>
              <w:t>+20% Costos</w:t>
            </w:r>
          </w:p>
        </w:tc>
        <w:tc>
          <w:tcPr>
            <w:tcW w:w="1908" w:type="dxa"/>
            <w:shd w:val="clear" w:color="auto" w:fill="DBE5F1" w:themeFill="accent1" w:themeFillTint="33"/>
          </w:tcPr>
          <w:p w14:paraId="05AF8E00" w14:textId="77777777" w:rsidR="008233D1" w:rsidRPr="009E7B86" w:rsidRDefault="008233D1" w:rsidP="00E55D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
              </w:rPr>
            </w:pPr>
            <w:r w:rsidRPr="009E7B86">
              <w:rPr>
                <w:rFonts w:ascii="Arial" w:hAnsi="Arial" w:cs="Arial"/>
                <w:sz w:val="18"/>
                <w:szCs w:val="18"/>
                <w:lang w:val="es-ES"/>
              </w:rPr>
              <w:t>Escenario II.</w:t>
            </w:r>
          </w:p>
          <w:p w14:paraId="3AE75C0F" w14:textId="77777777" w:rsidR="008233D1" w:rsidRPr="009E7B86" w:rsidRDefault="008233D1" w:rsidP="00E55D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
              </w:rPr>
            </w:pPr>
            <w:r w:rsidRPr="009E7B86">
              <w:rPr>
                <w:rFonts w:ascii="Arial" w:hAnsi="Arial" w:cs="Arial"/>
                <w:sz w:val="18"/>
                <w:szCs w:val="18"/>
                <w:lang w:val="es-ES"/>
              </w:rPr>
              <w:t>-20% Beneficios</w:t>
            </w:r>
          </w:p>
        </w:tc>
        <w:tc>
          <w:tcPr>
            <w:tcW w:w="3676" w:type="dxa"/>
            <w:shd w:val="clear" w:color="auto" w:fill="DBE5F1" w:themeFill="accent1" w:themeFillTint="33"/>
          </w:tcPr>
          <w:p w14:paraId="58C37EEB" w14:textId="77777777" w:rsidR="008233D1" w:rsidRPr="009E7B86" w:rsidRDefault="008233D1" w:rsidP="00E55D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
              </w:rPr>
            </w:pPr>
            <w:r w:rsidRPr="009E7B86">
              <w:rPr>
                <w:rFonts w:ascii="Arial" w:hAnsi="Arial" w:cs="Arial"/>
                <w:sz w:val="18"/>
                <w:szCs w:val="18"/>
                <w:lang w:val="es-ES"/>
              </w:rPr>
              <w:t>Escenario III.</w:t>
            </w:r>
          </w:p>
          <w:p w14:paraId="5EE8E48C" w14:textId="77777777" w:rsidR="008233D1" w:rsidRPr="009E7B86" w:rsidRDefault="008233D1" w:rsidP="00E55D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
              </w:rPr>
            </w:pPr>
            <w:r w:rsidRPr="009E7B86">
              <w:rPr>
                <w:rFonts w:ascii="Arial" w:hAnsi="Arial" w:cs="Arial"/>
                <w:sz w:val="18"/>
                <w:szCs w:val="18"/>
                <w:lang w:val="es-ES"/>
              </w:rPr>
              <w:t>+10% Costos y -10% Beneficios</w:t>
            </w:r>
          </w:p>
        </w:tc>
      </w:tr>
      <w:tr w:rsidR="008233D1" w:rsidRPr="00A84DC3" w14:paraId="0AE78804" w14:textId="77777777" w:rsidTr="00E55D9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69" w:type="dxa"/>
            <w:shd w:val="clear" w:color="auto" w:fill="auto"/>
          </w:tcPr>
          <w:p w14:paraId="0DC804D0" w14:textId="77777777" w:rsidR="008233D1" w:rsidRPr="009E7B86" w:rsidRDefault="008233D1" w:rsidP="00E55D99">
            <w:pPr>
              <w:rPr>
                <w:rFonts w:ascii="Arial" w:hAnsi="Arial" w:cs="Arial"/>
                <w:sz w:val="18"/>
                <w:szCs w:val="18"/>
                <w:lang w:val="es-ES"/>
              </w:rPr>
            </w:pPr>
            <w:r w:rsidRPr="009E7B86">
              <w:rPr>
                <w:rFonts w:ascii="Arial" w:hAnsi="Arial" w:cs="Arial"/>
                <w:sz w:val="18"/>
                <w:szCs w:val="18"/>
                <w:lang w:val="es-ES"/>
              </w:rPr>
              <w:t>VPN</w:t>
            </w:r>
          </w:p>
        </w:tc>
        <w:tc>
          <w:tcPr>
            <w:tcW w:w="1980" w:type="dxa"/>
            <w:shd w:val="clear" w:color="auto" w:fill="auto"/>
          </w:tcPr>
          <w:p w14:paraId="4D6D63BF" w14:textId="77777777" w:rsidR="008233D1" w:rsidRPr="009E7B86" w:rsidRDefault="008233D1" w:rsidP="00E55D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9E7B86">
              <w:rPr>
                <w:rFonts w:ascii="Arial" w:hAnsi="Arial" w:cs="Arial"/>
                <w:sz w:val="18"/>
                <w:szCs w:val="18"/>
                <w:lang w:val="es-ES"/>
              </w:rPr>
              <w:t>95,2</w:t>
            </w:r>
          </w:p>
        </w:tc>
        <w:tc>
          <w:tcPr>
            <w:tcW w:w="1908" w:type="dxa"/>
            <w:shd w:val="clear" w:color="auto" w:fill="auto"/>
          </w:tcPr>
          <w:p w14:paraId="78987B76" w14:textId="77777777" w:rsidR="008233D1" w:rsidRPr="009E7B86" w:rsidRDefault="008233D1" w:rsidP="00E55D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9E7B86">
              <w:rPr>
                <w:rFonts w:ascii="Arial" w:hAnsi="Arial" w:cs="Arial"/>
                <w:sz w:val="18"/>
                <w:szCs w:val="18"/>
                <w:lang w:val="es-ES"/>
              </w:rPr>
              <w:t>69,21</w:t>
            </w:r>
          </w:p>
        </w:tc>
        <w:tc>
          <w:tcPr>
            <w:tcW w:w="3676" w:type="dxa"/>
            <w:shd w:val="clear" w:color="auto" w:fill="auto"/>
          </w:tcPr>
          <w:p w14:paraId="0CC55F59" w14:textId="77777777" w:rsidR="008233D1" w:rsidRPr="009E7B86" w:rsidRDefault="008233D1" w:rsidP="00E55D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9E7B86">
              <w:rPr>
                <w:rFonts w:ascii="Arial" w:hAnsi="Arial" w:cs="Arial"/>
                <w:sz w:val="18"/>
                <w:szCs w:val="18"/>
                <w:lang w:val="es-ES"/>
              </w:rPr>
              <w:t>81,85</w:t>
            </w:r>
          </w:p>
        </w:tc>
      </w:tr>
    </w:tbl>
    <w:p w14:paraId="6F59BB25" w14:textId="77777777" w:rsidR="008738E1" w:rsidRPr="00A84DC3" w:rsidRDefault="008738E1" w:rsidP="00C6521E">
      <w:pPr>
        <w:pStyle w:val="FirstHeading"/>
        <w:spacing w:before="240"/>
        <w:ind w:left="720"/>
        <w:jc w:val="both"/>
        <w:rPr>
          <w:rFonts w:ascii="Arial" w:hAnsi="Arial" w:cs="Arial"/>
          <w:noProof/>
          <w:color w:val="000000" w:themeColor="text1"/>
          <w:sz w:val="22"/>
          <w:szCs w:val="22"/>
          <w:lang w:val="es-ES"/>
        </w:rPr>
      </w:pPr>
      <w:bookmarkStart w:id="39" w:name="_Toc492041904"/>
      <w:r w:rsidRPr="00A84DC3">
        <w:rPr>
          <w:rFonts w:ascii="Arial" w:hAnsi="Arial" w:cs="Arial"/>
          <w:noProof/>
          <w:color w:val="000000" w:themeColor="text1"/>
          <w:sz w:val="22"/>
          <w:szCs w:val="22"/>
          <w:lang w:val="es-ES"/>
        </w:rPr>
        <w:t xml:space="preserve">B. </w:t>
      </w:r>
      <w:r w:rsidR="009E7B86">
        <w:rPr>
          <w:rFonts w:ascii="Arial" w:hAnsi="Arial" w:cs="Arial"/>
          <w:noProof/>
          <w:color w:val="000000" w:themeColor="text1"/>
          <w:sz w:val="22"/>
          <w:szCs w:val="22"/>
          <w:lang w:val="es-ES"/>
        </w:rPr>
        <w:tab/>
      </w:r>
      <w:r w:rsidR="008233D1" w:rsidRPr="00A84DC3">
        <w:rPr>
          <w:rFonts w:ascii="Arial" w:hAnsi="Arial" w:cs="Arial"/>
          <w:noProof/>
          <w:color w:val="000000" w:themeColor="text1"/>
          <w:sz w:val="22"/>
          <w:szCs w:val="22"/>
          <w:lang w:val="es-ES"/>
        </w:rPr>
        <w:t>Proyectos de apoyo al financiamiento productivo de MiPyMEs.</w:t>
      </w:r>
      <w:bookmarkEnd w:id="39"/>
      <w:r w:rsidR="008233D1" w:rsidRPr="00A84DC3">
        <w:rPr>
          <w:rFonts w:ascii="Arial" w:hAnsi="Arial" w:cs="Arial"/>
          <w:noProof/>
          <w:color w:val="000000" w:themeColor="text1"/>
          <w:sz w:val="22"/>
          <w:szCs w:val="22"/>
          <w:lang w:val="es-ES"/>
        </w:rPr>
        <w:t xml:space="preserve"> </w:t>
      </w:r>
    </w:p>
    <w:p w14:paraId="606D7566" w14:textId="77777777" w:rsidR="008233D1" w:rsidRPr="00A84DC3" w:rsidRDefault="008233D1" w:rsidP="00C6521E">
      <w:pPr>
        <w:pStyle w:val="Paragraph"/>
        <w:tabs>
          <w:tab w:val="num" w:pos="720"/>
        </w:tabs>
        <w:ind w:left="720" w:hanging="720"/>
        <w:rPr>
          <w:rFonts w:ascii="Arial" w:hAnsi="Arial" w:cs="Arial"/>
          <w:sz w:val="22"/>
          <w:szCs w:val="22"/>
          <w:lang w:val="es-ES"/>
        </w:rPr>
      </w:pPr>
      <w:r w:rsidRPr="00A84DC3">
        <w:rPr>
          <w:rFonts w:ascii="Arial" w:hAnsi="Arial" w:cs="Arial"/>
          <w:sz w:val="22"/>
          <w:szCs w:val="22"/>
          <w:lang w:val="es-ES"/>
        </w:rPr>
        <w:t xml:space="preserve">Para la selección de los parámetros a sensibilizar, se definieron aquellos que se consideran críticos en términos de su efecto, ya que las variables y supuestos utilizados en el análisis pueden estar afectadas por factores externos a la operación. Dichos factores son: </w:t>
      </w:r>
    </w:p>
    <w:p w14:paraId="623DA6BD" w14:textId="3F5B5031" w:rsidR="008233D1" w:rsidRPr="00A84DC3" w:rsidRDefault="008233D1" w:rsidP="009E7B86">
      <w:pPr>
        <w:pStyle w:val="SubHeading1"/>
        <w:tabs>
          <w:tab w:val="clear" w:pos="5976"/>
        </w:tabs>
        <w:ind w:left="1260" w:hanging="540"/>
        <w:jc w:val="both"/>
        <w:rPr>
          <w:rFonts w:ascii="Arial" w:hAnsi="Arial" w:cs="Arial"/>
          <w:b w:val="0"/>
          <w:sz w:val="22"/>
          <w:szCs w:val="22"/>
          <w:lang w:val="es-ES"/>
        </w:rPr>
      </w:pPr>
      <w:r w:rsidRPr="00A84DC3">
        <w:rPr>
          <w:rFonts w:ascii="Arial" w:hAnsi="Arial" w:cs="Arial"/>
          <w:sz w:val="22"/>
          <w:szCs w:val="22"/>
          <w:lang w:val="es-ES"/>
        </w:rPr>
        <w:t>Variaciones en los incrementos de productividad de las MiPyME.</w:t>
      </w:r>
      <w:r w:rsidRPr="00A84DC3">
        <w:rPr>
          <w:rFonts w:ascii="Arial" w:hAnsi="Arial" w:cs="Arial"/>
          <w:b w:val="0"/>
          <w:sz w:val="22"/>
          <w:szCs w:val="22"/>
          <w:lang w:val="es-ES"/>
        </w:rPr>
        <w:t xml:space="preserve"> Se considera un escenario donde el incremento de productividad con respecto al escenario central sea del 10% en lugar del 15% esperado.</w:t>
      </w:r>
    </w:p>
    <w:p w14:paraId="723294F2" w14:textId="77777777" w:rsidR="008233D1" w:rsidRPr="00A84DC3" w:rsidRDefault="008233D1" w:rsidP="009E7B86">
      <w:pPr>
        <w:pStyle w:val="SubHeading1"/>
        <w:tabs>
          <w:tab w:val="clear" w:pos="5976"/>
        </w:tabs>
        <w:ind w:left="1260" w:hanging="540"/>
        <w:jc w:val="both"/>
        <w:rPr>
          <w:rFonts w:ascii="Arial" w:hAnsi="Arial" w:cs="Arial"/>
          <w:b w:val="0"/>
          <w:sz w:val="22"/>
          <w:szCs w:val="22"/>
          <w:lang w:val="es-ES"/>
        </w:rPr>
      </w:pPr>
      <w:r w:rsidRPr="00A84DC3">
        <w:rPr>
          <w:rFonts w:ascii="Arial" w:hAnsi="Arial" w:cs="Arial"/>
          <w:sz w:val="22"/>
          <w:szCs w:val="22"/>
          <w:lang w:val="es-ES"/>
        </w:rPr>
        <w:t xml:space="preserve">Devaluación. </w:t>
      </w:r>
      <w:r w:rsidRPr="00A84DC3">
        <w:rPr>
          <w:rFonts w:ascii="Arial" w:hAnsi="Arial" w:cs="Arial"/>
          <w:b w:val="0"/>
          <w:sz w:val="22"/>
          <w:szCs w:val="22"/>
          <w:lang w:val="es-ES"/>
        </w:rPr>
        <w:t xml:space="preserve">Debido a que esta operación conlleva una deuda en dólares con FONPLATA y una deuda en moneda local para con la banca de segundo piso, se considera el efecto de una devaluación con efectos negativos sobre los costos. Para este análisis se considera el caso específico de una </w:t>
      </w:r>
      <w:r w:rsidRPr="00A84DC3">
        <w:rPr>
          <w:rFonts w:ascii="Arial" w:hAnsi="Arial" w:cs="Arial"/>
          <w:b w:val="0"/>
          <w:sz w:val="22"/>
          <w:szCs w:val="22"/>
          <w:lang w:val="es-ES"/>
        </w:rPr>
        <w:lastRenderedPageBreak/>
        <w:t xml:space="preserve">devaluación del peso argentino que sirve de ejemplo para el resto de experiencias en otros países del 17%, 30% y 60%. </w:t>
      </w:r>
    </w:p>
    <w:p w14:paraId="19890486" w14:textId="77777777" w:rsidR="008233D1" w:rsidRPr="00A84DC3" w:rsidRDefault="008233D1" w:rsidP="009E7B86">
      <w:pPr>
        <w:pStyle w:val="SubHeading1"/>
        <w:tabs>
          <w:tab w:val="clear" w:pos="5976"/>
        </w:tabs>
        <w:ind w:left="1260" w:hanging="540"/>
        <w:jc w:val="both"/>
        <w:rPr>
          <w:rFonts w:ascii="Arial" w:hAnsi="Arial" w:cs="Arial"/>
          <w:b w:val="0"/>
          <w:sz w:val="22"/>
          <w:szCs w:val="22"/>
          <w:lang w:val="es-ES"/>
        </w:rPr>
      </w:pPr>
      <w:r w:rsidRPr="00A84DC3">
        <w:rPr>
          <w:rFonts w:ascii="Arial" w:hAnsi="Arial" w:cs="Arial"/>
          <w:sz w:val="22"/>
          <w:szCs w:val="22"/>
          <w:lang w:val="es-ES"/>
        </w:rPr>
        <w:t xml:space="preserve">Valores de nivelación. </w:t>
      </w:r>
      <w:r w:rsidRPr="00A84DC3">
        <w:rPr>
          <w:rFonts w:ascii="Arial" w:hAnsi="Arial" w:cs="Arial"/>
          <w:b w:val="0"/>
          <w:sz w:val="22"/>
          <w:szCs w:val="22"/>
          <w:lang w:val="es-ES"/>
        </w:rPr>
        <w:t xml:space="preserve">Se considera un ejercicio particular en el cual se calcula simultáneamente una devaluación de un 30%, una reducción de ventas de un 15% y un aumento de costos totales del 10%. </w:t>
      </w:r>
    </w:p>
    <w:p w14:paraId="387F3EDB" w14:textId="77777777" w:rsidR="008233D1" w:rsidRPr="00A84DC3" w:rsidRDefault="008233D1" w:rsidP="00C6521E">
      <w:pPr>
        <w:pStyle w:val="Paragraph"/>
        <w:tabs>
          <w:tab w:val="num" w:pos="720"/>
        </w:tabs>
        <w:ind w:left="720" w:hanging="720"/>
        <w:rPr>
          <w:rFonts w:ascii="Arial" w:hAnsi="Arial" w:cs="Arial"/>
          <w:sz w:val="22"/>
          <w:szCs w:val="22"/>
          <w:lang w:val="es-ES"/>
        </w:rPr>
      </w:pPr>
      <w:r w:rsidRPr="00A84DC3">
        <w:rPr>
          <w:rFonts w:ascii="Arial" w:hAnsi="Arial" w:cs="Arial"/>
          <w:sz w:val="22"/>
          <w:szCs w:val="22"/>
          <w:lang w:val="es-ES"/>
        </w:rPr>
        <w:t xml:space="preserve">Como se observa en la Tabla 2, el análisis de sensibilidad muestra que, aun variando los parámetros utilizados en la estimación de los beneficios, reduciéndolos a valores críticos, el programa resulta viable. Este análisis concluye que los beneficios actualizados superan los costos actualizados en todos los escenarios razonables, arrojando por tanto un VPN positivo en todos los casos. </w:t>
      </w:r>
    </w:p>
    <w:p w14:paraId="049B178D" w14:textId="77777777" w:rsidR="008233D1" w:rsidRPr="00A84DC3" w:rsidRDefault="008233D1" w:rsidP="009E7B86">
      <w:pPr>
        <w:pStyle w:val="Paragraph"/>
        <w:numPr>
          <w:ilvl w:val="0"/>
          <w:numId w:val="0"/>
        </w:numPr>
        <w:spacing w:after="0"/>
        <w:jc w:val="center"/>
        <w:rPr>
          <w:rFonts w:ascii="Arial" w:hAnsi="Arial" w:cs="Arial"/>
          <w:b/>
          <w:sz w:val="22"/>
          <w:szCs w:val="22"/>
          <w:lang w:val="es-ES"/>
        </w:rPr>
      </w:pPr>
      <w:r w:rsidRPr="00A84DC3">
        <w:rPr>
          <w:rFonts w:ascii="Arial" w:hAnsi="Arial" w:cs="Arial"/>
          <w:b/>
          <w:sz w:val="22"/>
          <w:szCs w:val="22"/>
          <w:lang w:val="es-ES"/>
        </w:rPr>
        <w:t>Tabla 2. Análisis de sensibilidad en proyectos de apoyo al financiamiento productivo de MiPyMEs (Millones US$)</w:t>
      </w:r>
    </w:p>
    <w:tbl>
      <w:tblPr>
        <w:tblW w:w="855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75"/>
        <w:gridCol w:w="1240"/>
        <w:gridCol w:w="1280"/>
        <w:gridCol w:w="1320"/>
        <w:gridCol w:w="1400"/>
        <w:gridCol w:w="1340"/>
      </w:tblGrid>
      <w:tr w:rsidR="00700249" w:rsidRPr="00A84DC3" w14:paraId="7FC9AA4D" w14:textId="77777777" w:rsidTr="00E55D99">
        <w:trPr>
          <w:trHeight w:val="494"/>
          <w:jc w:val="center"/>
        </w:trPr>
        <w:tc>
          <w:tcPr>
            <w:tcW w:w="1975" w:type="dxa"/>
            <w:tcBorders>
              <w:top w:val="single" w:sz="4" w:space="0" w:color="auto"/>
              <w:bottom w:val="single" w:sz="4" w:space="0" w:color="auto"/>
            </w:tcBorders>
            <w:shd w:val="clear" w:color="auto" w:fill="DBE5F1" w:themeFill="accent1" w:themeFillTint="33"/>
            <w:noWrap/>
            <w:vAlign w:val="center"/>
            <w:hideMark/>
          </w:tcPr>
          <w:p w14:paraId="4CE33458" w14:textId="77777777" w:rsidR="008233D1" w:rsidRPr="009E7B86" w:rsidRDefault="008233D1" w:rsidP="00E55D99">
            <w:pPr>
              <w:spacing w:after="0" w:line="240" w:lineRule="auto"/>
              <w:jc w:val="center"/>
              <w:rPr>
                <w:rFonts w:ascii="Arial" w:eastAsia="Times New Roman" w:hAnsi="Arial" w:cs="Arial"/>
                <w:b/>
                <w:sz w:val="18"/>
                <w:szCs w:val="18"/>
                <w:lang w:val="es-ES" w:eastAsia="en-US"/>
              </w:rPr>
            </w:pPr>
          </w:p>
        </w:tc>
        <w:tc>
          <w:tcPr>
            <w:tcW w:w="1240" w:type="dxa"/>
            <w:tcBorders>
              <w:top w:val="single" w:sz="4" w:space="0" w:color="auto"/>
              <w:bottom w:val="single" w:sz="4" w:space="0" w:color="auto"/>
            </w:tcBorders>
            <w:shd w:val="clear" w:color="auto" w:fill="DBE5F1" w:themeFill="accent1" w:themeFillTint="33"/>
            <w:noWrap/>
            <w:vAlign w:val="center"/>
            <w:hideMark/>
          </w:tcPr>
          <w:p w14:paraId="435BEFAE" w14:textId="77777777" w:rsidR="008233D1" w:rsidRPr="009E7B86" w:rsidRDefault="008233D1" w:rsidP="00E55D99">
            <w:pPr>
              <w:spacing w:after="0" w:line="240" w:lineRule="auto"/>
              <w:jc w:val="center"/>
              <w:rPr>
                <w:rFonts w:ascii="Arial" w:eastAsia="Times New Roman" w:hAnsi="Arial" w:cs="Arial"/>
                <w:b/>
                <w:color w:val="000000"/>
                <w:sz w:val="18"/>
                <w:szCs w:val="18"/>
                <w:lang w:val="es-ES" w:eastAsia="en-US"/>
              </w:rPr>
            </w:pPr>
            <w:r w:rsidRPr="009E7B86">
              <w:rPr>
                <w:rFonts w:ascii="Arial" w:eastAsia="Times New Roman" w:hAnsi="Arial" w:cs="Arial"/>
                <w:b/>
                <w:color w:val="000000"/>
                <w:sz w:val="18"/>
                <w:szCs w:val="18"/>
                <w:lang w:val="es-ES" w:eastAsia="en-US"/>
              </w:rPr>
              <w:t>Escenario I</w:t>
            </w:r>
          </w:p>
        </w:tc>
        <w:tc>
          <w:tcPr>
            <w:tcW w:w="1280" w:type="dxa"/>
            <w:tcBorders>
              <w:top w:val="single" w:sz="4" w:space="0" w:color="auto"/>
              <w:bottom w:val="single" w:sz="4" w:space="0" w:color="auto"/>
            </w:tcBorders>
            <w:shd w:val="clear" w:color="auto" w:fill="DBE5F1" w:themeFill="accent1" w:themeFillTint="33"/>
            <w:noWrap/>
            <w:vAlign w:val="center"/>
            <w:hideMark/>
          </w:tcPr>
          <w:p w14:paraId="3906CCA3" w14:textId="77777777" w:rsidR="008233D1" w:rsidRPr="009E7B86" w:rsidRDefault="008233D1" w:rsidP="00E55D99">
            <w:pPr>
              <w:spacing w:after="0" w:line="240" w:lineRule="auto"/>
              <w:jc w:val="center"/>
              <w:rPr>
                <w:rFonts w:ascii="Arial" w:eastAsia="Times New Roman" w:hAnsi="Arial" w:cs="Arial"/>
                <w:b/>
                <w:color w:val="000000"/>
                <w:sz w:val="18"/>
                <w:szCs w:val="18"/>
                <w:lang w:val="es-ES" w:eastAsia="en-US"/>
              </w:rPr>
            </w:pPr>
            <w:r w:rsidRPr="009E7B86">
              <w:rPr>
                <w:rFonts w:ascii="Arial" w:eastAsia="Times New Roman" w:hAnsi="Arial" w:cs="Arial"/>
                <w:b/>
                <w:color w:val="000000"/>
                <w:sz w:val="18"/>
                <w:szCs w:val="18"/>
                <w:lang w:val="es-ES" w:eastAsia="en-US"/>
              </w:rPr>
              <w:t>Escenario II</w:t>
            </w:r>
          </w:p>
        </w:tc>
        <w:tc>
          <w:tcPr>
            <w:tcW w:w="1320" w:type="dxa"/>
            <w:tcBorders>
              <w:top w:val="single" w:sz="4" w:space="0" w:color="auto"/>
              <w:bottom w:val="single" w:sz="4" w:space="0" w:color="auto"/>
            </w:tcBorders>
            <w:shd w:val="clear" w:color="auto" w:fill="DBE5F1" w:themeFill="accent1" w:themeFillTint="33"/>
            <w:noWrap/>
            <w:vAlign w:val="center"/>
            <w:hideMark/>
          </w:tcPr>
          <w:p w14:paraId="54E56EAB" w14:textId="77777777" w:rsidR="008233D1" w:rsidRPr="009E7B86" w:rsidRDefault="008233D1" w:rsidP="00E55D99">
            <w:pPr>
              <w:spacing w:after="0" w:line="240" w:lineRule="auto"/>
              <w:jc w:val="center"/>
              <w:rPr>
                <w:rFonts w:ascii="Arial" w:eastAsia="Times New Roman" w:hAnsi="Arial" w:cs="Arial"/>
                <w:b/>
                <w:color w:val="000000"/>
                <w:sz w:val="18"/>
                <w:szCs w:val="18"/>
                <w:lang w:val="es-ES" w:eastAsia="en-US"/>
              </w:rPr>
            </w:pPr>
            <w:r w:rsidRPr="009E7B86">
              <w:rPr>
                <w:rFonts w:ascii="Arial" w:eastAsia="Times New Roman" w:hAnsi="Arial" w:cs="Arial"/>
                <w:b/>
                <w:color w:val="000000"/>
                <w:sz w:val="18"/>
                <w:szCs w:val="18"/>
                <w:lang w:val="es-ES" w:eastAsia="en-US"/>
              </w:rPr>
              <w:t>Escenario III</w:t>
            </w:r>
          </w:p>
        </w:tc>
        <w:tc>
          <w:tcPr>
            <w:tcW w:w="1400" w:type="dxa"/>
            <w:tcBorders>
              <w:top w:val="single" w:sz="4" w:space="0" w:color="auto"/>
              <w:bottom w:val="single" w:sz="4" w:space="0" w:color="auto"/>
            </w:tcBorders>
            <w:shd w:val="clear" w:color="auto" w:fill="DBE5F1" w:themeFill="accent1" w:themeFillTint="33"/>
            <w:noWrap/>
            <w:vAlign w:val="center"/>
            <w:hideMark/>
          </w:tcPr>
          <w:p w14:paraId="00D36DB7" w14:textId="77777777" w:rsidR="008233D1" w:rsidRPr="009E7B86" w:rsidRDefault="008233D1" w:rsidP="00E55D99">
            <w:pPr>
              <w:spacing w:after="0" w:line="240" w:lineRule="auto"/>
              <w:jc w:val="center"/>
              <w:rPr>
                <w:rFonts w:ascii="Arial" w:eastAsia="Times New Roman" w:hAnsi="Arial" w:cs="Arial"/>
                <w:b/>
                <w:color w:val="000000"/>
                <w:sz w:val="18"/>
                <w:szCs w:val="18"/>
                <w:lang w:val="es-ES" w:eastAsia="en-US"/>
              </w:rPr>
            </w:pPr>
            <w:r w:rsidRPr="009E7B86">
              <w:rPr>
                <w:rFonts w:ascii="Arial" w:eastAsia="Times New Roman" w:hAnsi="Arial" w:cs="Arial"/>
                <w:b/>
                <w:color w:val="000000"/>
                <w:sz w:val="18"/>
                <w:szCs w:val="18"/>
                <w:lang w:val="es-ES" w:eastAsia="en-US"/>
              </w:rPr>
              <w:t>Escenario IV</w:t>
            </w:r>
          </w:p>
        </w:tc>
        <w:tc>
          <w:tcPr>
            <w:tcW w:w="1340" w:type="dxa"/>
            <w:tcBorders>
              <w:top w:val="single" w:sz="4" w:space="0" w:color="auto"/>
              <w:bottom w:val="single" w:sz="4" w:space="0" w:color="auto"/>
            </w:tcBorders>
            <w:shd w:val="clear" w:color="auto" w:fill="DBE5F1" w:themeFill="accent1" w:themeFillTint="33"/>
            <w:noWrap/>
            <w:vAlign w:val="center"/>
            <w:hideMark/>
          </w:tcPr>
          <w:p w14:paraId="4A24C5EB" w14:textId="77777777" w:rsidR="008233D1" w:rsidRPr="009E7B86" w:rsidRDefault="008233D1" w:rsidP="00E55D99">
            <w:pPr>
              <w:spacing w:after="0" w:line="240" w:lineRule="auto"/>
              <w:jc w:val="center"/>
              <w:rPr>
                <w:rFonts w:ascii="Arial" w:eastAsia="Times New Roman" w:hAnsi="Arial" w:cs="Arial"/>
                <w:b/>
                <w:color w:val="000000"/>
                <w:sz w:val="18"/>
                <w:szCs w:val="18"/>
                <w:lang w:val="es-ES" w:eastAsia="en-US"/>
              </w:rPr>
            </w:pPr>
            <w:r w:rsidRPr="009E7B86">
              <w:rPr>
                <w:rFonts w:ascii="Arial" w:eastAsia="Times New Roman" w:hAnsi="Arial" w:cs="Arial"/>
                <w:b/>
                <w:color w:val="000000"/>
                <w:sz w:val="18"/>
                <w:szCs w:val="18"/>
                <w:lang w:val="es-ES" w:eastAsia="en-US"/>
              </w:rPr>
              <w:t>Escenario V</w:t>
            </w:r>
          </w:p>
        </w:tc>
      </w:tr>
      <w:tr w:rsidR="00700249" w:rsidRPr="00A84DC3" w14:paraId="58940B70" w14:textId="77777777" w:rsidTr="009E7B86">
        <w:trPr>
          <w:trHeight w:val="440"/>
          <w:jc w:val="center"/>
        </w:trPr>
        <w:tc>
          <w:tcPr>
            <w:tcW w:w="1975" w:type="dxa"/>
            <w:tcBorders>
              <w:top w:val="single" w:sz="4" w:space="0" w:color="auto"/>
              <w:bottom w:val="single" w:sz="4" w:space="0" w:color="auto"/>
            </w:tcBorders>
            <w:shd w:val="clear" w:color="auto" w:fill="auto"/>
            <w:noWrap/>
            <w:vAlign w:val="center"/>
            <w:hideMark/>
          </w:tcPr>
          <w:p w14:paraId="769740C8" w14:textId="77777777" w:rsidR="008233D1" w:rsidRPr="009E7B86" w:rsidRDefault="008233D1" w:rsidP="00E55D99">
            <w:pPr>
              <w:spacing w:after="0" w:line="240" w:lineRule="auto"/>
              <w:rPr>
                <w:rFonts w:ascii="Arial" w:eastAsia="Times New Roman" w:hAnsi="Arial" w:cs="Arial"/>
                <w:b/>
                <w:color w:val="000000"/>
                <w:sz w:val="18"/>
                <w:szCs w:val="18"/>
                <w:lang w:val="es-ES" w:eastAsia="en-US"/>
              </w:rPr>
            </w:pPr>
            <w:r w:rsidRPr="009E7B86">
              <w:rPr>
                <w:rFonts w:ascii="Arial" w:eastAsia="Times New Roman" w:hAnsi="Arial" w:cs="Arial"/>
                <w:b/>
                <w:color w:val="000000"/>
                <w:sz w:val="18"/>
                <w:szCs w:val="18"/>
                <w:lang w:val="es-ES" w:eastAsia="en-US"/>
              </w:rPr>
              <w:t>-5% incremento productividad</w:t>
            </w:r>
          </w:p>
        </w:tc>
        <w:tc>
          <w:tcPr>
            <w:tcW w:w="1240" w:type="dxa"/>
            <w:tcBorders>
              <w:top w:val="single" w:sz="4" w:space="0" w:color="auto"/>
              <w:bottom w:val="single" w:sz="4" w:space="0" w:color="auto"/>
            </w:tcBorders>
            <w:shd w:val="clear" w:color="auto" w:fill="auto"/>
            <w:noWrap/>
            <w:vAlign w:val="center"/>
            <w:hideMark/>
          </w:tcPr>
          <w:p w14:paraId="239D3FC1" w14:textId="70C7D086" w:rsidR="008233D1" w:rsidRPr="009E7B86" w:rsidRDefault="00700249" w:rsidP="00E55D99">
            <w:pPr>
              <w:spacing w:after="0" w:line="240" w:lineRule="auto"/>
              <w:jc w:val="center"/>
              <w:rPr>
                <w:rFonts w:ascii="Arial" w:eastAsia="Times New Roman" w:hAnsi="Arial" w:cs="Arial"/>
                <w:color w:val="000000"/>
                <w:sz w:val="18"/>
                <w:szCs w:val="18"/>
                <w:lang w:val="es-ES" w:eastAsia="en-US"/>
              </w:rPr>
            </w:pPr>
            <w:r>
              <w:rPr>
                <w:rFonts w:ascii="Arial" w:eastAsia="Times New Roman" w:hAnsi="Arial" w:cs="Arial"/>
                <w:color w:val="000000"/>
                <w:sz w:val="18"/>
                <w:szCs w:val="18"/>
                <w:lang w:val="es-ES" w:eastAsia="en-US"/>
              </w:rPr>
              <w:t>11.589.058</w:t>
            </w:r>
          </w:p>
        </w:tc>
        <w:tc>
          <w:tcPr>
            <w:tcW w:w="1280" w:type="dxa"/>
            <w:tcBorders>
              <w:top w:val="single" w:sz="4" w:space="0" w:color="auto"/>
              <w:bottom w:val="single" w:sz="4" w:space="0" w:color="auto"/>
            </w:tcBorders>
            <w:shd w:val="clear" w:color="auto" w:fill="auto"/>
            <w:noWrap/>
            <w:vAlign w:val="center"/>
            <w:hideMark/>
          </w:tcPr>
          <w:p w14:paraId="62A395C5" w14:textId="77777777" w:rsidR="008233D1" w:rsidRPr="009E7B86" w:rsidRDefault="008233D1" w:rsidP="00E55D99">
            <w:pPr>
              <w:spacing w:after="0" w:line="240" w:lineRule="auto"/>
              <w:jc w:val="center"/>
              <w:rPr>
                <w:rFonts w:ascii="Arial" w:eastAsia="Times New Roman" w:hAnsi="Arial" w:cs="Arial"/>
                <w:color w:val="000000"/>
                <w:sz w:val="18"/>
                <w:szCs w:val="18"/>
                <w:lang w:val="es-ES" w:eastAsia="en-US"/>
              </w:rPr>
            </w:pPr>
          </w:p>
        </w:tc>
        <w:tc>
          <w:tcPr>
            <w:tcW w:w="1320" w:type="dxa"/>
            <w:tcBorders>
              <w:top w:val="single" w:sz="4" w:space="0" w:color="auto"/>
              <w:bottom w:val="single" w:sz="4" w:space="0" w:color="auto"/>
            </w:tcBorders>
            <w:shd w:val="clear" w:color="auto" w:fill="auto"/>
            <w:noWrap/>
            <w:vAlign w:val="center"/>
            <w:hideMark/>
          </w:tcPr>
          <w:p w14:paraId="38B58B6C" w14:textId="77777777" w:rsidR="008233D1" w:rsidRPr="009E7B86" w:rsidRDefault="008233D1" w:rsidP="00E55D99">
            <w:pPr>
              <w:spacing w:after="0" w:line="240" w:lineRule="auto"/>
              <w:jc w:val="center"/>
              <w:rPr>
                <w:rFonts w:ascii="Arial" w:eastAsia="Times New Roman" w:hAnsi="Arial" w:cs="Arial"/>
                <w:sz w:val="18"/>
                <w:szCs w:val="18"/>
                <w:lang w:val="es-ES" w:eastAsia="en-US"/>
              </w:rPr>
            </w:pPr>
          </w:p>
        </w:tc>
        <w:tc>
          <w:tcPr>
            <w:tcW w:w="1400" w:type="dxa"/>
            <w:tcBorders>
              <w:top w:val="single" w:sz="4" w:space="0" w:color="auto"/>
              <w:bottom w:val="single" w:sz="4" w:space="0" w:color="auto"/>
            </w:tcBorders>
            <w:shd w:val="clear" w:color="auto" w:fill="auto"/>
            <w:noWrap/>
            <w:vAlign w:val="center"/>
            <w:hideMark/>
          </w:tcPr>
          <w:p w14:paraId="27B27472" w14:textId="77777777" w:rsidR="008233D1" w:rsidRPr="009E7B86" w:rsidRDefault="008233D1" w:rsidP="00E55D99">
            <w:pPr>
              <w:spacing w:after="0" w:line="240" w:lineRule="auto"/>
              <w:jc w:val="center"/>
              <w:rPr>
                <w:rFonts w:ascii="Arial" w:eastAsia="Times New Roman" w:hAnsi="Arial" w:cs="Arial"/>
                <w:sz w:val="18"/>
                <w:szCs w:val="18"/>
                <w:lang w:val="es-ES" w:eastAsia="en-US"/>
              </w:rPr>
            </w:pPr>
          </w:p>
        </w:tc>
        <w:tc>
          <w:tcPr>
            <w:tcW w:w="1340" w:type="dxa"/>
            <w:tcBorders>
              <w:top w:val="single" w:sz="4" w:space="0" w:color="auto"/>
              <w:bottom w:val="single" w:sz="4" w:space="0" w:color="auto"/>
            </w:tcBorders>
            <w:shd w:val="clear" w:color="auto" w:fill="auto"/>
            <w:noWrap/>
            <w:vAlign w:val="center"/>
            <w:hideMark/>
          </w:tcPr>
          <w:p w14:paraId="0429F476" w14:textId="77777777" w:rsidR="008233D1" w:rsidRPr="009E7B86" w:rsidRDefault="008233D1" w:rsidP="00E55D99">
            <w:pPr>
              <w:spacing w:after="0" w:line="240" w:lineRule="auto"/>
              <w:jc w:val="center"/>
              <w:rPr>
                <w:rFonts w:ascii="Arial" w:eastAsia="Times New Roman" w:hAnsi="Arial" w:cs="Arial"/>
                <w:sz w:val="18"/>
                <w:szCs w:val="18"/>
                <w:lang w:val="es-ES" w:eastAsia="en-US"/>
              </w:rPr>
            </w:pPr>
          </w:p>
        </w:tc>
      </w:tr>
      <w:tr w:rsidR="00700249" w:rsidRPr="00A84DC3" w14:paraId="6E7D133B" w14:textId="77777777" w:rsidTr="009E7B86">
        <w:trPr>
          <w:trHeight w:val="350"/>
          <w:jc w:val="center"/>
        </w:trPr>
        <w:tc>
          <w:tcPr>
            <w:tcW w:w="1975" w:type="dxa"/>
            <w:tcBorders>
              <w:top w:val="single" w:sz="4" w:space="0" w:color="auto"/>
              <w:bottom w:val="single" w:sz="4" w:space="0" w:color="auto"/>
            </w:tcBorders>
            <w:shd w:val="clear" w:color="auto" w:fill="auto"/>
            <w:noWrap/>
            <w:vAlign w:val="center"/>
            <w:hideMark/>
          </w:tcPr>
          <w:p w14:paraId="4287A6D9" w14:textId="77777777" w:rsidR="008233D1" w:rsidRPr="009E7B86" w:rsidRDefault="008233D1" w:rsidP="00E55D99">
            <w:pPr>
              <w:spacing w:after="0" w:line="240" w:lineRule="auto"/>
              <w:rPr>
                <w:rFonts w:ascii="Arial" w:eastAsia="Times New Roman" w:hAnsi="Arial" w:cs="Arial"/>
                <w:b/>
                <w:color w:val="000000"/>
                <w:sz w:val="18"/>
                <w:szCs w:val="18"/>
                <w:lang w:val="es-ES" w:eastAsia="en-US"/>
              </w:rPr>
            </w:pPr>
            <w:r w:rsidRPr="009E7B86">
              <w:rPr>
                <w:rFonts w:ascii="Arial" w:eastAsia="Times New Roman" w:hAnsi="Arial" w:cs="Arial"/>
                <w:b/>
                <w:color w:val="000000"/>
                <w:sz w:val="18"/>
                <w:szCs w:val="18"/>
                <w:lang w:val="es-ES" w:eastAsia="en-US"/>
              </w:rPr>
              <w:t>17% devaluación</w:t>
            </w:r>
          </w:p>
        </w:tc>
        <w:tc>
          <w:tcPr>
            <w:tcW w:w="1240" w:type="dxa"/>
            <w:tcBorders>
              <w:top w:val="single" w:sz="4" w:space="0" w:color="auto"/>
              <w:bottom w:val="single" w:sz="4" w:space="0" w:color="auto"/>
            </w:tcBorders>
            <w:shd w:val="clear" w:color="auto" w:fill="auto"/>
            <w:noWrap/>
            <w:vAlign w:val="center"/>
            <w:hideMark/>
          </w:tcPr>
          <w:p w14:paraId="6918A088" w14:textId="77777777" w:rsidR="008233D1" w:rsidRPr="009E7B86" w:rsidRDefault="008233D1" w:rsidP="00E55D99">
            <w:pPr>
              <w:spacing w:after="0" w:line="240" w:lineRule="auto"/>
              <w:jc w:val="center"/>
              <w:rPr>
                <w:rFonts w:ascii="Arial" w:eastAsia="Times New Roman" w:hAnsi="Arial" w:cs="Arial"/>
                <w:color w:val="000000"/>
                <w:sz w:val="18"/>
                <w:szCs w:val="18"/>
                <w:lang w:val="es-ES" w:eastAsia="en-US"/>
              </w:rPr>
            </w:pPr>
          </w:p>
        </w:tc>
        <w:tc>
          <w:tcPr>
            <w:tcW w:w="1280" w:type="dxa"/>
            <w:tcBorders>
              <w:top w:val="single" w:sz="4" w:space="0" w:color="auto"/>
              <w:bottom w:val="single" w:sz="4" w:space="0" w:color="auto"/>
            </w:tcBorders>
            <w:shd w:val="clear" w:color="auto" w:fill="auto"/>
            <w:noWrap/>
            <w:vAlign w:val="center"/>
            <w:hideMark/>
          </w:tcPr>
          <w:p w14:paraId="70D3691B" w14:textId="3C979632" w:rsidR="008233D1" w:rsidRPr="009E7B86" w:rsidRDefault="00700249" w:rsidP="00E55D99">
            <w:pPr>
              <w:spacing w:after="0" w:line="240" w:lineRule="auto"/>
              <w:jc w:val="center"/>
              <w:rPr>
                <w:rFonts w:ascii="Arial" w:eastAsia="Times New Roman" w:hAnsi="Arial" w:cs="Arial"/>
                <w:color w:val="000000"/>
                <w:sz w:val="18"/>
                <w:szCs w:val="18"/>
                <w:lang w:val="es-ES" w:eastAsia="en-US"/>
              </w:rPr>
            </w:pPr>
            <w:r>
              <w:rPr>
                <w:rFonts w:ascii="Arial" w:eastAsia="Times New Roman" w:hAnsi="Arial" w:cs="Arial"/>
                <w:color w:val="000000"/>
                <w:sz w:val="18"/>
                <w:szCs w:val="18"/>
                <w:lang w:val="es-ES" w:eastAsia="en-US"/>
              </w:rPr>
              <w:t>21.210.542</w:t>
            </w:r>
          </w:p>
        </w:tc>
        <w:tc>
          <w:tcPr>
            <w:tcW w:w="1320" w:type="dxa"/>
            <w:tcBorders>
              <w:top w:val="single" w:sz="4" w:space="0" w:color="auto"/>
              <w:bottom w:val="single" w:sz="4" w:space="0" w:color="auto"/>
            </w:tcBorders>
            <w:shd w:val="clear" w:color="auto" w:fill="auto"/>
            <w:noWrap/>
            <w:vAlign w:val="center"/>
            <w:hideMark/>
          </w:tcPr>
          <w:p w14:paraId="797419A1" w14:textId="77777777" w:rsidR="008233D1" w:rsidRPr="009E7B86" w:rsidRDefault="008233D1" w:rsidP="00E55D99">
            <w:pPr>
              <w:spacing w:after="0" w:line="240" w:lineRule="auto"/>
              <w:jc w:val="center"/>
              <w:rPr>
                <w:rFonts w:ascii="Arial" w:eastAsia="Times New Roman" w:hAnsi="Arial" w:cs="Arial"/>
                <w:color w:val="000000"/>
                <w:sz w:val="18"/>
                <w:szCs w:val="18"/>
                <w:lang w:val="es-ES" w:eastAsia="en-US"/>
              </w:rPr>
            </w:pPr>
          </w:p>
        </w:tc>
        <w:tc>
          <w:tcPr>
            <w:tcW w:w="1400" w:type="dxa"/>
            <w:tcBorders>
              <w:top w:val="single" w:sz="4" w:space="0" w:color="auto"/>
              <w:bottom w:val="single" w:sz="4" w:space="0" w:color="auto"/>
            </w:tcBorders>
            <w:shd w:val="clear" w:color="auto" w:fill="auto"/>
            <w:noWrap/>
            <w:vAlign w:val="center"/>
            <w:hideMark/>
          </w:tcPr>
          <w:p w14:paraId="76083A2F" w14:textId="77777777" w:rsidR="008233D1" w:rsidRPr="009E7B86" w:rsidRDefault="008233D1" w:rsidP="00E55D99">
            <w:pPr>
              <w:spacing w:after="0" w:line="240" w:lineRule="auto"/>
              <w:jc w:val="center"/>
              <w:rPr>
                <w:rFonts w:ascii="Arial" w:eastAsia="Times New Roman" w:hAnsi="Arial" w:cs="Arial"/>
                <w:sz w:val="18"/>
                <w:szCs w:val="18"/>
                <w:lang w:val="es-ES" w:eastAsia="en-US"/>
              </w:rPr>
            </w:pPr>
          </w:p>
        </w:tc>
        <w:tc>
          <w:tcPr>
            <w:tcW w:w="1340" w:type="dxa"/>
            <w:tcBorders>
              <w:top w:val="single" w:sz="4" w:space="0" w:color="auto"/>
              <w:bottom w:val="single" w:sz="4" w:space="0" w:color="auto"/>
            </w:tcBorders>
            <w:shd w:val="clear" w:color="auto" w:fill="auto"/>
            <w:noWrap/>
            <w:vAlign w:val="center"/>
            <w:hideMark/>
          </w:tcPr>
          <w:p w14:paraId="34AD114A" w14:textId="77777777" w:rsidR="008233D1" w:rsidRPr="009E7B86" w:rsidRDefault="008233D1" w:rsidP="00E55D99">
            <w:pPr>
              <w:spacing w:after="0" w:line="240" w:lineRule="auto"/>
              <w:jc w:val="center"/>
              <w:rPr>
                <w:rFonts w:ascii="Arial" w:eastAsia="Times New Roman" w:hAnsi="Arial" w:cs="Arial"/>
                <w:sz w:val="18"/>
                <w:szCs w:val="18"/>
                <w:lang w:val="es-ES" w:eastAsia="en-US"/>
              </w:rPr>
            </w:pPr>
          </w:p>
        </w:tc>
      </w:tr>
      <w:tr w:rsidR="00700249" w:rsidRPr="00A84DC3" w14:paraId="0EB24992" w14:textId="77777777" w:rsidTr="009E7B86">
        <w:trPr>
          <w:trHeight w:val="350"/>
          <w:jc w:val="center"/>
        </w:trPr>
        <w:tc>
          <w:tcPr>
            <w:tcW w:w="1975" w:type="dxa"/>
            <w:tcBorders>
              <w:top w:val="single" w:sz="4" w:space="0" w:color="auto"/>
              <w:bottom w:val="single" w:sz="4" w:space="0" w:color="auto"/>
            </w:tcBorders>
            <w:shd w:val="clear" w:color="auto" w:fill="auto"/>
            <w:noWrap/>
            <w:vAlign w:val="center"/>
            <w:hideMark/>
          </w:tcPr>
          <w:p w14:paraId="4F57A5FC" w14:textId="77777777" w:rsidR="008233D1" w:rsidRPr="009E7B86" w:rsidRDefault="008233D1" w:rsidP="00E55D99">
            <w:pPr>
              <w:spacing w:after="0" w:line="240" w:lineRule="auto"/>
              <w:rPr>
                <w:rFonts w:ascii="Arial" w:eastAsia="Times New Roman" w:hAnsi="Arial" w:cs="Arial"/>
                <w:b/>
                <w:color w:val="000000"/>
                <w:sz w:val="18"/>
                <w:szCs w:val="18"/>
                <w:lang w:val="es-ES" w:eastAsia="en-US"/>
              </w:rPr>
            </w:pPr>
            <w:r w:rsidRPr="009E7B86">
              <w:rPr>
                <w:rFonts w:ascii="Arial" w:eastAsia="Times New Roman" w:hAnsi="Arial" w:cs="Arial"/>
                <w:b/>
                <w:color w:val="000000"/>
                <w:sz w:val="18"/>
                <w:szCs w:val="18"/>
                <w:lang w:val="es-ES" w:eastAsia="en-US"/>
              </w:rPr>
              <w:t>30% devaluación</w:t>
            </w:r>
          </w:p>
        </w:tc>
        <w:tc>
          <w:tcPr>
            <w:tcW w:w="1240" w:type="dxa"/>
            <w:tcBorders>
              <w:top w:val="single" w:sz="4" w:space="0" w:color="auto"/>
              <w:bottom w:val="single" w:sz="4" w:space="0" w:color="auto"/>
            </w:tcBorders>
            <w:shd w:val="clear" w:color="auto" w:fill="auto"/>
            <w:noWrap/>
            <w:vAlign w:val="center"/>
            <w:hideMark/>
          </w:tcPr>
          <w:p w14:paraId="70878F95" w14:textId="77777777" w:rsidR="008233D1" w:rsidRPr="009E7B86" w:rsidRDefault="008233D1" w:rsidP="00E55D99">
            <w:pPr>
              <w:spacing w:after="0" w:line="240" w:lineRule="auto"/>
              <w:jc w:val="center"/>
              <w:rPr>
                <w:rFonts w:ascii="Arial" w:eastAsia="Times New Roman" w:hAnsi="Arial" w:cs="Arial"/>
                <w:color w:val="000000"/>
                <w:sz w:val="18"/>
                <w:szCs w:val="18"/>
                <w:lang w:val="es-ES" w:eastAsia="en-US"/>
              </w:rPr>
            </w:pPr>
          </w:p>
        </w:tc>
        <w:tc>
          <w:tcPr>
            <w:tcW w:w="1280" w:type="dxa"/>
            <w:tcBorders>
              <w:top w:val="single" w:sz="4" w:space="0" w:color="auto"/>
              <w:bottom w:val="single" w:sz="4" w:space="0" w:color="auto"/>
            </w:tcBorders>
            <w:shd w:val="clear" w:color="auto" w:fill="auto"/>
            <w:noWrap/>
            <w:vAlign w:val="center"/>
            <w:hideMark/>
          </w:tcPr>
          <w:p w14:paraId="1B9C3B92" w14:textId="77777777" w:rsidR="008233D1" w:rsidRPr="009E7B86" w:rsidRDefault="008233D1" w:rsidP="00E55D99">
            <w:pPr>
              <w:spacing w:after="0" w:line="240" w:lineRule="auto"/>
              <w:jc w:val="center"/>
              <w:rPr>
                <w:rFonts w:ascii="Arial" w:eastAsia="Times New Roman" w:hAnsi="Arial" w:cs="Arial"/>
                <w:sz w:val="18"/>
                <w:szCs w:val="18"/>
                <w:lang w:val="es-ES" w:eastAsia="en-US"/>
              </w:rPr>
            </w:pPr>
          </w:p>
        </w:tc>
        <w:tc>
          <w:tcPr>
            <w:tcW w:w="1320" w:type="dxa"/>
            <w:tcBorders>
              <w:top w:val="single" w:sz="4" w:space="0" w:color="auto"/>
              <w:bottom w:val="single" w:sz="4" w:space="0" w:color="auto"/>
            </w:tcBorders>
            <w:shd w:val="clear" w:color="auto" w:fill="auto"/>
            <w:noWrap/>
            <w:vAlign w:val="center"/>
            <w:hideMark/>
          </w:tcPr>
          <w:p w14:paraId="53A60E01" w14:textId="1E69DD33" w:rsidR="008233D1" w:rsidRPr="009E7B86" w:rsidRDefault="00700249" w:rsidP="00E55D99">
            <w:pPr>
              <w:spacing w:after="0" w:line="240" w:lineRule="auto"/>
              <w:jc w:val="center"/>
              <w:rPr>
                <w:rFonts w:ascii="Arial" w:eastAsia="Times New Roman" w:hAnsi="Arial" w:cs="Arial"/>
                <w:color w:val="000000"/>
                <w:sz w:val="18"/>
                <w:szCs w:val="18"/>
                <w:lang w:val="es-ES" w:eastAsia="en-US"/>
              </w:rPr>
            </w:pPr>
            <w:r>
              <w:rPr>
                <w:rFonts w:ascii="Arial" w:eastAsia="Times New Roman" w:hAnsi="Arial" w:cs="Arial"/>
                <w:color w:val="000000"/>
                <w:sz w:val="18"/>
                <w:szCs w:val="18"/>
                <w:lang w:val="es-ES" w:eastAsia="en-US"/>
              </w:rPr>
              <w:t>17.170.652</w:t>
            </w:r>
          </w:p>
        </w:tc>
        <w:tc>
          <w:tcPr>
            <w:tcW w:w="1400" w:type="dxa"/>
            <w:tcBorders>
              <w:top w:val="single" w:sz="4" w:space="0" w:color="auto"/>
              <w:bottom w:val="single" w:sz="4" w:space="0" w:color="auto"/>
            </w:tcBorders>
            <w:shd w:val="clear" w:color="auto" w:fill="auto"/>
            <w:noWrap/>
            <w:vAlign w:val="center"/>
            <w:hideMark/>
          </w:tcPr>
          <w:p w14:paraId="24741E85" w14:textId="77777777" w:rsidR="008233D1" w:rsidRPr="009E7B86" w:rsidRDefault="008233D1" w:rsidP="00E55D99">
            <w:pPr>
              <w:spacing w:after="0" w:line="240" w:lineRule="auto"/>
              <w:jc w:val="center"/>
              <w:rPr>
                <w:rFonts w:ascii="Arial" w:eastAsia="Times New Roman" w:hAnsi="Arial" w:cs="Arial"/>
                <w:color w:val="000000"/>
                <w:sz w:val="18"/>
                <w:szCs w:val="18"/>
                <w:lang w:val="es-ES" w:eastAsia="en-US"/>
              </w:rPr>
            </w:pPr>
          </w:p>
        </w:tc>
        <w:tc>
          <w:tcPr>
            <w:tcW w:w="1340" w:type="dxa"/>
            <w:tcBorders>
              <w:top w:val="single" w:sz="4" w:space="0" w:color="auto"/>
              <w:bottom w:val="single" w:sz="4" w:space="0" w:color="auto"/>
            </w:tcBorders>
            <w:shd w:val="clear" w:color="auto" w:fill="auto"/>
            <w:noWrap/>
            <w:vAlign w:val="center"/>
            <w:hideMark/>
          </w:tcPr>
          <w:p w14:paraId="15C3AC36" w14:textId="77777777" w:rsidR="008233D1" w:rsidRPr="009E7B86" w:rsidRDefault="008233D1" w:rsidP="00E55D99">
            <w:pPr>
              <w:spacing w:after="0" w:line="240" w:lineRule="auto"/>
              <w:jc w:val="center"/>
              <w:rPr>
                <w:rFonts w:ascii="Arial" w:eastAsia="Times New Roman" w:hAnsi="Arial" w:cs="Arial"/>
                <w:sz w:val="18"/>
                <w:szCs w:val="18"/>
                <w:lang w:val="es-ES" w:eastAsia="en-US"/>
              </w:rPr>
            </w:pPr>
          </w:p>
        </w:tc>
      </w:tr>
      <w:tr w:rsidR="00700249" w:rsidRPr="00A84DC3" w14:paraId="2385B4D7" w14:textId="77777777" w:rsidTr="009E7B86">
        <w:trPr>
          <w:trHeight w:val="350"/>
          <w:jc w:val="center"/>
        </w:trPr>
        <w:tc>
          <w:tcPr>
            <w:tcW w:w="1975" w:type="dxa"/>
            <w:tcBorders>
              <w:top w:val="single" w:sz="4" w:space="0" w:color="auto"/>
              <w:bottom w:val="single" w:sz="4" w:space="0" w:color="auto"/>
            </w:tcBorders>
            <w:shd w:val="clear" w:color="auto" w:fill="auto"/>
            <w:noWrap/>
            <w:vAlign w:val="center"/>
            <w:hideMark/>
          </w:tcPr>
          <w:p w14:paraId="68BD111F" w14:textId="77777777" w:rsidR="008233D1" w:rsidRPr="009E7B86" w:rsidRDefault="008233D1" w:rsidP="00E55D99">
            <w:pPr>
              <w:spacing w:after="0" w:line="240" w:lineRule="auto"/>
              <w:rPr>
                <w:rFonts w:ascii="Arial" w:eastAsia="Times New Roman" w:hAnsi="Arial" w:cs="Arial"/>
                <w:b/>
                <w:color w:val="000000"/>
                <w:sz w:val="18"/>
                <w:szCs w:val="18"/>
                <w:lang w:val="es-ES" w:eastAsia="en-US"/>
              </w:rPr>
            </w:pPr>
            <w:r w:rsidRPr="009E7B86">
              <w:rPr>
                <w:rFonts w:ascii="Arial" w:eastAsia="Times New Roman" w:hAnsi="Arial" w:cs="Arial"/>
                <w:b/>
                <w:color w:val="000000"/>
                <w:sz w:val="18"/>
                <w:szCs w:val="18"/>
                <w:lang w:val="es-ES" w:eastAsia="en-US"/>
              </w:rPr>
              <w:t>63% devaluación</w:t>
            </w:r>
          </w:p>
        </w:tc>
        <w:tc>
          <w:tcPr>
            <w:tcW w:w="1240" w:type="dxa"/>
            <w:tcBorders>
              <w:top w:val="single" w:sz="4" w:space="0" w:color="auto"/>
              <w:bottom w:val="single" w:sz="4" w:space="0" w:color="auto"/>
            </w:tcBorders>
            <w:shd w:val="clear" w:color="auto" w:fill="auto"/>
            <w:noWrap/>
            <w:vAlign w:val="center"/>
            <w:hideMark/>
          </w:tcPr>
          <w:p w14:paraId="3846BD1C" w14:textId="77777777" w:rsidR="008233D1" w:rsidRPr="009E7B86" w:rsidRDefault="008233D1" w:rsidP="00E55D99">
            <w:pPr>
              <w:spacing w:after="0" w:line="240" w:lineRule="auto"/>
              <w:jc w:val="center"/>
              <w:rPr>
                <w:rFonts w:ascii="Arial" w:eastAsia="Times New Roman" w:hAnsi="Arial" w:cs="Arial"/>
                <w:color w:val="000000"/>
                <w:sz w:val="18"/>
                <w:szCs w:val="18"/>
                <w:lang w:val="es-ES" w:eastAsia="en-US"/>
              </w:rPr>
            </w:pPr>
          </w:p>
        </w:tc>
        <w:tc>
          <w:tcPr>
            <w:tcW w:w="1280" w:type="dxa"/>
            <w:tcBorders>
              <w:top w:val="single" w:sz="4" w:space="0" w:color="auto"/>
              <w:bottom w:val="single" w:sz="4" w:space="0" w:color="auto"/>
            </w:tcBorders>
            <w:shd w:val="clear" w:color="auto" w:fill="auto"/>
            <w:noWrap/>
            <w:vAlign w:val="center"/>
            <w:hideMark/>
          </w:tcPr>
          <w:p w14:paraId="0CD1B5C3" w14:textId="77777777" w:rsidR="008233D1" w:rsidRPr="009E7B86" w:rsidRDefault="008233D1" w:rsidP="00E55D99">
            <w:pPr>
              <w:spacing w:after="0" w:line="240" w:lineRule="auto"/>
              <w:jc w:val="center"/>
              <w:rPr>
                <w:rFonts w:ascii="Arial" w:eastAsia="Times New Roman" w:hAnsi="Arial" w:cs="Arial"/>
                <w:sz w:val="18"/>
                <w:szCs w:val="18"/>
                <w:lang w:val="es-ES" w:eastAsia="en-US"/>
              </w:rPr>
            </w:pPr>
          </w:p>
        </w:tc>
        <w:tc>
          <w:tcPr>
            <w:tcW w:w="1320" w:type="dxa"/>
            <w:tcBorders>
              <w:top w:val="single" w:sz="4" w:space="0" w:color="auto"/>
              <w:bottom w:val="single" w:sz="4" w:space="0" w:color="auto"/>
            </w:tcBorders>
            <w:shd w:val="clear" w:color="auto" w:fill="auto"/>
            <w:noWrap/>
            <w:vAlign w:val="center"/>
            <w:hideMark/>
          </w:tcPr>
          <w:p w14:paraId="6436C477" w14:textId="77777777" w:rsidR="008233D1" w:rsidRPr="009E7B86" w:rsidRDefault="008233D1" w:rsidP="00E55D99">
            <w:pPr>
              <w:spacing w:after="0" w:line="240" w:lineRule="auto"/>
              <w:jc w:val="center"/>
              <w:rPr>
                <w:rFonts w:ascii="Arial" w:eastAsia="Times New Roman" w:hAnsi="Arial" w:cs="Arial"/>
                <w:sz w:val="18"/>
                <w:szCs w:val="18"/>
                <w:lang w:val="es-ES" w:eastAsia="en-US"/>
              </w:rPr>
            </w:pPr>
          </w:p>
        </w:tc>
        <w:tc>
          <w:tcPr>
            <w:tcW w:w="1400" w:type="dxa"/>
            <w:tcBorders>
              <w:top w:val="single" w:sz="4" w:space="0" w:color="auto"/>
              <w:bottom w:val="single" w:sz="4" w:space="0" w:color="auto"/>
            </w:tcBorders>
            <w:shd w:val="clear" w:color="auto" w:fill="auto"/>
            <w:noWrap/>
            <w:vAlign w:val="center"/>
            <w:hideMark/>
          </w:tcPr>
          <w:p w14:paraId="241C0623" w14:textId="5E57A99E" w:rsidR="008233D1" w:rsidRPr="009E7B86" w:rsidRDefault="00700249" w:rsidP="00E55D99">
            <w:pPr>
              <w:spacing w:after="0" w:line="240" w:lineRule="auto"/>
              <w:jc w:val="center"/>
              <w:rPr>
                <w:rFonts w:ascii="Arial" w:eastAsia="Times New Roman" w:hAnsi="Arial" w:cs="Arial"/>
                <w:color w:val="000000"/>
                <w:sz w:val="18"/>
                <w:szCs w:val="18"/>
                <w:lang w:val="es-ES" w:eastAsia="en-US"/>
              </w:rPr>
            </w:pPr>
            <w:r>
              <w:rPr>
                <w:rFonts w:ascii="Arial" w:eastAsia="Times New Roman" w:hAnsi="Arial" w:cs="Arial"/>
                <w:color w:val="000000"/>
                <w:sz w:val="18"/>
                <w:szCs w:val="18"/>
                <w:lang w:val="es-ES" w:eastAsia="en-US"/>
              </w:rPr>
              <w:t>9.773.223</w:t>
            </w:r>
          </w:p>
        </w:tc>
        <w:tc>
          <w:tcPr>
            <w:tcW w:w="1340" w:type="dxa"/>
            <w:tcBorders>
              <w:top w:val="single" w:sz="4" w:space="0" w:color="auto"/>
              <w:bottom w:val="single" w:sz="4" w:space="0" w:color="auto"/>
            </w:tcBorders>
            <w:shd w:val="clear" w:color="auto" w:fill="auto"/>
            <w:noWrap/>
            <w:vAlign w:val="center"/>
            <w:hideMark/>
          </w:tcPr>
          <w:p w14:paraId="62243EAF" w14:textId="77777777" w:rsidR="008233D1" w:rsidRPr="009E7B86" w:rsidRDefault="008233D1" w:rsidP="00E55D99">
            <w:pPr>
              <w:spacing w:after="0" w:line="240" w:lineRule="auto"/>
              <w:jc w:val="center"/>
              <w:rPr>
                <w:rFonts w:ascii="Arial" w:eastAsia="Times New Roman" w:hAnsi="Arial" w:cs="Arial"/>
                <w:color w:val="000000"/>
                <w:sz w:val="18"/>
                <w:szCs w:val="18"/>
                <w:lang w:val="es-ES" w:eastAsia="en-US"/>
              </w:rPr>
            </w:pPr>
          </w:p>
        </w:tc>
      </w:tr>
      <w:tr w:rsidR="00700249" w:rsidRPr="00A84DC3" w14:paraId="5EBD8382" w14:textId="77777777" w:rsidTr="00E55D99">
        <w:trPr>
          <w:trHeight w:val="619"/>
          <w:jc w:val="center"/>
        </w:trPr>
        <w:tc>
          <w:tcPr>
            <w:tcW w:w="1975" w:type="dxa"/>
            <w:tcBorders>
              <w:top w:val="single" w:sz="4" w:space="0" w:color="auto"/>
            </w:tcBorders>
            <w:shd w:val="clear" w:color="auto" w:fill="auto"/>
            <w:noWrap/>
            <w:vAlign w:val="center"/>
            <w:hideMark/>
          </w:tcPr>
          <w:p w14:paraId="5B7759D8" w14:textId="77777777" w:rsidR="008233D1" w:rsidRPr="009E7B86" w:rsidRDefault="008233D1" w:rsidP="00E55D99">
            <w:pPr>
              <w:spacing w:after="0" w:line="240" w:lineRule="auto"/>
              <w:rPr>
                <w:rFonts w:ascii="Arial" w:eastAsia="Times New Roman" w:hAnsi="Arial" w:cs="Arial"/>
                <w:b/>
                <w:color w:val="000000"/>
                <w:sz w:val="18"/>
                <w:szCs w:val="18"/>
                <w:lang w:val="es-ES" w:eastAsia="en-US"/>
              </w:rPr>
            </w:pPr>
            <w:r w:rsidRPr="009E7B86">
              <w:rPr>
                <w:rFonts w:ascii="Arial" w:eastAsia="Times New Roman" w:hAnsi="Arial" w:cs="Arial"/>
                <w:b/>
                <w:color w:val="000000"/>
                <w:sz w:val="18"/>
                <w:szCs w:val="18"/>
                <w:lang w:val="es-ES" w:eastAsia="en-US"/>
              </w:rPr>
              <w:t>+30% devaluación,</w:t>
            </w:r>
          </w:p>
          <w:p w14:paraId="0CBEA716" w14:textId="77777777" w:rsidR="008233D1" w:rsidRPr="009E7B86" w:rsidRDefault="008233D1" w:rsidP="00E55D99">
            <w:pPr>
              <w:spacing w:after="0" w:line="240" w:lineRule="auto"/>
              <w:rPr>
                <w:rFonts w:ascii="Arial" w:eastAsia="Times New Roman" w:hAnsi="Arial" w:cs="Arial"/>
                <w:b/>
                <w:color w:val="000000"/>
                <w:sz w:val="18"/>
                <w:szCs w:val="18"/>
                <w:lang w:val="es-ES" w:eastAsia="en-US"/>
              </w:rPr>
            </w:pPr>
            <w:r w:rsidRPr="009E7B86">
              <w:rPr>
                <w:rFonts w:ascii="Arial" w:eastAsia="Times New Roman" w:hAnsi="Arial" w:cs="Arial"/>
                <w:b/>
                <w:color w:val="000000"/>
                <w:sz w:val="18"/>
                <w:szCs w:val="18"/>
                <w:lang w:val="es-ES" w:eastAsia="en-US"/>
              </w:rPr>
              <w:t>-15% ventas,</w:t>
            </w:r>
          </w:p>
          <w:p w14:paraId="091CB4E3" w14:textId="77777777" w:rsidR="008233D1" w:rsidRPr="009E7B86" w:rsidRDefault="008233D1" w:rsidP="00E55D99">
            <w:pPr>
              <w:spacing w:after="0" w:line="240" w:lineRule="auto"/>
              <w:rPr>
                <w:rFonts w:ascii="Arial" w:eastAsia="Times New Roman" w:hAnsi="Arial" w:cs="Arial"/>
                <w:b/>
                <w:color w:val="000000"/>
                <w:sz w:val="18"/>
                <w:szCs w:val="18"/>
                <w:lang w:val="es-ES" w:eastAsia="en-US"/>
              </w:rPr>
            </w:pPr>
            <w:r w:rsidRPr="009E7B86">
              <w:rPr>
                <w:rFonts w:ascii="Arial" w:eastAsia="Times New Roman" w:hAnsi="Arial" w:cs="Arial"/>
                <w:b/>
                <w:color w:val="000000"/>
                <w:sz w:val="18"/>
                <w:szCs w:val="18"/>
                <w:lang w:val="es-ES" w:eastAsia="en-US"/>
              </w:rPr>
              <w:t>+10% costos</w:t>
            </w:r>
          </w:p>
        </w:tc>
        <w:tc>
          <w:tcPr>
            <w:tcW w:w="1240" w:type="dxa"/>
            <w:tcBorders>
              <w:top w:val="single" w:sz="4" w:space="0" w:color="auto"/>
            </w:tcBorders>
            <w:shd w:val="clear" w:color="auto" w:fill="auto"/>
            <w:noWrap/>
            <w:vAlign w:val="center"/>
            <w:hideMark/>
          </w:tcPr>
          <w:p w14:paraId="2D541D4A" w14:textId="77777777" w:rsidR="008233D1" w:rsidRPr="009E7B86" w:rsidRDefault="008233D1" w:rsidP="00E55D99">
            <w:pPr>
              <w:spacing w:after="0" w:line="240" w:lineRule="auto"/>
              <w:jc w:val="center"/>
              <w:rPr>
                <w:rFonts w:ascii="Arial" w:eastAsia="Times New Roman" w:hAnsi="Arial" w:cs="Arial"/>
                <w:color w:val="000000"/>
                <w:sz w:val="18"/>
                <w:szCs w:val="18"/>
                <w:lang w:val="es-ES" w:eastAsia="en-US"/>
              </w:rPr>
            </w:pPr>
          </w:p>
        </w:tc>
        <w:tc>
          <w:tcPr>
            <w:tcW w:w="1280" w:type="dxa"/>
            <w:tcBorders>
              <w:top w:val="single" w:sz="4" w:space="0" w:color="auto"/>
            </w:tcBorders>
            <w:shd w:val="clear" w:color="auto" w:fill="auto"/>
            <w:noWrap/>
            <w:vAlign w:val="center"/>
            <w:hideMark/>
          </w:tcPr>
          <w:p w14:paraId="0EF47BE6" w14:textId="77777777" w:rsidR="008233D1" w:rsidRPr="009E7B86" w:rsidRDefault="008233D1" w:rsidP="00E55D99">
            <w:pPr>
              <w:spacing w:after="0" w:line="240" w:lineRule="auto"/>
              <w:jc w:val="center"/>
              <w:rPr>
                <w:rFonts w:ascii="Arial" w:eastAsia="Times New Roman" w:hAnsi="Arial" w:cs="Arial"/>
                <w:sz w:val="18"/>
                <w:szCs w:val="18"/>
                <w:lang w:val="es-ES" w:eastAsia="en-US"/>
              </w:rPr>
            </w:pPr>
          </w:p>
        </w:tc>
        <w:tc>
          <w:tcPr>
            <w:tcW w:w="1320" w:type="dxa"/>
            <w:tcBorders>
              <w:top w:val="single" w:sz="4" w:space="0" w:color="auto"/>
            </w:tcBorders>
            <w:shd w:val="clear" w:color="auto" w:fill="auto"/>
            <w:noWrap/>
            <w:vAlign w:val="center"/>
            <w:hideMark/>
          </w:tcPr>
          <w:p w14:paraId="5441DC21" w14:textId="77777777" w:rsidR="008233D1" w:rsidRPr="009E7B86" w:rsidRDefault="008233D1" w:rsidP="00E55D99">
            <w:pPr>
              <w:spacing w:after="0" w:line="240" w:lineRule="auto"/>
              <w:jc w:val="center"/>
              <w:rPr>
                <w:rFonts w:ascii="Arial" w:eastAsia="Times New Roman" w:hAnsi="Arial" w:cs="Arial"/>
                <w:sz w:val="18"/>
                <w:szCs w:val="18"/>
                <w:lang w:val="es-ES" w:eastAsia="en-US"/>
              </w:rPr>
            </w:pPr>
          </w:p>
        </w:tc>
        <w:tc>
          <w:tcPr>
            <w:tcW w:w="1400" w:type="dxa"/>
            <w:tcBorders>
              <w:top w:val="single" w:sz="4" w:space="0" w:color="auto"/>
            </w:tcBorders>
            <w:shd w:val="clear" w:color="auto" w:fill="auto"/>
            <w:noWrap/>
            <w:vAlign w:val="center"/>
            <w:hideMark/>
          </w:tcPr>
          <w:p w14:paraId="7DA6B2F4" w14:textId="77777777" w:rsidR="008233D1" w:rsidRPr="009E7B86" w:rsidRDefault="008233D1" w:rsidP="00E55D99">
            <w:pPr>
              <w:spacing w:after="0" w:line="240" w:lineRule="auto"/>
              <w:jc w:val="center"/>
              <w:rPr>
                <w:rFonts w:ascii="Arial" w:eastAsia="Times New Roman" w:hAnsi="Arial" w:cs="Arial"/>
                <w:sz w:val="18"/>
                <w:szCs w:val="18"/>
                <w:lang w:val="es-ES" w:eastAsia="en-US"/>
              </w:rPr>
            </w:pPr>
          </w:p>
        </w:tc>
        <w:tc>
          <w:tcPr>
            <w:tcW w:w="1340" w:type="dxa"/>
            <w:tcBorders>
              <w:top w:val="single" w:sz="4" w:space="0" w:color="auto"/>
            </w:tcBorders>
            <w:shd w:val="clear" w:color="auto" w:fill="auto"/>
            <w:noWrap/>
            <w:vAlign w:val="center"/>
            <w:hideMark/>
          </w:tcPr>
          <w:p w14:paraId="7F2C3A17" w14:textId="64130629" w:rsidR="008233D1" w:rsidRPr="009E7B86" w:rsidRDefault="00700249" w:rsidP="00E55D99">
            <w:pPr>
              <w:spacing w:after="0" w:line="240" w:lineRule="auto"/>
              <w:jc w:val="center"/>
              <w:rPr>
                <w:rFonts w:ascii="Arial" w:eastAsia="Times New Roman" w:hAnsi="Arial" w:cs="Arial"/>
                <w:color w:val="000000"/>
                <w:sz w:val="18"/>
                <w:szCs w:val="18"/>
                <w:lang w:val="es-ES" w:eastAsia="en-US"/>
              </w:rPr>
            </w:pPr>
            <w:r>
              <w:rPr>
                <w:rFonts w:ascii="Arial" w:eastAsia="Times New Roman" w:hAnsi="Arial" w:cs="Arial"/>
                <w:color w:val="000000"/>
                <w:sz w:val="18"/>
                <w:szCs w:val="18"/>
                <w:lang w:val="es-ES" w:eastAsia="en-US"/>
              </w:rPr>
              <w:t>1.706.411</w:t>
            </w:r>
          </w:p>
        </w:tc>
      </w:tr>
    </w:tbl>
    <w:p w14:paraId="276AF582" w14:textId="77777777" w:rsidR="008233D1" w:rsidRPr="00A84DC3" w:rsidRDefault="008233D1" w:rsidP="00A84DC3">
      <w:pPr>
        <w:pStyle w:val="Chapter"/>
        <w:spacing w:after="120"/>
        <w:ind w:left="720"/>
        <w:rPr>
          <w:rFonts w:ascii="Arial" w:hAnsi="Arial" w:cs="Arial"/>
          <w:color w:val="000000" w:themeColor="text1"/>
          <w:sz w:val="22"/>
          <w:szCs w:val="22"/>
          <w:lang w:val="es-ES"/>
        </w:rPr>
      </w:pPr>
      <w:bookmarkStart w:id="40" w:name="_Toc492041905"/>
      <w:r w:rsidRPr="00A84DC3">
        <w:rPr>
          <w:rFonts w:ascii="Arial" w:hAnsi="Arial" w:cs="Arial"/>
          <w:color w:val="000000" w:themeColor="text1"/>
          <w:szCs w:val="24"/>
          <w:lang w:val="es-ES"/>
        </w:rPr>
        <w:t>Conclusiones</w:t>
      </w:r>
      <w:bookmarkEnd w:id="36"/>
      <w:bookmarkEnd w:id="37"/>
      <w:bookmarkEnd w:id="40"/>
    </w:p>
    <w:p w14:paraId="4D59498D" w14:textId="6EB82975" w:rsidR="00D17C99" w:rsidRPr="00A84DC3" w:rsidRDefault="008233D1" w:rsidP="009E7B86">
      <w:pPr>
        <w:pStyle w:val="Paragraph"/>
        <w:numPr>
          <w:ilvl w:val="0"/>
          <w:numId w:val="31"/>
        </w:numPr>
        <w:spacing w:after="0"/>
        <w:ind w:left="540" w:hanging="540"/>
        <w:rPr>
          <w:rFonts w:ascii="Arial" w:hAnsi="Arial" w:cs="Arial"/>
          <w:sz w:val="22"/>
          <w:szCs w:val="22"/>
          <w:lang w:val="es-ES"/>
        </w:rPr>
      </w:pPr>
      <w:r w:rsidRPr="00A84DC3">
        <w:rPr>
          <w:rFonts w:ascii="Arial" w:hAnsi="Arial" w:cs="Arial"/>
          <w:sz w:val="22"/>
          <w:szCs w:val="22"/>
          <w:lang w:val="es-ES"/>
        </w:rPr>
        <w:t>Del presente análisis se espera que el programa genere un beneficio neto agregado (valor presente neto agregado total) de US$</w:t>
      </w:r>
      <w:r w:rsidR="00700249">
        <w:rPr>
          <w:rFonts w:ascii="Arial" w:hAnsi="Arial" w:cs="Arial"/>
          <w:sz w:val="22"/>
          <w:szCs w:val="22"/>
          <w:lang w:val="es-ES"/>
        </w:rPr>
        <w:t>70,24</w:t>
      </w:r>
      <w:r w:rsidRPr="00A84DC3">
        <w:rPr>
          <w:rFonts w:ascii="Arial" w:hAnsi="Arial" w:cs="Arial"/>
          <w:sz w:val="22"/>
          <w:szCs w:val="22"/>
          <w:lang w:val="es-ES"/>
        </w:rPr>
        <w:t xml:space="preserve"> millones en el escenario central. El VPN total se mantiene positivo para todos los escenarios contemplados con una amplia variación en los parámetros según las sensibilizaciones detalladas en la sección y cuadros correspondientes. Se recomienda por tanto la realización del programa</w:t>
      </w:r>
      <w:r w:rsidR="005E18C7" w:rsidRPr="00A84DC3">
        <w:rPr>
          <w:rFonts w:ascii="Arial" w:hAnsi="Arial" w:cs="Arial"/>
          <w:sz w:val="22"/>
          <w:szCs w:val="22"/>
          <w:lang w:val="es-ES"/>
        </w:rPr>
        <w:t>.</w:t>
      </w:r>
      <w:bookmarkStart w:id="41" w:name="_Toc389817819"/>
      <w:bookmarkStart w:id="42" w:name="_Toc389817820"/>
      <w:bookmarkStart w:id="43" w:name="_Toc389817821"/>
      <w:bookmarkStart w:id="44" w:name="_Toc389817822"/>
      <w:bookmarkEnd w:id="41"/>
      <w:bookmarkEnd w:id="42"/>
      <w:bookmarkEnd w:id="43"/>
      <w:bookmarkEnd w:id="44"/>
    </w:p>
    <w:p w14:paraId="75679171" w14:textId="77777777" w:rsidR="00087C36" w:rsidRPr="00A84DC3" w:rsidRDefault="00087C36" w:rsidP="00E55D99">
      <w:pPr>
        <w:pStyle w:val="Paragraph"/>
        <w:numPr>
          <w:ilvl w:val="0"/>
          <w:numId w:val="0"/>
        </w:numPr>
        <w:spacing w:after="0"/>
        <w:rPr>
          <w:rFonts w:ascii="Arial" w:hAnsi="Arial" w:cs="Arial"/>
          <w:sz w:val="22"/>
          <w:szCs w:val="22"/>
          <w:lang w:val="es-ES"/>
        </w:rPr>
      </w:pPr>
      <w:r w:rsidRPr="00A84DC3">
        <w:rPr>
          <w:rFonts w:ascii="Arial" w:hAnsi="Arial" w:cs="Arial"/>
          <w:sz w:val="22"/>
          <w:szCs w:val="22"/>
          <w:lang w:val="es-ES"/>
        </w:rPr>
        <w:br w:type="page"/>
      </w:r>
    </w:p>
    <w:p w14:paraId="2143997C" w14:textId="77777777" w:rsidR="00087C36" w:rsidRPr="00A84DC3" w:rsidRDefault="00087C36" w:rsidP="00087C36">
      <w:pPr>
        <w:pStyle w:val="Chapter"/>
        <w:spacing w:before="0"/>
        <w:rPr>
          <w:rFonts w:ascii="Arial" w:hAnsi="Arial" w:cs="Arial"/>
          <w:color w:val="000000" w:themeColor="text1"/>
          <w:sz w:val="22"/>
          <w:szCs w:val="22"/>
          <w:lang w:val="es-ES"/>
        </w:rPr>
      </w:pPr>
      <w:bookmarkStart w:id="45" w:name="_Toc492041906"/>
      <w:r w:rsidRPr="00A84DC3">
        <w:rPr>
          <w:rFonts w:ascii="Arial" w:hAnsi="Arial" w:cs="Arial"/>
          <w:color w:val="000000" w:themeColor="text1"/>
          <w:sz w:val="22"/>
          <w:szCs w:val="22"/>
          <w:lang w:val="es-ES"/>
        </w:rPr>
        <w:lastRenderedPageBreak/>
        <w:t>Anexo I</w:t>
      </w:r>
      <w:bookmarkEnd w:id="45"/>
    </w:p>
    <w:p w14:paraId="3963E039" w14:textId="77777777" w:rsidR="00087C36" w:rsidRPr="00A84DC3" w:rsidRDefault="00087C36" w:rsidP="00087C36">
      <w:pPr>
        <w:rPr>
          <w:rFonts w:ascii="Arial" w:hAnsi="Arial" w:cs="Arial"/>
          <w:lang w:val="es-ES"/>
        </w:rPr>
        <w:sectPr w:rsidR="00087C36" w:rsidRPr="00A84DC3" w:rsidSect="00A84DC3">
          <w:pgSz w:w="12242" w:h="15842" w:code="1"/>
          <w:pgMar w:top="1440" w:right="1800" w:bottom="1440" w:left="1800" w:header="720" w:footer="720" w:gutter="0"/>
          <w:cols w:space="708"/>
          <w:docGrid w:linePitch="360"/>
        </w:sectPr>
      </w:pPr>
      <w:r w:rsidRPr="00A84DC3">
        <w:rPr>
          <w:rFonts w:ascii="Arial" w:hAnsi="Arial" w:cs="Arial"/>
          <w:noProof/>
          <w:lang w:val="en-US" w:eastAsia="en-US"/>
        </w:rPr>
        <w:drawing>
          <wp:inline distT="0" distB="0" distL="0" distR="0" wp14:anchorId="5E342366" wp14:editId="0472D56F">
            <wp:extent cx="5626735" cy="7782560"/>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626735" cy="7782560"/>
                    </a:xfrm>
                    <a:prstGeom prst="rect">
                      <a:avLst/>
                    </a:prstGeom>
                    <a:noFill/>
                    <a:ln w="9525">
                      <a:noFill/>
                      <a:miter lim="800000"/>
                      <a:headEnd/>
                      <a:tailEnd/>
                    </a:ln>
                  </pic:spPr>
                </pic:pic>
              </a:graphicData>
            </a:graphic>
          </wp:inline>
        </w:drawing>
      </w:r>
    </w:p>
    <w:p w14:paraId="479DAAB2" w14:textId="77777777" w:rsidR="00087C36" w:rsidRPr="00A84DC3" w:rsidRDefault="00087C36" w:rsidP="00087C36">
      <w:pPr>
        <w:rPr>
          <w:rFonts w:ascii="Arial" w:hAnsi="Arial" w:cs="Arial"/>
          <w:lang w:val="es-ES"/>
        </w:rPr>
      </w:pPr>
      <w:r w:rsidRPr="00A84DC3">
        <w:rPr>
          <w:rFonts w:ascii="Arial" w:hAnsi="Arial" w:cs="Arial"/>
          <w:noProof/>
          <w:lang w:val="en-US" w:eastAsia="en-US"/>
        </w:rPr>
        <w:lastRenderedPageBreak/>
        <w:drawing>
          <wp:anchor distT="0" distB="0" distL="114300" distR="114300" simplePos="0" relativeHeight="251658240" behindDoc="0" locked="0" layoutInCell="1" allowOverlap="1" wp14:anchorId="00404B56" wp14:editId="721ABCCE">
            <wp:simplePos x="914400" y="914400"/>
            <wp:positionH relativeFrom="margin">
              <wp:align>center</wp:align>
            </wp:positionH>
            <wp:positionV relativeFrom="margin">
              <wp:align>center</wp:align>
            </wp:positionV>
            <wp:extent cx="6840220" cy="4107815"/>
            <wp:effectExtent l="0" t="0" r="0" b="698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840220" cy="4107815"/>
                    </a:xfrm>
                    <a:prstGeom prst="rect">
                      <a:avLst/>
                    </a:prstGeom>
                    <a:noFill/>
                    <a:ln w="9525">
                      <a:noFill/>
                      <a:miter lim="800000"/>
                      <a:headEnd/>
                      <a:tailEnd/>
                    </a:ln>
                  </pic:spPr>
                </pic:pic>
              </a:graphicData>
            </a:graphic>
          </wp:anchor>
        </w:drawing>
      </w:r>
    </w:p>
    <w:p w14:paraId="06AA4D27" w14:textId="77777777" w:rsidR="00087C36" w:rsidRPr="00A84DC3" w:rsidRDefault="00087C36" w:rsidP="00087C36">
      <w:pPr>
        <w:rPr>
          <w:rFonts w:ascii="Arial" w:hAnsi="Arial" w:cs="Arial"/>
          <w:lang w:val="es-ES"/>
        </w:rPr>
      </w:pPr>
    </w:p>
    <w:p w14:paraId="4E5E8684" w14:textId="77777777" w:rsidR="00087C36" w:rsidRPr="00A84DC3" w:rsidRDefault="00087C36" w:rsidP="00E55D99">
      <w:pPr>
        <w:pStyle w:val="Paragraph"/>
        <w:numPr>
          <w:ilvl w:val="0"/>
          <w:numId w:val="0"/>
        </w:numPr>
        <w:spacing w:after="0"/>
        <w:rPr>
          <w:rFonts w:ascii="Arial" w:hAnsi="Arial" w:cs="Arial"/>
          <w:b/>
          <w:sz w:val="22"/>
          <w:szCs w:val="22"/>
          <w:lang w:val="es-ES"/>
        </w:rPr>
      </w:pPr>
    </w:p>
    <w:p w14:paraId="1B5B5C62" w14:textId="77777777" w:rsidR="00087C36" w:rsidRPr="00A84DC3" w:rsidRDefault="00087C36" w:rsidP="00E55D99">
      <w:pPr>
        <w:pStyle w:val="Paragraph"/>
        <w:numPr>
          <w:ilvl w:val="0"/>
          <w:numId w:val="0"/>
        </w:numPr>
        <w:spacing w:after="0"/>
        <w:rPr>
          <w:rFonts w:ascii="Arial" w:hAnsi="Arial" w:cs="Arial"/>
          <w:b/>
          <w:sz w:val="22"/>
          <w:szCs w:val="22"/>
          <w:lang w:val="es-ES"/>
        </w:rPr>
      </w:pPr>
    </w:p>
    <w:p w14:paraId="1AF3DAB2" w14:textId="77777777" w:rsidR="00087C36" w:rsidRPr="0093674E" w:rsidRDefault="00087C36" w:rsidP="00E55D99">
      <w:pPr>
        <w:pStyle w:val="Paragraph"/>
        <w:numPr>
          <w:ilvl w:val="0"/>
          <w:numId w:val="0"/>
        </w:numPr>
        <w:spacing w:after="0"/>
        <w:rPr>
          <w:rFonts w:ascii="Arial" w:hAnsi="Arial" w:cs="Arial"/>
          <w:b/>
          <w:lang w:val="es-ES"/>
        </w:rPr>
      </w:pPr>
      <w:bookmarkStart w:id="46" w:name="_GoBack"/>
      <w:bookmarkEnd w:id="46"/>
    </w:p>
    <w:sectPr w:rsidR="00087C36" w:rsidRPr="0093674E" w:rsidSect="00A84DC3">
      <w:pgSz w:w="15842" w:h="12242" w:orient="landscape" w:code="1"/>
      <w:pgMar w:top="1440" w:right="1800" w:bottom="1440" w:left="1800"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72B13F" w16cid:durableId="1D7E361C"/>
  <w16cid:commentId w16cid:paraId="29F6B909" w16cid:durableId="1D8231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FB6EE" w14:textId="77777777" w:rsidR="001C5F60" w:rsidRDefault="001C5F60" w:rsidP="00F10FC6">
      <w:pPr>
        <w:spacing w:after="0" w:line="240" w:lineRule="auto"/>
      </w:pPr>
      <w:r>
        <w:separator/>
      </w:r>
    </w:p>
  </w:endnote>
  <w:endnote w:type="continuationSeparator" w:id="0">
    <w:p w14:paraId="59346B8E" w14:textId="77777777" w:rsidR="001C5F60" w:rsidRDefault="001C5F60" w:rsidP="00F10FC6">
      <w:pPr>
        <w:spacing w:after="0" w:line="240" w:lineRule="auto"/>
      </w:pPr>
      <w:r>
        <w:continuationSeparator/>
      </w:r>
    </w:p>
  </w:endnote>
  <w:endnote w:type="continuationNotice" w:id="1">
    <w:p w14:paraId="1D10FEEC" w14:textId="77777777" w:rsidR="001C5F60" w:rsidRDefault="001C5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DD23" w14:textId="77777777" w:rsidR="00244828" w:rsidRDefault="00244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9A66" w14:textId="77777777" w:rsidR="00244828" w:rsidRPr="0093252C" w:rsidRDefault="00244828">
    <w:pPr>
      <w:pStyle w:val="Footer"/>
      <w:jc w:val="center"/>
      <w:rPr>
        <w:rFonts w:ascii="Times New Roman" w:hAnsi="Times New Roman" w:cs="Times New Roman"/>
      </w:rPr>
    </w:pPr>
    <w:r w:rsidRPr="0093252C">
      <w:rPr>
        <w:rFonts w:ascii="Times New Roman" w:hAnsi="Times New Roman" w:cs="Times New Roman"/>
      </w:rPr>
      <w:t>-</w:t>
    </w:r>
    <w:sdt>
      <w:sdtPr>
        <w:rPr>
          <w:rFonts w:ascii="Times New Roman" w:hAnsi="Times New Roman" w:cs="Times New Roman"/>
        </w:rPr>
        <w:id w:val="-158847383"/>
        <w:docPartObj>
          <w:docPartGallery w:val="Page Numbers (Bottom of Page)"/>
          <w:docPartUnique/>
        </w:docPartObj>
      </w:sdtPr>
      <w:sdtEndPr>
        <w:rPr>
          <w:noProof/>
        </w:rPr>
      </w:sdtEndPr>
      <w:sdtContent>
        <w:r w:rsidRPr="0093252C">
          <w:rPr>
            <w:rFonts w:ascii="Times New Roman" w:hAnsi="Times New Roman" w:cs="Times New Roman"/>
          </w:rPr>
          <w:fldChar w:fldCharType="begin"/>
        </w:r>
        <w:r w:rsidRPr="0093252C">
          <w:rPr>
            <w:rFonts w:ascii="Times New Roman" w:hAnsi="Times New Roman" w:cs="Times New Roman"/>
          </w:rPr>
          <w:instrText xml:space="preserve"> PAGE   \* MERGEFORMAT </w:instrText>
        </w:r>
        <w:r w:rsidRPr="0093252C">
          <w:rPr>
            <w:rFonts w:ascii="Times New Roman" w:hAnsi="Times New Roman" w:cs="Times New Roman"/>
          </w:rPr>
          <w:fldChar w:fldCharType="separate"/>
        </w:r>
        <w:r>
          <w:rPr>
            <w:rFonts w:ascii="Times New Roman" w:hAnsi="Times New Roman" w:cs="Times New Roman"/>
            <w:noProof/>
          </w:rPr>
          <w:t>2</w:t>
        </w:r>
        <w:r w:rsidRPr="0093252C">
          <w:rPr>
            <w:rFonts w:ascii="Times New Roman" w:hAnsi="Times New Roman" w:cs="Times New Roman"/>
            <w:noProof/>
          </w:rPr>
          <w:fldChar w:fldCharType="end"/>
        </w:r>
        <w:r w:rsidRPr="0093252C">
          <w:rPr>
            <w:rFonts w:ascii="Times New Roman" w:hAnsi="Times New Roman" w:cs="Times New Roman"/>
            <w:noProof/>
          </w:rPr>
          <w:t>-</w:t>
        </w:r>
      </w:sdtContent>
    </w:sdt>
  </w:p>
  <w:p w14:paraId="2E11F49A" w14:textId="77777777" w:rsidR="00244828" w:rsidRDefault="00244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BECD" w14:textId="77777777" w:rsidR="00244828" w:rsidRPr="001D1187" w:rsidRDefault="00244828">
    <w:pPr>
      <w:pStyle w:val="Footer"/>
      <w:jc w:val="center"/>
      <w:rPr>
        <w:rFonts w:ascii="Times New Roman" w:hAnsi="Times New Roman" w:cs="Times New Roman"/>
      </w:rPr>
    </w:pPr>
    <w:r w:rsidRPr="001D1187">
      <w:rPr>
        <w:rFonts w:ascii="Times New Roman" w:hAnsi="Times New Roman" w:cs="Times New Roman"/>
      </w:rPr>
      <w:t>-</w:t>
    </w:r>
    <w:sdt>
      <w:sdtPr>
        <w:rPr>
          <w:rFonts w:ascii="Times New Roman" w:hAnsi="Times New Roman" w:cs="Times New Roman"/>
        </w:rPr>
        <w:id w:val="-763610223"/>
        <w:docPartObj>
          <w:docPartGallery w:val="Page Numbers (Bottom of Page)"/>
          <w:docPartUnique/>
        </w:docPartObj>
      </w:sdtPr>
      <w:sdtEndPr>
        <w:rPr>
          <w:noProof/>
        </w:rPr>
      </w:sdtEndPr>
      <w:sdtContent>
        <w:r w:rsidRPr="001D1187">
          <w:rPr>
            <w:rFonts w:ascii="Times New Roman" w:hAnsi="Times New Roman" w:cs="Times New Roman"/>
          </w:rPr>
          <w:fldChar w:fldCharType="begin"/>
        </w:r>
        <w:r w:rsidRPr="001D1187">
          <w:rPr>
            <w:rFonts w:ascii="Times New Roman" w:hAnsi="Times New Roman" w:cs="Times New Roman"/>
          </w:rPr>
          <w:instrText xml:space="preserve"> PAGE   \* MERGEFORMAT </w:instrText>
        </w:r>
        <w:r w:rsidRPr="001D1187">
          <w:rPr>
            <w:rFonts w:ascii="Times New Roman" w:hAnsi="Times New Roman" w:cs="Times New Roman"/>
          </w:rPr>
          <w:fldChar w:fldCharType="separate"/>
        </w:r>
        <w:r>
          <w:rPr>
            <w:rFonts w:ascii="Times New Roman" w:hAnsi="Times New Roman" w:cs="Times New Roman"/>
            <w:noProof/>
          </w:rPr>
          <w:t>2</w:t>
        </w:r>
        <w:r w:rsidRPr="001D1187">
          <w:rPr>
            <w:rFonts w:ascii="Times New Roman" w:hAnsi="Times New Roman" w:cs="Times New Roman"/>
            <w:noProof/>
          </w:rPr>
          <w:fldChar w:fldCharType="end"/>
        </w:r>
        <w:r w:rsidRPr="001D1187">
          <w:rPr>
            <w:rFonts w:ascii="Times New Roman" w:hAnsi="Times New Roman" w:cs="Times New Roman"/>
            <w:noProof/>
          </w:rPr>
          <w:t>-</w:t>
        </w:r>
      </w:sdtContent>
    </w:sdt>
  </w:p>
  <w:p w14:paraId="441E84AF" w14:textId="77777777" w:rsidR="00244828" w:rsidRDefault="002448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4CA1" w14:textId="77777777" w:rsidR="00244828" w:rsidRDefault="002448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E9B95" w14:textId="779F242D" w:rsidR="00244828" w:rsidRPr="001D1187" w:rsidRDefault="00244828">
    <w:pPr>
      <w:pStyle w:val="Footer"/>
      <w:jc w:val="center"/>
      <w:rPr>
        <w:rFonts w:ascii="Times New Roman" w:hAnsi="Times New Roman" w:cs="Times New Roman"/>
      </w:rPr>
    </w:pPr>
    <w:r w:rsidRPr="001D1187">
      <w:rPr>
        <w:rFonts w:ascii="Times New Roman" w:hAnsi="Times New Roman" w:cs="Times New Roman"/>
      </w:rPr>
      <w:t>-</w:t>
    </w:r>
    <w:sdt>
      <w:sdtPr>
        <w:rPr>
          <w:rFonts w:ascii="Times New Roman" w:hAnsi="Times New Roman" w:cs="Times New Roman"/>
        </w:rPr>
        <w:id w:val="2128046708"/>
        <w:docPartObj>
          <w:docPartGallery w:val="Page Numbers (Bottom of Page)"/>
          <w:docPartUnique/>
        </w:docPartObj>
      </w:sdtPr>
      <w:sdtEndPr>
        <w:rPr>
          <w:noProof/>
        </w:rPr>
      </w:sdtEndPr>
      <w:sdtContent>
        <w:r w:rsidRPr="001D1187">
          <w:rPr>
            <w:rFonts w:ascii="Times New Roman" w:hAnsi="Times New Roman" w:cs="Times New Roman"/>
          </w:rPr>
          <w:fldChar w:fldCharType="begin"/>
        </w:r>
        <w:r w:rsidRPr="001D1187">
          <w:rPr>
            <w:rFonts w:ascii="Times New Roman" w:hAnsi="Times New Roman" w:cs="Times New Roman"/>
          </w:rPr>
          <w:instrText xml:space="preserve"> PAGE   \* MERGEFORMAT </w:instrText>
        </w:r>
        <w:r w:rsidRPr="001D1187">
          <w:rPr>
            <w:rFonts w:ascii="Times New Roman" w:hAnsi="Times New Roman" w:cs="Times New Roman"/>
          </w:rPr>
          <w:fldChar w:fldCharType="separate"/>
        </w:r>
        <w:r w:rsidR="00A22465">
          <w:rPr>
            <w:rFonts w:ascii="Times New Roman" w:hAnsi="Times New Roman" w:cs="Times New Roman"/>
            <w:noProof/>
          </w:rPr>
          <w:t>1</w:t>
        </w:r>
        <w:r w:rsidRPr="001D1187">
          <w:rPr>
            <w:rFonts w:ascii="Times New Roman" w:hAnsi="Times New Roman" w:cs="Times New Roman"/>
            <w:noProof/>
          </w:rPr>
          <w:fldChar w:fldCharType="end"/>
        </w:r>
        <w:r w:rsidRPr="001D1187">
          <w:rPr>
            <w:rFonts w:ascii="Times New Roman" w:hAnsi="Times New Roman" w:cs="Times New Roman"/>
            <w:noProof/>
          </w:rPr>
          <w:t>-</w:t>
        </w:r>
      </w:sdtContent>
    </w:sdt>
  </w:p>
  <w:p w14:paraId="162383DD" w14:textId="77777777" w:rsidR="00244828" w:rsidRDefault="002448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D189" w14:textId="1FA98334" w:rsidR="00244828" w:rsidRPr="008B0024" w:rsidRDefault="00244828">
    <w:pPr>
      <w:pStyle w:val="Footer"/>
      <w:jc w:val="center"/>
      <w:rPr>
        <w:rFonts w:ascii="Arial" w:hAnsi="Arial" w:cs="Arial"/>
        <w:sz w:val="18"/>
      </w:rPr>
    </w:pPr>
    <w:r w:rsidRPr="008B0024">
      <w:rPr>
        <w:rFonts w:ascii="Arial" w:hAnsi="Arial" w:cs="Arial"/>
        <w:sz w:val="18"/>
      </w:rPr>
      <w:t>-</w:t>
    </w:r>
    <w:sdt>
      <w:sdtPr>
        <w:rPr>
          <w:rFonts w:ascii="Arial" w:hAnsi="Arial" w:cs="Arial"/>
          <w:sz w:val="18"/>
        </w:rPr>
        <w:id w:val="1208989848"/>
        <w:docPartObj>
          <w:docPartGallery w:val="Page Numbers (Bottom of Page)"/>
          <w:docPartUnique/>
        </w:docPartObj>
      </w:sdtPr>
      <w:sdtEndPr>
        <w:rPr>
          <w:noProof/>
        </w:rPr>
      </w:sdtEndPr>
      <w:sdtContent>
        <w:r w:rsidRPr="008B0024">
          <w:rPr>
            <w:rFonts w:ascii="Arial" w:hAnsi="Arial" w:cs="Arial"/>
            <w:sz w:val="18"/>
          </w:rPr>
          <w:fldChar w:fldCharType="begin"/>
        </w:r>
        <w:r w:rsidRPr="008B0024">
          <w:rPr>
            <w:rFonts w:ascii="Arial" w:hAnsi="Arial" w:cs="Arial"/>
            <w:sz w:val="18"/>
          </w:rPr>
          <w:instrText xml:space="preserve"> PAGE   \* MERGEFORMAT </w:instrText>
        </w:r>
        <w:r w:rsidRPr="008B0024">
          <w:rPr>
            <w:rFonts w:ascii="Arial" w:hAnsi="Arial" w:cs="Arial"/>
            <w:sz w:val="18"/>
          </w:rPr>
          <w:fldChar w:fldCharType="separate"/>
        </w:r>
        <w:r w:rsidR="00A22465">
          <w:rPr>
            <w:rFonts w:ascii="Arial" w:hAnsi="Arial" w:cs="Arial"/>
            <w:noProof/>
            <w:sz w:val="18"/>
          </w:rPr>
          <w:t>19</w:t>
        </w:r>
        <w:r w:rsidRPr="008B0024">
          <w:rPr>
            <w:rFonts w:ascii="Arial" w:hAnsi="Arial" w:cs="Arial"/>
            <w:noProof/>
            <w:sz w:val="18"/>
          </w:rPr>
          <w:fldChar w:fldCharType="end"/>
        </w:r>
        <w:r w:rsidRPr="008B0024">
          <w:rPr>
            <w:rFonts w:ascii="Arial" w:hAnsi="Arial" w:cs="Arial"/>
            <w:noProof/>
            <w:sz w:val="1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47D9" w14:textId="77777777" w:rsidR="001C5F60" w:rsidRDefault="001C5F60" w:rsidP="00F10FC6">
      <w:pPr>
        <w:spacing w:after="0" w:line="240" w:lineRule="auto"/>
      </w:pPr>
      <w:r>
        <w:separator/>
      </w:r>
    </w:p>
  </w:footnote>
  <w:footnote w:type="continuationSeparator" w:id="0">
    <w:p w14:paraId="5BEB4635" w14:textId="77777777" w:rsidR="001C5F60" w:rsidRDefault="001C5F60" w:rsidP="00F10FC6">
      <w:pPr>
        <w:spacing w:after="0" w:line="240" w:lineRule="auto"/>
      </w:pPr>
      <w:r>
        <w:continuationSeparator/>
      </w:r>
    </w:p>
  </w:footnote>
  <w:footnote w:type="continuationNotice" w:id="1">
    <w:p w14:paraId="2313893B" w14:textId="77777777" w:rsidR="001C5F60" w:rsidRDefault="001C5F60">
      <w:pPr>
        <w:spacing w:after="0" w:line="240" w:lineRule="auto"/>
      </w:pPr>
    </w:p>
  </w:footnote>
  <w:footnote w:id="2">
    <w:p w14:paraId="18198FE5" w14:textId="77777777" w:rsidR="00244828" w:rsidRPr="00A84DC3" w:rsidRDefault="00244828" w:rsidP="00A84DC3">
      <w:pPr>
        <w:pStyle w:val="FootnoteText"/>
        <w:tabs>
          <w:tab w:val="left" w:pos="270"/>
        </w:tabs>
        <w:spacing w:after="0"/>
        <w:ind w:left="274" w:hanging="274"/>
        <w:rPr>
          <w:rFonts w:ascii="Arial" w:hAnsi="Arial" w:cs="Arial"/>
          <w:sz w:val="18"/>
          <w:szCs w:val="18"/>
          <w:lang w:val="es-ES_tradnl"/>
        </w:rPr>
      </w:pPr>
      <w:r w:rsidRPr="00A84DC3">
        <w:rPr>
          <w:rStyle w:val="FootnoteReference"/>
          <w:rFonts w:ascii="Arial" w:hAnsi="Arial" w:cs="Arial"/>
          <w:sz w:val="18"/>
          <w:szCs w:val="18"/>
        </w:rPr>
        <w:footnoteRef/>
      </w:r>
      <w:r w:rsidRPr="00A84DC3">
        <w:rPr>
          <w:rFonts w:ascii="Arial" w:hAnsi="Arial" w:cs="Arial"/>
          <w:sz w:val="18"/>
          <w:szCs w:val="18"/>
          <w:lang w:val="es-ES_tradnl"/>
        </w:rPr>
        <w:t xml:space="preserve"> </w:t>
      </w:r>
      <w:r>
        <w:rPr>
          <w:rFonts w:ascii="Arial" w:hAnsi="Arial" w:cs="Arial"/>
          <w:sz w:val="18"/>
          <w:szCs w:val="18"/>
          <w:lang w:val="es-ES_tradnl"/>
        </w:rPr>
        <w:tab/>
      </w:r>
      <w:r w:rsidRPr="00A84DC3">
        <w:rPr>
          <w:rFonts w:ascii="Arial" w:hAnsi="Arial" w:cs="Arial"/>
          <w:sz w:val="18"/>
          <w:szCs w:val="18"/>
          <w:lang w:val="es-ES"/>
        </w:rPr>
        <w:t xml:space="preserve">Comité Intergubernamental Coordinador de los Países de la Cuenca del Plata: “La Cuenca del Plata: Población y Economía”, disponible en: </w:t>
      </w:r>
      <w:hyperlink r:id="rId1" w:history="1">
        <w:r w:rsidRPr="00A84DC3">
          <w:rPr>
            <w:rStyle w:val="Hyperlink"/>
            <w:rFonts w:ascii="Arial" w:hAnsi="Arial" w:cs="Arial"/>
            <w:sz w:val="18"/>
            <w:szCs w:val="18"/>
            <w:lang w:val="es-ES_tradnl"/>
          </w:rPr>
          <w:t>https://goo.gl/miVEeO</w:t>
        </w:r>
      </w:hyperlink>
      <w:r>
        <w:rPr>
          <w:rStyle w:val="Hyperlink"/>
          <w:rFonts w:ascii="Arial" w:hAnsi="Arial" w:cs="Arial"/>
          <w:sz w:val="18"/>
          <w:szCs w:val="18"/>
          <w:lang w:val="es-ES_tradnl"/>
        </w:rPr>
        <w:t>.</w:t>
      </w:r>
    </w:p>
  </w:footnote>
  <w:footnote w:id="3">
    <w:p w14:paraId="27B204A2" w14:textId="77777777" w:rsidR="00244828" w:rsidRPr="00A84DC3" w:rsidRDefault="00244828" w:rsidP="00A84DC3">
      <w:pPr>
        <w:pStyle w:val="FootnoteText"/>
        <w:tabs>
          <w:tab w:val="left" w:pos="270"/>
        </w:tabs>
        <w:spacing w:after="0"/>
        <w:ind w:left="274" w:hanging="274"/>
        <w:rPr>
          <w:rFonts w:ascii="Arial" w:hAnsi="Arial" w:cs="Arial"/>
          <w:sz w:val="18"/>
          <w:szCs w:val="18"/>
          <w:lang w:val="es-ES_tradnl"/>
        </w:rPr>
      </w:pPr>
      <w:r w:rsidRPr="00A84DC3">
        <w:rPr>
          <w:rStyle w:val="FootnoteReference"/>
          <w:rFonts w:ascii="Arial" w:hAnsi="Arial" w:cs="Arial"/>
          <w:sz w:val="18"/>
          <w:szCs w:val="18"/>
        </w:rPr>
        <w:footnoteRef/>
      </w:r>
      <w:r w:rsidRPr="00A84DC3">
        <w:rPr>
          <w:rFonts w:ascii="Arial" w:hAnsi="Arial" w:cs="Arial"/>
          <w:sz w:val="18"/>
          <w:szCs w:val="18"/>
          <w:lang w:val="es-ES_tradnl"/>
        </w:rPr>
        <w:t xml:space="preserve"> </w:t>
      </w:r>
      <w:r>
        <w:rPr>
          <w:rFonts w:ascii="Arial" w:hAnsi="Arial" w:cs="Arial"/>
          <w:sz w:val="18"/>
          <w:szCs w:val="18"/>
          <w:lang w:val="es-ES_tradnl"/>
        </w:rPr>
        <w:tab/>
      </w:r>
      <w:r w:rsidRPr="00A84DC3">
        <w:rPr>
          <w:rFonts w:ascii="Arial" w:hAnsi="Arial" w:cs="Arial"/>
          <w:sz w:val="18"/>
          <w:szCs w:val="18"/>
          <w:lang w:val="es-ES"/>
        </w:rPr>
        <w:t>IBID.</w:t>
      </w:r>
    </w:p>
  </w:footnote>
  <w:footnote w:id="4">
    <w:p w14:paraId="7368766B" w14:textId="77777777" w:rsidR="00244828" w:rsidRPr="00AC4DB3" w:rsidRDefault="00244828" w:rsidP="00A84DC3">
      <w:pPr>
        <w:pStyle w:val="FootnoteText"/>
        <w:tabs>
          <w:tab w:val="left" w:pos="270"/>
        </w:tabs>
        <w:spacing w:after="0"/>
        <w:ind w:left="274" w:hanging="274"/>
        <w:rPr>
          <w:rFonts w:ascii="Arial" w:hAnsi="Arial" w:cs="Arial"/>
          <w:sz w:val="18"/>
          <w:szCs w:val="18"/>
          <w:lang w:val="es-ES_tradnl"/>
        </w:rPr>
      </w:pPr>
      <w:r w:rsidRPr="00A84DC3">
        <w:rPr>
          <w:rStyle w:val="FootnoteReference"/>
          <w:rFonts w:ascii="Arial" w:hAnsi="Arial" w:cs="Arial"/>
          <w:sz w:val="18"/>
          <w:szCs w:val="18"/>
        </w:rPr>
        <w:footnoteRef/>
      </w:r>
      <w:r w:rsidRPr="00A84DC3">
        <w:rPr>
          <w:rFonts w:ascii="Arial" w:hAnsi="Arial" w:cs="Arial"/>
          <w:sz w:val="18"/>
          <w:szCs w:val="18"/>
          <w:lang w:val="es-ES_tradnl"/>
        </w:rPr>
        <w:t xml:space="preserve"> </w:t>
      </w:r>
      <w:r>
        <w:rPr>
          <w:rFonts w:ascii="Arial" w:hAnsi="Arial" w:cs="Arial"/>
          <w:sz w:val="18"/>
          <w:szCs w:val="18"/>
          <w:lang w:val="es-ES_tradnl"/>
        </w:rPr>
        <w:tab/>
      </w:r>
      <w:r w:rsidRPr="00A84DC3">
        <w:rPr>
          <w:rFonts w:ascii="Arial" w:hAnsi="Arial" w:cs="Arial"/>
          <w:sz w:val="18"/>
          <w:szCs w:val="18"/>
          <w:lang w:val="es-ES_tradnl"/>
        </w:rPr>
        <w:t xml:space="preserve">LPI </w:t>
      </w:r>
      <w:r w:rsidRPr="00A84DC3">
        <w:rPr>
          <w:rFonts w:ascii="Arial" w:hAnsi="Arial" w:cs="Arial"/>
          <w:sz w:val="18"/>
          <w:szCs w:val="18"/>
          <w:lang w:val="es-ES"/>
        </w:rPr>
        <w:t>es</w:t>
      </w:r>
      <w:r w:rsidRPr="00A84DC3">
        <w:rPr>
          <w:rFonts w:ascii="Arial" w:hAnsi="Arial" w:cs="Arial"/>
          <w:sz w:val="18"/>
          <w:szCs w:val="18"/>
          <w:lang w:val="es-ES_tradnl"/>
        </w:rPr>
        <w:t xml:space="preserve"> un índice que combina información cuantitativa y cualitativa, construido en base a encuestas globales realizadas a </w:t>
      </w:r>
      <w:r w:rsidRPr="00A84DC3">
        <w:rPr>
          <w:rFonts w:ascii="Arial" w:hAnsi="Arial" w:cs="Arial"/>
          <w:sz w:val="18"/>
          <w:szCs w:val="18"/>
          <w:lang w:val="es-ES"/>
        </w:rPr>
        <w:t>operadores</w:t>
      </w:r>
      <w:r w:rsidRPr="00A84DC3">
        <w:rPr>
          <w:rFonts w:ascii="Arial" w:hAnsi="Arial" w:cs="Arial"/>
          <w:sz w:val="18"/>
          <w:szCs w:val="18"/>
          <w:lang w:val="es-ES_tradnl"/>
        </w:rPr>
        <w:t xml:space="preserve"> expertos, y mide el desempeño a lo largo de las cadenas de abastecimiento logístico dentro de cada país.</w:t>
      </w:r>
    </w:p>
  </w:footnote>
  <w:footnote w:id="5">
    <w:p w14:paraId="0993D039" w14:textId="77777777" w:rsidR="00244828" w:rsidRPr="00A84DC3" w:rsidRDefault="00244828" w:rsidP="00A84DC3">
      <w:pPr>
        <w:pStyle w:val="FootnoteText"/>
        <w:tabs>
          <w:tab w:val="left" w:pos="90"/>
        </w:tabs>
        <w:spacing w:after="0"/>
        <w:ind w:left="187" w:hanging="187"/>
        <w:rPr>
          <w:rFonts w:ascii="Arial" w:hAnsi="Arial" w:cs="Arial"/>
          <w:sz w:val="18"/>
          <w:szCs w:val="18"/>
          <w:lang w:val="es-ES_tradnl"/>
        </w:rPr>
      </w:pPr>
      <w:r w:rsidRPr="00A84DC3">
        <w:rPr>
          <w:rStyle w:val="FootnoteReference"/>
          <w:rFonts w:ascii="Arial" w:hAnsi="Arial" w:cs="Arial"/>
          <w:sz w:val="18"/>
          <w:szCs w:val="18"/>
        </w:rPr>
        <w:footnoteRef/>
      </w:r>
      <w:r w:rsidRPr="00A84DC3">
        <w:rPr>
          <w:rFonts w:ascii="Arial" w:hAnsi="Arial" w:cs="Arial"/>
          <w:sz w:val="18"/>
          <w:szCs w:val="18"/>
          <w:lang w:val="es-ES_tradnl"/>
        </w:rPr>
        <w:t xml:space="preserve"> </w:t>
      </w:r>
      <w:r>
        <w:rPr>
          <w:rFonts w:ascii="Arial" w:hAnsi="Arial" w:cs="Arial"/>
          <w:sz w:val="18"/>
          <w:szCs w:val="18"/>
          <w:lang w:val="es-ES_tradnl"/>
        </w:rPr>
        <w:tab/>
      </w:r>
      <w:r w:rsidRPr="00A84DC3">
        <w:rPr>
          <w:rFonts w:ascii="Arial" w:hAnsi="Arial" w:cs="Arial"/>
          <w:sz w:val="18"/>
          <w:szCs w:val="18"/>
          <w:lang w:val="es-ES_tradnl"/>
        </w:rPr>
        <w:t xml:space="preserve">Sistema Económico de Latinoamérica y el Caribe (SELA): </w:t>
      </w:r>
      <w:r w:rsidRPr="00A84DC3">
        <w:rPr>
          <w:rFonts w:ascii="Arial" w:hAnsi="Arial" w:cs="Arial"/>
          <w:i/>
          <w:sz w:val="18"/>
          <w:szCs w:val="18"/>
          <w:lang w:val="es-ES_tradnl"/>
        </w:rPr>
        <w:t>La Integración Fronteriza en el Marco del Proceso de Convergencia de América Latina</w:t>
      </w:r>
      <w:r w:rsidRPr="00A84DC3">
        <w:rPr>
          <w:rFonts w:ascii="Arial" w:hAnsi="Arial" w:cs="Arial"/>
          <w:sz w:val="18"/>
          <w:szCs w:val="18"/>
          <w:lang w:val="es-ES_tradnl"/>
        </w:rPr>
        <w:t xml:space="preserve">, 2012. Disponible en: </w:t>
      </w:r>
      <w:hyperlink r:id="rId2" w:history="1">
        <w:r w:rsidRPr="00A84DC3">
          <w:rPr>
            <w:rStyle w:val="Hyperlink"/>
            <w:rFonts w:ascii="Arial" w:hAnsi="Arial" w:cs="Arial"/>
            <w:sz w:val="18"/>
            <w:szCs w:val="18"/>
            <w:lang w:val="es-ES_tradnl"/>
          </w:rPr>
          <w:t>http://goo.gl/FoHBU8</w:t>
        </w:r>
      </w:hyperlink>
      <w:r>
        <w:rPr>
          <w:rFonts w:ascii="Arial" w:hAnsi="Arial" w:cs="Arial"/>
          <w:sz w:val="18"/>
          <w:szCs w:val="18"/>
          <w:lang w:val="es-ES_tradnl"/>
        </w:rPr>
        <w:t>.</w:t>
      </w:r>
    </w:p>
  </w:footnote>
  <w:footnote w:id="6">
    <w:p w14:paraId="06A7DD2C" w14:textId="77777777" w:rsidR="00244828" w:rsidRPr="00A84DC3" w:rsidRDefault="00244828" w:rsidP="00A84DC3">
      <w:pPr>
        <w:pStyle w:val="FootnoteText"/>
        <w:tabs>
          <w:tab w:val="left" w:pos="90"/>
        </w:tabs>
        <w:spacing w:after="0"/>
        <w:ind w:left="187" w:hanging="187"/>
        <w:rPr>
          <w:rFonts w:ascii="Arial" w:hAnsi="Arial" w:cs="Arial"/>
          <w:sz w:val="18"/>
          <w:szCs w:val="18"/>
        </w:rPr>
      </w:pPr>
      <w:r w:rsidRPr="00A84DC3">
        <w:rPr>
          <w:rStyle w:val="FootnoteReference"/>
          <w:rFonts w:ascii="Arial" w:hAnsi="Arial" w:cs="Arial"/>
          <w:sz w:val="18"/>
          <w:szCs w:val="18"/>
        </w:rPr>
        <w:footnoteRef/>
      </w:r>
      <w:r w:rsidRPr="00A84DC3">
        <w:rPr>
          <w:rFonts w:ascii="Arial" w:hAnsi="Arial" w:cs="Arial"/>
          <w:sz w:val="18"/>
          <w:szCs w:val="18"/>
          <w:lang w:val="es-ES_tradnl"/>
        </w:rPr>
        <w:t xml:space="preserve"> </w:t>
      </w:r>
      <w:r>
        <w:rPr>
          <w:rFonts w:ascii="Arial" w:hAnsi="Arial" w:cs="Arial"/>
          <w:sz w:val="18"/>
          <w:szCs w:val="18"/>
          <w:lang w:val="es-ES_tradnl"/>
        </w:rPr>
        <w:tab/>
      </w:r>
      <w:r w:rsidRPr="00A84DC3">
        <w:rPr>
          <w:rFonts w:ascii="Arial" w:hAnsi="Arial" w:cs="Arial"/>
          <w:sz w:val="18"/>
          <w:szCs w:val="18"/>
          <w:lang w:val="es-ES_tradnl"/>
        </w:rPr>
        <w:t xml:space="preserve">Ver, por ejemplo: BID (2013). </w:t>
      </w:r>
      <w:r w:rsidRPr="00244828">
        <w:rPr>
          <w:rFonts w:ascii="Arial" w:hAnsi="Arial" w:cs="Arial"/>
          <w:i/>
          <w:sz w:val="18"/>
          <w:szCs w:val="18"/>
        </w:rPr>
        <w:t>Rethinking Reforms: How Latin America and the Caribbean Can Escape Suppressed World Growth,</w:t>
      </w:r>
      <w:r w:rsidRPr="00244828">
        <w:rPr>
          <w:rFonts w:ascii="Arial" w:hAnsi="Arial" w:cs="Arial"/>
          <w:sz w:val="18"/>
          <w:szCs w:val="18"/>
        </w:rPr>
        <w:t xml:space="preserve"> Informe sobre la Macroeconomía en América Latina y el Caribe, Washington, DC; Bhattacharya, A., Romani, M. y Stern, N. (2012). </w:t>
      </w:r>
      <w:r w:rsidRPr="00A84DC3">
        <w:rPr>
          <w:rFonts w:ascii="Arial" w:hAnsi="Arial" w:cs="Arial"/>
          <w:i/>
          <w:sz w:val="18"/>
          <w:szCs w:val="18"/>
          <w:lang w:val="es-ES_tradnl"/>
        </w:rPr>
        <w:t>Infrastructure for Development: Meeting the Challenge,</w:t>
      </w:r>
      <w:r w:rsidRPr="00A84DC3">
        <w:rPr>
          <w:rFonts w:ascii="Arial" w:hAnsi="Arial" w:cs="Arial"/>
          <w:sz w:val="18"/>
          <w:szCs w:val="18"/>
          <w:lang w:val="es-ES_tradnl"/>
        </w:rPr>
        <w:t xml:space="preserve"> Centro para el Cambio Climático Economía y Política, Londres; Kohli, H. A., y Basil, P. (2010). </w:t>
      </w:r>
      <w:r w:rsidRPr="00A84DC3">
        <w:rPr>
          <w:rFonts w:ascii="Arial" w:hAnsi="Arial" w:cs="Arial"/>
          <w:sz w:val="18"/>
          <w:szCs w:val="18"/>
        </w:rPr>
        <w:t xml:space="preserve">“Requirements for Infrastructure Investment in Latin America under Alternate Growth Scenarios: 2011– 2040.” </w:t>
      </w:r>
      <w:r w:rsidRPr="00A84DC3">
        <w:rPr>
          <w:rFonts w:ascii="Arial" w:hAnsi="Arial" w:cs="Arial"/>
          <w:i/>
          <w:sz w:val="18"/>
          <w:szCs w:val="18"/>
        </w:rPr>
        <w:t>Global Journal of Emerging Market Economies</w:t>
      </w:r>
      <w:r w:rsidRPr="00A84DC3">
        <w:rPr>
          <w:rFonts w:ascii="Arial" w:hAnsi="Arial" w:cs="Arial"/>
          <w:sz w:val="18"/>
          <w:szCs w:val="18"/>
        </w:rPr>
        <w:t>, 3 (1): 59–110.</w:t>
      </w:r>
    </w:p>
  </w:footnote>
  <w:footnote w:id="7">
    <w:p w14:paraId="70DC98E1" w14:textId="77777777" w:rsidR="00244828" w:rsidRPr="004E3DAC" w:rsidRDefault="00244828" w:rsidP="00542CD3">
      <w:pPr>
        <w:pStyle w:val="FootnoteText"/>
        <w:spacing w:after="60"/>
        <w:ind w:left="180" w:hanging="180"/>
        <w:rPr>
          <w:rFonts w:ascii="Arial" w:hAnsi="Arial" w:cs="Arial"/>
          <w:sz w:val="18"/>
          <w:szCs w:val="18"/>
        </w:rPr>
      </w:pPr>
      <w:r w:rsidRPr="00A84DC3">
        <w:rPr>
          <w:rStyle w:val="FootnoteReference"/>
          <w:rFonts w:ascii="Arial" w:hAnsi="Arial" w:cs="Arial"/>
          <w:sz w:val="18"/>
          <w:szCs w:val="18"/>
        </w:rPr>
        <w:footnoteRef/>
      </w:r>
      <w:r w:rsidRPr="00A84DC3">
        <w:rPr>
          <w:rStyle w:val="FootnoteReference"/>
          <w:rFonts w:ascii="Arial" w:hAnsi="Arial" w:cs="Arial"/>
          <w:sz w:val="18"/>
          <w:szCs w:val="18"/>
        </w:rPr>
        <w:t xml:space="preserve"> </w:t>
      </w:r>
      <w:r>
        <w:rPr>
          <w:rFonts w:ascii="Arial" w:hAnsi="Arial" w:cs="Arial"/>
          <w:sz w:val="18"/>
          <w:szCs w:val="18"/>
        </w:rPr>
        <w:tab/>
      </w:r>
      <w:r w:rsidRPr="00A84DC3">
        <w:rPr>
          <w:rStyle w:val="FootnoteReference"/>
          <w:rFonts w:ascii="Arial" w:hAnsi="Arial" w:cs="Arial"/>
          <w:sz w:val="18"/>
          <w:szCs w:val="18"/>
          <w:vertAlign w:val="baseline"/>
        </w:rPr>
        <w:t xml:space="preserve">Ver por ejemplo: Fay, M., y Yepes, T. (2003). </w:t>
      </w:r>
      <w:r w:rsidRPr="00A84DC3">
        <w:rPr>
          <w:rStyle w:val="FootnoteReference"/>
          <w:rFonts w:ascii="Arial" w:hAnsi="Arial" w:cs="Arial"/>
          <w:i/>
          <w:sz w:val="18"/>
          <w:szCs w:val="18"/>
          <w:vertAlign w:val="baseline"/>
        </w:rPr>
        <w:t>Investing in Infrastructure: What Is Needed from 2000 to 2010?</w:t>
      </w:r>
      <w:r w:rsidRPr="00A84DC3">
        <w:rPr>
          <w:rStyle w:val="FootnoteReference"/>
          <w:rFonts w:ascii="Arial" w:hAnsi="Arial" w:cs="Arial"/>
          <w:sz w:val="18"/>
          <w:szCs w:val="18"/>
          <w:vertAlign w:val="baseline"/>
        </w:rPr>
        <w:t xml:space="preserve"> vol. 3102. Washington, DC: Banco Mundial; Calderón, C., y Servén, L. (2003). “The Output Cost of Latin America’s Infrastructure Gap” </w:t>
      </w:r>
      <w:r w:rsidRPr="00A84DC3">
        <w:rPr>
          <w:rFonts w:ascii="Arial" w:hAnsi="Arial" w:cs="Arial"/>
          <w:sz w:val="18"/>
          <w:szCs w:val="18"/>
        </w:rPr>
        <w:t>i</w:t>
      </w:r>
      <w:r w:rsidRPr="00A84DC3">
        <w:rPr>
          <w:rStyle w:val="FootnoteReference"/>
          <w:rFonts w:ascii="Arial" w:hAnsi="Arial" w:cs="Arial"/>
          <w:sz w:val="18"/>
          <w:szCs w:val="18"/>
          <w:vertAlign w:val="baseline"/>
        </w:rPr>
        <w:t xml:space="preserve">n </w:t>
      </w:r>
      <w:r w:rsidRPr="00A84DC3">
        <w:rPr>
          <w:rStyle w:val="FootnoteReference"/>
          <w:rFonts w:ascii="Arial" w:hAnsi="Arial" w:cs="Arial"/>
          <w:i/>
          <w:sz w:val="18"/>
          <w:szCs w:val="18"/>
          <w:vertAlign w:val="baseline"/>
        </w:rPr>
        <w:t>The Limits of Stabilization: Infrastructure, Public Deficits and Growth in Latin America</w:t>
      </w:r>
      <w:r w:rsidRPr="00A84DC3">
        <w:rPr>
          <w:rStyle w:val="FootnoteReference"/>
          <w:rFonts w:ascii="Arial" w:hAnsi="Arial" w:cs="Arial"/>
          <w:sz w:val="18"/>
          <w:szCs w:val="18"/>
          <w:vertAlign w:val="baseline"/>
        </w:rPr>
        <w:t xml:space="preserve">, ed. W. Easterly and L. Servén, 95–118. Stanford, CA: Stanford University Press; Perrotti, D. E., y Sánchez, R. (2011). </w:t>
      </w:r>
      <w:r w:rsidRPr="00A84DC3">
        <w:rPr>
          <w:rStyle w:val="FootnoteReference"/>
          <w:rFonts w:ascii="Arial" w:hAnsi="Arial" w:cs="Arial"/>
          <w:i/>
          <w:sz w:val="18"/>
          <w:szCs w:val="18"/>
          <w:vertAlign w:val="baseline"/>
        </w:rPr>
        <w:t>La brecha de infraestructura en América Latina y el Caribe</w:t>
      </w:r>
      <w:r w:rsidRPr="00A84DC3">
        <w:rPr>
          <w:rFonts w:ascii="Arial" w:hAnsi="Arial" w:cs="Arial"/>
          <w:i/>
          <w:sz w:val="18"/>
          <w:szCs w:val="18"/>
        </w:rPr>
        <w:t>,</w:t>
      </w:r>
      <w:r w:rsidRPr="00A84DC3">
        <w:rPr>
          <w:rStyle w:val="FootnoteReference"/>
          <w:rFonts w:ascii="Arial" w:hAnsi="Arial" w:cs="Arial"/>
          <w:sz w:val="18"/>
          <w:szCs w:val="18"/>
          <w:vertAlign w:val="baseline"/>
        </w:rPr>
        <w:t xml:space="preserve"> Comisión Económica para América Latina y el Caribe (CEPAL). Santiago de Chile, Chile.</w:t>
      </w:r>
    </w:p>
  </w:footnote>
  <w:footnote w:id="8">
    <w:p w14:paraId="59E1DCE8" w14:textId="77777777" w:rsidR="00244828" w:rsidRPr="00A84DC3" w:rsidRDefault="00244828" w:rsidP="00A84DC3">
      <w:pPr>
        <w:pStyle w:val="FootnoteText"/>
        <w:spacing w:after="0"/>
        <w:ind w:left="187" w:hanging="187"/>
        <w:rPr>
          <w:rFonts w:ascii="Arial" w:hAnsi="Arial" w:cs="Arial"/>
          <w:i/>
          <w:sz w:val="18"/>
          <w:szCs w:val="18"/>
        </w:rPr>
      </w:pPr>
      <w:r w:rsidRPr="00A84DC3">
        <w:rPr>
          <w:rStyle w:val="FootnoteReference"/>
          <w:rFonts w:ascii="Arial" w:hAnsi="Arial" w:cs="Arial"/>
          <w:sz w:val="18"/>
          <w:szCs w:val="18"/>
        </w:rPr>
        <w:footnoteRef/>
      </w:r>
      <w:r w:rsidRPr="00A84DC3">
        <w:rPr>
          <w:rFonts w:ascii="Arial" w:hAnsi="Arial" w:cs="Arial"/>
          <w:sz w:val="18"/>
          <w:szCs w:val="18"/>
        </w:rPr>
        <w:t xml:space="preserve"> </w:t>
      </w:r>
      <w:r>
        <w:rPr>
          <w:rFonts w:ascii="Arial" w:hAnsi="Arial" w:cs="Arial"/>
          <w:sz w:val="18"/>
          <w:szCs w:val="18"/>
        </w:rPr>
        <w:tab/>
      </w:r>
      <w:r w:rsidRPr="00A84DC3">
        <w:rPr>
          <w:rFonts w:ascii="Arial" w:hAnsi="Arial" w:cs="Arial"/>
          <w:sz w:val="18"/>
          <w:szCs w:val="18"/>
        </w:rPr>
        <w:t xml:space="preserve">BID: </w:t>
      </w:r>
      <w:r w:rsidRPr="00A84DC3">
        <w:rPr>
          <w:rFonts w:ascii="Arial" w:hAnsi="Arial" w:cs="Arial"/>
          <w:i/>
          <w:sz w:val="18"/>
          <w:szCs w:val="18"/>
        </w:rPr>
        <w:t>Investing in integration: the returns from Software- Hardware Complementarities,</w:t>
      </w:r>
      <w:r w:rsidRPr="00A84DC3">
        <w:rPr>
          <w:rFonts w:ascii="Arial" w:hAnsi="Arial" w:cs="Arial"/>
          <w:sz w:val="18"/>
          <w:szCs w:val="18"/>
        </w:rPr>
        <w:t xml:space="preserve"> </w:t>
      </w:r>
      <w:r w:rsidRPr="00A84DC3">
        <w:rPr>
          <w:rFonts w:ascii="Arial" w:hAnsi="Arial" w:cs="Arial"/>
          <w:i/>
          <w:sz w:val="18"/>
          <w:szCs w:val="18"/>
        </w:rPr>
        <w:t xml:space="preserve">Policy Brief No IDB – PB 161 (2011), Washington DC, Inter-American Development Bank. </w:t>
      </w:r>
    </w:p>
  </w:footnote>
  <w:footnote w:id="9">
    <w:p w14:paraId="48E4A325" w14:textId="77777777" w:rsidR="00244828" w:rsidRPr="00A84DC3" w:rsidRDefault="00244828" w:rsidP="00A84DC3">
      <w:pPr>
        <w:pStyle w:val="FootnoteText"/>
        <w:spacing w:after="0"/>
        <w:ind w:left="187" w:hanging="187"/>
        <w:rPr>
          <w:rFonts w:ascii="Arial" w:hAnsi="Arial" w:cs="Arial"/>
          <w:sz w:val="18"/>
          <w:szCs w:val="18"/>
          <w:lang w:val="es-ES_tradnl"/>
        </w:rPr>
      </w:pPr>
      <w:r w:rsidRPr="00A84DC3">
        <w:rPr>
          <w:rStyle w:val="FootnoteReference"/>
          <w:rFonts w:ascii="Arial" w:hAnsi="Arial" w:cs="Arial"/>
          <w:sz w:val="18"/>
          <w:szCs w:val="18"/>
        </w:rPr>
        <w:footnoteRef/>
      </w:r>
      <w:r w:rsidRPr="00A84DC3">
        <w:rPr>
          <w:rFonts w:ascii="Arial" w:hAnsi="Arial" w:cs="Arial"/>
          <w:sz w:val="18"/>
          <w:szCs w:val="18"/>
          <w:lang w:val="es-ES_tradnl"/>
        </w:rPr>
        <w:t xml:space="preserve"> </w:t>
      </w:r>
      <w:r>
        <w:rPr>
          <w:rFonts w:ascii="Arial" w:hAnsi="Arial" w:cs="Arial"/>
          <w:sz w:val="18"/>
          <w:szCs w:val="18"/>
          <w:lang w:val="es-ES_tradnl"/>
        </w:rPr>
        <w:tab/>
      </w:r>
      <w:r w:rsidRPr="00A84DC3">
        <w:rPr>
          <w:rFonts w:ascii="Arial" w:hAnsi="Arial" w:cs="Arial"/>
          <w:sz w:val="18"/>
          <w:szCs w:val="18"/>
          <w:lang w:val="es-ES_tradnl"/>
        </w:rPr>
        <w:t xml:space="preserve">El modelo comprende un horizonte de tiempo de 10 años en el que se evalúan tres intervenciones de software y una de hardware. Las primeras son: </w:t>
      </w:r>
      <w:r>
        <w:rPr>
          <w:rFonts w:ascii="Arial" w:hAnsi="Arial" w:cs="Arial"/>
          <w:sz w:val="18"/>
          <w:szCs w:val="18"/>
          <w:lang w:val="es-ES_tradnl"/>
        </w:rPr>
        <w:t>(</w:t>
      </w:r>
      <w:r w:rsidRPr="00A84DC3">
        <w:rPr>
          <w:rFonts w:ascii="Arial" w:hAnsi="Arial" w:cs="Arial"/>
          <w:sz w:val="18"/>
          <w:szCs w:val="18"/>
          <w:lang w:val="es-ES_tradnl"/>
        </w:rPr>
        <w:t>i</w:t>
      </w:r>
      <w:r>
        <w:rPr>
          <w:rFonts w:ascii="Arial" w:hAnsi="Arial" w:cs="Arial"/>
          <w:sz w:val="18"/>
          <w:szCs w:val="18"/>
          <w:lang w:val="es-ES_tradnl"/>
        </w:rPr>
        <w:t>) l</w:t>
      </w:r>
      <w:r w:rsidRPr="00A84DC3">
        <w:rPr>
          <w:rFonts w:ascii="Arial" w:hAnsi="Arial" w:cs="Arial"/>
          <w:sz w:val="18"/>
          <w:szCs w:val="18"/>
          <w:lang w:val="es-ES_tradnl"/>
        </w:rPr>
        <w:t>iberalización de aranceles</w:t>
      </w:r>
      <w:r>
        <w:rPr>
          <w:rFonts w:ascii="Arial" w:hAnsi="Arial" w:cs="Arial"/>
          <w:sz w:val="18"/>
          <w:szCs w:val="18"/>
          <w:lang w:val="es-ES_tradnl"/>
        </w:rPr>
        <w:t>;</w:t>
      </w:r>
      <w:r w:rsidRPr="00A84DC3">
        <w:rPr>
          <w:rFonts w:ascii="Arial" w:hAnsi="Arial" w:cs="Arial"/>
          <w:sz w:val="18"/>
          <w:szCs w:val="18"/>
          <w:lang w:val="es-ES_tradnl"/>
        </w:rPr>
        <w:t xml:space="preserve"> </w:t>
      </w:r>
      <w:r>
        <w:rPr>
          <w:rFonts w:ascii="Arial" w:hAnsi="Arial" w:cs="Arial"/>
          <w:sz w:val="18"/>
          <w:szCs w:val="18"/>
          <w:lang w:val="es-ES_tradnl"/>
        </w:rPr>
        <w:t>(</w:t>
      </w:r>
      <w:r w:rsidRPr="00A84DC3">
        <w:rPr>
          <w:rFonts w:ascii="Arial" w:hAnsi="Arial" w:cs="Arial"/>
          <w:sz w:val="18"/>
          <w:szCs w:val="18"/>
          <w:lang w:val="es-ES_tradnl"/>
        </w:rPr>
        <w:t>ii</w:t>
      </w:r>
      <w:r>
        <w:rPr>
          <w:rFonts w:ascii="Arial" w:hAnsi="Arial" w:cs="Arial"/>
          <w:sz w:val="18"/>
          <w:szCs w:val="18"/>
          <w:lang w:val="es-ES_tradnl"/>
        </w:rPr>
        <w:t>)</w:t>
      </w:r>
      <w:r w:rsidRPr="00A84DC3">
        <w:rPr>
          <w:rFonts w:ascii="Arial" w:hAnsi="Arial" w:cs="Arial"/>
          <w:sz w:val="18"/>
          <w:szCs w:val="18"/>
          <w:lang w:val="es-ES_tradnl"/>
        </w:rPr>
        <w:t xml:space="preserve"> </w:t>
      </w:r>
      <w:r>
        <w:rPr>
          <w:rFonts w:ascii="Arial" w:hAnsi="Arial" w:cs="Arial"/>
          <w:sz w:val="18"/>
          <w:szCs w:val="18"/>
          <w:lang w:val="es-ES_tradnl"/>
        </w:rPr>
        <w:t>r</w:t>
      </w:r>
      <w:r w:rsidRPr="00A84DC3">
        <w:rPr>
          <w:rFonts w:ascii="Arial" w:hAnsi="Arial" w:cs="Arial"/>
          <w:sz w:val="18"/>
          <w:szCs w:val="18"/>
          <w:lang w:val="es-ES_tradnl"/>
        </w:rPr>
        <w:t>educción de costos de transporte en 2%</w:t>
      </w:r>
      <w:r>
        <w:rPr>
          <w:rFonts w:ascii="Arial" w:hAnsi="Arial" w:cs="Arial"/>
          <w:sz w:val="18"/>
          <w:szCs w:val="18"/>
          <w:lang w:val="es-ES_tradnl"/>
        </w:rPr>
        <w:t>; y (</w:t>
      </w:r>
      <w:r w:rsidRPr="00A84DC3">
        <w:rPr>
          <w:rFonts w:ascii="Arial" w:hAnsi="Arial" w:cs="Arial"/>
          <w:sz w:val="18"/>
          <w:szCs w:val="18"/>
          <w:lang w:val="es-ES_tradnl"/>
        </w:rPr>
        <w:t>iii</w:t>
      </w:r>
      <w:r>
        <w:rPr>
          <w:rFonts w:ascii="Arial" w:hAnsi="Arial" w:cs="Arial"/>
          <w:sz w:val="18"/>
          <w:szCs w:val="18"/>
          <w:lang w:val="es-ES_tradnl"/>
        </w:rPr>
        <w:t>) r</w:t>
      </w:r>
      <w:r w:rsidRPr="00A84DC3">
        <w:rPr>
          <w:rFonts w:ascii="Arial" w:hAnsi="Arial" w:cs="Arial"/>
          <w:sz w:val="18"/>
          <w:szCs w:val="18"/>
          <w:lang w:val="es-ES_tradnl"/>
        </w:rPr>
        <w:t>educción de las barreras no arancelarias en 30% de manera bilateral. La inversión en el hardware hace referencia a una inversión del 1</w:t>
      </w:r>
      <w:r>
        <w:rPr>
          <w:rFonts w:ascii="Arial" w:hAnsi="Arial" w:cs="Arial"/>
          <w:sz w:val="18"/>
          <w:szCs w:val="18"/>
          <w:lang w:val="es-ES_tradnl"/>
        </w:rPr>
        <w:t>,</w:t>
      </w:r>
      <w:r w:rsidRPr="00A84DC3">
        <w:rPr>
          <w:rFonts w:ascii="Arial" w:hAnsi="Arial" w:cs="Arial"/>
          <w:sz w:val="18"/>
          <w:szCs w:val="18"/>
          <w:lang w:val="es-ES_tradnl"/>
        </w:rPr>
        <w:t xml:space="preserve">1% del Producto Interno Bruto (PIB) en mantenimiento y desarrollo de infraestructura de transporte para integración. </w:t>
      </w:r>
    </w:p>
  </w:footnote>
  <w:footnote w:id="10">
    <w:p w14:paraId="0653ADBE" w14:textId="77777777" w:rsidR="00244828" w:rsidRPr="00244828" w:rsidRDefault="00244828" w:rsidP="00A84DC3">
      <w:pPr>
        <w:pStyle w:val="FootnoteText"/>
        <w:spacing w:after="0"/>
        <w:ind w:left="187" w:hanging="187"/>
        <w:rPr>
          <w:rFonts w:ascii="Arial" w:hAnsi="Arial" w:cs="Arial"/>
          <w:sz w:val="18"/>
          <w:szCs w:val="18"/>
        </w:rPr>
      </w:pPr>
      <w:r w:rsidRPr="00A84DC3">
        <w:rPr>
          <w:rStyle w:val="FootnoteReference"/>
          <w:rFonts w:ascii="Arial" w:hAnsi="Arial" w:cs="Arial"/>
          <w:sz w:val="18"/>
          <w:szCs w:val="18"/>
          <w:lang w:val="es-ES"/>
        </w:rPr>
        <w:footnoteRef/>
      </w:r>
      <w:r w:rsidRPr="00A84DC3">
        <w:rPr>
          <w:rFonts w:ascii="Arial" w:hAnsi="Arial" w:cs="Arial"/>
          <w:sz w:val="18"/>
          <w:szCs w:val="18"/>
          <w:lang w:val="es-ES"/>
        </w:rPr>
        <w:t xml:space="preserve"> </w:t>
      </w:r>
      <w:r>
        <w:rPr>
          <w:rFonts w:ascii="Arial" w:hAnsi="Arial" w:cs="Arial"/>
          <w:sz w:val="18"/>
          <w:szCs w:val="18"/>
          <w:lang w:val="es-ES"/>
        </w:rPr>
        <w:tab/>
      </w:r>
      <w:r w:rsidRPr="00A84DC3">
        <w:rPr>
          <w:rFonts w:ascii="Arial" w:hAnsi="Arial" w:cs="Arial"/>
          <w:sz w:val="18"/>
          <w:szCs w:val="18"/>
          <w:lang w:val="es-ES"/>
        </w:rPr>
        <w:t xml:space="preserve">Instituto Español de Estudios Estratégicos: Las fronteras “porosas” de Sudamérica: ¿líneas divisorias o áreas de cooperación?, 2016. </w:t>
      </w:r>
      <w:r w:rsidRPr="00244828">
        <w:rPr>
          <w:rFonts w:ascii="Arial" w:hAnsi="Arial" w:cs="Arial"/>
          <w:sz w:val="18"/>
          <w:szCs w:val="18"/>
        </w:rPr>
        <w:t xml:space="preserve">Disponible en: </w:t>
      </w:r>
      <w:hyperlink r:id="rId3" w:history="1">
        <w:r w:rsidRPr="00244828">
          <w:rPr>
            <w:rStyle w:val="Hyperlink"/>
            <w:rFonts w:ascii="Arial" w:hAnsi="Arial" w:cs="Arial"/>
            <w:sz w:val="18"/>
            <w:szCs w:val="18"/>
          </w:rPr>
          <w:t>http://goo.gl/9b2EsT</w:t>
        </w:r>
      </w:hyperlink>
      <w:r w:rsidRPr="00244828">
        <w:rPr>
          <w:rFonts w:ascii="Arial" w:hAnsi="Arial" w:cs="Arial"/>
          <w:sz w:val="18"/>
          <w:szCs w:val="18"/>
        </w:rPr>
        <w:t xml:space="preserve">.  </w:t>
      </w:r>
    </w:p>
  </w:footnote>
  <w:footnote w:id="11">
    <w:p w14:paraId="533D09B2" w14:textId="77777777" w:rsidR="00244828" w:rsidRPr="00A84DC3" w:rsidRDefault="00244828" w:rsidP="00A84DC3">
      <w:pPr>
        <w:pStyle w:val="FootnoteText"/>
        <w:spacing w:after="0"/>
        <w:ind w:left="270" w:hanging="270"/>
        <w:rPr>
          <w:rFonts w:ascii="Arial" w:hAnsi="Arial" w:cs="Arial"/>
          <w:sz w:val="18"/>
          <w:szCs w:val="18"/>
        </w:rPr>
      </w:pPr>
      <w:r w:rsidRPr="00A84DC3">
        <w:rPr>
          <w:rStyle w:val="FootnoteReference"/>
          <w:rFonts w:ascii="Arial" w:hAnsi="Arial" w:cs="Arial"/>
          <w:sz w:val="18"/>
          <w:szCs w:val="18"/>
        </w:rPr>
        <w:footnoteRef/>
      </w:r>
      <w:r w:rsidRPr="00A84DC3">
        <w:rPr>
          <w:rFonts w:ascii="Arial" w:hAnsi="Arial" w:cs="Arial"/>
          <w:sz w:val="18"/>
          <w:szCs w:val="18"/>
        </w:rPr>
        <w:t xml:space="preserve"> </w:t>
      </w:r>
      <w:r>
        <w:rPr>
          <w:rFonts w:ascii="Arial" w:hAnsi="Arial" w:cs="Arial"/>
          <w:sz w:val="18"/>
          <w:szCs w:val="18"/>
        </w:rPr>
        <w:tab/>
      </w:r>
      <w:r w:rsidRPr="00A84DC3">
        <w:rPr>
          <w:rFonts w:ascii="Arial" w:hAnsi="Arial" w:cs="Arial"/>
          <w:sz w:val="18"/>
          <w:szCs w:val="18"/>
        </w:rPr>
        <w:t>Culiuc, Alexander: “</w:t>
      </w:r>
      <w:r w:rsidRPr="00A84DC3">
        <w:rPr>
          <w:rFonts w:ascii="Arial" w:hAnsi="Arial" w:cs="Arial"/>
          <w:i/>
          <w:sz w:val="18"/>
          <w:szCs w:val="18"/>
        </w:rPr>
        <w:t>Determinants of International Tourism”, International Monetary Fund,</w:t>
      </w:r>
      <w:r w:rsidRPr="00A84DC3">
        <w:rPr>
          <w:rFonts w:ascii="Arial" w:hAnsi="Arial" w:cs="Arial"/>
          <w:sz w:val="18"/>
          <w:szCs w:val="18"/>
        </w:rPr>
        <w:t xml:space="preserve"> 2014. </w:t>
      </w:r>
    </w:p>
  </w:footnote>
  <w:footnote w:id="12">
    <w:p w14:paraId="67A9C9ED" w14:textId="77777777" w:rsidR="00244828" w:rsidRPr="00A84DC3" w:rsidRDefault="00244828" w:rsidP="00A84DC3">
      <w:pPr>
        <w:pStyle w:val="FootnoteText"/>
        <w:spacing w:after="0"/>
        <w:ind w:left="270" w:hanging="270"/>
        <w:rPr>
          <w:rFonts w:ascii="Arial" w:hAnsi="Arial" w:cs="Arial"/>
          <w:sz w:val="18"/>
          <w:szCs w:val="18"/>
        </w:rPr>
      </w:pPr>
      <w:r w:rsidRPr="00A84DC3">
        <w:rPr>
          <w:rStyle w:val="FootnoteReference"/>
          <w:rFonts w:ascii="Arial" w:hAnsi="Arial" w:cs="Arial"/>
          <w:sz w:val="18"/>
          <w:szCs w:val="18"/>
        </w:rPr>
        <w:footnoteRef/>
      </w:r>
      <w:r w:rsidRPr="00A84DC3">
        <w:rPr>
          <w:rFonts w:ascii="Arial" w:hAnsi="Arial" w:cs="Arial"/>
          <w:sz w:val="18"/>
          <w:szCs w:val="18"/>
        </w:rPr>
        <w:t xml:space="preserve"> </w:t>
      </w:r>
      <w:r>
        <w:rPr>
          <w:rFonts w:ascii="Arial" w:hAnsi="Arial" w:cs="Arial"/>
          <w:sz w:val="18"/>
          <w:szCs w:val="18"/>
        </w:rPr>
        <w:tab/>
      </w:r>
      <w:r w:rsidRPr="00A84DC3">
        <w:rPr>
          <w:rFonts w:ascii="Arial" w:hAnsi="Arial" w:cs="Arial"/>
          <w:sz w:val="18"/>
          <w:szCs w:val="18"/>
        </w:rPr>
        <w:t xml:space="preserve">LRDP LTD., (2003), </w:t>
      </w:r>
      <w:r w:rsidRPr="00A84DC3">
        <w:rPr>
          <w:rFonts w:ascii="Arial" w:hAnsi="Arial" w:cs="Arial"/>
          <w:i/>
          <w:sz w:val="18"/>
          <w:szCs w:val="18"/>
        </w:rPr>
        <w:t>Ex-Post Evaluation of the INTERREG II Community Initiative (1994- 99). Brief report, London, UK.</w:t>
      </w:r>
    </w:p>
  </w:footnote>
  <w:footnote w:id="13">
    <w:p w14:paraId="77B4883F" w14:textId="77777777" w:rsidR="00244828" w:rsidRPr="00EB71C5" w:rsidRDefault="00244828" w:rsidP="00A84DC3">
      <w:pPr>
        <w:pStyle w:val="FootnoteText"/>
        <w:spacing w:after="60"/>
        <w:ind w:left="270" w:hanging="270"/>
        <w:rPr>
          <w:lang w:val="es-ES_tradnl"/>
        </w:rPr>
      </w:pPr>
      <w:r w:rsidRPr="00A84DC3">
        <w:rPr>
          <w:rStyle w:val="FootnoteReference"/>
          <w:rFonts w:ascii="Arial" w:hAnsi="Arial" w:cs="Arial"/>
          <w:sz w:val="18"/>
          <w:szCs w:val="18"/>
        </w:rPr>
        <w:footnoteRef/>
      </w:r>
      <w:r w:rsidRPr="00A84DC3">
        <w:rPr>
          <w:rFonts w:ascii="Arial" w:hAnsi="Arial" w:cs="Arial"/>
          <w:sz w:val="18"/>
          <w:szCs w:val="18"/>
        </w:rPr>
        <w:t xml:space="preserve"> </w:t>
      </w:r>
      <w:r>
        <w:rPr>
          <w:rFonts w:ascii="Arial" w:hAnsi="Arial" w:cs="Arial"/>
          <w:sz w:val="18"/>
          <w:szCs w:val="18"/>
        </w:rPr>
        <w:tab/>
      </w:r>
      <w:r w:rsidRPr="00A84DC3">
        <w:rPr>
          <w:rFonts w:ascii="Arial" w:hAnsi="Arial" w:cs="Arial"/>
          <w:i/>
          <w:sz w:val="18"/>
          <w:szCs w:val="18"/>
        </w:rPr>
        <w:t>Panteia and Partners, 2010. Ex-Post Evaluation of INTERREG</w:t>
      </w:r>
      <w:r w:rsidRPr="00A84DC3">
        <w:rPr>
          <w:rFonts w:ascii="Arial" w:hAnsi="Arial" w:cs="Arial"/>
          <w:sz w:val="18"/>
          <w:szCs w:val="18"/>
        </w:rPr>
        <w:t xml:space="preserve"> III 2000-2006. </w:t>
      </w:r>
      <w:r w:rsidRPr="00A84DC3">
        <w:rPr>
          <w:rFonts w:ascii="Arial" w:hAnsi="Arial" w:cs="Arial"/>
          <w:sz w:val="18"/>
          <w:szCs w:val="18"/>
          <w:lang w:val="es-ES_tradnl"/>
        </w:rPr>
        <w:t>Reporte final. Zoetermeer, Holanda</w:t>
      </w:r>
    </w:p>
  </w:footnote>
  <w:footnote w:id="14">
    <w:p w14:paraId="63DBE274" w14:textId="77777777" w:rsidR="00244828" w:rsidRPr="000F4E64" w:rsidRDefault="00244828" w:rsidP="000F4E64">
      <w:pPr>
        <w:pStyle w:val="FootnoteText"/>
        <w:spacing w:after="60"/>
        <w:ind w:left="270" w:hanging="270"/>
        <w:rPr>
          <w:rFonts w:ascii="Arial" w:hAnsi="Arial" w:cs="Arial"/>
          <w:sz w:val="18"/>
          <w:szCs w:val="18"/>
          <w:lang w:val="es-ES_tradnl"/>
        </w:rPr>
      </w:pPr>
      <w:r w:rsidRPr="000F4E64">
        <w:rPr>
          <w:rStyle w:val="FootnoteReference"/>
          <w:rFonts w:ascii="Arial" w:hAnsi="Arial" w:cs="Arial"/>
          <w:sz w:val="18"/>
          <w:szCs w:val="18"/>
        </w:rPr>
        <w:footnoteRef/>
      </w:r>
      <w:r w:rsidRPr="000F4E64">
        <w:rPr>
          <w:rFonts w:ascii="Arial" w:hAnsi="Arial" w:cs="Arial"/>
          <w:sz w:val="18"/>
          <w:szCs w:val="18"/>
          <w:lang w:val="es-ES_tradnl"/>
        </w:rPr>
        <w:t xml:space="preserve"> </w:t>
      </w:r>
      <w:r>
        <w:rPr>
          <w:rFonts w:ascii="Arial" w:hAnsi="Arial" w:cs="Arial"/>
          <w:sz w:val="18"/>
          <w:szCs w:val="18"/>
          <w:lang w:val="es-ES_tradnl"/>
        </w:rPr>
        <w:tab/>
      </w:r>
      <w:r w:rsidRPr="000F4E64">
        <w:rPr>
          <w:rFonts w:ascii="Arial" w:hAnsi="Arial" w:cs="Arial"/>
          <w:sz w:val="18"/>
          <w:szCs w:val="18"/>
          <w:lang w:val="es-ES_tradnl"/>
        </w:rPr>
        <w:t xml:space="preserve">Se insiste en este punto que FONPLATA realiza un ejercicio de viabilidad socioeconómica de los proyectos previo a su aprobación y que, por tanto, son proyectos que se consideran con un VPN positivo según sus proyecciones de ingresos y egresos. Por las características operativas de FONPLATA a través de agencias públicas nacionales y subnacionales en los distintos países de la Cuenca, estos análisis contienen una valoración socioeconómica que se ajusta al tiempo a las consideraciones pertinentes en el uso de fondos públicos de los distintos países, incluyendo todos los grupos afectados por las diferentes intervenciones, y cuyo beneficio y costo se calcula con valoración socioeconómica y no meramente financiera.  </w:t>
      </w:r>
    </w:p>
  </w:footnote>
  <w:footnote w:id="15">
    <w:p w14:paraId="058B68DE" w14:textId="77777777" w:rsidR="00244828" w:rsidRPr="00E87313" w:rsidRDefault="00244828" w:rsidP="00E87313">
      <w:pPr>
        <w:pStyle w:val="FootnoteText"/>
        <w:spacing w:after="60"/>
        <w:rPr>
          <w:rFonts w:ascii="Arial" w:hAnsi="Arial" w:cs="Arial"/>
          <w:sz w:val="18"/>
          <w:szCs w:val="18"/>
          <w:lang w:val="es-ES_tradnl"/>
        </w:rPr>
      </w:pPr>
      <w:r w:rsidRPr="00E87313">
        <w:rPr>
          <w:rStyle w:val="FootnoteReference"/>
          <w:rFonts w:ascii="Arial" w:hAnsi="Arial" w:cs="Arial"/>
          <w:sz w:val="18"/>
          <w:szCs w:val="18"/>
        </w:rPr>
        <w:footnoteRef/>
      </w:r>
      <w:r w:rsidRPr="00E87313">
        <w:rPr>
          <w:rFonts w:ascii="Arial" w:hAnsi="Arial" w:cs="Arial"/>
          <w:sz w:val="18"/>
          <w:szCs w:val="18"/>
          <w:lang w:val="es-ES_tradnl"/>
        </w:rPr>
        <w:t xml:space="preserve"> </w:t>
      </w:r>
      <w:r>
        <w:rPr>
          <w:rFonts w:ascii="Arial" w:hAnsi="Arial" w:cs="Arial"/>
          <w:sz w:val="18"/>
          <w:szCs w:val="18"/>
          <w:lang w:val="es-ES_tradnl"/>
        </w:rPr>
        <w:tab/>
      </w:r>
      <w:r w:rsidRPr="00E87313">
        <w:rPr>
          <w:rFonts w:ascii="Arial" w:hAnsi="Arial" w:cs="Arial"/>
          <w:sz w:val="18"/>
          <w:szCs w:val="18"/>
          <w:lang w:val="es-ES_tradnl"/>
        </w:rPr>
        <w:t>La determinación del beneficio por la disminución de accidentes se dificulta por la ausencia de estadísticas.</w:t>
      </w:r>
    </w:p>
  </w:footnote>
  <w:footnote w:id="16">
    <w:p w14:paraId="5042AF44" w14:textId="77777777" w:rsidR="00244828" w:rsidRPr="009E7B86" w:rsidRDefault="00244828" w:rsidP="009E7B86">
      <w:pPr>
        <w:pStyle w:val="FootnoteText"/>
        <w:spacing w:after="60"/>
        <w:ind w:left="270" w:hanging="270"/>
        <w:rPr>
          <w:rFonts w:ascii="Arial" w:hAnsi="Arial" w:cs="Arial"/>
          <w:sz w:val="18"/>
          <w:szCs w:val="18"/>
          <w:lang w:val="es-ES_tradnl"/>
        </w:rPr>
      </w:pPr>
      <w:r w:rsidRPr="009E7B86">
        <w:rPr>
          <w:rStyle w:val="FootnoteReference"/>
          <w:rFonts w:ascii="Arial" w:hAnsi="Arial" w:cs="Arial"/>
          <w:sz w:val="18"/>
          <w:szCs w:val="18"/>
        </w:rPr>
        <w:footnoteRef/>
      </w:r>
      <w:r w:rsidRPr="009E7B86">
        <w:rPr>
          <w:rFonts w:ascii="Arial" w:hAnsi="Arial" w:cs="Arial"/>
          <w:sz w:val="18"/>
          <w:szCs w:val="18"/>
          <w:lang w:val="es-ES_tradnl"/>
        </w:rPr>
        <w:t xml:space="preserve"> </w:t>
      </w:r>
      <w:r>
        <w:rPr>
          <w:rFonts w:ascii="Arial" w:hAnsi="Arial" w:cs="Arial"/>
          <w:sz w:val="18"/>
          <w:szCs w:val="18"/>
          <w:lang w:val="es-ES_tradnl"/>
        </w:rPr>
        <w:tab/>
      </w:r>
      <w:r w:rsidRPr="009E7B86">
        <w:rPr>
          <w:rFonts w:ascii="Arial" w:hAnsi="Arial" w:cs="Arial"/>
          <w:sz w:val="18"/>
          <w:szCs w:val="18"/>
          <w:lang w:val="es-ES_tradnl"/>
        </w:rPr>
        <w:t xml:space="preserve">Al tratarse principalmente de obras de rehabilitación, los riesgos de diseño, así como los de puesta en marcha o expropiación son prácticamente inexistentes. Aun con lo anterior lo proyectos contemplan una partida para contingencias en el caso de imprevistos que sirve de amortiguador incluso en el escenario central.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0C2E" w14:textId="77777777" w:rsidR="00244828" w:rsidRDefault="00244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098A"/>
    <w:multiLevelType w:val="multilevel"/>
    <w:tmpl w:val="C3621814"/>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 w15:restartNumberingAfterBreak="0">
    <w:nsid w:val="364A6CC9"/>
    <w:multiLevelType w:val="multilevel"/>
    <w:tmpl w:val="81CE4530"/>
    <w:lvl w:ilvl="0">
      <w:start w:val="1"/>
      <w:numFmt w:val="upperRoman"/>
      <w:lvlRestart w:val="0"/>
      <w:pStyle w:val="Chapter"/>
      <w:lvlText w:val="%1."/>
      <w:lvlJc w:val="center"/>
      <w:pPr>
        <w:tabs>
          <w:tab w:val="num" w:pos="1800"/>
        </w:tabs>
        <w:ind w:left="1152" w:firstLine="288"/>
      </w:pPr>
      <w:rPr>
        <w:rFonts w:hint="default"/>
        <w:b/>
        <w:i w:val="0"/>
      </w:rPr>
    </w:lvl>
    <w:lvl w:ilvl="1">
      <w:start w:val="1"/>
      <w:numFmt w:val="decimal"/>
      <w:pStyle w:val="Paragraph"/>
      <w:isLgl/>
      <w:lvlText w:val="%1.%2"/>
      <w:lvlJc w:val="left"/>
      <w:pPr>
        <w:tabs>
          <w:tab w:val="num" w:pos="12096"/>
        </w:tabs>
        <w:ind w:left="12096" w:hanging="1296"/>
      </w:pPr>
      <w:rPr>
        <w:rFonts w:hint="default"/>
        <w:color w:val="auto"/>
        <w:sz w:val="22"/>
      </w:rPr>
    </w:lvl>
    <w:lvl w:ilvl="2">
      <w:start w:val="1"/>
      <w:numFmt w:val="lowerRoman"/>
      <w:pStyle w:val="subpar"/>
      <w:lvlText w:val="(%3)"/>
      <w:lvlJc w:val="left"/>
      <w:pPr>
        <w:tabs>
          <w:tab w:val="num" w:pos="2304"/>
        </w:tabs>
        <w:ind w:left="2304" w:hanging="432"/>
      </w:pPr>
      <w:rPr>
        <w:rFonts w:ascii="Arial" w:eastAsia="Times New Roman" w:hAnsi="Arial" w:cs="Arial"/>
      </w:rPr>
    </w:lvl>
    <w:lvl w:ilvl="3">
      <w:start w:val="1"/>
      <w:numFmt w:val="lowerRoman"/>
      <w:lvlText w:val="%4."/>
      <w:lvlJc w:val="right"/>
      <w:pPr>
        <w:tabs>
          <w:tab w:val="num" w:pos="2736"/>
        </w:tabs>
        <w:ind w:left="2736" w:hanging="288"/>
      </w:pPr>
      <w:rPr>
        <w:rFonts w:hint="default"/>
        <w:b w:val="0"/>
      </w:rPr>
    </w:lvl>
    <w:lvl w:ilvl="4">
      <w:start w:val="1"/>
      <w:numFmt w:val="decimal"/>
      <w:lvlText w:val="%1.%2.%3.%4.%5"/>
      <w:lvlJc w:val="left"/>
      <w:pPr>
        <w:ind w:left="2160" w:hanging="1008"/>
      </w:pPr>
      <w:rPr>
        <w:rFonts w:hint="default"/>
      </w:rPr>
    </w:lvl>
    <w:lvl w:ilvl="5">
      <w:start w:val="1"/>
      <w:numFmt w:val="decimal"/>
      <w:lvlText w:val="%1.%2.%3.%4.%5.%6"/>
      <w:lvlJc w:val="left"/>
      <w:pPr>
        <w:ind w:left="2304" w:hanging="1152"/>
      </w:pPr>
      <w:rPr>
        <w:rFonts w:hint="default"/>
      </w:rPr>
    </w:lvl>
    <w:lvl w:ilvl="6">
      <w:start w:val="1"/>
      <w:numFmt w:val="decimal"/>
      <w:lvlText w:val="%1.%2.%3.%4.%5.%6.%7"/>
      <w:lvlJc w:val="left"/>
      <w:pPr>
        <w:ind w:left="2448" w:hanging="1296"/>
      </w:pPr>
      <w:rPr>
        <w:rFonts w:hint="default"/>
      </w:rPr>
    </w:lvl>
    <w:lvl w:ilvl="7">
      <w:start w:val="1"/>
      <w:numFmt w:val="decimal"/>
      <w:lvlText w:val="%1.%2.%3.%4.%5.%6.%7.%8"/>
      <w:lvlJc w:val="left"/>
      <w:pPr>
        <w:ind w:left="2592" w:hanging="1440"/>
      </w:pPr>
      <w:rPr>
        <w:rFonts w:hint="default"/>
      </w:rPr>
    </w:lvl>
    <w:lvl w:ilvl="8">
      <w:start w:val="1"/>
      <w:numFmt w:val="decimal"/>
      <w:lvlText w:val="%1.%2.%3.%4.%5.%6.%7.%8.%9"/>
      <w:lvlJc w:val="left"/>
      <w:pPr>
        <w:ind w:left="2736" w:hanging="1584"/>
      </w:pPr>
      <w:rPr>
        <w:rFonts w:hint="default"/>
      </w:rPr>
    </w:lvl>
  </w:abstractNum>
  <w:abstractNum w:abstractNumId="2" w15:restartNumberingAfterBreak="0">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3" w15:restartNumberingAfterBreak="0">
    <w:nsid w:val="3F2E782A"/>
    <w:multiLevelType w:val="hybridMultilevel"/>
    <w:tmpl w:val="7012D508"/>
    <w:lvl w:ilvl="0" w:tplc="7A2EDC2A">
      <w:start w:val="1"/>
      <w:numFmt w:val="decimal"/>
      <w:lvlText w:val="5.%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22B1DCD"/>
    <w:multiLevelType w:val="multilevel"/>
    <w:tmpl w:val="033C7DCA"/>
    <w:lvl w:ilvl="0">
      <w:start w:val="1"/>
      <w:numFmt w:val="upperRoman"/>
      <w:lvlRestart w:val="0"/>
      <w:lvlText w:val="%1."/>
      <w:lvlJc w:val="center"/>
      <w:pPr>
        <w:tabs>
          <w:tab w:val="num" w:pos="4680"/>
        </w:tabs>
        <w:ind w:left="4032" w:firstLine="288"/>
      </w:pPr>
      <w:rPr>
        <w:b/>
        <w:i w:val="0"/>
      </w:rPr>
    </w:lvl>
    <w:lvl w:ilvl="1">
      <w:start w:val="1"/>
      <w:numFmt w:val="decimal"/>
      <w:isLgl/>
      <w:lvlText w:val="%1.%2"/>
      <w:lvlJc w:val="left"/>
      <w:pPr>
        <w:tabs>
          <w:tab w:val="num" w:pos="2448"/>
        </w:tabs>
        <w:ind w:left="2448" w:hanging="1296"/>
      </w:pPr>
      <w:rPr>
        <w:rFonts w:ascii="Arial" w:hAnsi="Arial" w:cs="Arial" w:hint="default"/>
        <w:b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num w:numId="1">
    <w:abstractNumId w:val="2"/>
  </w:num>
  <w:num w:numId="2">
    <w:abstractNumId w:val="1"/>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0"/>
  </w:num>
  <w:num w:numId="28">
    <w:abstractNumId w:val="0"/>
  </w:num>
  <w:num w:numId="29">
    <w:abstractNumId w:val="0"/>
  </w:num>
  <w:num w:numId="30">
    <w:abstractNumId w:val="0"/>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C6"/>
    <w:rsid w:val="00001304"/>
    <w:rsid w:val="00007CAB"/>
    <w:rsid w:val="00007D7F"/>
    <w:rsid w:val="000161F1"/>
    <w:rsid w:val="00020FD3"/>
    <w:rsid w:val="00022A9F"/>
    <w:rsid w:val="00024E54"/>
    <w:rsid w:val="0002516B"/>
    <w:rsid w:val="00035789"/>
    <w:rsid w:val="00035FF4"/>
    <w:rsid w:val="000375F6"/>
    <w:rsid w:val="000404BA"/>
    <w:rsid w:val="0004215C"/>
    <w:rsid w:val="00051E8F"/>
    <w:rsid w:val="00053916"/>
    <w:rsid w:val="00056ECE"/>
    <w:rsid w:val="00061495"/>
    <w:rsid w:val="000631EE"/>
    <w:rsid w:val="00087C36"/>
    <w:rsid w:val="00093B00"/>
    <w:rsid w:val="00093EF6"/>
    <w:rsid w:val="00095D10"/>
    <w:rsid w:val="000B371E"/>
    <w:rsid w:val="000B59B2"/>
    <w:rsid w:val="000B7284"/>
    <w:rsid w:val="000B73B7"/>
    <w:rsid w:val="000B7959"/>
    <w:rsid w:val="000C5024"/>
    <w:rsid w:val="000D3F67"/>
    <w:rsid w:val="000D5968"/>
    <w:rsid w:val="000E22B1"/>
    <w:rsid w:val="000E4734"/>
    <w:rsid w:val="000E6FBF"/>
    <w:rsid w:val="000F4634"/>
    <w:rsid w:val="000F4CE0"/>
    <w:rsid w:val="000F4E64"/>
    <w:rsid w:val="000F67FA"/>
    <w:rsid w:val="0010034F"/>
    <w:rsid w:val="0010690A"/>
    <w:rsid w:val="00106F77"/>
    <w:rsid w:val="00110BA3"/>
    <w:rsid w:val="00112280"/>
    <w:rsid w:val="0012077B"/>
    <w:rsid w:val="0012676E"/>
    <w:rsid w:val="0013398E"/>
    <w:rsid w:val="0013504D"/>
    <w:rsid w:val="00142C59"/>
    <w:rsid w:val="00150C22"/>
    <w:rsid w:val="00150E7A"/>
    <w:rsid w:val="00174E0D"/>
    <w:rsid w:val="00176371"/>
    <w:rsid w:val="00180901"/>
    <w:rsid w:val="00183337"/>
    <w:rsid w:val="00185981"/>
    <w:rsid w:val="00190BCE"/>
    <w:rsid w:val="00195FC3"/>
    <w:rsid w:val="001B00CC"/>
    <w:rsid w:val="001B09DD"/>
    <w:rsid w:val="001B5A79"/>
    <w:rsid w:val="001C5F60"/>
    <w:rsid w:val="001D1187"/>
    <w:rsid w:val="001D200F"/>
    <w:rsid w:val="001D258C"/>
    <w:rsid w:val="001D4C93"/>
    <w:rsid w:val="001D4CBB"/>
    <w:rsid w:val="001D4EEE"/>
    <w:rsid w:val="001D7FAC"/>
    <w:rsid w:val="001E167A"/>
    <w:rsid w:val="001E6D34"/>
    <w:rsid w:val="001F08D6"/>
    <w:rsid w:val="001F6B34"/>
    <w:rsid w:val="001F7DF2"/>
    <w:rsid w:val="00203E0D"/>
    <w:rsid w:val="00207BDB"/>
    <w:rsid w:val="00207F0D"/>
    <w:rsid w:val="002104F7"/>
    <w:rsid w:val="00210607"/>
    <w:rsid w:val="00212F15"/>
    <w:rsid w:val="00214CB7"/>
    <w:rsid w:val="002158CB"/>
    <w:rsid w:val="00221726"/>
    <w:rsid w:val="0023654C"/>
    <w:rsid w:val="00240386"/>
    <w:rsid w:val="00240F15"/>
    <w:rsid w:val="0024377F"/>
    <w:rsid w:val="00244828"/>
    <w:rsid w:val="00246F22"/>
    <w:rsid w:val="0024781D"/>
    <w:rsid w:val="00251BBC"/>
    <w:rsid w:val="00255A7C"/>
    <w:rsid w:val="002569D5"/>
    <w:rsid w:val="002626D0"/>
    <w:rsid w:val="00265E27"/>
    <w:rsid w:val="002668F0"/>
    <w:rsid w:val="002721B0"/>
    <w:rsid w:val="00273710"/>
    <w:rsid w:val="00274D4E"/>
    <w:rsid w:val="00280C72"/>
    <w:rsid w:val="00285F0E"/>
    <w:rsid w:val="00290765"/>
    <w:rsid w:val="00290BEE"/>
    <w:rsid w:val="00295561"/>
    <w:rsid w:val="00296B65"/>
    <w:rsid w:val="002A0A84"/>
    <w:rsid w:val="002A6726"/>
    <w:rsid w:val="002B0E76"/>
    <w:rsid w:val="002B2976"/>
    <w:rsid w:val="002B3CBA"/>
    <w:rsid w:val="002B42C3"/>
    <w:rsid w:val="002B4E3C"/>
    <w:rsid w:val="002B525E"/>
    <w:rsid w:val="002C0224"/>
    <w:rsid w:val="002C2ACD"/>
    <w:rsid w:val="002C3265"/>
    <w:rsid w:val="002C3BFC"/>
    <w:rsid w:val="002C4FC6"/>
    <w:rsid w:val="002C6F48"/>
    <w:rsid w:val="002D0BB4"/>
    <w:rsid w:val="002D2946"/>
    <w:rsid w:val="002D4E5E"/>
    <w:rsid w:val="002D51F2"/>
    <w:rsid w:val="002D5EC3"/>
    <w:rsid w:val="002F0047"/>
    <w:rsid w:val="002F17F8"/>
    <w:rsid w:val="002F4186"/>
    <w:rsid w:val="002F7781"/>
    <w:rsid w:val="003003CB"/>
    <w:rsid w:val="003027EA"/>
    <w:rsid w:val="00303539"/>
    <w:rsid w:val="00310D29"/>
    <w:rsid w:val="003200FD"/>
    <w:rsid w:val="00331CE5"/>
    <w:rsid w:val="0033273F"/>
    <w:rsid w:val="0033408E"/>
    <w:rsid w:val="0033643A"/>
    <w:rsid w:val="00343BAA"/>
    <w:rsid w:val="00346949"/>
    <w:rsid w:val="0035113C"/>
    <w:rsid w:val="00351F05"/>
    <w:rsid w:val="003533D4"/>
    <w:rsid w:val="003534F9"/>
    <w:rsid w:val="00354E6B"/>
    <w:rsid w:val="003604EB"/>
    <w:rsid w:val="003635E9"/>
    <w:rsid w:val="00365048"/>
    <w:rsid w:val="00365C22"/>
    <w:rsid w:val="003671A0"/>
    <w:rsid w:val="00367B7E"/>
    <w:rsid w:val="00371124"/>
    <w:rsid w:val="003715A3"/>
    <w:rsid w:val="003A2E39"/>
    <w:rsid w:val="003A569B"/>
    <w:rsid w:val="003A5B5E"/>
    <w:rsid w:val="003B06E6"/>
    <w:rsid w:val="003B444A"/>
    <w:rsid w:val="003C5650"/>
    <w:rsid w:val="003D051D"/>
    <w:rsid w:val="003D1765"/>
    <w:rsid w:val="003D5486"/>
    <w:rsid w:val="003D5C92"/>
    <w:rsid w:val="003E12B6"/>
    <w:rsid w:val="003E41E3"/>
    <w:rsid w:val="003E7854"/>
    <w:rsid w:val="003F2313"/>
    <w:rsid w:val="003F4F47"/>
    <w:rsid w:val="003F554E"/>
    <w:rsid w:val="00405832"/>
    <w:rsid w:val="00410272"/>
    <w:rsid w:val="00417D85"/>
    <w:rsid w:val="00423064"/>
    <w:rsid w:val="004261FF"/>
    <w:rsid w:val="004327BE"/>
    <w:rsid w:val="00433B52"/>
    <w:rsid w:val="00441867"/>
    <w:rsid w:val="00442608"/>
    <w:rsid w:val="004444D5"/>
    <w:rsid w:val="00447569"/>
    <w:rsid w:val="00454D2C"/>
    <w:rsid w:val="00456CE2"/>
    <w:rsid w:val="0045714E"/>
    <w:rsid w:val="004635A0"/>
    <w:rsid w:val="00464BDC"/>
    <w:rsid w:val="004657BD"/>
    <w:rsid w:val="004668D4"/>
    <w:rsid w:val="00470A02"/>
    <w:rsid w:val="004808A4"/>
    <w:rsid w:val="0048191C"/>
    <w:rsid w:val="0048399C"/>
    <w:rsid w:val="004839B5"/>
    <w:rsid w:val="004869A7"/>
    <w:rsid w:val="00487AC8"/>
    <w:rsid w:val="00494A83"/>
    <w:rsid w:val="00495B45"/>
    <w:rsid w:val="004A103D"/>
    <w:rsid w:val="004A106C"/>
    <w:rsid w:val="004A1092"/>
    <w:rsid w:val="004A4F0F"/>
    <w:rsid w:val="004A5EB0"/>
    <w:rsid w:val="004B0D82"/>
    <w:rsid w:val="004B0DEC"/>
    <w:rsid w:val="004B4D75"/>
    <w:rsid w:val="004B58A9"/>
    <w:rsid w:val="004B5EA7"/>
    <w:rsid w:val="004C16E8"/>
    <w:rsid w:val="004C2AAC"/>
    <w:rsid w:val="004C42F1"/>
    <w:rsid w:val="004C5996"/>
    <w:rsid w:val="004D024D"/>
    <w:rsid w:val="004E3DAC"/>
    <w:rsid w:val="004E5FB8"/>
    <w:rsid w:val="004F05DA"/>
    <w:rsid w:val="004F067B"/>
    <w:rsid w:val="004F3368"/>
    <w:rsid w:val="004F37CE"/>
    <w:rsid w:val="004F4252"/>
    <w:rsid w:val="004F4BAD"/>
    <w:rsid w:val="004F5ABC"/>
    <w:rsid w:val="005155A0"/>
    <w:rsid w:val="00515739"/>
    <w:rsid w:val="00517CB0"/>
    <w:rsid w:val="0052145C"/>
    <w:rsid w:val="00524B21"/>
    <w:rsid w:val="0052500C"/>
    <w:rsid w:val="00525174"/>
    <w:rsid w:val="005264AF"/>
    <w:rsid w:val="00527FA5"/>
    <w:rsid w:val="00532063"/>
    <w:rsid w:val="00533E3B"/>
    <w:rsid w:val="00542CD3"/>
    <w:rsid w:val="00543410"/>
    <w:rsid w:val="005436A4"/>
    <w:rsid w:val="00553926"/>
    <w:rsid w:val="00554563"/>
    <w:rsid w:val="00556734"/>
    <w:rsid w:val="00560588"/>
    <w:rsid w:val="00565536"/>
    <w:rsid w:val="00566CA5"/>
    <w:rsid w:val="005736DC"/>
    <w:rsid w:val="00577F4A"/>
    <w:rsid w:val="005802BF"/>
    <w:rsid w:val="0058105C"/>
    <w:rsid w:val="005821DD"/>
    <w:rsid w:val="00586FC8"/>
    <w:rsid w:val="0059155B"/>
    <w:rsid w:val="00597E44"/>
    <w:rsid w:val="005A046C"/>
    <w:rsid w:val="005A3520"/>
    <w:rsid w:val="005A37EF"/>
    <w:rsid w:val="005A5B4A"/>
    <w:rsid w:val="005B54F7"/>
    <w:rsid w:val="005B590E"/>
    <w:rsid w:val="005B5C7C"/>
    <w:rsid w:val="005C5519"/>
    <w:rsid w:val="005C73D5"/>
    <w:rsid w:val="005E18C7"/>
    <w:rsid w:val="005E492A"/>
    <w:rsid w:val="005E6DC4"/>
    <w:rsid w:val="005F3FF8"/>
    <w:rsid w:val="005F4899"/>
    <w:rsid w:val="00601C86"/>
    <w:rsid w:val="00603532"/>
    <w:rsid w:val="006072FD"/>
    <w:rsid w:val="00611E31"/>
    <w:rsid w:val="006156F1"/>
    <w:rsid w:val="006230B9"/>
    <w:rsid w:val="00624DFB"/>
    <w:rsid w:val="00626BC8"/>
    <w:rsid w:val="00626C76"/>
    <w:rsid w:val="00630173"/>
    <w:rsid w:val="0063741E"/>
    <w:rsid w:val="0063799D"/>
    <w:rsid w:val="00640DB2"/>
    <w:rsid w:val="00644389"/>
    <w:rsid w:val="006526F3"/>
    <w:rsid w:val="0066029A"/>
    <w:rsid w:val="00662A92"/>
    <w:rsid w:val="00662CF7"/>
    <w:rsid w:val="00667363"/>
    <w:rsid w:val="006721FD"/>
    <w:rsid w:val="00672CF1"/>
    <w:rsid w:val="00675FF0"/>
    <w:rsid w:val="0068078C"/>
    <w:rsid w:val="0068098E"/>
    <w:rsid w:val="00691FAB"/>
    <w:rsid w:val="00693ABD"/>
    <w:rsid w:val="00694797"/>
    <w:rsid w:val="00695F3B"/>
    <w:rsid w:val="00696D25"/>
    <w:rsid w:val="0069747B"/>
    <w:rsid w:val="006A2649"/>
    <w:rsid w:val="006B0D3C"/>
    <w:rsid w:val="006B4030"/>
    <w:rsid w:val="006C1299"/>
    <w:rsid w:val="006C6851"/>
    <w:rsid w:val="006D0B9E"/>
    <w:rsid w:val="006E152C"/>
    <w:rsid w:val="006E2318"/>
    <w:rsid w:val="006E35DD"/>
    <w:rsid w:val="006F330F"/>
    <w:rsid w:val="006F63AB"/>
    <w:rsid w:val="00700249"/>
    <w:rsid w:val="007035A8"/>
    <w:rsid w:val="00707BDE"/>
    <w:rsid w:val="00710844"/>
    <w:rsid w:val="0072093A"/>
    <w:rsid w:val="0072258F"/>
    <w:rsid w:val="0072414D"/>
    <w:rsid w:val="007245EA"/>
    <w:rsid w:val="00725902"/>
    <w:rsid w:val="00730AA2"/>
    <w:rsid w:val="007351A4"/>
    <w:rsid w:val="007376A3"/>
    <w:rsid w:val="00741F4D"/>
    <w:rsid w:val="00743192"/>
    <w:rsid w:val="0074742C"/>
    <w:rsid w:val="00747925"/>
    <w:rsid w:val="007513ED"/>
    <w:rsid w:val="0075337D"/>
    <w:rsid w:val="00760046"/>
    <w:rsid w:val="007600B7"/>
    <w:rsid w:val="00780C0F"/>
    <w:rsid w:val="00782E74"/>
    <w:rsid w:val="00786E23"/>
    <w:rsid w:val="007913B0"/>
    <w:rsid w:val="00791EB2"/>
    <w:rsid w:val="007929EC"/>
    <w:rsid w:val="007937B5"/>
    <w:rsid w:val="00795A4F"/>
    <w:rsid w:val="00795E43"/>
    <w:rsid w:val="007975E0"/>
    <w:rsid w:val="007A498F"/>
    <w:rsid w:val="007A4D16"/>
    <w:rsid w:val="007B2613"/>
    <w:rsid w:val="007C17D6"/>
    <w:rsid w:val="007C2F00"/>
    <w:rsid w:val="007D19E5"/>
    <w:rsid w:val="007D769B"/>
    <w:rsid w:val="007E220A"/>
    <w:rsid w:val="007E2DC4"/>
    <w:rsid w:val="007E7732"/>
    <w:rsid w:val="007F7D83"/>
    <w:rsid w:val="00800C26"/>
    <w:rsid w:val="0080222D"/>
    <w:rsid w:val="00810922"/>
    <w:rsid w:val="008176F0"/>
    <w:rsid w:val="008233D1"/>
    <w:rsid w:val="00824507"/>
    <w:rsid w:val="00824F6C"/>
    <w:rsid w:val="0082724D"/>
    <w:rsid w:val="00833D9E"/>
    <w:rsid w:val="008363F5"/>
    <w:rsid w:val="00836506"/>
    <w:rsid w:val="00837A35"/>
    <w:rsid w:val="00843937"/>
    <w:rsid w:val="00857428"/>
    <w:rsid w:val="00865BEA"/>
    <w:rsid w:val="0086613E"/>
    <w:rsid w:val="00866A00"/>
    <w:rsid w:val="008672D3"/>
    <w:rsid w:val="00870299"/>
    <w:rsid w:val="008734FE"/>
    <w:rsid w:val="008738E1"/>
    <w:rsid w:val="008818AA"/>
    <w:rsid w:val="0088752C"/>
    <w:rsid w:val="008942EF"/>
    <w:rsid w:val="008B0024"/>
    <w:rsid w:val="008B4717"/>
    <w:rsid w:val="008B4D26"/>
    <w:rsid w:val="008B7715"/>
    <w:rsid w:val="008C01DF"/>
    <w:rsid w:val="008C06C9"/>
    <w:rsid w:val="008D2A08"/>
    <w:rsid w:val="008D31EA"/>
    <w:rsid w:val="008E4EF6"/>
    <w:rsid w:val="008E5835"/>
    <w:rsid w:val="008F0E4F"/>
    <w:rsid w:val="00901A22"/>
    <w:rsid w:val="0091395B"/>
    <w:rsid w:val="009140F4"/>
    <w:rsid w:val="009270FE"/>
    <w:rsid w:val="00927A4E"/>
    <w:rsid w:val="0093252C"/>
    <w:rsid w:val="00935C1C"/>
    <w:rsid w:val="0093674E"/>
    <w:rsid w:val="00940171"/>
    <w:rsid w:val="009405AE"/>
    <w:rsid w:val="0094283C"/>
    <w:rsid w:val="00950D63"/>
    <w:rsid w:val="0095202C"/>
    <w:rsid w:val="00957206"/>
    <w:rsid w:val="00975463"/>
    <w:rsid w:val="00980A9E"/>
    <w:rsid w:val="00980FE8"/>
    <w:rsid w:val="00982216"/>
    <w:rsid w:val="0098662D"/>
    <w:rsid w:val="00990F1F"/>
    <w:rsid w:val="009911D4"/>
    <w:rsid w:val="00995EEA"/>
    <w:rsid w:val="0099636A"/>
    <w:rsid w:val="0099722B"/>
    <w:rsid w:val="00997F7A"/>
    <w:rsid w:val="009A144B"/>
    <w:rsid w:val="009A1EFF"/>
    <w:rsid w:val="009A31E2"/>
    <w:rsid w:val="009A3A67"/>
    <w:rsid w:val="009A53BF"/>
    <w:rsid w:val="009B5DF7"/>
    <w:rsid w:val="009B65EC"/>
    <w:rsid w:val="009C3696"/>
    <w:rsid w:val="009C45C9"/>
    <w:rsid w:val="009C7E38"/>
    <w:rsid w:val="009D13DA"/>
    <w:rsid w:val="009D4133"/>
    <w:rsid w:val="009D4F3F"/>
    <w:rsid w:val="009D64DA"/>
    <w:rsid w:val="009E0858"/>
    <w:rsid w:val="009E0F14"/>
    <w:rsid w:val="009E2D50"/>
    <w:rsid w:val="009E5B0E"/>
    <w:rsid w:val="009E7B86"/>
    <w:rsid w:val="009F6EAE"/>
    <w:rsid w:val="009F7286"/>
    <w:rsid w:val="00A05165"/>
    <w:rsid w:val="00A054F4"/>
    <w:rsid w:val="00A065F7"/>
    <w:rsid w:val="00A1702B"/>
    <w:rsid w:val="00A20E72"/>
    <w:rsid w:val="00A218AA"/>
    <w:rsid w:val="00A22465"/>
    <w:rsid w:val="00A22665"/>
    <w:rsid w:val="00A24E78"/>
    <w:rsid w:val="00A2645E"/>
    <w:rsid w:val="00A34198"/>
    <w:rsid w:val="00A40CE1"/>
    <w:rsid w:val="00A42555"/>
    <w:rsid w:val="00A42BE0"/>
    <w:rsid w:val="00A442A6"/>
    <w:rsid w:val="00A4605A"/>
    <w:rsid w:val="00A5087C"/>
    <w:rsid w:val="00A51ADA"/>
    <w:rsid w:val="00A5474D"/>
    <w:rsid w:val="00A61B15"/>
    <w:rsid w:val="00A640D0"/>
    <w:rsid w:val="00A64A80"/>
    <w:rsid w:val="00A67694"/>
    <w:rsid w:val="00A72A4D"/>
    <w:rsid w:val="00A81F1F"/>
    <w:rsid w:val="00A84DC3"/>
    <w:rsid w:val="00A85E9C"/>
    <w:rsid w:val="00A8608F"/>
    <w:rsid w:val="00A87B7E"/>
    <w:rsid w:val="00A91EAD"/>
    <w:rsid w:val="00A92BE0"/>
    <w:rsid w:val="00A9550D"/>
    <w:rsid w:val="00A978AC"/>
    <w:rsid w:val="00AA1F92"/>
    <w:rsid w:val="00AB15D5"/>
    <w:rsid w:val="00AB48A9"/>
    <w:rsid w:val="00AB725B"/>
    <w:rsid w:val="00AC0502"/>
    <w:rsid w:val="00AC4DB3"/>
    <w:rsid w:val="00AC5129"/>
    <w:rsid w:val="00AC75CA"/>
    <w:rsid w:val="00AE175A"/>
    <w:rsid w:val="00AE1D2D"/>
    <w:rsid w:val="00AE6BE8"/>
    <w:rsid w:val="00AF42B9"/>
    <w:rsid w:val="00AF7FD3"/>
    <w:rsid w:val="00B03618"/>
    <w:rsid w:val="00B055DF"/>
    <w:rsid w:val="00B102F8"/>
    <w:rsid w:val="00B16EB3"/>
    <w:rsid w:val="00B177E3"/>
    <w:rsid w:val="00B17D7D"/>
    <w:rsid w:val="00B36037"/>
    <w:rsid w:val="00B36630"/>
    <w:rsid w:val="00B36F62"/>
    <w:rsid w:val="00B37ECC"/>
    <w:rsid w:val="00B418EC"/>
    <w:rsid w:val="00B44922"/>
    <w:rsid w:val="00B45983"/>
    <w:rsid w:val="00B52BAC"/>
    <w:rsid w:val="00B56F8F"/>
    <w:rsid w:val="00B57E73"/>
    <w:rsid w:val="00B60FFF"/>
    <w:rsid w:val="00B610DA"/>
    <w:rsid w:val="00B71FB8"/>
    <w:rsid w:val="00B746FA"/>
    <w:rsid w:val="00B825BA"/>
    <w:rsid w:val="00B867D3"/>
    <w:rsid w:val="00B86E10"/>
    <w:rsid w:val="00B97B3F"/>
    <w:rsid w:val="00BA11FB"/>
    <w:rsid w:val="00BA4E88"/>
    <w:rsid w:val="00BA7AAF"/>
    <w:rsid w:val="00BB4BC9"/>
    <w:rsid w:val="00BB59B3"/>
    <w:rsid w:val="00BC1652"/>
    <w:rsid w:val="00BC176C"/>
    <w:rsid w:val="00BD104B"/>
    <w:rsid w:val="00BD2292"/>
    <w:rsid w:val="00BE10E6"/>
    <w:rsid w:val="00BE757D"/>
    <w:rsid w:val="00C0623F"/>
    <w:rsid w:val="00C064C9"/>
    <w:rsid w:val="00C06993"/>
    <w:rsid w:val="00C131B7"/>
    <w:rsid w:val="00C148D7"/>
    <w:rsid w:val="00C208B2"/>
    <w:rsid w:val="00C23663"/>
    <w:rsid w:val="00C24AAD"/>
    <w:rsid w:val="00C25C95"/>
    <w:rsid w:val="00C3155D"/>
    <w:rsid w:val="00C31840"/>
    <w:rsid w:val="00C31A07"/>
    <w:rsid w:val="00C357B3"/>
    <w:rsid w:val="00C35F7F"/>
    <w:rsid w:val="00C371E6"/>
    <w:rsid w:val="00C40CDE"/>
    <w:rsid w:val="00C42092"/>
    <w:rsid w:val="00C450BB"/>
    <w:rsid w:val="00C46044"/>
    <w:rsid w:val="00C47B4E"/>
    <w:rsid w:val="00C47F5E"/>
    <w:rsid w:val="00C50C7C"/>
    <w:rsid w:val="00C51643"/>
    <w:rsid w:val="00C53DD1"/>
    <w:rsid w:val="00C5581A"/>
    <w:rsid w:val="00C62380"/>
    <w:rsid w:val="00C6521E"/>
    <w:rsid w:val="00C703F1"/>
    <w:rsid w:val="00C7056E"/>
    <w:rsid w:val="00C752FB"/>
    <w:rsid w:val="00C77A11"/>
    <w:rsid w:val="00C8175E"/>
    <w:rsid w:val="00C84C1D"/>
    <w:rsid w:val="00C86CB4"/>
    <w:rsid w:val="00C91329"/>
    <w:rsid w:val="00C950EF"/>
    <w:rsid w:val="00CA2A1E"/>
    <w:rsid w:val="00CA2D0B"/>
    <w:rsid w:val="00CA64D0"/>
    <w:rsid w:val="00CB14CD"/>
    <w:rsid w:val="00CB2E1D"/>
    <w:rsid w:val="00CB39A1"/>
    <w:rsid w:val="00CB6330"/>
    <w:rsid w:val="00CB66C3"/>
    <w:rsid w:val="00CC7857"/>
    <w:rsid w:val="00CD2C95"/>
    <w:rsid w:val="00CD2F57"/>
    <w:rsid w:val="00CD3E62"/>
    <w:rsid w:val="00CD4CB7"/>
    <w:rsid w:val="00CD62A8"/>
    <w:rsid w:val="00CE2C8A"/>
    <w:rsid w:val="00CE7C3A"/>
    <w:rsid w:val="00CF7900"/>
    <w:rsid w:val="00D005C2"/>
    <w:rsid w:val="00D050E5"/>
    <w:rsid w:val="00D0719E"/>
    <w:rsid w:val="00D13597"/>
    <w:rsid w:val="00D15491"/>
    <w:rsid w:val="00D16656"/>
    <w:rsid w:val="00D17C99"/>
    <w:rsid w:val="00D2175C"/>
    <w:rsid w:val="00D23BF1"/>
    <w:rsid w:val="00D25F11"/>
    <w:rsid w:val="00D35A25"/>
    <w:rsid w:val="00D4067D"/>
    <w:rsid w:val="00D54641"/>
    <w:rsid w:val="00D62B77"/>
    <w:rsid w:val="00D62F1D"/>
    <w:rsid w:val="00D661F7"/>
    <w:rsid w:val="00D676C4"/>
    <w:rsid w:val="00D72CAD"/>
    <w:rsid w:val="00D74963"/>
    <w:rsid w:val="00D74C74"/>
    <w:rsid w:val="00D853C8"/>
    <w:rsid w:val="00D9415C"/>
    <w:rsid w:val="00D9763B"/>
    <w:rsid w:val="00DA3664"/>
    <w:rsid w:val="00DA6370"/>
    <w:rsid w:val="00DB3EC3"/>
    <w:rsid w:val="00DB782F"/>
    <w:rsid w:val="00DC01CE"/>
    <w:rsid w:val="00DC2EF4"/>
    <w:rsid w:val="00DC5A29"/>
    <w:rsid w:val="00DE1215"/>
    <w:rsid w:val="00DE43F3"/>
    <w:rsid w:val="00DE5315"/>
    <w:rsid w:val="00DE57FC"/>
    <w:rsid w:val="00DE61BA"/>
    <w:rsid w:val="00DF25F8"/>
    <w:rsid w:val="00DF292E"/>
    <w:rsid w:val="00DF2C23"/>
    <w:rsid w:val="00DF2C8D"/>
    <w:rsid w:val="00DF2E9B"/>
    <w:rsid w:val="00E01DF4"/>
    <w:rsid w:val="00E06446"/>
    <w:rsid w:val="00E076E7"/>
    <w:rsid w:val="00E10BE3"/>
    <w:rsid w:val="00E128C2"/>
    <w:rsid w:val="00E145FA"/>
    <w:rsid w:val="00E2261B"/>
    <w:rsid w:val="00E24676"/>
    <w:rsid w:val="00E262EE"/>
    <w:rsid w:val="00E32A61"/>
    <w:rsid w:val="00E34BAE"/>
    <w:rsid w:val="00E35CFE"/>
    <w:rsid w:val="00E378CB"/>
    <w:rsid w:val="00E4081D"/>
    <w:rsid w:val="00E408D7"/>
    <w:rsid w:val="00E42342"/>
    <w:rsid w:val="00E53D95"/>
    <w:rsid w:val="00E53E4A"/>
    <w:rsid w:val="00E55D99"/>
    <w:rsid w:val="00E56802"/>
    <w:rsid w:val="00E60D7C"/>
    <w:rsid w:val="00E610A9"/>
    <w:rsid w:val="00E64962"/>
    <w:rsid w:val="00E70041"/>
    <w:rsid w:val="00E74302"/>
    <w:rsid w:val="00E76681"/>
    <w:rsid w:val="00E83AF0"/>
    <w:rsid w:val="00E87313"/>
    <w:rsid w:val="00E87BE7"/>
    <w:rsid w:val="00E943E5"/>
    <w:rsid w:val="00E9482D"/>
    <w:rsid w:val="00E960B8"/>
    <w:rsid w:val="00E9615F"/>
    <w:rsid w:val="00E9619D"/>
    <w:rsid w:val="00E962F0"/>
    <w:rsid w:val="00EA035E"/>
    <w:rsid w:val="00EA0BC2"/>
    <w:rsid w:val="00EA1259"/>
    <w:rsid w:val="00EA1766"/>
    <w:rsid w:val="00EA32E3"/>
    <w:rsid w:val="00EA3579"/>
    <w:rsid w:val="00EB0DC1"/>
    <w:rsid w:val="00EB71C5"/>
    <w:rsid w:val="00EC0F76"/>
    <w:rsid w:val="00EC5035"/>
    <w:rsid w:val="00ED08DB"/>
    <w:rsid w:val="00ED76F9"/>
    <w:rsid w:val="00EE02D9"/>
    <w:rsid w:val="00EE049C"/>
    <w:rsid w:val="00EE49CD"/>
    <w:rsid w:val="00EF785A"/>
    <w:rsid w:val="00EF7BBA"/>
    <w:rsid w:val="00F02DFA"/>
    <w:rsid w:val="00F06D67"/>
    <w:rsid w:val="00F07EB1"/>
    <w:rsid w:val="00F10FC6"/>
    <w:rsid w:val="00F13084"/>
    <w:rsid w:val="00F14E5E"/>
    <w:rsid w:val="00F17E45"/>
    <w:rsid w:val="00F22E1F"/>
    <w:rsid w:val="00F27224"/>
    <w:rsid w:val="00F272D0"/>
    <w:rsid w:val="00F27BAB"/>
    <w:rsid w:val="00F30EC0"/>
    <w:rsid w:val="00F37AA5"/>
    <w:rsid w:val="00F4048C"/>
    <w:rsid w:val="00F435E1"/>
    <w:rsid w:val="00F527ED"/>
    <w:rsid w:val="00F63EED"/>
    <w:rsid w:val="00F63F88"/>
    <w:rsid w:val="00F6596C"/>
    <w:rsid w:val="00F66460"/>
    <w:rsid w:val="00F70365"/>
    <w:rsid w:val="00F73729"/>
    <w:rsid w:val="00F73D23"/>
    <w:rsid w:val="00F7734A"/>
    <w:rsid w:val="00F8027D"/>
    <w:rsid w:val="00F823D5"/>
    <w:rsid w:val="00F84BB1"/>
    <w:rsid w:val="00F87F47"/>
    <w:rsid w:val="00F902AC"/>
    <w:rsid w:val="00F92059"/>
    <w:rsid w:val="00F950A5"/>
    <w:rsid w:val="00F95C5E"/>
    <w:rsid w:val="00F9765F"/>
    <w:rsid w:val="00F97F20"/>
    <w:rsid w:val="00FA0BB5"/>
    <w:rsid w:val="00FA115B"/>
    <w:rsid w:val="00FB2B31"/>
    <w:rsid w:val="00FB7877"/>
    <w:rsid w:val="00FC050B"/>
    <w:rsid w:val="00FC1791"/>
    <w:rsid w:val="00FC1949"/>
    <w:rsid w:val="00FC3549"/>
    <w:rsid w:val="00FC746C"/>
    <w:rsid w:val="00FC7DC9"/>
    <w:rsid w:val="00FE2849"/>
    <w:rsid w:val="00FF002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578DF5"/>
  <w15:docId w15:val="{896606D5-C114-44B2-BB9F-6E7E1EF4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0FC6"/>
    <w:rPr>
      <w:rFonts w:eastAsiaTheme="minorEastAsia"/>
      <w:lang w:val="en-GB" w:eastAsia="en-GB"/>
    </w:rPr>
  </w:style>
  <w:style w:type="paragraph" w:styleId="Heading1">
    <w:name w:val="heading 1"/>
    <w:aliases w:val="Heading 1.I"/>
    <w:basedOn w:val="Normal"/>
    <w:next w:val="Normal"/>
    <w:link w:val="Heading1Char"/>
    <w:qFormat/>
    <w:rsid w:val="00F10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6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33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a"/>
    <w:next w:val="Normal"/>
    <w:link w:val="Heading4Char"/>
    <w:qFormat/>
    <w:rsid w:val="0075337D"/>
    <w:pPr>
      <w:keepNext/>
      <w:tabs>
        <w:tab w:val="left" w:pos="1440"/>
      </w:tabs>
      <w:spacing w:before="120" w:after="120" w:line="240" w:lineRule="auto"/>
      <w:jc w:val="both"/>
      <w:outlineLvl w:val="3"/>
    </w:pPr>
    <w:rPr>
      <w:rFonts w:ascii="Times New Roman Bold" w:eastAsia="Times New Roman" w:hAnsi="Times New Roman Bold" w:cs="Times New Roman"/>
      <w:b/>
      <w:noProof/>
      <w:sz w:val="24"/>
      <w:szCs w:val="20"/>
      <w:lang w:val="en-US" w:eastAsia="en-GB"/>
    </w:rPr>
  </w:style>
  <w:style w:type="paragraph" w:styleId="Heading5">
    <w:name w:val="heading 5"/>
    <w:basedOn w:val="Normal"/>
    <w:next w:val="Normal"/>
    <w:link w:val="Heading5Char"/>
    <w:uiPriority w:val="9"/>
    <w:semiHidden/>
    <w:unhideWhenUsed/>
    <w:qFormat/>
    <w:rsid w:val="0075337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337D"/>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337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5337D"/>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337D"/>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basedOn w:val="DefaultParagraphFont"/>
    <w:link w:val="Heading1"/>
    <w:rsid w:val="00F10FC6"/>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4A1092"/>
    <w:rPr>
      <w:rFonts w:asciiTheme="majorHAnsi" w:eastAsiaTheme="majorEastAsia" w:hAnsiTheme="majorHAnsi" w:cstheme="majorBidi"/>
      <w:b/>
      <w:bCs/>
      <w:color w:val="4F81BD" w:themeColor="accent1"/>
      <w:sz w:val="26"/>
      <w:szCs w:val="26"/>
      <w:lang w:val="en-GB" w:eastAsia="en-GB"/>
    </w:rPr>
  </w:style>
  <w:style w:type="character" w:customStyle="1" w:styleId="Heading4Char">
    <w:name w:val="Heading 4 Char"/>
    <w:aliases w:val="Heading 4.a Char"/>
    <w:basedOn w:val="DefaultParagraphFont"/>
    <w:link w:val="Heading4"/>
    <w:rsid w:val="00586FC8"/>
    <w:rPr>
      <w:rFonts w:ascii="Times New Roman Bold" w:eastAsia="Times New Roman" w:hAnsi="Times New Roman Bold" w:cs="Times New Roman"/>
      <w:b/>
      <w:noProof/>
      <w:sz w:val="24"/>
      <w:szCs w:val="20"/>
      <w:lang w:val="en-US" w:eastAsia="en-GB"/>
    </w:rPr>
  </w:style>
  <w:style w:type="table" w:styleId="TableGrid">
    <w:name w:val="Table Grid"/>
    <w:basedOn w:val="TableNormal"/>
    <w:uiPriority w:val="59"/>
    <w:rsid w:val="00F10FC6"/>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0FC6"/>
    <w:pPr>
      <w:outlineLvl w:val="9"/>
    </w:pPr>
    <w:rPr>
      <w:lang w:val="en-US" w:eastAsia="ja-JP"/>
    </w:rPr>
  </w:style>
  <w:style w:type="paragraph" w:styleId="TOC2">
    <w:name w:val="toc 2"/>
    <w:basedOn w:val="Normal"/>
    <w:next w:val="Normal"/>
    <w:autoRedefine/>
    <w:uiPriority w:val="39"/>
    <w:unhideWhenUsed/>
    <w:qFormat/>
    <w:rsid w:val="007351A4"/>
    <w:pPr>
      <w:tabs>
        <w:tab w:val="left" w:pos="900"/>
        <w:tab w:val="right" w:leader="dot" w:pos="8741"/>
      </w:tabs>
      <w:spacing w:before="120" w:after="0" w:line="240" w:lineRule="auto"/>
      <w:ind w:left="548" w:hanging="274"/>
    </w:pPr>
    <w:rPr>
      <w:rFonts w:ascii="Times New Roman" w:hAnsi="Times New Roman" w:cs="Times New Roman"/>
      <w:sz w:val="24"/>
      <w:lang w:val="en-US" w:eastAsia="ja-JP"/>
    </w:rPr>
  </w:style>
  <w:style w:type="paragraph" w:styleId="TOC1">
    <w:name w:val="toc 1"/>
    <w:basedOn w:val="Normal"/>
    <w:next w:val="Normal"/>
    <w:autoRedefine/>
    <w:uiPriority w:val="39"/>
    <w:unhideWhenUsed/>
    <w:qFormat/>
    <w:rsid w:val="0086613E"/>
    <w:pPr>
      <w:tabs>
        <w:tab w:val="right" w:leader="dot" w:pos="8741"/>
      </w:tabs>
      <w:spacing w:before="240" w:after="240" w:line="240" w:lineRule="auto"/>
      <w:ind w:left="547" w:hanging="547"/>
    </w:pPr>
    <w:rPr>
      <w:rFonts w:ascii="Times New Roman" w:hAnsi="Times New Roman" w:cs="Times New Roman"/>
      <w:b/>
      <w:smallCaps/>
      <w:noProof/>
      <w:sz w:val="24"/>
      <w:lang w:val="es-ES_tradnl" w:eastAsia="ja-JP"/>
    </w:rPr>
  </w:style>
  <w:style w:type="paragraph" w:styleId="TOC3">
    <w:name w:val="toc 3"/>
    <w:basedOn w:val="Normal"/>
    <w:next w:val="Normal"/>
    <w:autoRedefine/>
    <w:uiPriority w:val="39"/>
    <w:unhideWhenUsed/>
    <w:qFormat/>
    <w:rsid w:val="00F950A5"/>
    <w:pPr>
      <w:tabs>
        <w:tab w:val="left" w:pos="540"/>
        <w:tab w:val="left" w:pos="810"/>
        <w:tab w:val="right" w:leader="dot" w:pos="8741"/>
      </w:tabs>
      <w:spacing w:before="120" w:after="0" w:line="240" w:lineRule="auto"/>
      <w:ind w:left="547"/>
      <w:jc w:val="both"/>
    </w:pPr>
    <w:rPr>
      <w:rFonts w:ascii="Arial" w:hAnsi="Arial" w:cs="Arial"/>
      <w:smallCaps/>
      <w:lang w:val="en-US" w:eastAsia="ja-JP"/>
    </w:rPr>
  </w:style>
  <w:style w:type="paragraph" w:styleId="BalloonText">
    <w:name w:val="Balloon Text"/>
    <w:basedOn w:val="Normal"/>
    <w:link w:val="BalloonTextChar"/>
    <w:uiPriority w:val="99"/>
    <w:semiHidden/>
    <w:unhideWhenUsed/>
    <w:rsid w:val="00F1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FC6"/>
    <w:rPr>
      <w:rFonts w:ascii="Tahoma" w:eastAsiaTheme="minorEastAsia" w:hAnsi="Tahoma" w:cs="Tahoma"/>
      <w:sz w:val="16"/>
      <w:szCs w:val="16"/>
      <w:lang w:val="en-GB" w:eastAsia="en-GB"/>
    </w:rPr>
  </w:style>
  <w:style w:type="character" w:styleId="Hyperlink">
    <w:name w:val="Hyperlink"/>
    <w:basedOn w:val="DefaultParagraphFont"/>
    <w:uiPriority w:val="99"/>
    <w:unhideWhenUsed/>
    <w:rsid w:val="00F10FC6"/>
    <w:rPr>
      <w:color w:val="0000FF" w:themeColor="hyperlink"/>
      <w:u w:val="single"/>
    </w:rPr>
  </w:style>
  <w:style w:type="paragraph" w:styleId="ListParagraph">
    <w:name w:val="List Paragraph"/>
    <w:basedOn w:val="Normal"/>
    <w:link w:val="ListParagraphChar"/>
    <w:uiPriority w:val="34"/>
    <w:qFormat/>
    <w:rsid w:val="00F10FC6"/>
    <w:pPr>
      <w:ind w:left="720"/>
      <w:contextualSpacing/>
    </w:pPr>
  </w:style>
  <w:style w:type="paragraph" w:customStyle="1" w:styleId="AutoNumpara">
    <w:name w:val="AutoNumpara"/>
    <w:basedOn w:val="BodyTextIndent"/>
    <w:rsid w:val="00F10FC6"/>
    <w:pPr>
      <w:spacing w:before="120"/>
      <w:ind w:left="0"/>
      <w:jc w:val="both"/>
    </w:pPr>
    <w:rPr>
      <w:rFonts w:eastAsia="Times New Roman"/>
      <w:noProof/>
      <w:spacing w:val="-2"/>
      <w:szCs w:val="20"/>
      <w:lang w:val="es-ES_tradnl"/>
    </w:rPr>
  </w:style>
  <w:style w:type="paragraph" w:styleId="BodyTextIndent">
    <w:name w:val="Body Text Indent"/>
    <w:basedOn w:val="Normal"/>
    <w:link w:val="BodyTextIndentChar"/>
    <w:uiPriority w:val="99"/>
    <w:semiHidden/>
    <w:unhideWhenUsed/>
    <w:rsid w:val="00F10FC6"/>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F10FC6"/>
    <w:rPr>
      <w:rFonts w:ascii="Times New Roman" w:eastAsiaTheme="minorEastAsia" w:hAnsi="Times New Roman" w:cs="Times New Roman"/>
      <w:sz w:val="24"/>
      <w:lang w:val="en-GB" w:eastAsia="en-GB"/>
    </w:rPr>
  </w:style>
  <w:style w:type="paragraph" w:styleId="Title">
    <w:name w:val="Title"/>
    <w:basedOn w:val="Normal"/>
    <w:link w:val="TitleChar"/>
    <w:qFormat/>
    <w:rsid w:val="00F10FC6"/>
    <w:pPr>
      <w:tabs>
        <w:tab w:val="left" w:pos="1440"/>
        <w:tab w:val="left" w:pos="3060"/>
      </w:tabs>
      <w:spacing w:after="0" w:line="240" w:lineRule="auto"/>
      <w:jc w:val="center"/>
      <w:outlineLvl w:val="0"/>
    </w:pPr>
    <w:rPr>
      <w:rFonts w:ascii="Times New Roman" w:eastAsia="Times New Roman" w:hAnsi="Times New Roman" w:cs="Times New Roman"/>
      <w:sz w:val="24"/>
      <w:szCs w:val="20"/>
      <w:lang w:val="es-ES_tradnl"/>
    </w:rPr>
  </w:style>
  <w:style w:type="character" w:customStyle="1" w:styleId="TitleChar">
    <w:name w:val="Title Char"/>
    <w:basedOn w:val="DefaultParagraphFont"/>
    <w:link w:val="Title"/>
    <w:rsid w:val="00F10FC6"/>
    <w:rPr>
      <w:rFonts w:ascii="Times New Roman" w:eastAsia="Times New Roman" w:hAnsi="Times New Roman" w:cs="Times New Roman"/>
      <w:sz w:val="24"/>
      <w:szCs w:val="20"/>
      <w:lang w:val="es-ES_tradnl" w:eastAsia="en-GB"/>
    </w:rPr>
  </w:style>
  <w:style w:type="paragraph" w:customStyle="1" w:styleId="bullets">
    <w:name w:val="bullets"/>
    <w:rsid w:val="00F10FC6"/>
    <w:pPr>
      <w:numPr>
        <w:numId w:val="1"/>
      </w:numPr>
      <w:spacing w:before="120" w:after="120" w:line="240" w:lineRule="auto"/>
      <w:jc w:val="both"/>
    </w:pPr>
    <w:rPr>
      <w:rFonts w:ascii="Times New Roman" w:eastAsia="Times New Roman" w:hAnsi="Times New Roman" w:cs="Times New Roman"/>
      <w:spacing w:val="-2"/>
      <w:sz w:val="24"/>
      <w:szCs w:val="20"/>
      <w:lang w:val="en-US" w:eastAsia="en-GB"/>
    </w:rPr>
  </w:style>
  <w:style w:type="character" w:styleId="PlaceholderText">
    <w:name w:val="Placeholder Text"/>
    <w:basedOn w:val="DefaultParagraphFont"/>
    <w:uiPriority w:val="99"/>
    <w:semiHidden/>
    <w:rsid w:val="00F10FC6"/>
    <w:rPr>
      <w:color w:val="808080"/>
    </w:rPr>
  </w:style>
  <w:style w:type="paragraph" w:customStyle="1" w:styleId="Paragraph">
    <w:name w:val="Paragraph"/>
    <w:aliases w:val="paragraph,p,PARAGRAPH,PG,pa,at"/>
    <w:basedOn w:val="BodyTextIndent"/>
    <w:link w:val="ParagraphChar"/>
    <w:qFormat/>
    <w:rsid w:val="0075337D"/>
    <w:pPr>
      <w:numPr>
        <w:ilvl w:val="1"/>
        <w:numId w:val="2"/>
      </w:numPr>
      <w:spacing w:before="120"/>
      <w:jc w:val="both"/>
      <w:outlineLvl w:val="1"/>
    </w:pPr>
    <w:rPr>
      <w:rFonts w:eastAsia="Times New Roman"/>
      <w:szCs w:val="20"/>
      <w:lang w:val="en-US"/>
    </w:rPr>
  </w:style>
  <w:style w:type="character" w:customStyle="1" w:styleId="ParagraphChar">
    <w:name w:val="Paragraph Char"/>
    <w:link w:val="Paragraph"/>
    <w:rsid w:val="0075337D"/>
    <w:rPr>
      <w:rFonts w:ascii="Times New Roman" w:eastAsia="Times New Roman" w:hAnsi="Times New Roman" w:cs="Times New Roman"/>
      <w:sz w:val="24"/>
      <w:szCs w:val="20"/>
      <w:lang w:val="en-US" w:eastAsia="en-GB"/>
    </w:r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qFormat/>
    <w:rsid w:val="00F10FC6"/>
    <w:pPr>
      <w:keepNext/>
      <w:keepLines/>
      <w:spacing w:after="120" w:line="240" w:lineRule="auto"/>
      <w:ind w:left="288" w:hanging="288"/>
      <w:jc w:val="both"/>
    </w:pPr>
    <w:rPr>
      <w:rFonts w:ascii="Times New Roman" w:hAnsi="Times New Roman" w:cs="Times New Roman"/>
      <w:spacing w:val="-3"/>
      <w:sz w:val="20"/>
      <w:szCs w:val="20"/>
      <w:lang w:val="en-US"/>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F10FC6"/>
    <w:rPr>
      <w:rFonts w:ascii="Times New Roman" w:eastAsiaTheme="minorEastAsia" w:hAnsi="Times New Roman" w:cs="Times New Roman"/>
      <w:spacing w:val="-3"/>
      <w:sz w:val="20"/>
      <w:szCs w:val="20"/>
      <w:lang w:val="en-US" w:eastAsia="en-GB"/>
    </w:rPr>
  </w:style>
  <w:style w:type="character" w:styleId="FootnoteReference">
    <w:name w:val="footnote reference"/>
    <w:aliases w:val="ftref,Fußnotenzeichen DISS,16 Point,Superscript 6 Point,BVI fnr, BVI fnr,Знак сноски 1,referencia nota al pie,titulo 2,FC,Footnote Referencefra,Ref. de nota al pie.,Stinking Styles11,Texto de nota al pie,Footnote symbol,Footnote,fr"/>
    <w:basedOn w:val="DefaultParagraphFont"/>
    <w:uiPriority w:val="99"/>
    <w:unhideWhenUsed/>
    <w:qFormat/>
    <w:rsid w:val="00F10FC6"/>
    <w:rPr>
      <w:vertAlign w:val="superscript"/>
    </w:rPr>
  </w:style>
  <w:style w:type="paragraph" w:customStyle="1" w:styleId="Chapter">
    <w:name w:val="Chapter"/>
    <w:basedOn w:val="Normal"/>
    <w:next w:val="Normal"/>
    <w:qFormat/>
    <w:rsid w:val="0075337D"/>
    <w:pPr>
      <w:keepNext/>
      <w:numPr>
        <w:numId w:val="2"/>
      </w:numPr>
      <w:tabs>
        <w:tab w:val="left" w:pos="1440"/>
      </w:tabs>
      <w:spacing w:before="240" w:after="240" w:line="240" w:lineRule="auto"/>
      <w:jc w:val="center"/>
    </w:pPr>
    <w:rPr>
      <w:rFonts w:ascii="Times New Roman" w:eastAsia="Times New Roman" w:hAnsi="Times New Roman" w:cs="Times New Roman"/>
      <w:b/>
      <w:smallCaps/>
      <w:sz w:val="24"/>
      <w:szCs w:val="20"/>
      <w:lang w:val="en-US"/>
    </w:rPr>
  </w:style>
  <w:style w:type="paragraph" w:customStyle="1" w:styleId="subpar">
    <w:name w:val="subpar"/>
    <w:basedOn w:val="BodyTextIndent3"/>
    <w:link w:val="subparChar"/>
    <w:rsid w:val="0075337D"/>
    <w:pPr>
      <w:numPr>
        <w:ilvl w:val="2"/>
        <w:numId w:val="2"/>
      </w:numPr>
      <w:spacing w:before="120"/>
      <w:jc w:val="both"/>
      <w:outlineLvl w:val="2"/>
    </w:pPr>
    <w:rPr>
      <w:rFonts w:eastAsia="Times New Roman"/>
      <w:szCs w:val="20"/>
      <w:lang w:val="en-US"/>
    </w:rPr>
  </w:style>
  <w:style w:type="paragraph" w:customStyle="1" w:styleId="SubSubPar">
    <w:name w:val="SubSubPar"/>
    <w:basedOn w:val="subpar"/>
    <w:link w:val="SubSubParChar"/>
    <w:rsid w:val="0075337D"/>
    <w:pPr>
      <w:numPr>
        <w:ilvl w:val="3"/>
        <w:numId w:val="0"/>
      </w:numPr>
      <w:tabs>
        <w:tab w:val="left" w:pos="0"/>
        <w:tab w:val="num" w:pos="1296"/>
      </w:tabs>
      <w:ind w:left="1296"/>
    </w:pPr>
  </w:style>
  <w:style w:type="paragraph" w:styleId="BodyTextIndent3">
    <w:name w:val="Body Text Indent 3"/>
    <w:basedOn w:val="Normal"/>
    <w:link w:val="BodyTextIndent3Char"/>
    <w:uiPriority w:val="99"/>
    <w:semiHidden/>
    <w:unhideWhenUsed/>
    <w:rsid w:val="00F10FC6"/>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F10FC6"/>
    <w:rPr>
      <w:rFonts w:ascii="Times New Roman" w:eastAsiaTheme="minorEastAsia" w:hAnsi="Times New Roman" w:cs="Times New Roman"/>
      <w:sz w:val="24"/>
      <w:szCs w:val="16"/>
      <w:lang w:val="en-GB" w:eastAsia="en-GB"/>
    </w:rPr>
  </w:style>
  <w:style w:type="character" w:styleId="CommentReference">
    <w:name w:val="annotation reference"/>
    <w:basedOn w:val="DefaultParagraphFont"/>
    <w:uiPriority w:val="99"/>
    <w:semiHidden/>
    <w:unhideWhenUsed/>
    <w:rsid w:val="00F10FC6"/>
    <w:rPr>
      <w:sz w:val="16"/>
      <w:szCs w:val="16"/>
    </w:rPr>
  </w:style>
  <w:style w:type="paragraph" w:styleId="CommentText">
    <w:name w:val="annotation text"/>
    <w:basedOn w:val="Normal"/>
    <w:link w:val="CommentTextChar"/>
    <w:semiHidden/>
    <w:unhideWhenUsed/>
    <w:rsid w:val="00F10FC6"/>
    <w:pPr>
      <w:spacing w:line="240" w:lineRule="auto"/>
    </w:pPr>
    <w:rPr>
      <w:sz w:val="20"/>
      <w:szCs w:val="20"/>
    </w:rPr>
  </w:style>
  <w:style w:type="character" w:customStyle="1" w:styleId="CommentTextChar">
    <w:name w:val="Comment Text Char"/>
    <w:basedOn w:val="DefaultParagraphFont"/>
    <w:link w:val="CommentText"/>
    <w:uiPriority w:val="99"/>
    <w:semiHidden/>
    <w:rsid w:val="00F10FC6"/>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F10FC6"/>
    <w:rPr>
      <w:b/>
      <w:bCs/>
    </w:rPr>
  </w:style>
  <w:style w:type="character" w:customStyle="1" w:styleId="CommentSubjectChar">
    <w:name w:val="Comment Subject Char"/>
    <w:basedOn w:val="CommentTextChar"/>
    <w:link w:val="CommentSubject"/>
    <w:uiPriority w:val="99"/>
    <w:semiHidden/>
    <w:rsid w:val="00F10FC6"/>
    <w:rPr>
      <w:rFonts w:eastAsiaTheme="minorEastAsia"/>
      <w:b/>
      <w:bCs/>
      <w:sz w:val="20"/>
      <w:szCs w:val="20"/>
      <w:lang w:val="en-GB" w:eastAsia="en-GB"/>
    </w:rPr>
  </w:style>
  <w:style w:type="character" w:customStyle="1" w:styleId="SubSubParChar">
    <w:name w:val="SubSubPar Char"/>
    <w:basedOn w:val="DefaultParagraphFont"/>
    <w:link w:val="SubSubPar"/>
    <w:rsid w:val="0075337D"/>
    <w:rPr>
      <w:rFonts w:ascii="Times New Roman" w:eastAsia="Times New Roman" w:hAnsi="Times New Roman" w:cs="Times New Roman"/>
      <w:sz w:val="24"/>
      <w:szCs w:val="20"/>
      <w:lang w:val="en-US" w:eastAsia="en-GB"/>
    </w:rPr>
  </w:style>
  <w:style w:type="paragraph" w:styleId="BodyText">
    <w:name w:val="Body Text"/>
    <w:basedOn w:val="Normal"/>
    <w:link w:val="BodyTextChar"/>
    <w:uiPriority w:val="99"/>
    <w:semiHidden/>
    <w:unhideWhenUsed/>
    <w:rsid w:val="00F10FC6"/>
    <w:pPr>
      <w:spacing w:after="120"/>
    </w:pPr>
  </w:style>
  <w:style w:type="character" w:customStyle="1" w:styleId="BodyTextChar">
    <w:name w:val="Body Text Char"/>
    <w:basedOn w:val="DefaultParagraphFont"/>
    <w:link w:val="BodyText"/>
    <w:uiPriority w:val="99"/>
    <w:semiHidden/>
    <w:rsid w:val="00F10FC6"/>
    <w:rPr>
      <w:rFonts w:eastAsiaTheme="minorEastAsia"/>
      <w:lang w:val="en-GB" w:eastAsia="en-GB"/>
    </w:rPr>
  </w:style>
  <w:style w:type="character" w:customStyle="1" w:styleId="apple-converted-space">
    <w:name w:val="apple-converted-space"/>
    <w:basedOn w:val="DefaultParagraphFont"/>
    <w:rsid w:val="00F10FC6"/>
  </w:style>
  <w:style w:type="character" w:customStyle="1" w:styleId="letrasmini">
    <w:name w:val="letrasmini"/>
    <w:basedOn w:val="DefaultParagraphFont"/>
    <w:rsid w:val="00F10FC6"/>
  </w:style>
  <w:style w:type="table" w:styleId="LightList">
    <w:name w:val="Light List"/>
    <w:basedOn w:val="TableNormal"/>
    <w:uiPriority w:val="61"/>
    <w:rsid w:val="00F10FC6"/>
    <w:pPr>
      <w:spacing w:after="0" w:line="240" w:lineRule="auto"/>
    </w:pPr>
    <w:rPr>
      <w:rFonts w:eastAsiaTheme="minorEastAsia"/>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rstHeading">
    <w:name w:val="FirstHeading"/>
    <w:basedOn w:val="Normal"/>
    <w:next w:val="Normal"/>
    <w:link w:val="FirstHeadingChar"/>
    <w:rsid w:val="0075337D"/>
    <w:pPr>
      <w:keepNext/>
      <w:numPr>
        <w:numId w:val="3"/>
      </w:numPr>
      <w:tabs>
        <w:tab w:val="left" w:pos="0"/>
        <w:tab w:val="left" w:pos="86"/>
      </w:tabs>
      <w:spacing w:before="120" w:after="120" w:line="240" w:lineRule="auto"/>
    </w:pPr>
    <w:rPr>
      <w:rFonts w:ascii="Times New Roman" w:hAnsi="Times New Roman" w:cs="Times New Roman"/>
      <w:b/>
      <w:sz w:val="24"/>
      <w:szCs w:val="24"/>
      <w:lang w:val="en-US"/>
    </w:rPr>
  </w:style>
  <w:style w:type="character" w:customStyle="1" w:styleId="FirstHeadingChar">
    <w:name w:val="FirstHeading Char"/>
    <w:basedOn w:val="DefaultParagraphFont"/>
    <w:link w:val="FirstHeading"/>
    <w:rsid w:val="0075337D"/>
    <w:rPr>
      <w:rFonts w:ascii="Times New Roman" w:eastAsiaTheme="minorEastAsia" w:hAnsi="Times New Roman" w:cs="Times New Roman"/>
      <w:b/>
      <w:sz w:val="24"/>
      <w:szCs w:val="24"/>
      <w:lang w:val="en-US" w:eastAsia="en-GB"/>
    </w:rPr>
  </w:style>
  <w:style w:type="paragraph" w:customStyle="1" w:styleId="SecHeading">
    <w:name w:val="SecHeading"/>
    <w:basedOn w:val="Normal"/>
    <w:next w:val="Paragraph"/>
    <w:link w:val="SecHeadingChar"/>
    <w:rsid w:val="0075337D"/>
    <w:pPr>
      <w:keepNext/>
      <w:numPr>
        <w:ilvl w:val="1"/>
        <w:numId w:val="3"/>
      </w:numPr>
      <w:spacing w:before="120" w:after="120" w:line="240" w:lineRule="auto"/>
    </w:pPr>
    <w:rPr>
      <w:rFonts w:ascii="Times New Roman" w:hAnsi="Times New Roman" w:cs="Times New Roman"/>
      <w:b/>
      <w:sz w:val="24"/>
      <w:szCs w:val="24"/>
      <w:lang w:val="en-US"/>
    </w:rPr>
  </w:style>
  <w:style w:type="character" w:customStyle="1" w:styleId="SecHeadingChar">
    <w:name w:val="SecHeading Char"/>
    <w:basedOn w:val="DefaultParagraphFont"/>
    <w:link w:val="SecHeading"/>
    <w:rsid w:val="0075337D"/>
    <w:rPr>
      <w:rFonts w:ascii="Times New Roman" w:eastAsiaTheme="minorEastAsia" w:hAnsi="Times New Roman" w:cs="Times New Roman"/>
      <w:b/>
      <w:sz w:val="24"/>
      <w:szCs w:val="24"/>
      <w:lang w:val="en-US" w:eastAsia="en-GB"/>
    </w:rPr>
  </w:style>
  <w:style w:type="paragraph" w:customStyle="1" w:styleId="SubHeading1">
    <w:name w:val="SubHeading1"/>
    <w:basedOn w:val="SecHeading"/>
    <w:link w:val="SubHeading1Char"/>
    <w:rsid w:val="0075337D"/>
    <w:pPr>
      <w:numPr>
        <w:ilvl w:val="2"/>
      </w:numPr>
    </w:pPr>
  </w:style>
  <w:style w:type="character" w:customStyle="1" w:styleId="SubHeading1Char">
    <w:name w:val="SubHeading1 Char"/>
    <w:basedOn w:val="DefaultParagraphFont"/>
    <w:link w:val="SubHeading1"/>
    <w:rsid w:val="0075337D"/>
    <w:rPr>
      <w:rFonts w:ascii="Times New Roman" w:eastAsiaTheme="minorEastAsia" w:hAnsi="Times New Roman" w:cs="Times New Roman"/>
      <w:b/>
      <w:sz w:val="24"/>
      <w:szCs w:val="24"/>
      <w:lang w:val="en-US" w:eastAsia="en-GB"/>
    </w:rPr>
  </w:style>
  <w:style w:type="paragraph" w:customStyle="1" w:styleId="Subheading2">
    <w:name w:val="Subheading2"/>
    <w:basedOn w:val="SecHeading"/>
    <w:link w:val="Subheading2Char"/>
    <w:rsid w:val="0075337D"/>
    <w:pPr>
      <w:numPr>
        <w:ilvl w:val="3"/>
      </w:numPr>
      <w:tabs>
        <w:tab w:val="clear" w:pos="6480"/>
        <w:tab w:val="num" w:pos="2376"/>
      </w:tabs>
      <w:ind w:left="2376"/>
    </w:pPr>
  </w:style>
  <w:style w:type="character" w:customStyle="1" w:styleId="Subheading2Char">
    <w:name w:val="Subheading2 Char"/>
    <w:basedOn w:val="DefaultParagraphFont"/>
    <w:link w:val="Subheading2"/>
    <w:rsid w:val="0075337D"/>
    <w:rPr>
      <w:rFonts w:ascii="Times New Roman" w:eastAsiaTheme="minorEastAsia" w:hAnsi="Times New Roman" w:cs="Times New Roman"/>
      <w:b/>
      <w:sz w:val="24"/>
      <w:szCs w:val="24"/>
      <w:lang w:val="en-US" w:eastAsia="en-GB"/>
    </w:rPr>
  </w:style>
  <w:style w:type="paragraph" w:customStyle="1" w:styleId="Regtable">
    <w:name w:val="Regtable"/>
    <w:basedOn w:val="Normal"/>
    <w:link w:val="RegtableChar"/>
    <w:rsid w:val="0075337D"/>
    <w:pPr>
      <w:keepLines/>
      <w:framePr w:wrap="around" w:vAnchor="text" w:hAnchor="text" w:y="1"/>
      <w:spacing w:before="20" w:after="20" w:line="240" w:lineRule="auto"/>
    </w:pPr>
    <w:rPr>
      <w:rFonts w:ascii="Times New Roman" w:hAnsi="Times New Roman" w:cs="Times New Roman"/>
      <w:sz w:val="20"/>
      <w:szCs w:val="24"/>
      <w:lang w:val="en-US"/>
    </w:rPr>
  </w:style>
  <w:style w:type="character" w:customStyle="1" w:styleId="RegtableChar">
    <w:name w:val="Regtable Char"/>
    <w:basedOn w:val="DefaultParagraphFont"/>
    <w:link w:val="Regtable"/>
    <w:rsid w:val="0075337D"/>
    <w:rPr>
      <w:rFonts w:ascii="Times New Roman" w:eastAsiaTheme="minorEastAsia" w:hAnsi="Times New Roman" w:cs="Times New Roman"/>
      <w:sz w:val="20"/>
      <w:szCs w:val="24"/>
      <w:lang w:val="en-US" w:eastAsia="en-GB"/>
    </w:rPr>
  </w:style>
  <w:style w:type="paragraph" w:customStyle="1" w:styleId="TableTitle">
    <w:name w:val="TableTitle"/>
    <w:basedOn w:val="Normal"/>
    <w:link w:val="TableTitleChar"/>
    <w:rsid w:val="0075337D"/>
    <w:pPr>
      <w:keepNext/>
      <w:framePr w:wrap="around" w:vAnchor="text" w:hAnchor="text" w:y="1"/>
      <w:spacing w:before="20" w:after="20" w:line="240" w:lineRule="auto"/>
      <w:jc w:val="center"/>
    </w:pPr>
    <w:rPr>
      <w:rFonts w:ascii="Times New Roman Bold" w:hAnsi="Times New Roman Bold" w:cs="Times New Roman"/>
      <w:b/>
      <w:spacing w:val="-3"/>
      <w:sz w:val="20"/>
      <w:szCs w:val="24"/>
      <w:lang w:val="en-US"/>
    </w:rPr>
  </w:style>
  <w:style w:type="character" w:customStyle="1" w:styleId="TableTitleChar">
    <w:name w:val="TableTitle Char"/>
    <w:basedOn w:val="DefaultParagraphFont"/>
    <w:link w:val="TableTitle"/>
    <w:rsid w:val="0075337D"/>
    <w:rPr>
      <w:rFonts w:ascii="Times New Roman Bold" w:eastAsiaTheme="minorEastAsia" w:hAnsi="Times New Roman Bold" w:cs="Times New Roman"/>
      <w:b/>
      <w:spacing w:val="-3"/>
      <w:sz w:val="20"/>
      <w:szCs w:val="24"/>
      <w:lang w:val="en-US" w:eastAsia="en-GB"/>
    </w:rPr>
  </w:style>
  <w:style w:type="character" w:customStyle="1" w:styleId="Heading3Char">
    <w:name w:val="Heading 3 Char"/>
    <w:basedOn w:val="DefaultParagraphFont"/>
    <w:link w:val="Heading3"/>
    <w:uiPriority w:val="9"/>
    <w:semiHidden/>
    <w:rsid w:val="00586FC8"/>
    <w:rPr>
      <w:rFonts w:asciiTheme="majorHAnsi" w:eastAsiaTheme="majorEastAsia" w:hAnsiTheme="majorHAnsi" w:cstheme="majorBidi"/>
      <w:b/>
      <w:bCs/>
      <w:color w:val="4F81BD" w:themeColor="accent1"/>
      <w:lang w:val="en-GB" w:eastAsia="en-GB"/>
    </w:rPr>
  </w:style>
  <w:style w:type="character" w:customStyle="1" w:styleId="Heading5Char">
    <w:name w:val="Heading 5 Char"/>
    <w:basedOn w:val="DefaultParagraphFont"/>
    <w:link w:val="Heading5"/>
    <w:uiPriority w:val="9"/>
    <w:semiHidden/>
    <w:rsid w:val="0075337D"/>
    <w:rPr>
      <w:rFonts w:asciiTheme="majorHAnsi" w:eastAsiaTheme="majorEastAsia" w:hAnsiTheme="majorHAnsi" w:cstheme="majorBidi"/>
      <w:color w:val="243F60" w:themeColor="accent1" w:themeShade="7F"/>
      <w:lang w:val="en-GB" w:eastAsia="en-GB"/>
    </w:rPr>
  </w:style>
  <w:style w:type="character" w:customStyle="1" w:styleId="Heading6Char">
    <w:name w:val="Heading 6 Char"/>
    <w:basedOn w:val="DefaultParagraphFont"/>
    <w:link w:val="Heading6"/>
    <w:uiPriority w:val="9"/>
    <w:semiHidden/>
    <w:rsid w:val="0075337D"/>
    <w:rPr>
      <w:rFonts w:asciiTheme="majorHAnsi" w:eastAsiaTheme="majorEastAsia" w:hAnsiTheme="majorHAnsi" w:cstheme="majorBidi"/>
      <w:i/>
      <w:iCs/>
      <w:color w:val="243F60" w:themeColor="accent1" w:themeShade="7F"/>
      <w:lang w:val="en-GB" w:eastAsia="en-GB"/>
    </w:rPr>
  </w:style>
  <w:style w:type="character" w:customStyle="1" w:styleId="Heading7Char">
    <w:name w:val="Heading 7 Char"/>
    <w:basedOn w:val="DefaultParagraphFont"/>
    <w:link w:val="Heading7"/>
    <w:uiPriority w:val="9"/>
    <w:semiHidden/>
    <w:rsid w:val="0075337D"/>
    <w:rPr>
      <w:rFonts w:asciiTheme="majorHAnsi" w:eastAsiaTheme="majorEastAsia" w:hAnsiTheme="majorHAnsi" w:cstheme="majorBidi"/>
      <w:i/>
      <w:iCs/>
      <w:color w:val="404040" w:themeColor="text1" w:themeTint="BF"/>
      <w:lang w:val="en-GB" w:eastAsia="en-GB"/>
    </w:rPr>
  </w:style>
  <w:style w:type="character" w:customStyle="1" w:styleId="Heading8Char">
    <w:name w:val="Heading 8 Char"/>
    <w:basedOn w:val="DefaultParagraphFont"/>
    <w:link w:val="Heading8"/>
    <w:uiPriority w:val="9"/>
    <w:rsid w:val="0075337D"/>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75337D"/>
    <w:rPr>
      <w:rFonts w:asciiTheme="majorHAnsi" w:eastAsiaTheme="majorEastAsia" w:hAnsiTheme="majorHAnsi" w:cstheme="majorBidi"/>
      <w:i/>
      <w:iCs/>
      <w:color w:val="404040" w:themeColor="text1" w:themeTint="BF"/>
      <w:sz w:val="20"/>
      <w:szCs w:val="20"/>
      <w:lang w:val="en-GB" w:eastAsia="en-GB"/>
    </w:rPr>
  </w:style>
  <w:style w:type="character" w:customStyle="1" w:styleId="ListParagraphChar">
    <w:name w:val="List Paragraph Char"/>
    <w:basedOn w:val="DefaultParagraphFont"/>
    <w:link w:val="ListParagraph"/>
    <w:uiPriority w:val="34"/>
    <w:rsid w:val="00C8175E"/>
    <w:rPr>
      <w:rFonts w:eastAsiaTheme="minorEastAsia"/>
      <w:lang w:val="en-GB" w:eastAsia="en-GB"/>
    </w:rPr>
  </w:style>
  <w:style w:type="paragraph" w:styleId="Header">
    <w:name w:val="header"/>
    <w:basedOn w:val="Normal"/>
    <w:link w:val="HeaderChar"/>
    <w:uiPriority w:val="99"/>
    <w:unhideWhenUsed/>
    <w:rsid w:val="004C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AAC"/>
    <w:rPr>
      <w:rFonts w:eastAsiaTheme="minorEastAsia"/>
      <w:lang w:val="en-GB" w:eastAsia="en-GB"/>
    </w:rPr>
  </w:style>
  <w:style w:type="paragraph" w:styleId="Footer">
    <w:name w:val="footer"/>
    <w:basedOn w:val="Normal"/>
    <w:link w:val="FooterChar"/>
    <w:uiPriority w:val="99"/>
    <w:unhideWhenUsed/>
    <w:rsid w:val="004C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AAC"/>
    <w:rPr>
      <w:rFonts w:eastAsiaTheme="minorEastAsia"/>
      <w:lang w:val="en-GB" w:eastAsia="en-GB"/>
    </w:rPr>
  </w:style>
  <w:style w:type="character" w:customStyle="1" w:styleId="subparChar">
    <w:name w:val="subpar Char"/>
    <w:link w:val="subpar"/>
    <w:rsid w:val="00207F0D"/>
    <w:rPr>
      <w:rFonts w:ascii="Times New Roman" w:eastAsia="Times New Roman" w:hAnsi="Times New Roman" w:cs="Times New Roman"/>
      <w:sz w:val="24"/>
      <w:szCs w:val="20"/>
      <w:lang w:val="en-US" w:eastAsia="en-GB"/>
    </w:rPr>
  </w:style>
  <w:style w:type="character" w:customStyle="1" w:styleId="A8">
    <w:name w:val="A8"/>
    <w:uiPriority w:val="99"/>
    <w:rsid w:val="00207F0D"/>
    <w:rPr>
      <w:rFonts w:cs="GillSans Light"/>
      <w:color w:val="000000"/>
      <w:sz w:val="22"/>
      <w:szCs w:val="22"/>
    </w:rPr>
  </w:style>
  <w:style w:type="paragraph" w:customStyle="1" w:styleId="Fuentesyreferencias">
    <w:name w:val="Fuentes y referencias"/>
    <w:basedOn w:val="Normal"/>
    <w:link w:val="FuentesyreferenciasCar"/>
    <w:qFormat/>
    <w:rsid w:val="00207F0D"/>
    <w:pPr>
      <w:spacing w:after="0"/>
      <w:jc w:val="center"/>
    </w:pPr>
    <w:rPr>
      <w:rFonts w:ascii="Arial" w:eastAsia="Cambria" w:hAnsi="Arial" w:cs="Arial"/>
      <w:sz w:val="14"/>
      <w:szCs w:val="14"/>
      <w:lang w:val="es-MX" w:eastAsia="es-MX"/>
    </w:rPr>
  </w:style>
  <w:style w:type="character" w:customStyle="1" w:styleId="FuentesyreferenciasCar">
    <w:name w:val="Fuentes y referencias Car"/>
    <w:link w:val="Fuentesyreferencias"/>
    <w:rsid w:val="00207F0D"/>
    <w:rPr>
      <w:rFonts w:ascii="Arial" w:eastAsia="Cambria" w:hAnsi="Arial" w:cs="Arial"/>
      <w:sz w:val="14"/>
      <w:szCs w:val="14"/>
      <w:lang w:val="es-MX" w:eastAsia="es-MX"/>
    </w:rPr>
  </w:style>
  <w:style w:type="paragraph" w:customStyle="1" w:styleId="Graficas">
    <w:name w:val="Graficas"/>
    <w:basedOn w:val="Normal"/>
    <w:link w:val="GraficasCar"/>
    <w:qFormat/>
    <w:rsid w:val="00207F0D"/>
    <w:pPr>
      <w:spacing w:after="0"/>
      <w:jc w:val="center"/>
    </w:pPr>
    <w:rPr>
      <w:rFonts w:ascii="Arial" w:eastAsia="Cambria" w:hAnsi="Arial" w:cs="Arial"/>
      <w:b/>
      <w:sz w:val="16"/>
      <w:szCs w:val="16"/>
      <w:lang w:val="es-MX" w:eastAsia="en-US"/>
    </w:rPr>
  </w:style>
  <w:style w:type="character" w:customStyle="1" w:styleId="GraficasCar">
    <w:name w:val="Graficas Car"/>
    <w:link w:val="Graficas"/>
    <w:rsid w:val="00207F0D"/>
    <w:rPr>
      <w:rFonts w:ascii="Arial" w:eastAsia="Cambria" w:hAnsi="Arial" w:cs="Arial"/>
      <w:b/>
      <w:sz w:val="16"/>
      <w:szCs w:val="16"/>
      <w:lang w:val="es-MX"/>
    </w:rPr>
  </w:style>
  <w:style w:type="character" w:styleId="BookTitle">
    <w:name w:val="Book Title"/>
    <w:uiPriority w:val="33"/>
    <w:qFormat/>
    <w:rsid w:val="00BA11FB"/>
    <w:rPr>
      <w:b/>
      <w:bCs/>
      <w:smallCaps/>
      <w:spacing w:val="5"/>
    </w:rPr>
  </w:style>
  <w:style w:type="paragraph" w:customStyle="1" w:styleId="Newpage">
    <w:name w:val="Newpage"/>
    <w:basedOn w:val="Chapter"/>
    <w:rsid w:val="00D9415C"/>
    <w:pPr>
      <w:numPr>
        <w:numId w:val="0"/>
      </w:numPr>
      <w:tabs>
        <w:tab w:val="clear" w:pos="1440"/>
        <w:tab w:val="left" w:pos="3060"/>
      </w:tabs>
      <w:spacing w:after="0"/>
    </w:pPr>
    <w:rPr>
      <w:lang w:val="es-ES" w:eastAsia="en-US"/>
    </w:rPr>
  </w:style>
  <w:style w:type="table" w:customStyle="1" w:styleId="Sombreadoclaro2">
    <w:name w:val="Sombreado claro2"/>
    <w:basedOn w:val="TableNormal"/>
    <w:uiPriority w:val="60"/>
    <w:rsid w:val="00470A02"/>
    <w:pPr>
      <w:spacing w:after="0" w:line="240" w:lineRule="auto"/>
    </w:pPr>
    <w:rPr>
      <w:rFonts w:ascii="Arial Narrow" w:eastAsia="Times New Roman" w:hAnsi="Arial Narrow"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37">
      <w:bodyDiv w:val="1"/>
      <w:marLeft w:val="0"/>
      <w:marRight w:val="0"/>
      <w:marTop w:val="0"/>
      <w:marBottom w:val="0"/>
      <w:divBdr>
        <w:top w:val="none" w:sz="0" w:space="0" w:color="auto"/>
        <w:left w:val="none" w:sz="0" w:space="0" w:color="auto"/>
        <w:bottom w:val="none" w:sz="0" w:space="0" w:color="auto"/>
        <w:right w:val="none" w:sz="0" w:space="0" w:color="auto"/>
      </w:divBdr>
    </w:div>
    <w:div w:id="13580096">
      <w:bodyDiv w:val="1"/>
      <w:marLeft w:val="0"/>
      <w:marRight w:val="0"/>
      <w:marTop w:val="0"/>
      <w:marBottom w:val="0"/>
      <w:divBdr>
        <w:top w:val="none" w:sz="0" w:space="0" w:color="auto"/>
        <w:left w:val="none" w:sz="0" w:space="0" w:color="auto"/>
        <w:bottom w:val="none" w:sz="0" w:space="0" w:color="auto"/>
        <w:right w:val="none" w:sz="0" w:space="0" w:color="auto"/>
      </w:divBdr>
    </w:div>
    <w:div w:id="196479212">
      <w:bodyDiv w:val="1"/>
      <w:marLeft w:val="0"/>
      <w:marRight w:val="0"/>
      <w:marTop w:val="0"/>
      <w:marBottom w:val="0"/>
      <w:divBdr>
        <w:top w:val="none" w:sz="0" w:space="0" w:color="auto"/>
        <w:left w:val="none" w:sz="0" w:space="0" w:color="auto"/>
        <w:bottom w:val="none" w:sz="0" w:space="0" w:color="auto"/>
        <w:right w:val="none" w:sz="0" w:space="0" w:color="auto"/>
      </w:divBdr>
    </w:div>
    <w:div w:id="301622739">
      <w:bodyDiv w:val="1"/>
      <w:marLeft w:val="0"/>
      <w:marRight w:val="0"/>
      <w:marTop w:val="0"/>
      <w:marBottom w:val="0"/>
      <w:divBdr>
        <w:top w:val="none" w:sz="0" w:space="0" w:color="auto"/>
        <w:left w:val="none" w:sz="0" w:space="0" w:color="auto"/>
        <w:bottom w:val="none" w:sz="0" w:space="0" w:color="auto"/>
        <w:right w:val="none" w:sz="0" w:space="0" w:color="auto"/>
      </w:divBdr>
    </w:div>
    <w:div w:id="420028931">
      <w:bodyDiv w:val="1"/>
      <w:marLeft w:val="0"/>
      <w:marRight w:val="0"/>
      <w:marTop w:val="0"/>
      <w:marBottom w:val="0"/>
      <w:divBdr>
        <w:top w:val="none" w:sz="0" w:space="0" w:color="auto"/>
        <w:left w:val="none" w:sz="0" w:space="0" w:color="auto"/>
        <w:bottom w:val="none" w:sz="0" w:space="0" w:color="auto"/>
        <w:right w:val="none" w:sz="0" w:space="0" w:color="auto"/>
      </w:divBdr>
    </w:div>
    <w:div w:id="451629743">
      <w:bodyDiv w:val="1"/>
      <w:marLeft w:val="0"/>
      <w:marRight w:val="0"/>
      <w:marTop w:val="0"/>
      <w:marBottom w:val="0"/>
      <w:divBdr>
        <w:top w:val="none" w:sz="0" w:space="0" w:color="auto"/>
        <w:left w:val="none" w:sz="0" w:space="0" w:color="auto"/>
        <w:bottom w:val="none" w:sz="0" w:space="0" w:color="auto"/>
        <w:right w:val="none" w:sz="0" w:space="0" w:color="auto"/>
      </w:divBdr>
    </w:div>
    <w:div w:id="572810918">
      <w:bodyDiv w:val="1"/>
      <w:marLeft w:val="0"/>
      <w:marRight w:val="0"/>
      <w:marTop w:val="0"/>
      <w:marBottom w:val="0"/>
      <w:divBdr>
        <w:top w:val="none" w:sz="0" w:space="0" w:color="auto"/>
        <w:left w:val="none" w:sz="0" w:space="0" w:color="auto"/>
        <w:bottom w:val="none" w:sz="0" w:space="0" w:color="auto"/>
        <w:right w:val="none" w:sz="0" w:space="0" w:color="auto"/>
      </w:divBdr>
    </w:div>
    <w:div w:id="625820566">
      <w:bodyDiv w:val="1"/>
      <w:marLeft w:val="0"/>
      <w:marRight w:val="0"/>
      <w:marTop w:val="0"/>
      <w:marBottom w:val="0"/>
      <w:divBdr>
        <w:top w:val="none" w:sz="0" w:space="0" w:color="auto"/>
        <w:left w:val="none" w:sz="0" w:space="0" w:color="auto"/>
        <w:bottom w:val="none" w:sz="0" w:space="0" w:color="auto"/>
        <w:right w:val="none" w:sz="0" w:space="0" w:color="auto"/>
      </w:divBdr>
    </w:div>
    <w:div w:id="757480745">
      <w:bodyDiv w:val="1"/>
      <w:marLeft w:val="0"/>
      <w:marRight w:val="0"/>
      <w:marTop w:val="0"/>
      <w:marBottom w:val="0"/>
      <w:divBdr>
        <w:top w:val="none" w:sz="0" w:space="0" w:color="auto"/>
        <w:left w:val="none" w:sz="0" w:space="0" w:color="auto"/>
        <w:bottom w:val="none" w:sz="0" w:space="0" w:color="auto"/>
        <w:right w:val="none" w:sz="0" w:space="0" w:color="auto"/>
      </w:divBdr>
    </w:div>
    <w:div w:id="792214594">
      <w:bodyDiv w:val="1"/>
      <w:marLeft w:val="0"/>
      <w:marRight w:val="0"/>
      <w:marTop w:val="0"/>
      <w:marBottom w:val="0"/>
      <w:divBdr>
        <w:top w:val="none" w:sz="0" w:space="0" w:color="auto"/>
        <w:left w:val="none" w:sz="0" w:space="0" w:color="auto"/>
        <w:bottom w:val="none" w:sz="0" w:space="0" w:color="auto"/>
        <w:right w:val="none" w:sz="0" w:space="0" w:color="auto"/>
      </w:divBdr>
    </w:div>
    <w:div w:id="833376007">
      <w:bodyDiv w:val="1"/>
      <w:marLeft w:val="0"/>
      <w:marRight w:val="0"/>
      <w:marTop w:val="0"/>
      <w:marBottom w:val="0"/>
      <w:divBdr>
        <w:top w:val="none" w:sz="0" w:space="0" w:color="auto"/>
        <w:left w:val="none" w:sz="0" w:space="0" w:color="auto"/>
        <w:bottom w:val="none" w:sz="0" w:space="0" w:color="auto"/>
        <w:right w:val="none" w:sz="0" w:space="0" w:color="auto"/>
      </w:divBdr>
    </w:div>
    <w:div w:id="878319596">
      <w:bodyDiv w:val="1"/>
      <w:marLeft w:val="0"/>
      <w:marRight w:val="0"/>
      <w:marTop w:val="0"/>
      <w:marBottom w:val="0"/>
      <w:divBdr>
        <w:top w:val="none" w:sz="0" w:space="0" w:color="auto"/>
        <w:left w:val="none" w:sz="0" w:space="0" w:color="auto"/>
        <w:bottom w:val="none" w:sz="0" w:space="0" w:color="auto"/>
        <w:right w:val="none" w:sz="0" w:space="0" w:color="auto"/>
      </w:divBdr>
    </w:div>
    <w:div w:id="1126776450">
      <w:bodyDiv w:val="1"/>
      <w:marLeft w:val="0"/>
      <w:marRight w:val="0"/>
      <w:marTop w:val="0"/>
      <w:marBottom w:val="0"/>
      <w:divBdr>
        <w:top w:val="none" w:sz="0" w:space="0" w:color="auto"/>
        <w:left w:val="none" w:sz="0" w:space="0" w:color="auto"/>
        <w:bottom w:val="none" w:sz="0" w:space="0" w:color="auto"/>
        <w:right w:val="none" w:sz="0" w:space="0" w:color="auto"/>
      </w:divBdr>
    </w:div>
    <w:div w:id="1136525501">
      <w:bodyDiv w:val="1"/>
      <w:marLeft w:val="0"/>
      <w:marRight w:val="0"/>
      <w:marTop w:val="0"/>
      <w:marBottom w:val="0"/>
      <w:divBdr>
        <w:top w:val="none" w:sz="0" w:space="0" w:color="auto"/>
        <w:left w:val="none" w:sz="0" w:space="0" w:color="auto"/>
        <w:bottom w:val="none" w:sz="0" w:space="0" w:color="auto"/>
        <w:right w:val="none" w:sz="0" w:space="0" w:color="auto"/>
      </w:divBdr>
    </w:div>
    <w:div w:id="1205949041">
      <w:bodyDiv w:val="1"/>
      <w:marLeft w:val="0"/>
      <w:marRight w:val="0"/>
      <w:marTop w:val="0"/>
      <w:marBottom w:val="0"/>
      <w:divBdr>
        <w:top w:val="none" w:sz="0" w:space="0" w:color="auto"/>
        <w:left w:val="none" w:sz="0" w:space="0" w:color="auto"/>
        <w:bottom w:val="none" w:sz="0" w:space="0" w:color="auto"/>
        <w:right w:val="none" w:sz="0" w:space="0" w:color="auto"/>
      </w:divBdr>
    </w:div>
    <w:div w:id="1289512480">
      <w:bodyDiv w:val="1"/>
      <w:marLeft w:val="0"/>
      <w:marRight w:val="0"/>
      <w:marTop w:val="0"/>
      <w:marBottom w:val="0"/>
      <w:divBdr>
        <w:top w:val="none" w:sz="0" w:space="0" w:color="auto"/>
        <w:left w:val="none" w:sz="0" w:space="0" w:color="auto"/>
        <w:bottom w:val="none" w:sz="0" w:space="0" w:color="auto"/>
        <w:right w:val="none" w:sz="0" w:space="0" w:color="auto"/>
      </w:divBdr>
    </w:div>
    <w:div w:id="1314675111">
      <w:bodyDiv w:val="1"/>
      <w:marLeft w:val="0"/>
      <w:marRight w:val="0"/>
      <w:marTop w:val="0"/>
      <w:marBottom w:val="0"/>
      <w:divBdr>
        <w:top w:val="none" w:sz="0" w:space="0" w:color="auto"/>
        <w:left w:val="none" w:sz="0" w:space="0" w:color="auto"/>
        <w:bottom w:val="none" w:sz="0" w:space="0" w:color="auto"/>
        <w:right w:val="none" w:sz="0" w:space="0" w:color="auto"/>
      </w:divBdr>
    </w:div>
    <w:div w:id="1525095694">
      <w:bodyDiv w:val="1"/>
      <w:marLeft w:val="0"/>
      <w:marRight w:val="0"/>
      <w:marTop w:val="0"/>
      <w:marBottom w:val="0"/>
      <w:divBdr>
        <w:top w:val="none" w:sz="0" w:space="0" w:color="auto"/>
        <w:left w:val="none" w:sz="0" w:space="0" w:color="auto"/>
        <w:bottom w:val="none" w:sz="0" w:space="0" w:color="auto"/>
        <w:right w:val="none" w:sz="0" w:space="0" w:color="auto"/>
      </w:divBdr>
    </w:div>
    <w:div w:id="1558466098">
      <w:bodyDiv w:val="1"/>
      <w:marLeft w:val="0"/>
      <w:marRight w:val="0"/>
      <w:marTop w:val="0"/>
      <w:marBottom w:val="0"/>
      <w:divBdr>
        <w:top w:val="none" w:sz="0" w:space="0" w:color="auto"/>
        <w:left w:val="none" w:sz="0" w:space="0" w:color="auto"/>
        <w:bottom w:val="none" w:sz="0" w:space="0" w:color="auto"/>
        <w:right w:val="none" w:sz="0" w:space="0" w:color="auto"/>
      </w:divBdr>
    </w:div>
    <w:div w:id="1668898713">
      <w:bodyDiv w:val="1"/>
      <w:marLeft w:val="0"/>
      <w:marRight w:val="0"/>
      <w:marTop w:val="0"/>
      <w:marBottom w:val="0"/>
      <w:divBdr>
        <w:top w:val="none" w:sz="0" w:space="0" w:color="auto"/>
        <w:left w:val="none" w:sz="0" w:space="0" w:color="auto"/>
        <w:bottom w:val="none" w:sz="0" w:space="0" w:color="auto"/>
        <w:right w:val="none" w:sz="0" w:space="0" w:color="auto"/>
      </w:divBdr>
    </w:div>
    <w:div w:id="1796680500">
      <w:bodyDiv w:val="1"/>
      <w:marLeft w:val="0"/>
      <w:marRight w:val="0"/>
      <w:marTop w:val="0"/>
      <w:marBottom w:val="0"/>
      <w:divBdr>
        <w:top w:val="none" w:sz="0" w:space="0" w:color="auto"/>
        <w:left w:val="none" w:sz="0" w:space="0" w:color="auto"/>
        <w:bottom w:val="none" w:sz="0" w:space="0" w:color="auto"/>
        <w:right w:val="none" w:sz="0" w:space="0" w:color="auto"/>
      </w:divBdr>
    </w:div>
    <w:div w:id="1840079763">
      <w:bodyDiv w:val="1"/>
      <w:marLeft w:val="0"/>
      <w:marRight w:val="0"/>
      <w:marTop w:val="0"/>
      <w:marBottom w:val="0"/>
      <w:divBdr>
        <w:top w:val="none" w:sz="0" w:space="0" w:color="auto"/>
        <w:left w:val="none" w:sz="0" w:space="0" w:color="auto"/>
        <w:bottom w:val="none" w:sz="0" w:space="0" w:color="auto"/>
        <w:right w:val="none" w:sz="0" w:space="0" w:color="auto"/>
      </w:divBdr>
    </w:div>
    <w:div w:id="1893618722">
      <w:bodyDiv w:val="1"/>
      <w:marLeft w:val="0"/>
      <w:marRight w:val="0"/>
      <w:marTop w:val="0"/>
      <w:marBottom w:val="0"/>
      <w:divBdr>
        <w:top w:val="none" w:sz="0" w:space="0" w:color="auto"/>
        <w:left w:val="none" w:sz="0" w:space="0" w:color="auto"/>
        <w:bottom w:val="none" w:sz="0" w:space="0" w:color="auto"/>
        <w:right w:val="none" w:sz="0" w:space="0" w:color="auto"/>
      </w:divBdr>
    </w:div>
    <w:div w:id="1897663907">
      <w:bodyDiv w:val="1"/>
      <w:marLeft w:val="0"/>
      <w:marRight w:val="0"/>
      <w:marTop w:val="0"/>
      <w:marBottom w:val="0"/>
      <w:divBdr>
        <w:top w:val="none" w:sz="0" w:space="0" w:color="auto"/>
        <w:left w:val="none" w:sz="0" w:space="0" w:color="auto"/>
        <w:bottom w:val="none" w:sz="0" w:space="0" w:color="auto"/>
        <w:right w:val="none" w:sz="0" w:space="0" w:color="auto"/>
      </w:divBdr>
    </w:div>
    <w:div w:id="1942293753">
      <w:bodyDiv w:val="1"/>
      <w:marLeft w:val="0"/>
      <w:marRight w:val="0"/>
      <w:marTop w:val="0"/>
      <w:marBottom w:val="0"/>
      <w:divBdr>
        <w:top w:val="none" w:sz="0" w:space="0" w:color="auto"/>
        <w:left w:val="none" w:sz="0" w:space="0" w:color="auto"/>
        <w:bottom w:val="none" w:sz="0" w:space="0" w:color="auto"/>
        <w:right w:val="none" w:sz="0" w:space="0" w:color="auto"/>
      </w:divBdr>
    </w:div>
    <w:div w:id="20062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3.emf"/><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customXml" Target="../customXml/item2.xml"/><Relationship Id="rId28" Type="http://schemas.openxmlformats.org/officeDocument/2006/relationships/customXml" Target="../customXml/item7.xml"/><Relationship Id="rId10" Type="http://schemas.openxmlformats.org/officeDocument/2006/relationships/footer" Target="foot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microsoft.com/office/2016/09/relationships/commentsIds" Target="commentsIds.xml"/><Relationship Id="rId27"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goo.gl/9b2EsT" TargetMode="External"/><Relationship Id="rId2" Type="http://schemas.openxmlformats.org/officeDocument/2006/relationships/hyperlink" Target="http://goo.gl/FoHBU8" TargetMode="External"/><Relationship Id="rId1" Type="http://schemas.openxmlformats.org/officeDocument/2006/relationships/hyperlink" Target="https://goo.gl/miVE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3C3C9D8C9F18024096DD7DC6233E9E3E" ma:contentTypeVersion="28" ma:contentTypeDescription="A content type to manage public (operations) IDB documents" ma:contentTypeScope="" ma:versionID="85129c7afdb8e864690443138ba61255">
  <xsd:schema xmlns:xsd="http://www.w3.org/2001/XMLSchema" xmlns:xs="http://www.w3.org/2001/XMLSchema" xmlns:p="http://schemas.microsoft.com/office/2006/metadata/properties" xmlns:ns2="cdc7663a-08f0-4737-9e8c-148ce897a09c" targetNamespace="http://schemas.microsoft.com/office/2006/metadata/properties" ma:root="true" ma:fieldsID="64bd6ee3ded6c6c96d29ad80b003489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R0001244798</Record_x0020_Number>
    <Key_x0020_Document xmlns="cdc7663a-08f0-4737-9e8c-148ce897a09c">false</Key_x0020_Document>
    <Other_x0020_Author xmlns="cdc7663a-08f0-4737-9e8c-148ce897a09c" xsi:nil="true"/>
    <Division_x0020_or_x0020_Unit xmlns="cdc7663a-08f0-4737-9e8c-148ce897a09c">IFD/CMF</Division_x0020_or_x0020_Unit>
    <IDBDocs_x0020_Number xmlns="cdc7663a-08f0-4737-9e8c-148ce897a09c" xsi:nil="true"/>
    <Document_x0020_Author xmlns="cdc7663a-08f0-4737-9e8c-148ce897a09c">Bernedo, Cecilia</Document_x0020_Author>
    <_dlc_DocId xmlns="cdc7663a-08f0-4737-9e8c-148ce897a09c">EZSHARE-811525104-7</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TaxCatchAll xmlns="cdc7663a-08f0-4737-9e8c-148ce897a09c">
      <Value>34</Value>
      <Value>18</Value>
      <Value>20</Value>
      <Value>1</Value>
      <Value>35</Value>
    </TaxCatchAll>
    <Fiscal_x0020_Year_x0020_IDB xmlns="cdc7663a-08f0-4737-9e8c-148ce897a09c">2017</Fiscal_x0020_Year_x0020_IDB>
    <b26cdb1da78c4bb4b1c1bac2f6ac5911 xmlns="cdc7663a-08f0-4737-9e8c-148ce897a09c">
      <Terms xmlns="http://schemas.microsoft.com/office/infopath/2007/PartnerControls"/>
    </b26cdb1da78c4bb4b1c1bac2f6ac5911>
    <Project_x0020_Number xmlns="cdc7663a-08f0-4737-9e8c-148ce897a09c">RG-L1115</Project_x0020_Number>
    <Package_x0020_Code xmlns="cdc7663a-08f0-4737-9e8c-148ce897a09c" xsi:nil="true"/>
    <Migration_x0020_Info xmlns="cdc7663a-08f0-4737-9e8c-148ce897a09c" xsi:nil="true"/>
    <Approval_x0020_Number xmlns="cdc7663a-08f0-4737-9e8c-148ce897a09c">4377/OC-RG;</Approval_x0020_Number>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REGIONAL INTEGRATION</TermName>
          <TermId xmlns="http://schemas.microsoft.com/office/infopath/2007/PartnerControls">b03a04c9-d326-4abf-a4f0-668c26a9787b</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ENABLING ENVIRONMENT FOR SUSTAINABLE INTEGRATION</TermName>
          <TermId xmlns="http://schemas.microsoft.com/office/infopath/2007/PartnerControls">1f2c6703-29c4-4a01-9e50-6e82ccf1ec08</TermId>
        </TermInfo>
      </Terms>
    </b2ec7cfb18674cb8803df6b262e8b107>
    <Document_x0020_Language_x0020_IDB xmlns="cdc7663a-08f0-4737-9e8c-148ce897a09c">English</Document_x0020_Language_x0020_IDB>
    <_dlc_DocIdUrl xmlns="cdc7663a-08f0-4737-9e8c-148ce897a09c">
      <Url>https://idbg.sharepoint.com/teams/EZ-RG-LON/RG-L1115/_layouts/15/DocIdRedir.aspx?ID=EZSHARE-811525104-7</Url>
      <Description>EZSHARE-811525104-7</Description>
    </_dlc_DocIdUrl>
    <Phase xmlns="cdc7663a-08f0-4737-9e8c-148ce897a09c">ACTIVE</Phase>
    <Related_x0020_SisCor_x0020_Numbe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Finance;Banking and Financial Services;Financial and Capital Markets;Financial Sector Development;</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78598A08-8EE7-4A3B-BB25-4562B5007A64}">
  <ds:schemaRefs>
    <ds:schemaRef ds:uri="http://schemas.openxmlformats.org/officeDocument/2006/bibliography"/>
  </ds:schemaRefs>
</ds:datastoreItem>
</file>

<file path=customXml/itemProps2.xml><?xml version="1.0" encoding="utf-8"?>
<ds:datastoreItem xmlns:ds="http://schemas.openxmlformats.org/officeDocument/2006/customXml" ds:itemID="{5ECD2B3E-BA11-4480-8DD0-4575F844138B}"/>
</file>

<file path=customXml/itemProps3.xml><?xml version="1.0" encoding="utf-8"?>
<ds:datastoreItem xmlns:ds="http://schemas.openxmlformats.org/officeDocument/2006/customXml" ds:itemID="{23BA8AE5-D1FB-4F50-9F80-653EB44A84EC}"/>
</file>

<file path=customXml/itemProps4.xml><?xml version="1.0" encoding="utf-8"?>
<ds:datastoreItem xmlns:ds="http://schemas.openxmlformats.org/officeDocument/2006/customXml" ds:itemID="{2A16B454-C7D2-49E6-BF26-BFE21705A1A5}"/>
</file>

<file path=customXml/itemProps5.xml><?xml version="1.0" encoding="utf-8"?>
<ds:datastoreItem xmlns:ds="http://schemas.openxmlformats.org/officeDocument/2006/customXml" ds:itemID="{2398D5A5-5DCC-440A-BE5C-0B82931D4207}"/>
</file>

<file path=customXml/itemProps6.xml><?xml version="1.0" encoding="utf-8"?>
<ds:datastoreItem xmlns:ds="http://schemas.openxmlformats.org/officeDocument/2006/customXml" ds:itemID="{E4467920-FC95-449A-A75E-6C02B2777D88}"/>
</file>

<file path=customXml/itemProps7.xml><?xml version="1.0" encoding="utf-8"?>
<ds:datastoreItem xmlns:ds="http://schemas.openxmlformats.org/officeDocument/2006/customXml" ds:itemID="{19D0C369-5045-42FD-8ABA-E56DB2A679B7}"/>
</file>

<file path=docProps/app.xml><?xml version="1.0" encoding="utf-8"?>
<Properties xmlns="http://schemas.openxmlformats.org/officeDocument/2006/extended-properties" xmlns:vt="http://schemas.openxmlformats.org/officeDocument/2006/docPropsVTypes">
  <Template>Normal.dotm</Template>
  <TotalTime>13</TotalTime>
  <Pages>22</Pages>
  <Words>6768</Words>
  <Characters>37972</Characters>
  <Application>Microsoft Office Word</Application>
  <DocSecurity>0</DocSecurity>
  <Lines>759</Lines>
  <Paragraphs>236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mcabrerae@IADB.ORG</dc:creator>
  <cp:keywords/>
  <dc:description/>
  <cp:lastModifiedBy>Bernedo, Cecilia</cp:lastModifiedBy>
  <cp:revision>3</cp:revision>
  <cp:lastPrinted>2014-08-22T15:30:00Z</cp:lastPrinted>
  <dcterms:created xsi:type="dcterms:W3CDTF">2017-10-11T04:28:00Z</dcterms:created>
  <dcterms:modified xsi:type="dcterms:W3CDTF">2017-10-11T04:41:00Z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35;#ENABLING ENVIRONMENT FOR SUSTAINABLE INTEGRATION|1f2c6703-29c4-4a01-9e50-6e82ccf1ec08</vt:lpwstr>
  </property>
  <property fmtid="{D5CDD505-2E9C-101B-9397-08002B2CF9AE}" pid="7" name="Country">
    <vt:lpwstr>20;#Regional|2537a5b7-6d8e-482c-94dc-32c3cc44ff65</vt:lpwstr>
  </property>
  <property fmtid="{D5CDD505-2E9C-101B-9397-08002B2CF9AE}" pid="8" name="Fund IDB">
    <vt:lpwstr>18;#ORC|c028a4b2-ad8b-4cf4-9cac-a2ae6a778e23</vt:lpwstr>
  </property>
  <property fmtid="{D5CDD505-2E9C-101B-9397-08002B2CF9AE}" pid="9" name="_dlc_DocIdItemGuid">
    <vt:lpwstr>8744df21-6faa-4b7f-a10e-1127781d01d2</vt:lpwstr>
  </property>
  <property fmtid="{D5CDD505-2E9C-101B-9397-08002B2CF9AE}" pid="10" name="Sector IDB">
    <vt:lpwstr>34;#REGIONAL INTEGRATION|b03a04c9-d326-4abf-a4f0-668c26a9787b</vt:lpwstr>
  </property>
  <property fmtid="{D5CDD505-2E9C-101B-9397-08002B2CF9AE}" pid="11" name="Function Operations IDB">
    <vt:lpwstr>1;#Project Preparation, Planning and Design|29ca0c72-1fc4-435f-a09c-28585cb5eac9</vt:lpwstr>
  </property>
  <property fmtid="{D5CDD505-2E9C-101B-9397-08002B2CF9AE}" pid="12" name="RecordPoint_ActiveItemMoved">
    <vt:lpwstr>/teams/EZ-RG-LON/RG-L1115/05 Basic Data/Draft Area/POD - Análisis Económico - RG-L1115.docx</vt:lpwstr>
  </property>
  <property fmtid="{D5CDD505-2E9C-101B-9397-08002B2CF9AE}" pid="13" name="RecordStorageActiveId">
    <vt:lpwstr>b2cf081a-039b-4d60-b7c5-05554e1bc997</vt:lpwstr>
  </property>
  <property fmtid="{D5CDD505-2E9C-101B-9397-08002B2CF9AE}" pid="14" name="Disclosure Activity">
    <vt:lpwstr>Loan Proposal</vt:lpwstr>
  </property>
  <property fmtid="{D5CDD505-2E9C-101B-9397-08002B2CF9AE}" pid="15" name="ContentTypeId">
    <vt:lpwstr>0x0101001A458A224826124E8B45B1D613300CFC003C3C9D8C9F18024096DD7DC6233E9E3E</vt:lpwstr>
  </property>
</Properties>
</file>