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9C08" w14:textId="77777777" w:rsidR="006E1F69" w:rsidRDefault="00A7040E" w:rsidP="006E1F69">
      <w:pPr>
        <w:pStyle w:val="Chapter"/>
        <w:numPr>
          <w:ilvl w:val="0"/>
          <w:numId w:val="0"/>
        </w:numPr>
        <w:spacing w:before="0"/>
        <w:ind w:left="720" w:hanging="720"/>
        <w:rPr>
          <w:sz w:val="22"/>
        </w:rPr>
      </w:pPr>
      <w:bookmarkStart w:id="0" w:name="_Toc483238881"/>
      <w:r w:rsidRPr="006D6B6B">
        <w:rPr>
          <w:sz w:val="22"/>
        </w:rPr>
        <w:t>Refere</w:t>
      </w:r>
      <w:bookmarkStart w:id="1" w:name="_GoBack"/>
      <w:bookmarkEnd w:id="1"/>
      <w:r w:rsidRPr="006D6B6B">
        <w:rPr>
          <w:sz w:val="22"/>
        </w:rPr>
        <w:t>nces</w:t>
      </w:r>
      <w:bookmarkEnd w:id="0"/>
    </w:p>
    <w:p w14:paraId="27A68053" w14:textId="77777777" w:rsidR="006E1F69" w:rsidRPr="006E1F69" w:rsidRDefault="006E1F69" w:rsidP="006E1F69">
      <w:pPr>
        <w:rPr>
          <w:lang w:val="x-none" w:eastAsia="x-none"/>
        </w:rPr>
      </w:pPr>
    </w:p>
    <w:p w14:paraId="3995CA71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 xml:space="preserve">Bender </w:t>
      </w:r>
      <w:r w:rsidRPr="006E1F69">
        <w:rPr>
          <w:rFonts w:ascii="Arial" w:hAnsi="Arial" w:cs="Arial"/>
          <w:b/>
          <w:i/>
        </w:rPr>
        <w:t>et al</w:t>
      </w:r>
      <w:r w:rsidRPr="006E1F69">
        <w:rPr>
          <w:rFonts w:ascii="Arial" w:hAnsi="Arial" w:cs="Arial"/>
          <w:b/>
        </w:rPr>
        <w:t>. 2015.</w:t>
      </w:r>
      <w:r w:rsidRPr="006E1F69">
        <w:rPr>
          <w:rFonts w:ascii="Arial" w:hAnsi="Arial" w:cs="Arial"/>
        </w:rPr>
        <w:t xml:space="preserve"> “Government Wage Bill Spending: Reform Options to Promote </w:t>
      </w:r>
      <w:proofErr w:type="gramStart"/>
      <w:r w:rsidRPr="006E1F69">
        <w:rPr>
          <w:rFonts w:ascii="Arial" w:hAnsi="Arial" w:cs="Arial"/>
        </w:rPr>
        <w:t xml:space="preserve">Public </w:t>
      </w:r>
      <w:r w:rsidR="009449DC" w:rsidRPr="006E1F69">
        <w:rPr>
          <w:rFonts w:ascii="Arial" w:hAnsi="Arial" w:cs="Arial"/>
        </w:rPr>
        <w:t xml:space="preserve"> </w:t>
      </w:r>
      <w:r w:rsidRPr="006E1F69">
        <w:rPr>
          <w:rFonts w:ascii="Arial" w:hAnsi="Arial" w:cs="Arial"/>
        </w:rPr>
        <w:t>Sector</w:t>
      </w:r>
      <w:proofErr w:type="gramEnd"/>
      <w:r w:rsidRPr="006E1F69">
        <w:rPr>
          <w:rFonts w:ascii="Arial" w:hAnsi="Arial" w:cs="Arial"/>
        </w:rPr>
        <w:t xml:space="preserve"> Transformation”. IMF. </w:t>
      </w:r>
    </w:p>
    <w:p w14:paraId="4284262B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>Braga</w:t>
      </w:r>
      <w:r w:rsidR="00DD79FB" w:rsidRPr="006E1F69">
        <w:rPr>
          <w:rFonts w:ascii="Arial" w:hAnsi="Arial" w:cs="Arial"/>
          <w:b/>
        </w:rPr>
        <w:t>, Anthony</w:t>
      </w:r>
      <w:r w:rsidRPr="006E1F69">
        <w:rPr>
          <w:rFonts w:ascii="Arial" w:hAnsi="Arial" w:cs="Arial"/>
          <w:b/>
        </w:rPr>
        <w:t xml:space="preserve"> </w:t>
      </w:r>
      <w:r w:rsidRPr="006E1F69">
        <w:rPr>
          <w:rFonts w:ascii="Arial" w:hAnsi="Arial" w:cs="Arial"/>
          <w:b/>
          <w:i/>
        </w:rPr>
        <w:t>et al</w:t>
      </w:r>
      <w:r w:rsidRPr="006E1F69">
        <w:rPr>
          <w:rFonts w:ascii="Arial" w:hAnsi="Arial" w:cs="Arial"/>
          <w:b/>
        </w:rPr>
        <w:t>. 2012.</w:t>
      </w:r>
      <w:r w:rsidRPr="006E1F69">
        <w:rPr>
          <w:rFonts w:ascii="Arial" w:hAnsi="Arial" w:cs="Arial"/>
        </w:rPr>
        <w:t xml:space="preserve"> “</w:t>
      </w:r>
      <w:hyperlink r:id="rId5" w:history="1">
        <w:r w:rsidRPr="006E1F69">
          <w:rPr>
            <w:rStyle w:val="Hyperlink"/>
            <w:rFonts w:ascii="Arial" w:hAnsi="Arial" w:cs="Arial"/>
          </w:rPr>
          <w:t>The effects of hot spots policing on crime: an updated systematic review and meta-analysis</w:t>
        </w:r>
      </w:hyperlink>
      <w:r w:rsidRPr="006E1F69">
        <w:rPr>
          <w:rFonts w:ascii="Arial" w:hAnsi="Arial" w:cs="Arial"/>
        </w:rPr>
        <w:t>” Journal Justice Quarterly, Volume 31, Issue 4.</w:t>
      </w:r>
    </w:p>
    <w:p w14:paraId="62B926A5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>Brown</w:t>
      </w:r>
      <w:r w:rsidR="00DD79FB" w:rsidRPr="006E1F69">
        <w:rPr>
          <w:rFonts w:ascii="Arial" w:hAnsi="Arial" w:cs="Arial"/>
          <w:b/>
        </w:rPr>
        <w:t>, Mary</w:t>
      </w:r>
      <w:r w:rsidRPr="006E1F69">
        <w:rPr>
          <w:rFonts w:ascii="Arial" w:hAnsi="Arial" w:cs="Arial"/>
          <w:b/>
        </w:rPr>
        <w:t xml:space="preserve"> </w:t>
      </w:r>
      <w:r w:rsidRPr="006E1F69">
        <w:rPr>
          <w:rFonts w:ascii="Arial" w:hAnsi="Arial" w:cs="Arial"/>
          <w:b/>
          <w:i/>
        </w:rPr>
        <w:t>et al</w:t>
      </w:r>
      <w:r w:rsidRPr="006E1F69">
        <w:rPr>
          <w:rFonts w:ascii="Arial" w:hAnsi="Arial" w:cs="Arial"/>
          <w:b/>
        </w:rPr>
        <w:t>. 2003</w:t>
      </w:r>
      <w:r w:rsidRPr="006E1F69">
        <w:rPr>
          <w:rFonts w:ascii="Arial" w:hAnsi="Arial" w:cs="Arial"/>
        </w:rPr>
        <w:t>. “</w:t>
      </w:r>
      <w:hyperlink r:id="rId6" w:anchor="page_scan_tab_contents" w:history="1">
        <w:r w:rsidRPr="006E1F69">
          <w:rPr>
            <w:rStyle w:val="Hyperlink"/>
            <w:rFonts w:ascii="Arial" w:hAnsi="Arial" w:cs="Arial"/>
          </w:rPr>
          <w:t>Learning organization in the public sector? A study of Police Agencies Employing information and Technology to advance knowledge</w:t>
        </w:r>
      </w:hyperlink>
      <w:r w:rsidRPr="006E1F69">
        <w:rPr>
          <w:rFonts w:ascii="Arial" w:hAnsi="Arial" w:cs="Arial"/>
        </w:rPr>
        <w:t>” Public Administration Review</w:t>
      </w:r>
    </w:p>
    <w:p w14:paraId="740C7EC6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  <w:lang w:val="es-ES_tradnl"/>
        </w:rPr>
      </w:pPr>
      <w:r w:rsidRPr="006E1F69">
        <w:rPr>
          <w:rFonts w:ascii="Arial" w:hAnsi="Arial" w:cs="Arial"/>
          <w:b/>
          <w:lang w:val="es-ES_tradnl"/>
        </w:rPr>
        <w:t xml:space="preserve">Bulla, Patricia </w:t>
      </w:r>
      <w:r w:rsidRPr="006E1F69">
        <w:rPr>
          <w:rFonts w:ascii="Arial" w:hAnsi="Arial" w:cs="Arial"/>
          <w:b/>
          <w:i/>
          <w:lang w:val="es-ES_tradnl"/>
        </w:rPr>
        <w:t>et al</w:t>
      </w:r>
      <w:r w:rsidRPr="006E1F69">
        <w:rPr>
          <w:rFonts w:ascii="Arial" w:hAnsi="Arial" w:cs="Arial"/>
          <w:b/>
          <w:lang w:val="es-ES_tradnl"/>
        </w:rPr>
        <w:t>. 2012.</w:t>
      </w:r>
      <w:r w:rsidRPr="006E1F69">
        <w:rPr>
          <w:rFonts w:ascii="Arial" w:hAnsi="Arial" w:cs="Arial"/>
          <w:lang w:val="es-ES_tradnl"/>
        </w:rPr>
        <w:t xml:space="preserve"> “</w:t>
      </w:r>
      <w:hyperlink r:id="rId7" w:history="1">
        <w:r w:rsidRPr="006E1F69">
          <w:rPr>
            <w:rStyle w:val="Hyperlink"/>
            <w:rFonts w:ascii="Arial" w:hAnsi="Arial" w:cs="Arial"/>
            <w:lang w:val="es-ES_tradnl"/>
          </w:rPr>
          <w:t>Evaluación de Impacto del Plan Nacional de Vigilancia Comunitaria por Cuadrantes: Metropolitanas de Bogotá, Medellín, Cali, Barranquilla, Cúcuta, Bucaramanga, Pereira y Cartagena, Bogotá</w:t>
        </w:r>
      </w:hyperlink>
      <w:r w:rsidRPr="006E1F69">
        <w:rPr>
          <w:rFonts w:ascii="Arial" w:hAnsi="Arial" w:cs="Arial"/>
          <w:lang w:val="es-ES_tradnl"/>
        </w:rPr>
        <w:t>”, Fundación Ideas para la paz, Serie de informes, No. 18</w:t>
      </w:r>
    </w:p>
    <w:p w14:paraId="1E687548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proofErr w:type="spellStart"/>
      <w:r w:rsidRPr="006E1F69">
        <w:rPr>
          <w:rFonts w:ascii="Arial" w:hAnsi="Arial" w:cs="Arial"/>
          <w:b/>
        </w:rPr>
        <w:t>Garicano</w:t>
      </w:r>
      <w:proofErr w:type="spellEnd"/>
      <w:r w:rsidR="00A10D95" w:rsidRPr="006E1F69">
        <w:rPr>
          <w:rFonts w:ascii="Arial" w:hAnsi="Arial" w:cs="Arial"/>
          <w:b/>
        </w:rPr>
        <w:t>, Luis</w:t>
      </w:r>
      <w:r w:rsidRPr="006E1F69">
        <w:rPr>
          <w:rFonts w:ascii="Arial" w:hAnsi="Arial" w:cs="Arial"/>
          <w:b/>
        </w:rPr>
        <w:t xml:space="preserve"> </w:t>
      </w:r>
      <w:r w:rsidRPr="006E1F69">
        <w:rPr>
          <w:rFonts w:ascii="Arial" w:hAnsi="Arial" w:cs="Arial"/>
          <w:b/>
          <w:i/>
        </w:rPr>
        <w:t>et al</w:t>
      </w:r>
      <w:r w:rsidRPr="006E1F69">
        <w:rPr>
          <w:rFonts w:ascii="Arial" w:hAnsi="Arial" w:cs="Arial"/>
          <w:b/>
        </w:rPr>
        <w:t>. 2010</w:t>
      </w:r>
      <w:r w:rsidRPr="006E1F69">
        <w:rPr>
          <w:rFonts w:ascii="Arial" w:hAnsi="Arial" w:cs="Arial"/>
        </w:rPr>
        <w:t>. “Information Technology, Organization, and Productivity in the Public Sector: Ev</w:t>
      </w:r>
      <w:r w:rsidR="00A10D95" w:rsidRPr="006E1F69">
        <w:rPr>
          <w:rFonts w:ascii="Arial" w:hAnsi="Arial" w:cs="Arial"/>
        </w:rPr>
        <w:t>idence from Police Departments”. Page</w:t>
      </w:r>
      <w:r w:rsidR="006D6B6B" w:rsidRPr="006E1F69">
        <w:rPr>
          <w:rFonts w:ascii="Arial" w:hAnsi="Arial" w:cs="Arial"/>
        </w:rPr>
        <w:t>196</w:t>
      </w:r>
    </w:p>
    <w:p w14:paraId="28680EAB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>IMF, 2016.</w:t>
      </w:r>
      <w:r w:rsidRPr="006E1F69">
        <w:rPr>
          <w:rFonts w:ascii="Arial" w:hAnsi="Arial" w:cs="Arial"/>
        </w:rPr>
        <w:t xml:space="preserve"> “</w:t>
      </w:r>
      <w:hyperlink r:id="rId8" w:history="1">
        <w:r w:rsidRPr="006E1F69">
          <w:rPr>
            <w:rStyle w:val="Hyperlink"/>
            <w:rFonts w:ascii="Arial" w:hAnsi="Arial" w:cs="Arial"/>
          </w:rPr>
          <w:t>Jamaica: Request for a stand-by arrangement and cancellation of the current extended arrangement under the extended Fund Facility</w:t>
        </w:r>
      </w:hyperlink>
      <w:r w:rsidRPr="006E1F69">
        <w:rPr>
          <w:rFonts w:ascii="Arial" w:hAnsi="Arial" w:cs="Arial"/>
        </w:rPr>
        <w:t xml:space="preserve">” </w:t>
      </w:r>
    </w:p>
    <w:p w14:paraId="3B0782D9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 xml:space="preserve">Jaitman, Laura </w:t>
      </w:r>
      <w:r w:rsidRPr="006E1F69">
        <w:rPr>
          <w:rFonts w:ascii="Arial" w:hAnsi="Arial" w:cs="Arial"/>
          <w:b/>
          <w:i/>
        </w:rPr>
        <w:t>et al.</w:t>
      </w:r>
      <w:r w:rsidRPr="006E1F69">
        <w:rPr>
          <w:rFonts w:ascii="Arial" w:hAnsi="Arial" w:cs="Arial"/>
          <w:b/>
        </w:rPr>
        <w:t xml:space="preserve"> 2017.</w:t>
      </w:r>
      <w:r w:rsidRPr="006E1F69">
        <w:rPr>
          <w:rFonts w:ascii="Arial" w:hAnsi="Arial" w:cs="Arial"/>
        </w:rPr>
        <w:t xml:space="preserve"> “</w:t>
      </w:r>
      <w:hyperlink r:id="rId9" w:history="1">
        <w:r w:rsidRPr="006E1F69">
          <w:rPr>
            <w:rStyle w:val="Hyperlink"/>
            <w:rFonts w:ascii="Arial" w:hAnsi="Arial" w:cs="Arial"/>
          </w:rPr>
          <w:t>The cost of Crime and violence: new evidence and insights in Latin America and the Caribbean</w:t>
        </w:r>
      </w:hyperlink>
      <w:r w:rsidRPr="006E1F69">
        <w:rPr>
          <w:rFonts w:ascii="Arial" w:hAnsi="Arial" w:cs="Arial"/>
        </w:rPr>
        <w:t>” IDB</w:t>
      </w:r>
    </w:p>
    <w:p w14:paraId="2A3398AC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 xml:space="preserve">Koper, Christopher </w:t>
      </w:r>
      <w:r w:rsidRPr="006E1F69">
        <w:rPr>
          <w:rFonts w:ascii="Arial" w:hAnsi="Arial" w:cs="Arial"/>
          <w:b/>
          <w:i/>
        </w:rPr>
        <w:t>et al.</w:t>
      </w:r>
      <w:r w:rsidRPr="006E1F69">
        <w:rPr>
          <w:rFonts w:ascii="Arial" w:hAnsi="Arial" w:cs="Arial"/>
          <w:b/>
        </w:rPr>
        <w:t xml:space="preserve"> 2012.</w:t>
      </w:r>
      <w:r w:rsidRPr="006E1F69">
        <w:rPr>
          <w:rFonts w:ascii="Arial" w:hAnsi="Arial" w:cs="Arial"/>
        </w:rPr>
        <w:t xml:space="preserve"> “The Uses and Impacts of Mobile Computing Technology in Hot Spots Policing”, Evaluation Review, No. 39(6)” </w:t>
      </w:r>
    </w:p>
    <w:p w14:paraId="1874D029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>___________________. 2015.</w:t>
      </w:r>
      <w:r w:rsidRPr="006E1F69">
        <w:rPr>
          <w:rFonts w:ascii="Arial" w:hAnsi="Arial" w:cs="Arial"/>
        </w:rPr>
        <w:t xml:space="preserve"> “</w:t>
      </w:r>
      <w:hyperlink r:id="rId10" w:history="1">
        <w:r w:rsidRPr="006E1F69">
          <w:rPr>
            <w:rStyle w:val="Hyperlink"/>
            <w:rFonts w:ascii="Arial" w:hAnsi="Arial" w:cs="Arial"/>
          </w:rPr>
          <w:t>Realizing the potential of technology in policing</w:t>
        </w:r>
      </w:hyperlink>
      <w:r w:rsidRPr="006E1F69">
        <w:rPr>
          <w:rFonts w:ascii="Arial" w:hAnsi="Arial" w:cs="Arial"/>
        </w:rPr>
        <w:t>” George Mason University</w:t>
      </w:r>
    </w:p>
    <w:p w14:paraId="546267EB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proofErr w:type="spellStart"/>
      <w:r w:rsidRPr="006E1F69">
        <w:rPr>
          <w:rFonts w:ascii="Arial" w:hAnsi="Arial" w:cs="Arial"/>
          <w:b/>
        </w:rPr>
        <w:t>Linchtenberg</w:t>
      </w:r>
      <w:proofErr w:type="spellEnd"/>
      <w:r w:rsidRPr="006E1F69">
        <w:rPr>
          <w:rFonts w:ascii="Arial" w:hAnsi="Arial" w:cs="Arial"/>
          <w:b/>
        </w:rPr>
        <w:t>, Frank. 1993</w:t>
      </w:r>
      <w:r w:rsidRPr="006E1F69">
        <w:rPr>
          <w:rFonts w:ascii="Arial" w:hAnsi="Arial" w:cs="Arial"/>
        </w:rPr>
        <w:t>. “</w:t>
      </w:r>
      <w:hyperlink r:id="rId11" w:history="1">
        <w:r w:rsidRPr="006E1F69">
          <w:rPr>
            <w:rStyle w:val="Hyperlink"/>
            <w:rFonts w:ascii="Arial" w:hAnsi="Arial" w:cs="Arial"/>
          </w:rPr>
          <w:t>The output contributions of computer equipment and personnel: a firm-level analysis</w:t>
        </w:r>
      </w:hyperlink>
      <w:r w:rsidRPr="006E1F69">
        <w:rPr>
          <w:rFonts w:ascii="Arial" w:hAnsi="Arial" w:cs="Arial"/>
        </w:rPr>
        <w:t>”. Working Paper No. 4540</w:t>
      </w:r>
    </w:p>
    <w:p w14:paraId="5E3996F5" w14:textId="77777777" w:rsidR="006D6B6B" w:rsidRPr="006E1F69" w:rsidRDefault="006D6B6B" w:rsidP="006D6B6B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 xml:space="preserve">National Family Planning Board. </w:t>
      </w:r>
      <w:hyperlink r:id="rId12" w:history="1">
        <w:r w:rsidRPr="006E1F69">
          <w:rPr>
            <w:rStyle w:val="Hyperlink"/>
            <w:rFonts w:ascii="Arial" w:hAnsi="Arial" w:cs="Arial"/>
          </w:rPr>
          <w:t>Jamaican Reproductive Health Survey Final Report</w:t>
        </w:r>
      </w:hyperlink>
      <w:r w:rsidRPr="006E1F69">
        <w:rPr>
          <w:rFonts w:ascii="Arial" w:hAnsi="Arial" w:cs="Arial"/>
        </w:rPr>
        <w:t xml:space="preserve">, 2008 </w:t>
      </w:r>
    </w:p>
    <w:p w14:paraId="6261271E" w14:textId="77777777" w:rsidR="00A7040E" w:rsidRPr="006E1F69" w:rsidRDefault="00210C31" w:rsidP="009449DC">
      <w:pPr>
        <w:spacing w:after="240"/>
        <w:ind w:left="720" w:hanging="720"/>
        <w:rPr>
          <w:rFonts w:ascii="Arial" w:hAnsi="Arial" w:cs="Arial"/>
        </w:rPr>
      </w:pPr>
      <w:hyperlink r:id="rId13" w:history="1">
        <w:r w:rsidR="00A7040E" w:rsidRPr="006E1F69">
          <w:rPr>
            <w:rStyle w:val="Hyperlink"/>
            <w:rFonts w:ascii="Arial" w:hAnsi="Arial" w:cs="Arial"/>
          </w:rPr>
          <w:t>National Development Plan, Vision 2030</w:t>
        </w:r>
      </w:hyperlink>
      <w:r w:rsidR="00A7040E" w:rsidRPr="006E1F69">
        <w:rPr>
          <w:rFonts w:ascii="Arial" w:hAnsi="Arial" w:cs="Arial"/>
        </w:rPr>
        <w:t xml:space="preserve"> Jamaica, 2013</w:t>
      </w:r>
    </w:p>
    <w:p w14:paraId="44269C3D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proofErr w:type="spellStart"/>
      <w:r w:rsidRPr="006E1F69">
        <w:rPr>
          <w:rFonts w:ascii="Arial" w:hAnsi="Arial" w:cs="Arial"/>
          <w:b/>
        </w:rPr>
        <w:t>Ordeñana</w:t>
      </w:r>
      <w:proofErr w:type="spellEnd"/>
      <w:r w:rsidRPr="006E1F69">
        <w:rPr>
          <w:rFonts w:ascii="Arial" w:hAnsi="Arial" w:cs="Arial"/>
          <w:b/>
        </w:rPr>
        <w:t xml:space="preserve">, Tatiana. </w:t>
      </w:r>
      <w:r w:rsidRPr="006E1F69">
        <w:rPr>
          <w:rFonts w:ascii="Arial" w:hAnsi="Arial" w:cs="Arial"/>
          <w:b/>
          <w:lang w:val="es-ES_tradnl"/>
        </w:rPr>
        <w:t>1998.</w:t>
      </w:r>
      <w:r w:rsidRPr="006E1F69">
        <w:rPr>
          <w:rFonts w:ascii="Arial" w:hAnsi="Arial" w:cs="Arial"/>
          <w:lang w:val="es-ES_tradnl"/>
        </w:rPr>
        <w:t xml:space="preserve"> “Investigación de impacto de las Comisarías de la Mujer y la Familia en Guayaquil.” In Cecilia Tamayo, ed. Entre la Sombra y la Esperanza. </w:t>
      </w:r>
      <w:r w:rsidRPr="006E1F69">
        <w:rPr>
          <w:rFonts w:ascii="Arial" w:hAnsi="Arial" w:cs="Arial"/>
        </w:rPr>
        <w:t>Quito: CEPAM.</w:t>
      </w:r>
    </w:p>
    <w:p w14:paraId="1844B10C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 xml:space="preserve">Sutton and </w:t>
      </w:r>
      <w:proofErr w:type="spellStart"/>
      <w:r w:rsidRPr="006E1F69">
        <w:rPr>
          <w:rFonts w:ascii="Arial" w:hAnsi="Arial" w:cs="Arial"/>
          <w:b/>
        </w:rPr>
        <w:t>Ruprah</w:t>
      </w:r>
      <w:proofErr w:type="spellEnd"/>
      <w:r w:rsidRPr="006E1F69">
        <w:rPr>
          <w:rFonts w:ascii="Arial" w:hAnsi="Arial" w:cs="Arial"/>
          <w:b/>
        </w:rPr>
        <w:t>. 2017</w:t>
      </w:r>
      <w:r w:rsidRPr="006E1F69">
        <w:rPr>
          <w:rFonts w:ascii="Arial" w:hAnsi="Arial" w:cs="Arial"/>
        </w:rPr>
        <w:t>.”</w:t>
      </w:r>
      <w:hyperlink r:id="rId14" w:history="1">
        <w:r w:rsidRPr="006E1F69">
          <w:rPr>
            <w:rStyle w:val="Hyperlink"/>
            <w:rFonts w:ascii="Arial" w:hAnsi="Arial" w:cs="Arial"/>
          </w:rPr>
          <w:t>Restoring Paradise in the Caribbean: Combating Crime with Numbers”</w:t>
        </w:r>
      </w:hyperlink>
      <w:r w:rsidRPr="006E1F69">
        <w:rPr>
          <w:rFonts w:ascii="Arial" w:hAnsi="Arial" w:cs="Arial"/>
        </w:rPr>
        <w:t xml:space="preserve"> IDB</w:t>
      </w:r>
    </w:p>
    <w:p w14:paraId="1E48C785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>Thompson, Stacey</w:t>
      </w:r>
      <w:r w:rsidRPr="006E1F69">
        <w:rPr>
          <w:rFonts w:ascii="Arial" w:hAnsi="Arial" w:cs="Arial"/>
        </w:rPr>
        <w:t>. 2017. “Anti-crime Technology Report for Ministry of National Security Jamaica: As-Is Report”</w:t>
      </w:r>
    </w:p>
    <w:p w14:paraId="691AE898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lastRenderedPageBreak/>
        <w:t>Troy et al. 2006.</w:t>
      </w:r>
      <w:r w:rsidRPr="006E1F69">
        <w:rPr>
          <w:rFonts w:ascii="Arial" w:hAnsi="Arial" w:cs="Arial"/>
        </w:rPr>
        <w:t xml:space="preserve"> “</w:t>
      </w:r>
      <w:hyperlink r:id="rId15" w:history="1">
        <w:r w:rsidRPr="006E1F69">
          <w:rPr>
            <w:rStyle w:val="Hyperlink"/>
            <w:rFonts w:ascii="Arial" w:hAnsi="Arial" w:cs="Arial"/>
          </w:rPr>
          <w:t>The Purposes of CCTV in Prison</w:t>
        </w:r>
      </w:hyperlink>
      <w:r w:rsidRPr="006E1F69">
        <w:rPr>
          <w:rFonts w:ascii="Arial" w:hAnsi="Arial" w:cs="Arial"/>
        </w:rPr>
        <w:t>” Security Journal, Volume 19.</w:t>
      </w:r>
    </w:p>
    <w:p w14:paraId="485A00A9" w14:textId="77777777" w:rsidR="00920F8B" w:rsidRPr="006E1F69" w:rsidRDefault="00920F8B" w:rsidP="00920F8B">
      <w:pPr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>UNDP. 2008.</w:t>
      </w:r>
      <w:r w:rsidRPr="006E1F69">
        <w:rPr>
          <w:rFonts w:ascii="Arial" w:hAnsi="Arial" w:cs="Arial"/>
        </w:rPr>
        <w:t xml:space="preserve"> “</w:t>
      </w:r>
      <w:hyperlink r:id="rId16" w:history="1">
        <w:r w:rsidRPr="006E1F69">
          <w:rPr>
            <w:rStyle w:val="Hyperlink"/>
            <w:rFonts w:ascii="Arial" w:hAnsi="Arial" w:cs="Arial"/>
          </w:rPr>
          <w:t>e-Government Interoperability</w:t>
        </w:r>
      </w:hyperlink>
      <w:r w:rsidRPr="006E1F69">
        <w:rPr>
          <w:rFonts w:ascii="Arial" w:hAnsi="Arial" w:cs="Arial"/>
        </w:rPr>
        <w:t>”</w:t>
      </w:r>
      <w:r w:rsidR="00A10D95" w:rsidRPr="006E1F69">
        <w:rPr>
          <w:rFonts w:ascii="Arial" w:hAnsi="Arial" w:cs="Arial"/>
        </w:rPr>
        <w:t xml:space="preserve"> Page 1.</w:t>
      </w:r>
    </w:p>
    <w:p w14:paraId="3FD82D62" w14:textId="77777777" w:rsidR="00A7040E" w:rsidRPr="006E1F69" w:rsidRDefault="00A7040E" w:rsidP="009449DC">
      <w:pPr>
        <w:spacing w:after="240"/>
        <w:ind w:left="720" w:hanging="720"/>
        <w:rPr>
          <w:rFonts w:ascii="Arial" w:hAnsi="Arial" w:cs="Arial"/>
        </w:rPr>
      </w:pPr>
      <w:r w:rsidRPr="006E1F69">
        <w:rPr>
          <w:rFonts w:ascii="Arial" w:hAnsi="Arial" w:cs="Arial"/>
          <w:b/>
        </w:rPr>
        <w:t>UNDP. 2012.</w:t>
      </w:r>
      <w:r w:rsidRPr="006E1F69">
        <w:rPr>
          <w:rFonts w:ascii="Arial" w:hAnsi="Arial" w:cs="Arial"/>
        </w:rPr>
        <w:t xml:space="preserve"> </w:t>
      </w:r>
      <w:hyperlink r:id="rId17" w:history="1">
        <w:r w:rsidRPr="006E1F69">
          <w:rPr>
            <w:rStyle w:val="Hyperlink"/>
            <w:rFonts w:ascii="Arial" w:hAnsi="Arial" w:cs="Arial"/>
          </w:rPr>
          <w:t>“Caribbean Human Development Report”</w:t>
        </w:r>
      </w:hyperlink>
      <w:r w:rsidRPr="006E1F69">
        <w:rPr>
          <w:rFonts w:ascii="Arial" w:hAnsi="Arial" w:cs="Arial"/>
        </w:rPr>
        <w:t xml:space="preserve"> </w:t>
      </w:r>
      <w:r w:rsidR="00A10D95" w:rsidRPr="006E1F69">
        <w:rPr>
          <w:rFonts w:ascii="Arial" w:hAnsi="Arial" w:cs="Arial"/>
        </w:rPr>
        <w:t>Page 31.</w:t>
      </w:r>
    </w:p>
    <w:p w14:paraId="6351E835" w14:textId="77777777" w:rsidR="00920F8B" w:rsidRPr="006E1F69" w:rsidRDefault="00920F8B">
      <w:pPr>
        <w:ind w:left="720" w:hanging="720"/>
        <w:rPr>
          <w:rFonts w:ascii="Arial" w:hAnsi="Arial" w:cs="Arial"/>
        </w:rPr>
      </w:pPr>
    </w:p>
    <w:sectPr w:rsidR="00920F8B" w:rsidRPr="006E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7557"/>
    <w:multiLevelType w:val="multilevel"/>
    <w:tmpl w:val="31D6698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4176"/>
        </w:tabs>
        <w:ind w:left="4176" w:hanging="1296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  <w:rPr>
        <w:i w:val="0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" w15:restartNumberingAfterBreak="0">
    <w:nsid w:val="4FE13A26"/>
    <w:multiLevelType w:val="hybridMultilevel"/>
    <w:tmpl w:val="095C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7380F"/>
    <w:multiLevelType w:val="hybridMultilevel"/>
    <w:tmpl w:val="9CF6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0E"/>
    <w:rsid w:val="00210C31"/>
    <w:rsid w:val="0030386B"/>
    <w:rsid w:val="00422DCB"/>
    <w:rsid w:val="00472C04"/>
    <w:rsid w:val="004A219A"/>
    <w:rsid w:val="006D6B6B"/>
    <w:rsid w:val="006E1F69"/>
    <w:rsid w:val="00920F8B"/>
    <w:rsid w:val="009449DC"/>
    <w:rsid w:val="00A10D95"/>
    <w:rsid w:val="00A7040E"/>
    <w:rsid w:val="00DD79FB"/>
    <w:rsid w:val="00E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C753"/>
  <w15:chartTrackingRefBased/>
  <w15:docId w15:val="{5DF8D985-8786-4AAC-B6FD-7E692264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link w:val="ChapterChar"/>
    <w:rsid w:val="00A7040E"/>
    <w:pPr>
      <w:keepNext/>
      <w:numPr>
        <w:numId w:val="1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Arial" w:eastAsia="Calibri" w:hAnsi="Arial" w:cs="Arial"/>
      <w:b/>
      <w:smallCaps/>
      <w:sz w:val="24"/>
      <w:lang w:val="x-none" w:eastAsia="x-none"/>
    </w:rPr>
  </w:style>
  <w:style w:type="character" w:customStyle="1" w:styleId="ChapterChar">
    <w:name w:val="Chapter Char"/>
    <w:link w:val="Chapter"/>
    <w:rsid w:val="00A7040E"/>
    <w:rPr>
      <w:rFonts w:ascii="Arial" w:eastAsia="Calibri" w:hAnsi="Arial" w:cs="Arial"/>
      <w:b/>
      <w:smallCaps/>
      <w:sz w:val="24"/>
      <w:lang w:val="x-none" w:eastAsia="x-none"/>
    </w:rPr>
  </w:style>
  <w:style w:type="paragraph" w:customStyle="1" w:styleId="Paragraph">
    <w:name w:val="Paragraph"/>
    <w:aliases w:val="paragraph,p,PARAGRAPH,PG,pa,at"/>
    <w:basedOn w:val="BodyTextIndent"/>
    <w:qFormat/>
    <w:rsid w:val="00A7040E"/>
    <w:pPr>
      <w:numPr>
        <w:ilvl w:val="1"/>
        <w:numId w:val="1"/>
      </w:numPr>
      <w:tabs>
        <w:tab w:val="clear" w:pos="4176"/>
        <w:tab w:val="num" w:pos="360"/>
        <w:tab w:val="num" w:pos="720"/>
      </w:tabs>
      <w:spacing w:before="120" w:line="240" w:lineRule="auto"/>
      <w:ind w:left="720" w:hanging="720"/>
      <w:jc w:val="both"/>
      <w:outlineLvl w:val="1"/>
    </w:pPr>
    <w:rPr>
      <w:rFonts w:ascii="Arial" w:eastAsia="Calibri" w:hAnsi="Arial" w:cs="Arial"/>
      <w:sz w:val="24"/>
      <w:lang w:val="x-none" w:eastAsia="x-none"/>
    </w:rPr>
  </w:style>
  <w:style w:type="paragraph" w:customStyle="1" w:styleId="subpar">
    <w:name w:val="subpar"/>
    <w:basedOn w:val="BodyTextIndent3"/>
    <w:rsid w:val="00A7040E"/>
    <w:pPr>
      <w:numPr>
        <w:ilvl w:val="2"/>
        <w:numId w:val="1"/>
      </w:numPr>
      <w:tabs>
        <w:tab w:val="clear" w:pos="2304"/>
        <w:tab w:val="num" w:pos="360"/>
        <w:tab w:val="num" w:pos="1152"/>
      </w:tabs>
      <w:spacing w:before="120" w:line="240" w:lineRule="auto"/>
      <w:ind w:left="1152" w:firstLine="0"/>
      <w:jc w:val="both"/>
      <w:outlineLvl w:val="2"/>
    </w:pPr>
    <w:rPr>
      <w:rFonts w:ascii="Arial" w:eastAsia="Calibri" w:hAnsi="Arial" w:cs="Arial"/>
      <w:sz w:val="24"/>
      <w:lang w:val="x-none" w:eastAsia="x-none"/>
    </w:rPr>
  </w:style>
  <w:style w:type="paragraph" w:customStyle="1" w:styleId="SubSubPar">
    <w:name w:val="SubSubPar"/>
    <w:basedOn w:val="subpar"/>
    <w:rsid w:val="00A7040E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4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4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04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040E"/>
    <w:rPr>
      <w:sz w:val="16"/>
      <w:szCs w:val="16"/>
    </w:rPr>
  </w:style>
  <w:style w:type="character" w:styleId="Hyperlink">
    <w:name w:val="Hyperlink"/>
    <w:basedOn w:val="DefaultParagraphFont"/>
    <w:rsid w:val="00A70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4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Publications/CR/Issues/2016/12/31/Jamaica-Request-for-Stand-By-Arrangement-and-Cancellation-of-the-Current-Extended-44394" TargetMode="External"/><Relationship Id="rId13" Type="http://schemas.openxmlformats.org/officeDocument/2006/relationships/hyperlink" Target="http://www.nla.gov.jm/sites/default/files/A-Vision-for-Jamaic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aspaz.org/publications/posts/73" TargetMode="External"/><Relationship Id="rId12" Type="http://schemas.openxmlformats.org/officeDocument/2006/relationships/hyperlink" Target="http://jnfpb.org/assets/2008%20Final%20Report%20Jamaica.pdf" TargetMode="External"/><Relationship Id="rId17" Type="http://schemas.openxmlformats.org/officeDocument/2006/relationships/hyperlink" Target="http://www.undp.org/content/dam/undp/library/corporate/HDR/Latin%20America%20and%20Caribbean%20HDR/C_bean_HDR_Jan25_2012_3M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pan1.un.org/intradoc/groups/public/documents/UN-OTHER/UNPAN03209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977519?seq=1" TargetMode="External"/><Relationship Id="rId11" Type="http://schemas.openxmlformats.org/officeDocument/2006/relationships/hyperlink" Target="http://www.nber.org/papers/w4540" TargetMode="External"/><Relationship Id="rId5" Type="http://schemas.openxmlformats.org/officeDocument/2006/relationships/hyperlink" Target="https://www.ncjrs.gov/App/Publications/abstract.aspx?ID=269270" TargetMode="External"/><Relationship Id="rId15" Type="http://schemas.openxmlformats.org/officeDocument/2006/relationships/hyperlink" Target="https://www.ncjrs.gov/App/publications/abstract.aspx?ID=237312" TargetMode="External"/><Relationship Id="rId10" Type="http://schemas.openxmlformats.org/officeDocument/2006/relationships/hyperlink" Target="http://cebcp.org/wp-content/technology/ImpactTechnologyFinalRepor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iadb.org/handle/11319/8133" TargetMode="External"/><Relationship Id="rId14" Type="http://schemas.openxmlformats.org/officeDocument/2006/relationships/hyperlink" Target="https://publications.iadb.org/bitstream/handle/11319/8262/Restoring-Paradise-in-the-Caribbean-Combatting-Violence-With-Numbers.PDF?sequence=1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Lopez, Estefania Belen</dc:creator>
  <cp:keywords/>
  <dc:description/>
  <cp:lastModifiedBy>Hoffman, Nathalie Alexandra</cp:lastModifiedBy>
  <cp:revision>2</cp:revision>
  <dcterms:created xsi:type="dcterms:W3CDTF">2017-12-05T21:35:00Z</dcterms:created>
  <dcterms:modified xsi:type="dcterms:W3CDTF">2017-12-05T21:35:00Z</dcterms:modified>
</cp:coreProperties>
</file>