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C8DF" w14:textId="77777777" w:rsidR="00A763AE" w:rsidRPr="00D1081B" w:rsidRDefault="00DB2EA2" w:rsidP="00F1270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mallCaps/>
          <w:sz w:val="24"/>
          <w:szCs w:val="20"/>
          <w:lang w:val="es-CR"/>
        </w:rPr>
      </w:pPr>
      <w:r w:rsidRPr="00D1081B">
        <w:rPr>
          <w:rFonts w:ascii="Arial" w:hAnsi="Arial" w:cs="Arial"/>
          <w:b/>
          <w:bCs/>
          <w:smallCaps/>
          <w:sz w:val="24"/>
          <w:szCs w:val="20"/>
          <w:lang w:val="es-CR"/>
        </w:rPr>
        <w:t>Matriz de Resultados</w:t>
      </w: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1440"/>
        <w:gridCol w:w="12960"/>
      </w:tblGrid>
      <w:tr w:rsidR="00795640" w:rsidRPr="005F115D" w14:paraId="7A32C8E2" w14:textId="77777777" w:rsidTr="00263EAF">
        <w:tc>
          <w:tcPr>
            <w:tcW w:w="1440" w:type="dxa"/>
          </w:tcPr>
          <w:p w14:paraId="7A32C8E0" w14:textId="77777777" w:rsidR="00795640" w:rsidRPr="00D1081B" w:rsidRDefault="00DB2EA2" w:rsidP="00BF00CF">
            <w:pPr>
              <w:pStyle w:val="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lang w:val="es-CR"/>
              </w:rPr>
              <w:t>Objetivo del programa</w:t>
            </w:r>
            <w:r w:rsidR="00795640" w:rsidRPr="00D1081B">
              <w:rPr>
                <w:rFonts w:ascii="Arial" w:hAnsi="Arial" w:cs="Arial"/>
                <w:b/>
                <w:sz w:val="20"/>
                <w:lang w:val="es-CR"/>
              </w:rPr>
              <w:t>:</w:t>
            </w:r>
          </w:p>
        </w:tc>
        <w:tc>
          <w:tcPr>
            <w:tcW w:w="12960" w:type="dxa"/>
          </w:tcPr>
          <w:p w14:paraId="7A32C8E1" w14:textId="77777777" w:rsidR="00192135" w:rsidRPr="00D1081B" w:rsidRDefault="00813903" w:rsidP="00F20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Cs/>
                <w:sz w:val="20"/>
                <w:szCs w:val="20"/>
                <w:lang w:val="es-CR" w:eastAsia="zh-CN"/>
              </w:rPr>
              <w:t>El objetivo general es contribuir a la sostenibilidad del sector energético del país a través de un proceso de reformas de políticas que permitan asegurar la oferta eficiente de energía eléctrica en el Sistema Interconectado Nacional (SIN) y las Zonas No Interconectadas (ZNI), a fin de reducir la vulnerabilidad del sector frente a los efectos del cambio climático y aumentar el acceso eléctrico. Los objetivos específicos son: (i) asegurar un contexto macroeconómico congruente con los objetivos del programa; (ii) contribuir a garantizar el abastecimiento de energía del SIN mediante la diversificación de la matriz energética con Fuentes No Convencionales de Energía Renovable (FNCER) y el incremento de los intercambios energía a nivel internacional; y establecer medidas que permitan aumentar y garantizar la oferta de GN para generación, administrar la demanda energética y optimizar el funcionamiento del Mercado Eléctrico Mayorista (MEM); y (iii) promover el acceso a la energía en las ZNI mediante el uso de FNCER</w:t>
            </w:r>
            <w:r w:rsidR="00117A1F" w:rsidRPr="00D1081B">
              <w:rPr>
                <w:rFonts w:ascii="Arial" w:hAnsi="Arial" w:cs="Arial"/>
                <w:sz w:val="20"/>
                <w:szCs w:val="20"/>
                <w:lang w:val="es-CR" w:eastAsia="zh-CN"/>
              </w:rPr>
              <w:t>.</w:t>
            </w:r>
          </w:p>
        </w:tc>
      </w:tr>
    </w:tbl>
    <w:p w14:paraId="7A32C8E3" w14:textId="77777777" w:rsidR="00795640" w:rsidRPr="00F1270F" w:rsidRDefault="00795640" w:rsidP="005F0F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7A32C8E4" w14:textId="77777777" w:rsidR="00FE40E8" w:rsidRPr="00F1270F" w:rsidRDefault="00D37726" w:rsidP="00FE40E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mallCaps/>
          <w:sz w:val="20"/>
          <w:szCs w:val="20"/>
          <w:lang w:val="es-BO"/>
        </w:rPr>
      </w:pPr>
      <w:r>
        <w:rPr>
          <w:rFonts w:ascii="Arial" w:hAnsi="Arial" w:cs="Arial"/>
          <w:b/>
          <w:smallCaps/>
          <w:sz w:val="20"/>
          <w:szCs w:val="20"/>
          <w:lang w:val="es-BO"/>
        </w:rPr>
        <w:t>Impacto E</w:t>
      </w:r>
      <w:r w:rsidR="00DB2EA2" w:rsidRPr="00F1270F">
        <w:rPr>
          <w:rFonts w:ascii="Arial" w:hAnsi="Arial" w:cs="Arial"/>
          <w:b/>
          <w:smallCaps/>
          <w:sz w:val="20"/>
          <w:szCs w:val="20"/>
          <w:lang w:val="es-BO"/>
        </w:rPr>
        <w:t>sperado</w:t>
      </w:r>
    </w:p>
    <w:tbl>
      <w:tblPr>
        <w:tblW w:w="147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1440"/>
        <w:gridCol w:w="1980"/>
        <w:gridCol w:w="1543"/>
        <w:gridCol w:w="2790"/>
        <w:gridCol w:w="3120"/>
      </w:tblGrid>
      <w:tr w:rsidR="00A430BF" w:rsidRPr="00F1270F" w14:paraId="7A32C8EC" w14:textId="77777777" w:rsidTr="00DA2DF9">
        <w:trPr>
          <w:trHeight w:val="467"/>
        </w:trPr>
        <w:tc>
          <w:tcPr>
            <w:tcW w:w="3857" w:type="dxa"/>
            <w:shd w:val="clear" w:color="auto" w:fill="D9D9D9" w:themeFill="background1" w:themeFillShade="D9"/>
            <w:vAlign w:val="center"/>
          </w:tcPr>
          <w:p w14:paraId="7A32C8E5" w14:textId="77777777" w:rsidR="00A430BF" w:rsidRPr="00F1270F" w:rsidRDefault="00A430BF" w:rsidP="00A43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b/>
                <w:sz w:val="20"/>
                <w:szCs w:val="20"/>
                <w:lang w:val="es-BO"/>
              </w:rPr>
              <w:t>Indicador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A32C8E6" w14:textId="77777777" w:rsidR="00A430BF" w:rsidRPr="00F1270F" w:rsidRDefault="00A430BF" w:rsidP="00A43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b/>
                <w:sz w:val="20"/>
                <w:szCs w:val="20"/>
                <w:lang w:val="es-BO"/>
              </w:rPr>
              <w:t>Unidad de medida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A32C8E7" w14:textId="77777777" w:rsidR="00A430BF" w:rsidRPr="00F1270F" w:rsidRDefault="00A430BF" w:rsidP="00A43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b/>
                <w:sz w:val="20"/>
                <w:szCs w:val="20"/>
                <w:lang w:val="es-BO"/>
              </w:rPr>
              <w:t>Línea de base (2015)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7A32C8E8" w14:textId="77777777" w:rsidR="00A430BF" w:rsidRPr="00F1270F" w:rsidRDefault="00A430BF" w:rsidP="00A43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b/>
                <w:sz w:val="20"/>
                <w:szCs w:val="20"/>
                <w:lang w:val="es-BO"/>
              </w:rPr>
              <w:t>Meta Final (2020)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A32C8E9" w14:textId="77777777" w:rsidR="00A430BF" w:rsidRPr="00F1270F" w:rsidRDefault="00A430BF" w:rsidP="00A43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70F">
              <w:rPr>
                <w:rFonts w:ascii="Arial" w:hAnsi="Arial" w:cs="Arial"/>
                <w:b/>
                <w:sz w:val="20"/>
                <w:szCs w:val="20"/>
                <w:lang w:val="es-BO"/>
              </w:rPr>
              <w:t>Medios de verificación/</w:t>
            </w:r>
          </w:p>
          <w:p w14:paraId="7A32C8EA" w14:textId="77777777" w:rsidR="00A430BF" w:rsidRPr="00F1270F" w:rsidRDefault="00A430BF" w:rsidP="00A43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70F">
              <w:rPr>
                <w:rFonts w:ascii="Arial" w:hAnsi="Arial" w:cs="Arial"/>
                <w:b/>
                <w:sz w:val="20"/>
                <w:szCs w:val="20"/>
                <w:lang w:val="es-CO"/>
              </w:rPr>
              <w:t>Observaciones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7A32C8EB" w14:textId="77777777" w:rsidR="00A430BF" w:rsidRPr="00D1081B" w:rsidRDefault="00A430BF" w:rsidP="00DA2D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O"/>
              </w:rPr>
              <w:t>Comentarios</w:t>
            </w:r>
          </w:p>
        </w:tc>
      </w:tr>
      <w:tr w:rsidR="00A430BF" w:rsidRPr="005F115D" w14:paraId="7A32C8EF" w14:textId="77777777" w:rsidTr="00DA2DF9">
        <w:trPr>
          <w:trHeight w:val="215"/>
        </w:trPr>
        <w:tc>
          <w:tcPr>
            <w:tcW w:w="11610" w:type="dxa"/>
            <w:gridSpan w:val="5"/>
            <w:shd w:val="clear" w:color="auto" w:fill="C6D9F1" w:themeFill="text2" w:themeFillTint="33"/>
          </w:tcPr>
          <w:p w14:paraId="7A32C8ED" w14:textId="77777777" w:rsidR="00A430BF" w:rsidRPr="00F1270F" w:rsidRDefault="00A430BF" w:rsidP="00DB2EA2">
            <w:pPr>
              <w:numPr>
                <w:ilvl w:val="0"/>
                <w:numId w:val="17"/>
              </w:numPr>
              <w:spacing w:before="120" w:after="120" w:line="240" w:lineRule="auto"/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b/>
                <w:i/>
                <w:sz w:val="20"/>
                <w:szCs w:val="20"/>
                <w:lang w:val="es-BO"/>
              </w:rPr>
              <w:t xml:space="preserve">Asegurar oferta </w:t>
            </w:r>
            <w:r w:rsidR="00DB0B8A">
              <w:rPr>
                <w:rFonts w:ascii="Arial" w:hAnsi="Arial" w:cs="Arial"/>
                <w:b/>
                <w:i/>
                <w:sz w:val="20"/>
                <w:szCs w:val="20"/>
                <w:lang w:val="es-BO"/>
              </w:rPr>
              <w:t xml:space="preserve">de energía eléctrica </w:t>
            </w:r>
            <w:r w:rsidRPr="00F1270F">
              <w:rPr>
                <w:rFonts w:ascii="Arial" w:hAnsi="Arial" w:cs="Arial"/>
                <w:b/>
                <w:i/>
                <w:sz w:val="20"/>
                <w:szCs w:val="20"/>
                <w:lang w:val="es-BO"/>
              </w:rPr>
              <w:t>eficiente</w:t>
            </w:r>
          </w:p>
        </w:tc>
        <w:tc>
          <w:tcPr>
            <w:tcW w:w="3120" w:type="dxa"/>
            <w:shd w:val="clear" w:color="auto" w:fill="C6D9F1" w:themeFill="text2" w:themeFillTint="33"/>
          </w:tcPr>
          <w:p w14:paraId="7A32C8EE" w14:textId="77777777" w:rsidR="00A430BF" w:rsidRPr="00F1270F" w:rsidRDefault="00A430BF" w:rsidP="00A430BF">
            <w:pPr>
              <w:spacing w:before="120" w:after="120" w:line="240" w:lineRule="auto"/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es-BO"/>
              </w:rPr>
            </w:pPr>
          </w:p>
        </w:tc>
      </w:tr>
      <w:tr w:rsidR="00A430BF" w:rsidRPr="005F115D" w14:paraId="7A32C8F6" w14:textId="77777777" w:rsidTr="00DA2DF9">
        <w:trPr>
          <w:trHeight w:val="719"/>
        </w:trPr>
        <w:tc>
          <w:tcPr>
            <w:tcW w:w="3857" w:type="dxa"/>
            <w:vAlign w:val="center"/>
          </w:tcPr>
          <w:p w14:paraId="7A32C8F0" w14:textId="77777777" w:rsidR="00A430BF" w:rsidRPr="00F1270F" w:rsidRDefault="00A430BF" w:rsidP="00DA2D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1.1 Capacidad nominal de generación en el SIN</w:t>
            </w:r>
          </w:p>
        </w:tc>
        <w:tc>
          <w:tcPr>
            <w:tcW w:w="1440" w:type="dxa"/>
            <w:vAlign w:val="center"/>
          </w:tcPr>
          <w:p w14:paraId="7A32C8F1" w14:textId="77777777" w:rsidR="00A430BF" w:rsidRPr="00F1270F" w:rsidRDefault="00A430BF" w:rsidP="00DA2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MW</w:t>
            </w:r>
          </w:p>
        </w:tc>
        <w:tc>
          <w:tcPr>
            <w:tcW w:w="1980" w:type="dxa"/>
            <w:vAlign w:val="center"/>
          </w:tcPr>
          <w:p w14:paraId="7A32C8F2" w14:textId="77777777" w:rsidR="00A430BF" w:rsidRPr="00F1270F" w:rsidRDefault="00A430BF" w:rsidP="00DA2DF9">
            <w:pPr>
              <w:spacing w:after="0" w:line="240" w:lineRule="auto"/>
              <w:ind w:left="-117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16.420</w:t>
            </w:r>
          </w:p>
        </w:tc>
        <w:tc>
          <w:tcPr>
            <w:tcW w:w="1543" w:type="dxa"/>
            <w:vAlign w:val="center"/>
          </w:tcPr>
          <w:p w14:paraId="7A32C8F3" w14:textId="77777777" w:rsidR="00A430BF" w:rsidRPr="00F1270F" w:rsidRDefault="00A430BF" w:rsidP="00DA2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20.968</w:t>
            </w:r>
          </w:p>
        </w:tc>
        <w:tc>
          <w:tcPr>
            <w:tcW w:w="2790" w:type="dxa"/>
            <w:vAlign w:val="center"/>
          </w:tcPr>
          <w:p w14:paraId="7A32C8F4" w14:textId="77777777" w:rsidR="00A430BF" w:rsidRPr="00F1270F" w:rsidRDefault="00A430BF" w:rsidP="00DA2DF9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Plan Indicativo de Expansión UPME 2016 (Escenario 0)</w:t>
            </w:r>
          </w:p>
        </w:tc>
        <w:tc>
          <w:tcPr>
            <w:tcW w:w="3120" w:type="dxa"/>
          </w:tcPr>
          <w:p w14:paraId="7A32C8F5" w14:textId="77777777" w:rsidR="00A430BF" w:rsidRPr="00F1270F" w:rsidRDefault="00A430BF" w:rsidP="00DA2DF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E4DC5" w:rsidRPr="005F115D" w14:paraId="7A32C906" w14:textId="77777777" w:rsidTr="00DA2DF9">
        <w:trPr>
          <w:trHeight w:val="2150"/>
        </w:trPr>
        <w:tc>
          <w:tcPr>
            <w:tcW w:w="3857" w:type="dxa"/>
            <w:vAlign w:val="center"/>
          </w:tcPr>
          <w:p w14:paraId="7A32C8F7" w14:textId="77777777" w:rsidR="004E4DC5" w:rsidRPr="00193DB9" w:rsidRDefault="004E4DC5" w:rsidP="006B6D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1.2 </w:t>
            </w:r>
            <w:r w:rsidRPr="00193DB9">
              <w:rPr>
                <w:rFonts w:ascii="Arial" w:hAnsi="Arial" w:cs="Arial"/>
                <w:sz w:val="20"/>
                <w:szCs w:val="20"/>
                <w:lang w:val="es-BO"/>
              </w:rPr>
              <w:t>Costo marginal de la operación del sistema a largo plazo (CMLP)</w:t>
            </w:r>
          </w:p>
        </w:tc>
        <w:tc>
          <w:tcPr>
            <w:tcW w:w="1440" w:type="dxa"/>
            <w:vAlign w:val="center"/>
          </w:tcPr>
          <w:p w14:paraId="7A32C8F8" w14:textId="77777777" w:rsidR="004E4DC5" w:rsidRDefault="004E4DC5" w:rsidP="004F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193DB9">
              <w:rPr>
                <w:rFonts w:ascii="Arial" w:hAnsi="Arial" w:cs="Arial"/>
                <w:sz w:val="20"/>
                <w:szCs w:val="20"/>
                <w:lang w:val="es-BO"/>
              </w:rPr>
              <w:t>US$/MWh</w:t>
            </w:r>
          </w:p>
          <w:p w14:paraId="7A32C8F9" w14:textId="77777777" w:rsidR="004E4DC5" w:rsidRPr="00193DB9" w:rsidRDefault="004E4DC5" w:rsidP="004F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(Valores a Diciembre 2015)</w:t>
            </w:r>
          </w:p>
        </w:tc>
        <w:tc>
          <w:tcPr>
            <w:tcW w:w="1980" w:type="dxa"/>
            <w:vAlign w:val="center"/>
          </w:tcPr>
          <w:p w14:paraId="7A32C8FA" w14:textId="77777777" w:rsidR="004E4DC5" w:rsidRPr="00ED2527" w:rsidRDefault="004E4DC5" w:rsidP="004F426F">
            <w:pPr>
              <w:spacing w:after="0" w:line="240" w:lineRule="auto"/>
              <w:ind w:left="-117" w:right="-9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2527">
              <w:rPr>
                <w:rFonts w:ascii="Arial" w:hAnsi="Arial" w:cs="Arial"/>
                <w:sz w:val="20"/>
                <w:szCs w:val="20"/>
                <w:lang w:val="es-ES_tradnl"/>
              </w:rPr>
              <w:t>64,97</w:t>
            </w:r>
          </w:p>
          <w:p w14:paraId="7A32C8FB" w14:textId="77777777" w:rsidR="004E4DC5" w:rsidRPr="00ED2527" w:rsidRDefault="009A139B" w:rsidP="004F426F">
            <w:pPr>
              <w:spacing w:after="0" w:line="240" w:lineRule="auto"/>
              <w:ind w:left="-117" w:right="-9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</w:t>
            </w:r>
            <w:r w:rsidR="004E4DC5" w:rsidRPr="00ED2527">
              <w:rPr>
                <w:rFonts w:ascii="Arial" w:hAnsi="Arial" w:cs="Arial"/>
                <w:sz w:val="20"/>
                <w:szCs w:val="20"/>
                <w:lang w:val="es-ES_tradnl"/>
              </w:rPr>
              <w:t>romedio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real </w:t>
            </w:r>
            <w:r w:rsidR="004E4DC5" w:rsidRPr="00ED252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2015</w:t>
            </w:r>
          </w:p>
        </w:tc>
        <w:tc>
          <w:tcPr>
            <w:tcW w:w="1543" w:type="dxa"/>
            <w:vAlign w:val="center"/>
          </w:tcPr>
          <w:p w14:paraId="7A32C8FC" w14:textId="77777777" w:rsidR="004E4DC5" w:rsidRPr="00ED2527" w:rsidRDefault="004E4DC5" w:rsidP="004F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252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54,79 </w:t>
            </w:r>
          </w:p>
          <w:p w14:paraId="7A32C8FD" w14:textId="77777777" w:rsidR="004E4DC5" w:rsidRPr="00ED2527" w:rsidRDefault="004E4DC5" w:rsidP="004F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2527">
              <w:rPr>
                <w:rFonts w:ascii="Arial" w:hAnsi="Arial" w:cs="Arial"/>
                <w:sz w:val="20"/>
                <w:szCs w:val="20"/>
                <w:lang w:val="es-ES_tradnl"/>
              </w:rPr>
              <w:t>Valorado a precios de diciembre 2015</w:t>
            </w:r>
          </w:p>
        </w:tc>
        <w:tc>
          <w:tcPr>
            <w:tcW w:w="2790" w:type="dxa"/>
            <w:vAlign w:val="center"/>
          </w:tcPr>
          <w:p w14:paraId="7A32C8FE" w14:textId="77777777" w:rsidR="004E4DC5" w:rsidRPr="00ED2527" w:rsidRDefault="004E4DC5" w:rsidP="004F4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2527">
              <w:rPr>
                <w:rFonts w:ascii="Arial" w:hAnsi="Arial" w:cs="Arial"/>
                <w:sz w:val="20"/>
                <w:szCs w:val="20"/>
                <w:lang w:val="es-ES_tradnl"/>
              </w:rPr>
              <w:t>Costo línea base 2015 según Plan Indicativo de Expansión Generación -Transmisión UPME 2015-2029</w:t>
            </w:r>
          </w:p>
          <w:p w14:paraId="7A32C8FF" w14:textId="77777777" w:rsidR="004E4DC5" w:rsidRDefault="004E4DC5" w:rsidP="004F4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D252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7A32C900" w14:textId="77777777" w:rsidR="004E4DC5" w:rsidRPr="00193DB9" w:rsidRDefault="004E4DC5" w:rsidP="004F4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Costo 2020 según </w:t>
            </w:r>
            <w:r w:rsidRPr="00193DB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Plan Indicativo de Expansión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G-T </w:t>
            </w:r>
            <w:r w:rsidRPr="00193DB9">
              <w:rPr>
                <w:rFonts w:ascii="Arial" w:hAnsi="Arial" w:cs="Arial"/>
                <w:sz w:val="20"/>
                <w:szCs w:val="20"/>
                <w:lang w:val="es-ES_tradnl"/>
              </w:rPr>
              <w:t>UPME 2016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– 2030 (Escenario Cero)</w:t>
            </w:r>
          </w:p>
        </w:tc>
        <w:tc>
          <w:tcPr>
            <w:tcW w:w="3120" w:type="dxa"/>
          </w:tcPr>
          <w:p w14:paraId="7A32C901" w14:textId="77777777" w:rsidR="004E4DC5" w:rsidRDefault="004E4DC5" w:rsidP="006B6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A32C902" w14:textId="77777777" w:rsidR="004E4DC5" w:rsidRDefault="004E4DC5" w:rsidP="006B6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A32C903" w14:textId="77777777" w:rsidR="004E4DC5" w:rsidRDefault="004E4DC5" w:rsidP="006B6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A32C904" w14:textId="77777777" w:rsidR="004E4DC5" w:rsidRDefault="004E4DC5" w:rsidP="006B6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A32C905" w14:textId="77777777" w:rsidR="004E4DC5" w:rsidRPr="00F1270F" w:rsidRDefault="004E4DC5" w:rsidP="006B6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3DB9">
              <w:rPr>
                <w:rFonts w:ascii="Arial" w:hAnsi="Arial" w:cs="Arial"/>
                <w:sz w:val="20"/>
                <w:szCs w:val="20"/>
                <w:lang w:val="es-ES_tradnl"/>
              </w:rPr>
              <w:t>Promedio de los valores esperados del costo marginal mensual del año 2020</w:t>
            </w:r>
          </w:p>
        </w:tc>
      </w:tr>
      <w:tr w:rsidR="00A430BF" w:rsidRPr="005F115D" w14:paraId="7A32C909" w14:textId="77777777" w:rsidTr="00DA2DF9">
        <w:trPr>
          <w:trHeight w:val="161"/>
        </w:trPr>
        <w:tc>
          <w:tcPr>
            <w:tcW w:w="11610" w:type="dxa"/>
            <w:gridSpan w:val="5"/>
            <w:shd w:val="clear" w:color="auto" w:fill="C6D9F1" w:themeFill="text2" w:themeFillTint="33"/>
            <w:vAlign w:val="center"/>
          </w:tcPr>
          <w:p w14:paraId="7A32C907" w14:textId="77777777" w:rsidR="00A430BF" w:rsidRPr="00F1270F" w:rsidRDefault="00A430BF" w:rsidP="00C43FF9">
            <w:pPr>
              <w:numPr>
                <w:ilvl w:val="0"/>
                <w:numId w:val="17"/>
              </w:numPr>
              <w:spacing w:before="120" w:after="120" w:line="240" w:lineRule="auto"/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_tradnl"/>
              </w:rPr>
              <w:t>Reducción de emisiones de Gases Efecto Invernadero (GEI)</w:t>
            </w:r>
          </w:p>
        </w:tc>
        <w:tc>
          <w:tcPr>
            <w:tcW w:w="3120" w:type="dxa"/>
            <w:shd w:val="clear" w:color="auto" w:fill="C6D9F1" w:themeFill="text2" w:themeFillTint="33"/>
          </w:tcPr>
          <w:p w14:paraId="7A32C908" w14:textId="77777777" w:rsidR="00A430BF" w:rsidRPr="00F1270F" w:rsidRDefault="00A430BF" w:rsidP="00A430BF">
            <w:pPr>
              <w:spacing w:before="120" w:after="120" w:line="240" w:lineRule="auto"/>
              <w:ind w:left="36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A430BF" w:rsidRPr="005F115D" w14:paraId="7A32C910" w14:textId="77777777" w:rsidTr="00DA2DF9">
        <w:trPr>
          <w:trHeight w:val="719"/>
        </w:trPr>
        <w:tc>
          <w:tcPr>
            <w:tcW w:w="3857" w:type="dxa"/>
            <w:vAlign w:val="center"/>
          </w:tcPr>
          <w:p w14:paraId="7A32C90A" w14:textId="77777777" w:rsidR="00750D2C" w:rsidRPr="006A737D" w:rsidRDefault="00A430BF" w:rsidP="006A73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37D">
              <w:rPr>
                <w:rFonts w:ascii="Arial" w:hAnsi="Arial" w:cs="Arial"/>
                <w:sz w:val="20"/>
                <w:szCs w:val="20"/>
                <w:lang w:val="en-US"/>
              </w:rPr>
              <w:t>2.1 E</w:t>
            </w:r>
            <w:r w:rsidRPr="006A73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misiones de Gases Efecto Invernadero (GEI)</w:t>
            </w:r>
            <w:r w:rsidRPr="00F1270F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  <w:lang w:val="es-ES_tradnl"/>
              </w:rPr>
              <w:footnoteReference w:id="2"/>
            </w:r>
            <w:r w:rsidR="006A737D" w:rsidRPr="006A73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6A73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generadas por el</w:t>
            </w:r>
            <w:r w:rsidR="009C0378" w:rsidRPr="006A73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750D2C" w:rsidRPr="006A737D">
              <w:rPr>
                <w:rFonts w:ascii="Arial" w:hAnsi="Arial" w:cs="Arial"/>
                <w:sz w:val="20"/>
                <w:szCs w:val="20"/>
                <w:lang w:val="en-US"/>
              </w:rPr>
              <w:t>Sector Eléctrico</w:t>
            </w:r>
          </w:p>
        </w:tc>
        <w:tc>
          <w:tcPr>
            <w:tcW w:w="1440" w:type="dxa"/>
            <w:vAlign w:val="center"/>
          </w:tcPr>
          <w:p w14:paraId="7A32C90B" w14:textId="77777777" w:rsidR="00A430BF" w:rsidRPr="009C2676" w:rsidRDefault="00A430BF" w:rsidP="004111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C2676">
              <w:rPr>
                <w:rFonts w:ascii="Arial" w:hAnsi="Arial" w:cs="Arial"/>
                <w:sz w:val="20"/>
                <w:szCs w:val="20"/>
                <w:lang w:val="es-ES_tradnl"/>
              </w:rPr>
              <w:t>Emisiones de CO</w:t>
            </w:r>
            <w:r w:rsidRPr="009C2676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2</w:t>
            </w:r>
            <w:r w:rsidRPr="009C267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(tCO2e/</w:t>
            </w:r>
            <w:r w:rsidR="009C2676" w:rsidRPr="009C267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9C2676">
              <w:rPr>
                <w:rFonts w:ascii="Arial" w:hAnsi="Arial" w:cs="Arial"/>
                <w:sz w:val="20"/>
                <w:szCs w:val="20"/>
                <w:lang w:val="es-ES_tradnl"/>
              </w:rPr>
              <w:t>millones)</w:t>
            </w:r>
          </w:p>
        </w:tc>
        <w:tc>
          <w:tcPr>
            <w:tcW w:w="1980" w:type="dxa"/>
            <w:vAlign w:val="center"/>
          </w:tcPr>
          <w:p w14:paraId="7A32C90C" w14:textId="77777777" w:rsidR="00A430BF" w:rsidRPr="006A737D" w:rsidRDefault="00A430BF" w:rsidP="00DB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37D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1543" w:type="dxa"/>
            <w:vAlign w:val="center"/>
          </w:tcPr>
          <w:p w14:paraId="7A32C90D" w14:textId="77777777" w:rsidR="00A430BF" w:rsidRPr="006A737D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737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2790" w:type="dxa"/>
            <w:vAlign w:val="center"/>
          </w:tcPr>
          <w:p w14:paraId="7A32C90E" w14:textId="77777777" w:rsidR="00A430BF" w:rsidRPr="005B4612" w:rsidRDefault="00A430BF" w:rsidP="00C43F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4612">
              <w:rPr>
                <w:rFonts w:ascii="Arial" w:hAnsi="Arial" w:cs="Arial"/>
                <w:sz w:val="20"/>
                <w:szCs w:val="20"/>
                <w:lang w:val="es-ES_tradnl"/>
              </w:rPr>
              <w:t>Plan Indicativo de Expansión UPME 2016 (Escenario 0)</w:t>
            </w:r>
          </w:p>
        </w:tc>
        <w:tc>
          <w:tcPr>
            <w:tcW w:w="3120" w:type="dxa"/>
          </w:tcPr>
          <w:p w14:paraId="7A32C90F" w14:textId="77777777" w:rsidR="00A430BF" w:rsidRPr="005B4612" w:rsidRDefault="00A430BF" w:rsidP="00C43F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7A32C911" w14:textId="77777777" w:rsidR="00263EAF" w:rsidRPr="005B4612" w:rsidRDefault="00263EAF" w:rsidP="0056611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  <w:lang w:val="es-ES_tradnl"/>
        </w:rPr>
      </w:pPr>
    </w:p>
    <w:p w14:paraId="7A32C912" w14:textId="77777777" w:rsidR="00F311F0" w:rsidRPr="005B4612" w:rsidRDefault="00F311F0" w:rsidP="0056611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  <w:lang w:val="es-ES_tradnl"/>
        </w:rPr>
      </w:pPr>
    </w:p>
    <w:p w14:paraId="7A32C913" w14:textId="77777777" w:rsidR="00795640" w:rsidRPr="006A737D" w:rsidRDefault="00263AC6" w:rsidP="0056611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6A737D">
        <w:rPr>
          <w:rFonts w:ascii="Arial" w:hAnsi="Arial" w:cs="Arial"/>
          <w:b/>
          <w:smallCaps/>
          <w:color w:val="000000"/>
          <w:sz w:val="20"/>
          <w:szCs w:val="20"/>
        </w:rPr>
        <w:t>Resultados Esperados</w:t>
      </w:r>
    </w:p>
    <w:tbl>
      <w:tblPr>
        <w:tblW w:w="144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530"/>
        <w:gridCol w:w="1800"/>
        <w:gridCol w:w="1530"/>
        <w:gridCol w:w="2070"/>
        <w:gridCol w:w="1980"/>
        <w:gridCol w:w="2610"/>
      </w:tblGrid>
      <w:tr w:rsidR="00A430BF" w:rsidRPr="00D1081B" w14:paraId="7A32C91C" w14:textId="77777777" w:rsidTr="00A430BF">
        <w:trPr>
          <w:trHeight w:val="251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A32C914" w14:textId="77777777" w:rsidR="00A430BF" w:rsidRPr="00D1081B" w:rsidRDefault="00A430BF" w:rsidP="0053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A737D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 w:rsidRPr="00D1081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ado / Indicador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A32C915" w14:textId="77777777" w:rsidR="00A430BF" w:rsidRPr="00D1081B" w:rsidRDefault="00A430BF" w:rsidP="00381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de  medida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32C916" w14:textId="77777777" w:rsidR="00A430BF" w:rsidRPr="00D1081B" w:rsidRDefault="00A430BF" w:rsidP="003E2F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ES"/>
              </w:rPr>
              <w:t>Línea de base (2015)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A32C917" w14:textId="77777777" w:rsidR="00A430BF" w:rsidRPr="00D1081B" w:rsidRDefault="00A430BF" w:rsidP="00F725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ES"/>
              </w:rPr>
              <w:t>Meta (2017)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A32C918" w14:textId="77777777" w:rsidR="00A430BF" w:rsidRPr="00D1081B" w:rsidRDefault="00A430BF" w:rsidP="003B0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ES"/>
              </w:rPr>
              <w:t>Meta (2020)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A32C919" w14:textId="77777777" w:rsidR="00A430BF" w:rsidRPr="00D1081B" w:rsidRDefault="00A430BF" w:rsidP="00A43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ES"/>
              </w:rPr>
              <w:t>Medios de verificación/</w:t>
            </w:r>
          </w:p>
          <w:p w14:paraId="7A32C91A" w14:textId="77777777" w:rsidR="00A430BF" w:rsidRPr="00D1081B" w:rsidRDefault="00A430BF" w:rsidP="00A43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ES"/>
              </w:rPr>
              <w:t>Observaciones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A32C91B" w14:textId="77777777" w:rsidR="00A430BF" w:rsidRPr="00D1081B" w:rsidRDefault="00A430BF" w:rsidP="00A43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ES"/>
              </w:rPr>
              <w:t>Comentarios</w:t>
            </w:r>
            <w:r w:rsidRPr="00D1081B">
              <w:rPr>
                <w:rFonts w:ascii="Arial" w:hAnsi="Arial" w:cs="Arial"/>
                <w:b/>
                <w:sz w:val="20"/>
                <w:szCs w:val="20"/>
                <w:vertAlign w:val="superscript"/>
                <w:lang w:val="es-ES"/>
              </w:rPr>
              <w:t>1</w:t>
            </w:r>
          </w:p>
        </w:tc>
      </w:tr>
      <w:tr w:rsidR="00A430BF" w:rsidRPr="005F115D" w14:paraId="7A32C91F" w14:textId="77777777" w:rsidTr="00A430BF">
        <w:trPr>
          <w:trHeight w:val="260"/>
        </w:trPr>
        <w:tc>
          <w:tcPr>
            <w:tcW w:w="11790" w:type="dxa"/>
            <w:gridSpan w:val="6"/>
            <w:shd w:val="clear" w:color="auto" w:fill="C6D9F1" w:themeFill="text2" w:themeFillTint="33"/>
          </w:tcPr>
          <w:p w14:paraId="7A32C91D" w14:textId="77777777" w:rsidR="00A430BF" w:rsidRPr="002A7688" w:rsidRDefault="00A430BF" w:rsidP="00FD6517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2A7688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El marco macroeconómico es consistente con los objetivos del programa y la Carta de Políticas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7A32C91E" w14:textId="77777777" w:rsidR="00A430BF" w:rsidRPr="00F1270F" w:rsidRDefault="00A430BF" w:rsidP="00A430BF">
            <w:pPr>
              <w:spacing w:before="120" w:after="120" w:line="240" w:lineRule="auto"/>
              <w:ind w:left="351"/>
              <w:rPr>
                <w:rFonts w:ascii="Arial" w:hAnsi="Arial" w:cs="Arial"/>
                <w:b/>
                <w:i/>
                <w:sz w:val="20"/>
                <w:szCs w:val="20"/>
                <w:lang w:val="es-BO"/>
              </w:rPr>
            </w:pPr>
          </w:p>
        </w:tc>
      </w:tr>
      <w:tr w:rsidR="00A430BF" w:rsidRPr="005F115D" w14:paraId="7A32C927" w14:textId="77777777" w:rsidTr="00A430BF">
        <w:trPr>
          <w:trHeight w:val="547"/>
        </w:trPr>
        <w:tc>
          <w:tcPr>
            <w:tcW w:w="2880" w:type="dxa"/>
            <w:vAlign w:val="center"/>
          </w:tcPr>
          <w:p w14:paraId="7A32C920" w14:textId="77777777" w:rsidR="00A430BF" w:rsidRPr="00F1270F" w:rsidRDefault="00A430BF" w:rsidP="00C51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1.1 </w:t>
            </w: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IAMC ratifica la estabilidad macroeconómica y marco conducente al logro de los objetivos.</w:t>
            </w:r>
          </w:p>
        </w:tc>
        <w:tc>
          <w:tcPr>
            <w:tcW w:w="1530" w:type="dxa"/>
            <w:vAlign w:val="center"/>
          </w:tcPr>
          <w:p w14:paraId="7A32C921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IAMC ratifica estabilidad macroeconómica y marco conducente</w:t>
            </w:r>
          </w:p>
        </w:tc>
        <w:tc>
          <w:tcPr>
            <w:tcW w:w="1800" w:type="dxa"/>
            <w:vAlign w:val="center"/>
          </w:tcPr>
          <w:p w14:paraId="7A32C922" w14:textId="77777777" w:rsidR="00A430BF" w:rsidRPr="00F1270F" w:rsidRDefault="00A430BF" w:rsidP="00C516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Vigente</w:t>
            </w:r>
          </w:p>
        </w:tc>
        <w:tc>
          <w:tcPr>
            <w:tcW w:w="1530" w:type="dxa"/>
            <w:vAlign w:val="center"/>
          </w:tcPr>
          <w:p w14:paraId="7A32C923" w14:textId="77777777" w:rsidR="00A430BF" w:rsidRPr="00F1270F" w:rsidRDefault="00A430BF" w:rsidP="00C516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Vigente</w:t>
            </w:r>
          </w:p>
        </w:tc>
        <w:tc>
          <w:tcPr>
            <w:tcW w:w="2070" w:type="dxa"/>
            <w:vAlign w:val="center"/>
          </w:tcPr>
          <w:p w14:paraId="7A32C924" w14:textId="77777777" w:rsidR="00A430BF" w:rsidRPr="00F1270F" w:rsidRDefault="00A430BF" w:rsidP="00C516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Vigente</w:t>
            </w:r>
          </w:p>
        </w:tc>
        <w:tc>
          <w:tcPr>
            <w:tcW w:w="1980" w:type="dxa"/>
            <w:vAlign w:val="center"/>
          </w:tcPr>
          <w:p w14:paraId="7A32C925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IAMC vigente al momento del desembolso.</w:t>
            </w:r>
          </w:p>
        </w:tc>
        <w:tc>
          <w:tcPr>
            <w:tcW w:w="2610" w:type="dxa"/>
          </w:tcPr>
          <w:p w14:paraId="7A32C926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430BF" w:rsidRPr="00F1270F" w14:paraId="7A32C930" w14:textId="77777777" w:rsidTr="00A430BF">
        <w:trPr>
          <w:trHeight w:val="547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A32C928" w14:textId="77777777" w:rsidR="00A430BF" w:rsidRPr="002A7688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2A7688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Resultado / Indicador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A32C929" w14:textId="77777777" w:rsidR="00A430BF" w:rsidRPr="002A7688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2A7688">
              <w:rPr>
                <w:rFonts w:ascii="Arial" w:hAnsi="Arial" w:cs="Arial"/>
                <w:b/>
                <w:sz w:val="20"/>
                <w:szCs w:val="20"/>
                <w:lang w:val="es-CR"/>
              </w:rPr>
              <w:t>Unidad de  medida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32C92A" w14:textId="77777777" w:rsidR="00A430BF" w:rsidRPr="002A7688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2A7688">
              <w:rPr>
                <w:rFonts w:ascii="Arial" w:hAnsi="Arial" w:cs="Arial"/>
                <w:b/>
                <w:sz w:val="20"/>
                <w:szCs w:val="20"/>
                <w:lang w:val="es-CR"/>
              </w:rPr>
              <w:t>Línea de base (2015)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A32C92B" w14:textId="77777777" w:rsidR="00A430BF" w:rsidRPr="002A7688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2A7688">
              <w:rPr>
                <w:rFonts w:ascii="Arial" w:hAnsi="Arial" w:cs="Arial"/>
                <w:b/>
                <w:sz w:val="20"/>
                <w:szCs w:val="20"/>
                <w:lang w:val="es-CR"/>
              </w:rPr>
              <w:t>Meta (2017)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A32C92C" w14:textId="77777777" w:rsidR="00A430BF" w:rsidRPr="002A7688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2A7688">
              <w:rPr>
                <w:rFonts w:ascii="Arial" w:hAnsi="Arial" w:cs="Arial"/>
                <w:b/>
                <w:sz w:val="20"/>
                <w:szCs w:val="20"/>
                <w:lang w:val="es-CR"/>
              </w:rPr>
              <w:t>Meta (2020)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A32C92D" w14:textId="77777777" w:rsidR="00A430BF" w:rsidRPr="002A7688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2A7688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Medios de verificación / </w:t>
            </w:r>
          </w:p>
          <w:p w14:paraId="7A32C92E" w14:textId="77777777" w:rsidR="00A430BF" w:rsidRPr="002A7688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2A7688">
              <w:rPr>
                <w:rFonts w:ascii="Arial" w:hAnsi="Arial" w:cs="Arial"/>
                <w:b/>
                <w:sz w:val="20"/>
                <w:szCs w:val="20"/>
                <w:lang w:val="es-CR"/>
              </w:rPr>
              <w:t>Observaciones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A32C92F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</w:tc>
      </w:tr>
      <w:tr w:rsidR="00A430BF" w:rsidRPr="005F115D" w14:paraId="7A32C933" w14:textId="77777777" w:rsidTr="003A228F">
        <w:trPr>
          <w:trHeight w:val="368"/>
        </w:trPr>
        <w:tc>
          <w:tcPr>
            <w:tcW w:w="11790" w:type="dxa"/>
            <w:gridSpan w:val="6"/>
            <w:shd w:val="clear" w:color="auto" w:fill="C6D9F1" w:themeFill="text2" w:themeFillTint="33"/>
            <w:vAlign w:val="center"/>
          </w:tcPr>
          <w:p w14:paraId="7A32C931" w14:textId="77777777" w:rsidR="00A430BF" w:rsidRPr="00F1270F" w:rsidRDefault="00D967A6" w:rsidP="00DB0B8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s-BO"/>
              </w:rPr>
            </w:pPr>
            <w:r w:rsidRPr="00D967A6"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  <w:t xml:space="preserve">Apoyo a la confiabilidad del abastecimiento eléctrico del </w:t>
            </w:r>
            <w:r w:rsidR="00DB0B8A"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  <w:t>Sistema Interconectado Nacional (</w:t>
            </w:r>
            <w:r w:rsidRPr="00D967A6"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  <w:t>SIN</w:t>
            </w:r>
            <w:r w:rsidR="00DB0B8A"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7A32C932" w14:textId="77777777" w:rsidR="00A430BF" w:rsidRPr="00F1270F" w:rsidRDefault="00A430BF" w:rsidP="00A430BF">
            <w:pPr>
              <w:spacing w:after="0" w:line="240" w:lineRule="auto"/>
              <w:ind w:left="351"/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</w:pPr>
          </w:p>
        </w:tc>
      </w:tr>
      <w:tr w:rsidR="00D967A6" w:rsidRPr="005F115D" w14:paraId="7A32C936" w14:textId="77777777" w:rsidTr="003A228F">
        <w:trPr>
          <w:trHeight w:val="368"/>
        </w:trPr>
        <w:tc>
          <w:tcPr>
            <w:tcW w:w="11790" w:type="dxa"/>
            <w:gridSpan w:val="6"/>
            <w:shd w:val="clear" w:color="auto" w:fill="C6D9F1" w:themeFill="text2" w:themeFillTint="33"/>
            <w:vAlign w:val="center"/>
          </w:tcPr>
          <w:p w14:paraId="7A32C934" w14:textId="77777777" w:rsidR="00D967A6" w:rsidRPr="00F1270F" w:rsidRDefault="00D967A6" w:rsidP="003A228F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  <w:t>2.1</w:t>
            </w:r>
            <w:r w:rsidRPr="00D967A6">
              <w:rPr>
                <w:rFonts w:ascii="Arial" w:eastAsia="Times New Roman" w:hAnsi="Arial" w:cs="Arial"/>
                <w:b/>
                <w:lang w:val="es-ES_tradnl"/>
              </w:rPr>
              <w:t xml:space="preserve"> </w:t>
            </w:r>
            <w:r w:rsidRPr="00D967A6"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  <w:t>Apoyo a la diversificación de la matriz energética y a la integración eléctrica regional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7A32C935" w14:textId="77777777" w:rsidR="00D967A6" w:rsidRPr="00F1270F" w:rsidRDefault="00D967A6" w:rsidP="00A430BF">
            <w:pPr>
              <w:spacing w:after="0" w:line="240" w:lineRule="auto"/>
              <w:ind w:left="351"/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</w:pPr>
          </w:p>
        </w:tc>
      </w:tr>
      <w:tr w:rsidR="00750D2C" w:rsidRPr="0096655F" w14:paraId="7A32C93E" w14:textId="77777777" w:rsidTr="009C2676">
        <w:trPr>
          <w:trHeight w:val="1178"/>
        </w:trPr>
        <w:tc>
          <w:tcPr>
            <w:tcW w:w="2880" w:type="dxa"/>
            <w:vAlign w:val="center"/>
          </w:tcPr>
          <w:p w14:paraId="7A32C937" w14:textId="77777777" w:rsidR="00750D2C" w:rsidRPr="00F1270F" w:rsidRDefault="00750D2C" w:rsidP="009C267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2.1 </w:t>
            </w:r>
            <w:r w:rsidR="009C2676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apacidad instalada en FNCER en el SIN</w:t>
            </w:r>
          </w:p>
        </w:tc>
        <w:tc>
          <w:tcPr>
            <w:tcW w:w="1530" w:type="dxa"/>
            <w:vAlign w:val="center"/>
          </w:tcPr>
          <w:p w14:paraId="7A32C938" w14:textId="77777777" w:rsidR="00750D2C" w:rsidRPr="00750D2C" w:rsidRDefault="00750D2C" w:rsidP="001B0BB1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C2676">
              <w:rPr>
                <w:rFonts w:ascii="Arial" w:hAnsi="Arial" w:cs="Arial"/>
                <w:sz w:val="20"/>
                <w:szCs w:val="20"/>
                <w:lang w:val="es-ES_tradnl"/>
              </w:rPr>
              <w:t>Capacidad</w:t>
            </w:r>
            <w:r w:rsidRPr="00750D2C">
              <w:rPr>
                <w:rFonts w:ascii="Arial" w:hAnsi="Arial" w:cs="Arial"/>
                <w:sz w:val="20"/>
                <w:szCs w:val="20"/>
                <w:lang w:val="es-CO"/>
              </w:rPr>
              <w:t xml:space="preserve"> Instalada (MW)</w:t>
            </w:r>
          </w:p>
        </w:tc>
        <w:tc>
          <w:tcPr>
            <w:tcW w:w="1800" w:type="dxa"/>
            <w:vAlign w:val="center"/>
          </w:tcPr>
          <w:p w14:paraId="7A32C939" w14:textId="278C787A" w:rsidR="00750D2C" w:rsidRPr="00F1270F" w:rsidRDefault="0011498A" w:rsidP="001B0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5F11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14:paraId="7A32C93A" w14:textId="77777777" w:rsidR="00750D2C" w:rsidRPr="00F1270F" w:rsidRDefault="0011498A" w:rsidP="001B0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204.82</w:t>
            </w:r>
          </w:p>
        </w:tc>
        <w:tc>
          <w:tcPr>
            <w:tcW w:w="2070" w:type="dxa"/>
            <w:vAlign w:val="center"/>
          </w:tcPr>
          <w:p w14:paraId="7A32C93B" w14:textId="77777777" w:rsidR="00750D2C" w:rsidRPr="00F1270F" w:rsidRDefault="0011498A" w:rsidP="001B0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984.4</w:t>
            </w:r>
          </w:p>
        </w:tc>
        <w:tc>
          <w:tcPr>
            <w:tcW w:w="1980" w:type="dxa"/>
            <w:vAlign w:val="center"/>
          </w:tcPr>
          <w:p w14:paraId="7A32C93C" w14:textId="77777777" w:rsidR="00750D2C" w:rsidRPr="00F1270F" w:rsidRDefault="00750D2C" w:rsidP="009C26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3DB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Plan Indicativo de Expansión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G-T </w:t>
            </w:r>
            <w:r w:rsidRPr="00193DB9">
              <w:rPr>
                <w:rFonts w:ascii="Arial" w:hAnsi="Arial" w:cs="Arial"/>
                <w:sz w:val="20"/>
                <w:szCs w:val="20"/>
                <w:lang w:val="es-ES_tradnl"/>
              </w:rPr>
              <w:t>UPME 2016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– 2030 (Escenario 0)</w:t>
            </w:r>
          </w:p>
        </w:tc>
        <w:tc>
          <w:tcPr>
            <w:tcW w:w="2610" w:type="dxa"/>
            <w:vAlign w:val="center"/>
          </w:tcPr>
          <w:p w14:paraId="7A32C93D" w14:textId="77777777" w:rsidR="00750D2C" w:rsidRPr="00F1270F" w:rsidRDefault="00750D2C" w:rsidP="009C26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Considera fuentes no convencionales como geotermia, biomasa, eólica y solar fotovoltaica distribuida</w:t>
            </w:r>
          </w:p>
        </w:tc>
      </w:tr>
      <w:tr w:rsidR="00A430BF" w:rsidRPr="005F115D" w14:paraId="7A32C946" w14:textId="77777777" w:rsidTr="00A430BF">
        <w:trPr>
          <w:trHeight w:val="719"/>
        </w:trPr>
        <w:tc>
          <w:tcPr>
            <w:tcW w:w="2880" w:type="dxa"/>
            <w:vAlign w:val="center"/>
          </w:tcPr>
          <w:p w14:paraId="7A32C93F" w14:textId="77777777" w:rsidR="00A430BF" w:rsidRPr="00F1270F" w:rsidRDefault="00A430BF" w:rsidP="002A7688">
            <w:pPr>
              <w:pStyle w:val="ListParagraph"/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BO"/>
              </w:rPr>
            </w:pPr>
            <w:bookmarkStart w:id="0" w:name="_GoBack" w:colFirst="2" w:colLast="2"/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2.</w:t>
            </w:r>
            <w:r w:rsidR="00DA2DF9">
              <w:rPr>
                <w:rFonts w:ascii="Arial" w:hAnsi="Arial" w:cs="Arial"/>
                <w:sz w:val="20"/>
                <w:szCs w:val="20"/>
                <w:lang w:val="es-BO"/>
              </w:rPr>
              <w:t>2</w:t>
            </w: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 Capacidad Efectiva Neta de Cogeneración</w:t>
            </w: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 gran escala al Sistema Interconectado Nacional (SIN).</w:t>
            </w:r>
          </w:p>
        </w:tc>
        <w:tc>
          <w:tcPr>
            <w:tcW w:w="1530" w:type="dxa"/>
            <w:vAlign w:val="center"/>
          </w:tcPr>
          <w:p w14:paraId="7A32C940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MW</w:t>
            </w:r>
          </w:p>
        </w:tc>
        <w:tc>
          <w:tcPr>
            <w:tcW w:w="1800" w:type="dxa"/>
            <w:vAlign w:val="center"/>
          </w:tcPr>
          <w:p w14:paraId="7A32C941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86.6</w:t>
            </w:r>
          </w:p>
        </w:tc>
        <w:tc>
          <w:tcPr>
            <w:tcW w:w="1530" w:type="dxa"/>
            <w:vAlign w:val="center"/>
          </w:tcPr>
          <w:p w14:paraId="7A32C942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105.1</w:t>
            </w:r>
          </w:p>
        </w:tc>
        <w:tc>
          <w:tcPr>
            <w:tcW w:w="2070" w:type="dxa"/>
            <w:vAlign w:val="center"/>
          </w:tcPr>
          <w:p w14:paraId="7A32C943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285</w:t>
            </w:r>
          </w:p>
        </w:tc>
        <w:tc>
          <w:tcPr>
            <w:tcW w:w="1980" w:type="dxa"/>
            <w:vAlign w:val="center"/>
          </w:tcPr>
          <w:p w14:paraId="7A32C944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Informe Anual de operación del Mercado de Energía XM</w:t>
            </w:r>
          </w:p>
        </w:tc>
        <w:tc>
          <w:tcPr>
            <w:tcW w:w="2610" w:type="dxa"/>
          </w:tcPr>
          <w:p w14:paraId="7A32C945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bookmarkEnd w:id="0"/>
      <w:tr w:rsidR="00A430BF" w:rsidRPr="005F115D" w14:paraId="7A32C94E" w14:textId="77777777" w:rsidTr="00A430BF">
        <w:trPr>
          <w:trHeight w:val="287"/>
        </w:trPr>
        <w:tc>
          <w:tcPr>
            <w:tcW w:w="2880" w:type="dxa"/>
            <w:vAlign w:val="center"/>
          </w:tcPr>
          <w:p w14:paraId="7A32C947" w14:textId="77777777" w:rsidR="00A430BF" w:rsidRPr="00F1270F" w:rsidRDefault="00A430BF" w:rsidP="002A7688">
            <w:pPr>
              <w:pStyle w:val="ListParagraph"/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2.</w:t>
            </w:r>
            <w:r w:rsidR="00DA2DF9">
              <w:rPr>
                <w:rFonts w:ascii="Arial" w:hAnsi="Arial" w:cs="Arial"/>
                <w:sz w:val="20"/>
                <w:szCs w:val="20"/>
                <w:lang w:val="es-BO"/>
              </w:rPr>
              <w:t>3</w:t>
            </w: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 Volumen energía eléctrica transada binacionalmente con Ecuador por año</w:t>
            </w:r>
            <w:r w:rsidR="002A7688">
              <w:t xml:space="preserve"> (</w:t>
            </w:r>
            <w:r w:rsidR="002A7688" w:rsidRPr="002A7688">
              <w:rPr>
                <w:rFonts w:ascii="Arial" w:hAnsi="Arial" w:cs="Arial"/>
                <w:sz w:val="20"/>
                <w:szCs w:val="20"/>
                <w:lang w:val="es-BO"/>
              </w:rPr>
              <w:t>Exportaciones e Importaciones de Energía con Ecuador</w:t>
            </w:r>
            <w:r w:rsidR="002A7688">
              <w:rPr>
                <w:rFonts w:ascii="Arial" w:hAnsi="Arial" w:cs="Arial"/>
                <w:sz w:val="20"/>
                <w:szCs w:val="20"/>
                <w:lang w:val="es-BO"/>
              </w:rPr>
              <w:t xml:space="preserve">) </w:t>
            </w:r>
          </w:p>
        </w:tc>
        <w:tc>
          <w:tcPr>
            <w:tcW w:w="1530" w:type="dxa"/>
            <w:vAlign w:val="center"/>
          </w:tcPr>
          <w:p w14:paraId="7A32C948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eastAsia="zh-CN"/>
              </w:rPr>
              <w:t>GWh/año</w:t>
            </w:r>
          </w:p>
        </w:tc>
        <w:tc>
          <w:tcPr>
            <w:tcW w:w="1800" w:type="dxa"/>
            <w:vAlign w:val="center"/>
          </w:tcPr>
          <w:p w14:paraId="7A32C949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502.4</w:t>
            </w:r>
          </w:p>
        </w:tc>
        <w:tc>
          <w:tcPr>
            <w:tcW w:w="1530" w:type="dxa"/>
            <w:vAlign w:val="center"/>
          </w:tcPr>
          <w:p w14:paraId="7A32C94A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3.498,8</w:t>
            </w:r>
          </w:p>
        </w:tc>
        <w:tc>
          <w:tcPr>
            <w:tcW w:w="2070" w:type="dxa"/>
            <w:vAlign w:val="center"/>
          </w:tcPr>
          <w:p w14:paraId="7A32C94B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3.443.3</w:t>
            </w:r>
          </w:p>
        </w:tc>
        <w:tc>
          <w:tcPr>
            <w:tcW w:w="1980" w:type="dxa"/>
            <w:vAlign w:val="center"/>
          </w:tcPr>
          <w:p w14:paraId="7A32C94C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Informe Anual de operación del Mercado de Energía XM</w:t>
            </w: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2610" w:type="dxa"/>
          </w:tcPr>
          <w:p w14:paraId="7A32C94D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A430BF" w:rsidRPr="00F1270F" w14:paraId="7A32C951" w14:textId="77777777" w:rsidTr="00A430BF">
        <w:trPr>
          <w:trHeight w:val="64"/>
        </w:trPr>
        <w:tc>
          <w:tcPr>
            <w:tcW w:w="11790" w:type="dxa"/>
            <w:gridSpan w:val="6"/>
            <w:shd w:val="clear" w:color="auto" w:fill="C6D9F1" w:themeFill="text2" w:themeFillTint="33"/>
          </w:tcPr>
          <w:p w14:paraId="7A32C94F" w14:textId="77777777" w:rsidR="00A430BF" w:rsidRPr="00F1270F" w:rsidRDefault="00096006" w:rsidP="00096006">
            <w:pPr>
              <w:spacing w:after="0" w:line="240" w:lineRule="auto"/>
              <w:ind w:left="720"/>
              <w:rPr>
                <w:rFonts w:ascii="Arial" w:hAnsi="Arial" w:cs="Arial"/>
                <w:i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  <w:t xml:space="preserve">2.2    </w:t>
            </w:r>
            <w:r w:rsidR="00A430BF" w:rsidRPr="00F1270F"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  <w:t>Fortalecimiento del mercado eléctrico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7A32C950" w14:textId="77777777" w:rsidR="00A430BF" w:rsidRPr="00F1270F" w:rsidRDefault="00A430BF" w:rsidP="00A430BF">
            <w:pPr>
              <w:spacing w:after="0" w:line="240" w:lineRule="auto"/>
              <w:ind w:left="351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</w:tc>
      </w:tr>
      <w:tr w:rsidR="00A430BF" w:rsidRPr="005F115D" w14:paraId="7A32C95A" w14:textId="77777777" w:rsidTr="00D37726">
        <w:trPr>
          <w:trHeight w:val="64"/>
        </w:trPr>
        <w:tc>
          <w:tcPr>
            <w:tcW w:w="2880" w:type="dxa"/>
            <w:shd w:val="clear" w:color="auto" w:fill="auto"/>
            <w:vAlign w:val="center"/>
          </w:tcPr>
          <w:p w14:paraId="7A32C952" w14:textId="77777777" w:rsidR="00A430BF" w:rsidRPr="002A7688" w:rsidRDefault="005B4612" w:rsidP="00D37726">
            <w:pPr>
              <w:pStyle w:val="ListParagraph"/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2.4 </w:t>
            </w:r>
            <w:r w:rsidR="00A430BF" w:rsidRPr="002A7688">
              <w:rPr>
                <w:rFonts w:ascii="Arial" w:hAnsi="Arial" w:cs="Arial"/>
                <w:sz w:val="20"/>
                <w:szCs w:val="20"/>
                <w:lang w:val="es-BO"/>
              </w:rPr>
              <w:t xml:space="preserve"> Volumen anual de oferta de Gas Natural para generación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32C953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Millones de Pies Cúbicos Día (MMCD)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32C954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1.000</w:t>
            </w:r>
          </w:p>
        </w:tc>
        <w:tc>
          <w:tcPr>
            <w:tcW w:w="1530" w:type="dxa"/>
            <w:vAlign w:val="center"/>
          </w:tcPr>
          <w:p w14:paraId="7A32C955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1.640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A32C956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1.430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32C957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Plan Transitorio de Abastecimiento y Transporte Gas Natural UPME </w:t>
            </w:r>
          </w:p>
          <w:p w14:paraId="7A32C958" w14:textId="77777777" w:rsidR="00A430BF" w:rsidRPr="00F1270F" w:rsidRDefault="00A430BF" w:rsidP="009C2676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lastRenderedPageBreak/>
              <w:t>(Oferta incluyendo la Planta GNL de Caribe y Pacífico)</w:t>
            </w:r>
          </w:p>
        </w:tc>
        <w:tc>
          <w:tcPr>
            <w:tcW w:w="2610" w:type="dxa"/>
          </w:tcPr>
          <w:p w14:paraId="7A32C959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A430BF" w:rsidRPr="005F115D" w14:paraId="7A32C963" w14:textId="77777777" w:rsidTr="00464C85">
        <w:trPr>
          <w:trHeight w:val="764"/>
        </w:trPr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2C95B" w14:textId="77777777" w:rsidR="00A430BF" w:rsidRPr="00F1270F" w:rsidRDefault="005B4612" w:rsidP="003273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2.5 </w:t>
            </w:r>
            <w:r w:rsidR="006B584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Consumo de electricidad</w:t>
            </w:r>
            <w:r w:rsidR="00464C8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</w:t>
            </w:r>
            <w:r w:rsidR="00327308">
              <w:rPr>
                <w:rFonts w:ascii="Arial" w:hAnsi="Arial" w:cs="Arial"/>
                <w:sz w:val="20"/>
                <w:szCs w:val="20"/>
                <w:lang w:val="es-ES_tradnl"/>
              </w:rPr>
              <w:t>sector industrial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2C95C" w14:textId="77777777" w:rsidR="00A430BF" w:rsidRPr="00FE64A6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zh-CN"/>
              </w:rPr>
            </w:pPr>
            <w:r w:rsidRPr="00FE64A6">
              <w:rPr>
                <w:rFonts w:ascii="Arial" w:hAnsi="Arial" w:cs="Arial"/>
                <w:sz w:val="20"/>
                <w:szCs w:val="20"/>
                <w:lang w:val="es-ES_tradnl" w:eastAsia="zh-CN"/>
              </w:rPr>
              <w:t>TJ/año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2C95D" w14:textId="77777777" w:rsidR="00A430BF" w:rsidRPr="00FE64A6" w:rsidRDefault="00A430BF" w:rsidP="00327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E64A6">
              <w:rPr>
                <w:rFonts w:ascii="Arial" w:hAnsi="Arial" w:cs="Arial"/>
                <w:sz w:val="20"/>
                <w:szCs w:val="20"/>
                <w:lang w:val="es-ES_tradnl"/>
              </w:rPr>
              <w:t>57.388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7A32C95E" w14:textId="77777777" w:rsidR="00A430BF" w:rsidRPr="00FE64A6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E64A6">
              <w:rPr>
                <w:rFonts w:ascii="Arial" w:hAnsi="Arial" w:cs="Arial"/>
                <w:sz w:val="20"/>
                <w:szCs w:val="20"/>
                <w:lang w:val="es-ES_tradnl"/>
              </w:rPr>
              <w:t>57.455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2C95F" w14:textId="77777777" w:rsidR="00A430BF" w:rsidRPr="00FE64A6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E64A6">
              <w:rPr>
                <w:rFonts w:ascii="Arial" w:hAnsi="Arial" w:cs="Arial"/>
                <w:sz w:val="20"/>
                <w:szCs w:val="20"/>
                <w:lang w:val="es-ES_tradnl"/>
              </w:rPr>
              <w:t>53.993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2C960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Plan de Acción Indicativo</w:t>
            </w:r>
          </w:p>
          <w:p w14:paraId="7A32C961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 PROURE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7A32C962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A430BF" w:rsidRPr="005F115D" w14:paraId="7A32C966" w14:textId="77777777" w:rsidTr="00A430BF">
        <w:trPr>
          <w:trHeight w:val="368"/>
        </w:trPr>
        <w:tc>
          <w:tcPr>
            <w:tcW w:w="11790" w:type="dxa"/>
            <w:gridSpan w:val="6"/>
            <w:shd w:val="clear" w:color="auto" w:fill="C6D9F1" w:themeFill="text2" w:themeFillTint="33"/>
          </w:tcPr>
          <w:p w14:paraId="7A32C964" w14:textId="77777777" w:rsidR="00A430BF" w:rsidRPr="00F1270F" w:rsidRDefault="00A430BF" w:rsidP="00464C85">
            <w:pPr>
              <w:numPr>
                <w:ilvl w:val="0"/>
                <w:numId w:val="18"/>
              </w:numPr>
              <w:spacing w:before="60" w:after="0" w:line="240" w:lineRule="auto"/>
              <w:ind w:left="706"/>
              <w:rPr>
                <w:rFonts w:ascii="Arial" w:hAnsi="Arial" w:cs="Arial"/>
                <w:b/>
                <w:i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  <w:t>Promoción del acceso a la energía en ZNI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7A32C965" w14:textId="77777777" w:rsidR="00A430BF" w:rsidRPr="00F1270F" w:rsidRDefault="00A430BF" w:rsidP="00A430B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</w:tc>
      </w:tr>
      <w:tr w:rsidR="00A430BF" w:rsidRPr="005F115D" w14:paraId="7A32C96F" w14:textId="77777777" w:rsidTr="00A430BF">
        <w:trPr>
          <w:trHeight w:val="64"/>
        </w:trPr>
        <w:tc>
          <w:tcPr>
            <w:tcW w:w="2880" w:type="dxa"/>
            <w:vAlign w:val="center"/>
          </w:tcPr>
          <w:p w14:paraId="7A32C967" w14:textId="77777777" w:rsidR="00A430BF" w:rsidRPr="00F1270F" w:rsidRDefault="00A430BF" w:rsidP="00DA66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4.1 Capacidad instalada de FNCER en ZNI </w:t>
            </w:r>
          </w:p>
        </w:tc>
        <w:tc>
          <w:tcPr>
            <w:tcW w:w="1530" w:type="dxa"/>
            <w:vAlign w:val="center"/>
          </w:tcPr>
          <w:p w14:paraId="7A32C968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MW</w:t>
            </w:r>
          </w:p>
        </w:tc>
        <w:tc>
          <w:tcPr>
            <w:tcW w:w="1800" w:type="dxa"/>
            <w:vAlign w:val="center"/>
          </w:tcPr>
          <w:p w14:paraId="7A32C969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80D35">
              <w:rPr>
                <w:rFonts w:ascii="Arial" w:hAnsi="Arial" w:cs="Arial"/>
                <w:sz w:val="20"/>
                <w:szCs w:val="20"/>
                <w:lang w:val="es-ES_tradnl"/>
              </w:rPr>
              <w:t>2,8 (2013)</w:t>
            </w:r>
          </w:p>
        </w:tc>
        <w:tc>
          <w:tcPr>
            <w:tcW w:w="1530" w:type="dxa"/>
            <w:vAlign w:val="center"/>
          </w:tcPr>
          <w:p w14:paraId="7A32C96A" w14:textId="77777777" w:rsidR="00A430BF" w:rsidRPr="00F1270F" w:rsidRDefault="00080D35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2070" w:type="dxa"/>
            <w:vAlign w:val="center"/>
          </w:tcPr>
          <w:p w14:paraId="7A32C96B" w14:textId="77777777" w:rsidR="00A430BF" w:rsidRPr="00F1270F" w:rsidRDefault="00A430BF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980" w:type="dxa"/>
          </w:tcPr>
          <w:p w14:paraId="7A32C96C" w14:textId="77777777" w:rsidR="00A430BF" w:rsidRPr="00F1270F" w:rsidRDefault="00A430BF" w:rsidP="00411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Capacidad instalada FNCER en ZNI</w:t>
            </w:r>
          </w:p>
          <w:p w14:paraId="7A32C96D" w14:textId="77777777" w:rsidR="00A430BF" w:rsidRPr="00F1270F" w:rsidRDefault="00993883" w:rsidP="00411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hyperlink r:id="rId17" w:history="1">
              <w:r w:rsidR="00A430BF" w:rsidRPr="00F1270F">
                <w:rPr>
                  <w:rStyle w:val="Hyperlink"/>
                  <w:rFonts w:ascii="Arial" w:hAnsi="Arial" w:cs="Arial"/>
                  <w:sz w:val="20"/>
                  <w:szCs w:val="20"/>
                  <w:lang w:val="es-BO"/>
                </w:rPr>
                <w:t>UPME PIEC 2016-20</w:t>
              </w:r>
            </w:hyperlink>
          </w:p>
        </w:tc>
        <w:tc>
          <w:tcPr>
            <w:tcW w:w="2610" w:type="dxa"/>
          </w:tcPr>
          <w:p w14:paraId="7A32C96E" w14:textId="77777777" w:rsidR="00A430BF" w:rsidRPr="00F1270F" w:rsidRDefault="00A430BF" w:rsidP="00411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</w:tbl>
    <w:p w14:paraId="7A32C970" w14:textId="77777777" w:rsidR="003A228F" w:rsidRPr="00D1081B" w:rsidRDefault="003A228F" w:rsidP="00354D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  <w:lang w:val="es-CR"/>
        </w:rPr>
      </w:pPr>
    </w:p>
    <w:p w14:paraId="7A32C971" w14:textId="77777777" w:rsidR="00637F8D" w:rsidRPr="00D1081B" w:rsidRDefault="00263EAF" w:rsidP="00637F8D">
      <w:pPr>
        <w:jc w:val="center"/>
        <w:rPr>
          <w:rFonts w:ascii="Arial" w:hAnsi="Arial" w:cs="Arial"/>
          <w:b/>
          <w:smallCaps/>
          <w:color w:val="000000"/>
          <w:sz w:val="20"/>
          <w:szCs w:val="20"/>
          <w:lang w:val="es-CR"/>
        </w:rPr>
      </w:pPr>
      <w:r w:rsidRPr="00D1081B">
        <w:rPr>
          <w:rFonts w:ascii="Arial" w:hAnsi="Arial" w:cs="Arial"/>
          <w:b/>
          <w:smallCaps/>
          <w:color w:val="000000"/>
          <w:sz w:val="20"/>
          <w:szCs w:val="20"/>
          <w:lang w:val="es-CR"/>
        </w:rPr>
        <w:t>Productos</w:t>
      </w:r>
    </w:p>
    <w:tbl>
      <w:tblPr>
        <w:tblW w:w="1395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260"/>
        <w:gridCol w:w="1440"/>
        <w:gridCol w:w="906"/>
        <w:gridCol w:w="900"/>
        <w:gridCol w:w="900"/>
        <w:gridCol w:w="2340"/>
        <w:gridCol w:w="1530"/>
      </w:tblGrid>
      <w:tr w:rsidR="008F0FE4" w:rsidRPr="00D1081B" w14:paraId="7A32C97E" w14:textId="77777777" w:rsidTr="008F0FE4">
        <w:trPr>
          <w:trHeight w:val="1070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A32C972" w14:textId="77777777" w:rsidR="008F0FE4" w:rsidRPr="00D1081B" w:rsidRDefault="008F0FE4" w:rsidP="00F12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R"/>
              </w:rPr>
              <w:t>Indicador de Producto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A32C973" w14:textId="77777777" w:rsidR="008F0FE4" w:rsidRPr="00D1081B" w:rsidRDefault="008F0FE4" w:rsidP="00F12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R"/>
              </w:rPr>
              <w:t>Unidad de  medida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A32C974" w14:textId="77777777" w:rsidR="008F0FE4" w:rsidRPr="00D1081B" w:rsidRDefault="008F0FE4" w:rsidP="00F12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R"/>
              </w:rPr>
              <w:t>Línea de base</w:t>
            </w:r>
          </w:p>
          <w:p w14:paraId="7A32C975" w14:textId="77777777" w:rsidR="008F0FE4" w:rsidRPr="00D1081B" w:rsidRDefault="008F0FE4" w:rsidP="00F1270F">
            <w:pPr>
              <w:spacing w:after="0" w:line="240" w:lineRule="auto"/>
              <w:ind w:left="-79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R"/>
              </w:rPr>
              <w:t>1/1/2015</w:t>
            </w:r>
          </w:p>
          <w:p w14:paraId="7A32C976" w14:textId="77777777" w:rsidR="008F0FE4" w:rsidRPr="00D1081B" w:rsidRDefault="008F0FE4" w:rsidP="00F12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14:paraId="7A32C977" w14:textId="77777777" w:rsidR="008F0FE4" w:rsidRPr="00D1081B" w:rsidRDefault="008F0FE4" w:rsidP="00F12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R"/>
              </w:rPr>
              <w:t>Meta</w:t>
            </w:r>
          </w:p>
          <w:p w14:paraId="7A32C978" w14:textId="77777777" w:rsidR="008F0FE4" w:rsidRPr="00D1081B" w:rsidRDefault="008F0FE4" w:rsidP="00F12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R"/>
              </w:rPr>
              <w:t>(2015)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32C979" w14:textId="77777777" w:rsidR="008F0FE4" w:rsidRPr="00D1081B" w:rsidRDefault="008F0FE4" w:rsidP="00F12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R"/>
              </w:rPr>
              <w:t>Meta (2016)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32C97A" w14:textId="77777777" w:rsidR="008F0FE4" w:rsidRPr="00D1081B" w:rsidRDefault="008F0FE4" w:rsidP="00F12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R"/>
              </w:rPr>
              <w:t>Meta (2017)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A32C97B" w14:textId="77777777" w:rsidR="008F0FE4" w:rsidRPr="00D1081B" w:rsidRDefault="008F0FE4" w:rsidP="00F12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R"/>
              </w:rPr>
              <w:t>Medios de verificación /</w:t>
            </w:r>
          </w:p>
          <w:p w14:paraId="7A32C97C" w14:textId="77777777" w:rsidR="008F0FE4" w:rsidRPr="00D1081B" w:rsidRDefault="008F0FE4" w:rsidP="00F12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R"/>
              </w:rPr>
              <w:t>Observaciones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A32C97D" w14:textId="77777777" w:rsidR="008F0FE4" w:rsidRPr="00D1081B" w:rsidRDefault="008F0FE4" w:rsidP="00F12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1081B">
              <w:rPr>
                <w:rFonts w:ascii="Arial" w:hAnsi="Arial" w:cs="Arial"/>
                <w:b/>
                <w:sz w:val="20"/>
                <w:szCs w:val="20"/>
                <w:lang w:val="es-CR"/>
              </w:rPr>
              <w:t>Comentarios</w:t>
            </w:r>
            <w:r w:rsidRPr="00D1081B">
              <w:rPr>
                <w:rFonts w:ascii="Arial" w:hAnsi="Arial" w:cs="Arial"/>
                <w:b/>
                <w:sz w:val="20"/>
                <w:szCs w:val="20"/>
                <w:vertAlign w:val="superscript"/>
                <w:lang w:val="es-CR"/>
              </w:rPr>
              <w:t>1</w:t>
            </w:r>
          </w:p>
        </w:tc>
      </w:tr>
      <w:tr w:rsidR="00A430BF" w:rsidRPr="005F115D" w14:paraId="7A32C981" w14:textId="77777777" w:rsidTr="008F0FE4">
        <w:trPr>
          <w:trHeight w:val="64"/>
        </w:trPr>
        <w:tc>
          <w:tcPr>
            <w:tcW w:w="12426" w:type="dxa"/>
            <w:gridSpan w:val="7"/>
            <w:shd w:val="clear" w:color="auto" w:fill="C6D9F1" w:themeFill="text2" w:themeFillTint="33"/>
          </w:tcPr>
          <w:p w14:paraId="7A32C97F" w14:textId="77777777" w:rsidR="00A430BF" w:rsidRPr="00F1270F" w:rsidRDefault="00A430BF" w:rsidP="00C5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b/>
                <w:sz w:val="20"/>
                <w:szCs w:val="20"/>
                <w:lang w:val="es-BO"/>
              </w:rPr>
              <w:t xml:space="preserve">Componente 2. </w:t>
            </w:r>
            <w:r w:rsidR="00096006" w:rsidRPr="0009600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Apoyo a la confiabilidad del abastecimiento eléctrico del SIN</w:t>
            </w:r>
            <w:r w:rsidRPr="00F1270F">
              <w:rPr>
                <w:rFonts w:ascii="Arial" w:hAnsi="Arial" w:cs="Arial"/>
                <w:b/>
                <w:sz w:val="20"/>
                <w:szCs w:val="20"/>
                <w:lang w:val="es-BO"/>
              </w:rPr>
              <w:t>.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7A32C980" w14:textId="77777777" w:rsidR="00A430BF" w:rsidRPr="00F1270F" w:rsidRDefault="00A430BF" w:rsidP="00C5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</w:tc>
      </w:tr>
      <w:tr w:rsidR="00096006" w:rsidRPr="005F115D" w14:paraId="7A32C984" w14:textId="77777777" w:rsidTr="008F0FE4">
        <w:trPr>
          <w:trHeight w:val="64"/>
        </w:trPr>
        <w:tc>
          <w:tcPr>
            <w:tcW w:w="12426" w:type="dxa"/>
            <w:gridSpan w:val="7"/>
            <w:shd w:val="clear" w:color="auto" w:fill="C6D9F1" w:themeFill="text2" w:themeFillTint="33"/>
          </w:tcPr>
          <w:p w14:paraId="7A32C982" w14:textId="77777777" w:rsidR="00096006" w:rsidRPr="00096006" w:rsidRDefault="00096006" w:rsidP="00096006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9600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Subcomponente 2.1. Apoyo a la diversificación de la matriz energética y a la integración eléctrica regional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7A32C983" w14:textId="77777777" w:rsidR="00096006" w:rsidRPr="00F1270F" w:rsidRDefault="00096006" w:rsidP="00C5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</w:tc>
      </w:tr>
      <w:tr w:rsidR="008F0FE4" w:rsidRPr="005F115D" w14:paraId="7A32C98D" w14:textId="77777777" w:rsidTr="008F0FE4">
        <w:trPr>
          <w:trHeight w:val="1961"/>
        </w:trPr>
        <w:tc>
          <w:tcPr>
            <w:tcW w:w="4680" w:type="dxa"/>
            <w:vAlign w:val="center"/>
          </w:tcPr>
          <w:p w14:paraId="7A32C985" w14:textId="08FAC1F8" w:rsidR="008F0FE4" w:rsidRPr="00F1270F" w:rsidRDefault="008F0FE4" w:rsidP="00C51662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Decreto 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>expedido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es-BO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 por el </w:t>
            </w:r>
            <w:r w:rsidR="001C2435">
              <w:rPr>
                <w:rFonts w:ascii="Arial" w:hAnsi="Arial" w:cs="Arial"/>
                <w:sz w:val="20"/>
                <w:szCs w:val="20"/>
                <w:lang w:val="es-BO"/>
              </w:rPr>
              <w:t>Gobierno de Colombia (GdC)</w:t>
            </w: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 que define los lineamientos para la aplicación de los “Incentivos a la inversión en proyectos de Fuentes No Convencionales de Energía (FNCE)” (Capítulo III de la Ley 1715 de 2014).</w:t>
            </w:r>
          </w:p>
        </w:tc>
        <w:tc>
          <w:tcPr>
            <w:tcW w:w="1260" w:type="dxa"/>
            <w:vAlign w:val="center"/>
          </w:tcPr>
          <w:p w14:paraId="7A32C986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Decreto</w:t>
            </w:r>
          </w:p>
        </w:tc>
        <w:tc>
          <w:tcPr>
            <w:tcW w:w="1440" w:type="dxa"/>
            <w:vAlign w:val="center"/>
          </w:tcPr>
          <w:p w14:paraId="7A32C987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88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989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8A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  <w:vAlign w:val="center"/>
          </w:tcPr>
          <w:p w14:paraId="7A32C98B" w14:textId="09F35F25" w:rsidR="008F0FE4" w:rsidRPr="001C2435" w:rsidRDefault="001C2435" w:rsidP="001C24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2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Comunicación del Departamento Nacional de Planeación (DNP) remitiendo del Decreto No. 2143 de 2015, que define los lineamientos para la aplicación de los incentivos establecidos en el </w:t>
            </w:r>
            <w:r w:rsidRPr="001C2435">
              <w:rPr>
                <w:rFonts w:ascii="Arial" w:hAnsi="Arial" w:cs="Arial"/>
                <w:sz w:val="20"/>
                <w:szCs w:val="20"/>
                <w:lang w:val="es-ES"/>
              </w:rPr>
              <w:t>Capítulo III de la Ley 1715 de 2014.</w:t>
            </w:r>
          </w:p>
        </w:tc>
        <w:tc>
          <w:tcPr>
            <w:tcW w:w="1530" w:type="dxa"/>
          </w:tcPr>
          <w:p w14:paraId="7A32C98C" w14:textId="77777777" w:rsidR="008F0FE4" w:rsidRPr="00F1270F" w:rsidRDefault="008F0FE4" w:rsidP="00C516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C2435" w:rsidRPr="005F115D" w14:paraId="7A32C996" w14:textId="77777777" w:rsidTr="00B64F8D">
        <w:trPr>
          <w:trHeight w:val="467"/>
        </w:trPr>
        <w:tc>
          <w:tcPr>
            <w:tcW w:w="4680" w:type="dxa"/>
            <w:vAlign w:val="center"/>
          </w:tcPr>
          <w:p w14:paraId="7A32C98E" w14:textId="77777777" w:rsidR="001C2435" w:rsidRPr="00F1270F" w:rsidRDefault="001C2435" w:rsidP="001C2435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Resolución 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expedida por la </w:t>
            </w: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UPME que regula los procedimientos y requisitos para avalar </w:t>
            </w: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lastRenderedPageBreak/>
              <w:t>proyectos y acceder a los incentivos de la inversión en proyectos de FNCER.</w:t>
            </w:r>
          </w:p>
        </w:tc>
        <w:tc>
          <w:tcPr>
            <w:tcW w:w="1260" w:type="dxa"/>
            <w:vAlign w:val="center"/>
          </w:tcPr>
          <w:p w14:paraId="7A32C98F" w14:textId="77777777" w:rsidR="001C2435" w:rsidRPr="00F1270F" w:rsidRDefault="001C2435" w:rsidP="001C2435">
            <w:pPr>
              <w:spacing w:after="0" w:line="240" w:lineRule="auto"/>
              <w:ind w:left="-87" w:hanging="9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lastRenderedPageBreak/>
              <w:t>Resolución</w:t>
            </w:r>
          </w:p>
        </w:tc>
        <w:tc>
          <w:tcPr>
            <w:tcW w:w="1440" w:type="dxa"/>
            <w:vAlign w:val="center"/>
          </w:tcPr>
          <w:p w14:paraId="7A32C990" w14:textId="77777777" w:rsidR="001C2435" w:rsidRPr="00F1270F" w:rsidRDefault="001C2435" w:rsidP="001C2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91" w14:textId="77777777" w:rsidR="001C2435" w:rsidRPr="00F1270F" w:rsidRDefault="001C2435" w:rsidP="001C2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92" w14:textId="77777777" w:rsidR="001C2435" w:rsidRPr="00F1270F" w:rsidRDefault="001C2435" w:rsidP="001C2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993" w14:textId="77777777" w:rsidR="001C2435" w:rsidRPr="00F1270F" w:rsidRDefault="001C2435" w:rsidP="001C2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</w:tcPr>
          <w:p w14:paraId="7A32C994" w14:textId="30CFA32D" w:rsidR="001C2435" w:rsidRPr="001C2435" w:rsidRDefault="001C2435" w:rsidP="001C2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1C2435">
              <w:rPr>
                <w:rFonts w:ascii="Arial" w:hAnsi="Arial" w:cs="Arial"/>
                <w:sz w:val="20"/>
                <w:lang w:val="es-ES_tradnl"/>
              </w:rPr>
              <w:t xml:space="preserve">Comunicación del DNP remitiendo la Resolución Unidad de </w:t>
            </w:r>
            <w:r w:rsidRPr="001C2435">
              <w:rPr>
                <w:rFonts w:ascii="Arial" w:hAnsi="Arial" w:cs="Arial"/>
                <w:sz w:val="20"/>
                <w:lang w:val="es-ES_tradnl"/>
              </w:rPr>
              <w:lastRenderedPageBreak/>
              <w:t>Planeación Minero Energética (UPME) No. 045 de 2016</w:t>
            </w:r>
            <w:r w:rsidRPr="001C2435">
              <w:rPr>
                <w:rFonts w:ascii="Arial" w:hAnsi="Arial" w:cs="Arial"/>
                <w:color w:val="0000FF"/>
                <w:sz w:val="20"/>
                <w:lang w:val="es-ES_tradnl"/>
              </w:rPr>
              <w:t xml:space="preserve"> </w:t>
            </w:r>
            <w:r w:rsidRPr="001C2435">
              <w:rPr>
                <w:rFonts w:ascii="Arial" w:hAnsi="Arial" w:cs="Arial"/>
                <w:sz w:val="20"/>
                <w:lang w:val="es-ES_tradnl"/>
              </w:rPr>
              <w:t>que establece los procedimientos y requisitos para acceder a los beneficios de que tratan los artículos 12 y 13 de la Ley 1715 de 2014.</w:t>
            </w:r>
          </w:p>
        </w:tc>
        <w:tc>
          <w:tcPr>
            <w:tcW w:w="1530" w:type="dxa"/>
          </w:tcPr>
          <w:p w14:paraId="7A32C995" w14:textId="77777777" w:rsidR="001C2435" w:rsidRPr="00F1270F" w:rsidRDefault="001C2435" w:rsidP="001C2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99F" w14:textId="77777777" w:rsidTr="008F0FE4">
        <w:trPr>
          <w:trHeight w:val="1475"/>
        </w:trPr>
        <w:tc>
          <w:tcPr>
            <w:tcW w:w="4680" w:type="dxa"/>
            <w:vAlign w:val="center"/>
          </w:tcPr>
          <w:p w14:paraId="7A32C997" w14:textId="77777777" w:rsidR="008F0FE4" w:rsidRPr="00F1270F" w:rsidRDefault="008F0FE4" w:rsidP="00C51662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Resolución 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expedida por la </w:t>
            </w: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CREG que regula las condiciones para el proceso de conexión, medida y entrega de excedentes del autogenerador a gran escala al Sistema Interconectado Nacional (SIN).</w:t>
            </w:r>
          </w:p>
        </w:tc>
        <w:tc>
          <w:tcPr>
            <w:tcW w:w="1260" w:type="dxa"/>
            <w:vAlign w:val="center"/>
          </w:tcPr>
          <w:p w14:paraId="7A32C998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Resolución</w:t>
            </w:r>
          </w:p>
        </w:tc>
        <w:tc>
          <w:tcPr>
            <w:tcW w:w="1440" w:type="dxa"/>
            <w:vAlign w:val="center"/>
          </w:tcPr>
          <w:p w14:paraId="7A32C999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9A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99B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9C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  <w:vAlign w:val="center"/>
          </w:tcPr>
          <w:p w14:paraId="7A32C99D" w14:textId="3A6D3123" w:rsidR="008F0FE4" w:rsidRPr="001C2435" w:rsidRDefault="001C2435" w:rsidP="001C2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2435">
              <w:rPr>
                <w:rFonts w:ascii="Arial" w:hAnsi="Arial" w:cs="Arial"/>
                <w:sz w:val="20"/>
                <w:szCs w:val="20"/>
                <w:lang w:val="es-ES_tradnl"/>
              </w:rPr>
              <w:t>Comunicación del DNP remitiendo la Resolución CREG No. 024 de 2015 por la cual que regula la actividad de autogeneración a gran escala en el SIN.</w:t>
            </w:r>
          </w:p>
        </w:tc>
        <w:tc>
          <w:tcPr>
            <w:tcW w:w="1530" w:type="dxa"/>
          </w:tcPr>
          <w:p w14:paraId="7A32C99E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9A8" w14:textId="77777777" w:rsidTr="008F0FE4">
        <w:trPr>
          <w:trHeight w:val="64"/>
        </w:trPr>
        <w:tc>
          <w:tcPr>
            <w:tcW w:w="4680" w:type="dxa"/>
            <w:vAlign w:val="center"/>
          </w:tcPr>
          <w:p w14:paraId="7A32C9A0" w14:textId="77777777" w:rsidR="008F0FE4" w:rsidRPr="00F1270F" w:rsidRDefault="008F0FE4" w:rsidP="006D48CA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sz w:val="20"/>
                <w:szCs w:val="20"/>
              </w:rPr>
              <w:t xml:space="preserve">Acta </w:t>
            </w:r>
            <w:r>
              <w:rPr>
                <w:rFonts w:ascii="Arial" w:hAnsi="Arial" w:cs="Arial"/>
                <w:sz w:val="20"/>
                <w:szCs w:val="20"/>
              </w:rPr>
              <w:t xml:space="preserve">firmada </w:t>
            </w:r>
            <w:r w:rsidRPr="00F1270F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Reunión del Comité Andino de Organismos Normativos y Organismos Reguladores de Servicios de Electricidad (CANREL) donde se aprueba el Proyecto de Decisión del Marco Regulatorio para la interconexión Subregional de los Sistemas Eléctricos e Intercambio Comunitario de Electricidad, aprobada y firmada por los delegados de los países miembros.</w:t>
            </w:r>
          </w:p>
        </w:tc>
        <w:tc>
          <w:tcPr>
            <w:tcW w:w="1260" w:type="dxa"/>
            <w:vAlign w:val="center"/>
          </w:tcPr>
          <w:p w14:paraId="7A32C9A1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Acta</w:t>
            </w:r>
          </w:p>
        </w:tc>
        <w:tc>
          <w:tcPr>
            <w:tcW w:w="1440" w:type="dxa"/>
            <w:vAlign w:val="center"/>
          </w:tcPr>
          <w:p w14:paraId="7A32C9A2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A3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A4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9A5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  <w:vAlign w:val="center"/>
          </w:tcPr>
          <w:p w14:paraId="7A32C9A6" w14:textId="0F434194" w:rsidR="008F0FE4" w:rsidRPr="00F1270F" w:rsidRDefault="001C2435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1C2435">
              <w:rPr>
                <w:rFonts w:ascii="Arial" w:hAnsi="Arial" w:cs="Arial"/>
                <w:sz w:val="20"/>
                <w:szCs w:val="20"/>
                <w:lang w:val="es-BO"/>
              </w:rPr>
              <w:t>Comunicación del DNP remitiendo el Acta de la Décimo Novena Reunión del Comité Andino de Organismos Normativos y Organismos Reguladores de Servicios de Electricidad (CANREL) realizada en Bogotá, Colombia el 15 y 16 Diciembre de 2016, en la que se acordó el Proyecto de Decisión del Marco Regulatorio para la interconexión Subregional de los Sistemas Eléctricos e Intercambio Comunitario de Electricidad.</w:t>
            </w:r>
          </w:p>
        </w:tc>
        <w:tc>
          <w:tcPr>
            <w:tcW w:w="1530" w:type="dxa"/>
          </w:tcPr>
          <w:p w14:paraId="7A32C9A7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  <w:tr w:rsidR="00F1270F" w:rsidRPr="005F115D" w14:paraId="7A32C9AB" w14:textId="77777777" w:rsidTr="008F0FE4">
        <w:trPr>
          <w:trHeight w:val="368"/>
        </w:trPr>
        <w:tc>
          <w:tcPr>
            <w:tcW w:w="12426" w:type="dxa"/>
            <w:gridSpan w:val="7"/>
            <w:shd w:val="clear" w:color="auto" w:fill="C6D9F1" w:themeFill="text2" w:themeFillTint="33"/>
            <w:vAlign w:val="center"/>
          </w:tcPr>
          <w:p w14:paraId="7A32C9A9" w14:textId="77777777" w:rsidR="00F1270F" w:rsidRPr="00F1270F" w:rsidRDefault="00096006" w:rsidP="00096006">
            <w:pPr>
              <w:pStyle w:val="ListParagraph"/>
              <w:tabs>
                <w:tab w:val="left" w:pos="35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Pr="00F1270F">
              <w:rPr>
                <w:rFonts w:ascii="Arial" w:hAnsi="Arial" w:cs="Arial"/>
                <w:b/>
                <w:sz w:val="20"/>
                <w:szCs w:val="20"/>
              </w:rPr>
              <w:t>componente</w:t>
            </w:r>
            <w:r w:rsidR="00F1270F" w:rsidRPr="00F127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F1270F" w:rsidRPr="00F1270F">
              <w:rPr>
                <w:rFonts w:ascii="Arial" w:hAnsi="Arial" w:cs="Arial"/>
                <w:b/>
                <w:sz w:val="20"/>
                <w:szCs w:val="20"/>
              </w:rPr>
              <w:t>. Fortalecimiento del mercado eléctrico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7A32C9AA" w14:textId="77777777" w:rsidR="00F1270F" w:rsidRPr="00F1270F" w:rsidRDefault="00F1270F" w:rsidP="006D48CA">
            <w:pPr>
              <w:pStyle w:val="ListParagraph"/>
              <w:tabs>
                <w:tab w:val="left" w:pos="35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FE4" w:rsidRPr="005F115D" w14:paraId="7A32C9B4" w14:textId="77777777" w:rsidTr="008F0FE4">
        <w:trPr>
          <w:trHeight w:val="1016"/>
        </w:trPr>
        <w:tc>
          <w:tcPr>
            <w:tcW w:w="4680" w:type="dxa"/>
            <w:vAlign w:val="center"/>
          </w:tcPr>
          <w:p w14:paraId="7A32C9AC" w14:textId="11EACFE7" w:rsidR="008F0FE4" w:rsidRPr="00F1270F" w:rsidRDefault="008F0FE4" w:rsidP="009A6879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Decreto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expedido por el </w:t>
            </w:r>
            <w:r w:rsidR="001C2435">
              <w:rPr>
                <w:rFonts w:ascii="Arial" w:hAnsi="Arial" w:cs="Arial"/>
                <w:sz w:val="20"/>
                <w:szCs w:val="20"/>
                <w:lang w:val="es-ES"/>
              </w:rPr>
              <w:t>GdC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 que adoptan los criterios de ejecución bajo los cuales se implementarán ajustes al esquema de comercialización mayorista de GN.</w:t>
            </w:r>
          </w:p>
        </w:tc>
        <w:tc>
          <w:tcPr>
            <w:tcW w:w="1260" w:type="dxa"/>
            <w:vAlign w:val="center"/>
          </w:tcPr>
          <w:p w14:paraId="7A32C9AD" w14:textId="77777777" w:rsidR="008F0FE4" w:rsidRPr="00F1270F" w:rsidRDefault="008F0FE4" w:rsidP="009A6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Decreto </w:t>
            </w:r>
          </w:p>
        </w:tc>
        <w:tc>
          <w:tcPr>
            <w:tcW w:w="1440" w:type="dxa"/>
            <w:vAlign w:val="center"/>
          </w:tcPr>
          <w:p w14:paraId="7A32C9AE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AF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9B0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B1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  <w:vAlign w:val="center"/>
          </w:tcPr>
          <w:p w14:paraId="7A32C9B2" w14:textId="6952EED9" w:rsidR="008F0FE4" w:rsidRPr="00F1270F" w:rsidRDefault="001C2435" w:rsidP="009A6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2435">
              <w:rPr>
                <w:rFonts w:ascii="Arial" w:hAnsi="Arial" w:cs="Arial"/>
                <w:sz w:val="20"/>
                <w:szCs w:val="20"/>
                <w:lang w:val="es-ES_tradnl"/>
              </w:rPr>
              <w:t>Comunicación del DNP remitiendo el Decreto No. 2345 de 2015 que establece los lineamientos para aumentar la confiablidad y seguridad del gas natural</w:t>
            </w:r>
          </w:p>
        </w:tc>
        <w:tc>
          <w:tcPr>
            <w:tcW w:w="1530" w:type="dxa"/>
          </w:tcPr>
          <w:p w14:paraId="7A32C9B3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9BD" w14:textId="77777777" w:rsidTr="008F0FE4">
        <w:trPr>
          <w:trHeight w:val="1016"/>
        </w:trPr>
        <w:tc>
          <w:tcPr>
            <w:tcW w:w="4680" w:type="dxa"/>
            <w:vAlign w:val="center"/>
          </w:tcPr>
          <w:p w14:paraId="7A32C9B5" w14:textId="7AED8015" w:rsidR="008F0FE4" w:rsidRPr="00F1270F" w:rsidRDefault="008F0FE4" w:rsidP="009A6879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>Resolución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expedida por </w:t>
            </w:r>
            <w:r w:rsidR="00FC29CE">
              <w:rPr>
                <w:rFonts w:ascii="Arial" w:hAnsi="Arial" w:cs="Arial"/>
                <w:sz w:val="20"/>
                <w:szCs w:val="20"/>
                <w:lang w:val="es-ES"/>
              </w:rPr>
              <w:t>GdC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que establece lineamientos para la elaboración del Plan de Abastecimiento de GN</w:t>
            </w:r>
          </w:p>
        </w:tc>
        <w:tc>
          <w:tcPr>
            <w:tcW w:w="1260" w:type="dxa"/>
            <w:vAlign w:val="center"/>
          </w:tcPr>
          <w:p w14:paraId="7A32C9B6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Resolución</w:t>
            </w:r>
          </w:p>
        </w:tc>
        <w:tc>
          <w:tcPr>
            <w:tcW w:w="1440" w:type="dxa"/>
            <w:vAlign w:val="center"/>
          </w:tcPr>
          <w:p w14:paraId="7A32C9B7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B8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B9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9BA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  <w:vAlign w:val="center"/>
          </w:tcPr>
          <w:p w14:paraId="7A32C9BB" w14:textId="1F0B4FED" w:rsidR="008F0FE4" w:rsidRPr="00F1270F" w:rsidRDefault="001C2435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24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Comunicación del DNP remitiendo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la</w:t>
            </w:r>
            <w:r w:rsidRPr="001C2435">
              <w:rPr>
                <w:lang w:val="es-ES_tradnl"/>
              </w:rPr>
              <w:t xml:space="preserve"> </w:t>
            </w:r>
            <w:hyperlink r:id="rId18" w:history="1">
              <w:r w:rsidR="008F0FE4" w:rsidRPr="00F1270F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Resolución </w:t>
              </w:r>
              <w:r w:rsidR="00FC29CE">
                <w:rPr>
                  <w:rFonts w:ascii="Arial" w:hAnsi="Arial" w:cs="Arial"/>
                  <w:sz w:val="20"/>
                  <w:szCs w:val="20"/>
                  <w:lang w:val="es-ES_tradnl"/>
                </w:rPr>
                <w:t>No.</w:t>
              </w:r>
              <w:r w:rsidR="008F0FE4" w:rsidRPr="00F1270F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40052 de 2016</w:t>
              </w:r>
            </w:hyperlink>
            <w:r w:rsidR="008F0FE4" w:rsidRPr="00F1270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F0FE4">
              <w:rPr>
                <w:rFonts w:ascii="Arial" w:hAnsi="Arial" w:cs="Arial"/>
                <w:sz w:val="20"/>
                <w:szCs w:val="20"/>
                <w:lang w:val="es-ES"/>
              </w:rPr>
              <w:t>que establece lineamientos para la elaboración del Plan de Abastecimiento de GN</w:t>
            </w:r>
          </w:p>
        </w:tc>
        <w:tc>
          <w:tcPr>
            <w:tcW w:w="1530" w:type="dxa"/>
          </w:tcPr>
          <w:p w14:paraId="7A32C9BC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9C6" w14:textId="77777777" w:rsidTr="008F0FE4">
        <w:trPr>
          <w:trHeight w:val="1016"/>
        </w:trPr>
        <w:tc>
          <w:tcPr>
            <w:tcW w:w="4680" w:type="dxa"/>
            <w:vAlign w:val="center"/>
          </w:tcPr>
          <w:p w14:paraId="7A32C9BE" w14:textId="77777777" w:rsidR="008F0FE4" w:rsidRPr="00F1270F" w:rsidRDefault="008F0FE4" w:rsidP="009A6879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Resolución MME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expedida 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que adopta el Plan Transitorio de Abastecimiento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GN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260" w:type="dxa"/>
            <w:vAlign w:val="center"/>
          </w:tcPr>
          <w:p w14:paraId="7A32C9BF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>Resolución</w:t>
            </w:r>
          </w:p>
        </w:tc>
        <w:tc>
          <w:tcPr>
            <w:tcW w:w="1440" w:type="dxa"/>
            <w:vAlign w:val="center"/>
          </w:tcPr>
          <w:p w14:paraId="7A32C9C0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C1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C2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C3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2340" w:type="dxa"/>
            <w:vAlign w:val="center"/>
          </w:tcPr>
          <w:p w14:paraId="7A32C9C4" w14:textId="3F173637" w:rsidR="008F0FE4" w:rsidRPr="00F1270F" w:rsidRDefault="00FC29CE" w:rsidP="00A11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>Comunicación del DNP remitiendo la Resolución del MME No. 40006 de 2017 que adopta el Plan Transitorio de Abastecimiento de Gas Natural 2016</w:t>
            </w:r>
          </w:p>
        </w:tc>
        <w:tc>
          <w:tcPr>
            <w:tcW w:w="1530" w:type="dxa"/>
          </w:tcPr>
          <w:p w14:paraId="7A32C9C5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404C4E" w14:paraId="7A32C9CF" w14:textId="77777777" w:rsidTr="008F0FE4">
        <w:trPr>
          <w:trHeight w:val="1016"/>
        </w:trPr>
        <w:tc>
          <w:tcPr>
            <w:tcW w:w="4680" w:type="dxa"/>
            <w:vAlign w:val="center"/>
          </w:tcPr>
          <w:p w14:paraId="7A32C9C7" w14:textId="77777777" w:rsidR="008F0FE4" w:rsidRPr="00F1270F" w:rsidRDefault="008F0FE4" w:rsidP="009A6879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Boletín Electrónico Central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publicado por 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el Gestor del Mercado de GN, encargado de gestionar los mercados primario y secundario de GN, y responsable de recopilar, centralizar y hacer pública la información transaccional y operativa del sector, publicado en su página web </w:t>
            </w:r>
          </w:p>
        </w:tc>
        <w:tc>
          <w:tcPr>
            <w:tcW w:w="1260" w:type="dxa"/>
            <w:vAlign w:val="center"/>
          </w:tcPr>
          <w:p w14:paraId="7A32C9C8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Boletín Electrónico</w:t>
            </w:r>
          </w:p>
        </w:tc>
        <w:tc>
          <w:tcPr>
            <w:tcW w:w="1440" w:type="dxa"/>
            <w:vAlign w:val="center"/>
          </w:tcPr>
          <w:p w14:paraId="7A32C9C9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CA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CB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9CC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  <w:vAlign w:val="center"/>
          </w:tcPr>
          <w:p w14:paraId="67E15FB4" w14:textId="77777777" w:rsidR="00FC29CE" w:rsidRPr="00FC29CE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Comunicación del DNP remitiendo el </w:t>
            </w:r>
            <w:r w:rsidRPr="00FC29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Boletín Electrónico Central del Gestor de Mercado de Gas, que se publica en el </w:t>
            </w:r>
          </w:p>
          <w:p w14:paraId="7A32C9CD" w14:textId="26898D39" w:rsidR="008F0FE4" w:rsidRPr="00FC29CE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www.bmcbec.com.co</w:t>
            </w:r>
          </w:p>
        </w:tc>
        <w:tc>
          <w:tcPr>
            <w:tcW w:w="1530" w:type="dxa"/>
          </w:tcPr>
          <w:p w14:paraId="7A32C9CE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9D8" w14:textId="77777777" w:rsidTr="008F0FE4">
        <w:trPr>
          <w:trHeight w:val="1016"/>
        </w:trPr>
        <w:tc>
          <w:tcPr>
            <w:tcW w:w="4680" w:type="dxa"/>
            <w:vAlign w:val="center"/>
          </w:tcPr>
          <w:p w14:paraId="7A32C9D0" w14:textId="77777777" w:rsidR="008F0FE4" w:rsidRPr="00F1270F" w:rsidRDefault="008F0FE4" w:rsidP="009A6879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Resolución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expedida por 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>el MME que adopta un Plan de Acción Indicativo para el desarrollo del PROURE, con sus  recursos  asociados.</w:t>
            </w:r>
          </w:p>
        </w:tc>
        <w:tc>
          <w:tcPr>
            <w:tcW w:w="1260" w:type="dxa"/>
            <w:vAlign w:val="center"/>
          </w:tcPr>
          <w:p w14:paraId="7A32C9D1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Resolución</w:t>
            </w:r>
          </w:p>
        </w:tc>
        <w:tc>
          <w:tcPr>
            <w:tcW w:w="1440" w:type="dxa"/>
            <w:vAlign w:val="center"/>
          </w:tcPr>
          <w:p w14:paraId="7A32C9D2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D3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D4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D5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2340" w:type="dxa"/>
            <w:vAlign w:val="center"/>
          </w:tcPr>
          <w:p w14:paraId="7A32C9D6" w14:textId="5747C0C5" w:rsidR="008F0FE4" w:rsidRPr="00FC29CE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Comunicación del DNP remitiendo la </w:t>
            </w:r>
            <w:r w:rsidRPr="00FC29CE"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>Resolución MME No. 41286 de 2016</w:t>
            </w:r>
            <w:r w:rsidRPr="00FC29CE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s-ES_tradnl"/>
              </w:rPr>
              <w:t xml:space="preserve"> </w:t>
            </w:r>
            <w:r w:rsidRPr="00FC2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 xml:space="preserve">en la cual se adopta El </w:t>
            </w:r>
            <w:hyperlink r:id="rId19" w:history="1">
              <w:r w:rsidRPr="00FC29CE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Plan de Acción Indicativo de Eficiencia Energética 2017-202</w:t>
              </w:r>
            </w:hyperlink>
            <w:r w:rsidRPr="00FC2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30" w:type="dxa"/>
          </w:tcPr>
          <w:p w14:paraId="7A32C9D7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9E1" w14:textId="77777777" w:rsidTr="008F0FE4">
        <w:trPr>
          <w:trHeight w:val="1016"/>
        </w:trPr>
        <w:tc>
          <w:tcPr>
            <w:tcW w:w="4680" w:type="dxa"/>
            <w:vAlign w:val="center"/>
          </w:tcPr>
          <w:p w14:paraId="7A32C9D9" w14:textId="77777777" w:rsidR="008F0FE4" w:rsidRPr="00F1270F" w:rsidRDefault="008F0FE4" w:rsidP="00C51662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Informe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publicado por la 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>UPME que presenta la guía para la formulación e implementación de planes de gestión eficiente de la energía en entidades públicas.</w:t>
            </w:r>
          </w:p>
        </w:tc>
        <w:tc>
          <w:tcPr>
            <w:tcW w:w="1260" w:type="dxa"/>
            <w:vAlign w:val="center"/>
          </w:tcPr>
          <w:p w14:paraId="7A32C9DA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Informe</w:t>
            </w:r>
          </w:p>
        </w:tc>
        <w:tc>
          <w:tcPr>
            <w:tcW w:w="1440" w:type="dxa"/>
            <w:vAlign w:val="center"/>
          </w:tcPr>
          <w:p w14:paraId="7A32C9DB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DC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DD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DE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2340" w:type="dxa"/>
            <w:vAlign w:val="center"/>
          </w:tcPr>
          <w:p w14:paraId="7A32C9DF" w14:textId="0E72A79B" w:rsidR="008F0FE4" w:rsidRPr="00FC29CE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>Comunicación del DNP remitiendo la Guía para la elaboración de un plan de gestión eficiente de la energía.</w:t>
            </w:r>
          </w:p>
        </w:tc>
        <w:tc>
          <w:tcPr>
            <w:tcW w:w="1530" w:type="dxa"/>
          </w:tcPr>
          <w:p w14:paraId="7A32C9E0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8F0FE4" w:rsidRPr="005F115D" w14:paraId="7A32C9EA" w14:textId="77777777" w:rsidTr="008F0FE4">
        <w:trPr>
          <w:trHeight w:val="64"/>
        </w:trPr>
        <w:tc>
          <w:tcPr>
            <w:tcW w:w="4680" w:type="dxa"/>
            <w:vAlign w:val="center"/>
          </w:tcPr>
          <w:p w14:paraId="7A32C9E2" w14:textId="6094383C" w:rsidR="008F0FE4" w:rsidRPr="00F1270F" w:rsidRDefault="008F0FE4" w:rsidP="00FC11BC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>Resoluci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ón expedida por el </w:t>
            </w:r>
            <w:r w:rsidR="00FC29CE">
              <w:rPr>
                <w:rFonts w:ascii="Arial" w:hAnsi="Arial" w:cs="Arial"/>
                <w:sz w:val="20"/>
                <w:szCs w:val="20"/>
                <w:lang w:val="es-ES"/>
              </w:rPr>
              <w:t>GdC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 que adopta el sistema de etiquetado e información al consumidor sobre eficiencia energética.</w:t>
            </w:r>
          </w:p>
        </w:tc>
        <w:tc>
          <w:tcPr>
            <w:tcW w:w="1260" w:type="dxa"/>
            <w:vAlign w:val="center"/>
          </w:tcPr>
          <w:p w14:paraId="7A32C9E3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Resolución</w:t>
            </w:r>
          </w:p>
        </w:tc>
        <w:tc>
          <w:tcPr>
            <w:tcW w:w="1440" w:type="dxa"/>
            <w:vAlign w:val="center"/>
          </w:tcPr>
          <w:p w14:paraId="7A32C9E4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E5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9E6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E7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</w:tcPr>
          <w:p w14:paraId="7A32C9E8" w14:textId="2FE564D4" w:rsidR="008F0FE4" w:rsidRPr="00FC29CE" w:rsidRDefault="00FC29CE" w:rsidP="00FC11BC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>Comunicación del DNP remitiendo la Resolución MME 41012 de 2015 que expide el Reglamento Técnico de Etiquetado (RETIQ)</w:t>
            </w:r>
          </w:p>
        </w:tc>
        <w:tc>
          <w:tcPr>
            <w:tcW w:w="1530" w:type="dxa"/>
          </w:tcPr>
          <w:p w14:paraId="7A32C9E9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C29CE" w:rsidRPr="005F115D" w14:paraId="7A32C9F3" w14:textId="77777777" w:rsidTr="00607193">
        <w:trPr>
          <w:trHeight w:val="917"/>
        </w:trPr>
        <w:tc>
          <w:tcPr>
            <w:tcW w:w="4680" w:type="dxa"/>
            <w:vAlign w:val="center"/>
          </w:tcPr>
          <w:p w14:paraId="7A32C9EB" w14:textId="77777777" w:rsidR="00FC29CE" w:rsidRPr="00F1270F" w:rsidRDefault="00FC29CE" w:rsidP="00FC29CE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Informe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publicado por la 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>UPME que presenta el Mapa de Ruta para la Implementación de Redes Inteligentes que inducen al ahorro energético, publicado en la página web de la entidad.</w:t>
            </w:r>
          </w:p>
        </w:tc>
        <w:tc>
          <w:tcPr>
            <w:tcW w:w="1260" w:type="dxa"/>
            <w:vAlign w:val="center"/>
          </w:tcPr>
          <w:p w14:paraId="7A32C9EC" w14:textId="77777777" w:rsidR="00FC29CE" w:rsidRPr="00F1270F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Informe</w:t>
            </w:r>
          </w:p>
        </w:tc>
        <w:tc>
          <w:tcPr>
            <w:tcW w:w="1440" w:type="dxa"/>
            <w:vAlign w:val="center"/>
          </w:tcPr>
          <w:p w14:paraId="7A32C9ED" w14:textId="77777777" w:rsidR="00FC29CE" w:rsidRPr="00F1270F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EE" w14:textId="77777777" w:rsidR="00FC29CE" w:rsidRPr="00F1270F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EF" w14:textId="77777777" w:rsidR="00FC29CE" w:rsidRPr="00F1270F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9F0" w14:textId="77777777" w:rsidR="00FC29CE" w:rsidRPr="00F1270F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</w:tcPr>
          <w:p w14:paraId="7A32C9F1" w14:textId="650E7707" w:rsidR="00FC29CE" w:rsidRPr="00FC29CE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C29CE">
              <w:rPr>
                <w:rFonts w:ascii="Arial" w:hAnsi="Arial" w:cs="Arial"/>
                <w:sz w:val="20"/>
                <w:lang w:val="es-ES_tradnl"/>
              </w:rPr>
              <w:t>Comunicación del DNP informando la</w:t>
            </w:r>
            <w:r w:rsidRPr="00FC29CE">
              <w:rPr>
                <w:sz w:val="20"/>
                <w:lang w:val="es-ES_tradnl"/>
              </w:rPr>
              <w:t xml:space="preserve"> </w:t>
            </w:r>
            <w:r w:rsidRPr="00FC29CE">
              <w:rPr>
                <w:rFonts w:ascii="Arial" w:hAnsi="Arial" w:cs="Arial"/>
                <w:sz w:val="20"/>
                <w:lang w:val="es-ES_tradnl"/>
              </w:rPr>
              <w:t>Publicación del Mapa de Ruta en la página WEB del UPME</w:t>
            </w:r>
          </w:p>
        </w:tc>
        <w:tc>
          <w:tcPr>
            <w:tcW w:w="1530" w:type="dxa"/>
          </w:tcPr>
          <w:p w14:paraId="7A32C9F2" w14:textId="77777777" w:rsidR="00FC29CE" w:rsidRPr="00F1270F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9FC" w14:textId="77777777" w:rsidTr="008F0FE4">
        <w:trPr>
          <w:trHeight w:val="64"/>
        </w:trPr>
        <w:tc>
          <w:tcPr>
            <w:tcW w:w="4680" w:type="dxa"/>
            <w:vAlign w:val="center"/>
          </w:tcPr>
          <w:p w14:paraId="7A32C9F4" w14:textId="5464DB59" w:rsidR="008F0FE4" w:rsidRPr="00F1270F" w:rsidRDefault="008F0FE4" w:rsidP="002A224E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>Decreto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</w:t>
            </w:r>
            <w:r w:rsidR="00F06A8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por el </w:t>
            </w:r>
            <w:r w:rsidR="00FC29CE">
              <w:rPr>
                <w:rFonts w:ascii="Arial" w:hAnsi="Arial" w:cs="Arial"/>
                <w:sz w:val="20"/>
                <w:szCs w:val="20"/>
                <w:lang w:val="es-ES"/>
              </w:rPr>
              <w:t>GdC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 que adopta disposiciones en materia de implementación de mecanismos de respuesta de la demanda.</w:t>
            </w:r>
          </w:p>
        </w:tc>
        <w:tc>
          <w:tcPr>
            <w:tcW w:w="1260" w:type="dxa"/>
            <w:vAlign w:val="center"/>
          </w:tcPr>
          <w:p w14:paraId="7A32C9F5" w14:textId="77777777" w:rsidR="008F0FE4" w:rsidRPr="00F1270F" w:rsidRDefault="008F0FE4" w:rsidP="002A2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 xml:space="preserve">Decreto </w:t>
            </w:r>
          </w:p>
        </w:tc>
        <w:tc>
          <w:tcPr>
            <w:tcW w:w="1440" w:type="dxa"/>
            <w:vAlign w:val="center"/>
          </w:tcPr>
          <w:p w14:paraId="7A32C9F6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9F7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9F8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9F9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</w:tcPr>
          <w:p w14:paraId="7A32C9FA" w14:textId="78053C15" w:rsidR="008F0FE4" w:rsidRPr="00DA2DF9" w:rsidRDefault="00FC29CE" w:rsidP="002A2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Comunicación del DNP remitiendo el </w:t>
            </w:r>
            <w:r w:rsidRPr="00FC29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Decreto No. 2492 de 2014 </w:t>
            </w: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>que adopta disposiciones en materia de mecanismos de respuesta de la demanda</w:t>
            </w:r>
          </w:p>
        </w:tc>
        <w:tc>
          <w:tcPr>
            <w:tcW w:w="1530" w:type="dxa"/>
          </w:tcPr>
          <w:p w14:paraId="7A32C9FB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8F0FE4" w:rsidRPr="005F115D" w14:paraId="7A32CA05" w14:textId="77777777" w:rsidTr="008F0FE4">
        <w:trPr>
          <w:trHeight w:val="64"/>
        </w:trPr>
        <w:tc>
          <w:tcPr>
            <w:tcW w:w="4680" w:type="dxa"/>
            <w:vAlign w:val="center"/>
          </w:tcPr>
          <w:p w14:paraId="7A32C9FD" w14:textId="77777777" w:rsidR="008F0FE4" w:rsidRPr="00F1270F" w:rsidRDefault="008F0FE4" w:rsidP="00C51662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Resolución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expedida por la 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CREG que </w:t>
            </w: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>regula el programa de respuesta de la demanda para el mercado diario en condición crítica</w:t>
            </w:r>
          </w:p>
        </w:tc>
        <w:tc>
          <w:tcPr>
            <w:tcW w:w="1260" w:type="dxa"/>
            <w:vAlign w:val="center"/>
          </w:tcPr>
          <w:p w14:paraId="7A32C9FE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Resolución</w:t>
            </w:r>
          </w:p>
        </w:tc>
        <w:tc>
          <w:tcPr>
            <w:tcW w:w="1440" w:type="dxa"/>
            <w:vAlign w:val="center"/>
          </w:tcPr>
          <w:p w14:paraId="7A32C9FF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2A224E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A00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A01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A02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</w:tcPr>
          <w:p w14:paraId="7A32CA03" w14:textId="06DB1A7C" w:rsidR="008F0FE4" w:rsidRPr="00F1270F" w:rsidRDefault="00FC29CE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>Comunicación del DNP remitiendo la</w:t>
            </w:r>
            <w:r w:rsidRPr="00FC29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Resolución CREG No. 11 de 2015 </w:t>
            </w: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>que regula el programa de respuesta de la demanda para el mercado diario en condición crítica.</w:t>
            </w:r>
          </w:p>
        </w:tc>
        <w:tc>
          <w:tcPr>
            <w:tcW w:w="1530" w:type="dxa"/>
          </w:tcPr>
          <w:p w14:paraId="7A32CA04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8F0FE4" w:rsidRPr="005F115D" w14:paraId="7A32CA0E" w14:textId="77777777" w:rsidTr="00FC29CE">
        <w:trPr>
          <w:trHeight w:val="764"/>
        </w:trPr>
        <w:tc>
          <w:tcPr>
            <w:tcW w:w="4680" w:type="dxa"/>
            <w:vAlign w:val="center"/>
          </w:tcPr>
          <w:p w14:paraId="7A32CA06" w14:textId="77777777" w:rsidR="008F0FE4" w:rsidRPr="00F1270F" w:rsidRDefault="008F0FE4" w:rsidP="00C51662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</w:rPr>
              <w:t xml:space="preserve">Resolución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expedida por la </w:t>
            </w:r>
            <w:r w:rsidRPr="00F1270F">
              <w:rPr>
                <w:rFonts w:ascii="Arial" w:hAnsi="Arial" w:cs="Arial"/>
                <w:sz w:val="20"/>
                <w:szCs w:val="20"/>
              </w:rPr>
              <w:t>CREG que regula los mecanismos para la desconexión voluntaria de la demanda como medio para dar confiabilidad al SIN</w:t>
            </w:r>
          </w:p>
        </w:tc>
        <w:tc>
          <w:tcPr>
            <w:tcW w:w="1260" w:type="dxa"/>
            <w:vAlign w:val="center"/>
          </w:tcPr>
          <w:p w14:paraId="7A32CA07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Resolución</w:t>
            </w:r>
          </w:p>
        </w:tc>
        <w:tc>
          <w:tcPr>
            <w:tcW w:w="1440" w:type="dxa"/>
            <w:vAlign w:val="center"/>
          </w:tcPr>
          <w:p w14:paraId="7A32CA08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A09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A0A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A0B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  <w:vAlign w:val="center"/>
          </w:tcPr>
          <w:p w14:paraId="7A32CA0C" w14:textId="456B6B2B" w:rsidR="008F0FE4" w:rsidRPr="00F1270F" w:rsidRDefault="00FC29CE" w:rsidP="00C516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Comunicación del DNP remitiendo la Resolución CREG No. 029 de 2016 que define un esquema de tarifas diferenciales para establecer los costos de prestación del servicio de energía eléctrica a usuarios </w:t>
            </w: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regulados en el SIN para promover el ahorro voluntario de energía</w:t>
            </w:r>
          </w:p>
        </w:tc>
        <w:tc>
          <w:tcPr>
            <w:tcW w:w="1530" w:type="dxa"/>
          </w:tcPr>
          <w:p w14:paraId="7A32CA0D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A19" w14:textId="77777777" w:rsidTr="008F0FE4">
        <w:trPr>
          <w:trHeight w:val="64"/>
        </w:trPr>
        <w:tc>
          <w:tcPr>
            <w:tcW w:w="4680" w:type="dxa"/>
            <w:vAlign w:val="center"/>
          </w:tcPr>
          <w:p w14:paraId="7A32CA0F" w14:textId="77777777" w:rsidR="008F0FE4" w:rsidRPr="00F1270F" w:rsidRDefault="008F0FE4" w:rsidP="002A2521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</w:rPr>
              <w:t xml:space="preserve">Circular </w:t>
            </w:r>
            <w:r>
              <w:rPr>
                <w:rFonts w:ascii="Arial" w:hAnsi="Arial" w:cs="Arial"/>
                <w:sz w:val="20"/>
                <w:szCs w:val="20"/>
              </w:rPr>
              <w:t xml:space="preserve">expedida por la </w:t>
            </w:r>
            <w:r w:rsidRPr="00F1270F">
              <w:rPr>
                <w:rFonts w:ascii="Arial" w:hAnsi="Arial" w:cs="Arial"/>
                <w:sz w:val="20"/>
                <w:szCs w:val="20"/>
              </w:rPr>
              <w:t>CREG que autoriza publicar los documentos de los estudios de diagnóstico, análisis y propuestas de modificación sobre el funcionamiento del MEM colombiano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14:paraId="7A32CA10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Circular</w:t>
            </w:r>
          </w:p>
        </w:tc>
        <w:tc>
          <w:tcPr>
            <w:tcW w:w="1440" w:type="dxa"/>
            <w:vAlign w:val="center"/>
          </w:tcPr>
          <w:p w14:paraId="7A32CA11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A12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A13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A14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  <w:vAlign w:val="center"/>
          </w:tcPr>
          <w:p w14:paraId="026CDE29" w14:textId="77777777" w:rsidR="00FC29CE" w:rsidRPr="00FC29CE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Comunicación del DNP remitiendo la Circular CREG No. 039 de 2016 autorizando la publicación de análisis de expertos de propuestas regulatorias para modificar el MEM: </w:t>
            </w:r>
          </w:p>
          <w:p w14:paraId="2593833E" w14:textId="77777777" w:rsidR="00FC29CE" w:rsidRPr="00FC29CE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>Doc. 04B y 022 de 2016: propuestas para la implementación de un despacho vinculante y mercado organizado de contratos de energía respectivamente.</w:t>
            </w:r>
          </w:p>
          <w:p w14:paraId="7A32CA17" w14:textId="271EABC8" w:rsidR="008F0FE4" w:rsidRPr="00F1270F" w:rsidRDefault="00FC29CE" w:rsidP="00FC29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Comunicación del DNP remitiendo el Estudio sobre el funcionamiento del MEM.  </w:t>
            </w:r>
          </w:p>
        </w:tc>
        <w:tc>
          <w:tcPr>
            <w:tcW w:w="1530" w:type="dxa"/>
          </w:tcPr>
          <w:p w14:paraId="7A32CA18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A24" w14:textId="77777777" w:rsidTr="008F0FE4">
        <w:trPr>
          <w:trHeight w:val="64"/>
        </w:trPr>
        <w:tc>
          <w:tcPr>
            <w:tcW w:w="4680" w:type="dxa"/>
            <w:vAlign w:val="center"/>
          </w:tcPr>
          <w:p w14:paraId="7A32CA1A" w14:textId="77777777" w:rsidR="008F0FE4" w:rsidRPr="00F1270F" w:rsidRDefault="008F0FE4" w:rsidP="002A224E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</w:rPr>
              <w:t xml:space="preserve">Resolución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expedida por el </w:t>
            </w:r>
            <w:r w:rsidRPr="00F1270F">
              <w:rPr>
                <w:rFonts w:ascii="Arial" w:hAnsi="Arial" w:cs="Arial"/>
                <w:sz w:val="20"/>
                <w:szCs w:val="20"/>
              </w:rPr>
              <w:t>MME que adopta el Plan de Expansión de Referencia Generación y Transmisión 2015-2029.</w:t>
            </w:r>
          </w:p>
        </w:tc>
        <w:tc>
          <w:tcPr>
            <w:tcW w:w="1260" w:type="dxa"/>
            <w:vAlign w:val="center"/>
          </w:tcPr>
          <w:p w14:paraId="7A32CA1B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Resolución</w:t>
            </w:r>
          </w:p>
        </w:tc>
        <w:tc>
          <w:tcPr>
            <w:tcW w:w="1440" w:type="dxa"/>
            <w:vAlign w:val="center"/>
          </w:tcPr>
          <w:p w14:paraId="7A32CA1C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A1D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A1E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A1F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  <w:vAlign w:val="center"/>
          </w:tcPr>
          <w:p w14:paraId="7A32CA22" w14:textId="4BB31817" w:rsidR="00AD4407" w:rsidRPr="00F1270F" w:rsidRDefault="00FC29CE" w:rsidP="00FC29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>Comunicación del DNP remitiendo la Resolución MME 40095 de 2016 mediante la cual se adopta el Plan de Expansión de Referencia de Generación y Transmisión del Sector Eléctrico 2015-2029</w:t>
            </w:r>
          </w:p>
        </w:tc>
        <w:tc>
          <w:tcPr>
            <w:tcW w:w="1530" w:type="dxa"/>
          </w:tcPr>
          <w:p w14:paraId="7A32CA23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1270F" w:rsidRPr="005F115D" w14:paraId="7A32CA27" w14:textId="77777777" w:rsidTr="008F0FE4">
        <w:trPr>
          <w:trHeight w:val="278"/>
        </w:trPr>
        <w:tc>
          <w:tcPr>
            <w:tcW w:w="12426" w:type="dxa"/>
            <w:gridSpan w:val="7"/>
            <w:shd w:val="clear" w:color="auto" w:fill="C6D9F1" w:themeFill="text2" w:themeFillTint="33"/>
            <w:vAlign w:val="center"/>
          </w:tcPr>
          <w:p w14:paraId="7A32CA25" w14:textId="77777777" w:rsidR="00F1270F" w:rsidRPr="00F1270F" w:rsidRDefault="00F1270F" w:rsidP="00C956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127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Componente </w:t>
            </w:r>
            <w:r w:rsidR="0009600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  <w:r w:rsidRPr="00F127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 Promoción del acceso a la energía en ZNI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7A32CA26" w14:textId="77777777" w:rsidR="00F1270F" w:rsidRPr="00F1270F" w:rsidRDefault="00F1270F" w:rsidP="006D48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A30" w14:textId="77777777" w:rsidTr="008F0FE4">
        <w:trPr>
          <w:trHeight w:val="64"/>
        </w:trPr>
        <w:tc>
          <w:tcPr>
            <w:tcW w:w="4680" w:type="dxa"/>
            <w:vAlign w:val="center"/>
          </w:tcPr>
          <w:p w14:paraId="7A32CA28" w14:textId="77777777" w:rsidR="008F0FE4" w:rsidRPr="00F1270F" w:rsidRDefault="008F0FE4" w:rsidP="00C51662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Resolución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expedida por la 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>UPME que establece los formatos y procedimientos para el registro de proyectos de generación con FNCER conectables a la red y en ZNI reglamentado.</w:t>
            </w:r>
          </w:p>
        </w:tc>
        <w:tc>
          <w:tcPr>
            <w:tcW w:w="1260" w:type="dxa"/>
            <w:vAlign w:val="center"/>
          </w:tcPr>
          <w:p w14:paraId="7A32CA29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Resolución</w:t>
            </w:r>
          </w:p>
        </w:tc>
        <w:tc>
          <w:tcPr>
            <w:tcW w:w="1440" w:type="dxa"/>
            <w:vAlign w:val="center"/>
          </w:tcPr>
          <w:p w14:paraId="7A32CA2A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A2B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A2C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A2D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</w:tcPr>
          <w:p w14:paraId="7A32CA2E" w14:textId="51A9E4D3" w:rsidR="008F0FE4" w:rsidRPr="00F1270F" w:rsidRDefault="00FC29CE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Comunicación del DNP remitiendo la Resolución UPME No. 143 de 2016 que establece el Registro </w:t>
            </w: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de Proyectos de Generación en ZNI.</w:t>
            </w:r>
          </w:p>
        </w:tc>
        <w:tc>
          <w:tcPr>
            <w:tcW w:w="1530" w:type="dxa"/>
          </w:tcPr>
          <w:p w14:paraId="7A32CA2F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A39" w14:textId="77777777" w:rsidTr="008F0FE4">
        <w:trPr>
          <w:trHeight w:val="64"/>
        </w:trPr>
        <w:tc>
          <w:tcPr>
            <w:tcW w:w="4680" w:type="dxa"/>
            <w:vAlign w:val="center"/>
          </w:tcPr>
          <w:p w14:paraId="7A32CA31" w14:textId="77777777" w:rsidR="008F0FE4" w:rsidRPr="00F1270F" w:rsidRDefault="008F0FE4" w:rsidP="008F0FE4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Decreto </w:t>
            </w:r>
            <w:r w:rsidR="00F06A80">
              <w:rPr>
                <w:rFonts w:ascii="Arial" w:hAnsi="Arial" w:cs="Arial"/>
                <w:sz w:val="20"/>
                <w:szCs w:val="20"/>
                <w:lang w:val="es-ES"/>
              </w:rPr>
              <w:t>expedido por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el 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 xml:space="preserve"> MME que adopta los lineamientos de política para la expansión de la cobertura del servicio de energía eléctrica en el SIN y en las ZNI con FNCER.</w:t>
            </w:r>
          </w:p>
        </w:tc>
        <w:tc>
          <w:tcPr>
            <w:tcW w:w="1260" w:type="dxa"/>
            <w:vAlign w:val="center"/>
          </w:tcPr>
          <w:p w14:paraId="7A32CA32" w14:textId="77777777" w:rsidR="008F0FE4" w:rsidRPr="00F1270F" w:rsidRDefault="008F0FE4" w:rsidP="009C03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Decreto</w:t>
            </w:r>
          </w:p>
        </w:tc>
        <w:tc>
          <w:tcPr>
            <w:tcW w:w="1440" w:type="dxa"/>
            <w:vAlign w:val="center"/>
          </w:tcPr>
          <w:p w14:paraId="7A32CA33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A34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A35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A36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</w:tcPr>
          <w:p w14:paraId="7A32CA37" w14:textId="190CCD09" w:rsidR="008F0FE4" w:rsidRPr="00FC29CE" w:rsidRDefault="00FC29CE" w:rsidP="00BA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lang w:val="es-ES_tradnl"/>
              </w:rPr>
              <w:t>Comunicación del DNP remitiendo el Decreto No. 1623 de 2015 que establece los lineamientos de política para la expansión de la cobertura del servicio de energía eléctrica en el SIN y en las ZNI</w:t>
            </w:r>
            <w:r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1530" w:type="dxa"/>
          </w:tcPr>
          <w:p w14:paraId="7A32CA38" w14:textId="77777777" w:rsidR="008F0FE4" w:rsidRPr="00F2098A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A42" w14:textId="77777777" w:rsidTr="008F0FE4">
        <w:trPr>
          <w:trHeight w:val="64"/>
        </w:trPr>
        <w:tc>
          <w:tcPr>
            <w:tcW w:w="4680" w:type="dxa"/>
            <w:vAlign w:val="center"/>
          </w:tcPr>
          <w:p w14:paraId="7A32CA3A" w14:textId="77777777" w:rsidR="008F0FE4" w:rsidRPr="00F1270F" w:rsidRDefault="008F0FE4" w:rsidP="009C0378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Decreto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expedido por el MME que modifica los </w:t>
            </w:r>
            <w:r w:rsidRPr="00F1270F">
              <w:rPr>
                <w:rFonts w:ascii="Arial" w:hAnsi="Arial" w:cs="Arial"/>
                <w:sz w:val="20"/>
                <w:szCs w:val="20"/>
                <w:lang w:val="es-ES"/>
              </w:rPr>
              <w:t>lineamientos de política para la expansión de la cobertura del servicio de energía eléctrica en el SIN y en las ZNI con FNCER.</w:t>
            </w:r>
          </w:p>
        </w:tc>
        <w:tc>
          <w:tcPr>
            <w:tcW w:w="1260" w:type="dxa"/>
            <w:vAlign w:val="center"/>
          </w:tcPr>
          <w:p w14:paraId="7A32CA3B" w14:textId="77777777" w:rsidR="008F0FE4" w:rsidRPr="00F1270F" w:rsidRDefault="008F0FE4" w:rsidP="00F13C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Decreto</w:t>
            </w:r>
          </w:p>
        </w:tc>
        <w:tc>
          <w:tcPr>
            <w:tcW w:w="1440" w:type="dxa"/>
            <w:vAlign w:val="center"/>
          </w:tcPr>
          <w:p w14:paraId="7A32CA3C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A3D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A3E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A3F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</w:tcPr>
          <w:p w14:paraId="7A32CA40" w14:textId="0A35D561" w:rsidR="008F0FE4" w:rsidRPr="009C0378" w:rsidRDefault="00FC29CE" w:rsidP="00C51662">
            <w:pPr>
              <w:spacing w:after="0" w:line="240" w:lineRule="auto"/>
              <w:jc w:val="center"/>
              <w:rPr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szCs w:val="20"/>
                <w:lang w:val="es-ES_tradnl"/>
              </w:rPr>
              <w:t>Comunicación del DNP remitiendo el Decreto No. 1513 de 2016 que modifica los lineamientos de política pública en materia de expansión de la cobertura del servicio de energía eléctrica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530" w:type="dxa"/>
          </w:tcPr>
          <w:p w14:paraId="7A32CA41" w14:textId="77777777" w:rsidR="008F0FE4" w:rsidRPr="00F2098A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F0FE4" w:rsidRPr="005F115D" w14:paraId="7A32CA4B" w14:textId="77777777" w:rsidTr="008F0FE4">
        <w:trPr>
          <w:trHeight w:val="64"/>
        </w:trPr>
        <w:tc>
          <w:tcPr>
            <w:tcW w:w="4680" w:type="dxa"/>
            <w:vAlign w:val="center"/>
          </w:tcPr>
          <w:p w14:paraId="7A32CA43" w14:textId="77777777" w:rsidR="008F0FE4" w:rsidRPr="00F1270F" w:rsidRDefault="008F0FE4" w:rsidP="00C51662">
            <w:pPr>
              <w:pStyle w:val="ListParagraph"/>
              <w:numPr>
                <w:ilvl w:val="0"/>
                <w:numId w:val="22"/>
              </w:numPr>
              <w:tabs>
                <w:tab w:val="left" w:pos="3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Resolución expedida por el MME que adopta el Plan de Expansión de Referencia de Generación Transmisión 2015-2029</w:t>
            </w:r>
          </w:p>
        </w:tc>
        <w:tc>
          <w:tcPr>
            <w:tcW w:w="1260" w:type="dxa"/>
            <w:vAlign w:val="center"/>
          </w:tcPr>
          <w:p w14:paraId="7A32CA44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1270F">
              <w:rPr>
                <w:rFonts w:ascii="Arial" w:hAnsi="Arial" w:cs="Arial"/>
                <w:sz w:val="20"/>
                <w:szCs w:val="20"/>
                <w:lang w:val="es-BO"/>
              </w:rPr>
              <w:t>Resolución</w:t>
            </w:r>
          </w:p>
        </w:tc>
        <w:tc>
          <w:tcPr>
            <w:tcW w:w="1440" w:type="dxa"/>
            <w:vAlign w:val="center"/>
          </w:tcPr>
          <w:p w14:paraId="7A32CA45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6" w:type="dxa"/>
            <w:vAlign w:val="center"/>
          </w:tcPr>
          <w:p w14:paraId="7A32CA46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900" w:type="dxa"/>
            <w:vAlign w:val="center"/>
          </w:tcPr>
          <w:p w14:paraId="7A32CA47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900" w:type="dxa"/>
            <w:vAlign w:val="center"/>
          </w:tcPr>
          <w:p w14:paraId="7A32CA48" w14:textId="77777777" w:rsidR="008F0FE4" w:rsidRPr="00F1270F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0</w:t>
            </w:r>
          </w:p>
        </w:tc>
        <w:tc>
          <w:tcPr>
            <w:tcW w:w="2340" w:type="dxa"/>
          </w:tcPr>
          <w:p w14:paraId="7A32CA49" w14:textId="3997EFA0" w:rsidR="008F0FE4" w:rsidRPr="00FC29CE" w:rsidRDefault="00FC29CE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FC29CE">
              <w:rPr>
                <w:rFonts w:ascii="Arial" w:hAnsi="Arial" w:cs="Arial"/>
                <w:sz w:val="20"/>
                <w:lang w:val="es-ES_tradnl"/>
              </w:rPr>
              <w:t xml:space="preserve">Comunicación del DNP remitiendo la Resolución MME No. 41039 de 2016 que adopta el Plan de Expansión de Referencia en Generación y Transmisión 2015 </w:t>
            </w:r>
            <w:r>
              <w:rPr>
                <w:rFonts w:ascii="Arial" w:hAnsi="Arial" w:cs="Arial"/>
                <w:sz w:val="20"/>
                <w:lang w:val="es-ES_tradnl"/>
              </w:rPr>
              <w:t>–</w:t>
            </w:r>
            <w:r w:rsidRPr="00FC29CE">
              <w:rPr>
                <w:rFonts w:ascii="Arial" w:hAnsi="Arial" w:cs="Arial"/>
                <w:sz w:val="20"/>
                <w:lang w:val="es-ES_tradnl"/>
              </w:rPr>
              <w:t xml:space="preserve"> 2029</w:t>
            </w:r>
            <w:r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1530" w:type="dxa"/>
          </w:tcPr>
          <w:p w14:paraId="7A32CA4A" w14:textId="77777777" w:rsidR="008F0FE4" w:rsidRPr="00F2098A" w:rsidRDefault="008F0FE4" w:rsidP="00C51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7A32CA4C" w14:textId="77777777" w:rsidR="00637F8D" w:rsidRPr="00F1270F" w:rsidRDefault="00637F8D" w:rsidP="004D45A6">
      <w:pPr>
        <w:rPr>
          <w:rFonts w:ascii="Arial" w:hAnsi="Arial" w:cs="Arial"/>
          <w:sz w:val="20"/>
          <w:szCs w:val="20"/>
          <w:lang w:val="es-ES_tradnl"/>
        </w:rPr>
      </w:pPr>
    </w:p>
    <w:sectPr w:rsidR="00637F8D" w:rsidRPr="00F1270F" w:rsidSect="002A4699">
      <w:headerReference w:type="even" r:id="rId20"/>
      <w:headerReference w:type="default" r:id="rId21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CA50" w14:textId="77777777" w:rsidR="009E2787" w:rsidRDefault="009E2787" w:rsidP="007B6ECD">
      <w:pPr>
        <w:spacing w:after="0" w:line="240" w:lineRule="auto"/>
      </w:pPr>
      <w:r>
        <w:separator/>
      </w:r>
    </w:p>
  </w:endnote>
  <w:endnote w:type="continuationSeparator" w:id="0">
    <w:p w14:paraId="7A32CA51" w14:textId="77777777" w:rsidR="009E2787" w:rsidRDefault="009E2787" w:rsidP="007B6ECD">
      <w:pPr>
        <w:spacing w:after="0" w:line="240" w:lineRule="auto"/>
      </w:pPr>
      <w:r>
        <w:continuationSeparator/>
      </w:r>
    </w:p>
  </w:endnote>
  <w:endnote w:type="continuationNotice" w:id="1">
    <w:p w14:paraId="7A32CA52" w14:textId="77777777" w:rsidR="009E2787" w:rsidRDefault="009E2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2CA4D" w14:textId="77777777" w:rsidR="009E2787" w:rsidRDefault="009E2787" w:rsidP="007B6ECD">
      <w:pPr>
        <w:spacing w:after="0" w:line="240" w:lineRule="auto"/>
      </w:pPr>
      <w:r>
        <w:separator/>
      </w:r>
    </w:p>
  </w:footnote>
  <w:footnote w:type="continuationSeparator" w:id="0">
    <w:p w14:paraId="7A32CA4E" w14:textId="77777777" w:rsidR="009E2787" w:rsidRDefault="009E2787" w:rsidP="007B6ECD">
      <w:pPr>
        <w:spacing w:after="0" w:line="240" w:lineRule="auto"/>
      </w:pPr>
      <w:r>
        <w:continuationSeparator/>
      </w:r>
    </w:p>
  </w:footnote>
  <w:footnote w:type="continuationNotice" w:id="1">
    <w:p w14:paraId="7A32CA4F" w14:textId="77777777" w:rsidR="009E2787" w:rsidRDefault="009E2787">
      <w:pPr>
        <w:spacing w:after="0" w:line="240" w:lineRule="auto"/>
      </w:pPr>
    </w:p>
  </w:footnote>
  <w:footnote w:id="2">
    <w:p w14:paraId="7A32CA58" w14:textId="77777777" w:rsidR="00A430BF" w:rsidRPr="00A430BF" w:rsidRDefault="00A430BF" w:rsidP="00A430BF">
      <w:pPr>
        <w:pStyle w:val="FootnoteText"/>
        <w:ind w:left="180" w:hanging="180"/>
        <w:rPr>
          <w:rFonts w:ascii="Arial" w:hAnsi="Arial" w:cs="Arial"/>
          <w:sz w:val="18"/>
          <w:szCs w:val="18"/>
          <w:lang w:val="es-ES_tradnl"/>
        </w:rPr>
      </w:pPr>
      <w:r w:rsidRPr="00A430BF">
        <w:rPr>
          <w:rStyle w:val="FootnoteReference"/>
          <w:rFonts w:ascii="Arial" w:hAnsi="Arial" w:cs="Arial"/>
          <w:sz w:val="18"/>
          <w:szCs w:val="18"/>
        </w:rPr>
        <w:footnoteRef/>
      </w:r>
      <w:r w:rsidRPr="00A430BF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ab/>
      </w:r>
      <w:r w:rsidRPr="00A430BF">
        <w:rPr>
          <w:rFonts w:ascii="Arial" w:hAnsi="Arial" w:cs="Arial"/>
          <w:sz w:val="18"/>
          <w:szCs w:val="18"/>
          <w:lang w:val="es-CO"/>
        </w:rPr>
        <w:t>Emisiones de GEI calculadas en emisiones de CO</w:t>
      </w:r>
      <w:r w:rsidRPr="00A430BF">
        <w:rPr>
          <w:rFonts w:ascii="Arial" w:hAnsi="Arial" w:cs="Arial"/>
          <w:sz w:val="18"/>
          <w:szCs w:val="18"/>
          <w:vertAlign w:val="subscript"/>
          <w:lang w:val="es-CO"/>
        </w:rPr>
        <w:t>2</w:t>
      </w:r>
      <w:r w:rsidRPr="00A430BF">
        <w:rPr>
          <w:rFonts w:ascii="Arial" w:hAnsi="Arial" w:cs="Arial"/>
          <w:sz w:val="18"/>
          <w:szCs w:val="18"/>
          <w:lang w:val="es-CO"/>
        </w:rPr>
        <w:t xml:space="preserve"> equivalentes.</w:t>
      </w:r>
    </w:p>
  </w:footnote>
  <w:footnote w:id="3">
    <w:p w14:paraId="7A32CA59" w14:textId="77777777" w:rsidR="008F0FE4" w:rsidRPr="00F06A80" w:rsidRDefault="008F0FE4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="00F06A80" w:rsidRPr="00F06A80">
        <w:rPr>
          <w:rFonts w:ascii="Arial" w:eastAsia="Calibri" w:hAnsi="Arial" w:cs="Arial"/>
          <w:lang w:val="es-BO"/>
        </w:rPr>
        <w:t>Expe</w:t>
      </w:r>
      <w:r w:rsidR="00F06A80">
        <w:rPr>
          <w:rFonts w:ascii="Arial" w:eastAsia="Calibri" w:hAnsi="Arial" w:cs="Arial"/>
          <w:lang w:val="es-BO"/>
        </w:rPr>
        <w:t>d</w:t>
      </w:r>
      <w:r w:rsidR="00F06A80" w:rsidRPr="00F06A80">
        <w:rPr>
          <w:rFonts w:ascii="Arial" w:eastAsia="Calibri" w:hAnsi="Arial" w:cs="Arial"/>
          <w:lang w:val="es-BO"/>
        </w:rPr>
        <w:t xml:space="preserve">ido refiere a que el documento ha sido </w:t>
      </w:r>
      <w:r w:rsidR="00F06A80">
        <w:rPr>
          <w:rFonts w:ascii="Arial" w:eastAsia="Calibri" w:hAnsi="Arial" w:cs="Arial"/>
          <w:lang w:val="es-BO"/>
        </w:rPr>
        <w:t>f</w:t>
      </w:r>
      <w:r w:rsidRPr="00F06A80">
        <w:rPr>
          <w:rFonts w:ascii="Arial" w:eastAsia="Calibri" w:hAnsi="Arial" w:cs="Arial"/>
          <w:lang w:val="es-BO"/>
        </w:rPr>
        <w:t>irmado y publicado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CA53" w14:textId="77777777" w:rsidR="00885B75" w:rsidRPr="008F1A0F" w:rsidRDefault="00117A1F" w:rsidP="00604287">
    <w:pPr>
      <w:pStyle w:val="Head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An</w:t>
    </w:r>
    <w:r w:rsidR="00885B75" w:rsidRPr="008F1A0F">
      <w:rPr>
        <w:rFonts w:ascii="Arial" w:hAnsi="Arial" w:cs="Arial"/>
        <w:sz w:val="18"/>
        <w:szCs w:val="20"/>
      </w:rPr>
      <w:t>ex</w:t>
    </w:r>
    <w:r>
      <w:rPr>
        <w:rFonts w:ascii="Arial" w:hAnsi="Arial" w:cs="Arial"/>
        <w:sz w:val="18"/>
        <w:szCs w:val="20"/>
      </w:rPr>
      <w:t>o</w:t>
    </w:r>
    <w:r w:rsidR="00885B75" w:rsidRPr="008F1A0F">
      <w:rPr>
        <w:rFonts w:ascii="Arial" w:hAnsi="Arial" w:cs="Arial"/>
        <w:sz w:val="18"/>
        <w:szCs w:val="20"/>
      </w:rPr>
      <w:t xml:space="preserve"> II – </w:t>
    </w:r>
    <w:r>
      <w:rPr>
        <w:rFonts w:ascii="Arial" w:hAnsi="Arial" w:cs="Arial"/>
        <w:sz w:val="18"/>
        <w:szCs w:val="20"/>
      </w:rPr>
      <w:t>CO</w:t>
    </w:r>
    <w:r w:rsidR="00885B75" w:rsidRPr="008F1A0F">
      <w:rPr>
        <w:rFonts w:ascii="Arial" w:hAnsi="Arial" w:cs="Arial"/>
        <w:sz w:val="18"/>
        <w:szCs w:val="20"/>
      </w:rPr>
      <w:t>-L1</w:t>
    </w:r>
    <w:r>
      <w:rPr>
        <w:rFonts w:ascii="Arial" w:hAnsi="Arial" w:cs="Arial"/>
        <w:sz w:val="18"/>
        <w:szCs w:val="20"/>
      </w:rPr>
      <w:t>217</w:t>
    </w:r>
  </w:p>
  <w:p w14:paraId="7A32CA54" w14:textId="227861C5" w:rsidR="00885B75" w:rsidRPr="008F1A0F" w:rsidRDefault="00885B75" w:rsidP="00604287">
    <w:pPr>
      <w:pStyle w:val="Header"/>
      <w:spacing w:after="120"/>
      <w:rPr>
        <w:rFonts w:ascii="Arial" w:hAnsi="Arial" w:cs="Arial"/>
        <w:sz w:val="18"/>
      </w:rPr>
    </w:pPr>
    <w:r w:rsidRPr="00302181">
      <w:rPr>
        <w:rFonts w:ascii="Arial" w:hAnsi="Arial" w:cs="Arial"/>
        <w:sz w:val="18"/>
        <w:szCs w:val="20"/>
      </w:rPr>
      <w:fldChar w:fldCharType="begin"/>
    </w:r>
    <w:r w:rsidRPr="008F1A0F">
      <w:rPr>
        <w:rFonts w:ascii="Arial" w:hAnsi="Arial" w:cs="Arial"/>
        <w:sz w:val="18"/>
        <w:szCs w:val="20"/>
      </w:rPr>
      <w:instrText xml:space="preserve"> PAGE </w:instrText>
    </w:r>
    <w:r w:rsidRPr="00302181">
      <w:rPr>
        <w:rFonts w:ascii="Arial" w:hAnsi="Arial" w:cs="Arial"/>
        <w:sz w:val="18"/>
        <w:szCs w:val="20"/>
      </w:rPr>
      <w:fldChar w:fldCharType="separate"/>
    </w:r>
    <w:r w:rsidR="00993883">
      <w:rPr>
        <w:rFonts w:ascii="Arial" w:hAnsi="Arial" w:cs="Arial"/>
        <w:noProof/>
        <w:sz w:val="18"/>
        <w:szCs w:val="20"/>
      </w:rPr>
      <w:t>2</w:t>
    </w:r>
    <w:r w:rsidRPr="00302181">
      <w:rPr>
        <w:rFonts w:ascii="Arial" w:hAnsi="Arial" w:cs="Arial"/>
        <w:sz w:val="18"/>
        <w:szCs w:val="20"/>
      </w:rPr>
      <w:fldChar w:fldCharType="end"/>
    </w:r>
    <w:r w:rsidRPr="008F1A0F">
      <w:rPr>
        <w:rFonts w:ascii="Arial" w:hAnsi="Arial" w:cs="Arial"/>
        <w:sz w:val="18"/>
        <w:szCs w:val="20"/>
      </w:rPr>
      <w:t xml:space="preserve"> </w:t>
    </w:r>
    <w:r w:rsidR="006F407F">
      <w:rPr>
        <w:rFonts w:ascii="Arial" w:hAnsi="Arial" w:cs="Arial"/>
        <w:sz w:val="18"/>
        <w:szCs w:val="20"/>
      </w:rPr>
      <w:t>de</w:t>
    </w:r>
    <w:r w:rsidRPr="008F1A0F">
      <w:rPr>
        <w:rFonts w:ascii="Arial" w:hAnsi="Arial" w:cs="Arial"/>
        <w:sz w:val="18"/>
        <w:szCs w:val="20"/>
      </w:rPr>
      <w:t xml:space="preserve"> </w:t>
    </w:r>
    <w:r w:rsidRPr="00302181">
      <w:rPr>
        <w:rFonts w:ascii="Arial" w:hAnsi="Arial" w:cs="Arial"/>
        <w:sz w:val="18"/>
        <w:szCs w:val="20"/>
      </w:rPr>
      <w:fldChar w:fldCharType="begin"/>
    </w:r>
    <w:r w:rsidRPr="008F1A0F">
      <w:rPr>
        <w:rFonts w:ascii="Arial" w:hAnsi="Arial" w:cs="Arial"/>
        <w:sz w:val="18"/>
        <w:szCs w:val="20"/>
      </w:rPr>
      <w:instrText xml:space="preserve"> NUMPAGES  </w:instrText>
    </w:r>
    <w:r w:rsidRPr="00302181">
      <w:rPr>
        <w:rFonts w:ascii="Arial" w:hAnsi="Arial" w:cs="Arial"/>
        <w:sz w:val="18"/>
        <w:szCs w:val="20"/>
      </w:rPr>
      <w:fldChar w:fldCharType="separate"/>
    </w:r>
    <w:r w:rsidR="00993883">
      <w:rPr>
        <w:rFonts w:ascii="Arial" w:hAnsi="Arial" w:cs="Arial"/>
        <w:noProof/>
        <w:sz w:val="18"/>
        <w:szCs w:val="20"/>
      </w:rPr>
      <w:t>8</w:t>
    </w:r>
    <w:r w:rsidRPr="00302181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CA55" w14:textId="77777777" w:rsidR="00A430BF" w:rsidRPr="00205AC6" w:rsidRDefault="00A430BF" w:rsidP="00A430BF">
    <w:pPr>
      <w:pStyle w:val="Header"/>
      <w:jc w:val="right"/>
      <w:rPr>
        <w:rFonts w:ascii="Arial" w:hAnsi="Arial" w:cs="Arial"/>
        <w:sz w:val="18"/>
        <w:szCs w:val="20"/>
        <w:lang w:val="pt-BR"/>
      </w:rPr>
    </w:pPr>
    <w:r>
      <w:rPr>
        <w:rFonts w:ascii="Arial" w:hAnsi="Arial" w:cs="Arial"/>
        <w:sz w:val="18"/>
        <w:szCs w:val="20"/>
        <w:lang w:val="pt-BR"/>
      </w:rPr>
      <w:t>CO-L1217</w:t>
    </w:r>
  </w:p>
  <w:p w14:paraId="7A32CA56" w14:textId="39C25CDF" w:rsidR="00A430BF" w:rsidRPr="00205AC6" w:rsidRDefault="00A430BF" w:rsidP="00A430BF">
    <w:pPr>
      <w:pStyle w:val="Header"/>
      <w:spacing w:after="120"/>
      <w:jc w:val="right"/>
      <w:rPr>
        <w:rFonts w:ascii="Arial" w:hAnsi="Arial" w:cs="Arial"/>
        <w:sz w:val="18"/>
        <w:lang w:val="pt-BR"/>
      </w:rPr>
    </w:pPr>
    <w:r w:rsidRPr="00205AC6">
      <w:rPr>
        <w:rFonts w:ascii="Arial" w:hAnsi="Arial" w:cs="Arial"/>
        <w:sz w:val="18"/>
        <w:szCs w:val="20"/>
        <w:lang w:val="pt-BR"/>
      </w:rPr>
      <w:t xml:space="preserve">Página </w:t>
    </w:r>
    <w:r w:rsidRPr="00302181">
      <w:rPr>
        <w:rFonts w:ascii="Arial" w:hAnsi="Arial" w:cs="Arial"/>
        <w:sz w:val="18"/>
        <w:szCs w:val="20"/>
      </w:rPr>
      <w:fldChar w:fldCharType="begin"/>
    </w:r>
    <w:r w:rsidRPr="00205AC6">
      <w:rPr>
        <w:rFonts w:ascii="Arial" w:hAnsi="Arial" w:cs="Arial"/>
        <w:sz w:val="18"/>
        <w:szCs w:val="20"/>
        <w:lang w:val="pt-BR"/>
      </w:rPr>
      <w:instrText xml:space="preserve"> PAGE </w:instrText>
    </w:r>
    <w:r w:rsidRPr="00302181">
      <w:rPr>
        <w:rFonts w:ascii="Arial" w:hAnsi="Arial" w:cs="Arial"/>
        <w:sz w:val="18"/>
        <w:szCs w:val="20"/>
      </w:rPr>
      <w:fldChar w:fldCharType="separate"/>
    </w:r>
    <w:r w:rsidR="00993883">
      <w:rPr>
        <w:rFonts w:ascii="Arial" w:hAnsi="Arial" w:cs="Arial"/>
        <w:noProof/>
        <w:sz w:val="18"/>
        <w:szCs w:val="20"/>
        <w:lang w:val="pt-BR"/>
      </w:rPr>
      <w:t>3</w:t>
    </w:r>
    <w:r w:rsidRPr="00302181">
      <w:rPr>
        <w:rFonts w:ascii="Arial" w:hAnsi="Arial" w:cs="Arial"/>
        <w:sz w:val="18"/>
        <w:szCs w:val="20"/>
      </w:rPr>
      <w:fldChar w:fldCharType="end"/>
    </w:r>
    <w:r w:rsidRPr="00205AC6">
      <w:rPr>
        <w:rFonts w:ascii="Arial" w:hAnsi="Arial" w:cs="Arial"/>
        <w:sz w:val="18"/>
        <w:szCs w:val="20"/>
        <w:lang w:val="pt-BR"/>
      </w:rPr>
      <w:t xml:space="preserve"> </w:t>
    </w:r>
    <w:r>
      <w:rPr>
        <w:rFonts w:ascii="Arial" w:hAnsi="Arial" w:cs="Arial"/>
        <w:sz w:val="18"/>
        <w:szCs w:val="20"/>
        <w:lang w:val="pt-BR"/>
      </w:rPr>
      <w:t>de</w:t>
    </w:r>
    <w:r w:rsidRPr="00205AC6">
      <w:rPr>
        <w:rFonts w:ascii="Arial" w:hAnsi="Arial" w:cs="Arial"/>
        <w:sz w:val="18"/>
        <w:szCs w:val="20"/>
        <w:lang w:val="pt-BR"/>
      </w:rPr>
      <w:t xml:space="preserve"> </w:t>
    </w:r>
    <w:r w:rsidRPr="007205D0">
      <w:rPr>
        <w:rFonts w:ascii="Arial" w:hAnsi="Arial" w:cs="Arial"/>
        <w:sz w:val="18"/>
        <w:szCs w:val="20"/>
        <w:lang w:val="pt-BR"/>
      </w:rPr>
      <w:t>2</w:t>
    </w:r>
  </w:p>
  <w:p w14:paraId="7A32CA57" w14:textId="77777777" w:rsidR="00885B75" w:rsidRPr="008F1A0F" w:rsidRDefault="00885B75" w:rsidP="00795640">
    <w:pPr>
      <w:pStyle w:val="Header"/>
      <w:spacing w:after="120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4F5"/>
    <w:multiLevelType w:val="multilevel"/>
    <w:tmpl w:val="18C21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2C3391"/>
    <w:multiLevelType w:val="hybridMultilevel"/>
    <w:tmpl w:val="D9449F7C"/>
    <w:lvl w:ilvl="0" w:tplc="E516FBD8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0CC9"/>
    <w:multiLevelType w:val="hybridMultilevel"/>
    <w:tmpl w:val="58B22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27BD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B24DC"/>
    <w:multiLevelType w:val="hybridMultilevel"/>
    <w:tmpl w:val="FD16D2E6"/>
    <w:lvl w:ilvl="0" w:tplc="81865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75D3"/>
    <w:multiLevelType w:val="hybridMultilevel"/>
    <w:tmpl w:val="5F22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AEA"/>
    <w:multiLevelType w:val="hybridMultilevel"/>
    <w:tmpl w:val="2ED62A6A"/>
    <w:lvl w:ilvl="0" w:tplc="C2188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B317F"/>
    <w:multiLevelType w:val="hybridMultilevel"/>
    <w:tmpl w:val="435C7E62"/>
    <w:lvl w:ilvl="0" w:tplc="1848065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2F7"/>
    <w:multiLevelType w:val="hybridMultilevel"/>
    <w:tmpl w:val="DE001ED0"/>
    <w:lvl w:ilvl="0" w:tplc="8DD2164C">
      <w:start w:val="1"/>
      <w:numFmt w:val="decimal"/>
      <w:lvlText w:val="4.%1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761711D"/>
    <w:multiLevelType w:val="multilevel"/>
    <w:tmpl w:val="0EF4E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4769D2"/>
    <w:multiLevelType w:val="hybridMultilevel"/>
    <w:tmpl w:val="F716D126"/>
    <w:lvl w:ilvl="0" w:tplc="14820AB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E168C"/>
    <w:multiLevelType w:val="hybridMultilevel"/>
    <w:tmpl w:val="64C8B162"/>
    <w:lvl w:ilvl="0" w:tplc="F87EACA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7BA7"/>
    <w:multiLevelType w:val="multilevel"/>
    <w:tmpl w:val="B02AC3F2"/>
    <w:lvl w:ilvl="0">
      <w:start w:val="1"/>
      <w:numFmt w:val="decimal"/>
      <w:lvlText w:val="%1."/>
      <w:lvlJc w:val="left"/>
      <w:pPr>
        <w:ind w:left="711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FF64F7"/>
    <w:multiLevelType w:val="hybridMultilevel"/>
    <w:tmpl w:val="809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E550F"/>
    <w:multiLevelType w:val="hybridMultilevel"/>
    <w:tmpl w:val="CFE40A5E"/>
    <w:lvl w:ilvl="0" w:tplc="DB723606">
      <w:start w:val="2"/>
      <w:numFmt w:val="bullet"/>
      <w:lvlText w:val=""/>
      <w:lvlJc w:val="left"/>
      <w:pPr>
        <w:ind w:left="5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540F0548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30A9C"/>
    <w:multiLevelType w:val="multilevel"/>
    <w:tmpl w:val="7A4C2E3A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7" w15:restartNumberingAfterBreak="0">
    <w:nsid w:val="557D6ED5"/>
    <w:multiLevelType w:val="hybridMultilevel"/>
    <w:tmpl w:val="9C865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35F38"/>
    <w:multiLevelType w:val="hybridMultilevel"/>
    <w:tmpl w:val="8390A242"/>
    <w:lvl w:ilvl="0" w:tplc="445A9A44">
      <w:start w:val="1"/>
      <w:numFmt w:val="decimal"/>
      <w:lvlText w:val="%1."/>
      <w:lvlJc w:val="left"/>
      <w:pPr>
        <w:ind w:left="792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50A7A19"/>
    <w:multiLevelType w:val="hybridMultilevel"/>
    <w:tmpl w:val="9C865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E1AE9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4E65DE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5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9"/>
  </w:num>
  <w:num w:numId="18">
    <w:abstractNumId w:val="12"/>
  </w:num>
  <w:num w:numId="19">
    <w:abstractNumId w:val="13"/>
  </w:num>
  <w:num w:numId="20">
    <w:abstractNumId w:val="4"/>
  </w:num>
  <w:num w:numId="21">
    <w:abstractNumId w:val="0"/>
  </w:num>
  <w:num w:numId="22">
    <w:abstractNumId w:val="19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9"/>
    <w:rsid w:val="00000A82"/>
    <w:rsid w:val="00002FBE"/>
    <w:rsid w:val="0000551C"/>
    <w:rsid w:val="00005605"/>
    <w:rsid w:val="00007303"/>
    <w:rsid w:val="000077B4"/>
    <w:rsid w:val="00007FC5"/>
    <w:rsid w:val="00010667"/>
    <w:rsid w:val="0001115A"/>
    <w:rsid w:val="00013EFE"/>
    <w:rsid w:val="00016F82"/>
    <w:rsid w:val="0002055E"/>
    <w:rsid w:val="000225E8"/>
    <w:rsid w:val="00022A27"/>
    <w:rsid w:val="0002310F"/>
    <w:rsid w:val="00023C48"/>
    <w:rsid w:val="0002526D"/>
    <w:rsid w:val="000254F8"/>
    <w:rsid w:val="00026183"/>
    <w:rsid w:val="00030136"/>
    <w:rsid w:val="000330F7"/>
    <w:rsid w:val="00033C6A"/>
    <w:rsid w:val="00035ED9"/>
    <w:rsid w:val="00036AE6"/>
    <w:rsid w:val="00041018"/>
    <w:rsid w:val="0004302D"/>
    <w:rsid w:val="00051DF2"/>
    <w:rsid w:val="00056F4C"/>
    <w:rsid w:val="00060AE9"/>
    <w:rsid w:val="000660DE"/>
    <w:rsid w:val="000701B1"/>
    <w:rsid w:val="000710CC"/>
    <w:rsid w:val="000751B3"/>
    <w:rsid w:val="00080701"/>
    <w:rsid w:val="00080D35"/>
    <w:rsid w:val="00084059"/>
    <w:rsid w:val="0008737B"/>
    <w:rsid w:val="00096006"/>
    <w:rsid w:val="000A2132"/>
    <w:rsid w:val="000A55DE"/>
    <w:rsid w:val="000B219E"/>
    <w:rsid w:val="000B254C"/>
    <w:rsid w:val="000B33EA"/>
    <w:rsid w:val="000B4FB5"/>
    <w:rsid w:val="000B7EC5"/>
    <w:rsid w:val="000C0515"/>
    <w:rsid w:val="000C128D"/>
    <w:rsid w:val="000E5438"/>
    <w:rsid w:val="000E5D75"/>
    <w:rsid w:val="000F44DF"/>
    <w:rsid w:val="000F5D84"/>
    <w:rsid w:val="0010277A"/>
    <w:rsid w:val="00110E29"/>
    <w:rsid w:val="00111FF8"/>
    <w:rsid w:val="001139F5"/>
    <w:rsid w:val="00113B4A"/>
    <w:rsid w:val="0011498A"/>
    <w:rsid w:val="0011501A"/>
    <w:rsid w:val="00115379"/>
    <w:rsid w:val="001153A2"/>
    <w:rsid w:val="00117A1F"/>
    <w:rsid w:val="00117A23"/>
    <w:rsid w:val="00121C5B"/>
    <w:rsid w:val="00122885"/>
    <w:rsid w:val="0012516F"/>
    <w:rsid w:val="00127CA3"/>
    <w:rsid w:val="001318BD"/>
    <w:rsid w:val="00134095"/>
    <w:rsid w:val="00135F64"/>
    <w:rsid w:val="0014088A"/>
    <w:rsid w:val="00143BD3"/>
    <w:rsid w:val="00143CAC"/>
    <w:rsid w:val="00150D0B"/>
    <w:rsid w:val="001516C4"/>
    <w:rsid w:val="001539B9"/>
    <w:rsid w:val="0015401A"/>
    <w:rsid w:val="00154E58"/>
    <w:rsid w:val="001556EC"/>
    <w:rsid w:val="00163C04"/>
    <w:rsid w:val="00167DD5"/>
    <w:rsid w:val="00175010"/>
    <w:rsid w:val="00177249"/>
    <w:rsid w:val="00180BFF"/>
    <w:rsid w:val="0018147E"/>
    <w:rsid w:val="00185228"/>
    <w:rsid w:val="00185F7B"/>
    <w:rsid w:val="00186711"/>
    <w:rsid w:val="0018775F"/>
    <w:rsid w:val="0019082E"/>
    <w:rsid w:val="00191A42"/>
    <w:rsid w:val="00192135"/>
    <w:rsid w:val="00193DB9"/>
    <w:rsid w:val="00195943"/>
    <w:rsid w:val="00195981"/>
    <w:rsid w:val="001A4F42"/>
    <w:rsid w:val="001A625A"/>
    <w:rsid w:val="001B0BB1"/>
    <w:rsid w:val="001B4470"/>
    <w:rsid w:val="001B46BF"/>
    <w:rsid w:val="001B53CA"/>
    <w:rsid w:val="001B59EF"/>
    <w:rsid w:val="001C064D"/>
    <w:rsid w:val="001C148F"/>
    <w:rsid w:val="001C231B"/>
    <w:rsid w:val="001C2435"/>
    <w:rsid w:val="001C7B29"/>
    <w:rsid w:val="001D1B01"/>
    <w:rsid w:val="001D542B"/>
    <w:rsid w:val="001D5AD8"/>
    <w:rsid w:val="001D74BC"/>
    <w:rsid w:val="001E0C89"/>
    <w:rsid w:val="001E37F7"/>
    <w:rsid w:val="001E4ADF"/>
    <w:rsid w:val="001E55F3"/>
    <w:rsid w:val="001E562E"/>
    <w:rsid w:val="001E7552"/>
    <w:rsid w:val="001F470F"/>
    <w:rsid w:val="001F5546"/>
    <w:rsid w:val="002010E1"/>
    <w:rsid w:val="00204410"/>
    <w:rsid w:val="002047F5"/>
    <w:rsid w:val="00205C50"/>
    <w:rsid w:val="0021583D"/>
    <w:rsid w:val="0022128F"/>
    <w:rsid w:val="00221E06"/>
    <w:rsid w:val="0022498F"/>
    <w:rsid w:val="0022614F"/>
    <w:rsid w:val="00233600"/>
    <w:rsid w:val="00233943"/>
    <w:rsid w:val="00233A74"/>
    <w:rsid w:val="00237E31"/>
    <w:rsid w:val="00242405"/>
    <w:rsid w:val="00247065"/>
    <w:rsid w:val="002571E9"/>
    <w:rsid w:val="002603B8"/>
    <w:rsid w:val="0026153A"/>
    <w:rsid w:val="00263AC6"/>
    <w:rsid w:val="00263EAF"/>
    <w:rsid w:val="00266F4D"/>
    <w:rsid w:val="002703D1"/>
    <w:rsid w:val="00270FED"/>
    <w:rsid w:val="00272E5A"/>
    <w:rsid w:val="0027411D"/>
    <w:rsid w:val="002805D5"/>
    <w:rsid w:val="00284E26"/>
    <w:rsid w:val="00285D55"/>
    <w:rsid w:val="00287836"/>
    <w:rsid w:val="00291086"/>
    <w:rsid w:val="00292862"/>
    <w:rsid w:val="002952DD"/>
    <w:rsid w:val="002A224E"/>
    <w:rsid w:val="002A2521"/>
    <w:rsid w:val="002A2752"/>
    <w:rsid w:val="002A460D"/>
    <w:rsid w:val="002A4699"/>
    <w:rsid w:val="002A4D3B"/>
    <w:rsid w:val="002A7688"/>
    <w:rsid w:val="002B5CA4"/>
    <w:rsid w:val="002B6A6F"/>
    <w:rsid w:val="002C32AB"/>
    <w:rsid w:val="002C6ADB"/>
    <w:rsid w:val="002C7D1C"/>
    <w:rsid w:val="002D154A"/>
    <w:rsid w:val="002D5474"/>
    <w:rsid w:val="002E60DE"/>
    <w:rsid w:val="002F08D6"/>
    <w:rsid w:val="002F1991"/>
    <w:rsid w:val="002F1F5B"/>
    <w:rsid w:val="002F2F27"/>
    <w:rsid w:val="002F481B"/>
    <w:rsid w:val="002F4DF5"/>
    <w:rsid w:val="002F5FD4"/>
    <w:rsid w:val="002F6774"/>
    <w:rsid w:val="002F6A68"/>
    <w:rsid w:val="00300C59"/>
    <w:rsid w:val="00302181"/>
    <w:rsid w:val="00306655"/>
    <w:rsid w:val="00306AC0"/>
    <w:rsid w:val="00306D38"/>
    <w:rsid w:val="003158DF"/>
    <w:rsid w:val="00316598"/>
    <w:rsid w:val="003225C8"/>
    <w:rsid w:val="00326973"/>
    <w:rsid w:val="00327308"/>
    <w:rsid w:val="0033145A"/>
    <w:rsid w:val="0033347A"/>
    <w:rsid w:val="00341A7E"/>
    <w:rsid w:val="00344269"/>
    <w:rsid w:val="00347930"/>
    <w:rsid w:val="00347BBC"/>
    <w:rsid w:val="00354689"/>
    <w:rsid w:val="00354D7A"/>
    <w:rsid w:val="00355CB5"/>
    <w:rsid w:val="00355CDE"/>
    <w:rsid w:val="00361DF3"/>
    <w:rsid w:val="0037043C"/>
    <w:rsid w:val="00372642"/>
    <w:rsid w:val="00373A4F"/>
    <w:rsid w:val="003819C0"/>
    <w:rsid w:val="00386E83"/>
    <w:rsid w:val="00387B7B"/>
    <w:rsid w:val="00387E97"/>
    <w:rsid w:val="003901F3"/>
    <w:rsid w:val="003920ED"/>
    <w:rsid w:val="00393567"/>
    <w:rsid w:val="00395036"/>
    <w:rsid w:val="003A04E0"/>
    <w:rsid w:val="003A1F08"/>
    <w:rsid w:val="003A228F"/>
    <w:rsid w:val="003A2482"/>
    <w:rsid w:val="003A273B"/>
    <w:rsid w:val="003A2ABD"/>
    <w:rsid w:val="003B0148"/>
    <w:rsid w:val="003B4026"/>
    <w:rsid w:val="003B6A72"/>
    <w:rsid w:val="003C12EB"/>
    <w:rsid w:val="003C1A3C"/>
    <w:rsid w:val="003C70EB"/>
    <w:rsid w:val="003D3ACC"/>
    <w:rsid w:val="003D4B6F"/>
    <w:rsid w:val="003D5B36"/>
    <w:rsid w:val="003D692D"/>
    <w:rsid w:val="003E10CD"/>
    <w:rsid w:val="003E258D"/>
    <w:rsid w:val="003E2F4D"/>
    <w:rsid w:val="003E33B3"/>
    <w:rsid w:val="003E4BDC"/>
    <w:rsid w:val="003F58AE"/>
    <w:rsid w:val="004002FD"/>
    <w:rsid w:val="00404238"/>
    <w:rsid w:val="00404C4E"/>
    <w:rsid w:val="00404E89"/>
    <w:rsid w:val="004051F3"/>
    <w:rsid w:val="004058FE"/>
    <w:rsid w:val="00405BF1"/>
    <w:rsid w:val="0040752D"/>
    <w:rsid w:val="00407E88"/>
    <w:rsid w:val="0041093D"/>
    <w:rsid w:val="00411196"/>
    <w:rsid w:val="004139B5"/>
    <w:rsid w:val="00421EF2"/>
    <w:rsid w:val="0042362C"/>
    <w:rsid w:val="004252EA"/>
    <w:rsid w:val="0042776A"/>
    <w:rsid w:val="00432037"/>
    <w:rsid w:val="004321D9"/>
    <w:rsid w:val="00434F7D"/>
    <w:rsid w:val="00436377"/>
    <w:rsid w:val="00436E41"/>
    <w:rsid w:val="0044701A"/>
    <w:rsid w:val="00456C3D"/>
    <w:rsid w:val="0046310E"/>
    <w:rsid w:val="004632FE"/>
    <w:rsid w:val="00463EB0"/>
    <w:rsid w:val="00464C85"/>
    <w:rsid w:val="004668B9"/>
    <w:rsid w:val="0046791C"/>
    <w:rsid w:val="004700D0"/>
    <w:rsid w:val="00470416"/>
    <w:rsid w:val="00470D84"/>
    <w:rsid w:val="004719B2"/>
    <w:rsid w:val="00472FC8"/>
    <w:rsid w:val="0047735D"/>
    <w:rsid w:val="004811BC"/>
    <w:rsid w:val="00485323"/>
    <w:rsid w:val="0048587F"/>
    <w:rsid w:val="00491F1E"/>
    <w:rsid w:val="00493D21"/>
    <w:rsid w:val="004A10DB"/>
    <w:rsid w:val="004A2488"/>
    <w:rsid w:val="004B032D"/>
    <w:rsid w:val="004B11E9"/>
    <w:rsid w:val="004B2CC6"/>
    <w:rsid w:val="004B5260"/>
    <w:rsid w:val="004B6D3C"/>
    <w:rsid w:val="004B7EA8"/>
    <w:rsid w:val="004C2EFE"/>
    <w:rsid w:val="004C6A12"/>
    <w:rsid w:val="004D45A6"/>
    <w:rsid w:val="004D5D3E"/>
    <w:rsid w:val="004D7BD1"/>
    <w:rsid w:val="004E3A3F"/>
    <w:rsid w:val="004E4DC5"/>
    <w:rsid w:val="004E604B"/>
    <w:rsid w:val="004F0875"/>
    <w:rsid w:val="004F0C2A"/>
    <w:rsid w:val="004F55A0"/>
    <w:rsid w:val="004F5774"/>
    <w:rsid w:val="004F5EA1"/>
    <w:rsid w:val="004F6477"/>
    <w:rsid w:val="004F7EEE"/>
    <w:rsid w:val="00505E46"/>
    <w:rsid w:val="0050683E"/>
    <w:rsid w:val="00507157"/>
    <w:rsid w:val="00510EC1"/>
    <w:rsid w:val="005145CC"/>
    <w:rsid w:val="00514902"/>
    <w:rsid w:val="005153FE"/>
    <w:rsid w:val="00516CE4"/>
    <w:rsid w:val="00516F11"/>
    <w:rsid w:val="00516F98"/>
    <w:rsid w:val="00523B0F"/>
    <w:rsid w:val="00524650"/>
    <w:rsid w:val="00524F25"/>
    <w:rsid w:val="00530E5D"/>
    <w:rsid w:val="00532D99"/>
    <w:rsid w:val="0053473D"/>
    <w:rsid w:val="00535810"/>
    <w:rsid w:val="00536BC4"/>
    <w:rsid w:val="00541D84"/>
    <w:rsid w:val="00545B84"/>
    <w:rsid w:val="005509E6"/>
    <w:rsid w:val="0055329E"/>
    <w:rsid w:val="00560B63"/>
    <w:rsid w:val="00562981"/>
    <w:rsid w:val="00562D13"/>
    <w:rsid w:val="005645B1"/>
    <w:rsid w:val="00566117"/>
    <w:rsid w:val="00576594"/>
    <w:rsid w:val="00577C26"/>
    <w:rsid w:val="005808DF"/>
    <w:rsid w:val="00586AB5"/>
    <w:rsid w:val="00591F0C"/>
    <w:rsid w:val="00596969"/>
    <w:rsid w:val="00597251"/>
    <w:rsid w:val="005A07F9"/>
    <w:rsid w:val="005A0CDB"/>
    <w:rsid w:val="005A11A0"/>
    <w:rsid w:val="005A169E"/>
    <w:rsid w:val="005A4237"/>
    <w:rsid w:val="005A5CAF"/>
    <w:rsid w:val="005A6480"/>
    <w:rsid w:val="005A6C85"/>
    <w:rsid w:val="005A70FC"/>
    <w:rsid w:val="005A7AFD"/>
    <w:rsid w:val="005A7EE1"/>
    <w:rsid w:val="005B1138"/>
    <w:rsid w:val="005B238B"/>
    <w:rsid w:val="005B2468"/>
    <w:rsid w:val="005B4612"/>
    <w:rsid w:val="005B474D"/>
    <w:rsid w:val="005B47E8"/>
    <w:rsid w:val="005B4808"/>
    <w:rsid w:val="005B7039"/>
    <w:rsid w:val="005B780E"/>
    <w:rsid w:val="005C0113"/>
    <w:rsid w:val="005C1F47"/>
    <w:rsid w:val="005C29E5"/>
    <w:rsid w:val="005C34EC"/>
    <w:rsid w:val="005D087F"/>
    <w:rsid w:val="005D2112"/>
    <w:rsid w:val="005D3C08"/>
    <w:rsid w:val="005D443D"/>
    <w:rsid w:val="005D4CAA"/>
    <w:rsid w:val="005E23F8"/>
    <w:rsid w:val="005E464B"/>
    <w:rsid w:val="005E5075"/>
    <w:rsid w:val="005E7E65"/>
    <w:rsid w:val="005F095E"/>
    <w:rsid w:val="005F0F86"/>
    <w:rsid w:val="005F115D"/>
    <w:rsid w:val="005F2D4C"/>
    <w:rsid w:val="005F7EAB"/>
    <w:rsid w:val="00604287"/>
    <w:rsid w:val="0061249A"/>
    <w:rsid w:val="006224BC"/>
    <w:rsid w:val="00623016"/>
    <w:rsid w:val="00624474"/>
    <w:rsid w:val="00626B6F"/>
    <w:rsid w:val="00634F78"/>
    <w:rsid w:val="0063793A"/>
    <w:rsid w:val="00637F8D"/>
    <w:rsid w:val="006416F5"/>
    <w:rsid w:val="00651678"/>
    <w:rsid w:val="006617D1"/>
    <w:rsid w:val="00665161"/>
    <w:rsid w:val="00666567"/>
    <w:rsid w:val="00666C17"/>
    <w:rsid w:val="006716B2"/>
    <w:rsid w:val="0067482D"/>
    <w:rsid w:val="00674EE0"/>
    <w:rsid w:val="00674F2E"/>
    <w:rsid w:val="00681A01"/>
    <w:rsid w:val="0068730F"/>
    <w:rsid w:val="00687723"/>
    <w:rsid w:val="00697BC0"/>
    <w:rsid w:val="006A40A3"/>
    <w:rsid w:val="006A43E0"/>
    <w:rsid w:val="006A480C"/>
    <w:rsid w:val="006A70A8"/>
    <w:rsid w:val="006A737D"/>
    <w:rsid w:val="006B5844"/>
    <w:rsid w:val="006B6810"/>
    <w:rsid w:val="006B7266"/>
    <w:rsid w:val="006C0AF9"/>
    <w:rsid w:val="006C6CE5"/>
    <w:rsid w:val="006D02BD"/>
    <w:rsid w:val="006D0A00"/>
    <w:rsid w:val="006D1FD2"/>
    <w:rsid w:val="006D2D68"/>
    <w:rsid w:val="006D3787"/>
    <w:rsid w:val="006D48CA"/>
    <w:rsid w:val="006D5012"/>
    <w:rsid w:val="006E45D5"/>
    <w:rsid w:val="006E4629"/>
    <w:rsid w:val="006E6637"/>
    <w:rsid w:val="006F1AF9"/>
    <w:rsid w:val="006F407F"/>
    <w:rsid w:val="006F4B96"/>
    <w:rsid w:val="006F5BF6"/>
    <w:rsid w:val="006F5C64"/>
    <w:rsid w:val="007002E7"/>
    <w:rsid w:val="00701B72"/>
    <w:rsid w:val="0070351A"/>
    <w:rsid w:val="00704028"/>
    <w:rsid w:val="00713D10"/>
    <w:rsid w:val="00715517"/>
    <w:rsid w:val="0071643F"/>
    <w:rsid w:val="00720EF4"/>
    <w:rsid w:val="00721F27"/>
    <w:rsid w:val="00722B27"/>
    <w:rsid w:val="00723569"/>
    <w:rsid w:val="00730197"/>
    <w:rsid w:val="007305F6"/>
    <w:rsid w:val="00732FFD"/>
    <w:rsid w:val="00733023"/>
    <w:rsid w:val="00736466"/>
    <w:rsid w:val="007364A3"/>
    <w:rsid w:val="00743411"/>
    <w:rsid w:val="00745D26"/>
    <w:rsid w:val="00747F22"/>
    <w:rsid w:val="00750D2C"/>
    <w:rsid w:val="00754CC9"/>
    <w:rsid w:val="00756C05"/>
    <w:rsid w:val="0076121D"/>
    <w:rsid w:val="00764B2C"/>
    <w:rsid w:val="00765098"/>
    <w:rsid w:val="00766693"/>
    <w:rsid w:val="00767CDB"/>
    <w:rsid w:val="00770D03"/>
    <w:rsid w:val="00772EF7"/>
    <w:rsid w:val="00774118"/>
    <w:rsid w:val="0077533F"/>
    <w:rsid w:val="00781455"/>
    <w:rsid w:val="00781A89"/>
    <w:rsid w:val="00783608"/>
    <w:rsid w:val="00784B5E"/>
    <w:rsid w:val="00785013"/>
    <w:rsid w:val="00795640"/>
    <w:rsid w:val="007A1E69"/>
    <w:rsid w:val="007A2E03"/>
    <w:rsid w:val="007A4E9B"/>
    <w:rsid w:val="007A657D"/>
    <w:rsid w:val="007A6F03"/>
    <w:rsid w:val="007A7B29"/>
    <w:rsid w:val="007B6ECD"/>
    <w:rsid w:val="007B7C28"/>
    <w:rsid w:val="007C461C"/>
    <w:rsid w:val="007C784D"/>
    <w:rsid w:val="007D1607"/>
    <w:rsid w:val="007D1A17"/>
    <w:rsid w:val="007D3773"/>
    <w:rsid w:val="007E22A3"/>
    <w:rsid w:val="007E4F27"/>
    <w:rsid w:val="007E630F"/>
    <w:rsid w:val="007F0B43"/>
    <w:rsid w:val="007F7953"/>
    <w:rsid w:val="008072AB"/>
    <w:rsid w:val="00813903"/>
    <w:rsid w:val="00817B08"/>
    <w:rsid w:val="00820824"/>
    <w:rsid w:val="00821D17"/>
    <w:rsid w:val="00821FAD"/>
    <w:rsid w:val="008234FA"/>
    <w:rsid w:val="00831349"/>
    <w:rsid w:val="00834D4C"/>
    <w:rsid w:val="00836D22"/>
    <w:rsid w:val="00837182"/>
    <w:rsid w:val="00842EB8"/>
    <w:rsid w:val="00850431"/>
    <w:rsid w:val="00851ABF"/>
    <w:rsid w:val="00857D67"/>
    <w:rsid w:val="008662D9"/>
    <w:rsid w:val="00870C92"/>
    <w:rsid w:val="00873F19"/>
    <w:rsid w:val="00873FD0"/>
    <w:rsid w:val="00874FB2"/>
    <w:rsid w:val="008755DD"/>
    <w:rsid w:val="00877287"/>
    <w:rsid w:val="00877CFA"/>
    <w:rsid w:val="0088146E"/>
    <w:rsid w:val="00883361"/>
    <w:rsid w:val="00885AB3"/>
    <w:rsid w:val="00885B75"/>
    <w:rsid w:val="00886201"/>
    <w:rsid w:val="00891167"/>
    <w:rsid w:val="00891C03"/>
    <w:rsid w:val="008925A6"/>
    <w:rsid w:val="00895C43"/>
    <w:rsid w:val="008A080B"/>
    <w:rsid w:val="008A41E7"/>
    <w:rsid w:val="008A44CF"/>
    <w:rsid w:val="008B438B"/>
    <w:rsid w:val="008B5B2C"/>
    <w:rsid w:val="008C30B6"/>
    <w:rsid w:val="008C765B"/>
    <w:rsid w:val="008E6F03"/>
    <w:rsid w:val="008E7A42"/>
    <w:rsid w:val="008F0FE4"/>
    <w:rsid w:val="008F1A0F"/>
    <w:rsid w:val="008F2E3F"/>
    <w:rsid w:val="008F782C"/>
    <w:rsid w:val="00901604"/>
    <w:rsid w:val="00901707"/>
    <w:rsid w:val="0090269B"/>
    <w:rsid w:val="00903211"/>
    <w:rsid w:val="009101D7"/>
    <w:rsid w:val="009102B2"/>
    <w:rsid w:val="00912ED1"/>
    <w:rsid w:val="00914313"/>
    <w:rsid w:val="00922991"/>
    <w:rsid w:val="009249FE"/>
    <w:rsid w:val="00924ADD"/>
    <w:rsid w:val="0093137F"/>
    <w:rsid w:val="00932D09"/>
    <w:rsid w:val="00935D46"/>
    <w:rsid w:val="00940EEA"/>
    <w:rsid w:val="00943CCF"/>
    <w:rsid w:val="00947693"/>
    <w:rsid w:val="00951AB0"/>
    <w:rsid w:val="00952E20"/>
    <w:rsid w:val="009532F3"/>
    <w:rsid w:val="00953774"/>
    <w:rsid w:val="009559D9"/>
    <w:rsid w:val="00955D6B"/>
    <w:rsid w:val="00962137"/>
    <w:rsid w:val="0096655F"/>
    <w:rsid w:val="009676D9"/>
    <w:rsid w:val="00967DA8"/>
    <w:rsid w:val="00973240"/>
    <w:rsid w:val="00973F36"/>
    <w:rsid w:val="00983093"/>
    <w:rsid w:val="00985A94"/>
    <w:rsid w:val="00987DD8"/>
    <w:rsid w:val="009901BC"/>
    <w:rsid w:val="00993883"/>
    <w:rsid w:val="00993D17"/>
    <w:rsid w:val="009962DF"/>
    <w:rsid w:val="00996C8B"/>
    <w:rsid w:val="009A139B"/>
    <w:rsid w:val="009A6506"/>
    <w:rsid w:val="009A6879"/>
    <w:rsid w:val="009A7DA5"/>
    <w:rsid w:val="009B0293"/>
    <w:rsid w:val="009B05D6"/>
    <w:rsid w:val="009B062C"/>
    <w:rsid w:val="009B45D1"/>
    <w:rsid w:val="009B6433"/>
    <w:rsid w:val="009C0378"/>
    <w:rsid w:val="009C18E9"/>
    <w:rsid w:val="009C2619"/>
    <w:rsid w:val="009C2676"/>
    <w:rsid w:val="009C3484"/>
    <w:rsid w:val="009C47EE"/>
    <w:rsid w:val="009C52A2"/>
    <w:rsid w:val="009C79A5"/>
    <w:rsid w:val="009D0086"/>
    <w:rsid w:val="009D376C"/>
    <w:rsid w:val="009D5047"/>
    <w:rsid w:val="009D696D"/>
    <w:rsid w:val="009E2787"/>
    <w:rsid w:val="009E3A64"/>
    <w:rsid w:val="009E3BD1"/>
    <w:rsid w:val="009E4142"/>
    <w:rsid w:val="009F778C"/>
    <w:rsid w:val="00A04244"/>
    <w:rsid w:val="00A046D9"/>
    <w:rsid w:val="00A051A8"/>
    <w:rsid w:val="00A11028"/>
    <w:rsid w:val="00A13929"/>
    <w:rsid w:val="00A15177"/>
    <w:rsid w:val="00A16624"/>
    <w:rsid w:val="00A17EC7"/>
    <w:rsid w:val="00A2161F"/>
    <w:rsid w:val="00A2577D"/>
    <w:rsid w:val="00A32A31"/>
    <w:rsid w:val="00A33AB7"/>
    <w:rsid w:val="00A349DE"/>
    <w:rsid w:val="00A356F9"/>
    <w:rsid w:val="00A430BF"/>
    <w:rsid w:val="00A431B5"/>
    <w:rsid w:val="00A46CB3"/>
    <w:rsid w:val="00A47C25"/>
    <w:rsid w:val="00A53E24"/>
    <w:rsid w:val="00A61E8A"/>
    <w:rsid w:val="00A665DC"/>
    <w:rsid w:val="00A708A9"/>
    <w:rsid w:val="00A71582"/>
    <w:rsid w:val="00A763AE"/>
    <w:rsid w:val="00A773BA"/>
    <w:rsid w:val="00A80B02"/>
    <w:rsid w:val="00A82307"/>
    <w:rsid w:val="00A850A4"/>
    <w:rsid w:val="00A87960"/>
    <w:rsid w:val="00A92B62"/>
    <w:rsid w:val="00A95DF4"/>
    <w:rsid w:val="00AA0C38"/>
    <w:rsid w:val="00AA36F0"/>
    <w:rsid w:val="00AA4685"/>
    <w:rsid w:val="00AA4B04"/>
    <w:rsid w:val="00AA4C42"/>
    <w:rsid w:val="00AA5B7B"/>
    <w:rsid w:val="00AA5FB7"/>
    <w:rsid w:val="00AB1710"/>
    <w:rsid w:val="00AB5544"/>
    <w:rsid w:val="00AC0E00"/>
    <w:rsid w:val="00AC1B6D"/>
    <w:rsid w:val="00AD0687"/>
    <w:rsid w:val="00AD0943"/>
    <w:rsid w:val="00AD4407"/>
    <w:rsid w:val="00AE0E83"/>
    <w:rsid w:val="00AE371C"/>
    <w:rsid w:val="00AE617E"/>
    <w:rsid w:val="00AF4DDC"/>
    <w:rsid w:val="00B033BD"/>
    <w:rsid w:val="00B03495"/>
    <w:rsid w:val="00B04319"/>
    <w:rsid w:val="00B062FA"/>
    <w:rsid w:val="00B06375"/>
    <w:rsid w:val="00B100F6"/>
    <w:rsid w:val="00B137CB"/>
    <w:rsid w:val="00B161CA"/>
    <w:rsid w:val="00B16590"/>
    <w:rsid w:val="00B22035"/>
    <w:rsid w:val="00B2657F"/>
    <w:rsid w:val="00B32010"/>
    <w:rsid w:val="00B363AA"/>
    <w:rsid w:val="00B36B75"/>
    <w:rsid w:val="00B407EC"/>
    <w:rsid w:val="00B40B5D"/>
    <w:rsid w:val="00B42606"/>
    <w:rsid w:val="00B43FAE"/>
    <w:rsid w:val="00B47C8A"/>
    <w:rsid w:val="00B52CA9"/>
    <w:rsid w:val="00B54055"/>
    <w:rsid w:val="00B60ECD"/>
    <w:rsid w:val="00B65902"/>
    <w:rsid w:val="00B670E6"/>
    <w:rsid w:val="00B6757D"/>
    <w:rsid w:val="00B70ABD"/>
    <w:rsid w:val="00B715AA"/>
    <w:rsid w:val="00B71CE2"/>
    <w:rsid w:val="00B73EE1"/>
    <w:rsid w:val="00B752D5"/>
    <w:rsid w:val="00B75835"/>
    <w:rsid w:val="00B75F7A"/>
    <w:rsid w:val="00B812E8"/>
    <w:rsid w:val="00B815D5"/>
    <w:rsid w:val="00B843E3"/>
    <w:rsid w:val="00B872B3"/>
    <w:rsid w:val="00B94074"/>
    <w:rsid w:val="00B95455"/>
    <w:rsid w:val="00B965B8"/>
    <w:rsid w:val="00BA0C88"/>
    <w:rsid w:val="00BA1485"/>
    <w:rsid w:val="00BB123C"/>
    <w:rsid w:val="00BC3D7B"/>
    <w:rsid w:val="00BC47C1"/>
    <w:rsid w:val="00BC4908"/>
    <w:rsid w:val="00BC5588"/>
    <w:rsid w:val="00BC7AC9"/>
    <w:rsid w:val="00BC7E0B"/>
    <w:rsid w:val="00BD313A"/>
    <w:rsid w:val="00BD39F0"/>
    <w:rsid w:val="00BD6FEB"/>
    <w:rsid w:val="00BE00D4"/>
    <w:rsid w:val="00BE520A"/>
    <w:rsid w:val="00BF00CF"/>
    <w:rsid w:val="00BF0EDD"/>
    <w:rsid w:val="00BF1D07"/>
    <w:rsid w:val="00BF788C"/>
    <w:rsid w:val="00C01001"/>
    <w:rsid w:val="00C022E2"/>
    <w:rsid w:val="00C10A28"/>
    <w:rsid w:val="00C10FD9"/>
    <w:rsid w:val="00C15792"/>
    <w:rsid w:val="00C22C8F"/>
    <w:rsid w:val="00C243AA"/>
    <w:rsid w:val="00C3010A"/>
    <w:rsid w:val="00C30C70"/>
    <w:rsid w:val="00C3455E"/>
    <w:rsid w:val="00C37547"/>
    <w:rsid w:val="00C407D5"/>
    <w:rsid w:val="00C4082B"/>
    <w:rsid w:val="00C43E84"/>
    <w:rsid w:val="00C43FF9"/>
    <w:rsid w:val="00C51662"/>
    <w:rsid w:val="00C52A59"/>
    <w:rsid w:val="00C54CC9"/>
    <w:rsid w:val="00C609A1"/>
    <w:rsid w:val="00C60EE2"/>
    <w:rsid w:val="00C62BDF"/>
    <w:rsid w:val="00C64754"/>
    <w:rsid w:val="00C666AE"/>
    <w:rsid w:val="00C81324"/>
    <w:rsid w:val="00C849AC"/>
    <w:rsid w:val="00C85925"/>
    <w:rsid w:val="00C86439"/>
    <w:rsid w:val="00C91B93"/>
    <w:rsid w:val="00C92B26"/>
    <w:rsid w:val="00C947FE"/>
    <w:rsid w:val="00C956C6"/>
    <w:rsid w:val="00C95DC5"/>
    <w:rsid w:val="00C96046"/>
    <w:rsid w:val="00CA25B4"/>
    <w:rsid w:val="00CA610F"/>
    <w:rsid w:val="00CB0208"/>
    <w:rsid w:val="00CB1465"/>
    <w:rsid w:val="00CB1E5A"/>
    <w:rsid w:val="00CB26A2"/>
    <w:rsid w:val="00CB3963"/>
    <w:rsid w:val="00CB3F45"/>
    <w:rsid w:val="00CB6769"/>
    <w:rsid w:val="00CB67B0"/>
    <w:rsid w:val="00CB6BDB"/>
    <w:rsid w:val="00CB77DE"/>
    <w:rsid w:val="00CC1E3B"/>
    <w:rsid w:val="00CC213E"/>
    <w:rsid w:val="00CC3B1F"/>
    <w:rsid w:val="00CC587B"/>
    <w:rsid w:val="00CD6B46"/>
    <w:rsid w:val="00CD743B"/>
    <w:rsid w:val="00CE3F34"/>
    <w:rsid w:val="00CE643A"/>
    <w:rsid w:val="00CF1633"/>
    <w:rsid w:val="00CF1F74"/>
    <w:rsid w:val="00CF2028"/>
    <w:rsid w:val="00CF6712"/>
    <w:rsid w:val="00D00CD7"/>
    <w:rsid w:val="00D01744"/>
    <w:rsid w:val="00D02610"/>
    <w:rsid w:val="00D04F88"/>
    <w:rsid w:val="00D1081B"/>
    <w:rsid w:val="00D1137F"/>
    <w:rsid w:val="00D12C64"/>
    <w:rsid w:val="00D169CB"/>
    <w:rsid w:val="00D17366"/>
    <w:rsid w:val="00D17F85"/>
    <w:rsid w:val="00D23FA1"/>
    <w:rsid w:val="00D2462F"/>
    <w:rsid w:val="00D26C6F"/>
    <w:rsid w:val="00D3148B"/>
    <w:rsid w:val="00D32324"/>
    <w:rsid w:val="00D35C2E"/>
    <w:rsid w:val="00D37726"/>
    <w:rsid w:val="00D37ACE"/>
    <w:rsid w:val="00D43EFD"/>
    <w:rsid w:val="00D44FAB"/>
    <w:rsid w:val="00D45496"/>
    <w:rsid w:val="00D45B7D"/>
    <w:rsid w:val="00D53902"/>
    <w:rsid w:val="00D53FD6"/>
    <w:rsid w:val="00D54A67"/>
    <w:rsid w:val="00D57B86"/>
    <w:rsid w:val="00D62E88"/>
    <w:rsid w:val="00D71E13"/>
    <w:rsid w:val="00D74CB7"/>
    <w:rsid w:val="00D75B6D"/>
    <w:rsid w:val="00D76CD0"/>
    <w:rsid w:val="00D813F4"/>
    <w:rsid w:val="00D83A39"/>
    <w:rsid w:val="00D841C0"/>
    <w:rsid w:val="00D850F0"/>
    <w:rsid w:val="00D9004F"/>
    <w:rsid w:val="00D909AB"/>
    <w:rsid w:val="00D93B00"/>
    <w:rsid w:val="00D9454C"/>
    <w:rsid w:val="00D959B3"/>
    <w:rsid w:val="00D95B7E"/>
    <w:rsid w:val="00D967A6"/>
    <w:rsid w:val="00D9684B"/>
    <w:rsid w:val="00D97B13"/>
    <w:rsid w:val="00DA2B97"/>
    <w:rsid w:val="00DA2DF9"/>
    <w:rsid w:val="00DA6665"/>
    <w:rsid w:val="00DA75E2"/>
    <w:rsid w:val="00DA75FB"/>
    <w:rsid w:val="00DB0B8A"/>
    <w:rsid w:val="00DB1987"/>
    <w:rsid w:val="00DB2EA2"/>
    <w:rsid w:val="00DB4667"/>
    <w:rsid w:val="00DB4CCB"/>
    <w:rsid w:val="00DB6331"/>
    <w:rsid w:val="00DC02C9"/>
    <w:rsid w:val="00DC579E"/>
    <w:rsid w:val="00DC6A59"/>
    <w:rsid w:val="00DD1691"/>
    <w:rsid w:val="00DD40B6"/>
    <w:rsid w:val="00DD4E53"/>
    <w:rsid w:val="00DD7FC2"/>
    <w:rsid w:val="00DE33FF"/>
    <w:rsid w:val="00DE41F3"/>
    <w:rsid w:val="00DF4DA1"/>
    <w:rsid w:val="00E01C28"/>
    <w:rsid w:val="00E0457D"/>
    <w:rsid w:val="00E0466A"/>
    <w:rsid w:val="00E046D0"/>
    <w:rsid w:val="00E05C22"/>
    <w:rsid w:val="00E10B72"/>
    <w:rsid w:val="00E1626C"/>
    <w:rsid w:val="00E2119F"/>
    <w:rsid w:val="00E21736"/>
    <w:rsid w:val="00E2213D"/>
    <w:rsid w:val="00E339CA"/>
    <w:rsid w:val="00E36DFD"/>
    <w:rsid w:val="00E410B2"/>
    <w:rsid w:val="00E46733"/>
    <w:rsid w:val="00E52DD0"/>
    <w:rsid w:val="00E576D4"/>
    <w:rsid w:val="00E64C9F"/>
    <w:rsid w:val="00E67FA5"/>
    <w:rsid w:val="00E7413C"/>
    <w:rsid w:val="00E74320"/>
    <w:rsid w:val="00E74E2A"/>
    <w:rsid w:val="00E7523E"/>
    <w:rsid w:val="00E764A0"/>
    <w:rsid w:val="00E817E5"/>
    <w:rsid w:val="00E81FDD"/>
    <w:rsid w:val="00E82204"/>
    <w:rsid w:val="00E8264E"/>
    <w:rsid w:val="00E83C46"/>
    <w:rsid w:val="00E91FCD"/>
    <w:rsid w:val="00E92D07"/>
    <w:rsid w:val="00E93B45"/>
    <w:rsid w:val="00E94175"/>
    <w:rsid w:val="00E967E2"/>
    <w:rsid w:val="00E97EF2"/>
    <w:rsid w:val="00EA044B"/>
    <w:rsid w:val="00EA125A"/>
    <w:rsid w:val="00EA456F"/>
    <w:rsid w:val="00EA510F"/>
    <w:rsid w:val="00EA5EE9"/>
    <w:rsid w:val="00EB7191"/>
    <w:rsid w:val="00EC3981"/>
    <w:rsid w:val="00ED2DBD"/>
    <w:rsid w:val="00ED4070"/>
    <w:rsid w:val="00ED44A2"/>
    <w:rsid w:val="00ED5B6F"/>
    <w:rsid w:val="00ED6D0E"/>
    <w:rsid w:val="00ED75A7"/>
    <w:rsid w:val="00EE4D96"/>
    <w:rsid w:val="00EE5764"/>
    <w:rsid w:val="00EF0FD4"/>
    <w:rsid w:val="00EF4283"/>
    <w:rsid w:val="00EF6CB0"/>
    <w:rsid w:val="00F0219F"/>
    <w:rsid w:val="00F022F3"/>
    <w:rsid w:val="00F0461C"/>
    <w:rsid w:val="00F06A80"/>
    <w:rsid w:val="00F078BA"/>
    <w:rsid w:val="00F1191C"/>
    <w:rsid w:val="00F1213B"/>
    <w:rsid w:val="00F1270F"/>
    <w:rsid w:val="00F12DA0"/>
    <w:rsid w:val="00F12E23"/>
    <w:rsid w:val="00F133CB"/>
    <w:rsid w:val="00F160C2"/>
    <w:rsid w:val="00F2098A"/>
    <w:rsid w:val="00F2144A"/>
    <w:rsid w:val="00F225E7"/>
    <w:rsid w:val="00F2603F"/>
    <w:rsid w:val="00F27887"/>
    <w:rsid w:val="00F27E50"/>
    <w:rsid w:val="00F311F0"/>
    <w:rsid w:val="00F42F9A"/>
    <w:rsid w:val="00F43DD0"/>
    <w:rsid w:val="00F449D4"/>
    <w:rsid w:val="00F45011"/>
    <w:rsid w:val="00F4544B"/>
    <w:rsid w:val="00F469E9"/>
    <w:rsid w:val="00F510E9"/>
    <w:rsid w:val="00F51376"/>
    <w:rsid w:val="00F51F1C"/>
    <w:rsid w:val="00F56DA7"/>
    <w:rsid w:val="00F57B2A"/>
    <w:rsid w:val="00F61D62"/>
    <w:rsid w:val="00F645E1"/>
    <w:rsid w:val="00F72549"/>
    <w:rsid w:val="00F74030"/>
    <w:rsid w:val="00F76EFA"/>
    <w:rsid w:val="00F83DBB"/>
    <w:rsid w:val="00F971DA"/>
    <w:rsid w:val="00FA247B"/>
    <w:rsid w:val="00FA758A"/>
    <w:rsid w:val="00FB1C95"/>
    <w:rsid w:val="00FB200A"/>
    <w:rsid w:val="00FB4A4B"/>
    <w:rsid w:val="00FB555B"/>
    <w:rsid w:val="00FC11BC"/>
    <w:rsid w:val="00FC29CE"/>
    <w:rsid w:val="00FC3E88"/>
    <w:rsid w:val="00FC3F4C"/>
    <w:rsid w:val="00FC552D"/>
    <w:rsid w:val="00FC5988"/>
    <w:rsid w:val="00FC63F8"/>
    <w:rsid w:val="00FC65DE"/>
    <w:rsid w:val="00FC7A5A"/>
    <w:rsid w:val="00FD0163"/>
    <w:rsid w:val="00FD21EF"/>
    <w:rsid w:val="00FD6517"/>
    <w:rsid w:val="00FE00D0"/>
    <w:rsid w:val="00FE1BA4"/>
    <w:rsid w:val="00FE40E8"/>
    <w:rsid w:val="00FE58C6"/>
    <w:rsid w:val="00FE615C"/>
    <w:rsid w:val="00FE64A6"/>
    <w:rsid w:val="00FF229D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32C8DF"/>
  <w15:docId w15:val="{531D6C31-CCD3-4604-8CEF-7CDE1489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E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B6E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B6ECD"/>
    <w:rPr>
      <w:sz w:val="22"/>
      <w:szCs w:val="22"/>
    </w:rPr>
  </w:style>
  <w:style w:type="paragraph" w:styleId="FootnoteText">
    <w:name w:val="footnote text"/>
    <w:aliases w:val="fn,FOOTNOTES,single space,ALTS FOOTNOTE,Footnote Text Char1,Footnote Text Char Char,Note de bas de page Car,footnote text,Fodnotetekst Tegn,Fodnotetekst Tegn Char,footnote text Char Char Char,footnote,ADB,f,ft,Texto de rodapé,nota_rodapé"/>
    <w:basedOn w:val="Normal"/>
    <w:link w:val="FootnoteTextChar"/>
    <w:uiPriority w:val="99"/>
    <w:rsid w:val="00110E29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FootnoteTextChar">
    <w:name w:val="Footnote Text Char"/>
    <w:aliases w:val="fn Char,FOOTNOTES Char,single space Char,ALTS FOOTNOTE Char,Footnote Text Char1 Char,Footnote Text Char Char Char,Note de bas de page Car Char,footnote text Char,Fodnotetekst Tegn Char1,Fodnotetekst Tegn Char Char,footnote Char,f Char"/>
    <w:link w:val="FootnoteText"/>
    <w:uiPriority w:val="99"/>
    <w:rsid w:val="00110E29"/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221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DF4DA1"/>
    <w:pPr>
      <w:spacing w:after="0" w:line="280" w:lineRule="atLeast"/>
      <w:jc w:val="both"/>
    </w:pPr>
    <w:rPr>
      <w:rFonts w:ascii="Arial" w:eastAsia="Times New Roman" w:hAnsi="Arial"/>
      <w:sz w:val="16"/>
      <w:szCs w:val="20"/>
      <w:lang w:val="en-GB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E01C28"/>
    <w:pPr>
      <w:ind w:left="720"/>
      <w:contextualSpacing/>
    </w:pPr>
    <w:rPr>
      <w:lang w:val="es-CO"/>
    </w:rPr>
  </w:style>
  <w:style w:type="character" w:customStyle="1" w:styleId="ListParagraphChar">
    <w:name w:val="List Paragraph Char"/>
    <w:link w:val="ListParagraph"/>
    <w:uiPriority w:val="34"/>
    <w:locked/>
    <w:rsid w:val="00CB0208"/>
    <w:rPr>
      <w:sz w:val="22"/>
      <w:szCs w:val="22"/>
      <w:lang w:val="es-CO"/>
    </w:rPr>
  </w:style>
  <w:style w:type="character" w:styleId="FootnoteReference">
    <w:name w:val="footnote reference"/>
    <w:aliases w:val="ftref,16 Point,Superscript 6 Point"/>
    <w:uiPriority w:val="99"/>
    <w:unhideWhenUsed/>
    <w:rsid w:val="00B32010"/>
    <w:rPr>
      <w:vertAlign w:val="superscript"/>
    </w:rPr>
  </w:style>
  <w:style w:type="paragraph" w:customStyle="1" w:styleId="Chapter">
    <w:name w:val="Chapter"/>
    <w:basedOn w:val="Normal"/>
    <w:next w:val="Normal"/>
    <w:rsid w:val="00795640"/>
    <w:pPr>
      <w:keepNext/>
      <w:numPr>
        <w:numId w:val="16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4"/>
      <w:szCs w:val="20"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har"/>
    <w:qFormat/>
    <w:rsid w:val="00795640"/>
    <w:pPr>
      <w:numPr>
        <w:ilvl w:val="1"/>
        <w:numId w:val="16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es-ES"/>
    </w:rPr>
  </w:style>
  <w:style w:type="paragraph" w:customStyle="1" w:styleId="subpar">
    <w:name w:val="subpar"/>
    <w:basedOn w:val="BodyTextIndent3"/>
    <w:rsid w:val="00795640"/>
    <w:pPr>
      <w:numPr>
        <w:ilvl w:val="2"/>
        <w:numId w:val="16"/>
      </w:numPr>
      <w:tabs>
        <w:tab w:val="clear" w:pos="2304"/>
        <w:tab w:val="num" w:pos="360"/>
        <w:tab w:val="num" w:pos="1152"/>
      </w:tabs>
      <w:spacing w:before="120" w:line="240" w:lineRule="auto"/>
      <w:ind w:left="1152" w:hanging="720"/>
      <w:jc w:val="both"/>
      <w:outlineLvl w:val="2"/>
    </w:pPr>
    <w:rPr>
      <w:rFonts w:ascii="Times New Roman" w:eastAsia="Times New Roman" w:hAnsi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795640"/>
    <w:pPr>
      <w:numPr>
        <w:ilvl w:val="3"/>
      </w:numPr>
      <w:tabs>
        <w:tab w:val="clear" w:pos="2736"/>
        <w:tab w:val="left" w:pos="0"/>
        <w:tab w:val="num" w:pos="360"/>
        <w:tab w:val="num" w:pos="1152"/>
        <w:tab w:val="num" w:pos="1296"/>
      </w:tabs>
      <w:ind w:left="1296" w:hanging="720"/>
    </w:pPr>
  </w:style>
  <w:style w:type="character" w:customStyle="1" w:styleId="ParagraphChar">
    <w:name w:val="Paragraph Char"/>
    <w:link w:val="Paragraph"/>
    <w:rsid w:val="00795640"/>
    <w:rPr>
      <w:rFonts w:ascii="Times New Roman" w:eastAsia="Times New Roman" w:hAnsi="Times New Roman"/>
      <w:sz w:val="24"/>
      <w:lang w:val="es-ES" w:eastAsia="en-US"/>
    </w:rPr>
  </w:style>
  <w:style w:type="character" w:customStyle="1" w:styleId="hps">
    <w:name w:val="hps"/>
    <w:basedOn w:val="DefaultParagraphFont"/>
    <w:rsid w:val="0079564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56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5640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56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5640"/>
    <w:rPr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72F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1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9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http://www.cnogas.org.co/documentos/Minminas-Resolucion-40052-18Ene2016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http://www.upme.gov.co/Siel/Siel/Portals/0/Piec/PIEC_2016-2020_PublicarDic202016.pdf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s://www.minminas.gov.co/documents/10180/674559/PAI+PROURE+2016+-+2021_PRELIMINAR.pdf/6a2e3311-10a3-49ef-937e-cb955e632824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Key_x0020_Document xmlns="cdc7663a-08f0-4737-9e8c-148ce897a09c" xsi:nil="true"/>
    <Division_x0020_or_x0020_Unit xmlns="cdc7663a-08f0-4737-9e8c-148ce897a09c" xsi:nil="true"/>
    <Other_x0020_Author xmlns="cdc7663a-08f0-4737-9e8c-148ce897a09c" xsi:nil="true"/>
    <IDBDocs_x0020_Number xmlns="cdc7663a-08f0-4737-9e8c-148ce897a09c" xsi:nil="true"/>
    <Document_x0020_Author xmlns="cdc7663a-08f0-4737-9e8c-148ce897a09c" xsi:nil="true"/>
    <Operation_x0020_Type xmlns="cdc7663a-08f0-4737-9e8c-148ce897a09c" xsi:nil="true"/>
    <TaxCatchAll xmlns="cdc7663a-08f0-4737-9e8c-148ce897a09c"/>
    <Fiscal_x0020_Year_x0020_IDB xmlns="cdc7663a-08f0-4737-9e8c-148ce897a09c" xsi:nil="true"/>
    <Project_x0020_Number xmlns="cdc7663a-08f0-4737-9e8c-148ce897a09c">CO-L1217</Project_x0020_Number>
    <Package_x0020_Code xmlns="cdc7663a-08f0-4737-9e8c-148ce897a09c" xsi:nil="true"/>
    <Migration_x0020_Info xmlns="cdc7663a-08f0-4737-9e8c-148ce897a09c" xsi:nil="true"/>
    <Approval_x0020_Number xmlns="cdc7663a-08f0-4737-9e8c-148ce897a09c" xsi:nil="true"/>
    <Business_x0020_Area xmlns="cdc7663a-08f0-4737-9e8c-148ce897a09c" xsi:nil="true"/>
    <SISCOR_x0020_Number xmlns="cdc7663a-08f0-4737-9e8c-148ce897a09c" xsi:nil="true"/>
    <Identifier xmlns="cdc7663a-08f0-4737-9e8c-148ce897a09c" xsi:nil="true"/>
    <Document_x0020_Language_x0020_IDB xmlns="cdc7663a-08f0-4737-9e8c-148ce897a09c" xsi:nil="true"/>
    <Phase xmlns="cdc7663a-08f0-4737-9e8c-148ce897a09c" xsi:nil="true"/>
    <Access_x0020_to_x0020_Information_x00a0_Policy xmlns="cdc7663a-08f0-4737-9e8c-148ce897a09c">Confidential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/>
    </ic46d7e087fd4a108fb86518ca413cc6>
    <From_x003a_ xmlns="cdc7663a-08f0-4737-9e8c-148ce897a09c" xsi:nil="true"/>
    <e46fe2894295491da65140ffd2369f49 xmlns="cdc7663a-08f0-4737-9e8c-148ce897a09c">
      <Terms xmlns="http://schemas.microsoft.com/office/infopath/2007/PartnerControls"/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To_x003a_ xmlns="cdc7663a-08f0-4737-9e8c-148ce897a09c" xsi:nil="true"/>
    <nddeef1749674d76abdbe4b239a70bc6 xmlns="cdc7663a-08f0-4737-9e8c-148ce897a09c">
      <Terms xmlns="http://schemas.microsoft.com/office/infopath/2007/PartnerControls"/>
    </nddeef1749674d76abdbe4b239a70bc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5DABF23F27B23A47B950CA95C3833BD8" ma:contentTypeVersion="5" ma:contentTypeDescription="The base project type from which other project content types inherit their information." ma:contentTypeScope="" ma:versionID="8047d10134b06004f6ce2e3e89fc4a4c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c4ae8e40f2965d50795c8bf0b96be33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4528-BC17-49AA-8ABB-C348A2022400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D188262C-970E-4CFC-B50C-F3490B11D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D4306-1009-4BDB-AA2E-94E74C22D5B9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8ED9B5F9-9F9A-4AAE-B1DC-C12C33074EB9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235E71A0-4B00-4670-B9D0-B82BF46984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DDC33F-1E32-47A1-9C69-FBBB7FEDA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F847F29-E272-402F-941B-733E17C2D51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BCC4078-3213-4246-8D31-4E55A249F62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C3DC75C-19A0-4C47-86D1-BF2227E2731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38EC3F9-3766-4CA6-8FB3-86F9CDAA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1880</Words>
  <Characters>10719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CO-L1217-Matriz_de_Resultados POD</vt:lpstr>
      <vt:lpstr/>
    </vt:vector>
  </TitlesOfParts>
  <Company>Inter-American Development Bank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CO-L1217-Matriz_de_Resultados POD</dc:title>
  <dc:creator>TeodoroZ</dc:creator>
  <cp:lastModifiedBy>Cardenas Valero, Juan Carlos</cp:lastModifiedBy>
  <cp:revision>4</cp:revision>
  <cp:lastPrinted>2013-12-02T21:23:00Z</cp:lastPrinted>
  <dcterms:created xsi:type="dcterms:W3CDTF">2017-06-21T17:56:00Z</dcterms:created>
  <dcterms:modified xsi:type="dcterms:W3CDTF">2017-10-27T16:53:00Z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0x010100ACF722E9F6B0B149B0CD8BE2560A6672005DABF23F27B23A47B950CA95C3833BD8</vt:lpwstr>
  </property>
  <property fmtid="{D5CDD505-2E9C-101B-9397-08002B2CF9AE}" pid="5" name="TaxKeywordTaxHTField">
    <vt:lpwstr/>
  </property>
  <property fmtid="{D5CDD505-2E9C-101B-9397-08002B2CF9AE}" pid="6" name="Series Operations IDB">
    <vt:lpwstr>-1;#Unclassified|a6dff32e-d477-44cd-a56b-85efe9e0a56c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>27;#Colombia|c7d386d6-75f3-4fc0-bde8-e021ccd68f5c</vt:lpwstr>
  </property>
  <property fmtid="{D5CDD505-2E9C-101B-9397-08002B2CF9AE}" pid="9" name="Fund IDB">
    <vt:lpwstr/>
  </property>
  <property fmtid="{D5CDD505-2E9C-101B-9397-08002B2CF9AE}" pid="10" name="Series_x0020_Operations_x0020_IDB">
    <vt:lpwstr>-1;#Unclassified|a6dff32e-d477-44cd-a56b-85efe9e0a56c</vt:lpwstr>
  </property>
  <property fmtid="{D5CDD505-2E9C-101B-9397-08002B2CF9AE}" pid="11" name="Webtopic">
    <vt:lpwstr/>
  </property>
  <property fmtid="{D5CDD505-2E9C-101B-9397-08002B2CF9AE}" pid="12" name="Sector IDB">
    <vt:lpwstr/>
  </property>
  <property fmtid="{D5CDD505-2E9C-101B-9397-08002B2CF9AE}" pid="13" name="Function Operations IDB">
    <vt:lpwstr>-1;#IDBDocs|cca77002-e150-4b2d-ab1f-1d7a7cdcae16</vt:lpwstr>
  </property>
  <property fmtid="{D5CDD505-2E9C-101B-9397-08002B2CF9AE}" pid="14" name="Publication_x0020_Type">
    <vt:lpwstr/>
  </property>
  <property fmtid="{D5CDD505-2E9C-101B-9397-08002B2CF9AE}" pid="15" name="Publishing_x0020_House">
    <vt:lpwstr/>
  </property>
  <property fmtid="{D5CDD505-2E9C-101B-9397-08002B2CF9AE}" pid="16" name="Abstract">
    <vt:lpwstr/>
  </property>
  <property fmtid="{D5CDD505-2E9C-101B-9397-08002B2CF9AE}" pid="17" name="Disclosure Activity">
    <vt:lpwstr/>
  </property>
  <property fmtid="{D5CDD505-2E9C-101B-9397-08002B2CF9AE}" pid="18" name="Function_x0020_Operations_x0020_IDB">
    <vt:lpwstr>-1;#IDBDocs|cca77002-e150-4b2d-ab1f-1d7a7cdcae16</vt:lpwstr>
  </property>
  <property fmtid="{D5CDD505-2E9C-101B-9397-08002B2CF9AE}" pid="19" name="Region">
    <vt:lpwstr/>
  </property>
  <property fmtid="{D5CDD505-2E9C-101B-9397-08002B2CF9AE}" pid="20" name="Disclosure_x0020_Activity">
    <vt:lpwstr/>
  </property>
  <property fmtid="{D5CDD505-2E9C-101B-9397-08002B2CF9AE}" pid="21" name="Fund_x0020_IDB">
    <vt:lpwstr/>
  </property>
  <property fmtid="{D5CDD505-2E9C-101B-9397-08002B2CF9AE}" pid="22" name="Publishing House">
    <vt:lpwstr/>
  </property>
  <property fmtid="{D5CDD505-2E9C-101B-9397-08002B2CF9AE}" pid="23" name="Disclosed">
    <vt:bool>false</vt:bool>
  </property>
  <property fmtid="{D5CDD505-2E9C-101B-9397-08002B2CF9AE}" pid="24" name="KP Topics">
    <vt:lpwstr/>
  </property>
  <property fmtid="{D5CDD505-2E9C-101B-9397-08002B2CF9AE}" pid="25" name="KP_x0020_Topics">
    <vt:lpwstr/>
  </property>
  <property fmtid="{D5CDD505-2E9C-101B-9397-08002B2CF9AE}" pid="26" name="Editor1">
    <vt:lpwstr/>
  </property>
  <property fmtid="{D5CDD505-2E9C-101B-9397-08002B2CF9AE}" pid="27" name="Sector_x0020_IDB">
    <vt:lpwstr/>
  </property>
  <property fmtid="{D5CDD505-2E9C-101B-9397-08002B2CF9AE}" pid="28" name="Publication Type">
    <vt:lpwstr/>
  </property>
</Properties>
</file>