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7DB8" w14:textId="77777777" w:rsidR="003B5778" w:rsidRDefault="003B5778" w:rsidP="003B577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COLOMBIA</w:t>
      </w:r>
    </w:p>
    <w:p w14:paraId="5E847DB9" w14:textId="77777777" w:rsidR="003B5778" w:rsidRPr="00316A81" w:rsidRDefault="003B5778" w:rsidP="00316A81">
      <w:pPr>
        <w:spacing w:before="40"/>
        <w:jc w:val="center"/>
        <w:rPr>
          <w:rStyle w:val="SubtleReference"/>
          <w:rFonts w:ascii="Arial" w:hAnsi="Arial" w:cs="Arial"/>
          <w:b/>
          <w:color w:val="auto"/>
        </w:rPr>
      </w:pPr>
      <w:r w:rsidRPr="00316A81">
        <w:rPr>
          <w:rStyle w:val="SubtleReference"/>
          <w:rFonts w:ascii="Arial" w:hAnsi="Arial" w:cs="Arial"/>
          <w:b/>
          <w:color w:val="auto"/>
        </w:rPr>
        <w:t xml:space="preserve">Programa </w:t>
      </w:r>
      <w:r w:rsidR="00A12C19" w:rsidRPr="00316A81">
        <w:rPr>
          <w:rStyle w:val="SubtleReference"/>
          <w:rFonts w:ascii="Arial" w:hAnsi="Arial" w:cs="Arial"/>
          <w:b/>
          <w:color w:val="auto"/>
        </w:rPr>
        <w:t xml:space="preserve">Nacional </w:t>
      </w:r>
      <w:r w:rsidRPr="00316A81">
        <w:rPr>
          <w:rStyle w:val="SubtleReference"/>
          <w:rFonts w:ascii="Arial" w:hAnsi="Arial" w:cs="Arial"/>
          <w:b/>
          <w:color w:val="auto"/>
        </w:rPr>
        <w:t xml:space="preserve">para Asegurar un Suministro de Energía Sostenible y Eficiente </w:t>
      </w:r>
    </w:p>
    <w:p w14:paraId="5E847DBA" w14:textId="77777777" w:rsidR="003B5778" w:rsidRDefault="003B5778" w:rsidP="003B577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(CO-L1217)</w:t>
      </w:r>
    </w:p>
    <w:p w14:paraId="5E847DBB" w14:textId="77777777" w:rsidR="00EB1C29" w:rsidRPr="00316A81" w:rsidRDefault="00EB1C29" w:rsidP="00316A81">
      <w:pPr>
        <w:spacing w:before="40"/>
        <w:jc w:val="center"/>
        <w:rPr>
          <w:rStyle w:val="SubtleReference"/>
          <w:rFonts w:ascii="Arial" w:hAnsi="Arial" w:cs="Arial"/>
          <w:b/>
          <w:color w:val="auto"/>
          <w:sz w:val="22"/>
        </w:rPr>
      </w:pPr>
      <w:r w:rsidRPr="00316A81">
        <w:rPr>
          <w:rStyle w:val="SubtleReference"/>
          <w:rFonts w:ascii="Arial" w:hAnsi="Arial" w:cs="Arial"/>
          <w:b/>
          <w:color w:val="auto"/>
          <w:sz w:val="22"/>
        </w:rPr>
        <w:t>Matriz de Medios de Verificación</w:t>
      </w:r>
      <w:bookmarkStart w:id="0" w:name="_GoBack"/>
      <w:bookmarkEnd w:id="0"/>
    </w:p>
    <w:p w14:paraId="5E847DBC" w14:textId="77777777" w:rsidR="00EA784A" w:rsidRPr="00E16074" w:rsidRDefault="003B5778" w:rsidP="00316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rFonts w:ascii="Arial" w:hAnsi="Arial" w:cs="Arial"/>
          <w:lang w:val="es-ES"/>
        </w:rPr>
      </w:pPr>
      <w:r w:rsidRPr="000A66C1">
        <w:rPr>
          <w:rFonts w:ascii="Arial" w:hAnsi="Arial" w:cs="Arial"/>
          <w:b/>
          <w:lang w:val="es-ES"/>
        </w:rPr>
        <w:t>Objetivo</w:t>
      </w:r>
      <w:r w:rsidRPr="000A66C1">
        <w:rPr>
          <w:rFonts w:ascii="Arial" w:hAnsi="Arial" w:cs="Arial"/>
          <w:lang w:val="es-ES"/>
        </w:rPr>
        <w:t xml:space="preserve">: </w:t>
      </w:r>
      <w:r w:rsidR="009A061F" w:rsidRPr="009A061F">
        <w:rPr>
          <w:rFonts w:ascii="Arial" w:hAnsi="Arial" w:cs="Arial"/>
          <w:bCs/>
          <w:lang w:val="es-ES_tradnl"/>
        </w:rPr>
        <w:t xml:space="preserve">El objetivo general es contribuir a la sostenibilidad del sector energético del país a través de un proceso de reformas de políticas que permitan asegurar la oferta eficiente de energía eléctrica en el Sistema Interconectado Nacional (SIN) y las </w:t>
      </w:r>
      <w:r w:rsidR="009A061F">
        <w:rPr>
          <w:rFonts w:ascii="Arial" w:hAnsi="Arial" w:cs="Arial"/>
          <w:bCs/>
          <w:lang w:val="es-ES_tradnl"/>
        </w:rPr>
        <w:t>Zonas No Interconectadas (</w:t>
      </w:r>
      <w:r w:rsidR="009A061F" w:rsidRPr="009A061F">
        <w:rPr>
          <w:rFonts w:ascii="Arial" w:hAnsi="Arial" w:cs="Arial"/>
          <w:bCs/>
          <w:lang w:val="es-ES_tradnl"/>
        </w:rPr>
        <w:t>ZNI</w:t>
      </w:r>
      <w:r w:rsidR="009A061F">
        <w:rPr>
          <w:rFonts w:ascii="Arial" w:hAnsi="Arial" w:cs="Arial"/>
          <w:bCs/>
          <w:lang w:val="es-ES_tradnl"/>
        </w:rPr>
        <w:t>)</w:t>
      </w:r>
      <w:r w:rsidR="009A061F" w:rsidRPr="009A061F">
        <w:rPr>
          <w:rFonts w:ascii="Arial" w:hAnsi="Arial" w:cs="Arial"/>
          <w:bCs/>
          <w:lang w:val="es-ES_tradnl"/>
        </w:rPr>
        <w:t xml:space="preserve">, a fin de reducir la vulnerabilidad del sector frente a los efectos del cambio climático y aumentar el acceso eléctrico. Los objetivos específicos son: (i) asegurar un contexto macroeconómico congruente con los objetivos del programa; (ii) contribuir a garantizar el abastecimiento de energía del SIN mediante la diversificación de la matriz energética con </w:t>
      </w:r>
      <w:r w:rsidR="009A061F" w:rsidRPr="009A061F">
        <w:rPr>
          <w:rFonts w:ascii="Arial" w:hAnsi="Arial" w:cs="Arial"/>
          <w:bCs/>
          <w:lang w:val="es-ES"/>
        </w:rPr>
        <w:t>Fuentes No Convencionales de Energía Renovable (</w:t>
      </w:r>
      <w:r w:rsidR="009A061F" w:rsidRPr="009A061F">
        <w:rPr>
          <w:rFonts w:ascii="Arial" w:hAnsi="Arial" w:cs="Arial"/>
          <w:bCs/>
          <w:lang w:val="es-ES_tradnl"/>
        </w:rPr>
        <w:t xml:space="preserve">FNCER) y el incremento de los intercambios energía a nivel internacional; y establecer medidas que permitan aumentar y garantizar la oferta de GN para generación, administrar la demanda energética y optimizar el funcionamiento del </w:t>
      </w:r>
      <w:r w:rsidR="009A061F">
        <w:rPr>
          <w:rFonts w:ascii="Arial" w:hAnsi="Arial" w:cs="Arial"/>
          <w:bCs/>
          <w:lang w:val="es-ES_tradnl"/>
        </w:rPr>
        <w:t>Mercado Eléctrico Mayorista (</w:t>
      </w:r>
      <w:r w:rsidR="009A061F" w:rsidRPr="009A061F">
        <w:rPr>
          <w:rFonts w:ascii="Arial" w:hAnsi="Arial" w:cs="Arial"/>
          <w:bCs/>
          <w:lang w:val="es-ES_tradnl"/>
        </w:rPr>
        <w:t>MEM</w:t>
      </w:r>
      <w:r w:rsidR="009A061F">
        <w:rPr>
          <w:rFonts w:ascii="Arial" w:hAnsi="Arial" w:cs="Arial"/>
          <w:bCs/>
          <w:lang w:val="es-ES_tradnl"/>
        </w:rPr>
        <w:t>)</w:t>
      </w:r>
      <w:r w:rsidR="009A061F" w:rsidRPr="009A061F">
        <w:rPr>
          <w:rFonts w:ascii="Arial" w:hAnsi="Arial" w:cs="Arial"/>
          <w:bCs/>
          <w:lang w:val="es-ES_tradnl"/>
        </w:rPr>
        <w:t>; y (iii) promover el acceso a la energía en las ZNI mediante el uso de FNCER</w:t>
      </w:r>
      <w:r w:rsidR="009A6BB1" w:rsidRPr="009A6BB1">
        <w:rPr>
          <w:rFonts w:ascii="Arial" w:hAnsi="Arial" w:cs="Arial"/>
          <w:bCs/>
          <w:lang w:val="es-E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6"/>
        <w:gridCol w:w="4200"/>
        <w:gridCol w:w="2876"/>
        <w:gridCol w:w="3394"/>
      </w:tblGrid>
      <w:tr w:rsidR="003A2977" w:rsidRPr="006D5023" w14:paraId="5E847DC3" w14:textId="77777777" w:rsidTr="00316A81">
        <w:trPr>
          <w:tblHeader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47DBD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16074">
              <w:rPr>
                <w:rFonts w:ascii="Arial" w:hAnsi="Arial" w:cs="Arial"/>
                <w:b/>
                <w:lang w:val="es-ES"/>
              </w:rPr>
              <w:t>Objetivos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47DBE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16074">
              <w:rPr>
                <w:rFonts w:ascii="Arial" w:hAnsi="Arial" w:cs="Arial"/>
                <w:b/>
                <w:lang w:val="es-ES"/>
              </w:rPr>
              <w:t>Compromisos</w:t>
            </w:r>
          </w:p>
          <w:p w14:paraId="5E847DBF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16074">
              <w:rPr>
                <w:rFonts w:ascii="Arial" w:hAnsi="Arial" w:cs="Arial"/>
                <w:b/>
                <w:lang w:val="es-ES"/>
              </w:rPr>
              <w:t>Programático 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847DC0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Medios de Verificación</w:t>
            </w:r>
            <w:r w:rsidR="00982BA2">
              <w:rPr>
                <w:rFonts w:ascii="Arial" w:hAnsi="Arial" w:cs="Arial"/>
                <w:b/>
                <w:lang w:val="es-ES"/>
              </w:rPr>
              <w:t>/Responsable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47DC1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16074">
              <w:rPr>
                <w:rFonts w:ascii="Arial" w:hAnsi="Arial" w:cs="Arial"/>
                <w:b/>
                <w:lang w:val="es-ES"/>
              </w:rPr>
              <w:t>Mecanismos Activadores</w:t>
            </w:r>
          </w:p>
          <w:p w14:paraId="5E847DC2" w14:textId="77777777" w:rsidR="003A2977" w:rsidRPr="00E16074" w:rsidRDefault="003A2977" w:rsidP="00E1607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16074">
              <w:rPr>
                <w:rFonts w:ascii="Arial" w:hAnsi="Arial" w:cs="Arial"/>
                <w:b/>
                <w:lang w:val="es-ES"/>
              </w:rPr>
              <w:t>Programático II</w:t>
            </w:r>
          </w:p>
        </w:tc>
      </w:tr>
      <w:tr w:rsidR="009A6BB1" w:rsidRPr="00FD2D38" w14:paraId="5E847DC5" w14:textId="77777777" w:rsidTr="00316A81">
        <w:tc>
          <w:tcPr>
            <w:tcW w:w="13248" w:type="dxa"/>
            <w:gridSpan w:val="4"/>
            <w:shd w:val="clear" w:color="auto" w:fill="D9D9D9" w:themeFill="background1" w:themeFillShade="D9"/>
            <w:vAlign w:val="center"/>
          </w:tcPr>
          <w:p w14:paraId="5E847DC4" w14:textId="77777777" w:rsidR="009A6BB1" w:rsidRPr="001D11D7" w:rsidRDefault="009A6BB1" w:rsidP="001D11D7">
            <w:pPr>
              <w:spacing w:before="120" w:after="120"/>
              <w:ind w:left="360"/>
              <w:rPr>
                <w:rFonts w:ascii="Arial" w:hAnsi="Arial" w:cs="Arial"/>
                <w:b/>
                <w:lang w:val="es-ES"/>
              </w:rPr>
            </w:pPr>
            <w:r w:rsidRPr="001D11D7">
              <w:rPr>
                <w:rFonts w:ascii="Arial" w:hAnsi="Arial" w:cs="Arial"/>
                <w:b/>
                <w:bCs/>
                <w:lang w:val="es-ES"/>
              </w:rPr>
              <w:t>Componente I. Estabilidad macroeconómica</w:t>
            </w:r>
            <w:r w:rsidRPr="001D11D7">
              <w:rPr>
                <w:rFonts w:ascii="Arial" w:hAnsi="Arial" w:cs="Arial"/>
                <w:bCs/>
                <w:lang w:val="es-ES"/>
              </w:rPr>
              <w:t xml:space="preserve">. </w:t>
            </w:r>
          </w:p>
        </w:tc>
      </w:tr>
      <w:tr w:rsidR="007849A2" w:rsidRPr="00316A81" w14:paraId="5E847DCA" w14:textId="77777777" w:rsidTr="00316A81">
        <w:tc>
          <w:tcPr>
            <w:tcW w:w="2718" w:type="dxa"/>
            <w:tcBorders>
              <w:bottom w:val="single" w:sz="4" w:space="0" w:color="auto"/>
            </w:tcBorders>
          </w:tcPr>
          <w:p w14:paraId="5E847DC6" w14:textId="2825B3A0" w:rsidR="007849A2" w:rsidRPr="001C6067" w:rsidRDefault="007849A2" w:rsidP="007849A2">
            <w:pPr>
              <w:rPr>
                <w:rFonts w:ascii="Arial" w:hAnsi="Arial" w:cs="Arial"/>
                <w:b/>
                <w:highlight w:val="yellow"/>
                <w:lang w:val="es-ES"/>
              </w:rPr>
            </w:pPr>
            <w:r w:rsidRPr="009F5CE1">
              <w:rPr>
                <w:rFonts w:ascii="Arial" w:hAnsi="Arial" w:cs="Arial"/>
                <w:b/>
                <w:lang w:val="es-ES"/>
              </w:rPr>
              <w:t xml:space="preserve">I. Estabilidad del Marco General de Políticas </w:t>
            </w:r>
            <w:r w:rsidR="0015368F" w:rsidRPr="009F5CE1">
              <w:rPr>
                <w:rFonts w:ascii="Arial" w:hAnsi="Arial" w:cs="Arial"/>
                <w:b/>
                <w:lang w:val="es-ES"/>
              </w:rPr>
              <w:t>Macroeconómicas</w:t>
            </w:r>
            <w:r w:rsidRPr="009F5CE1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DC7" w14:textId="77777777" w:rsidR="007849A2" w:rsidRPr="001C6067" w:rsidRDefault="007849A2" w:rsidP="007849A2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9F5CE1">
              <w:rPr>
                <w:rFonts w:ascii="Arial" w:hAnsi="Arial" w:cs="Arial"/>
                <w:lang w:val="es-ES"/>
              </w:rPr>
              <w:t xml:space="preserve">Marco macroeconómico estable y conducente al logro de los objetivos del programa y </w:t>
            </w:r>
            <w:r w:rsidR="00C30A28">
              <w:rPr>
                <w:rFonts w:ascii="Arial" w:hAnsi="Arial" w:cs="Arial"/>
                <w:lang w:val="es-ES"/>
              </w:rPr>
              <w:t xml:space="preserve">a </w:t>
            </w:r>
            <w:r w:rsidRPr="009F5CE1">
              <w:rPr>
                <w:rFonts w:ascii="Arial" w:hAnsi="Arial" w:cs="Arial"/>
                <w:lang w:val="es-ES"/>
              </w:rPr>
              <w:t>los lineamientos establecidos en la Carta de Política Sectorial.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DC8" w14:textId="5FA7C12C" w:rsidR="00C267D9" w:rsidRPr="008E73E1" w:rsidRDefault="00E109F1" w:rsidP="00E109F1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Evaluación Independiente de Condiciones </w:t>
            </w:r>
            <w:r w:rsidR="0015368F">
              <w:rPr>
                <w:rFonts w:ascii="Arial" w:hAnsi="Arial" w:cs="Arial"/>
                <w:lang w:val="es-ES"/>
              </w:rPr>
              <w:t>Macroeconómicas</w:t>
            </w:r>
            <w:r>
              <w:rPr>
                <w:rFonts w:ascii="Arial" w:hAnsi="Arial" w:cs="Arial"/>
                <w:lang w:val="es-ES"/>
              </w:rPr>
              <w:t xml:space="preserve"> vigente al momento de solicitar el desembolso.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DC9" w14:textId="77777777" w:rsidR="007849A2" w:rsidRPr="001C6067" w:rsidRDefault="007849A2" w:rsidP="007849A2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9F5CE1">
              <w:rPr>
                <w:rFonts w:ascii="Arial" w:hAnsi="Arial" w:cs="Arial"/>
                <w:lang w:val="es-ES"/>
              </w:rPr>
              <w:t>Marco macroeconómico estable y conducente al logro de los objetivos del programa y los lineamientos establecidos en la Carta de Política Sectorial.</w:t>
            </w:r>
          </w:p>
        </w:tc>
      </w:tr>
      <w:tr w:rsidR="009A6BB1" w:rsidRPr="00316A81" w14:paraId="5E847DCC" w14:textId="77777777" w:rsidTr="00316A81">
        <w:trPr>
          <w:trHeight w:val="278"/>
        </w:trPr>
        <w:tc>
          <w:tcPr>
            <w:tcW w:w="13248" w:type="dxa"/>
            <w:gridSpan w:val="4"/>
            <w:shd w:val="clear" w:color="auto" w:fill="D9D9D9" w:themeFill="background1" w:themeFillShade="D9"/>
            <w:vAlign w:val="center"/>
          </w:tcPr>
          <w:p w14:paraId="5E847DCB" w14:textId="77777777" w:rsidR="009A6BB1" w:rsidRPr="001D11D7" w:rsidRDefault="009A6BB1" w:rsidP="00DA73F3">
            <w:pPr>
              <w:ind w:left="360"/>
              <w:rPr>
                <w:rFonts w:ascii="Arial" w:hAnsi="Arial" w:cs="Arial"/>
                <w:b/>
                <w:bCs/>
                <w:lang w:val="es-ES"/>
              </w:rPr>
            </w:pPr>
            <w:r w:rsidRPr="001D11D7">
              <w:rPr>
                <w:rFonts w:ascii="Arial" w:hAnsi="Arial" w:cs="Arial"/>
                <w:b/>
                <w:bCs/>
                <w:lang w:val="es-ES"/>
              </w:rPr>
              <w:t xml:space="preserve">Componente 2. </w:t>
            </w:r>
            <w:r w:rsidR="009A061F" w:rsidRPr="009A061F">
              <w:rPr>
                <w:rFonts w:ascii="Arial" w:hAnsi="Arial" w:cs="Arial"/>
                <w:b/>
                <w:bCs/>
                <w:lang w:val="es-ES_tradnl"/>
              </w:rPr>
              <w:t xml:space="preserve">Apoyo a la confiabilidad del abastecimiento eléctrico del </w:t>
            </w:r>
            <w:r w:rsidR="009A061F">
              <w:rPr>
                <w:rFonts w:ascii="Arial" w:hAnsi="Arial" w:cs="Arial"/>
                <w:b/>
                <w:bCs/>
                <w:lang w:val="es-ES_tradnl"/>
              </w:rPr>
              <w:t>Sistema Interconectado Nacional (</w:t>
            </w:r>
            <w:r w:rsidR="009A061F" w:rsidRPr="009A061F">
              <w:rPr>
                <w:rFonts w:ascii="Arial" w:hAnsi="Arial" w:cs="Arial"/>
                <w:b/>
                <w:bCs/>
                <w:lang w:val="es-ES_tradnl"/>
              </w:rPr>
              <w:t>SIN</w:t>
            </w:r>
            <w:r w:rsidR="009A061F">
              <w:rPr>
                <w:rFonts w:ascii="Arial" w:hAnsi="Arial" w:cs="Arial"/>
                <w:b/>
                <w:bCs/>
                <w:lang w:val="es-ES_tradnl"/>
              </w:rPr>
              <w:t>)</w:t>
            </w:r>
          </w:p>
        </w:tc>
      </w:tr>
      <w:tr w:rsidR="00DA73F3" w:rsidRPr="00316A81" w14:paraId="5E847DCE" w14:textId="77777777" w:rsidTr="00316A81">
        <w:trPr>
          <w:trHeight w:val="305"/>
        </w:trPr>
        <w:tc>
          <w:tcPr>
            <w:tcW w:w="13248" w:type="dxa"/>
            <w:gridSpan w:val="4"/>
            <w:shd w:val="clear" w:color="auto" w:fill="D9D9D9" w:themeFill="background1" w:themeFillShade="D9"/>
            <w:vAlign w:val="center"/>
          </w:tcPr>
          <w:p w14:paraId="5E847DCD" w14:textId="77777777" w:rsidR="00DA73F3" w:rsidRPr="001D11D7" w:rsidRDefault="00DA73F3" w:rsidP="00DA73F3">
            <w:pPr>
              <w:ind w:left="720"/>
              <w:rPr>
                <w:rFonts w:ascii="Arial" w:hAnsi="Arial" w:cs="Arial"/>
                <w:b/>
                <w:bCs/>
                <w:lang w:val="es-ES"/>
              </w:rPr>
            </w:pPr>
            <w:r w:rsidRPr="00DA73F3">
              <w:rPr>
                <w:rFonts w:ascii="Arial" w:hAnsi="Arial" w:cs="Arial"/>
                <w:b/>
                <w:bCs/>
                <w:lang w:val="es-ES_tradnl"/>
              </w:rPr>
              <w:t>Subcomponente 2.1. Apoyo a la diversificación de la matriz energética y a la integración eléctrica regional</w:t>
            </w:r>
          </w:p>
        </w:tc>
      </w:tr>
      <w:tr w:rsidR="00275BB3" w:rsidRPr="00316A81" w14:paraId="5E847DD2" w14:textId="77777777" w:rsidTr="00316A81">
        <w:trPr>
          <w:trHeight w:val="269"/>
        </w:trPr>
        <w:tc>
          <w:tcPr>
            <w:tcW w:w="2718" w:type="dxa"/>
            <w:vMerge w:val="restart"/>
          </w:tcPr>
          <w:p w14:paraId="5E847DCF" w14:textId="77777777" w:rsidR="00275BB3" w:rsidRPr="00766CBF" w:rsidRDefault="00275BB3" w:rsidP="00C4777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A6BB1">
              <w:rPr>
                <w:rFonts w:ascii="Arial" w:hAnsi="Arial" w:cs="Arial"/>
                <w:b/>
                <w:lang w:val="es-ES_tradnl"/>
              </w:rPr>
              <w:t xml:space="preserve">Contribuir a garantizar el abastecimiento de energía mediante la diversificación de la matriz energética con FNCER y el incremento de los intercambios energía a nivel internacional. </w:t>
            </w:r>
          </w:p>
          <w:p w14:paraId="5E847DD0" w14:textId="77777777" w:rsidR="00275BB3" w:rsidRPr="009A6BB1" w:rsidRDefault="00275BB3" w:rsidP="001309F5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530" w:type="dxa"/>
            <w:gridSpan w:val="3"/>
          </w:tcPr>
          <w:p w14:paraId="5E847DD1" w14:textId="77777777" w:rsidR="00275BB3" w:rsidRPr="00CE4FCE" w:rsidRDefault="00275BB3" w:rsidP="00C267D9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CE4FCE">
              <w:rPr>
                <w:rFonts w:ascii="Arial" w:hAnsi="Arial" w:cs="Arial"/>
                <w:b/>
                <w:lang w:val="es-ES"/>
              </w:rPr>
              <w:t>Fuentes No Convencionales de Energía Renovable (FNCER)</w:t>
            </w:r>
          </w:p>
        </w:tc>
      </w:tr>
      <w:tr w:rsidR="00275BB3" w:rsidRPr="00316A81" w14:paraId="5E847DDB" w14:textId="77777777" w:rsidTr="00316A81">
        <w:tc>
          <w:tcPr>
            <w:tcW w:w="2718" w:type="dxa"/>
            <w:vMerge/>
          </w:tcPr>
          <w:p w14:paraId="5E847DD3" w14:textId="77777777" w:rsidR="00275BB3" w:rsidRDefault="00275BB3" w:rsidP="001309F5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30" w:type="dxa"/>
          </w:tcPr>
          <w:p w14:paraId="5E847DD4" w14:textId="26FA57A2" w:rsidR="00275BB3" w:rsidRPr="00275BB3" w:rsidRDefault="00275BB3" w:rsidP="00275BB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</w:pP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Reglamentación de la Ley 1715 de 2014</w:t>
            </w:r>
            <w:r w:rsidR="00F72691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 xml:space="preserve"> (cuyo </w:t>
            </w:r>
            <w:r w:rsidR="00F72691" w:rsidRPr="00DA71F0">
              <w:rPr>
                <w:rFonts w:ascii="Arial" w:hAnsi="Arial" w:cs="Arial"/>
                <w:color w:val="auto"/>
                <w:sz w:val="20"/>
                <w:szCs w:val="20"/>
                <w:lang w:val="es-ES_tradnl" w:eastAsia="en-US"/>
              </w:rPr>
              <w:t>objeto</w:t>
            </w:r>
            <w:r w:rsidR="00F72691">
              <w:rPr>
                <w:rFonts w:ascii="Arial" w:hAnsi="Arial" w:cs="Arial"/>
                <w:color w:val="auto"/>
                <w:sz w:val="20"/>
                <w:szCs w:val="20"/>
                <w:lang w:val="es-ES_tradnl" w:eastAsia="en-US"/>
              </w:rPr>
              <w:t xml:space="preserve"> es</w:t>
            </w:r>
            <w:r w:rsidR="00F72691" w:rsidRPr="00DA71F0">
              <w:rPr>
                <w:rFonts w:ascii="Arial" w:hAnsi="Arial" w:cs="Arial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="00F72691" w:rsidRPr="00DA71F0">
              <w:rPr>
                <w:rFonts w:ascii="Arial" w:hAnsi="Arial" w:cs="Arial"/>
                <w:bCs/>
                <w:color w:val="auto"/>
                <w:sz w:val="20"/>
                <w:szCs w:val="20"/>
                <w:lang w:val="es-ES_tradnl" w:eastAsia="en-US"/>
              </w:rPr>
              <w:t>promover el desarrollo y la utilización de fuentes no convencionales de energía renovable</w:t>
            </w:r>
            <w:r w:rsidR="00F72691">
              <w:rPr>
                <w:rFonts w:ascii="Arial" w:hAnsi="Arial" w:cs="Arial"/>
                <w:bCs/>
                <w:color w:val="auto"/>
                <w:sz w:val="20"/>
                <w:szCs w:val="20"/>
                <w:lang w:val="es-ES_tradnl" w:eastAsia="en-US"/>
              </w:rPr>
              <w:t>, FNCER</w:t>
            </w:r>
            <w:r w:rsidR="00F72691" w:rsidRPr="00DA71F0">
              <w:rPr>
                <w:rFonts w:ascii="Arial" w:hAnsi="Arial" w:cs="Arial"/>
                <w:color w:val="auto"/>
                <w:sz w:val="20"/>
                <w:szCs w:val="20"/>
                <w:lang w:val="es-ES_tradnl" w:eastAsia="en-US"/>
              </w:rPr>
              <w:t xml:space="preserve"> en el sistema energético nacional</w:t>
            </w:r>
            <w:r w:rsidR="00F72691">
              <w:rPr>
                <w:rFonts w:ascii="Arial" w:hAnsi="Arial" w:cs="Arial"/>
                <w:color w:val="auto"/>
                <w:sz w:val="20"/>
                <w:szCs w:val="20"/>
                <w:lang w:val="es-ES_tradnl" w:eastAsia="en-US"/>
              </w:rPr>
              <w:t>)</w:t>
            </w: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 xml:space="preserve">, </w:t>
            </w:r>
            <w:r w:rsidR="002D3725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para</w:t>
            </w: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:</w:t>
            </w:r>
          </w:p>
          <w:p w14:paraId="5E847DD5" w14:textId="77777777" w:rsidR="00275BB3" w:rsidRPr="001D11D7" w:rsidRDefault="00E12100" w:rsidP="00877C8F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275BB3" w:rsidRPr="001D11D7">
              <w:rPr>
                <w:rFonts w:ascii="Arial" w:hAnsi="Arial" w:cs="Arial"/>
                <w:lang w:val="es-ES"/>
              </w:rPr>
              <w:t xml:space="preserve">efinición de los lineamientos para la </w:t>
            </w:r>
            <w:r w:rsidR="00275BB3">
              <w:rPr>
                <w:rFonts w:ascii="Arial" w:hAnsi="Arial" w:cs="Arial"/>
                <w:lang w:val="es-ES"/>
              </w:rPr>
              <w:t>a</w:t>
            </w:r>
            <w:r w:rsidR="00275BB3" w:rsidRPr="001D11D7">
              <w:rPr>
                <w:rFonts w:ascii="Arial" w:hAnsi="Arial" w:cs="Arial"/>
                <w:lang w:val="es-ES"/>
              </w:rPr>
              <w:t>plicación de los “Incentivos</w:t>
            </w:r>
            <w:r w:rsidR="00275BB3">
              <w:rPr>
                <w:rFonts w:ascii="Arial" w:hAnsi="Arial" w:cs="Arial"/>
                <w:lang w:val="es-ES"/>
              </w:rPr>
              <w:t xml:space="preserve"> </w:t>
            </w:r>
            <w:r w:rsidR="00275BB3" w:rsidRPr="001D11D7">
              <w:rPr>
                <w:rFonts w:ascii="Arial" w:hAnsi="Arial" w:cs="Arial"/>
                <w:lang w:val="es-ES"/>
              </w:rPr>
              <w:t>a la inversión en proyectos de Fuentes No Convencionales de Energía (FNCE)”</w:t>
            </w:r>
            <w:r>
              <w:rPr>
                <w:rFonts w:ascii="Arial" w:hAnsi="Arial" w:cs="Arial"/>
                <w:lang w:val="es-ES"/>
              </w:rPr>
              <w:t xml:space="preserve"> (</w:t>
            </w:r>
            <w:r w:rsidRPr="001D11D7">
              <w:rPr>
                <w:rFonts w:ascii="Arial" w:hAnsi="Arial" w:cs="Arial"/>
                <w:lang w:val="es-ES"/>
              </w:rPr>
              <w:t>Capítulo III de la Ley 1715 de 2014</w:t>
            </w:r>
            <w:r>
              <w:rPr>
                <w:rFonts w:ascii="Arial" w:hAnsi="Arial" w:cs="Arial"/>
                <w:lang w:val="es-ES"/>
              </w:rPr>
              <w:t>).</w:t>
            </w:r>
          </w:p>
        </w:tc>
        <w:tc>
          <w:tcPr>
            <w:tcW w:w="2880" w:type="dxa"/>
          </w:tcPr>
          <w:p w14:paraId="5E847DD6" w14:textId="1F8977D9" w:rsidR="00275BB3" w:rsidRPr="00A633A4" w:rsidRDefault="00BF305C" w:rsidP="00275BB3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171BEB" w:rsidRPr="00A633A4">
              <w:rPr>
                <w:rFonts w:ascii="Arial" w:hAnsi="Arial" w:cs="Arial"/>
                <w:lang w:val="es-ES_tradnl"/>
              </w:rPr>
              <w:t>Departamento Nacional de Planeación</w:t>
            </w:r>
            <w:r w:rsidRPr="00A633A4">
              <w:rPr>
                <w:rFonts w:ascii="Arial" w:hAnsi="Arial" w:cs="Arial"/>
                <w:lang w:val="es-ES_tradnl"/>
              </w:rPr>
              <w:t xml:space="preserve"> (</w:t>
            </w:r>
            <w:r w:rsidR="00171BEB" w:rsidRPr="00A633A4">
              <w:rPr>
                <w:rFonts w:ascii="Arial" w:hAnsi="Arial" w:cs="Arial"/>
                <w:lang w:val="es-ES_tradnl"/>
              </w:rPr>
              <w:t>DNP</w:t>
            </w:r>
            <w:r w:rsidRPr="00A633A4">
              <w:rPr>
                <w:rFonts w:ascii="Arial" w:hAnsi="Arial" w:cs="Arial"/>
                <w:lang w:val="es-ES_tradnl"/>
              </w:rPr>
              <w:t xml:space="preserve">) remitiendo </w:t>
            </w:r>
            <w:r w:rsidR="00171BEB" w:rsidRPr="00A633A4">
              <w:rPr>
                <w:rFonts w:ascii="Arial" w:hAnsi="Arial" w:cs="Arial"/>
                <w:lang w:val="es-ES_tradnl"/>
              </w:rPr>
              <w:t>d</w:t>
            </w:r>
            <w:r w:rsidRPr="00A633A4">
              <w:rPr>
                <w:rFonts w:ascii="Arial" w:hAnsi="Arial" w:cs="Arial"/>
                <w:lang w:val="es-ES_tradnl"/>
              </w:rPr>
              <w:t xml:space="preserve">el </w:t>
            </w:r>
            <w:r w:rsidR="008F59B3" w:rsidRPr="00A633A4">
              <w:rPr>
                <w:rFonts w:ascii="Arial" w:hAnsi="Arial" w:cs="Arial"/>
                <w:lang w:val="es-ES_tradnl"/>
              </w:rPr>
              <w:t>Decreto No. 2143 de 2015</w:t>
            </w:r>
            <w:r w:rsidRPr="00A633A4">
              <w:rPr>
                <w:rFonts w:ascii="Arial" w:hAnsi="Arial" w:cs="Arial"/>
                <w:lang w:val="es-ES_tradnl"/>
              </w:rPr>
              <w:t xml:space="preserve">, que define los lineamientos para la aplicación de los incentivos establecidos en el </w:t>
            </w:r>
            <w:r w:rsidRPr="00A633A4">
              <w:rPr>
                <w:rFonts w:ascii="Arial" w:hAnsi="Arial" w:cs="Arial"/>
                <w:lang w:val="es-ES"/>
              </w:rPr>
              <w:t>Capítulo III de la Ley 1715 de 2014.</w:t>
            </w:r>
          </w:p>
          <w:p w14:paraId="5E847DD7" w14:textId="77777777" w:rsidR="00275BB3" w:rsidRPr="001D11D7" w:rsidRDefault="00275BB3" w:rsidP="00380F5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20" w:type="dxa"/>
          </w:tcPr>
          <w:p w14:paraId="5E847DD8" w14:textId="77777777" w:rsidR="00275BB3" w:rsidRPr="00275BB3" w:rsidRDefault="00275BB3" w:rsidP="00275BB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</w:pP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Reglamentación</w:t>
            </w:r>
            <w:r w:rsidR="002D3725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 xml:space="preserve"> adicional</w:t>
            </w: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 xml:space="preserve"> de la Ley 1715 de 2014, </w:t>
            </w:r>
            <w:r w:rsidR="002D3725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para</w:t>
            </w:r>
            <w:r w:rsidRPr="00275BB3"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  <w:t>:</w:t>
            </w:r>
          </w:p>
          <w:p w14:paraId="5E847DD9" w14:textId="77777777" w:rsidR="00275BB3" w:rsidRPr="00E9163C" w:rsidRDefault="00E12100" w:rsidP="00877C8F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Implementación y puesta en marcha de un s</w:t>
            </w:r>
            <w:r w:rsidR="00275BB3" w:rsidRPr="00E9163C">
              <w:rPr>
                <w:rFonts w:ascii="Arial" w:hAnsi="Arial" w:cs="Arial"/>
                <w:lang w:val="es-ES"/>
              </w:rPr>
              <w:t>istema informático para realizar los trámites de incentivos contenidos en la Ley 1715 de 2014.</w:t>
            </w:r>
          </w:p>
          <w:p w14:paraId="5E847DDA" w14:textId="77777777" w:rsidR="00275BB3" w:rsidRPr="00656C69" w:rsidRDefault="00E12100" w:rsidP="00877C8F">
            <w:pPr>
              <w:pStyle w:val="ListParagraph"/>
              <w:numPr>
                <w:ilvl w:val="0"/>
                <w:numId w:val="40"/>
              </w:numPr>
              <w:tabs>
                <w:tab w:val="left" w:pos="3012"/>
              </w:tabs>
              <w:spacing w:before="60"/>
              <w:ind w:left="260" w:hanging="274"/>
              <w:contextualSpacing w:val="0"/>
              <w:jc w:val="both"/>
              <w:rPr>
                <w:lang w:val="es-ES"/>
              </w:rPr>
            </w:pPr>
            <w:r w:rsidRPr="00E12100">
              <w:rPr>
                <w:rFonts w:ascii="Arial" w:hAnsi="Arial" w:cs="Arial"/>
                <w:lang w:val="es-ES"/>
              </w:rPr>
              <w:t>Reglamentación del Fondo de Energías No Convencionales y Gestión de la Energía (FENOGE).</w:t>
            </w:r>
          </w:p>
        </w:tc>
      </w:tr>
      <w:tr w:rsidR="00540F60" w:rsidRPr="00316A81" w14:paraId="5E847DE0" w14:textId="77777777" w:rsidTr="00316A81">
        <w:tc>
          <w:tcPr>
            <w:tcW w:w="2718" w:type="dxa"/>
            <w:vMerge/>
          </w:tcPr>
          <w:p w14:paraId="5E847DDC" w14:textId="77777777" w:rsidR="00540F60" w:rsidRDefault="00540F60" w:rsidP="001309F5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30" w:type="dxa"/>
          </w:tcPr>
          <w:p w14:paraId="5E847DDD" w14:textId="77777777" w:rsidR="00540F60" w:rsidRPr="00275BB3" w:rsidRDefault="00540F60" w:rsidP="00275BB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</w:pPr>
          </w:p>
        </w:tc>
        <w:tc>
          <w:tcPr>
            <w:tcW w:w="2880" w:type="dxa"/>
          </w:tcPr>
          <w:p w14:paraId="5E847DDE" w14:textId="77777777" w:rsidR="00540F60" w:rsidRDefault="00540F60" w:rsidP="00275BB3">
            <w:pPr>
              <w:jc w:val="both"/>
              <w:rPr>
                <w:rFonts w:ascii="Arial" w:hAnsi="Arial" w:cs="Arial"/>
                <w:b/>
                <w:color w:val="0000FF"/>
                <w:lang w:val="es-ES_tradnl"/>
              </w:rPr>
            </w:pPr>
          </w:p>
        </w:tc>
        <w:tc>
          <w:tcPr>
            <w:tcW w:w="3420" w:type="dxa"/>
          </w:tcPr>
          <w:p w14:paraId="5E847DDF" w14:textId="77777777" w:rsidR="00540F60" w:rsidRPr="00EB1C29" w:rsidRDefault="00540F60" w:rsidP="00275BB3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 w:eastAsia="en-US"/>
              </w:rPr>
            </w:pPr>
            <w:r w:rsidRPr="00877C8F">
              <w:rPr>
                <w:rFonts w:ascii="Arial" w:hAnsi="Arial" w:cs="Arial"/>
                <w:sz w:val="20"/>
                <w:szCs w:val="20"/>
                <w:lang w:val="es-ES"/>
              </w:rPr>
              <w:t>Que el FENOGE se encuentre en funcionamiento y con los recursos financieros asignados.</w:t>
            </w:r>
          </w:p>
        </w:tc>
      </w:tr>
      <w:tr w:rsidR="00275BB3" w:rsidRPr="00316A81" w14:paraId="5E847DE5" w14:textId="77777777" w:rsidTr="00316A81">
        <w:tc>
          <w:tcPr>
            <w:tcW w:w="2718" w:type="dxa"/>
            <w:vMerge/>
          </w:tcPr>
          <w:p w14:paraId="5E847DE1" w14:textId="77777777" w:rsidR="00275BB3" w:rsidRDefault="00275BB3" w:rsidP="001309F5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30" w:type="dxa"/>
          </w:tcPr>
          <w:p w14:paraId="5E847DE2" w14:textId="77777777" w:rsidR="00275BB3" w:rsidRPr="00F078AC" w:rsidRDefault="00D56E40" w:rsidP="00877C8F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Arial" w:hAnsi="Arial" w:cs="Arial"/>
                <w:lang w:val="es-ES"/>
              </w:rPr>
            </w:pPr>
            <w:r w:rsidRPr="00877C8F">
              <w:rPr>
                <w:rFonts w:ascii="Arial" w:hAnsi="Arial" w:cs="Arial"/>
                <w:lang w:val="es-ES"/>
              </w:rPr>
              <w:t xml:space="preserve">Regulación que establezca </w:t>
            </w:r>
            <w:r w:rsidR="00540F60" w:rsidRPr="001D11D7">
              <w:rPr>
                <w:rFonts w:ascii="Arial" w:hAnsi="Arial" w:cs="Arial"/>
                <w:lang w:val="es-ES"/>
              </w:rPr>
              <w:t>procedimientos</w:t>
            </w:r>
            <w:r w:rsidR="00275BB3" w:rsidRPr="001D11D7">
              <w:rPr>
                <w:rFonts w:ascii="Arial" w:hAnsi="Arial" w:cs="Arial"/>
                <w:lang w:val="es-ES"/>
              </w:rPr>
              <w:t xml:space="preserve"> y requisitos para </w:t>
            </w:r>
            <w:r w:rsidR="002847CF">
              <w:rPr>
                <w:rFonts w:ascii="Arial" w:hAnsi="Arial" w:cs="Arial"/>
                <w:lang w:val="es-ES"/>
              </w:rPr>
              <w:t xml:space="preserve">avalar proyectos y </w:t>
            </w:r>
            <w:r w:rsidR="00275BB3" w:rsidRPr="001D11D7">
              <w:rPr>
                <w:rFonts w:ascii="Arial" w:hAnsi="Arial" w:cs="Arial"/>
                <w:lang w:val="es-ES"/>
              </w:rPr>
              <w:t xml:space="preserve">acceder a los incentivos </w:t>
            </w:r>
            <w:r>
              <w:rPr>
                <w:rFonts w:ascii="Arial" w:hAnsi="Arial" w:cs="Arial"/>
                <w:lang w:val="es-ES"/>
              </w:rPr>
              <w:t>de</w:t>
            </w:r>
            <w:r w:rsidR="00275BB3" w:rsidRPr="001D11D7">
              <w:rPr>
                <w:rFonts w:ascii="Arial" w:hAnsi="Arial" w:cs="Arial"/>
                <w:lang w:val="es-ES"/>
              </w:rPr>
              <w:t xml:space="preserve"> la inversión en proyectos de FNCE</w:t>
            </w:r>
            <w:r w:rsidR="00F72691">
              <w:rPr>
                <w:rFonts w:ascii="Arial" w:hAnsi="Arial" w:cs="Arial"/>
                <w:lang w:val="es-ES"/>
              </w:rPr>
              <w:t>R</w:t>
            </w:r>
            <w:r w:rsidR="00540F60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</w:tcPr>
          <w:p w14:paraId="5E847DE3" w14:textId="7B911FFF" w:rsidR="00275BB3" w:rsidRPr="00A633A4" w:rsidRDefault="00BF305C">
            <w:pPr>
              <w:jc w:val="both"/>
              <w:rPr>
                <w:rFonts w:ascii="Arial" w:hAnsi="Arial" w:cs="Arial"/>
                <w:color w:val="0000FF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171BEB" w:rsidRPr="00A633A4">
              <w:rPr>
                <w:rFonts w:ascii="Arial" w:hAnsi="Arial" w:cs="Arial"/>
                <w:lang w:val="es-ES_tradnl"/>
              </w:rPr>
              <w:t>DNP</w:t>
            </w:r>
            <w:r w:rsidRPr="00A633A4">
              <w:rPr>
                <w:rFonts w:ascii="Arial" w:hAnsi="Arial" w:cs="Arial"/>
                <w:lang w:val="es-ES_tradnl"/>
              </w:rPr>
              <w:t xml:space="preserve"> remitiendo la</w:t>
            </w:r>
            <w:r w:rsidR="00F12292" w:rsidRPr="00A633A4">
              <w:rPr>
                <w:rFonts w:ascii="Arial" w:hAnsi="Arial" w:cs="Arial"/>
                <w:lang w:val="es-ES_tradnl"/>
              </w:rPr>
              <w:t xml:space="preserve"> </w:t>
            </w:r>
            <w:r w:rsidR="008F59B3" w:rsidRPr="00A633A4">
              <w:rPr>
                <w:rFonts w:ascii="Arial" w:hAnsi="Arial" w:cs="Arial"/>
                <w:lang w:val="es-ES_tradnl"/>
              </w:rPr>
              <w:t>Resolución Unid</w:t>
            </w:r>
            <w:r w:rsidR="0015368F" w:rsidRPr="00A633A4">
              <w:rPr>
                <w:rFonts w:ascii="Arial" w:hAnsi="Arial" w:cs="Arial"/>
                <w:lang w:val="es-ES_tradnl"/>
              </w:rPr>
              <w:t xml:space="preserve">ad de Planeación Minero </w:t>
            </w:r>
            <w:r w:rsidR="008F59B3" w:rsidRPr="00A633A4">
              <w:rPr>
                <w:rFonts w:ascii="Arial" w:hAnsi="Arial" w:cs="Arial"/>
                <w:lang w:val="es-ES_tradnl"/>
              </w:rPr>
              <w:t xml:space="preserve">Energética (UPME) </w:t>
            </w:r>
            <w:r w:rsidR="00EA180F" w:rsidRPr="00A633A4">
              <w:rPr>
                <w:rFonts w:ascii="Arial" w:hAnsi="Arial" w:cs="Arial"/>
                <w:lang w:val="es-ES_tradnl"/>
              </w:rPr>
              <w:t xml:space="preserve">No. </w:t>
            </w:r>
            <w:r w:rsidR="008F59B3" w:rsidRPr="00A633A4">
              <w:rPr>
                <w:rFonts w:ascii="Arial" w:hAnsi="Arial" w:cs="Arial"/>
                <w:lang w:val="es-ES_tradnl"/>
              </w:rPr>
              <w:t>045 de 2016</w:t>
            </w:r>
            <w:r w:rsidR="00275BB3" w:rsidRPr="00A633A4">
              <w:rPr>
                <w:rFonts w:ascii="Arial" w:hAnsi="Arial" w:cs="Arial"/>
                <w:color w:val="0000FF"/>
                <w:lang w:val="es-ES_tradnl"/>
              </w:rPr>
              <w:t xml:space="preserve"> </w:t>
            </w:r>
            <w:r w:rsidR="00F12292" w:rsidRPr="00A633A4">
              <w:rPr>
                <w:rFonts w:ascii="Arial" w:hAnsi="Arial" w:cs="Arial"/>
                <w:lang w:val="es-ES_tradnl"/>
              </w:rPr>
              <w:t xml:space="preserve">que establece los procedimientos y requisitos para acceder a los beneficios de que tratan los artículos 12 y 13 de la Ley </w:t>
            </w:r>
            <w:r w:rsidR="00450929" w:rsidRPr="00A633A4">
              <w:rPr>
                <w:rFonts w:ascii="Arial" w:hAnsi="Arial" w:cs="Arial"/>
                <w:lang w:val="es-ES_tradnl"/>
              </w:rPr>
              <w:t>1715 de 2014.</w:t>
            </w:r>
          </w:p>
        </w:tc>
        <w:tc>
          <w:tcPr>
            <w:tcW w:w="3420" w:type="dxa"/>
          </w:tcPr>
          <w:p w14:paraId="5E847DE4" w14:textId="77777777" w:rsidR="00275BB3" w:rsidRDefault="00275BB3" w:rsidP="00EB1C2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 xml:space="preserve">Reglamentación y </w:t>
            </w:r>
            <w:r w:rsidR="00E109F1">
              <w:rPr>
                <w:rFonts w:ascii="Arial" w:hAnsi="Arial" w:cs="Arial"/>
                <w:lang w:val="es-ES_tradnl"/>
              </w:rPr>
              <w:t xml:space="preserve">vigencia </w:t>
            </w:r>
            <w:r>
              <w:rPr>
                <w:rFonts w:ascii="Arial" w:hAnsi="Arial" w:cs="Arial"/>
                <w:lang w:val="es-ES_tradnl"/>
              </w:rPr>
              <w:t xml:space="preserve">de un programa de incentivos tributarios para FNCER. </w:t>
            </w:r>
          </w:p>
        </w:tc>
      </w:tr>
      <w:tr w:rsidR="000556A8" w:rsidRPr="00316A81" w14:paraId="5E847DED" w14:textId="77777777" w:rsidTr="00316A81">
        <w:tc>
          <w:tcPr>
            <w:tcW w:w="2718" w:type="dxa"/>
            <w:vMerge/>
          </w:tcPr>
          <w:p w14:paraId="5E847DE6" w14:textId="77777777" w:rsidR="000556A8" w:rsidRDefault="000556A8" w:rsidP="001309F5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30" w:type="dxa"/>
          </w:tcPr>
          <w:p w14:paraId="5E847DE7" w14:textId="77777777" w:rsidR="000556A8" w:rsidRDefault="000556A8" w:rsidP="00C4777B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Arial" w:hAnsi="Arial" w:cs="Arial"/>
                <w:lang w:val="es-ES"/>
              </w:rPr>
            </w:pPr>
            <w:r w:rsidRPr="000556A8">
              <w:rPr>
                <w:rFonts w:ascii="Arial" w:hAnsi="Arial" w:cs="Arial"/>
                <w:lang w:val="es-ES"/>
              </w:rPr>
              <w:t>Regulación que establezca las condiciones para el proceso de conexión, medida y entrega de excedentes del autogenerador a gran escala al Sistema Interconectado Nacional (SIN).</w:t>
            </w:r>
          </w:p>
        </w:tc>
        <w:tc>
          <w:tcPr>
            <w:tcW w:w="2880" w:type="dxa"/>
          </w:tcPr>
          <w:p w14:paraId="5E847DE8" w14:textId="76491A4B" w:rsidR="000556A8" w:rsidRPr="00A633A4" w:rsidRDefault="00F12292" w:rsidP="000556A8">
            <w:pPr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171BEB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>remitiendo la</w:t>
            </w:r>
            <w:r w:rsidR="008F59B3" w:rsidRPr="00A633A4">
              <w:rPr>
                <w:rFonts w:ascii="Arial" w:hAnsi="Arial" w:cs="Arial"/>
                <w:lang w:val="es-ES_tradnl"/>
              </w:rPr>
              <w:t xml:space="preserve"> Resolución CREG No. 024 de 2</w:t>
            </w:r>
            <w:r w:rsidR="00EA180F" w:rsidRPr="00A633A4">
              <w:rPr>
                <w:rFonts w:ascii="Arial" w:hAnsi="Arial" w:cs="Arial"/>
                <w:lang w:val="es-ES_tradnl"/>
              </w:rPr>
              <w:t>0</w:t>
            </w:r>
            <w:r w:rsidR="008F59B3" w:rsidRPr="00A633A4">
              <w:rPr>
                <w:rFonts w:ascii="Arial" w:hAnsi="Arial" w:cs="Arial"/>
                <w:lang w:val="es-ES_tradnl"/>
              </w:rPr>
              <w:t>15</w:t>
            </w:r>
            <w:r w:rsidR="000556A8" w:rsidRPr="00A633A4">
              <w:rPr>
                <w:rFonts w:ascii="Arial" w:hAnsi="Arial" w:cs="Arial"/>
                <w:lang w:val="es-ES_tradnl"/>
              </w:rPr>
              <w:t xml:space="preserve"> </w:t>
            </w:r>
            <w:r w:rsidR="00450929" w:rsidRPr="00A633A4">
              <w:rPr>
                <w:rFonts w:ascii="Arial" w:hAnsi="Arial" w:cs="Arial"/>
                <w:lang w:val="es-ES_tradnl"/>
              </w:rPr>
              <w:t>por la cual que regula la actividad de autogeneración a gran escala en el SIN.</w:t>
            </w:r>
          </w:p>
          <w:p w14:paraId="5E847DE9" w14:textId="77777777" w:rsidR="000556A8" w:rsidRPr="00035F14" w:rsidRDefault="000556A8" w:rsidP="00C267D9">
            <w:pPr>
              <w:rPr>
                <w:rFonts w:ascii="Arial" w:hAnsi="Arial" w:cs="Arial"/>
                <w:b/>
                <w:color w:val="0000FF"/>
                <w:lang w:val="es-ES_tradnl"/>
              </w:rPr>
            </w:pPr>
          </w:p>
        </w:tc>
        <w:tc>
          <w:tcPr>
            <w:tcW w:w="3420" w:type="dxa"/>
          </w:tcPr>
          <w:p w14:paraId="5E847DEA" w14:textId="77777777" w:rsidR="000556A8" w:rsidRPr="00AF65F9" w:rsidRDefault="000556A8" w:rsidP="000556A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</w:t>
            </w:r>
            <w:r w:rsidRPr="00AF65F9">
              <w:rPr>
                <w:rFonts w:ascii="Arial" w:hAnsi="Arial" w:cs="Arial"/>
                <w:lang w:val="es-ES"/>
              </w:rPr>
              <w:t xml:space="preserve">egulación </w:t>
            </w:r>
            <w:r>
              <w:rPr>
                <w:rFonts w:ascii="Arial" w:hAnsi="Arial" w:cs="Arial"/>
                <w:lang w:val="es-ES"/>
              </w:rPr>
              <w:t xml:space="preserve">que establezca las condiciones necesarias </w:t>
            </w:r>
            <w:r w:rsidRPr="00AF65F9">
              <w:rPr>
                <w:rFonts w:ascii="Arial" w:hAnsi="Arial" w:cs="Arial"/>
                <w:lang w:val="es-ES"/>
              </w:rPr>
              <w:t xml:space="preserve">para la conexión de las </w:t>
            </w:r>
            <w:r w:rsidRPr="00877C8F">
              <w:rPr>
                <w:rFonts w:ascii="Arial" w:hAnsi="Arial" w:cs="Arial"/>
                <w:b/>
                <w:lang w:val="es-ES"/>
              </w:rPr>
              <w:t>FNCER</w:t>
            </w:r>
            <w:r w:rsidRPr="00AF65F9">
              <w:rPr>
                <w:rFonts w:ascii="Arial" w:hAnsi="Arial" w:cs="Arial"/>
                <w:lang w:val="es-ES"/>
              </w:rPr>
              <w:t xml:space="preserve"> al SIN mediante:</w:t>
            </w:r>
          </w:p>
          <w:p w14:paraId="5E847DEB" w14:textId="77777777" w:rsidR="000556A8" w:rsidRDefault="000556A8" w:rsidP="000556A8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Arial" w:hAnsi="Arial" w:cs="Arial"/>
                <w:lang w:val="es-ES"/>
              </w:rPr>
            </w:pPr>
            <w:r w:rsidRPr="00AF65F9">
              <w:rPr>
                <w:rFonts w:ascii="Arial" w:hAnsi="Arial" w:cs="Arial"/>
                <w:lang w:val="es-ES"/>
              </w:rPr>
              <w:t>Establecimiento de los requerimientos técnicos de las instalaciones que usen FNCER para la generación eléctrica (solar, eólica, geotérmica) y los procedimientos para la conexión y operación de los autogeneradores.</w:t>
            </w:r>
          </w:p>
          <w:p w14:paraId="5E847DEC" w14:textId="77777777" w:rsidR="000556A8" w:rsidRPr="000556A8" w:rsidRDefault="000556A8" w:rsidP="000556A8">
            <w:pPr>
              <w:pStyle w:val="ListParagraph"/>
              <w:numPr>
                <w:ilvl w:val="0"/>
                <w:numId w:val="40"/>
              </w:numPr>
              <w:spacing w:before="60"/>
              <w:ind w:left="260" w:hanging="274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 w:rsidRPr="000556A8">
              <w:rPr>
                <w:rFonts w:ascii="Arial" w:hAnsi="Arial" w:cs="Arial"/>
                <w:lang w:val="es-ES"/>
              </w:rPr>
              <w:t>Establecimiento de los procedimientos para la        comercialización de la energía proveniente de los autogeneradores.</w:t>
            </w:r>
          </w:p>
        </w:tc>
      </w:tr>
      <w:tr w:rsidR="00275BB3" w:rsidRPr="00AF25A4" w14:paraId="5E847DF0" w14:textId="77777777" w:rsidTr="00316A81">
        <w:trPr>
          <w:trHeight w:val="296"/>
        </w:trPr>
        <w:tc>
          <w:tcPr>
            <w:tcW w:w="2718" w:type="dxa"/>
            <w:vMerge/>
          </w:tcPr>
          <w:p w14:paraId="5E847DEE" w14:textId="77777777" w:rsidR="00275BB3" w:rsidRPr="00766CBF" w:rsidRDefault="00275BB3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530" w:type="dxa"/>
            <w:gridSpan w:val="3"/>
            <w:shd w:val="clear" w:color="auto" w:fill="auto"/>
            <w:vAlign w:val="center"/>
          </w:tcPr>
          <w:p w14:paraId="5E847DEF" w14:textId="77777777" w:rsidR="00275BB3" w:rsidRPr="00A901E0" w:rsidRDefault="00275BB3" w:rsidP="00067F4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"/>
              </w:rPr>
              <w:t>Integración</w:t>
            </w:r>
            <w:r>
              <w:rPr>
                <w:rFonts w:ascii="Arial" w:hAnsi="Arial" w:cs="Arial"/>
                <w:b/>
                <w:lang w:val="es-ES_tradnl"/>
              </w:rPr>
              <w:t xml:space="preserve"> Energética Regional</w:t>
            </w:r>
          </w:p>
        </w:tc>
      </w:tr>
      <w:tr w:rsidR="00275BB3" w:rsidRPr="00316A81" w14:paraId="5E847DF9" w14:textId="77777777" w:rsidTr="00316A81">
        <w:tc>
          <w:tcPr>
            <w:tcW w:w="2718" w:type="dxa"/>
            <w:vMerge/>
          </w:tcPr>
          <w:p w14:paraId="5E847DF1" w14:textId="77777777" w:rsidR="00275BB3" w:rsidRPr="00766CBF" w:rsidRDefault="00275BB3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shd w:val="clear" w:color="auto" w:fill="auto"/>
          </w:tcPr>
          <w:p w14:paraId="5E847DF2" w14:textId="262C7FB2" w:rsidR="00236F1B" w:rsidRPr="00A901E0" w:rsidRDefault="00142BA9" w:rsidP="00E5691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 xml:space="preserve">Diseño </w:t>
            </w:r>
            <w:r w:rsidR="00E5691E">
              <w:rPr>
                <w:rFonts w:ascii="Arial" w:hAnsi="Arial" w:cs="Arial"/>
                <w:lang w:val="es-ES_tradnl"/>
              </w:rPr>
              <w:t>d</w:t>
            </w:r>
            <w:r w:rsidR="00E5691E" w:rsidRPr="00E5691E">
              <w:rPr>
                <w:rFonts w:ascii="Arial" w:hAnsi="Arial" w:cs="Arial"/>
                <w:lang w:val="es-ES_tradnl"/>
              </w:rPr>
              <w:t>el Proyecto de Decisión del Marco Regulatorio para la interconexión Subregional de los Sistemas Eléctricos e Intercambio Comunitario de Electricidad</w:t>
            </w:r>
            <w:r w:rsidR="00E5691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5E847DF3" w14:textId="480BE890" w:rsidR="00275BB3" w:rsidRPr="00A633A4" w:rsidRDefault="00142BA9" w:rsidP="008F59B3">
            <w:pPr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4E6390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>remitiendo</w:t>
            </w:r>
            <w:r w:rsidRPr="00A633A4">
              <w:rPr>
                <w:rFonts w:ascii="Arial" w:hAnsi="Arial" w:cs="Arial"/>
                <w:lang w:val="es-BO"/>
              </w:rPr>
              <w:t xml:space="preserve"> el </w:t>
            </w:r>
            <w:r w:rsidR="00E5691E" w:rsidRPr="00A633A4">
              <w:rPr>
                <w:rFonts w:ascii="Arial" w:hAnsi="Arial" w:cs="Arial"/>
                <w:lang w:val="es-BO"/>
              </w:rPr>
              <w:t xml:space="preserve">Acta de la </w:t>
            </w:r>
            <w:r w:rsidR="00D0716A" w:rsidRPr="00A633A4">
              <w:rPr>
                <w:rFonts w:ascii="Arial" w:hAnsi="Arial" w:cs="Arial"/>
                <w:lang w:val="es-BO"/>
              </w:rPr>
              <w:t>Décimo</w:t>
            </w:r>
            <w:r w:rsidRPr="00A633A4">
              <w:rPr>
                <w:rFonts w:ascii="Arial" w:hAnsi="Arial" w:cs="Arial"/>
                <w:lang w:val="es-BO"/>
              </w:rPr>
              <w:t xml:space="preserve"> </w:t>
            </w:r>
            <w:r w:rsidR="00E5691E" w:rsidRPr="00A633A4">
              <w:rPr>
                <w:rFonts w:ascii="Arial" w:hAnsi="Arial" w:cs="Arial"/>
                <w:lang w:val="es-BO"/>
              </w:rPr>
              <w:t xml:space="preserve">Novena Reunión del </w:t>
            </w:r>
            <w:r w:rsidRPr="00A633A4">
              <w:rPr>
                <w:rFonts w:ascii="Arial" w:hAnsi="Arial" w:cs="Arial"/>
                <w:lang w:val="es-BO"/>
              </w:rPr>
              <w:t xml:space="preserve">Comité Andino de Organismos Normativos y Organismos Reguladores de Servicios de Electricidad </w:t>
            </w:r>
            <w:r w:rsidRPr="00A633A4">
              <w:rPr>
                <w:rFonts w:ascii="Arial" w:hAnsi="Arial" w:cs="Arial"/>
                <w:lang w:val="es-BO"/>
              </w:rPr>
              <w:lastRenderedPageBreak/>
              <w:t xml:space="preserve">(CANREL) </w:t>
            </w:r>
            <w:r w:rsidR="00E5691E" w:rsidRPr="00A633A4">
              <w:rPr>
                <w:rFonts w:ascii="Arial" w:hAnsi="Arial" w:cs="Arial"/>
                <w:lang w:val="es-BO"/>
              </w:rPr>
              <w:t xml:space="preserve">realizada en Bogotá, Colombia </w:t>
            </w:r>
            <w:r w:rsidRPr="00A633A4">
              <w:rPr>
                <w:rFonts w:ascii="Arial" w:hAnsi="Arial" w:cs="Arial"/>
                <w:lang w:val="es-BO"/>
              </w:rPr>
              <w:t>el 1</w:t>
            </w:r>
            <w:r w:rsidR="00E5691E" w:rsidRPr="00A633A4">
              <w:rPr>
                <w:rFonts w:ascii="Arial" w:hAnsi="Arial" w:cs="Arial"/>
                <w:lang w:val="es-BO"/>
              </w:rPr>
              <w:t xml:space="preserve">5 y 16 </w:t>
            </w:r>
            <w:r w:rsidR="00BC6C89" w:rsidRPr="00A633A4">
              <w:rPr>
                <w:rFonts w:ascii="Arial" w:hAnsi="Arial" w:cs="Arial"/>
                <w:lang w:val="es-BO"/>
              </w:rPr>
              <w:t>diciembre</w:t>
            </w:r>
            <w:r w:rsidR="003E713C" w:rsidRPr="00A633A4">
              <w:rPr>
                <w:rFonts w:ascii="Arial" w:hAnsi="Arial" w:cs="Arial"/>
                <w:lang w:val="es-BO"/>
              </w:rPr>
              <w:t xml:space="preserve"> </w:t>
            </w:r>
            <w:r w:rsidR="00E5691E" w:rsidRPr="00A633A4">
              <w:rPr>
                <w:rFonts w:ascii="Arial" w:hAnsi="Arial" w:cs="Arial"/>
                <w:lang w:val="es-BO"/>
              </w:rPr>
              <w:t>de 2016</w:t>
            </w:r>
            <w:r w:rsidRPr="00A633A4">
              <w:rPr>
                <w:rFonts w:ascii="Arial" w:hAnsi="Arial" w:cs="Arial"/>
                <w:lang w:val="es-BO"/>
              </w:rPr>
              <w:t>, en la que se acordó el Proyecto de Decisión del Marco Regulatorio para la interconexión Subregional de los Sistemas Eléctricos e Intercambio Comunitario de Electricidad.</w:t>
            </w:r>
          </w:p>
        </w:tc>
        <w:tc>
          <w:tcPr>
            <w:tcW w:w="3420" w:type="dxa"/>
            <w:shd w:val="clear" w:color="auto" w:fill="auto"/>
          </w:tcPr>
          <w:p w14:paraId="5E847DF6" w14:textId="77777777" w:rsidR="00275BB3" w:rsidRPr="00A901E0" w:rsidRDefault="00275BB3" w:rsidP="00A901E0">
            <w:pPr>
              <w:jc w:val="both"/>
              <w:rPr>
                <w:rFonts w:ascii="Arial" w:hAnsi="Arial" w:cs="Arial"/>
                <w:lang w:val="es-BO"/>
              </w:rPr>
            </w:pPr>
            <w:r w:rsidRPr="003D19DE">
              <w:rPr>
                <w:rFonts w:ascii="Arial" w:hAnsi="Arial" w:cs="Arial"/>
                <w:lang w:val="es-BO"/>
              </w:rPr>
              <w:lastRenderedPageBreak/>
              <w:t>Implementación</w:t>
            </w:r>
            <w:r w:rsidRPr="00A901E0">
              <w:rPr>
                <w:rFonts w:ascii="Arial" w:hAnsi="Arial" w:cs="Arial"/>
                <w:lang w:val="es-BO"/>
              </w:rPr>
              <w:t xml:space="preserve"> de la</w:t>
            </w:r>
            <w:r w:rsidR="003D19DE">
              <w:rPr>
                <w:rFonts w:ascii="Arial" w:hAnsi="Arial" w:cs="Arial"/>
                <w:lang w:val="es-BO"/>
              </w:rPr>
              <w:t>s acciones de la</w:t>
            </w:r>
            <w:r w:rsidRPr="00A901E0">
              <w:rPr>
                <w:rFonts w:ascii="Arial" w:hAnsi="Arial" w:cs="Arial"/>
                <w:lang w:val="es-BO"/>
              </w:rPr>
              <w:t xml:space="preserve"> hoja de ruta del SINEA y diseño de los estudios complementarios de las Interconexiones Binacionales a que se refieren los estudios del primer Programa en el marco del SINEA</w:t>
            </w:r>
          </w:p>
          <w:p w14:paraId="5E847DF7" w14:textId="77777777" w:rsidR="00275BB3" w:rsidRDefault="00275BB3" w:rsidP="00372386">
            <w:pPr>
              <w:rPr>
                <w:rFonts w:ascii="Arial" w:hAnsi="Arial" w:cs="Arial"/>
                <w:color w:val="FF0000"/>
                <w:lang w:val="es-ES"/>
              </w:rPr>
            </w:pPr>
          </w:p>
          <w:p w14:paraId="5E847DF8" w14:textId="77777777" w:rsidR="000329B9" w:rsidRPr="008A7628" w:rsidRDefault="000329B9" w:rsidP="00372386">
            <w:pPr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D43503" w:rsidRPr="00316A81" w14:paraId="5E847DFB" w14:textId="77777777" w:rsidTr="00316A81">
        <w:trPr>
          <w:trHeight w:val="332"/>
        </w:trPr>
        <w:tc>
          <w:tcPr>
            <w:tcW w:w="13248" w:type="dxa"/>
            <w:gridSpan w:val="4"/>
            <w:shd w:val="clear" w:color="auto" w:fill="D9D9D9" w:themeFill="background1" w:themeFillShade="D9"/>
            <w:vAlign w:val="center"/>
          </w:tcPr>
          <w:p w14:paraId="5E847DFA" w14:textId="77777777" w:rsidR="00D43503" w:rsidRPr="008359D6" w:rsidRDefault="00DA73F3" w:rsidP="00DA73F3">
            <w:pPr>
              <w:ind w:left="720"/>
              <w:rPr>
                <w:color w:val="FF0000"/>
                <w:lang w:val="es-ES"/>
              </w:rPr>
            </w:pPr>
            <w:r w:rsidRPr="00DA73F3">
              <w:rPr>
                <w:rFonts w:ascii="Arial" w:hAnsi="Arial" w:cs="Arial"/>
                <w:b/>
                <w:lang w:val="es-ES_tradnl"/>
              </w:rPr>
              <w:lastRenderedPageBreak/>
              <w:t>Subcomponente 2.2. Fortalecimiento del mercado eléctrico</w:t>
            </w:r>
          </w:p>
        </w:tc>
      </w:tr>
      <w:tr w:rsidR="00CE4FCE" w:rsidRPr="00A901E0" w14:paraId="5E847DFE" w14:textId="77777777" w:rsidTr="00316A81">
        <w:tc>
          <w:tcPr>
            <w:tcW w:w="2718" w:type="dxa"/>
            <w:vMerge w:val="restart"/>
          </w:tcPr>
          <w:p w14:paraId="5E847DFC" w14:textId="77777777" w:rsidR="00CE4FCE" w:rsidRPr="001D11D7" w:rsidRDefault="009E7358" w:rsidP="00B00204">
            <w:pPr>
              <w:jc w:val="both"/>
              <w:rPr>
                <w:rFonts w:ascii="Arial" w:hAnsi="Arial" w:cs="Arial"/>
                <w:lang w:val="es-BO"/>
              </w:rPr>
            </w:pPr>
            <w:r w:rsidRPr="009E7358">
              <w:rPr>
                <w:rFonts w:ascii="Arial" w:hAnsi="Arial" w:cs="Arial"/>
                <w:b/>
                <w:lang w:val="es-BO"/>
              </w:rPr>
              <w:t>Fortalecer el MEM con medidas que permitan aumentar y garantizar la oferta de GN para generación y administrar la demanda de energía.</w:t>
            </w:r>
          </w:p>
        </w:tc>
        <w:tc>
          <w:tcPr>
            <w:tcW w:w="10530" w:type="dxa"/>
            <w:gridSpan w:val="3"/>
          </w:tcPr>
          <w:p w14:paraId="5E847DFD" w14:textId="77777777" w:rsidR="00CE4FCE" w:rsidRDefault="00CE4FCE" w:rsidP="001309F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>Gas Natural (GN)</w:t>
            </w:r>
          </w:p>
        </w:tc>
      </w:tr>
      <w:tr w:rsidR="00CE4FCE" w:rsidRPr="00316A81" w14:paraId="5E847E05" w14:textId="77777777" w:rsidTr="00316A81">
        <w:tc>
          <w:tcPr>
            <w:tcW w:w="2718" w:type="dxa"/>
            <w:vMerge/>
          </w:tcPr>
          <w:p w14:paraId="5E847DFF" w14:textId="77777777" w:rsidR="00CE4FCE" w:rsidRPr="001D11D7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</w:tcPr>
          <w:p w14:paraId="5E847E00" w14:textId="77777777" w:rsidR="00CE4FCE" w:rsidRDefault="00CE4FCE" w:rsidP="001309F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Diseño de</w:t>
            </w:r>
            <w:r w:rsidRPr="003B5778">
              <w:rPr>
                <w:rFonts w:ascii="Arial" w:hAnsi="Arial" w:cs="Arial"/>
                <w:lang w:val="es-ES_tradnl"/>
              </w:rPr>
              <w:t xml:space="preserve"> los criterios de ejecución bajo los cuales se </w:t>
            </w:r>
            <w:r>
              <w:rPr>
                <w:rFonts w:ascii="Arial" w:hAnsi="Arial" w:cs="Arial"/>
                <w:lang w:val="es-ES_tradnl"/>
              </w:rPr>
              <w:t>implementarán ajustes al esquema de comercialización mayorista de GN.</w:t>
            </w:r>
          </w:p>
          <w:p w14:paraId="5E847E01" w14:textId="77777777" w:rsidR="00CE4FCE" w:rsidRPr="00766CBF" w:rsidRDefault="00CE4FCE" w:rsidP="001309F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5E847E03" w14:textId="6825FAB7" w:rsidR="00CE4FCE" w:rsidRPr="00A633A4" w:rsidRDefault="00142BA9" w:rsidP="008F59B3">
            <w:pPr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4E6390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>remitiendo</w:t>
            </w:r>
            <w:r w:rsidR="00EC65F7" w:rsidRPr="00A633A4">
              <w:rPr>
                <w:rFonts w:ascii="Arial" w:hAnsi="Arial" w:cs="Arial"/>
                <w:lang w:val="es-ES_tradnl"/>
              </w:rPr>
              <w:t>:</w:t>
            </w:r>
            <w:r w:rsidRPr="00A633A4">
              <w:rPr>
                <w:rFonts w:ascii="Arial" w:hAnsi="Arial" w:cs="Arial"/>
                <w:lang w:val="es-ES_tradnl"/>
              </w:rPr>
              <w:t xml:space="preserve"> el </w:t>
            </w:r>
            <w:r w:rsidR="008F59B3" w:rsidRPr="00A633A4">
              <w:rPr>
                <w:rFonts w:ascii="Arial" w:hAnsi="Arial" w:cs="Arial"/>
                <w:lang w:val="es-ES_tradnl"/>
              </w:rPr>
              <w:t>Decreto No. 2345 de 2015</w:t>
            </w:r>
            <w:r w:rsidRPr="00A633A4">
              <w:rPr>
                <w:rStyle w:val="Hyperlink"/>
                <w:rFonts w:ascii="Arial" w:hAnsi="Arial" w:cs="Arial"/>
                <w:u w:val="none"/>
                <w:lang w:val="es-ES_tradnl"/>
              </w:rPr>
              <w:t xml:space="preserve"> 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que establece los </w:t>
            </w:r>
            <w:r w:rsidR="00EC65F7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lineamientos para aumentar la confiablidad y seguridad del gas natural; y la </w:t>
            </w:r>
            <w:r w:rsidR="008F59B3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Resolución MME No. 40052 de 2016</w:t>
            </w:r>
            <w:r w:rsidR="00EC65F7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</w:t>
            </w:r>
            <w:r w:rsidR="004E6390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que </w:t>
            </w:r>
            <w:r w:rsidR="008F59B3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establece lineamientos</w:t>
            </w:r>
            <w:r w:rsidR="00EC65F7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del Plan de Abastecimiento de Gas</w:t>
            </w:r>
          </w:p>
        </w:tc>
        <w:tc>
          <w:tcPr>
            <w:tcW w:w="3420" w:type="dxa"/>
          </w:tcPr>
          <w:p w14:paraId="5E847E04" w14:textId="77777777" w:rsidR="00CE4FCE" w:rsidRPr="00231DB5" w:rsidRDefault="00CE4FCE" w:rsidP="00CE4FC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Regulación que incorpora ajustes a los mecanismos de comercialización del GN.</w:t>
            </w:r>
          </w:p>
        </w:tc>
      </w:tr>
      <w:tr w:rsidR="00CE4FCE" w:rsidRPr="00316A81" w14:paraId="5E847E0B" w14:textId="77777777" w:rsidTr="00316A81">
        <w:tc>
          <w:tcPr>
            <w:tcW w:w="2718" w:type="dxa"/>
            <w:vMerge/>
          </w:tcPr>
          <w:p w14:paraId="5E847E06" w14:textId="77777777" w:rsidR="00CE4FCE" w:rsidRPr="00766CBF" w:rsidRDefault="00CE4FCE" w:rsidP="001309F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30" w:type="dxa"/>
          </w:tcPr>
          <w:p w14:paraId="5E847E07" w14:textId="127ACE82" w:rsidR="00CE4FCE" w:rsidRPr="00766CBF" w:rsidRDefault="00CE4FCE" w:rsidP="00CE4FCE">
            <w:pPr>
              <w:jc w:val="both"/>
              <w:rPr>
                <w:rFonts w:ascii="Arial" w:hAnsi="Arial" w:cs="Arial"/>
                <w:lang w:val="es-ES"/>
              </w:rPr>
            </w:pPr>
            <w:r w:rsidRPr="00CE4FCE">
              <w:rPr>
                <w:rFonts w:ascii="Arial" w:hAnsi="Arial" w:cs="Arial"/>
                <w:lang w:val="es-ES"/>
              </w:rPr>
              <w:t>Adopción del Plan Transitorio de Abastecimiento de GN.</w:t>
            </w:r>
          </w:p>
        </w:tc>
        <w:tc>
          <w:tcPr>
            <w:tcW w:w="2880" w:type="dxa"/>
          </w:tcPr>
          <w:p w14:paraId="5E847E09" w14:textId="421169AF" w:rsidR="000A6C03" w:rsidRPr="00A633A4" w:rsidRDefault="00EC65F7" w:rsidP="00A24C29">
            <w:pPr>
              <w:spacing w:after="60"/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>DNP</w:t>
            </w:r>
            <w:r w:rsidRPr="00A633A4">
              <w:rPr>
                <w:rFonts w:ascii="Arial" w:hAnsi="Arial" w:cs="Arial"/>
                <w:lang w:val="es-ES_tradnl"/>
              </w:rPr>
              <w:t xml:space="preserve"> remitiendo la </w:t>
            </w:r>
            <w:r w:rsidR="00A24C29" w:rsidRPr="00A633A4">
              <w:rPr>
                <w:rFonts w:ascii="Arial" w:hAnsi="Arial" w:cs="Arial"/>
                <w:lang w:val="es-CO"/>
              </w:rPr>
              <w:t>Resolución del MME No. 40006 de 2017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CO"/>
              </w:rPr>
              <w:t xml:space="preserve"> que adopta </w:t>
            </w:r>
            <w:r w:rsidR="00A24C29" w:rsidRPr="00A633A4">
              <w:rPr>
                <w:rFonts w:ascii="Arial" w:hAnsi="Arial" w:cs="Arial"/>
                <w:lang w:val="es-CO"/>
              </w:rPr>
              <w:t>el Plan Transitorio de Abastecimiento de Gas Natural 2016</w:t>
            </w:r>
          </w:p>
        </w:tc>
        <w:tc>
          <w:tcPr>
            <w:tcW w:w="3420" w:type="dxa"/>
          </w:tcPr>
          <w:p w14:paraId="5E847E0A" w14:textId="01DA7B79" w:rsidR="00CE4FCE" w:rsidRPr="008359D6" w:rsidRDefault="00CE4FCE" w:rsidP="001309F5">
            <w:pPr>
              <w:jc w:val="both"/>
              <w:rPr>
                <w:color w:val="FF0000"/>
                <w:lang w:val="es-ES"/>
              </w:rPr>
            </w:pPr>
            <w:r w:rsidRPr="00CE4FCE">
              <w:rPr>
                <w:rFonts w:ascii="Arial" w:hAnsi="Arial" w:cs="Arial"/>
                <w:lang w:val="es-ES"/>
              </w:rPr>
              <w:t>Adopción del Plan Indicativo de Expansión de Cobertura de G</w:t>
            </w:r>
            <w:r w:rsidR="00883159">
              <w:rPr>
                <w:rFonts w:ascii="Arial" w:hAnsi="Arial" w:cs="Arial"/>
                <w:lang w:val="es-ES"/>
              </w:rPr>
              <w:t>N</w:t>
            </w:r>
            <w:r w:rsidR="00BC6C89"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CE4FCE" w:rsidRPr="00316A81" w14:paraId="5E847E12" w14:textId="77777777" w:rsidTr="00316A81">
        <w:tc>
          <w:tcPr>
            <w:tcW w:w="2718" w:type="dxa"/>
            <w:vMerge/>
          </w:tcPr>
          <w:p w14:paraId="5E847E0C" w14:textId="77777777" w:rsidR="00CE4FCE" w:rsidRPr="00766CBF" w:rsidRDefault="00CE4FCE" w:rsidP="001309F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30" w:type="dxa"/>
          </w:tcPr>
          <w:p w14:paraId="5E847E0D" w14:textId="5E3988D6" w:rsidR="00CE4FCE" w:rsidRPr="00CE4FCE" w:rsidRDefault="0015368F" w:rsidP="005250AF">
            <w:pPr>
              <w:jc w:val="both"/>
              <w:rPr>
                <w:rFonts w:ascii="Arial" w:hAnsi="Arial" w:cs="Arial"/>
                <w:lang w:val="es-ES_tradnl"/>
              </w:rPr>
            </w:pPr>
            <w:r w:rsidRPr="005250AF">
              <w:rPr>
                <w:rFonts w:ascii="Arial" w:hAnsi="Arial" w:cs="Arial"/>
                <w:lang w:val="es-ES_tradnl"/>
              </w:rPr>
              <w:t xml:space="preserve">Que </w:t>
            </w:r>
            <w:r w:rsidRPr="00A57F2C">
              <w:rPr>
                <w:rFonts w:ascii="Arial" w:hAnsi="Arial" w:cs="Arial"/>
                <w:lang w:val="es-ES_tradnl"/>
              </w:rPr>
              <w:t>esté</w:t>
            </w:r>
            <w:r w:rsidR="00CE4FCE" w:rsidRPr="00A57F2C">
              <w:rPr>
                <w:rFonts w:ascii="Arial" w:hAnsi="Arial" w:cs="Arial"/>
                <w:lang w:val="es-ES_tradnl"/>
              </w:rPr>
              <w:t xml:space="preserve"> en operación</w:t>
            </w:r>
            <w:r w:rsidR="00775AB5" w:rsidRPr="005250AF">
              <w:rPr>
                <w:rFonts w:ascii="Arial" w:hAnsi="Arial" w:cs="Arial"/>
                <w:lang w:val="es-ES_tradnl"/>
              </w:rPr>
              <w:t xml:space="preserve"> el Gestor del Mercado de</w:t>
            </w:r>
            <w:r w:rsidR="00775AB5">
              <w:rPr>
                <w:rFonts w:ascii="Arial" w:hAnsi="Arial" w:cs="Arial"/>
                <w:lang w:val="es-ES_tradnl"/>
              </w:rPr>
              <w:t xml:space="preserve"> GN, </w:t>
            </w:r>
            <w:r w:rsidR="00775AB5" w:rsidRPr="00775AB5">
              <w:rPr>
                <w:rFonts w:ascii="Arial" w:hAnsi="Arial" w:cs="Arial"/>
                <w:lang w:val="es-ES_tradnl"/>
              </w:rPr>
              <w:t xml:space="preserve">encargado de gestionar los mercados primario y secundario de GN, </w:t>
            </w:r>
            <w:r w:rsidR="00775AB5">
              <w:rPr>
                <w:rFonts w:ascii="Arial" w:hAnsi="Arial" w:cs="Arial"/>
                <w:lang w:val="es-ES_tradnl"/>
              </w:rPr>
              <w:t xml:space="preserve">y </w:t>
            </w:r>
            <w:r w:rsidR="00775AB5" w:rsidRPr="00775AB5">
              <w:rPr>
                <w:rFonts w:ascii="Arial" w:hAnsi="Arial" w:cs="Arial"/>
                <w:lang w:val="es-ES_tradnl"/>
              </w:rPr>
              <w:t>responsable de recopilar, centralizar y hacer pública la información transaccional y operativa del sector</w:t>
            </w:r>
            <w:r w:rsidR="00775AB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880" w:type="dxa"/>
          </w:tcPr>
          <w:p w14:paraId="5E847E0E" w14:textId="2ECCFDD3" w:rsidR="00CE4FCE" w:rsidRPr="00A633A4" w:rsidRDefault="00CE72BC" w:rsidP="001309F5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>DNP</w:t>
            </w:r>
            <w:r w:rsidRPr="00A633A4">
              <w:rPr>
                <w:rFonts w:ascii="Arial" w:hAnsi="Arial" w:cs="Arial"/>
                <w:lang w:val="es-ES_tradnl"/>
              </w:rPr>
              <w:t xml:space="preserve"> remitiendo el </w:t>
            </w:r>
            <w:r w:rsidR="00A24C29" w:rsidRPr="00A633A4">
              <w:rPr>
                <w:rFonts w:ascii="Arial" w:hAnsi="Arial" w:cs="Arial"/>
                <w:lang w:val="es-ES_tradnl"/>
              </w:rPr>
              <w:t>Boletín Electrónico Central</w:t>
            </w:r>
            <w:r w:rsidR="00EA180F" w:rsidRPr="00A633A4">
              <w:rPr>
                <w:rFonts w:ascii="Arial" w:hAnsi="Arial" w:cs="Arial"/>
                <w:color w:val="0000FF"/>
                <w:lang w:val="es-ES_tradnl"/>
              </w:rPr>
              <w:t xml:space="preserve"> </w:t>
            </w:r>
            <w:r w:rsidR="00EA180F" w:rsidRPr="00A633A4">
              <w:rPr>
                <w:rFonts w:ascii="Arial" w:hAnsi="Arial" w:cs="Arial"/>
                <w:lang w:val="es-ES_tradnl"/>
              </w:rPr>
              <w:t>d</w:t>
            </w:r>
            <w:r w:rsidR="00883159" w:rsidRPr="00A633A4">
              <w:rPr>
                <w:rFonts w:ascii="Arial" w:hAnsi="Arial" w:cs="Arial"/>
                <w:lang w:val="es-ES_tradnl"/>
              </w:rPr>
              <w:t xml:space="preserve">el </w:t>
            </w:r>
            <w:r w:rsidR="00701B57" w:rsidRPr="00A633A4">
              <w:rPr>
                <w:rFonts w:ascii="Arial" w:hAnsi="Arial" w:cs="Arial"/>
                <w:lang w:val="es-ES_tradnl"/>
              </w:rPr>
              <w:t>Gestor de Mercado de Gas</w:t>
            </w:r>
            <w:r w:rsidRPr="00A633A4">
              <w:rPr>
                <w:rFonts w:ascii="Arial" w:hAnsi="Arial" w:cs="Arial"/>
                <w:lang w:val="es-ES_tradnl"/>
              </w:rPr>
              <w:t>, que se publica en el</w:t>
            </w:r>
            <w:r w:rsidRPr="00A633A4">
              <w:rPr>
                <w:rFonts w:ascii="Arial" w:hAnsi="Arial" w:cs="Arial"/>
                <w:color w:val="0000FF"/>
                <w:lang w:val="es-ES_tradnl"/>
              </w:rPr>
              <w:t xml:space="preserve"> </w:t>
            </w:r>
          </w:p>
          <w:p w14:paraId="5E847E0F" w14:textId="131D78CB" w:rsidR="003548ED" w:rsidRPr="00A633A4" w:rsidRDefault="00A24C29" w:rsidP="001C4B2C">
            <w:pPr>
              <w:spacing w:before="60"/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>www.bmcbec.com.co</w:t>
            </w:r>
          </w:p>
          <w:p w14:paraId="5E847E10" w14:textId="77777777" w:rsidR="00CE4FCE" w:rsidRPr="003E4ECF" w:rsidRDefault="00CE4FCE" w:rsidP="001309F5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20" w:type="dxa"/>
          </w:tcPr>
          <w:p w14:paraId="5E847E11" w14:textId="77777777" w:rsidR="00CE4FCE" w:rsidRPr="00231DB5" w:rsidRDefault="00372386" w:rsidP="001954D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Que e</w:t>
            </w:r>
            <w:r w:rsidR="00794007">
              <w:rPr>
                <w:rFonts w:ascii="Arial" w:hAnsi="Arial" w:cs="Arial"/>
                <w:lang w:val="es-ES"/>
              </w:rPr>
              <w:t>l</w:t>
            </w:r>
            <w:r w:rsidR="00CE4FCE">
              <w:rPr>
                <w:rFonts w:ascii="Arial" w:hAnsi="Arial" w:cs="Arial"/>
                <w:lang w:val="es-ES"/>
              </w:rPr>
              <w:t xml:space="preserve"> Gestor de Mercado ha</w:t>
            </w:r>
            <w:r>
              <w:rPr>
                <w:rFonts w:ascii="Arial" w:hAnsi="Arial" w:cs="Arial"/>
                <w:lang w:val="es-ES"/>
              </w:rPr>
              <w:t>ya</w:t>
            </w:r>
            <w:r w:rsidR="00CE4FCE">
              <w:rPr>
                <w:rFonts w:ascii="Arial" w:hAnsi="Arial" w:cs="Arial"/>
                <w:lang w:val="es-ES"/>
              </w:rPr>
              <w:t xml:space="preserve"> estabilizado la operación y est</w:t>
            </w:r>
            <w:r>
              <w:rPr>
                <w:rFonts w:ascii="Arial" w:hAnsi="Arial" w:cs="Arial"/>
                <w:lang w:val="es-ES"/>
              </w:rPr>
              <w:t>é</w:t>
            </w:r>
            <w:r w:rsidR="00CE4FCE">
              <w:rPr>
                <w:rFonts w:ascii="Arial" w:hAnsi="Arial" w:cs="Arial"/>
                <w:lang w:val="es-ES"/>
              </w:rPr>
              <w:t xml:space="preserve"> generando indicadores de mercado</w:t>
            </w:r>
            <w:r w:rsidR="001954DD">
              <w:rPr>
                <w:rFonts w:ascii="Arial" w:hAnsi="Arial" w:cs="Arial"/>
                <w:lang w:val="es-ES"/>
              </w:rPr>
              <w:t>.</w:t>
            </w:r>
          </w:p>
        </w:tc>
      </w:tr>
      <w:tr w:rsidR="00AB371B" w:rsidRPr="00316A81" w14:paraId="5E847E15" w14:textId="77777777" w:rsidTr="00316A81">
        <w:trPr>
          <w:trHeight w:val="269"/>
        </w:trPr>
        <w:tc>
          <w:tcPr>
            <w:tcW w:w="2718" w:type="dxa"/>
            <w:vMerge/>
          </w:tcPr>
          <w:p w14:paraId="5E847E13" w14:textId="77777777" w:rsidR="00AB371B" w:rsidRPr="00766CBF" w:rsidRDefault="00AB371B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530" w:type="dxa"/>
            <w:gridSpan w:val="3"/>
            <w:vAlign w:val="center"/>
          </w:tcPr>
          <w:p w14:paraId="5E847E14" w14:textId="77777777" w:rsidR="00AB371B" w:rsidRPr="00AB371B" w:rsidRDefault="00AB371B" w:rsidP="005250AF">
            <w:pPr>
              <w:rPr>
                <w:rFonts w:ascii="Arial" w:hAnsi="Arial" w:cs="Arial"/>
                <w:b/>
                <w:lang w:val="es-ES"/>
              </w:rPr>
            </w:pPr>
            <w:r w:rsidRPr="00AB371B">
              <w:rPr>
                <w:rFonts w:ascii="Arial" w:hAnsi="Arial" w:cs="Arial"/>
                <w:b/>
                <w:lang w:val="es-ES"/>
              </w:rPr>
              <w:t>Gestión Eficiente Demanda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CF3FF8">
              <w:rPr>
                <w:rFonts w:ascii="Arial" w:hAnsi="Arial" w:cs="Arial"/>
                <w:b/>
                <w:lang w:val="es-ES"/>
              </w:rPr>
              <w:t xml:space="preserve">Energética </w:t>
            </w:r>
            <w:r>
              <w:rPr>
                <w:rFonts w:ascii="Arial" w:hAnsi="Arial" w:cs="Arial"/>
                <w:b/>
                <w:lang w:val="es-ES"/>
              </w:rPr>
              <w:t>(GEDE)</w:t>
            </w:r>
          </w:p>
        </w:tc>
      </w:tr>
      <w:tr w:rsidR="00CE4FCE" w:rsidRPr="00316A81" w14:paraId="5E847E1E" w14:textId="77777777" w:rsidTr="00316A81">
        <w:tc>
          <w:tcPr>
            <w:tcW w:w="2718" w:type="dxa"/>
            <w:vMerge/>
          </w:tcPr>
          <w:p w14:paraId="5E847E16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</w:tcPr>
          <w:p w14:paraId="5E847E17" w14:textId="3D635280" w:rsidR="00CE4FCE" w:rsidRPr="008E187F" w:rsidRDefault="00A05C82" w:rsidP="00644E67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CE4FCE" w:rsidRPr="008E187F">
              <w:rPr>
                <w:rFonts w:ascii="Arial" w:hAnsi="Arial" w:cs="Arial"/>
                <w:lang w:val="es-ES"/>
              </w:rPr>
              <w:t>esarroll</w:t>
            </w:r>
            <w:r>
              <w:rPr>
                <w:rFonts w:ascii="Arial" w:hAnsi="Arial" w:cs="Arial"/>
                <w:lang w:val="es-ES"/>
              </w:rPr>
              <w:t>o de</w:t>
            </w:r>
            <w:r w:rsidR="00CE4FCE" w:rsidRPr="008E187F">
              <w:rPr>
                <w:rFonts w:ascii="Arial" w:hAnsi="Arial" w:cs="Arial"/>
                <w:lang w:val="es-ES"/>
              </w:rPr>
              <w:t xml:space="preserve"> los instrumentos técnicos, </w:t>
            </w:r>
            <w:r w:rsidR="00CE4FCE" w:rsidRPr="008E187F">
              <w:rPr>
                <w:rFonts w:ascii="Arial" w:hAnsi="Arial" w:cs="Arial"/>
                <w:lang w:val="es-ES"/>
              </w:rPr>
              <w:lastRenderedPageBreak/>
              <w:t>jurídicos, económico-financieros, de planificación y de información</w:t>
            </w:r>
            <w:r w:rsidR="00CE4FCE" w:rsidRPr="000A66C1">
              <w:rPr>
                <w:rFonts w:ascii="Arial" w:hAnsi="Arial" w:cs="Arial"/>
                <w:lang w:val="es-ES"/>
              </w:rPr>
              <w:t xml:space="preserve"> para el Programa de Uso Racional y Eficiente de Energía (PROURE)</w:t>
            </w:r>
            <w:r w:rsidR="00CE4FCE">
              <w:rPr>
                <w:rFonts w:ascii="Arial" w:hAnsi="Arial" w:cs="Arial"/>
                <w:lang w:val="es-ES"/>
              </w:rPr>
              <w:t xml:space="preserve"> para el período 201</w:t>
            </w:r>
            <w:r w:rsidR="00211CB8">
              <w:rPr>
                <w:rFonts w:ascii="Arial" w:hAnsi="Arial" w:cs="Arial"/>
                <w:lang w:val="es-ES"/>
              </w:rPr>
              <w:t>7</w:t>
            </w:r>
            <w:r w:rsidR="00CE4FCE">
              <w:rPr>
                <w:rFonts w:ascii="Arial" w:hAnsi="Arial" w:cs="Arial"/>
                <w:lang w:val="es-ES"/>
              </w:rPr>
              <w:t>-202</w:t>
            </w:r>
            <w:r w:rsidR="00211CB8">
              <w:rPr>
                <w:rFonts w:ascii="Arial" w:hAnsi="Arial" w:cs="Arial"/>
                <w:lang w:val="es-ES"/>
              </w:rPr>
              <w:t>2</w:t>
            </w:r>
            <w:r w:rsidR="00CE4FCE" w:rsidRPr="000A66C1">
              <w:rPr>
                <w:rFonts w:ascii="Arial" w:hAnsi="Arial" w:cs="Arial"/>
                <w:lang w:val="es-ES"/>
              </w:rPr>
              <w:t xml:space="preserve">, </w:t>
            </w:r>
            <w:r>
              <w:rPr>
                <w:rFonts w:ascii="Arial" w:hAnsi="Arial" w:cs="Arial"/>
                <w:lang w:val="es-ES"/>
              </w:rPr>
              <w:t>que incluy</w:t>
            </w:r>
            <w:r w:rsidR="00372386">
              <w:rPr>
                <w:rFonts w:ascii="Arial" w:hAnsi="Arial" w:cs="Arial"/>
                <w:lang w:val="es-ES"/>
              </w:rPr>
              <w:t>a</w:t>
            </w:r>
            <w:r w:rsidR="00CE4FCE" w:rsidRPr="008E187F">
              <w:rPr>
                <w:rFonts w:ascii="Arial" w:hAnsi="Arial" w:cs="Arial"/>
                <w:lang w:val="es-ES"/>
              </w:rPr>
              <w:t xml:space="preserve">: </w:t>
            </w:r>
          </w:p>
          <w:p w14:paraId="5E847E18" w14:textId="77777777" w:rsidR="00CE4FCE" w:rsidRPr="00A05C82" w:rsidRDefault="00CE4FCE" w:rsidP="001309F5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5E847E19" w14:textId="44A55245" w:rsidR="00CE4FCE" w:rsidRPr="00811BF0" w:rsidRDefault="00A05C82" w:rsidP="005250AF">
            <w:pPr>
              <w:pStyle w:val="ListParagraph"/>
              <w:numPr>
                <w:ilvl w:val="0"/>
                <w:numId w:val="40"/>
              </w:numPr>
              <w:tabs>
                <w:tab w:val="left" w:pos="3012"/>
              </w:tabs>
              <w:spacing w:before="60"/>
              <w:ind w:left="260" w:hanging="274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Adopción de</w:t>
            </w:r>
            <w:r w:rsidR="00372386">
              <w:rPr>
                <w:rFonts w:ascii="Arial" w:hAnsi="Arial" w:cs="Arial"/>
                <w:lang w:val="es-ES"/>
              </w:rPr>
              <w:t xml:space="preserve"> un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E4FCE" w:rsidRPr="00811BF0">
              <w:rPr>
                <w:rFonts w:ascii="Arial" w:hAnsi="Arial" w:cs="Arial"/>
                <w:lang w:val="es-ES"/>
              </w:rPr>
              <w:t>Plan de Acción Indicativo para el desarrollo del PROURE, con sus recursos asociados</w:t>
            </w:r>
          </w:p>
        </w:tc>
        <w:tc>
          <w:tcPr>
            <w:tcW w:w="2880" w:type="dxa"/>
          </w:tcPr>
          <w:p w14:paraId="5E847E1A" w14:textId="7507DA98" w:rsidR="006003D1" w:rsidRPr="00A633A4" w:rsidRDefault="00132F78" w:rsidP="001309F5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lastRenderedPageBreak/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lastRenderedPageBreak/>
              <w:t xml:space="preserve">remitiendo la </w:t>
            </w:r>
            <w:r w:rsidR="00A24C29" w:rsidRPr="00A633A4">
              <w:rPr>
                <w:rFonts w:ascii="Arial" w:hAnsi="Arial" w:cs="Arial"/>
                <w:bCs/>
                <w:iCs/>
                <w:lang w:val="es-ES_tradnl"/>
              </w:rPr>
              <w:t>Resolución MME No. 41286 de 2016</w:t>
            </w:r>
            <w:r w:rsidR="00C625C8" w:rsidRPr="00A633A4">
              <w:rPr>
                <w:rStyle w:val="Hyperlink"/>
                <w:rFonts w:ascii="Arial" w:hAnsi="Arial" w:cs="Arial"/>
                <w:bCs/>
                <w:iCs/>
                <w:lang w:val="es-ES_tradnl"/>
              </w:rPr>
              <w:t xml:space="preserve"> </w:t>
            </w:r>
            <w:r w:rsidR="00C625C8" w:rsidRPr="00A633A4">
              <w:rPr>
                <w:rStyle w:val="Hyperlink"/>
                <w:rFonts w:ascii="Arial" w:hAnsi="Arial" w:cs="Arial"/>
                <w:bCs/>
                <w:iCs/>
                <w:color w:val="auto"/>
                <w:u w:val="none"/>
                <w:lang w:val="es-ES_tradnl"/>
              </w:rPr>
              <w:t xml:space="preserve">en la cual se adopta El </w:t>
            </w:r>
            <w:hyperlink r:id="rId9" w:history="1">
              <w:r w:rsidR="006003D1" w:rsidRPr="00A633A4">
                <w:rPr>
                  <w:rStyle w:val="Hyperlink"/>
                  <w:rFonts w:ascii="Arial" w:hAnsi="Arial" w:cs="Arial"/>
                  <w:bCs/>
                  <w:iCs/>
                  <w:color w:val="auto"/>
                  <w:u w:val="none"/>
                  <w:lang w:val="es-ES_tradnl"/>
                </w:rPr>
                <w:t>Plan de Acción Indicativo de Eficiencia Energética 201</w:t>
              </w:r>
              <w:r w:rsidR="00211CB8" w:rsidRPr="00A633A4">
                <w:rPr>
                  <w:rStyle w:val="Hyperlink"/>
                  <w:rFonts w:ascii="Arial" w:hAnsi="Arial" w:cs="Arial"/>
                  <w:bCs/>
                  <w:iCs/>
                  <w:color w:val="auto"/>
                  <w:u w:val="none"/>
                  <w:lang w:val="es-ES_tradnl"/>
                </w:rPr>
                <w:t>7</w:t>
              </w:r>
              <w:r w:rsidR="006003D1" w:rsidRPr="00A633A4">
                <w:rPr>
                  <w:rStyle w:val="Hyperlink"/>
                  <w:rFonts w:ascii="Arial" w:hAnsi="Arial" w:cs="Arial"/>
                  <w:bCs/>
                  <w:iCs/>
                  <w:color w:val="auto"/>
                  <w:u w:val="none"/>
                  <w:lang w:val="es-ES_tradnl"/>
                </w:rPr>
                <w:t>-202</w:t>
              </w:r>
            </w:hyperlink>
            <w:r w:rsidR="00211CB8" w:rsidRPr="00A633A4">
              <w:rPr>
                <w:rStyle w:val="Hyperlink"/>
                <w:rFonts w:ascii="Arial" w:hAnsi="Arial" w:cs="Arial"/>
                <w:bCs/>
                <w:iCs/>
                <w:color w:val="auto"/>
                <w:u w:val="none"/>
                <w:lang w:val="es-ES_tradnl"/>
              </w:rPr>
              <w:t>2</w:t>
            </w:r>
          </w:p>
          <w:p w14:paraId="5E847E1B" w14:textId="77777777" w:rsidR="006003D1" w:rsidRDefault="006003D1" w:rsidP="001309F5">
            <w:pPr>
              <w:jc w:val="both"/>
              <w:rPr>
                <w:rFonts w:ascii="Arial" w:hAnsi="Arial" w:cs="Arial"/>
                <w:b/>
                <w:color w:val="0000FF"/>
                <w:lang w:val="es-ES_tradnl"/>
              </w:rPr>
            </w:pPr>
          </w:p>
          <w:p w14:paraId="5E847E1C" w14:textId="7403EAE6" w:rsidR="00CE4FCE" w:rsidRPr="00385412" w:rsidRDefault="00CE4FCE" w:rsidP="00D20FD2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420" w:type="dxa"/>
          </w:tcPr>
          <w:p w14:paraId="5E847E1D" w14:textId="35ECDF08" w:rsidR="00CE4FCE" w:rsidRPr="00385412" w:rsidRDefault="001954DD" w:rsidP="001954D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Lineamiento para la a</w:t>
            </w:r>
            <w:r w:rsidRPr="00385412">
              <w:rPr>
                <w:rFonts w:ascii="Arial" w:hAnsi="Arial" w:cs="Arial"/>
                <w:lang w:val="es-ES"/>
              </w:rPr>
              <w:t>ctualiz</w:t>
            </w:r>
            <w:r>
              <w:rPr>
                <w:rFonts w:ascii="Arial" w:hAnsi="Arial" w:cs="Arial"/>
                <w:lang w:val="es-ES"/>
              </w:rPr>
              <w:t>ación</w:t>
            </w:r>
            <w:r w:rsidR="00CE4FCE" w:rsidRPr="00385412">
              <w:rPr>
                <w:rFonts w:ascii="Arial" w:hAnsi="Arial" w:cs="Arial"/>
                <w:lang w:val="es-ES"/>
              </w:rPr>
              <w:t xml:space="preserve"> </w:t>
            </w:r>
            <w:r w:rsidR="00A05C82">
              <w:rPr>
                <w:rFonts w:ascii="Arial" w:hAnsi="Arial" w:cs="Arial"/>
                <w:lang w:val="es-ES"/>
              </w:rPr>
              <w:lastRenderedPageBreak/>
              <w:t>d</w:t>
            </w:r>
            <w:r w:rsidR="00CE4FCE" w:rsidRPr="00385412">
              <w:rPr>
                <w:rFonts w:ascii="Arial" w:hAnsi="Arial" w:cs="Arial"/>
                <w:lang w:val="es-ES"/>
              </w:rPr>
              <w:t xml:space="preserve">el marco legal para el otorgamiento de incentivos tributarios </w:t>
            </w:r>
            <w:r w:rsidR="00A05C82">
              <w:rPr>
                <w:rFonts w:ascii="Arial" w:hAnsi="Arial" w:cs="Arial"/>
                <w:lang w:val="es-ES"/>
              </w:rPr>
              <w:t>a</w:t>
            </w:r>
            <w:r w:rsidR="00CE4FCE" w:rsidRPr="00385412">
              <w:rPr>
                <w:rFonts w:ascii="Arial" w:hAnsi="Arial" w:cs="Arial"/>
                <w:lang w:val="es-ES"/>
              </w:rPr>
              <w:t xml:space="preserve"> proyectos de gestión eficiente de energía.</w:t>
            </w:r>
          </w:p>
        </w:tc>
      </w:tr>
      <w:tr w:rsidR="00CE4FCE" w:rsidRPr="00316A81" w14:paraId="5E847E26" w14:textId="77777777" w:rsidTr="00316A81">
        <w:tc>
          <w:tcPr>
            <w:tcW w:w="2718" w:type="dxa"/>
            <w:vMerge/>
          </w:tcPr>
          <w:p w14:paraId="5E847E1F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</w:tcPr>
          <w:p w14:paraId="5E847E20" w14:textId="77777777" w:rsidR="00CE4FCE" w:rsidRPr="00597B57" w:rsidRDefault="00A05C82" w:rsidP="005250AF">
            <w:pPr>
              <w:pStyle w:val="ListParagraph"/>
              <w:numPr>
                <w:ilvl w:val="0"/>
                <w:numId w:val="40"/>
              </w:numPr>
              <w:tabs>
                <w:tab w:val="left" w:pos="3012"/>
              </w:tabs>
              <w:spacing w:before="60"/>
              <w:ind w:left="260" w:hanging="274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Elaboración de</w:t>
            </w:r>
            <w:r w:rsidR="00CE4FCE">
              <w:rPr>
                <w:rFonts w:ascii="Arial" w:hAnsi="Arial" w:cs="Arial"/>
                <w:lang w:val="es-ES"/>
              </w:rPr>
              <w:t xml:space="preserve"> la guía para la formulación e implementación de planes de gestión eficiente de la energía en entidades públicas.</w:t>
            </w:r>
          </w:p>
        </w:tc>
        <w:tc>
          <w:tcPr>
            <w:tcW w:w="2880" w:type="dxa"/>
          </w:tcPr>
          <w:p w14:paraId="5E847E21" w14:textId="54A8BB21" w:rsidR="00CE4FCE" w:rsidRPr="00A633A4" w:rsidRDefault="00C625C8" w:rsidP="001309F5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 la </w:t>
            </w:r>
            <w:r w:rsidR="00CE4FCE" w:rsidRPr="00A633A4">
              <w:rPr>
                <w:rFonts w:ascii="Arial" w:hAnsi="Arial" w:cs="Arial"/>
                <w:lang w:val="es-ES_tradnl"/>
              </w:rPr>
              <w:t>Guía para la elaboración de un plan de gestión eficiente de la energía.</w:t>
            </w:r>
          </w:p>
          <w:p w14:paraId="5E847E22" w14:textId="42AE42DE" w:rsidR="00CE4FCE" w:rsidRPr="00E60026" w:rsidRDefault="00CE4FCE" w:rsidP="001309F5">
            <w:pPr>
              <w:jc w:val="both"/>
              <w:rPr>
                <w:rFonts w:ascii="Arial" w:hAnsi="Arial" w:cs="Arial"/>
                <w:highlight w:val="cyan"/>
                <w:lang w:val="es-ES"/>
              </w:rPr>
            </w:pPr>
          </w:p>
        </w:tc>
        <w:tc>
          <w:tcPr>
            <w:tcW w:w="3420" w:type="dxa"/>
          </w:tcPr>
          <w:p w14:paraId="5E847E25" w14:textId="467BCDAC" w:rsidR="00CE4FCE" w:rsidRPr="008359D6" w:rsidRDefault="00A05C82" w:rsidP="00A05C8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Diseño</w:t>
            </w:r>
            <w:r w:rsidR="00CE4FCE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</w:t>
            </w:r>
            <w:r w:rsidR="00CE4FCE">
              <w:rPr>
                <w:rFonts w:ascii="Arial" w:hAnsi="Arial" w:cs="Arial"/>
                <w:lang w:val="es-ES"/>
              </w:rPr>
              <w:t xml:space="preserve"> planes de gestión de energía</w:t>
            </w:r>
            <w:r>
              <w:rPr>
                <w:rFonts w:ascii="Arial" w:hAnsi="Arial" w:cs="Arial"/>
                <w:lang w:val="es-ES"/>
              </w:rPr>
              <w:t>, por parte de entidades públicas,</w:t>
            </w:r>
            <w:r w:rsidR="00CE4FCE">
              <w:rPr>
                <w:rFonts w:ascii="Arial" w:hAnsi="Arial" w:cs="Arial"/>
                <w:lang w:val="es-ES"/>
              </w:rPr>
              <w:t xml:space="preserve"> de acuerdo con los lineamientos de la guía realizada por</w:t>
            </w:r>
            <w:r w:rsidR="00883159">
              <w:rPr>
                <w:rFonts w:ascii="Arial" w:hAnsi="Arial" w:cs="Arial"/>
                <w:lang w:val="es-ES"/>
              </w:rPr>
              <w:t xml:space="preserve"> la</w:t>
            </w:r>
            <w:r w:rsidR="00CE4FCE">
              <w:rPr>
                <w:rFonts w:ascii="Arial" w:hAnsi="Arial" w:cs="Arial"/>
                <w:lang w:val="es-ES"/>
              </w:rPr>
              <w:t xml:space="preserve"> UPME. </w:t>
            </w:r>
          </w:p>
        </w:tc>
      </w:tr>
      <w:tr w:rsidR="00CE4FCE" w:rsidRPr="00316A81" w14:paraId="5E847E2E" w14:textId="77777777" w:rsidTr="00316A81">
        <w:tc>
          <w:tcPr>
            <w:tcW w:w="2718" w:type="dxa"/>
            <w:vMerge/>
          </w:tcPr>
          <w:p w14:paraId="5E847E27" w14:textId="77777777" w:rsidR="00CE4FCE" w:rsidRPr="00766CBF" w:rsidRDefault="00CE4FCE" w:rsidP="001309F5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  <w:tc>
          <w:tcPr>
            <w:tcW w:w="4230" w:type="dxa"/>
          </w:tcPr>
          <w:p w14:paraId="5E847E28" w14:textId="77777777" w:rsidR="00CE4FCE" w:rsidRPr="00A05C82" w:rsidRDefault="00A05C82" w:rsidP="005250AF">
            <w:pPr>
              <w:pStyle w:val="ListParagraph"/>
              <w:numPr>
                <w:ilvl w:val="0"/>
                <w:numId w:val="40"/>
              </w:numPr>
              <w:tabs>
                <w:tab w:val="left" w:pos="3012"/>
              </w:tabs>
              <w:spacing w:before="60"/>
              <w:ind w:left="260" w:hanging="274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="00CE4FCE">
              <w:rPr>
                <w:rFonts w:ascii="Arial" w:hAnsi="Arial" w:cs="Arial"/>
                <w:lang w:val="es-ES"/>
              </w:rPr>
              <w:t>dop</w:t>
            </w:r>
            <w:r>
              <w:rPr>
                <w:rFonts w:ascii="Arial" w:hAnsi="Arial" w:cs="Arial"/>
                <w:lang w:val="es-ES"/>
              </w:rPr>
              <w:t>ción d</w:t>
            </w:r>
            <w:r w:rsidR="00CE4FCE" w:rsidRPr="00FD2D38">
              <w:rPr>
                <w:rFonts w:ascii="Arial" w:hAnsi="Arial" w:cs="Arial"/>
                <w:lang w:val="es-ES"/>
              </w:rPr>
              <w:t>el sistema de etiquetado e información al consumidor sobre eficiencia energética.</w:t>
            </w:r>
          </w:p>
        </w:tc>
        <w:tc>
          <w:tcPr>
            <w:tcW w:w="2880" w:type="dxa"/>
          </w:tcPr>
          <w:p w14:paraId="5E847E2A" w14:textId="53475584" w:rsidR="00CE4FCE" w:rsidRPr="00A633A4" w:rsidRDefault="00C625C8" w:rsidP="009B62E3">
            <w:pPr>
              <w:jc w:val="both"/>
              <w:rPr>
                <w:rFonts w:ascii="Arial" w:hAnsi="Arial" w:cs="Arial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 la </w:t>
            </w:r>
            <w:r w:rsidR="00A24C29" w:rsidRPr="00A633A4">
              <w:rPr>
                <w:rFonts w:ascii="Arial" w:hAnsi="Arial" w:cs="Arial"/>
                <w:lang w:val="es-ES_tradnl"/>
              </w:rPr>
              <w:t>Resolución MME 41012 de 2015</w:t>
            </w:r>
            <w:r w:rsidRPr="00A633A4">
              <w:rPr>
                <w:rStyle w:val="Hyperlink"/>
                <w:rFonts w:ascii="Arial" w:hAnsi="Arial" w:cs="Arial"/>
                <w:u w:val="none"/>
                <w:lang w:val="es-ES_tradnl"/>
              </w:rPr>
              <w:t xml:space="preserve"> 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que expide el Reglamento Técnico de</w:t>
            </w:r>
            <w:r w:rsidR="005250AF" w:rsidRPr="00A633A4">
              <w:rPr>
                <w:rFonts w:ascii="Arial" w:hAnsi="Arial" w:cs="Arial"/>
                <w:lang w:val="es-ES_tradnl"/>
              </w:rPr>
              <w:t xml:space="preserve"> </w:t>
            </w:r>
            <w:r w:rsidRPr="00A633A4">
              <w:rPr>
                <w:rFonts w:ascii="Arial" w:hAnsi="Arial" w:cs="Arial"/>
                <w:lang w:val="es-ES_tradnl"/>
              </w:rPr>
              <w:t xml:space="preserve">Etiquetado </w:t>
            </w:r>
            <w:r w:rsidR="005250AF" w:rsidRPr="00A633A4">
              <w:rPr>
                <w:rFonts w:ascii="Arial" w:hAnsi="Arial" w:cs="Arial"/>
                <w:lang w:val="es-ES_tradnl"/>
              </w:rPr>
              <w:t>(RETIQ)</w:t>
            </w:r>
            <w:r w:rsidRPr="00A633A4">
              <w:rPr>
                <w:rFonts w:ascii="Arial" w:hAnsi="Arial" w:cs="Arial"/>
                <w:lang w:val="es-ES_tradnl"/>
              </w:rPr>
              <w:t xml:space="preserve"> y </w:t>
            </w:r>
            <w:r w:rsidR="00621CF2" w:rsidRPr="00A633A4">
              <w:rPr>
                <w:rFonts w:ascii="Arial" w:hAnsi="Arial" w:cs="Arial"/>
                <w:lang w:val="es-ES_tradnl"/>
              </w:rPr>
              <w:t xml:space="preserve">la </w:t>
            </w:r>
            <w:r w:rsidR="00A24C29" w:rsidRPr="00A633A4">
              <w:rPr>
                <w:rFonts w:ascii="Arial" w:hAnsi="Arial" w:cs="Arial"/>
                <w:lang w:val="es-ES_tradnl"/>
              </w:rPr>
              <w:t>Resolución MME 40947 de 2016</w:t>
            </w:r>
            <w:r w:rsidR="00621CF2" w:rsidRPr="00A633A4">
              <w:rPr>
                <w:rStyle w:val="Hyperlink"/>
                <w:rFonts w:ascii="Arial" w:hAnsi="Arial" w:cs="Arial"/>
                <w:u w:val="none"/>
                <w:lang w:val="es-ES_tradnl"/>
              </w:rPr>
              <w:t xml:space="preserve"> </w:t>
            </w:r>
            <w:r w:rsidR="00621CF2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que suspende temporalmente algunos requisitos del Anexo del RETIQ</w:t>
            </w:r>
            <w:r w:rsidR="00CE4FCE" w:rsidRPr="00A633A4">
              <w:rPr>
                <w:rFonts w:ascii="Arial" w:hAnsi="Arial" w:cs="Arial"/>
                <w:lang w:val="es-ES_tradnl"/>
              </w:rPr>
              <w:t>.</w:t>
            </w:r>
          </w:p>
          <w:p w14:paraId="5E847E2B" w14:textId="77777777" w:rsidR="00CE4FCE" w:rsidRPr="00F551F1" w:rsidRDefault="00CE4FCE" w:rsidP="001309F5">
            <w:pPr>
              <w:jc w:val="both"/>
              <w:rPr>
                <w:rFonts w:ascii="Arial" w:hAnsi="Arial" w:cs="Arial"/>
                <w:highlight w:val="cyan"/>
                <w:lang w:val="es-ES_tradnl"/>
              </w:rPr>
            </w:pPr>
          </w:p>
        </w:tc>
        <w:tc>
          <w:tcPr>
            <w:tcW w:w="3420" w:type="dxa"/>
          </w:tcPr>
          <w:p w14:paraId="5E847E2C" w14:textId="74655F42" w:rsidR="00CE4FCE" w:rsidRPr="005C5147" w:rsidRDefault="00A05C82" w:rsidP="00644E67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Diseño de</w:t>
            </w:r>
            <w:r w:rsidR="00CE4FCE">
              <w:rPr>
                <w:rFonts w:ascii="Arial" w:hAnsi="Arial" w:cs="Arial"/>
                <w:lang w:val="es-ES"/>
              </w:rPr>
              <w:t xml:space="preserve"> </w:t>
            </w:r>
            <w:r w:rsidR="00CE4FCE" w:rsidRPr="00644E67">
              <w:rPr>
                <w:rFonts w:ascii="Arial" w:hAnsi="Arial" w:cs="Arial"/>
                <w:lang w:val="es-ES"/>
              </w:rPr>
              <w:t xml:space="preserve">las herramientas </w:t>
            </w:r>
            <w:r w:rsidR="00CE4FCE">
              <w:rPr>
                <w:rFonts w:ascii="Arial" w:hAnsi="Arial" w:cs="Arial"/>
                <w:lang w:val="es-ES"/>
              </w:rPr>
              <w:t>(divulgación</w:t>
            </w:r>
            <w:r w:rsidR="00883159">
              <w:rPr>
                <w:rFonts w:ascii="Arial" w:hAnsi="Arial" w:cs="Arial"/>
                <w:lang w:val="es-ES"/>
              </w:rPr>
              <w:t xml:space="preserve"> y</w:t>
            </w:r>
            <w:r w:rsidR="00CE4FCE">
              <w:rPr>
                <w:rFonts w:ascii="Arial" w:hAnsi="Arial" w:cs="Arial"/>
                <w:lang w:val="es-ES"/>
              </w:rPr>
              <w:t xml:space="preserve"> capacitación) </w:t>
            </w:r>
            <w:r w:rsidR="00CE4FCE" w:rsidRPr="00644E67">
              <w:rPr>
                <w:rFonts w:ascii="Arial" w:hAnsi="Arial" w:cs="Arial"/>
                <w:lang w:val="es-ES"/>
              </w:rPr>
              <w:t>para hacer efectivo la implementación del mecanismo de etiquetado.</w:t>
            </w:r>
            <w:r w:rsidR="00CE4FCE">
              <w:rPr>
                <w:rFonts w:ascii="Arial" w:hAnsi="Arial" w:cs="Arial"/>
                <w:lang w:val="es-ES"/>
              </w:rPr>
              <w:t xml:space="preserve"> (Sistemas </w:t>
            </w:r>
            <w:r>
              <w:rPr>
                <w:rFonts w:ascii="Arial" w:hAnsi="Arial" w:cs="Arial"/>
                <w:lang w:val="es-ES"/>
              </w:rPr>
              <w:t>i</w:t>
            </w:r>
            <w:r w:rsidR="00CE4FCE">
              <w:rPr>
                <w:rFonts w:ascii="Arial" w:hAnsi="Arial" w:cs="Arial"/>
                <w:lang w:val="es-ES"/>
              </w:rPr>
              <w:t xml:space="preserve">nformáticos </w:t>
            </w:r>
            <w:r>
              <w:rPr>
                <w:rFonts w:ascii="Arial" w:hAnsi="Arial" w:cs="Arial"/>
                <w:lang w:val="es-ES"/>
              </w:rPr>
              <w:t>p</w:t>
            </w:r>
            <w:r w:rsidR="00CE4FCE">
              <w:rPr>
                <w:rFonts w:ascii="Arial" w:hAnsi="Arial" w:cs="Arial"/>
                <w:lang w:val="es-ES"/>
              </w:rPr>
              <w:t xml:space="preserve">ara </w:t>
            </w:r>
            <w:r>
              <w:rPr>
                <w:rFonts w:ascii="Arial" w:hAnsi="Arial" w:cs="Arial"/>
                <w:lang w:val="es-ES"/>
              </w:rPr>
              <w:t>r</w:t>
            </w:r>
            <w:r w:rsidR="00CE4FCE">
              <w:rPr>
                <w:rFonts w:ascii="Arial" w:hAnsi="Arial" w:cs="Arial"/>
                <w:lang w:val="es-ES"/>
              </w:rPr>
              <w:t xml:space="preserve">evisar </w:t>
            </w:r>
            <w:r>
              <w:rPr>
                <w:rFonts w:ascii="Arial" w:hAnsi="Arial" w:cs="Arial"/>
                <w:lang w:val="es-ES"/>
              </w:rPr>
              <w:t>e</w:t>
            </w:r>
            <w:r w:rsidR="00CE4FCE">
              <w:rPr>
                <w:rFonts w:ascii="Arial" w:hAnsi="Arial" w:cs="Arial"/>
                <w:lang w:val="es-ES"/>
              </w:rPr>
              <w:t xml:space="preserve">l </w:t>
            </w:r>
            <w:r>
              <w:rPr>
                <w:rFonts w:ascii="Arial" w:hAnsi="Arial" w:cs="Arial"/>
                <w:lang w:val="es-ES"/>
              </w:rPr>
              <w:t>s</w:t>
            </w:r>
            <w:r w:rsidR="00CE4FCE">
              <w:rPr>
                <w:rFonts w:ascii="Arial" w:hAnsi="Arial" w:cs="Arial"/>
                <w:lang w:val="es-ES"/>
              </w:rPr>
              <w:t xml:space="preserve">istema </w:t>
            </w:r>
            <w:r>
              <w:rPr>
                <w:rFonts w:ascii="Arial" w:hAnsi="Arial" w:cs="Arial"/>
                <w:lang w:val="es-ES"/>
              </w:rPr>
              <w:t>d</w:t>
            </w:r>
            <w:r w:rsidR="00CE4FCE">
              <w:rPr>
                <w:rFonts w:ascii="Arial" w:hAnsi="Arial" w:cs="Arial"/>
                <w:lang w:val="es-ES"/>
              </w:rPr>
              <w:t xml:space="preserve">e </w:t>
            </w:r>
            <w:r>
              <w:rPr>
                <w:rFonts w:ascii="Arial" w:hAnsi="Arial" w:cs="Arial"/>
                <w:lang w:val="es-ES"/>
              </w:rPr>
              <w:t>e</w:t>
            </w:r>
            <w:r w:rsidR="00CE4FCE">
              <w:rPr>
                <w:rFonts w:ascii="Arial" w:hAnsi="Arial" w:cs="Arial"/>
                <w:lang w:val="es-ES"/>
              </w:rPr>
              <w:t>tiquetado).</w:t>
            </w:r>
          </w:p>
          <w:p w14:paraId="5E847E2D" w14:textId="77777777" w:rsidR="00CE4FCE" w:rsidRPr="00766CBF" w:rsidRDefault="00A05C82" w:rsidP="00A05C82">
            <w:pPr>
              <w:spacing w:before="1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Adopción de la </w:t>
            </w:r>
            <w:r w:rsidR="00CE4FCE">
              <w:rPr>
                <w:rFonts w:ascii="Arial" w:hAnsi="Arial" w:cs="Arial"/>
                <w:lang w:val="es-ES"/>
              </w:rPr>
              <w:t xml:space="preserve">segunda etapa del </w:t>
            </w:r>
            <w:r>
              <w:rPr>
                <w:rFonts w:ascii="Arial" w:hAnsi="Arial" w:cs="Arial"/>
                <w:lang w:val="es-ES"/>
              </w:rPr>
              <w:t xml:space="preserve">sistema de </w:t>
            </w:r>
            <w:r w:rsidR="00CE4FCE">
              <w:rPr>
                <w:rFonts w:ascii="Arial" w:hAnsi="Arial" w:cs="Arial"/>
                <w:lang w:val="es-ES"/>
              </w:rPr>
              <w:t>etiquetado (2017).</w:t>
            </w:r>
          </w:p>
        </w:tc>
      </w:tr>
      <w:tr w:rsidR="00CE4FCE" w:rsidRPr="00316A81" w14:paraId="5E847E33" w14:textId="77777777" w:rsidTr="00316A81">
        <w:tc>
          <w:tcPr>
            <w:tcW w:w="2718" w:type="dxa"/>
            <w:vMerge/>
          </w:tcPr>
          <w:p w14:paraId="5E847E2F" w14:textId="77777777" w:rsidR="00CE4FCE" w:rsidRPr="00766CBF" w:rsidRDefault="00CE4FCE" w:rsidP="001309F5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E30" w14:textId="1894F913" w:rsidR="00CE4FCE" w:rsidRPr="00597B57" w:rsidRDefault="00A05C82" w:rsidP="00364864">
            <w:pPr>
              <w:pStyle w:val="ListParagraph"/>
              <w:numPr>
                <w:ilvl w:val="0"/>
                <w:numId w:val="40"/>
              </w:numPr>
              <w:tabs>
                <w:tab w:val="left" w:pos="3012"/>
              </w:tabs>
              <w:spacing w:before="60" w:after="60"/>
              <w:ind w:left="260" w:hanging="274"/>
              <w:contextualSpacing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Publicación d</w:t>
            </w:r>
            <w:r w:rsidR="00CE4FCE">
              <w:rPr>
                <w:rFonts w:ascii="Arial" w:hAnsi="Arial" w:cs="Arial"/>
                <w:lang w:val="es-ES"/>
              </w:rPr>
              <w:t xml:space="preserve">el </w:t>
            </w:r>
            <w:r w:rsidR="00A339C3">
              <w:rPr>
                <w:rFonts w:ascii="Arial" w:hAnsi="Arial" w:cs="Arial"/>
                <w:lang w:val="es-ES"/>
              </w:rPr>
              <w:t xml:space="preserve">Documento </w:t>
            </w:r>
            <w:r w:rsidR="00CE4FCE">
              <w:rPr>
                <w:rFonts w:ascii="Arial" w:hAnsi="Arial" w:cs="Arial"/>
                <w:lang w:val="es-ES"/>
              </w:rPr>
              <w:t>Mapa de Ruta para la Implementación d</w:t>
            </w:r>
            <w:r w:rsidR="00364864">
              <w:rPr>
                <w:rFonts w:ascii="Arial" w:hAnsi="Arial" w:cs="Arial"/>
                <w:lang w:val="es-ES"/>
              </w:rPr>
              <w:t>e Redes Inteligentes que inducen al ahorro energético</w:t>
            </w:r>
            <w:r w:rsidR="00CE4FCE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E31" w14:textId="4C7C8D3E" w:rsidR="00CE4FCE" w:rsidRPr="00A633A4" w:rsidRDefault="00A339C3" w:rsidP="001C4B2C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883159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>informando la</w:t>
            </w:r>
            <w:r w:rsidRPr="00A633A4">
              <w:rPr>
                <w:lang w:val="es-ES_tradnl"/>
              </w:rPr>
              <w:t xml:space="preserve"> </w:t>
            </w:r>
            <w:r w:rsidR="00A24C29" w:rsidRPr="00A633A4">
              <w:rPr>
                <w:rFonts w:ascii="Arial" w:hAnsi="Arial" w:cs="Arial"/>
                <w:lang w:val="es-ES_tradnl"/>
              </w:rPr>
              <w:t>Publicación del Mapa de Ruta en la página WEB del UPME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E32" w14:textId="77777777" w:rsidR="00CE4FCE" w:rsidRPr="00766CBF" w:rsidRDefault="00A20677" w:rsidP="001C4B2C">
            <w:pPr>
              <w:spacing w:before="6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Que se haya realizado un e</w:t>
            </w:r>
            <w:r w:rsidR="00CE4FCE">
              <w:rPr>
                <w:rFonts w:ascii="Arial" w:hAnsi="Arial" w:cs="Arial"/>
                <w:lang w:val="es-ES"/>
              </w:rPr>
              <w:t>studio de la funcionalidad de la medición inteligente</w:t>
            </w:r>
            <w:r w:rsidR="00A05C82">
              <w:rPr>
                <w:rFonts w:ascii="Arial" w:hAnsi="Arial" w:cs="Arial"/>
                <w:lang w:val="es-ES"/>
              </w:rPr>
              <w:t>.</w:t>
            </w:r>
          </w:p>
        </w:tc>
      </w:tr>
      <w:tr w:rsidR="00CE4FCE" w:rsidRPr="00316A81" w14:paraId="5E847E39" w14:textId="77777777" w:rsidTr="00316A81">
        <w:tc>
          <w:tcPr>
            <w:tcW w:w="2718" w:type="dxa"/>
            <w:vMerge/>
          </w:tcPr>
          <w:p w14:paraId="5E847E34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E35" w14:textId="77777777" w:rsidR="00CE4FCE" w:rsidRPr="00EE22AB" w:rsidRDefault="00877DD5" w:rsidP="00877DD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Adopción de </w:t>
            </w:r>
            <w:r w:rsidR="00CE4FCE" w:rsidRPr="00EE22AB">
              <w:rPr>
                <w:rFonts w:ascii="Arial" w:hAnsi="Arial" w:cs="Arial"/>
                <w:lang w:val="es-ES"/>
              </w:rPr>
              <w:t>disposiciones en materia de implementación de mecanismos de respuesta de la demanda</w:t>
            </w:r>
            <w:r w:rsidR="00CE4FCE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E37" w14:textId="1AB86FAD" w:rsidR="00CE4FCE" w:rsidRPr="00A633A4" w:rsidRDefault="00A339C3" w:rsidP="009B62E3">
            <w:pPr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C50B7E" w:rsidRPr="00A633A4">
              <w:rPr>
                <w:rFonts w:ascii="Arial" w:hAnsi="Arial" w:cs="Arial"/>
                <w:lang w:val="es-ES_tradnl"/>
              </w:rPr>
              <w:t>DNP</w:t>
            </w:r>
            <w:r w:rsidRPr="00A633A4">
              <w:rPr>
                <w:rFonts w:ascii="Arial" w:hAnsi="Arial" w:cs="Arial"/>
                <w:lang w:val="es-ES_tradnl"/>
              </w:rPr>
              <w:t xml:space="preserve"> remitiendo: el </w:t>
            </w:r>
            <w:r w:rsidR="009B62E3" w:rsidRPr="00A633A4">
              <w:rPr>
                <w:rFonts w:ascii="Arial" w:hAnsi="Arial" w:cs="Arial"/>
                <w:lang w:val="es-ES_tradnl"/>
              </w:rPr>
              <w:t>Decreto No. 2492 de 2014</w:t>
            </w:r>
            <w:r w:rsidRPr="00A633A4">
              <w:rPr>
                <w:rStyle w:val="Hyperlink"/>
                <w:rFonts w:ascii="Arial" w:hAnsi="Arial" w:cs="Arial"/>
                <w:u w:val="none"/>
                <w:lang w:val="es-ES_tradnl"/>
              </w:rPr>
              <w:t xml:space="preserve"> 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que adopta disposiciones en materia de mecanismos de respuesta de la demanda; y la </w:t>
            </w:r>
            <w:r w:rsidR="009B62E3" w:rsidRPr="00A633A4">
              <w:rPr>
                <w:rFonts w:ascii="Arial" w:hAnsi="Arial" w:cs="Arial"/>
                <w:lang w:val="es-ES_tradnl"/>
              </w:rPr>
              <w:t>Resolución CREG No. 11 de 2015</w:t>
            </w:r>
            <w:r w:rsidRPr="00A633A4">
              <w:rPr>
                <w:rStyle w:val="Hyperlink"/>
                <w:rFonts w:ascii="Arial" w:hAnsi="Arial" w:cs="Arial"/>
                <w:u w:val="none"/>
                <w:lang w:val="es-ES_tradnl"/>
              </w:rPr>
              <w:t xml:space="preserve"> 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que 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lastRenderedPageBreak/>
              <w:t>regula</w:t>
            </w:r>
            <w:r w:rsidR="00C50B7E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el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programa de respuesta de la demanda para el mercado diario en condición crítica.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E38" w14:textId="77777777" w:rsidR="00CE4FCE" w:rsidRPr="00EE22AB" w:rsidRDefault="00877DD5" w:rsidP="00231D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Implementación y ajustes a los </w:t>
            </w:r>
            <w:r w:rsidRPr="00877DD5">
              <w:rPr>
                <w:rFonts w:ascii="Arial" w:hAnsi="Arial" w:cs="Arial"/>
                <w:lang w:val="es-ES"/>
              </w:rPr>
              <w:t>mecanismos de respuesta de la demanda.</w:t>
            </w:r>
          </w:p>
        </w:tc>
      </w:tr>
      <w:tr w:rsidR="00CE4FCE" w:rsidRPr="00316A81" w14:paraId="5E847E40" w14:textId="77777777" w:rsidTr="00316A81">
        <w:trPr>
          <w:trHeight w:val="782"/>
        </w:trPr>
        <w:tc>
          <w:tcPr>
            <w:tcW w:w="2718" w:type="dxa"/>
            <w:vMerge/>
          </w:tcPr>
          <w:p w14:paraId="5E847E3A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E847E3B" w14:textId="77777777" w:rsidR="00CE4FCE" w:rsidRPr="0017077E" w:rsidRDefault="00877DD5" w:rsidP="00644E67">
            <w:pPr>
              <w:jc w:val="both"/>
              <w:rPr>
                <w:rFonts w:ascii="Arial" w:hAnsi="Arial" w:cs="Arial"/>
                <w:lang w:val="es-ES"/>
              </w:rPr>
            </w:pPr>
            <w:r w:rsidRPr="00877DD5">
              <w:rPr>
                <w:rFonts w:ascii="Arial" w:hAnsi="Arial" w:cs="Arial"/>
                <w:lang w:val="es-ES"/>
              </w:rPr>
              <w:t>Diseño de los mecanismos para la desconexión voluntaria de la demanda como medio para dar confiabilidad al SIN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E847E3D" w14:textId="0D7AC25C" w:rsidR="00CE4FCE" w:rsidRPr="00A633A4" w:rsidRDefault="00D0716A" w:rsidP="001309F5">
            <w:pPr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C50B7E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>remitiendo la</w:t>
            </w:r>
            <w:r w:rsidRPr="00A633A4">
              <w:rPr>
                <w:lang w:val="es-ES_tradnl"/>
              </w:rPr>
              <w:t xml:space="preserve"> </w:t>
            </w:r>
            <w:r w:rsidR="00EB2028" w:rsidRPr="00A633A4">
              <w:rPr>
                <w:rFonts w:ascii="Arial" w:hAnsi="Arial" w:cs="Arial"/>
                <w:lang w:val="es-ES_tradnl"/>
              </w:rPr>
              <w:t>Resolución CREG No. 029 de 2016</w:t>
            </w:r>
            <w:r w:rsidR="00036F46" w:rsidRPr="00A633A4">
              <w:rPr>
                <w:color w:val="0000FF"/>
                <w:lang w:val="es-ES_tradnl"/>
              </w:rPr>
              <w:t xml:space="preserve"> </w:t>
            </w:r>
            <w:r w:rsidR="00036F46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que define un esquema de tarifas diferenciales para establecer los costos de prestación del servicio de energía eléctrica a usuarios regulados en el SIN para promover el ahorro voluntario de energía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E847E3F" w14:textId="77777777" w:rsidR="00CE4FCE" w:rsidRPr="00766CBF" w:rsidRDefault="00877DD5" w:rsidP="001309F5">
            <w:pPr>
              <w:jc w:val="both"/>
              <w:rPr>
                <w:rFonts w:ascii="Arial" w:hAnsi="Arial" w:cs="Arial"/>
                <w:lang w:val="es-ES"/>
              </w:rPr>
            </w:pPr>
            <w:r w:rsidRPr="00877DD5">
              <w:rPr>
                <w:rFonts w:ascii="Arial" w:hAnsi="Arial" w:cs="Arial"/>
                <w:lang w:val="es-ES"/>
              </w:rPr>
              <w:t>Aprobación de los mecanismos para la desconexión voluntaria de la demanda como medio para dar confiabilidad al SIN</w:t>
            </w:r>
          </w:p>
        </w:tc>
      </w:tr>
      <w:tr w:rsidR="0003171A" w:rsidRPr="00316A81" w14:paraId="5E847E43" w14:textId="77777777" w:rsidTr="00316A81">
        <w:trPr>
          <w:trHeight w:val="269"/>
        </w:trPr>
        <w:tc>
          <w:tcPr>
            <w:tcW w:w="2718" w:type="dxa"/>
            <w:vMerge/>
          </w:tcPr>
          <w:p w14:paraId="5E847E41" w14:textId="77777777" w:rsidR="0003171A" w:rsidRPr="00766CBF" w:rsidRDefault="0003171A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530" w:type="dxa"/>
            <w:gridSpan w:val="3"/>
            <w:tcBorders>
              <w:bottom w:val="single" w:sz="4" w:space="0" w:color="auto"/>
            </w:tcBorders>
            <w:vAlign w:val="center"/>
          </w:tcPr>
          <w:p w14:paraId="5E847E42" w14:textId="670ECF13" w:rsidR="0003171A" w:rsidRPr="0003171A" w:rsidRDefault="0003171A" w:rsidP="009B5AA9">
            <w:pPr>
              <w:rPr>
                <w:rFonts w:ascii="Arial" w:hAnsi="Arial" w:cs="Arial"/>
                <w:b/>
                <w:lang w:val="es-ES"/>
              </w:rPr>
            </w:pPr>
            <w:r w:rsidRPr="0003171A">
              <w:rPr>
                <w:rFonts w:ascii="Arial" w:hAnsi="Arial" w:cs="Arial"/>
                <w:b/>
                <w:lang w:val="es-ES"/>
              </w:rPr>
              <w:t>Funcionamiento del Mercado Eléctrico Mayorista</w:t>
            </w:r>
            <w:r w:rsidR="00C50B7E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CE4FCE" w:rsidRPr="00316A81" w14:paraId="5E847E4A" w14:textId="77777777" w:rsidTr="00316A81">
        <w:tc>
          <w:tcPr>
            <w:tcW w:w="2718" w:type="dxa"/>
            <w:vMerge/>
          </w:tcPr>
          <w:p w14:paraId="5E847E44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E45" w14:textId="3BA474DC" w:rsidR="00CE4FCE" w:rsidRPr="008F5FB2" w:rsidRDefault="00D0716A" w:rsidP="000C0E0E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Publicación de los e</w:t>
            </w:r>
            <w:r w:rsidR="00CE4FCE" w:rsidRPr="009961EB">
              <w:rPr>
                <w:rFonts w:ascii="Arial" w:hAnsi="Arial" w:cs="Arial"/>
                <w:lang w:val="es-ES"/>
              </w:rPr>
              <w:t>studios de diagnóstico, análisis y propuestas de modificación sobre el funcionamiento del M</w:t>
            </w:r>
            <w:r w:rsidR="00CE4FCE">
              <w:rPr>
                <w:rFonts w:ascii="Arial" w:hAnsi="Arial" w:cs="Arial"/>
                <w:lang w:val="es-ES"/>
              </w:rPr>
              <w:t>EM</w:t>
            </w:r>
            <w:r w:rsidR="00CE4FCE" w:rsidRPr="009961EB">
              <w:rPr>
                <w:rFonts w:ascii="Arial" w:hAnsi="Arial" w:cs="Arial"/>
                <w:lang w:val="es-ES"/>
              </w:rPr>
              <w:t xml:space="preserve"> colombiano</w:t>
            </w:r>
            <w:r w:rsidR="000C0E0E">
              <w:rPr>
                <w:rFonts w:ascii="Arial" w:hAnsi="Arial" w:cs="Arial"/>
                <w:lang w:val="es-ES"/>
              </w:rPr>
              <w:t>.</w:t>
            </w:r>
            <w:r w:rsidR="00CE4FCE" w:rsidRPr="009961E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E46" w14:textId="49CC6622" w:rsidR="00CE4FCE" w:rsidRPr="00A633A4" w:rsidRDefault="00D0716A" w:rsidP="001309F5">
            <w:pPr>
              <w:jc w:val="both"/>
              <w:rPr>
                <w:rFonts w:ascii="Arial" w:hAnsi="Arial" w:cs="Arial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C50B7E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 la </w:t>
            </w:r>
            <w:r w:rsidR="00EB2028" w:rsidRPr="00A633A4">
              <w:rPr>
                <w:rFonts w:ascii="Arial" w:hAnsi="Arial" w:cs="Arial"/>
                <w:lang w:val="es-ES_tradnl"/>
              </w:rPr>
              <w:t>Circular CREG No. 039 de 2016</w:t>
            </w:r>
            <w:r w:rsidR="00CE4FCE" w:rsidRPr="00A633A4">
              <w:rPr>
                <w:rFonts w:ascii="Arial" w:hAnsi="Arial" w:cs="Arial"/>
                <w:lang w:val="es-ES_tradnl"/>
              </w:rPr>
              <w:t xml:space="preserve"> </w:t>
            </w:r>
            <w:r w:rsidR="007E52EE" w:rsidRPr="00A633A4">
              <w:rPr>
                <w:rFonts w:ascii="Arial" w:hAnsi="Arial" w:cs="Arial"/>
                <w:lang w:val="es-ES_tradnl"/>
              </w:rPr>
              <w:t>autorizando</w:t>
            </w:r>
            <w:r w:rsidR="00C50B7E" w:rsidRPr="00A633A4">
              <w:rPr>
                <w:rFonts w:ascii="Arial" w:hAnsi="Arial" w:cs="Arial"/>
                <w:lang w:val="es-ES_tradnl"/>
              </w:rPr>
              <w:t xml:space="preserve"> la</w:t>
            </w:r>
            <w:r w:rsidR="007E52EE" w:rsidRPr="00A633A4">
              <w:rPr>
                <w:rFonts w:ascii="Arial" w:hAnsi="Arial" w:cs="Arial"/>
                <w:lang w:val="es-ES_tradnl"/>
              </w:rPr>
              <w:t xml:space="preserve"> publicación de </w:t>
            </w:r>
            <w:r w:rsidR="00CE4FCE" w:rsidRPr="00A633A4">
              <w:rPr>
                <w:rFonts w:ascii="Arial" w:hAnsi="Arial" w:cs="Arial"/>
                <w:lang w:val="es-ES_tradnl"/>
              </w:rPr>
              <w:t>análisis de expertos de prop</w:t>
            </w:r>
            <w:r w:rsidR="007E52EE" w:rsidRPr="00A633A4">
              <w:rPr>
                <w:rFonts w:ascii="Arial" w:hAnsi="Arial" w:cs="Arial"/>
                <w:lang w:val="es-ES_tradnl"/>
              </w:rPr>
              <w:t>uestas r</w:t>
            </w:r>
            <w:r w:rsidR="00CE4FCE" w:rsidRPr="00A633A4">
              <w:rPr>
                <w:rFonts w:ascii="Arial" w:hAnsi="Arial" w:cs="Arial"/>
                <w:lang w:val="es-ES_tradnl"/>
              </w:rPr>
              <w:t xml:space="preserve">egulatorias para modificar el </w:t>
            </w:r>
            <w:r w:rsidR="00C50B7E" w:rsidRPr="00A633A4">
              <w:rPr>
                <w:rFonts w:ascii="Arial" w:hAnsi="Arial" w:cs="Arial"/>
                <w:lang w:val="es-ES_tradnl"/>
              </w:rPr>
              <w:t>MEM</w:t>
            </w:r>
            <w:r w:rsidR="007E52EE" w:rsidRPr="00A633A4">
              <w:rPr>
                <w:rFonts w:ascii="Arial" w:hAnsi="Arial" w:cs="Arial"/>
                <w:lang w:val="es-ES_tradnl"/>
              </w:rPr>
              <w:t>:</w:t>
            </w:r>
            <w:r w:rsidR="00CE4FCE" w:rsidRPr="00A633A4">
              <w:rPr>
                <w:rFonts w:ascii="Arial" w:hAnsi="Arial" w:cs="Arial"/>
                <w:lang w:val="es-ES_tradnl"/>
              </w:rPr>
              <w:t xml:space="preserve"> </w:t>
            </w:r>
          </w:p>
          <w:p w14:paraId="4B8F745A" w14:textId="77777777" w:rsidR="00DE61E2" w:rsidRPr="00A633A4" w:rsidRDefault="00CE4FCE">
            <w:pPr>
              <w:jc w:val="both"/>
              <w:rPr>
                <w:rFonts w:ascii="Arial" w:hAnsi="Arial" w:cs="Arial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>Doc. 04B y 022 de 2016: propuestas para la implementación de un despacho vinculante y mercado organizado de contratos de energía respectivamente.</w:t>
            </w:r>
          </w:p>
          <w:p w14:paraId="5E847E48" w14:textId="77C5AB07" w:rsidR="00CE4FCE" w:rsidRPr="00EA180F" w:rsidRDefault="00DE61E2" w:rsidP="00EB2028">
            <w:pPr>
              <w:jc w:val="both"/>
              <w:rPr>
                <w:rFonts w:ascii="Arial" w:hAnsi="Arial" w:cs="Arial"/>
                <w:lang w:val="es-ES_tradnl"/>
              </w:rPr>
            </w:pPr>
            <w:r w:rsidRPr="00EA180F">
              <w:rPr>
                <w:rFonts w:ascii="Arial" w:hAnsi="Arial" w:cs="Arial"/>
                <w:lang w:val="es-ES_tradnl"/>
              </w:rPr>
              <w:t xml:space="preserve">Comunicación del DNP remitiendo el Estudio sobre el funcionamiento del MEM. </w:t>
            </w:r>
            <w:r w:rsidR="00D0716A" w:rsidRPr="00EA180F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E49" w14:textId="558278C3" w:rsidR="00CE4FCE" w:rsidRDefault="00255341" w:rsidP="001954D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</w:t>
            </w:r>
            <w:r w:rsidR="00EB2028" w:rsidRPr="00EB2028">
              <w:rPr>
                <w:rFonts w:ascii="Arial" w:hAnsi="Arial" w:cs="Arial"/>
                <w:lang w:val="es-ES"/>
              </w:rPr>
              <w:t>Agenda Regulatoria 2017 de la CREG</w:t>
            </w:r>
            <w:r w:rsidR="00286682" w:rsidRPr="007E52EE">
              <w:rPr>
                <w:rFonts w:ascii="Arial" w:hAnsi="Arial" w:cs="Arial"/>
                <w:lang w:val="es-ES"/>
              </w:rPr>
              <w:t xml:space="preserve">, </w:t>
            </w:r>
            <w:r w:rsidR="007E52EE" w:rsidRPr="007E52EE">
              <w:rPr>
                <w:rFonts w:ascii="Arial" w:hAnsi="Arial" w:cs="Arial"/>
                <w:lang w:val="es-ES"/>
              </w:rPr>
              <w:t>(</w:t>
            </w:r>
            <w:r w:rsidR="00286682" w:rsidRPr="007E52EE">
              <w:rPr>
                <w:rFonts w:ascii="Arial" w:hAnsi="Arial" w:cs="Arial"/>
                <w:lang w:val="es-ES"/>
              </w:rPr>
              <w:t>la cual contiene los proyectos regulatorios de mayor prioridad</w:t>
            </w:r>
            <w:r w:rsidR="007E52EE" w:rsidRPr="007E52EE">
              <w:rPr>
                <w:rFonts w:ascii="Arial" w:hAnsi="Arial" w:cs="Arial"/>
                <w:lang w:val="es-ES"/>
              </w:rPr>
              <w:t xml:space="preserve">) incluye regulación </w:t>
            </w:r>
            <w:r w:rsidR="00CE4FCE" w:rsidRPr="007E52EE">
              <w:rPr>
                <w:rFonts w:ascii="Arial" w:hAnsi="Arial" w:cs="Arial"/>
                <w:lang w:val="es-ES"/>
              </w:rPr>
              <w:t>para la implementación de las recomendaciones de reforma en el MEM</w:t>
            </w:r>
            <w:r w:rsidR="001954DD">
              <w:rPr>
                <w:rFonts w:ascii="Arial" w:hAnsi="Arial" w:cs="Arial"/>
                <w:lang w:val="es-ES"/>
              </w:rPr>
              <w:t>.</w:t>
            </w:r>
            <w:r w:rsidR="00CE4FCE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CE4FCE" w:rsidRPr="00316A81" w14:paraId="5E847E50" w14:textId="77777777" w:rsidTr="00316A81">
        <w:tc>
          <w:tcPr>
            <w:tcW w:w="2718" w:type="dxa"/>
            <w:vMerge/>
          </w:tcPr>
          <w:p w14:paraId="5E847E4B" w14:textId="77777777" w:rsidR="00CE4FCE" w:rsidRPr="00766CBF" w:rsidRDefault="00CE4FCE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E4C" w14:textId="77777777" w:rsidR="00CE4FCE" w:rsidRPr="008F5FB2" w:rsidRDefault="0003171A" w:rsidP="008B1294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Adopción d</w:t>
            </w:r>
            <w:r w:rsidR="00CE4FCE">
              <w:rPr>
                <w:rFonts w:ascii="Arial" w:hAnsi="Arial" w:cs="Arial"/>
                <w:lang w:val="es-ES"/>
              </w:rPr>
              <w:t xml:space="preserve">el </w:t>
            </w:r>
            <w:r>
              <w:rPr>
                <w:rFonts w:ascii="Arial" w:hAnsi="Arial" w:cs="Arial"/>
                <w:lang w:val="es-ES"/>
              </w:rPr>
              <w:t>P</w:t>
            </w:r>
            <w:r w:rsidR="00CE4FCE">
              <w:rPr>
                <w:rFonts w:ascii="Arial" w:hAnsi="Arial" w:cs="Arial"/>
                <w:lang w:val="es-ES"/>
              </w:rPr>
              <w:t xml:space="preserve">lan de </w:t>
            </w:r>
            <w:r>
              <w:rPr>
                <w:rFonts w:ascii="Arial" w:hAnsi="Arial" w:cs="Arial"/>
                <w:lang w:val="es-ES"/>
              </w:rPr>
              <w:t>Expansión de</w:t>
            </w:r>
            <w:r w:rsidR="008B1294">
              <w:rPr>
                <w:rFonts w:ascii="Arial" w:hAnsi="Arial" w:cs="Arial"/>
                <w:lang w:val="es-ES"/>
              </w:rPr>
              <w:t xml:space="preserve"> Referencia </w:t>
            </w:r>
            <w:r>
              <w:rPr>
                <w:rFonts w:ascii="Arial" w:hAnsi="Arial" w:cs="Arial"/>
                <w:lang w:val="es-ES"/>
              </w:rPr>
              <w:t>Generación y T</w:t>
            </w:r>
            <w:r w:rsidR="00CE4FCE">
              <w:rPr>
                <w:rFonts w:ascii="Arial" w:hAnsi="Arial" w:cs="Arial"/>
                <w:lang w:val="es-ES"/>
              </w:rPr>
              <w:t>ransmisión 2015-2029</w:t>
            </w:r>
            <w:r w:rsidR="00CE4FCE" w:rsidRPr="00766CBF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E4D" w14:textId="10F966E1" w:rsidR="00013B28" w:rsidRPr="00A633A4" w:rsidRDefault="00D0716A" w:rsidP="00EB2028">
            <w:pPr>
              <w:jc w:val="both"/>
              <w:rPr>
                <w:rFonts w:ascii="Arial" w:hAnsi="Arial" w:cs="Arial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DE61E2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 la </w:t>
            </w:r>
            <w:hyperlink r:id="rId10" w:history="1">
              <w:r w:rsidRPr="00A633A4">
                <w:rPr>
                  <w:rStyle w:val="Hyperlink"/>
                  <w:rFonts w:ascii="Arial" w:hAnsi="Arial" w:cs="Arial"/>
                  <w:color w:val="auto"/>
                  <w:u w:val="none"/>
                  <w:lang w:val="es-ES_tradnl"/>
                </w:rPr>
                <w:t>Resolución MME 40095 de 2016</w:t>
              </w:r>
            </w:hyperlink>
            <w:r w:rsidRPr="00A633A4">
              <w:rPr>
                <w:rFonts w:ascii="Arial" w:hAnsi="Arial" w:cs="Arial"/>
                <w:lang w:val="es-ES_tradnl"/>
              </w:rPr>
              <w:t xml:space="preserve"> mediante la cual se adopta el </w:t>
            </w:r>
            <w:r w:rsidR="00EB2028" w:rsidRPr="00A633A4">
              <w:rPr>
                <w:rFonts w:ascii="Arial" w:hAnsi="Arial" w:cs="Arial"/>
                <w:lang w:val="es-ES_tradnl"/>
              </w:rPr>
              <w:t xml:space="preserve">Plan de Expansión de Referencia de Generación y </w:t>
            </w:r>
            <w:r w:rsidR="00EB2028" w:rsidRPr="00A633A4">
              <w:rPr>
                <w:rFonts w:ascii="Arial" w:hAnsi="Arial" w:cs="Arial"/>
                <w:lang w:val="es-ES_tradnl"/>
              </w:rPr>
              <w:lastRenderedPageBreak/>
              <w:t>Transmisión del Sector Eléctrico 2015-2029</w:t>
            </w:r>
          </w:p>
          <w:p w14:paraId="5E847E4E" w14:textId="6335A1E9" w:rsidR="00CE4FCE" w:rsidRPr="00EA180F" w:rsidRDefault="00CE4FCE" w:rsidP="00EB2028">
            <w:pPr>
              <w:spacing w:before="6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E4F" w14:textId="77777777" w:rsidR="00CE4FCE" w:rsidRDefault="0003171A" w:rsidP="003D19D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Adopción d</w:t>
            </w:r>
            <w:r w:rsidR="00CE4FCE">
              <w:rPr>
                <w:rFonts w:ascii="Arial" w:hAnsi="Arial" w:cs="Arial"/>
                <w:lang w:val="es-ES"/>
              </w:rPr>
              <w:t xml:space="preserve">el </w:t>
            </w:r>
            <w:r w:rsidR="00255341">
              <w:rPr>
                <w:rFonts w:ascii="Arial" w:hAnsi="Arial" w:cs="Arial"/>
                <w:lang w:val="es-ES"/>
              </w:rPr>
              <w:t>Plan de Expansión de G</w:t>
            </w:r>
            <w:r w:rsidR="00CE4FCE">
              <w:rPr>
                <w:rFonts w:ascii="Arial" w:hAnsi="Arial" w:cs="Arial"/>
                <w:lang w:val="es-ES"/>
              </w:rPr>
              <w:t xml:space="preserve">eneración y </w:t>
            </w:r>
            <w:r w:rsidR="00255341">
              <w:rPr>
                <w:rFonts w:ascii="Arial" w:hAnsi="Arial" w:cs="Arial"/>
                <w:lang w:val="es-ES"/>
              </w:rPr>
              <w:t>T</w:t>
            </w:r>
            <w:r w:rsidR="00CE4FCE">
              <w:rPr>
                <w:rFonts w:ascii="Arial" w:hAnsi="Arial" w:cs="Arial"/>
                <w:lang w:val="es-ES"/>
              </w:rPr>
              <w:t xml:space="preserve">ransmisión del </w:t>
            </w:r>
            <w:r w:rsidR="00255341">
              <w:rPr>
                <w:rFonts w:ascii="Arial" w:hAnsi="Arial" w:cs="Arial"/>
                <w:lang w:val="es-ES"/>
              </w:rPr>
              <w:t>S</w:t>
            </w:r>
            <w:r w:rsidR="00CE4FCE">
              <w:rPr>
                <w:rFonts w:ascii="Arial" w:hAnsi="Arial" w:cs="Arial"/>
                <w:lang w:val="es-ES"/>
              </w:rPr>
              <w:t xml:space="preserve">ector </w:t>
            </w:r>
            <w:r w:rsidR="00255341">
              <w:rPr>
                <w:rFonts w:ascii="Arial" w:hAnsi="Arial" w:cs="Arial"/>
                <w:lang w:val="es-ES"/>
              </w:rPr>
              <w:t>E</w:t>
            </w:r>
            <w:r w:rsidR="00CE4FCE">
              <w:rPr>
                <w:rFonts w:ascii="Arial" w:hAnsi="Arial" w:cs="Arial"/>
                <w:lang w:val="es-ES"/>
              </w:rPr>
              <w:t>léctrico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255341">
              <w:rPr>
                <w:rFonts w:ascii="Arial" w:hAnsi="Arial" w:cs="Arial"/>
                <w:lang w:val="es-ES"/>
              </w:rPr>
              <w:t>201</w:t>
            </w:r>
            <w:r w:rsidR="00236F1B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-</w:t>
            </w:r>
            <w:r w:rsidR="00236F1B">
              <w:rPr>
                <w:rFonts w:ascii="Arial" w:hAnsi="Arial" w:cs="Arial"/>
                <w:lang w:val="es-ES"/>
              </w:rPr>
              <w:t>2031</w:t>
            </w:r>
            <w:r w:rsidR="00CE4FCE" w:rsidRPr="00766CBF">
              <w:rPr>
                <w:rFonts w:ascii="Arial" w:hAnsi="Arial" w:cs="Arial"/>
                <w:lang w:val="es-ES"/>
              </w:rPr>
              <w:t>.</w:t>
            </w:r>
          </w:p>
        </w:tc>
      </w:tr>
      <w:tr w:rsidR="00D43503" w:rsidRPr="00316A81" w14:paraId="5E847E52" w14:textId="77777777" w:rsidTr="00316A81">
        <w:trPr>
          <w:trHeight w:val="404"/>
        </w:trPr>
        <w:tc>
          <w:tcPr>
            <w:tcW w:w="13248" w:type="dxa"/>
            <w:gridSpan w:val="4"/>
            <w:shd w:val="clear" w:color="auto" w:fill="D9D9D9" w:themeFill="background1" w:themeFillShade="D9"/>
            <w:vAlign w:val="center"/>
          </w:tcPr>
          <w:p w14:paraId="5E847E51" w14:textId="77777777" w:rsidR="00D43503" w:rsidRPr="00EA180F" w:rsidRDefault="00D43503" w:rsidP="00DA73F3">
            <w:pPr>
              <w:ind w:left="360"/>
              <w:rPr>
                <w:rFonts w:ascii="Arial" w:hAnsi="Arial" w:cs="Arial"/>
                <w:lang w:val="es-ES"/>
              </w:rPr>
            </w:pPr>
            <w:r w:rsidRPr="00EA180F">
              <w:rPr>
                <w:rFonts w:ascii="Arial" w:hAnsi="Arial" w:cs="Arial"/>
                <w:lang w:val="es-ES"/>
              </w:rPr>
              <w:t xml:space="preserve">Componente </w:t>
            </w:r>
            <w:r w:rsidR="00DA73F3" w:rsidRPr="00EA180F">
              <w:rPr>
                <w:rFonts w:ascii="Arial" w:hAnsi="Arial" w:cs="Arial"/>
                <w:lang w:val="es-ES"/>
              </w:rPr>
              <w:t>3</w:t>
            </w:r>
            <w:r w:rsidRPr="00EA180F">
              <w:rPr>
                <w:rFonts w:ascii="Arial" w:hAnsi="Arial" w:cs="Arial"/>
                <w:lang w:val="es-ES"/>
              </w:rPr>
              <w:t>. Promoción del acceso a la energía en ZNI</w:t>
            </w:r>
          </w:p>
        </w:tc>
      </w:tr>
      <w:tr w:rsidR="00D43503" w:rsidRPr="00316A81" w14:paraId="5E847E5A" w14:textId="77777777" w:rsidTr="00316A81">
        <w:tc>
          <w:tcPr>
            <w:tcW w:w="2718" w:type="dxa"/>
            <w:vMerge w:val="restart"/>
          </w:tcPr>
          <w:p w14:paraId="5E847E53" w14:textId="77777777" w:rsidR="00D43503" w:rsidRPr="001D11D7" w:rsidRDefault="00D43503" w:rsidP="00B0020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9E7358">
              <w:rPr>
                <w:rFonts w:ascii="Arial" w:hAnsi="Arial" w:cs="Arial"/>
                <w:b/>
                <w:szCs w:val="18"/>
                <w:lang w:val="es-BO"/>
              </w:rPr>
              <w:t>Promover el acceso a la energía en las ZNI mediante el uso de FNCER</w:t>
            </w:r>
            <w:r w:rsidRPr="001D11D7">
              <w:rPr>
                <w:rFonts w:ascii="Arial" w:hAnsi="Arial" w:cs="Arial"/>
                <w:szCs w:val="18"/>
                <w:lang w:val="es-BO"/>
              </w:rPr>
              <w:t>.</w:t>
            </w:r>
          </w:p>
        </w:tc>
        <w:tc>
          <w:tcPr>
            <w:tcW w:w="4230" w:type="dxa"/>
          </w:tcPr>
          <w:p w14:paraId="5E847E54" w14:textId="43EFEEF2" w:rsidR="00D43503" w:rsidRPr="00EE22AB" w:rsidRDefault="005E0A65" w:rsidP="005E0A65">
            <w:pPr>
              <w:jc w:val="both"/>
              <w:rPr>
                <w:rFonts w:ascii="Arial" w:hAnsi="Arial" w:cs="Arial"/>
                <w:lang w:val="es-ES"/>
              </w:rPr>
            </w:pPr>
            <w:r w:rsidRPr="00275BB3">
              <w:rPr>
                <w:rFonts w:ascii="Arial" w:hAnsi="Arial" w:cs="Arial"/>
                <w:lang w:val="es-ES"/>
              </w:rPr>
              <w:t xml:space="preserve">Reglamentación de la Ley 1715 de 2014, </w:t>
            </w:r>
            <w:r w:rsidR="00D43503" w:rsidRPr="00EE22AB">
              <w:rPr>
                <w:rFonts w:ascii="Arial" w:hAnsi="Arial" w:cs="Arial"/>
                <w:lang w:val="es-ES"/>
              </w:rPr>
              <w:t>referente al uso de FN</w:t>
            </w:r>
            <w:r w:rsidR="00A75AF0">
              <w:rPr>
                <w:rFonts w:ascii="Arial" w:hAnsi="Arial" w:cs="Arial"/>
                <w:lang w:val="es-ES"/>
              </w:rPr>
              <w:t>C</w:t>
            </w:r>
            <w:r w:rsidR="00D43503" w:rsidRPr="00EE22AB">
              <w:rPr>
                <w:rFonts w:ascii="Arial" w:hAnsi="Arial" w:cs="Arial"/>
                <w:lang w:val="es-ES"/>
              </w:rPr>
              <w:t>E</w:t>
            </w:r>
            <w:r w:rsidR="00AB01A4">
              <w:rPr>
                <w:rFonts w:ascii="Arial" w:hAnsi="Arial" w:cs="Arial"/>
                <w:lang w:val="es-ES"/>
              </w:rPr>
              <w:t>R</w:t>
            </w:r>
            <w:r w:rsidR="00D43503" w:rsidRPr="00EE22AB">
              <w:rPr>
                <w:rFonts w:ascii="Arial" w:hAnsi="Arial" w:cs="Arial"/>
                <w:lang w:val="es-ES"/>
              </w:rPr>
              <w:t xml:space="preserve"> en </w:t>
            </w:r>
            <w:r w:rsidR="00644E67" w:rsidRPr="00EE22AB">
              <w:rPr>
                <w:rFonts w:ascii="Arial" w:hAnsi="Arial" w:cs="Arial"/>
                <w:lang w:val="es-ES"/>
              </w:rPr>
              <w:t>las Z</w:t>
            </w:r>
            <w:r w:rsidR="00D43503" w:rsidRPr="00EE22AB">
              <w:rPr>
                <w:rFonts w:ascii="Arial" w:hAnsi="Arial" w:cs="Arial"/>
                <w:lang w:val="es-ES"/>
              </w:rPr>
              <w:t>NI:</w:t>
            </w:r>
          </w:p>
          <w:p w14:paraId="5E847E55" w14:textId="77777777" w:rsidR="00D43503" w:rsidRPr="00644E67" w:rsidRDefault="00D43503" w:rsidP="009D3234">
            <w:pPr>
              <w:pStyle w:val="ListParagraph"/>
              <w:numPr>
                <w:ilvl w:val="0"/>
                <w:numId w:val="42"/>
              </w:numPr>
              <w:spacing w:before="60"/>
              <w:jc w:val="both"/>
              <w:rPr>
                <w:rFonts w:ascii="Arial" w:hAnsi="Arial" w:cs="Arial"/>
                <w:lang w:val="es-ES"/>
              </w:rPr>
            </w:pPr>
            <w:r w:rsidRPr="00644E67">
              <w:rPr>
                <w:rFonts w:ascii="Arial" w:hAnsi="Arial" w:cs="Arial"/>
                <w:lang w:val="es-ES"/>
              </w:rPr>
              <w:t>Registro de Proyectos de Generación con FNCER conectables a la red y en ZNI</w:t>
            </w:r>
            <w:r w:rsidR="005E0A65">
              <w:rPr>
                <w:rFonts w:ascii="Arial" w:hAnsi="Arial" w:cs="Arial"/>
                <w:lang w:val="es-ES"/>
              </w:rPr>
              <w:t xml:space="preserve"> reglamentado</w:t>
            </w:r>
            <w:r w:rsidR="00644E67" w:rsidRPr="00644E67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</w:tcPr>
          <w:p w14:paraId="5E847E56" w14:textId="2025CF6C" w:rsidR="00D43503" w:rsidRPr="00A633A4" w:rsidRDefault="00D0716A" w:rsidP="00D72CCF">
            <w:pPr>
              <w:spacing w:before="60"/>
              <w:jc w:val="both"/>
              <w:rPr>
                <w:rFonts w:ascii="Arial" w:hAnsi="Arial" w:cs="Arial"/>
                <w:lang w:val="es-ES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AA03AD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 la </w:t>
            </w:r>
            <w:r w:rsidR="00EB2028" w:rsidRPr="00A633A4">
              <w:rPr>
                <w:rFonts w:ascii="Arial" w:hAnsi="Arial" w:cs="Arial"/>
                <w:lang w:val="es-ES_tradnl"/>
              </w:rPr>
              <w:t>Resolución UPME No. 143 de 2016</w:t>
            </w:r>
            <w:r w:rsidR="00226250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</w:t>
            </w:r>
            <w:r w:rsidR="00AA03AD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que </w:t>
            </w:r>
            <w:r w:rsidR="00226250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establece el Registro de Proyectos de Generación en ZNI</w:t>
            </w:r>
            <w:r w:rsidR="00D43503" w:rsidRPr="00A633A4">
              <w:rPr>
                <w:rFonts w:ascii="Arial" w:hAnsi="Arial" w:cs="Arial"/>
                <w:lang w:val="es-ES_tradnl"/>
              </w:rPr>
              <w:t xml:space="preserve">. </w:t>
            </w:r>
          </w:p>
        </w:tc>
        <w:tc>
          <w:tcPr>
            <w:tcW w:w="3420" w:type="dxa"/>
          </w:tcPr>
          <w:p w14:paraId="5E847E57" w14:textId="20B17445" w:rsidR="005E0A65" w:rsidRPr="00EE22AB" w:rsidRDefault="005E0A65" w:rsidP="005E0A65">
            <w:pPr>
              <w:jc w:val="both"/>
              <w:rPr>
                <w:rFonts w:ascii="Arial" w:hAnsi="Arial" w:cs="Arial"/>
                <w:lang w:val="es-ES"/>
              </w:rPr>
            </w:pPr>
            <w:r w:rsidRPr="00275BB3">
              <w:rPr>
                <w:rFonts w:ascii="Arial" w:hAnsi="Arial" w:cs="Arial"/>
                <w:lang w:val="es-ES"/>
              </w:rPr>
              <w:t xml:space="preserve">Reglamentación de la Ley 1715 de 2014, </w:t>
            </w:r>
            <w:r w:rsidRPr="00EE22AB">
              <w:rPr>
                <w:rFonts w:ascii="Arial" w:hAnsi="Arial" w:cs="Arial"/>
                <w:lang w:val="es-ES"/>
              </w:rPr>
              <w:t>referente al uso de FN</w:t>
            </w:r>
            <w:r w:rsidR="00A75AF0">
              <w:rPr>
                <w:rFonts w:ascii="Arial" w:hAnsi="Arial" w:cs="Arial"/>
                <w:lang w:val="es-ES"/>
              </w:rPr>
              <w:t>C</w:t>
            </w:r>
            <w:r w:rsidRPr="00EE22AB">
              <w:rPr>
                <w:rFonts w:ascii="Arial" w:hAnsi="Arial" w:cs="Arial"/>
                <w:lang w:val="es-ES"/>
              </w:rPr>
              <w:t>E</w:t>
            </w:r>
            <w:r>
              <w:rPr>
                <w:rFonts w:ascii="Arial" w:hAnsi="Arial" w:cs="Arial"/>
                <w:lang w:val="es-ES"/>
              </w:rPr>
              <w:t>R</w:t>
            </w:r>
            <w:r w:rsidRPr="00EE22AB">
              <w:rPr>
                <w:rFonts w:ascii="Arial" w:hAnsi="Arial" w:cs="Arial"/>
                <w:lang w:val="es-ES"/>
              </w:rPr>
              <w:t xml:space="preserve"> en las ZNI:</w:t>
            </w:r>
          </w:p>
          <w:p w14:paraId="5E847E58" w14:textId="77777777" w:rsidR="005E0A65" w:rsidRPr="006873C1" w:rsidRDefault="005E0A65" w:rsidP="005E0A6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E847E59" w14:textId="77777777" w:rsidR="00D43503" w:rsidRPr="00EE22AB" w:rsidRDefault="005E0A65" w:rsidP="005E0A65">
            <w:pPr>
              <w:jc w:val="both"/>
              <w:rPr>
                <w:rFonts w:ascii="Arial" w:hAnsi="Arial" w:cs="Arial"/>
                <w:lang w:val="es-ES"/>
              </w:rPr>
            </w:pPr>
            <w:r w:rsidRPr="00644E67">
              <w:rPr>
                <w:rFonts w:ascii="Arial" w:hAnsi="Arial" w:cs="Arial"/>
                <w:lang w:val="es-ES"/>
              </w:rPr>
              <w:t>Registro de Proyectos de Generación con FNCER conectables a la red y en ZNI</w:t>
            </w:r>
            <w:r>
              <w:rPr>
                <w:rFonts w:ascii="Arial" w:hAnsi="Arial" w:cs="Arial"/>
                <w:lang w:val="es-ES"/>
              </w:rPr>
              <w:t>, en operación.</w:t>
            </w:r>
          </w:p>
        </w:tc>
      </w:tr>
      <w:tr w:rsidR="00D43503" w:rsidRPr="00316A81" w14:paraId="5E847E61" w14:textId="77777777" w:rsidTr="00316A81">
        <w:tc>
          <w:tcPr>
            <w:tcW w:w="2718" w:type="dxa"/>
            <w:vMerge/>
          </w:tcPr>
          <w:p w14:paraId="5E847E5B" w14:textId="77777777" w:rsidR="00D43503" w:rsidRPr="00026592" w:rsidRDefault="00D43503" w:rsidP="001309F5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847E5C" w14:textId="77777777" w:rsidR="00D43503" w:rsidRPr="00026592" w:rsidRDefault="005E0A65" w:rsidP="00BE6AA3">
            <w:pPr>
              <w:jc w:val="both"/>
              <w:rPr>
                <w:rFonts w:ascii="Arial" w:hAnsi="Arial" w:cs="Arial"/>
                <w:lang w:val="es-ES"/>
              </w:rPr>
            </w:pPr>
            <w:r w:rsidRPr="00026592">
              <w:rPr>
                <w:rFonts w:ascii="Arial" w:hAnsi="Arial" w:cs="Arial"/>
                <w:lang w:val="es-ES"/>
              </w:rPr>
              <w:t>Adopción de</w:t>
            </w:r>
            <w:r w:rsidR="00D43503" w:rsidRPr="00026592">
              <w:rPr>
                <w:rFonts w:ascii="Arial" w:hAnsi="Arial" w:cs="Arial"/>
                <w:lang w:val="es-ES"/>
              </w:rPr>
              <w:t xml:space="preserve"> los lineamientos de política para la expansión de la cobertura del servicio de energía eléctrica en el SIN y en las ZNI</w:t>
            </w:r>
            <w:r w:rsidR="00926AFA" w:rsidRPr="00026592">
              <w:rPr>
                <w:rFonts w:ascii="Arial" w:hAnsi="Arial" w:cs="Arial"/>
                <w:lang w:val="es-ES"/>
              </w:rPr>
              <w:t xml:space="preserve"> con FNCER</w:t>
            </w:r>
            <w:r w:rsidR="00D43503" w:rsidRPr="00026592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E847E5F" w14:textId="5E7B7D3F" w:rsidR="00D43503" w:rsidRPr="00A633A4" w:rsidRDefault="00226250" w:rsidP="00EB2028">
            <w:pPr>
              <w:spacing w:before="60"/>
              <w:jc w:val="both"/>
              <w:rPr>
                <w:rFonts w:ascii="Arial" w:hAnsi="Arial" w:cs="Arial"/>
                <w:lang w:val="es-ES_tradnl"/>
              </w:rPr>
            </w:pPr>
            <w:r w:rsidRPr="00A633A4">
              <w:rPr>
                <w:rFonts w:ascii="Arial" w:hAnsi="Arial" w:cs="Arial"/>
                <w:lang w:val="es-ES_tradnl"/>
              </w:rPr>
              <w:t xml:space="preserve">Comunicación del </w:t>
            </w:r>
            <w:r w:rsidR="00A75AF0" w:rsidRPr="00A633A4">
              <w:rPr>
                <w:rFonts w:ascii="Arial" w:hAnsi="Arial" w:cs="Arial"/>
                <w:lang w:val="es-ES_tradnl"/>
              </w:rPr>
              <w:t xml:space="preserve">DNP </w:t>
            </w:r>
            <w:r w:rsidRPr="00A633A4">
              <w:rPr>
                <w:rFonts w:ascii="Arial" w:hAnsi="Arial" w:cs="Arial"/>
                <w:lang w:val="es-ES_tradnl"/>
              </w:rPr>
              <w:t xml:space="preserve">remitiendo: el </w:t>
            </w:r>
            <w:r w:rsidR="00EB2028" w:rsidRPr="00A633A4">
              <w:rPr>
                <w:rFonts w:ascii="Arial" w:hAnsi="Arial" w:cs="Arial"/>
                <w:lang w:val="es-ES_tradnl"/>
              </w:rPr>
              <w:t>Decreto No. 1623 de 2015</w:t>
            </w:r>
            <w:r w:rsidR="00D43503" w:rsidRPr="00A633A4">
              <w:rPr>
                <w:rFonts w:ascii="Arial" w:hAnsi="Arial" w:cs="Arial"/>
                <w:lang w:val="es-ES_tradnl"/>
              </w:rPr>
              <w:t xml:space="preserve"> </w:t>
            </w:r>
            <w:r w:rsidRPr="00A633A4">
              <w:rPr>
                <w:rFonts w:ascii="Arial" w:hAnsi="Arial" w:cs="Arial"/>
                <w:lang w:val="es-ES"/>
              </w:rPr>
              <w:t>que establece los lineamientos de política para la expansión de la cobertura del servicio de energía eléctrica en el SIN y en las ZNI;</w:t>
            </w:r>
            <w:r w:rsidR="00026592" w:rsidRPr="00A633A4">
              <w:rPr>
                <w:rFonts w:ascii="Arial" w:hAnsi="Arial" w:cs="Arial"/>
                <w:lang w:val="es-ES"/>
              </w:rPr>
              <w:t xml:space="preserve"> el</w:t>
            </w:r>
            <w:r w:rsidRPr="00A633A4">
              <w:rPr>
                <w:rFonts w:ascii="Arial" w:hAnsi="Arial" w:cs="Arial"/>
                <w:lang w:val="es-ES"/>
              </w:rPr>
              <w:t xml:space="preserve"> </w:t>
            </w:r>
            <w:r w:rsidR="00EB2028" w:rsidRPr="00A633A4">
              <w:rPr>
                <w:rFonts w:ascii="Arial" w:hAnsi="Arial" w:cs="Arial"/>
                <w:lang w:val="es-ES_tradnl"/>
              </w:rPr>
              <w:t>Decreto No. 1513 de 2016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que modifica los lineamientos de política </w:t>
            </w:r>
            <w:r w:rsidR="00026592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pública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en materia de expansión de la cobertura del servicio de energía eléctrica</w:t>
            </w:r>
            <w:r w:rsidR="00026592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;</w:t>
            </w:r>
            <w:r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 </w:t>
            </w:r>
            <w:r w:rsidR="00026592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 xml:space="preserve">y la </w:t>
            </w:r>
            <w:r w:rsidR="00EB2028" w:rsidRPr="00A633A4">
              <w:rPr>
                <w:rFonts w:ascii="Arial" w:hAnsi="Arial" w:cs="Arial"/>
                <w:lang w:val="es-ES_tradnl"/>
              </w:rPr>
              <w:t>Resolución MME No. 41039 de 2016</w:t>
            </w:r>
            <w:r w:rsidR="00026592" w:rsidRPr="00A633A4">
              <w:rPr>
                <w:rStyle w:val="Hyperlink"/>
                <w:rFonts w:ascii="Arial" w:hAnsi="Arial" w:cs="Arial"/>
                <w:color w:val="auto"/>
                <w:lang w:val="es-ES_tradnl"/>
              </w:rPr>
              <w:t xml:space="preserve"> </w:t>
            </w:r>
            <w:r w:rsidR="00026592" w:rsidRPr="00A633A4">
              <w:rPr>
                <w:rStyle w:val="Hyperlink"/>
                <w:rFonts w:ascii="Arial" w:hAnsi="Arial" w:cs="Arial"/>
                <w:color w:val="auto"/>
                <w:u w:val="none"/>
                <w:lang w:val="es-ES_tradnl"/>
              </w:rPr>
              <w:t>que adopta el Plan de Expansión de Referencia en Generación y Transmisión 2015 - 2029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847E60" w14:textId="506B6830" w:rsidR="00D43503" w:rsidRPr="00026592" w:rsidRDefault="005E0A65" w:rsidP="00A20677">
            <w:pPr>
              <w:jc w:val="both"/>
              <w:rPr>
                <w:rFonts w:ascii="Arial" w:hAnsi="Arial" w:cs="Arial"/>
                <w:lang w:val="es-ES"/>
              </w:rPr>
            </w:pPr>
            <w:r w:rsidRPr="00026592">
              <w:rPr>
                <w:rFonts w:ascii="Arial" w:hAnsi="Arial" w:cs="Arial"/>
                <w:lang w:val="es-ES"/>
              </w:rPr>
              <w:t xml:space="preserve">Concesión de </w:t>
            </w:r>
            <w:r w:rsidR="00D43503" w:rsidRPr="00026592">
              <w:rPr>
                <w:rFonts w:ascii="Arial" w:hAnsi="Arial" w:cs="Arial"/>
                <w:lang w:val="es-ES_tradnl"/>
              </w:rPr>
              <w:t xml:space="preserve">al menos una ZNI como área </w:t>
            </w:r>
            <w:r w:rsidR="00A329D9">
              <w:rPr>
                <w:rFonts w:ascii="Arial" w:hAnsi="Arial" w:cs="Arial"/>
                <w:lang w:val="es-ES_tradnl"/>
              </w:rPr>
              <w:t>bajo un modelo de esquema empresarial</w:t>
            </w:r>
            <w:r w:rsidR="00D43503" w:rsidRPr="00026592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14:paraId="5E847E62" w14:textId="77777777" w:rsidR="002906C2" w:rsidRPr="00026592" w:rsidRDefault="002906C2" w:rsidP="005E0A65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sectPr w:rsidR="002906C2" w:rsidRPr="00026592" w:rsidSect="00812FBF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7E65" w14:textId="77777777" w:rsidR="00502DD7" w:rsidRDefault="00502DD7">
      <w:r>
        <w:separator/>
      </w:r>
    </w:p>
  </w:endnote>
  <w:endnote w:type="continuationSeparator" w:id="0">
    <w:p w14:paraId="5E847E66" w14:textId="77777777" w:rsidR="00502DD7" w:rsidRDefault="0050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7E63" w14:textId="77777777" w:rsidR="00502DD7" w:rsidRDefault="00502DD7">
      <w:r>
        <w:separator/>
      </w:r>
    </w:p>
  </w:footnote>
  <w:footnote w:type="continuationSeparator" w:id="0">
    <w:p w14:paraId="5E847E64" w14:textId="77777777" w:rsidR="00502DD7" w:rsidRDefault="0050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230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5E847E67" w14:textId="73FAE94E" w:rsidR="00502DD7" w:rsidRPr="004873E8" w:rsidRDefault="004873E8">
        <w:pPr>
          <w:pStyle w:val="Header"/>
          <w:jc w:val="right"/>
          <w:rPr>
            <w:rFonts w:ascii="Arial" w:hAnsi="Arial" w:cs="Arial"/>
            <w:sz w:val="18"/>
          </w:rPr>
        </w:pPr>
        <w:r w:rsidRPr="004873E8">
          <w:rPr>
            <w:rFonts w:ascii="Arial" w:hAnsi="Arial" w:cs="Arial"/>
            <w:sz w:val="18"/>
          </w:rPr>
          <w:t xml:space="preserve">Página </w:t>
        </w:r>
        <w:r w:rsidR="00502DD7" w:rsidRPr="004873E8">
          <w:rPr>
            <w:rFonts w:ascii="Arial" w:hAnsi="Arial" w:cs="Arial"/>
            <w:sz w:val="18"/>
          </w:rPr>
          <w:fldChar w:fldCharType="begin"/>
        </w:r>
        <w:r w:rsidR="00502DD7" w:rsidRPr="004873E8">
          <w:rPr>
            <w:rFonts w:ascii="Arial" w:hAnsi="Arial" w:cs="Arial"/>
            <w:sz w:val="18"/>
          </w:rPr>
          <w:instrText xml:space="preserve"> PAGE   \* MERGEFORMAT </w:instrText>
        </w:r>
        <w:r w:rsidR="00502DD7" w:rsidRPr="004873E8">
          <w:rPr>
            <w:rFonts w:ascii="Arial" w:hAnsi="Arial" w:cs="Arial"/>
            <w:sz w:val="18"/>
          </w:rPr>
          <w:fldChar w:fldCharType="separate"/>
        </w:r>
        <w:r w:rsidR="00316A81">
          <w:rPr>
            <w:rFonts w:ascii="Arial" w:hAnsi="Arial" w:cs="Arial"/>
            <w:noProof/>
            <w:sz w:val="18"/>
          </w:rPr>
          <w:t>1</w:t>
        </w:r>
        <w:r w:rsidR="00502DD7" w:rsidRPr="004873E8">
          <w:rPr>
            <w:rFonts w:ascii="Arial" w:hAnsi="Arial" w:cs="Arial"/>
            <w:noProof/>
            <w:sz w:val="18"/>
          </w:rPr>
          <w:fldChar w:fldCharType="end"/>
        </w:r>
        <w:r w:rsidRPr="004873E8">
          <w:rPr>
            <w:rFonts w:ascii="Arial" w:hAnsi="Arial" w:cs="Arial"/>
            <w:noProof/>
            <w:sz w:val="18"/>
          </w:rPr>
          <w:t xml:space="preserve"> de </w:t>
        </w:r>
        <w:r>
          <w:rPr>
            <w:rFonts w:ascii="Arial" w:hAnsi="Arial" w:cs="Arial"/>
            <w:noProof/>
            <w:sz w:val="18"/>
          </w:rPr>
          <w:t>6</w:t>
        </w:r>
      </w:p>
    </w:sdtContent>
  </w:sdt>
  <w:p w14:paraId="5E847E68" w14:textId="77777777" w:rsidR="00502DD7" w:rsidRPr="00A3582C" w:rsidRDefault="00502DD7" w:rsidP="00A35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EA"/>
    <w:multiLevelType w:val="hybridMultilevel"/>
    <w:tmpl w:val="ACD26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495"/>
    <w:multiLevelType w:val="hybridMultilevel"/>
    <w:tmpl w:val="D35E5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B77"/>
    <w:multiLevelType w:val="hybridMultilevel"/>
    <w:tmpl w:val="9D904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1418"/>
    <w:multiLevelType w:val="hybridMultilevel"/>
    <w:tmpl w:val="D924E68C"/>
    <w:lvl w:ilvl="0" w:tplc="C1B0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FE20CC9"/>
    <w:multiLevelType w:val="hybridMultilevel"/>
    <w:tmpl w:val="58B22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3D18"/>
    <w:multiLevelType w:val="hybridMultilevel"/>
    <w:tmpl w:val="AC28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E1C92"/>
    <w:multiLevelType w:val="hybridMultilevel"/>
    <w:tmpl w:val="9BF20940"/>
    <w:lvl w:ilvl="0" w:tplc="360C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0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6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E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765578"/>
    <w:multiLevelType w:val="hybridMultilevel"/>
    <w:tmpl w:val="2FE6E8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41ACB"/>
    <w:multiLevelType w:val="hybridMultilevel"/>
    <w:tmpl w:val="2CA06596"/>
    <w:lvl w:ilvl="0" w:tplc="AD2E3CA0">
      <w:start w:val="1"/>
      <w:numFmt w:val="lowerRoman"/>
      <w:lvlText w:val="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164510C1"/>
    <w:multiLevelType w:val="hybridMultilevel"/>
    <w:tmpl w:val="F1FE5E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25E9A"/>
    <w:multiLevelType w:val="hybridMultilevel"/>
    <w:tmpl w:val="F70885EE"/>
    <w:lvl w:ilvl="0" w:tplc="61241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0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6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F60698"/>
    <w:multiLevelType w:val="hybridMultilevel"/>
    <w:tmpl w:val="43209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947DD"/>
    <w:multiLevelType w:val="hybridMultilevel"/>
    <w:tmpl w:val="4224E5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EE1FE9"/>
    <w:multiLevelType w:val="hybridMultilevel"/>
    <w:tmpl w:val="19E25654"/>
    <w:lvl w:ilvl="0" w:tplc="13366E2C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AD1E41"/>
    <w:multiLevelType w:val="hybridMultilevel"/>
    <w:tmpl w:val="2F8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F08CE"/>
    <w:multiLevelType w:val="hybridMultilevel"/>
    <w:tmpl w:val="DE145C06"/>
    <w:lvl w:ilvl="0" w:tplc="C510A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60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A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2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90A08"/>
    <w:multiLevelType w:val="hybridMultilevel"/>
    <w:tmpl w:val="CBB097DE"/>
    <w:lvl w:ilvl="0" w:tplc="C1B0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00071"/>
    <w:multiLevelType w:val="hybridMultilevel"/>
    <w:tmpl w:val="1B5013D2"/>
    <w:lvl w:ilvl="0" w:tplc="AD2A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6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A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E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2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F41277"/>
    <w:multiLevelType w:val="hybridMultilevel"/>
    <w:tmpl w:val="2872F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A1712"/>
    <w:multiLevelType w:val="hybridMultilevel"/>
    <w:tmpl w:val="8006C4A0"/>
    <w:lvl w:ilvl="0" w:tplc="CEA66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EF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9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06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0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20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D04355"/>
    <w:multiLevelType w:val="hybridMultilevel"/>
    <w:tmpl w:val="E9CE0E16"/>
    <w:lvl w:ilvl="0" w:tplc="394C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55BB6"/>
    <w:multiLevelType w:val="hybridMultilevel"/>
    <w:tmpl w:val="412C96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C62766"/>
    <w:multiLevelType w:val="hybridMultilevel"/>
    <w:tmpl w:val="6ACCA574"/>
    <w:lvl w:ilvl="0" w:tplc="F2F6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C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4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6E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4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2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D571D53"/>
    <w:multiLevelType w:val="hybridMultilevel"/>
    <w:tmpl w:val="47785E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DF6EA8"/>
    <w:multiLevelType w:val="hybridMultilevel"/>
    <w:tmpl w:val="BE1A980C"/>
    <w:lvl w:ilvl="0" w:tplc="C1B0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544A2"/>
    <w:multiLevelType w:val="hybridMultilevel"/>
    <w:tmpl w:val="DF2AC910"/>
    <w:lvl w:ilvl="0" w:tplc="FECC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D3716"/>
    <w:multiLevelType w:val="hybridMultilevel"/>
    <w:tmpl w:val="08F0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0172A"/>
    <w:multiLevelType w:val="hybridMultilevel"/>
    <w:tmpl w:val="BF5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C0C9F"/>
    <w:multiLevelType w:val="hybridMultilevel"/>
    <w:tmpl w:val="20549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478C"/>
    <w:multiLevelType w:val="hybridMultilevel"/>
    <w:tmpl w:val="F854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068E7"/>
    <w:multiLevelType w:val="hybridMultilevel"/>
    <w:tmpl w:val="5FE4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43207"/>
    <w:multiLevelType w:val="hybridMultilevel"/>
    <w:tmpl w:val="AA6209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5276A"/>
    <w:multiLevelType w:val="hybridMultilevel"/>
    <w:tmpl w:val="A4CA5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94223"/>
    <w:multiLevelType w:val="hybridMultilevel"/>
    <w:tmpl w:val="D91496F2"/>
    <w:lvl w:ilvl="0" w:tplc="499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9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6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4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1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C8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6E754E"/>
    <w:multiLevelType w:val="hybridMultilevel"/>
    <w:tmpl w:val="A10E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93B76"/>
    <w:multiLevelType w:val="hybridMultilevel"/>
    <w:tmpl w:val="936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B447C"/>
    <w:multiLevelType w:val="hybridMultilevel"/>
    <w:tmpl w:val="CCA464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143CA"/>
    <w:multiLevelType w:val="hybridMultilevel"/>
    <w:tmpl w:val="49000742"/>
    <w:lvl w:ilvl="0" w:tplc="A0F43EE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2026D"/>
    <w:multiLevelType w:val="hybridMultilevel"/>
    <w:tmpl w:val="8E48F0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9C564A"/>
    <w:multiLevelType w:val="hybridMultilevel"/>
    <w:tmpl w:val="4C8ACD4A"/>
    <w:lvl w:ilvl="0" w:tplc="0C82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A655D"/>
    <w:multiLevelType w:val="hybridMultilevel"/>
    <w:tmpl w:val="238C11EC"/>
    <w:lvl w:ilvl="0" w:tplc="08726D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12E0A"/>
    <w:multiLevelType w:val="hybridMultilevel"/>
    <w:tmpl w:val="E5F4438C"/>
    <w:lvl w:ilvl="0" w:tplc="C1B0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4"/>
  </w:num>
  <w:num w:numId="4">
    <w:abstractNumId w:val="9"/>
  </w:num>
  <w:num w:numId="5">
    <w:abstractNumId w:val="38"/>
  </w:num>
  <w:num w:numId="6">
    <w:abstractNumId w:val="2"/>
  </w:num>
  <w:num w:numId="7">
    <w:abstractNumId w:val="19"/>
  </w:num>
  <w:num w:numId="8">
    <w:abstractNumId w:val="10"/>
  </w:num>
  <w:num w:numId="9">
    <w:abstractNumId w:val="39"/>
  </w:num>
  <w:num w:numId="10">
    <w:abstractNumId w:val="35"/>
  </w:num>
  <w:num w:numId="11">
    <w:abstractNumId w:val="6"/>
  </w:num>
  <w:num w:numId="12">
    <w:abstractNumId w:val="33"/>
  </w:num>
  <w:num w:numId="13">
    <w:abstractNumId w:val="30"/>
  </w:num>
  <w:num w:numId="14">
    <w:abstractNumId w:val="1"/>
  </w:num>
  <w:num w:numId="15">
    <w:abstractNumId w:val="36"/>
  </w:num>
  <w:num w:numId="16">
    <w:abstractNumId w:val="28"/>
  </w:num>
  <w:num w:numId="17">
    <w:abstractNumId w:val="27"/>
  </w:num>
  <w:num w:numId="18">
    <w:abstractNumId w:val="31"/>
  </w:num>
  <w:num w:numId="19">
    <w:abstractNumId w:val="18"/>
  </w:num>
  <w:num w:numId="20">
    <w:abstractNumId w:val="11"/>
  </w:num>
  <w:num w:numId="21">
    <w:abstractNumId w:val="23"/>
  </w:num>
  <w:num w:numId="22">
    <w:abstractNumId w:val="16"/>
  </w:num>
  <w:num w:numId="23">
    <w:abstractNumId w:val="34"/>
  </w:num>
  <w:num w:numId="24">
    <w:abstractNumId w:val="20"/>
  </w:num>
  <w:num w:numId="25">
    <w:abstractNumId w:val="7"/>
  </w:num>
  <w:num w:numId="26">
    <w:abstractNumId w:val="21"/>
  </w:num>
  <w:num w:numId="27">
    <w:abstractNumId w:val="42"/>
  </w:num>
  <w:num w:numId="28">
    <w:abstractNumId w:val="25"/>
  </w:num>
  <w:num w:numId="29">
    <w:abstractNumId w:val="3"/>
  </w:num>
  <w:num w:numId="30">
    <w:abstractNumId w:val="17"/>
  </w:num>
  <w:num w:numId="31">
    <w:abstractNumId w:val="12"/>
  </w:num>
  <w:num w:numId="32">
    <w:abstractNumId w:val="37"/>
  </w:num>
  <w:num w:numId="33">
    <w:abstractNumId w:val="15"/>
  </w:num>
  <w:num w:numId="34">
    <w:abstractNumId w:val="40"/>
  </w:num>
  <w:num w:numId="35">
    <w:abstractNumId w:val="0"/>
  </w:num>
  <w:num w:numId="36">
    <w:abstractNumId w:val="26"/>
  </w:num>
  <w:num w:numId="37">
    <w:abstractNumId w:val="29"/>
  </w:num>
  <w:num w:numId="38">
    <w:abstractNumId w:val="32"/>
  </w:num>
  <w:num w:numId="39">
    <w:abstractNumId w:val="22"/>
  </w:num>
  <w:num w:numId="40">
    <w:abstractNumId w:val="5"/>
  </w:num>
  <w:num w:numId="41">
    <w:abstractNumId w:val="24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8"/>
    <w:rsid w:val="00000531"/>
    <w:rsid w:val="00000608"/>
    <w:rsid w:val="00002B34"/>
    <w:rsid w:val="00002D15"/>
    <w:rsid w:val="000053F5"/>
    <w:rsid w:val="000062D5"/>
    <w:rsid w:val="000069D4"/>
    <w:rsid w:val="00011552"/>
    <w:rsid w:val="00013B28"/>
    <w:rsid w:val="00017D38"/>
    <w:rsid w:val="00020A03"/>
    <w:rsid w:val="00025356"/>
    <w:rsid w:val="00026592"/>
    <w:rsid w:val="0003171A"/>
    <w:rsid w:val="0003235E"/>
    <w:rsid w:val="000329B9"/>
    <w:rsid w:val="00032B5B"/>
    <w:rsid w:val="00034A08"/>
    <w:rsid w:val="00035F14"/>
    <w:rsid w:val="00036F46"/>
    <w:rsid w:val="00040206"/>
    <w:rsid w:val="00041117"/>
    <w:rsid w:val="00042CDF"/>
    <w:rsid w:val="000461E0"/>
    <w:rsid w:val="00051470"/>
    <w:rsid w:val="0005379B"/>
    <w:rsid w:val="00053BEF"/>
    <w:rsid w:val="00054E89"/>
    <w:rsid w:val="000556A8"/>
    <w:rsid w:val="00055F4F"/>
    <w:rsid w:val="00056198"/>
    <w:rsid w:val="00056F23"/>
    <w:rsid w:val="00057A56"/>
    <w:rsid w:val="0006072C"/>
    <w:rsid w:val="000612F6"/>
    <w:rsid w:val="00061C92"/>
    <w:rsid w:val="00064111"/>
    <w:rsid w:val="00066B68"/>
    <w:rsid w:val="00066B7B"/>
    <w:rsid w:val="00067D40"/>
    <w:rsid w:val="00067F44"/>
    <w:rsid w:val="000717FE"/>
    <w:rsid w:val="00072106"/>
    <w:rsid w:val="00073326"/>
    <w:rsid w:val="0007538D"/>
    <w:rsid w:val="00077961"/>
    <w:rsid w:val="00077DB1"/>
    <w:rsid w:val="0008081A"/>
    <w:rsid w:val="00081C7E"/>
    <w:rsid w:val="00083F05"/>
    <w:rsid w:val="00084B52"/>
    <w:rsid w:val="0009095A"/>
    <w:rsid w:val="00091396"/>
    <w:rsid w:val="00093545"/>
    <w:rsid w:val="00093DDA"/>
    <w:rsid w:val="00094614"/>
    <w:rsid w:val="0009563E"/>
    <w:rsid w:val="00095E3A"/>
    <w:rsid w:val="000A20F8"/>
    <w:rsid w:val="000A6C03"/>
    <w:rsid w:val="000A7B47"/>
    <w:rsid w:val="000B09DC"/>
    <w:rsid w:val="000B2795"/>
    <w:rsid w:val="000B409C"/>
    <w:rsid w:val="000B4645"/>
    <w:rsid w:val="000B4D4E"/>
    <w:rsid w:val="000B4DBB"/>
    <w:rsid w:val="000B5BE9"/>
    <w:rsid w:val="000C005D"/>
    <w:rsid w:val="000C08ED"/>
    <w:rsid w:val="000C0E0E"/>
    <w:rsid w:val="000C1C2D"/>
    <w:rsid w:val="000C3F84"/>
    <w:rsid w:val="000C42A3"/>
    <w:rsid w:val="000C49A7"/>
    <w:rsid w:val="000D15F1"/>
    <w:rsid w:val="000D4B8E"/>
    <w:rsid w:val="000D75A6"/>
    <w:rsid w:val="000D7D6B"/>
    <w:rsid w:val="000E0DDC"/>
    <w:rsid w:val="000E18D2"/>
    <w:rsid w:val="000E1EFB"/>
    <w:rsid w:val="000E4887"/>
    <w:rsid w:val="000E54B7"/>
    <w:rsid w:val="000E704B"/>
    <w:rsid w:val="000E73C2"/>
    <w:rsid w:val="000F1C75"/>
    <w:rsid w:val="000F563D"/>
    <w:rsid w:val="001021FE"/>
    <w:rsid w:val="00102DDA"/>
    <w:rsid w:val="001074CF"/>
    <w:rsid w:val="00107706"/>
    <w:rsid w:val="00110090"/>
    <w:rsid w:val="00110910"/>
    <w:rsid w:val="001146B9"/>
    <w:rsid w:val="0011593B"/>
    <w:rsid w:val="00120214"/>
    <w:rsid w:val="00121650"/>
    <w:rsid w:val="001233D4"/>
    <w:rsid w:val="0012346A"/>
    <w:rsid w:val="00126DB5"/>
    <w:rsid w:val="001309F5"/>
    <w:rsid w:val="001317B5"/>
    <w:rsid w:val="00132F78"/>
    <w:rsid w:val="001350B4"/>
    <w:rsid w:val="0013762B"/>
    <w:rsid w:val="00137948"/>
    <w:rsid w:val="00141143"/>
    <w:rsid w:val="001413B5"/>
    <w:rsid w:val="001415E7"/>
    <w:rsid w:val="00142BA9"/>
    <w:rsid w:val="00143C21"/>
    <w:rsid w:val="00145A68"/>
    <w:rsid w:val="00146CFF"/>
    <w:rsid w:val="00150684"/>
    <w:rsid w:val="00150F64"/>
    <w:rsid w:val="0015368F"/>
    <w:rsid w:val="00154C24"/>
    <w:rsid w:val="00160D60"/>
    <w:rsid w:val="001636CE"/>
    <w:rsid w:val="0017077E"/>
    <w:rsid w:val="001718A3"/>
    <w:rsid w:val="00171A51"/>
    <w:rsid w:val="00171BEB"/>
    <w:rsid w:val="00174232"/>
    <w:rsid w:val="001774D0"/>
    <w:rsid w:val="0018023C"/>
    <w:rsid w:val="00182722"/>
    <w:rsid w:val="00182C77"/>
    <w:rsid w:val="001841FC"/>
    <w:rsid w:val="001848BC"/>
    <w:rsid w:val="00184F98"/>
    <w:rsid w:val="001878DB"/>
    <w:rsid w:val="00190573"/>
    <w:rsid w:val="00191E78"/>
    <w:rsid w:val="00194D31"/>
    <w:rsid w:val="001954DD"/>
    <w:rsid w:val="00197265"/>
    <w:rsid w:val="001A1732"/>
    <w:rsid w:val="001A23C3"/>
    <w:rsid w:val="001A260B"/>
    <w:rsid w:val="001A284C"/>
    <w:rsid w:val="001A35E0"/>
    <w:rsid w:val="001A40D5"/>
    <w:rsid w:val="001A712B"/>
    <w:rsid w:val="001A7E98"/>
    <w:rsid w:val="001B14CC"/>
    <w:rsid w:val="001B2699"/>
    <w:rsid w:val="001B61FB"/>
    <w:rsid w:val="001B6DCB"/>
    <w:rsid w:val="001B7917"/>
    <w:rsid w:val="001C18A8"/>
    <w:rsid w:val="001C30FD"/>
    <w:rsid w:val="001C3A3F"/>
    <w:rsid w:val="001C4076"/>
    <w:rsid w:val="001C4B2C"/>
    <w:rsid w:val="001C6067"/>
    <w:rsid w:val="001D0054"/>
    <w:rsid w:val="001D0F3D"/>
    <w:rsid w:val="001D11D7"/>
    <w:rsid w:val="001D1698"/>
    <w:rsid w:val="001D3A32"/>
    <w:rsid w:val="001D4BBD"/>
    <w:rsid w:val="001D6045"/>
    <w:rsid w:val="001D641E"/>
    <w:rsid w:val="001E1021"/>
    <w:rsid w:val="001E1721"/>
    <w:rsid w:val="001E3DCB"/>
    <w:rsid w:val="001E4084"/>
    <w:rsid w:val="001E5A27"/>
    <w:rsid w:val="001E7E92"/>
    <w:rsid w:val="001F17D1"/>
    <w:rsid w:val="001F1963"/>
    <w:rsid w:val="001F1BC7"/>
    <w:rsid w:val="001F1FAE"/>
    <w:rsid w:val="001F2716"/>
    <w:rsid w:val="001F282E"/>
    <w:rsid w:val="001F396F"/>
    <w:rsid w:val="001F4940"/>
    <w:rsid w:val="001F5FAF"/>
    <w:rsid w:val="001F74B5"/>
    <w:rsid w:val="00201FC4"/>
    <w:rsid w:val="00202F4A"/>
    <w:rsid w:val="00205B61"/>
    <w:rsid w:val="00210B73"/>
    <w:rsid w:val="00211CB8"/>
    <w:rsid w:val="00213257"/>
    <w:rsid w:val="002137F8"/>
    <w:rsid w:val="0021583A"/>
    <w:rsid w:val="002173F4"/>
    <w:rsid w:val="00220A57"/>
    <w:rsid w:val="00220E0F"/>
    <w:rsid w:val="002216C7"/>
    <w:rsid w:val="00226250"/>
    <w:rsid w:val="00226C80"/>
    <w:rsid w:val="0022718E"/>
    <w:rsid w:val="00231DB5"/>
    <w:rsid w:val="0023615E"/>
    <w:rsid w:val="00236F1B"/>
    <w:rsid w:val="00237C52"/>
    <w:rsid w:val="0024125C"/>
    <w:rsid w:val="00241321"/>
    <w:rsid w:val="0024174B"/>
    <w:rsid w:val="00241FFD"/>
    <w:rsid w:val="002449A3"/>
    <w:rsid w:val="00244C10"/>
    <w:rsid w:val="00244E10"/>
    <w:rsid w:val="00252C9A"/>
    <w:rsid w:val="002545F7"/>
    <w:rsid w:val="00255341"/>
    <w:rsid w:val="002556DC"/>
    <w:rsid w:val="002601FE"/>
    <w:rsid w:val="00262DB0"/>
    <w:rsid w:val="00262E1D"/>
    <w:rsid w:val="0026412E"/>
    <w:rsid w:val="002645D5"/>
    <w:rsid w:val="002646C8"/>
    <w:rsid w:val="0026516F"/>
    <w:rsid w:val="00266E8A"/>
    <w:rsid w:val="0027389E"/>
    <w:rsid w:val="002750B1"/>
    <w:rsid w:val="00275BB3"/>
    <w:rsid w:val="0027653B"/>
    <w:rsid w:val="00280B14"/>
    <w:rsid w:val="00281DBD"/>
    <w:rsid w:val="002830F4"/>
    <w:rsid w:val="002847CF"/>
    <w:rsid w:val="00286682"/>
    <w:rsid w:val="00286F91"/>
    <w:rsid w:val="002877F7"/>
    <w:rsid w:val="002906C2"/>
    <w:rsid w:val="002908BA"/>
    <w:rsid w:val="00291082"/>
    <w:rsid w:val="00295E60"/>
    <w:rsid w:val="002A3458"/>
    <w:rsid w:val="002A4709"/>
    <w:rsid w:val="002A5556"/>
    <w:rsid w:val="002A7BCA"/>
    <w:rsid w:val="002B0182"/>
    <w:rsid w:val="002B0EF0"/>
    <w:rsid w:val="002B3FD2"/>
    <w:rsid w:val="002B4AA6"/>
    <w:rsid w:val="002B6ABE"/>
    <w:rsid w:val="002B6B86"/>
    <w:rsid w:val="002B7BC9"/>
    <w:rsid w:val="002C2C98"/>
    <w:rsid w:val="002C43F6"/>
    <w:rsid w:val="002C79D4"/>
    <w:rsid w:val="002D07D2"/>
    <w:rsid w:val="002D1631"/>
    <w:rsid w:val="002D3379"/>
    <w:rsid w:val="002D3725"/>
    <w:rsid w:val="002D670E"/>
    <w:rsid w:val="002D68F7"/>
    <w:rsid w:val="002E231B"/>
    <w:rsid w:val="002E243E"/>
    <w:rsid w:val="002E2547"/>
    <w:rsid w:val="002E2608"/>
    <w:rsid w:val="002E2F31"/>
    <w:rsid w:val="002E4F8E"/>
    <w:rsid w:val="002E55D8"/>
    <w:rsid w:val="002E71B1"/>
    <w:rsid w:val="002E76B8"/>
    <w:rsid w:val="002E78CC"/>
    <w:rsid w:val="002E7A5C"/>
    <w:rsid w:val="002F116A"/>
    <w:rsid w:val="002F3CED"/>
    <w:rsid w:val="002F449F"/>
    <w:rsid w:val="002F4C3F"/>
    <w:rsid w:val="002F50FA"/>
    <w:rsid w:val="00301778"/>
    <w:rsid w:val="00302A94"/>
    <w:rsid w:val="00304A43"/>
    <w:rsid w:val="0030524F"/>
    <w:rsid w:val="00306E6E"/>
    <w:rsid w:val="00307C69"/>
    <w:rsid w:val="00307CC4"/>
    <w:rsid w:val="00310115"/>
    <w:rsid w:val="00316A81"/>
    <w:rsid w:val="003175C9"/>
    <w:rsid w:val="0032099F"/>
    <w:rsid w:val="00320C13"/>
    <w:rsid w:val="00322B06"/>
    <w:rsid w:val="00323BB2"/>
    <w:rsid w:val="00323D5F"/>
    <w:rsid w:val="003253D1"/>
    <w:rsid w:val="003259FB"/>
    <w:rsid w:val="003313DB"/>
    <w:rsid w:val="003318CE"/>
    <w:rsid w:val="00332E86"/>
    <w:rsid w:val="003336C1"/>
    <w:rsid w:val="00335B6A"/>
    <w:rsid w:val="00337FA9"/>
    <w:rsid w:val="00341082"/>
    <w:rsid w:val="003427D0"/>
    <w:rsid w:val="00342ADA"/>
    <w:rsid w:val="00342E17"/>
    <w:rsid w:val="00344234"/>
    <w:rsid w:val="00345E5A"/>
    <w:rsid w:val="0034688C"/>
    <w:rsid w:val="00347CAD"/>
    <w:rsid w:val="003514A2"/>
    <w:rsid w:val="00353623"/>
    <w:rsid w:val="003548ED"/>
    <w:rsid w:val="00355501"/>
    <w:rsid w:val="003567EA"/>
    <w:rsid w:val="00356EEB"/>
    <w:rsid w:val="003572CC"/>
    <w:rsid w:val="003575B6"/>
    <w:rsid w:val="003611FC"/>
    <w:rsid w:val="003612E2"/>
    <w:rsid w:val="0036131E"/>
    <w:rsid w:val="00361A69"/>
    <w:rsid w:val="003628B8"/>
    <w:rsid w:val="003631CC"/>
    <w:rsid w:val="00363B08"/>
    <w:rsid w:val="00364864"/>
    <w:rsid w:val="003662E4"/>
    <w:rsid w:val="003671CA"/>
    <w:rsid w:val="00370260"/>
    <w:rsid w:val="00370DC9"/>
    <w:rsid w:val="00372386"/>
    <w:rsid w:val="00374554"/>
    <w:rsid w:val="00375122"/>
    <w:rsid w:val="00376C12"/>
    <w:rsid w:val="00380F57"/>
    <w:rsid w:val="003813E0"/>
    <w:rsid w:val="003824CA"/>
    <w:rsid w:val="0038280E"/>
    <w:rsid w:val="00385412"/>
    <w:rsid w:val="00385D35"/>
    <w:rsid w:val="003873BC"/>
    <w:rsid w:val="003900FE"/>
    <w:rsid w:val="00391A62"/>
    <w:rsid w:val="00395BBB"/>
    <w:rsid w:val="003A0749"/>
    <w:rsid w:val="003A2977"/>
    <w:rsid w:val="003A2A52"/>
    <w:rsid w:val="003A3BF7"/>
    <w:rsid w:val="003A4DDE"/>
    <w:rsid w:val="003A68FE"/>
    <w:rsid w:val="003B4039"/>
    <w:rsid w:val="003B51E4"/>
    <w:rsid w:val="003B5778"/>
    <w:rsid w:val="003B5EC8"/>
    <w:rsid w:val="003B7215"/>
    <w:rsid w:val="003C25EB"/>
    <w:rsid w:val="003C325B"/>
    <w:rsid w:val="003C351F"/>
    <w:rsid w:val="003C508A"/>
    <w:rsid w:val="003C6586"/>
    <w:rsid w:val="003C6F0A"/>
    <w:rsid w:val="003D09AB"/>
    <w:rsid w:val="003D19DE"/>
    <w:rsid w:val="003D27EA"/>
    <w:rsid w:val="003D6F26"/>
    <w:rsid w:val="003E0840"/>
    <w:rsid w:val="003E13D9"/>
    <w:rsid w:val="003E1E99"/>
    <w:rsid w:val="003E3A0D"/>
    <w:rsid w:val="003E4117"/>
    <w:rsid w:val="003E4ECF"/>
    <w:rsid w:val="003E5BB3"/>
    <w:rsid w:val="003E6C1D"/>
    <w:rsid w:val="003E6D6F"/>
    <w:rsid w:val="003E713C"/>
    <w:rsid w:val="003E7C85"/>
    <w:rsid w:val="003F12D8"/>
    <w:rsid w:val="003F26BF"/>
    <w:rsid w:val="003F3B0C"/>
    <w:rsid w:val="003F4DD2"/>
    <w:rsid w:val="003F75C3"/>
    <w:rsid w:val="0040345F"/>
    <w:rsid w:val="0040454F"/>
    <w:rsid w:val="004047EA"/>
    <w:rsid w:val="00406369"/>
    <w:rsid w:val="00406B81"/>
    <w:rsid w:val="00406E2F"/>
    <w:rsid w:val="00410BE6"/>
    <w:rsid w:val="00413ADB"/>
    <w:rsid w:val="00414655"/>
    <w:rsid w:val="004146B9"/>
    <w:rsid w:val="0041553F"/>
    <w:rsid w:val="00420100"/>
    <w:rsid w:val="00422B8E"/>
    <w:rsid w:val="00422EFC"/>
    <w:rsid w:val="00424DC4"/>
    <w:rsid w:val="00424E77"/>
    <w:rsid w:val="00426256"/>
    <w:rsid w:val="00430D7F"/>
    <w:rsid w:val="00430DFA"/>
    <w:rsid w:val="00430FC5"/>
    <w:rsid w:val="004315B7"/>
    <w:rsid w:val="00431D2B"/>
    <w:rsid w:val="00432FCE"/>
    <w:rsid w:val="004344E7"/>
    <w:rsid w:val="004350AD"/>
    <w:rsid w:val="004359C5"/>
    <w:rsid w:val="00435DFD"/>
    <w:rsid w:val="00436C37"/>
    <w:rsid w:val="004378D6"/>
    <w:rsid w:val="004379B4"/>
    <w:rsid w:val="00442B41"/>
    <w:rsid w:val="0044301B"/>
    <w:rsid w:val="00445BFD"/>
    <w:rsid w:val="00446109"/>
    <w:rsid w:val="00447A44"/>
    <w:rsid w:val="0045058E"/>
    <w:rsid w:val="00450929"/>
    <w:rsid w:val="00454AB5"/>
    <w:rsid w:val="00454CE5"/>
    <w:rsid w:val="004551F8"/>
    <w:rsid w:val="00460093"/>
    <w:rsid w:val="00460879"/>
    <w:rsid w:val="00460E64"/>
    <w:rsid w:val="00460F00"/>
    <w:rsid w:val="00464497"/>
    <w:rsid w:val="00465AF7"/>
    <w:rsid w:val="00466383"/>
    <w:rsid w:val="004703DC"/>
    <w:rsid w:val="00470BF1"/>
    <w:rsid w:val="00470C5A"/>
    <w:rsid w:val="00470F56"/>
    <w:rsid w:val="004747E5"/>
    <w:rsid w:val="004764DF"/>
    <w:rsid w:val="00477192"/>
    <w:rsid w:val="0048049B"/>
    <w:rsid w:val="00480F6C"/>
    <w:rsid w:val="00481F56"/>
    <w:rsid w:val="00485C26"/>
    <w:rsid w:val="00486585"/>
    <w:rsid w:val="00486972"/>
    <w:rsid w:val="004873E8"/>
    <w:rsid w:val="0049177F"/>
    <w:rsid w:val="00496C07"/>
    <w:rsid w:val="004A0922"/>
    <w:rsid w:val="004A0EF9"/>
    <w:rsid w:val="004A0F70"/>
    <w:rsid w:val="004A105C"/>
    <w:rsid w:val="004A30D6"/>
    <w:rsid w:val="004A3F2E"/>
    <w:rsid w:val="004B2E5A"/>
    <w:rsid w:val="004C06FC"/>
    <w:rsid w:val="004C07F5"/>
    <w:rsid w:val="004C12DA"/>
    <w:rsid w:val="004C3EAC"/>
    <w:rsid w:val="004C5118"/>
    <w:rsid w:val="004C53BA"/>
    <w:rsid w:val="004C54C7"/>
    <w:rsid w:val="004C57AD"/>
    <w:rsid w:val="004C70C7"/>
    <w:rsid w:val="004D0183"/>
    <w:rsid w:val="004D0218"/>
    <w:rsid w:val="004D051C"/>
    <w:rsid w:val="004D24AD"/>
    <w:rsid w:val="004D3E6E"/>
    <w:rsid w:val="004D6C11"/>
    <w:rsid w:val="004E06FB"/>
    <w:rsid w:val="004E071E"/>
    <w:rsid w:val="004E6390"/>
    <w:rsid w:val="004F05CF"/>
    <w:rsid w:val="004F16BC"/>
    <w:rsid w:val="004F1C9F"/>
    <w:rsid w:val="004F21B5"/>
    <w:rsid w:val="004F2396"/>
    <w:rsid w:val="004F3612"/>
    <w:rsid w:val="004F50CF"/>
    <w:rsid w:val="004F52FD"/>
    <w:rsid w:val="004F60B6"/>
    <w:rsid w:val="004F6AFC"/>
    <w:rsid w:val="004F7DDA"/>
    <w:rsid w:val="00502383"/>
    <w:rsid w:val="00502DD7"/>
    <w:rsid w:val="00505201"/>
    <w:rsid w:val="005134CF"/>
    <w:rsid w:val="00514DF0"/>
    <w:rsid w:val="005154BE"/>
    <w:rsid w:val="00515B72"/>
    <w:rsid w:val="00516986"/>
    <w:rsid w:val="00517C43"/>
    <w:rsid w:val="00520C95"/>
    <w:rsid w:val="005243D0"/>
    <w:rsid w:val="005250AF"/>
    <w:rsid w:val="00525EC6"/>
    <w:rsid w:val="00526678"/>
    <w:rsid w:val="0052711C"/>
    <w:rsid w:val="00527A37"/>
    <w:rsid w:val="005315AC"/>
    <w:rsid w:val="00531CBD"/>
    <w:rsid w:val="00533417"/>
    <w:rsid w:val="00534D96"/>
    <w:rsid w:val="00535928"/>
    <w:rsid w:val="005365D2"/>
    <w:rsid w:val="00537449"/>
    <w:rsid w:val="0053785D"/>
    <w:rsid w:val="00537F06"/>
    <w:rsid w:val="005400E5"/>
    <w:rsid w:val="00540F60"/>
    <w:rsid w:val="00542336"/>
    <w:rsid w:val="0054313C"/>
    <w:rsid w:val="0054378D"/>
    <w:rsid w:val="0054425A"/>
    <w:rsid w:val="005447C9"/>
    <w:rsid w:val="00545770"/>
    <w:rsid w:val="005507E7"/>
    <w:rsid w:val="005532B2"/>
    <w:rsid w:val="005553AA"/>
    <w:rsid w:val="0055599B"/>
    <w:rsid w:val="00556F40"/>
    <w:rsid w:val="005573D0"/>
    <w:rsid w:val="00557916"/>
    <w:rsid w:val="00561AF6"/>
    <w:rsid w:val="005622C2"/>
    <w:rsid w:val="00562A1D"/>
    <w:rsid w:val="00562A53"/>
    <w:rsid w:val="00563B1C"/>
    <w:rsid w:val="005645A3"/>
    <w:rsid w:val="00564BB1"/>
    <w:rsid w:val="00565336"/>
    <w:rsid w:val="00566EFC"/>
    <w:rsid w:val="005674CF"/>
    <w:rsid w:val="00571029"/>
    <w:rsid w:val="00572B4A"/>
    <w:rsid w:val="00577735"/>
    <w:rsid w:val="005802ED"/>
    <w:rsid w:val="00581327"/>
    <w:rsid w:val="00585241"/>
    <w:rsid w:val="0058763B"/>
    <w:rsid w:val="00590110"/>
    <w:rsid w:val="00591414"/>
    <w:rsid w:val="00593657"/>
    <w:rsid w:val="00597076"/>
    <w:rsid w:val="00597B57"/>
    <w:rsid w:val="005A0E5C"/>
    <w:rsid w:val="005A47CF"/>
    <w:rsid w:val="005A4847"/>
    <w:rsid w:val="005A55B6"/>
    <w:rsid w:val="005A61C8"/>
    <w:rsid w:val="005A77C7"/>
    <w:rsid w:val="005A7A9E"/>
    <w:rsid w:val="005B2CB2"/>
    <w:rsid w:val="005B3DD2"/>
    <w:rsid w:val="005B4039"/>
    <w:rsid w:val="005B542B"/>
    <w:rsid w:val="005B665F"/>
    <w:rsid w:val="005B7015"/>
    <w:rsid w:val="005B7D07"/>
    <w:rsid w:val="005C2663"/>
    <w:rsid w:val="005C2935"/>
    <w:rsid w:val="005C3F51"/>
    <w:rsid w:val="005C3FB5"/>
    <w:rsid w:val="005C47DA"/>
    <w:rsid w:val="005C5147"/>
    <w:rsid w:val="005C6F18"/>
    <w:rsid w:val="005D08C8"/>
    <w:rsid w:val="005D092B"/>
    <w:rsid w:val="005D0D25"/>
    <w:rsid w:val="005D0F04"/>
    <w:rsid w:val="005D36F1"/>
    <w:rsid w:val="005D3F1A"/>
    <w:rsid w:val="005D659F"/>
    <w:rsid w:val="005D67D9"/>
    <w:rsid w:val="005D6ECB"/>
    <w:rsid w:val="005D7637"/>
    <w:rsid w:val="005E0097"/>
    <w:rsid w:val="005E0A65"/>
    <w:rsid w:val="005E13DE"/>
    <w:rsid w:val="005E18D5"/>
    <w:rsid w:val="005E1C07"/>
    <w:rsid w:val="005E2627"/>
    <w:rsid w:val="005F2DBC"/>
    <w:rsid w:val="005F372C"/>
    <w:rsid w:val="005F3EBC"/>
    <w:rsid w:val="005F66FF"/>
    <w:rsid w:val="005F7A63"/>
    <w:rsid w:val="006003D1"/>
    <w:rsid w:val="00602D43"/>
    <w:rsid w:val="00603818"/>
    <w:rsid w:val="0060477E"/>
    <w:rsid w:val="00610013"/>
    <w:rsid w:val="006200A8"/>
    <w:rsid w:val="00621CF2"/>
    <w:rsid w:val="006237DC"/>
    <w:rsid w:val="00625C22"/>
    <w:rsid w:val="00626520"/>
    <w:rsid w:val="0062734D"/>
    <w:rsid w:val="00627457"/>
    <w:rsid w:val="00627C5B"/>
    <w:rsid w:val="00630C94"/>
    <w:rsid w:val="0063186E"/>
    <w:rsid w:val="00631D26"/>
    <w:rsid w:val="0063491B"/>
    <w:rsid w:val="0063519E"/>
    <w:rsid w:val="00636153"/>
    <w:rsid w:val="006368CB"/>
    <w:rsid w:val="006369C1"/>
    <w:rsid w:val="00637DBC"/>
    <w:rsid w:val="00637FF7"/>
    <w:rsid w:val="00641258"/>
    <w:rsid w:val="0064289F"/>
    <w:rsid w:val="00644E67"/>
    <w:rsid w:val="006452DD"/>
    <w:rsid w:val="0064547B"/>
    <w:rsid w:val="00645D0C"/>
    <w:rsid w:val="006507F2"/>
    <w:rsid w:val="00651772"/>
    <w:rsid w:val="00652214"/>
    <w:rsid w:val="00653BC8"/>
    <w:rsid w:val="00656C69"/>
    <w:rsid w:val="006573F6"/>
    <w:rsid w:val="00657DA9"/>
    <w:rsid w:val="006614BB"/>
    <w:rsid w:val="0066183F"/>
    <w:rsid w:val="006624DC"/>
    <w:rsid w:val="00662966"/>
    <w:rsid w:val="006652F2"/>
    <w:rsid w:val="006678DE"/>
    <w:rsid w:val="00670E7E"/>
    <w:rsid w:val="00671A67"/>
    <w:rsid w:val="00671AAA"/>
    <w:rsid w:val="00674313"/>
    <w:rsid w:val="00677632"/>
    <w:rsid w:val="006776AF"/>
    <w:rsid w:val="0068098D"/>
    <w:rsid w:val="006837A4"/>
    <w:rsid w:val="00687E90"/>
    <w:rsid w:val="00693AAE"/>
    <w:rsid w:val="00693E72"/>
    <w:rsid w:val="00694434"/>
    <w:rsid w:val="006949BB"/>
    <w:rsid w:val="00696B81"/>
    <w:rsid w:val="006975C4"/>
    <w:rsid w:val="006A5370"/>
    <w:rsid w:val="006A5936"/>
    <w:rsid w:val="006B190E"/>
    <w:rsid w:val="006B2085"/>
    <w:rsid w:val="006B52BF"/>
    <w:rsid w:val="006B5396"/>
    <w:rsid w:val="006B6E3E"/>
    <w:rsid w:val="006B74FA"/>
    <w:rsid w:val="006C0807"/>
    <w:rsid w:val="006C097A"/>
    <w:rsid w:val="006C0C7C"/>
    <w:rsid w:val="006C1096"/>
    <w:rsid w:val="006C22B7"/>
    <w:rsid w:val="006C2C60"/>
    <w:rsid w:val="006C2E06"/>
    <w:rsid w:val="006C424D"/>
    <w:rsid w:val="006C61F3"/>
    <w:rsid w:val="006C7A17"/>
    <w:rsid w:val="006C7A25"/>
    <w:rsid w:val="006C7B08"/>
    <w:rsid w:val="006D16AD"/>
    <w:rsid w:val="006D1E0D"/>
    <w:rsid w:val="006D2460"/>
    <w:rsid w:val="006D5023"/>
    <w:rsid w:val="006D569D"/>
    <w:rsid w:val="006D5DCD"/>
    <w:rsid w:val="006E3C16"/>
    <w:rsid w:val="006E4C3F"/>
    <w:rsid w:val="006E5437"/>
    <w:rsid w:val="006E5EFF"/>
    <w:rsid w:val="006F1E57"/>
    <w:rsid w:val="006F2755"/>
    <w:rsid w:val="006F3781"/>
    <w:rsid w:val="006F6BB2"/>
    <w:rsid w:val="007000AA"/>
    <w:rsid w:val="00700910"/>
    <w:rsid w:val="00700F76"/>
    <w:rsid w:val="00701279"/>
    <w:rsid w:val="00701B57"/>
    <w:rsid w:val="00703CC1"/>
    <w:rsid w:val="00705B25"/>
    <w:rsid w:val="00707ED4"/>
    <w:rsid w:val="00711F93"/>
    <w:rsid w:val="00715AA1"/>
    <w:rsid w:val="00725003"/>
    <w:rsid w:val="00725C83"/>
    <w:rsid w:val="0073010F"/>
    <w:rsid w:val="0073023E"/>
    <w:rsid w:val="00731B0C"/>
    <w:rsid w:val="00732FD1"/>
    <w:rsid w:val="00736A91"/>
    <w:rsid w:val="007373C2"/>
    <w:rsid w:val="00737C11"/>
    <w:rsid w:val="00740630"/>
    <w:rsid w:val="00740D0E"/>
    <w:rsid w:val="0074146F"/>
    <w:rsid w:val="00741D2C"/>
    <w:rsid w:val="00742D20"/>
    <w:rsid w:val="00742DC3"/>
    <w:rsid w:val="00743695"/>
    <w:rsid w:val="007437C1"/>
    <w:rsid w:val="00744007"/>
    <w:rsid w:val="00750BA6"/>
    <w:rsid w:val="00755980"/>
    <w:rsid w:val="007566FF"/>
    <w:rsid w:val="00756F88"/>
    <w:rsid w:val="00757520"/>
    <w:rsid w:val="007615F8"/>
    <w:rsid w:val="00761AF8"/>
    <w:rsid w:val="00761CE6"/>
    <w:rsid w:val="00762BA0"/>
    <w:rsid w:val="007647CD"/>
    <w:rsid w:val="00764F88"/>
    <w:rsid w:val="00765145"/>
    <w:rsid w:val="00766333"/>
    <w:rsid w:val="00766CBF"/>
    <w:rsid w:val="007674EA"/>
    <w:rsid w:val="00775636"/>
    <w:rsid w:val="00775AB5"/>
    <w:rsid w:val="00775B3A"/>
    <w:rsid w:val="00775DAD"/>
    <w:rsid w:val="007771FB"/>
    <w:rsid w:val="0077767B"/>
    <w:rsid w:val="00780E32"/>
    <w:rsid w:val="007849A2"/>
    <w:rsid w:val="007856F5"/>
    <w:rsid w:val="00785F88"/>
    <w:rsid w:val="00791E10"/>
    <w:rsid w:val="00792F66"/>
    <w:rsid w:val="00793BAB"/>
    <w:rsid w:val="00794007"/>
    <w:rsid w:val="00794385"/>
    <w:rsid w:val="00795C9B"/>
    <w:rsid w:val="007972EF"/>
    <w:rsid w:val="007977D7"/>
    <w:rsid w:val="007A03D4"/>
    <w:rsid w:val="007A05F6"/>
    <w:rsid w:val="007A157F"/>
    <w:rsid w:val="007A1815"/>
    <w:rsid w:val="007A23C6"/>
    <w:rsid w:val="007A7DFD"/>
    <w:rsid w:val="007B565D"/>
    <w:rsid w:val="007B6573"/>
    <w:rsid w:val="007B6C94"/>
    <w:rsid w:val="007B730A"/>
    <w:rsid w:val="007C0FBB"/>
    <w:rsid w:val="007C32BD"/>
    <w:rsid w:val="007C4AC1"/>
    <w:rsid w:val="007C5E61"/>
    <w:rsid w:val="007D1199"/>
    <w:rsid w:val="007D234C"/>
    <w:rsid w:val="007D3396"/>
    <w:rsid w:val="007D5721"/>
    <w:rsid w:val="007D5762"/>
    <w:rsid w:val="007D60E4"/>
    <w:rsid w:val="007D64A8"/>
    <w:rsid w:val="007E1D6F"/>
    <w:rsid w:val="007E2CA5"/>
    <w:rsid w:val="007E4811"/>
    <w:rsid w:val="007E52EE"/>
    <w:rsid w:val="007E5AA6"/>
    <w:rsid w:val="007E7F9F"/>
    <w:rsid w:val="007F3273"/>
    <w:rsid w:val="007F3585"/>
    <w:rsid w:val="007F3AA2"/>
    <w:rsid w:val="00801A17"/>
    <w:rsid w:val="00805535"/>
    <w:rsid w:val="008065CE"/>
    <w:rsid w:val="00807166"/>
    <w:rsid w:val="0080721E"/>
    <w:rsid w:val="0081186B"/>
    <w:rsid w:val="00811BF0"/>
    <w:rsid w:val="00812FBF"/>
    <w:rsid w:val="0081496D"/>
    <w:rsid w:val="00815F77"/>
    <w:rsid w:val="00820C18"/>
    <w:rsid w:val="00820D02"/>
    <w:rsid w:val="008214CC"/>
    <w:rsid w:val="00821BBA"/>
    <w:rsid w:val="00824331"/>
    <w:rsid w:val="0082644A"/>
    <w:rsid w:val="0083050C"/>
    <w:rsid w:val="008308EF"/>
    <w:rsid w:val="00831956"/>
    <w:rsid w:val="008322E9"/>
    <w:rsid w:val="00833055"/>
    <w:rsid w:val="008336D6"/>
    <w:rsid w:val="0083400B"/>
    <w:rsid w:val="008342B2"/>
    <w:rsid w:val="00834A95"/>
    <w:rsid w:val="00835088"/>
    <w:rsid w:val="00835382"/>
    <w:rsid w:val="008359D6"/>
    <w:rsid w:val="00837B24"/>
    <w:rsid w:val="008411D2"/>
    <w:rsid w:val="00842B12"/>
    <w:rsid w:val="008432FE"/>
    <w:rsid w:val="00846D78"/>
    <w:rsid w:val="0085124B"/>
    <w:rsid w:val="00856426"/>
    <w:rsid w:val="008606EB"/>
    <w:rsid w:val="008610F5"/>
    <w:rsid w:val="008619E2"/>
    <w:rsid w:val="008644A1"/>
    <w:rsid w:val="008646FA"/>
    <w:rsid w:val="008659B3"/>
    <w:rsid w:val="008669AE"/>
    <w:rsid w:val="00870C38"/>
    <w:rsid w:val="00871DAD"/>
    <w:rsid w:val="00877657"/>
    <w:rsid w:val="00877C8F"/>
    <w:rsid w:val="00877D81"/>
    <w:rsid w:val="00877DD5"/>
    <w:rsid w:val="00881A9B"/>
    <w:rsid w:val="00881C1B"/>
    <w:rsid w:val="00883099"/>
    <w:rsid w:val="00883159"/>
    <w:rsid w:val="00883428"/>
    <w:rsid w:val="00884E75"/>
    <w:rsid w:val="008857B2"/>
    <w:rsid w:val="00886609"/>
    <w:rsid w:val="008868A1"/>
    <w:rsid w:val="00890049"/>
    <w:rsid w:val="00890617"/>
    <w:rsid w:val="00890B26"/>
    <w:rsid w:val="00890C81"/>
    <w:rsid w:val="00891458"/>
    <w:rsid w:val="00891D09"/>
    <w:rsid w:val="008946B1"/>
    <w:rsid w:val="00896294"/>
    <w:rsid w:val="008A1E18"/>
    <w:rsid w:val="008A26B3"/>
    <w:rsid w:val="008A3E0D"/>
    <w:rsid w:val="008A5056"/>
    <w:rsid w:val="008A657A"/>
    <w:rsid w:val="008A7628"/>
    <w:rsid w:val="008B0E29"/>
    <w:rsid w:val="008B1294"/>
    <w:rsid w:val="008B20DE"/>
    <w:rsid w:val="008B25A8"/>
    <w:rsid w:val="008B6786"/>
    <w:rsid w:val="008B6822"/>
    <w:rsid w:val="008B75AA"/>
    <w:rsid w:val="008C08C2"/>
    <w:rsid w:val="008C24A9"/>
    <w:rsid w:val="008C2594"/>
    <w:rsid w:val="008C30BF"/>
    <w:rsid w:val="008C427C"/>
    <w:rsid w:val="008C513E"/>
    <w:rsid w:val="008C5611"/>
    <w:rsid w:val="008D110E"/>
    <w:rsid w:val="008D168F"/>
    <w:rsid w:val="008D1715"/>
    <w:rsid w:val="008D1733"/>
    <w:rsid w:val="008D28D9"/>
    <w:rsid w:val="008D28DB"/>
    <w:rsid w:val="008D33EB"/>
    <w:rsid w:val="008D383E"/>
    <w:rsid w:val="008D400A"/>
    <w:rsid w:val="008D57FE"/>
    <w:rsid w:val="008D74C8"/>
    <w:rsid w:val="008D79CB"/>
    <w:rsid w:val="008E4D50"/>
    <w:rsid w:val="008E58AA"/>
    <w:rsid w:val="008E6E93"/>
    <w:rsid w:val="008E73E1"/>
    <w:rsid w:val="008E7BAE"/>
    <w:rsid w:val="008F08BE"/>
    <w:rsid w:val="008F0F83"/>
    <w:rsid w:val="008F14A6"/>
    <w:rsid w:val="008F1B9E"/>
    <w:rsid w:val="008F1F13"/>
    <w:rsid w:val="008F206C"/>
    <w:rsid w:val="008F24FA"/>
    <w:rsid w:val="008F3941"/>
    <w:rsid w:val="008F59B3"/>
    <w:rsid w:val="008F5FB2"/>
    <w:rsid w:val="009011E4"/>
    <w:rsid w:val="00902525"/>
    <w:rsid w:val="00903B6B"/>
    <w:rsid w:val="009046AA"/>
    <w:rsid w:val="00904BF5"/>
    <w:rsid w:val="009055F0"/>
    <w:rsid w:val="00905DE1"/>
    <w:rsid w:val="009064A4"/>
    <w:rsid w:val="00906519"/>
    <w:rsid w:val="00906D67"/>
    <w:rsid w:val="00910036"/>
    <w:rsid w:val="00910797"/>
    <w:rsid w:val="00911E71"/>
    <w:rsid w:val="009131BB"/>
    <w:rsid w:val="00913B9D"/>
    <w:rsid w:val="009163B3"/>
    <w:rsid w:val="00916D37"/>
    <w:rsid w:val="0092006D"/>
    <w:rsid w:val="0092033F"/>
    <w:rsid w:val="00922EF2"/>
    <w:rsid w:val="00922F7F"/>
    <w:rsid w:val="00923DBD"/>
    <w:rsid w:val="00926AFA"/>
    <w:rsid w:val="00930092"/>
    <w:rsid w:val="00930709"/>
    <w:rsid w:val="009308C7"/>
    <w:rsid w:val="00933F36"/>
    <w:rsid w:val="0093579B"/>
    <w:rsid w:val="00935BDF"/>
    <w:rsid w:val="00935E10"/>
    <w:rsid w:val="009361C1"/>
    <w:rsid w:val="00936BAA"/>
    <w:rsid w:val="0094011C"/>
    <w:rsid w:val="009403EB"/>
    <w:rsid w:val="00941396"/>
    <w:rsid w:val="00943A37"/>
    <w:rsid w:val="009463A8"/>
    <w:rsid w:val="00946AB6"/>
    <w:rsid w:val="00947795"/>
    <w:rsid w:val="00947F56"/>
    <w:rsid w:val="00951D27"/>
    <w:rsid w:val="00952A10"/>
    <w:rsid w:val="00954070"/>
    <w:rsid w:val="00954EF0"/>
    <w:rsid w:val="009554EE"/>
    <w:rsid w:val="00956873"/>
    <w:rsid w:val="009569BF"/>
    <w:rsid w:val="00956D88"/>
    <w:rsid w:val="009611F7"/>
    <w:rsid w:val="009620D5"/>
    <w:rsid w:val="00962245"/>
    <w:rsid w:val="0096268B"/>
    <w:rsid w:val="00962A51"/>
    <w:rsid w:val="00967102"/>
    <w:rsid w:val="00967C14"/>
    <w:rsid w:val="00970AA8"/>
    <w:rsid w:val="00971FC9"/>
    <w:rsid w:val="00977C72"/>
    <w:rsid w:val="009800E9"/>
    <w:rsid w:val="009804AB"/>
    <w:rsid w:val="009820C4"/>
    <w:rsid w:val="00982BA2"/>
    <w:rsid w:val="00983576"/>
    <w:rsid w:val="0098685C"/>
    <w:rsid w:val="00987294"/>
    <w:rsid w:val="009907A5"/>
    <w:rsid w:val="00991062"/>
    <w:rsid w:val="009918BC"/>
    <w:rsid w:val="00993326"/>
    <w:rsid w:val="0099354B"/>
    <w:rsid w:val="00993C6A"/>
    <w:rsid w:val="00994653"/>
    <w:rsid w:val="009961EB"/>
    <w:rsid w:val="00996839"/>
    <w:rsid w:val="00997E27"/>
    <w:rsid w:val="009A061F"/>
    <w:rsid w:val="009A37AC"/>
    <w:rsid w:val="009A57EC"/>
    <w:rsid w:val="009A6BB1"/>
    <w:rsid w:val="009B2FF8"/>
    <w:rsid w:val="009B37CF"/>
    <w:rsid w:val="009B585C"/>
    <w:rsid w:val="009B5AA9"/>
    <w:rsid w:val="009B62E3"/>
    <w:rsid w:val="009C03F3"/>
    <w:rsid w:val="009C09EE"/>
    <w:rsid w:val="009C0E0B"/>
    <w:rsid w:val="009C1FED"/>
    <w:rsid w:val="009C2E77"/>
    <w:rsid w:val="009C3D82"/>
    <w:rsid w:val="009C4085"/>
    <w:rsid w:val="009C4DA0"/>
    <w:rsid w:val="009C6C3F"/>
    <w:rsid w:val="009C6DCB"/>
    <w:rsid w:val="009C6E53"/>
    <w:rsid w:val="009C70D0"/>
    <w:rsid w:val="009D0289"/>
    <w:rsid w:val="009D0D4A"/>
    <w:rsid w:val="009D0FEC"/>
    <w:rsid w:val="009D1451"/>
    <w:rsid w:val="009D3234"/>
    <w:rsid w:val="009D4A76"/>
    <w:rsid w:val="009D54B4"/>
    <w:rsid w:val="009D5E2B"/>
    <w:rsid w:val="009D5F1A"/>
    <w:rsid w:val="009D65AC"/>
    <w:rsid w:val="009E026C"/>
    <w:rsid w:val="009E11A9"/>
    <w:rsid w:val="009E3DE4"/>
    <w:rsid w:val="009E4608"/>
    <w:rsid w:val="009E585F"/>
    <w:rsid w:val="009E6027"/>
    <w:rsid w:val="009E7358"/>
    <w:rsid w:val="009F1B73"/>
    <w:rsid w:val="009F2D67"/>
    <w:rsid w:val="009F3F47"/>
    <w:rsid w:val="009F47D6"/>
    <w:rsid w:val="009F551C"/>
    <w:rsid w:val="009F62BB"/>
    <w:rsid w:val="009F6D12"/>
    <w:rsid w:val="00A02B79"/>
    <w:rsid w:val="00A02C91"/>
    <w:rsid w:val="00A03B7B"/>
    <w:rsid w:val="00A04B23"/>
    <w:rsid w:val="00A05B72"/>
    <w:rsid w:val="00A05C82"/>
    <w:rsid w:val="00A110DD"/>
    <w:rsid w:val="00A12C19"/>
    <w:rsid w:val="00A14C18"/>
    <w:rsid w:val="00A15B09"/>
    <w:rsid w:val="00A1632B"/>
    <w:rsid w:val="00A17253"/>
    <w:rsid w:val="00A20677"/>
    <w:rsid w:val="00A211D7"/>
    <w:rsid w:val="00A2225E"/>
    <w:rsid w:val="00A225D8"/>
    <w:rsid w:val="00A244C0"/>
    <w:rsid w:val="00A24C29"/>
    <w:rsid w:val="00A26295"/>
    <w:rsid w:val="00A30234"/>
    <w:rsid w:val="00A31C52"/>
    <w:rsid w:val="00A329D9"/>
    <w:rsid w:val="00A339C3"/>
    <w:rsid w:val="00A35231"/>
    <w:rsid w:val="00A3582C"/>
    <w:rsid w:val="00A37413"/>
    <w:rsid w:val="00A37747"/>
    <w:rsid w:val="00A37D1B"/>
    <w:rsid w:val="00A43CE7"/>
    <w:rsid w:val="00A4495C"/>
    <w:rsid w:val="00A45B8F"/>
    <w:rsid w:val="00A45E6E"/>
    <w:rsid w:val="00A50AC0"/>
    <w:rsid w:val="00A54475"/>
    <w:rsid w:val="00A57029"/>
    <w:rsid w:val="00A57121"/>
    <w:rsid w:val="00A57F2C"/>
    <w:rsid w:val="00A61619"/>
    <w:rsid w:val="00A61EC4"/>
    <w:rsid w:val="00A633A4"/>
    <w:rsid w:val="00A64FD0"/>
    <w:rsid w:val="00A655ED"/>
    <w:rsid w:val="00A66043"/>
    <w:rsid w:val="00A66496"/>
    <w:rsid w:val="00A67A8C"/>
    <w:rsid w:val="00A722E3"/>
    <w:rsid w:val="00A7433B"/>
    <w:rsid w:val="00A75AF0"/>
    <w:rsid w:val="00A7764C"/>
    <w:rsid w:val="00A77FF7"/>
    <w:rsid w:val="00A80FE3"/>
    <w:rsid w:val="00A81DFA"/>
    <w:rsid w:val="00A84B8D"/>
    <w:rsid w:val="00A85254"/>
    <w:rsid w:val="00A855E8"/>
    <w:rsid w:val="00A901E0"/>
    <w:rsid w:val="00A9094D"/>
    <w:rsid w:val="00A92193"/>
    <w:rsid w:val="00A94E86"/>
    <w:rsid w:val="00A9519D"/>
    <w:rsid w:val="00AA03AD"/>
    <w:rsid w:val="00AA11D5"/>
    <w:rsid w:val="00AA2A2A"/>
    <w:rsid w:val="00AA40E0"/>
    <w:rsid w:val="00AA4B1A"/>
    <w:rsid w:val="00AA4D95"/>
    <w:rsid w:val="00AA5C63"/>
    <w:rsid w:val="00AB01A4"/>
    <w:rsid w:val="00AB0A20"/>
    <w:rsid w:val="00AB0EE4"/>
    <w:rsid w:val="00AB335B"/>
    <w:rsid w:val="00AB371B"/>
    <w:rsid w:val="00AC1AEF"/>
    <w:rsid w:val="00AC2713"/>
    <w:rsid w:val="00AC3391"/>
    <w:rsid w:val="00AC6B62"/>
    <w:rsid w:val="00AD45AE"/>
    <w:rsid w:val="00AD6189"/>
    <w:rsid w:val="00AE325F"/>
    <w:rsid w:val="00AE38AA"/>
    <w:rsid w:val="00AE5638"/>
    <w:rsid w:val="00AE7161"/>
    <w:rsid w:val="00AF01CC"/>
    <w:rsid w:val="00AF08FD"/>
    <w:rsid w:val="00AF25A4"/>
    <w:rsid w:val="00AF4306"/>
    <w:rsid w:val="00AF64F3"/>
    <w:rsid w:val="00AF65F9"/>
    <w:rsid w:val="00AF6F28"/>
    <w:rsid w:val="00AF75E0"/>
    <w:rsid w:val="00B00204"/>
    <w:rsid w:val="00B007A1"/>
    <w:rsid w:val="00B01757"/>
    <w:rsid w:val="00B02BDD"/>
    <w:rsid w:val="00B065B4"/>
    <w:rsid w:val="00B1074E"/>
    <w:rsid w:val="00B10F35"/>
    <w:rsid w:val="00B13025"/>
    <w:rsid w:val="00B14ADD"/>
    <w:rsid w:val="00B14EC1"/>
    <w:rsid w:val="00B16CAD"/>
    <w:rsid w:val="00B17239"/>
    <w:rsid w:val="00B17BD2"/>
    <w:rsid w:val="00B20486"/>
    <w:rsid w:val="00B21061"/>
    <w:rsid w:val="00B23D74"/>
    <w:rsid w:val="00B25E8C"/>
    <w:rsid w:val="00B279DD"/>
    <w:rsid w:val="00B3237A"/>
    <w:rsid w:val="00B3250E"/>
    <w:rsid w:val="00B33407"/>
    <w:rsid w:val="00B35947"/>
    <w:rsid w:val="00B36A9E"/>
    <w:rsid w:val="00B36E0A"/>
    <w:rsid w:val="00B41216"/>
    <w:rsid w:val="00B4138D"/>
    <w:rsid w:val="00B416AE"/>
    <w:rsid w:val="00B42C3E"/>
    <w:rsid w:val="00B51B2E"/>
    <w:rsid w:val="00B52D18"/>
    <w:rsid w:val="00B533A6"/>
    <w:rsid w:val="00B537FF"/>
    <w:rsid w:val="00B557D3"/>
    <w:rsid w:val="00B55E63"/>
    <w:rsid w:val="00B55FB9"/>
    <w:rsid w:val="00B565E5"/>
    <w:rsid w:val="00B56948"/>
    <w:rsid w:val="00B60A83"/>
    <w:rsid w:val="00B6120D"/>
    <w:rsid w:val="00B61935"/>
    <w:rsid w:val="00B6313B"/>
    <w:rsid w:val="00B64D19"/>
    <w:rsid w:val="00B66661"/>
    <w:rsid w:val="00B6688F"/>
    <w:rsid w:val="00B67A19"/>
    <w:rsid w:val="00B70EDB"/>
    <w:rsid w:val="00B721F2"/>
    <w:rsid w:val="00B72FD4"/>
    <w:rsid w:val="00B73DBD"/>
    <w:rsid w:val="00B76E9A"/>
    <w:rsid w:val="00B7734E"/>
    <w:rsid w:val="00B7787F"/>
    <w:rsid w:val="00B815C6"/>
    <w:rsid w:val="00B81958"/>
    <w:rsid w:val="00B850E2"/>
    <w:rsid w:val="00B86832"/>
    <w:rsid w:val="00B90457"/>
    <w:rsid w:val="00B9058E"/>
    <w:rsid w:val="00B93269"/>
    <w:rsid w:val="00B93C13"/>
    <w:rsid w:val="00B93F13"/>
    <w:rsid w:val="00B94991"/>
    <w:rsid w:val="00B94DE5"/>
    <w:rsid w:val="00B96262"/>
    <w:rsid w:val="00B96B0B"/>
    <w:rsid w:val="00BA1878"/>
    <w:rsid w:val="00BA2412"/>
    <w:rsid w:val="00BA40C9"/>
    <w:rsid w:val="00BA563E"/>
    <w:rsid w:val="00BA7034"/>
    <w:rsid w:val="00BA74DC"/>
    <w:rsid w:val="00BA7672"/>
    <w:rsid w:val="00BA7774"/>
    <w:rsid w:val="00BA7AFA"/>
    <w:rsid w:val="00BB11C7"/>
    <w:rsid w:val="00BB344C"/>
    <w:rsid w:val="00BB40C6"/>
    <w:rsid w:val="00BB4255"/>
    <w:rsid w:val="00BB48C6"/>
    <w:rsid w:val="00BB5F04"/>
    <w:rsid w:val="00BB65CC"/>
    <w:rsid w:val="00BC05B4"/>
    <w:rsid w:val="00BC1A32"/>
    <w:rsid w:val="00BC282A"/>
    <w:rsid w:val="00BC4B75"/>
    <w:rsid w:val="00BC4F4D"/>
    <w:rsid w:val="00BC6C89"/>
    <w:rsid w:val="00BC7F9B"/>
    <w:rsid w:val="00BD013D"/>
    <w:rsid w:val="00BD2D99"/>
    <w:rsid w:val="00BD3C45"/>
    <w:rsid w:val="00BD46FE"/>
    <w:rsid w:val="00BD50E9"/>
    <w:rsid w:val="00BD6070"/>
    <w:rsid w:val="00BD68FB"/>
    <w:rsid w:val="00BE0EE5"/>
    <w:rsid w:val="00BE29AA"/>
    <w:rsid w:val="00BE468D"/>
    <w:rsid w:val="00BE4AEA"/>
    <w:rsid w:val="00BE4E7C"/>
    <w:rsid w:val="00BE6AA3"/>
    <w:rsid w:val="00BE6B28"/>
    <w:rsid w:val="00BE72D5"/>
    <w:rsid w:val="00BE7556"/>
    <w:rsid w:val="00BF1F69"/>
    <w:rsid w:val="00BF305C"/>
    <w:rsid w:val="00BF3275"/>
    <w:rsid w:val="00BF3650"/>
    <w:rsid w:val="00BF45B4"/>
    <w:rsid w:val="00BF4617"/>
    <w:rsid w:val="00BF4962"/>
    <w:rsid w:val="00BF69F3"/>
    <w:rsid w:val="00BF7E5D"/>
    <w:rsid w:val="00C00565"/>
    <w:rsid w:val="00C00D2C"/>
    <w:rsid w:val="00C01307"/>
    <w:rsid w:val="00C04AA5"/>
    <w:rsid w:val="00C062C9"/>
    <w:rsid w:val="00C0781E"/>
    <w:rsid w:val="00C124E3"/>
    <w:rsid w:val="00C13C8A"/>
    <w:rsid w:val="00C227C1"/>
    <w:rsid w:val="00C237AA"/>
    <w:rsid w:val="00C264A8"/>
    <w:rsid w:val="00C267D9"/>
    <w:rsid w:val="00C30035"/>
    <w:rsid w:val="00C302B1"/>
    <w:rsid w:val="00C30A28"/>
    <w:rsid w:val="00C319CE"/>
    <w:rsid w:val="00C32064"/>
    <w:rsid w:val="00C35F76"/>
    <w:rsid w:val="00C3603B"/>
    <w:rsid w:val="00C4101F"/>
    <w:rsid w:val="00C41F2E"/>
    <w:rsid w:val="00C450AF"/>
    <w:rsid w:val="00C45536"/>
    <w:rsid w:val="00C4621F"/>
    <w:rsid w:val="00C4777B"/>
    <w:rsid w:val="00C50B7E"/>
    <w:rsid w:val="00C51902"/>
    <w:rsid w:val="00C51C09"/>
    <w:rsid w:val="00C5251A"/>
    <w:rsid w:val="00C529A6"/>
    <w:rsid w:val="00C52DB3"/>
    <w:rsid w:val="00C55ECF"/>
    <w:rsid w:val="00C574E9"/>
    <w:rsid w:val="00C625C8"/>
    <w:rsid w:val="00C62E92"/>
    <w:rsid w:val="00C6608E"/>
    <w:rsid w:val="00C669E0"/>
    <w:rsid w:val="00C703D1"/>
    <w:rsid w:val="00C70F04"/>
    <w:rsid w:val="00C72CA7"/>
    <w:rsid w:val="00C72D8C"/>
    <w:rsid w:val="00C72E05"/>
    <w:rsid w:val="00C73AE6"/>
    <w:rsid w:val="00C73FA5"/>
    <w:rsid w:val="00C74283"/>
    <w:rsid w:val="00C756DB"/>
    <w:rsid w:val="00C76A4C"/>
    <w:rsid w:val="00C76B61"/>
    <w:rsid w:val="00C770C1"/>
    <w:rsid w:val="00C80775"/>
    <w:rsid w:val="00C80FEF"/>
    <w:rsid w:val="00C81543"/>
    <w:rsid w:val="00C8176D"/>
    <w:rsid w:val="00C85BEC"/>
    <w:rsid w:val="00C8682A"/>
    <w:rsid w:val="00C87271"/>
    <w:rsid w:val="00C90517"/>
    <w:rsid w:val="00C91156"/>
    <w:rsid w:val="00CA78CA"/>
    <w:rsid w:val="00CB16EC"/>
    <w:rsid w:val="00CB2FCA"/>
    <w:rsid w:val="00CB499D"/>
    <w:rsid w:val="00CC09C7"/>
    <w:rsid w:val="00CC1913"/>
    <w:rsid w:val="00CC551C"/>
    <w:rsid w:val="00CC67E0"/>
    <w:rsid w:val="00CD578B"/>
    <w:rsid w:val="00CD6F26"/>
    <w:rsid w:val="00CD75F3"/>
    <w:rsid w:val="00CE3433"/>
    <w:rsid w:val="00CE4FCE"/>
    <w:rsid w:val="00CE54FF"/>
    <w:rsid w:val="00CE72BC"/>
    <w:rsid w:val="00CF1048"/>
    <w:rsid w:val="00CF3E8E"/>
    <w:rsid w:val="00CF3FF8"/>
    <w:rsid w:val="00CF45A5"/>
    <w:rsid w:val="00CF5BD7"/>
    <w:rsid w:val="00CF647A"/>
    <w:rsid w:val="00CF79DF"/>
    <w:rsid w:val="00D00EB6"/>
    <w:rsid w:val="00D01ACF"/>
    <w:rsid w:val="00D01E8B"/>
    <w:rsid w:val="00D064A5"/>
    <w:rsid w:val="00D06FF7"/>
    <w:rsid w:val="00D0716A"/>
    <w:rsid w:val="00D112E4"/>
    <w:rsid w:val="00D11682"/>
    <w:rsid w:val="00D14F48"/>
    <w:rsid w:val="00D152C1"/>
    <w:rsid w:val="00D20FD2"/>
    <w:rsid w:val="00D2168B"/>
    <w:rsid w:val="00D23E72"/>
    <w:rsid w:val="00D262D4"/>
    <w:rsid w:val="00D26F2B"/>
    <w:rsid w:val="00D312D3"/>
    <w:rsid w:val="00D36A4A"/>
    <w:rsid w:val="00D36C17"/>
    <w:rsid w:val="00D43503"/>
    <w:rsid w:val="00D43DD7"/>
    <w:rsid w:val="00D4604E"/>
    <w:rsid w:val="00D46FBB"/>
    <w:rsid w:val="00D513B8"/>
    <w:rsid w:val="00D51A36"/>
    <w:rsid w:val="00D54AB6"/>
    <w:rsid w:val="00D54CC6"/>
    <w:rsid w:val="00D560C3"/>
    <w:rsid w:val="00D56E40"/>
    <w:rsid w:val="00D574C3"/>
    <w:rsid w:val="00D57847"/>
    <w:rsid w:val="00D57C09"/>
    <w:rsid w:val="00D62F58"/>
    <w:rsid w:val="00D659D5"/>
    <w:rsid w:val="00D6750B"/>
    <w:rsid w:val="00D704B9"/>
    <w:rsid w:val="00D72C5E"/>
    <w:rsid w:val="00D72CCF"/>
    <w:rsid w:val="00D7311A"/>
    <w:rsid w:val="00D758E3"/>
    <w:rsid w:val="00D766E4"/>
    <w:rsid w:val="00D8166F"/>
    <w:rsid w:val="00D819D5"/>
    <w:rsid w:val="00D84A67"/>
    <w:rsid w:val="00D86BD7"/>
    <w:rsid w:val="00D870D3"/>
    <w:rsid w:val="00D87E3C"/>
    <w:rsid w:val="00D954C1"/>
    <w:rsid w:val="00DA1D40"/>
    <w:rsid w:val="00DA3086"/>
    <w:rsid w:val="00DA4B08"/>
    <w:rsid w:val="00DA4DBE"/>
    <w:rsid w:val="00DA71F0"/>
    <w:rsid w:val="00DA73F3"/>
    <w:rsid w:val="00DB186A"/>
    <w:rsid w:val="00DB293A"/>
    <w:rsid w:val="00DB5814"/>
    <w:rsid w:val="00DB65B0"/>
    <w:rsid w:val="00DC0DDD"/>
    <w:rsid w:val="00DC0DEE"/>
    <w:rsid w:val="00DC2244"/>
    <w:rsid w:val="00DC4EB5"/>
    <w:rsid w:val="00DC509E"/>
    <w:rsid w:val="00DC5CD4"/>
    <w:rsid w:val="00DC69F4"/>
    <w:rsid w:val="00DC70EC"/>
    <w:rsid w:val="00DD1512"/>
    <w:rsid w:val="00DD1F33"/>
    <w:rsid w:val="00DD2F25"/>
    <w:rsid w:val="00DD42B7"/>
    <w:rsid w:val="00DD4DBA"/>
    <w:rsid w:val="00DD6BBE"/>
    <w:rsid w:val="00DD7A9D"/>
    <w:rsid w:val="00DD7FA8"/>
    <w:rsid w:val="00DE1608"/>
    <w:rsid w:val="00DE245A"/>
    <w:rsid w:val="00DE3DF5"/>
    <w:rsid w:val="00DE4353"/>
    <w:rsid w:val="00DE58F0"/>
    <w:rsid w:val="00DE5E5D"/>
    <w:rsid w:val="00DE61E2"/>
    <w:rsid w:val="00DE66CF"/>
    <w:rsid w:val="00DE6B96"/>
    <w:rsid w:val="00DE7EC9"/>
    <w:rsid w:val="00DF0ECD"/>
    <w:rsid w:val="00DF1E19"/>
    <w:rsid w:val="00DF5B72"/>
    <w:rsid w:val="00E006F6"/>
    <w:rsid w:val="00E0180B"/>
    <w:rsid w:val="00E03706"/>
    <w:rsid w:val="00E05180"/>
    <w:rsid w:val="00E101F6"/>
    <w:rsid w:val="00E105EC"/>
    <w:rsid w:val="00E109F1"/>
    <w:rsid w:val="00E10A36"/>
    <w:rsid w:val="00E10AED"/>
    <w:rsid w:val="00E12100"/>
    <w:rsid w:val="00E12168"/>
    <w:rsid w:val="00E13AB0"/>
    <w:rsid w:val="00E14562"/>
    <w:rsid w:val="00E15755"/>
    <w:rsid w:val="00E16074"/>
    <w:rsid w:val="00E17D10"/>
    <w:rsid w:val="00E21D45"/>
    <w:rsid w:val="00E23909"/>
    <w:rsid w:val="00E25C34"/>
    <w:rsid w:val="00E271D7"/>
    <w:rsid w:val="00E272A6"/>
    <w:rsid w:val="00E329B2"/>
    <w:rsid w:val="00E3476B"/>
    <w:rsid w:val="00E34DAC"/>
    <w:rsid w:val="00E351AA"/>
    <w:rsid w:val="00E35744"/>
    <w:rsid w:val="00E404DE"/>
    <w:rsid w:val="00E405C7"/>
    <w:rsid w:val="00E40BAB"/>
    <w:rsid w:val="00E40EA4"/>
    <w:rsid w:val="00E4342D"/>
    <w:rsid w:val="00E454FE"/>
    <w:rsid w:val="00E46889"/>
    <w:rsid w:val="00E504EF"/>
    <w:rsid w:val="00E54E8A"/>
    <w:rsid w:val="00E55A2E"/>
    <w:rsid w:val="00E5691E"/>
    <w:rsid w:val="00E62524"/>
    <w:rsid w:val="00E644E4"/>
    <w:rsid w:val="00E645A5"/>
    <w:rsid w:val="00E66396"/>
    <w:rsid w:val="00E6752F"/>
    <w:rsid w:val="00E721AE"/>
    <w:rsid w:val="00E72ED9"/>
    <w:rsid w:val="00E74289"/>
    <w:rsid w:val="00E749E0"/>
    <w:rsid w:val="00E75D6B"/>
    <w:rsid w:val="00E81F12"/>
    <w:rsid w:val="00E82055"/>
    <w:rsid w:val="00E830FF"/>
    <w:rsid w:val="00E846D4"/>
    <w:rsid w:val="00E84AE8"/>
    <w:rsid w:val="00E856C1"/>
    <w:rsid w:val="00E85CC5"/>
    <w:rsid w:val="00E9163C"/>
    <w:rsid w:val="00E93FE7"/>
    <w:rsid w:val="00E9424E"/>
    <w:rsid w:val="00E9638C"/>
    <w:rsid w:val="00E96681"/>
    <w:rsid w:val="00E97183"/>
    <w:rsid w:val="00E9798D"/>
    <w:rsid w:val="00EA0330"/>
    <w:rsid w:val="00EA180F"/>
    <w:rsid w:val="00EA6655"/>
    <w:rsid w:val="00EA784A"/>
    <w:rsid w:val="00EB1791"/>
    <w:rsid w:val="00EB1A78"/>
    <w:rsid w:val="00EB1C29"/>
    <w:rsid w:val="00EB2028"/>
    <w:rsid w:val="00EB7327"/>
    <w:rsid w:val="00EC1A3A"/>
    <w:rsid w:val="00EC1DFD"/>
    <w:rsid w:val="00EC3345"/>
    <w:rsid w:val="00EC3397"/>
    <w:rsid w:val="00EC65F7"/>
    <w:rsid w:val="00ED07C4"/>
    <w:rsid w:val="00ED30A9"/>
    <w:rsid w:val="00ED4DA2"/>
    <w:rsid w:val="00EE0282"/>
    <w:rsid w:val="00EE17D7"/>
    <w:rsid w:val="00EE22AB"/>
    <w:rsid w:val="00EE29DB"/>
    <w:rsid w:val="00EE2D22"/>
    <w:rsid w:val="00EE41E6"/>
    <w:rsid w:val="00EE4233"/>
    <w:rsid w:val="00EE4C1D"/>
    <w:rsid w:val="00EE5332"/>
    <w:rsid w:val="00EE5EDA"/>
    <w:rsid w:val="00EF0F44"/>
    <w:rsid w:val="00EF1BF6"/>
    <w:rsid w:val="00EF1FD8"/>
    <w:rsid w:val="00EF3C36"/>
    <w:rsid w:val="00EF4A41"/>
    <w:rsid w:val="00EF4F85"/>
    <w:rsid w:val="00EF5FA3"/>
    <w:rsid w:val="00F00562"/>
    <w:rsid w:val="00F01219"/>
    <w:rsid w:val="00F04B23"/>
    <w:rsid w:val="00F058CA"/>
    <w:rsid w:val="00F0673E"/>
    <w:rsid w:val="00F07509"/>
    <w:rsid w:val="00F078AC"/>
    <w:rsid w:val="00F12292"/>
    <w:rsid w:val="00F17906"/>
    <w:rsid w:val="00F205BD"/>
    <w:rsid w:val="00F21C69"/>
    <w:rsid w:val="00F226C5"/>
    <w:rsid w:val="00F22751"/>
    <w:rsid w:val="00F23EA4"/>
    <w:rsid w:val="00F25416"/>
    <w:rsid w:val="00F25BA4"/>
    <w:rsid w:val="00F277AB"/>
    <w:rsid w:val="00F3257C"/>
    <w:rsid w:val="00F37449"/>
    <w:rsid w:val="00F407E8"/>
    <w:rsid w:val="00F410A5"/>
    <w:rsid w:val="00F41D18"/>
    <w:rsid w:val="00F43847"/>
    <w:rsid w:val="00F455FF"/>
    <w:rsid w:val="00F46265"/>
    <w:rsid w:val="00F4640E"/>
    <w:rsid w:val="00F50C31"/>
    <w:rsid w:val="00F53981"/>
    <w:rsid w:val="00F5432A"/>
    <w:rsid w:val="00F551F1"/>
    <w:rsid w:val="00F619AF"/>
    <w:rsid w:val="00F62AA6"/>
    <w:rsid w:val="00F6416E"/>
    <w:rsid w:val="00F647F3"/>
    <w:rsid w:val="00F66661"/>
    <w:rsid w:val="00F674B9"/>
    <w:rsid w:val="00F71711"/>
    <w:rsid w:val="00F71DD9"/>
    <w:rsid w:val="00F72691"/>
    <w:rsid w:val="00F73C90"/>
    <w:rsid w:val="00F74BFD"/>
    <w:rsid w:val="00F776C4"/>
    <w:rsid w:val="00F80623"/>
    <w:rsid w:val="00F80AD0"/>
    <w:rsid w:val="00F847B6"/>
    <w:rsid w:val="00F84EFE"/>
    <w:rsid w:val="00F86083"/>
    <w:rsid w:val="00F866AF"/>
    <w:rsid w:val="00F87872"/>
    <w:rsid w:val="00F923D4"/>
    <w:rsid w:val="00F92AF7"/>
    <w:rsid w:val="00F92B10"/>
    <w:rsid w:val="00F93153"/>
    <w:rsid w:val="00F93174"/>
    <w:rsid w:val="00F93A18"/>
    <w:rsid w:val="00F9502A"/>
    <w:rsid w:val="00F9748B"/>
    <w:rsid w:val="00FA11F7"/>
    <w:rsid w:val="00FA2376"/>
    <w:rsid w:val="00FA799A"/>
    <w:rsid w:val="00FB04F8"/>
    <w:rsid w:val="00FB06EA"/>
    <w:rsid w:val="00FB08EB"/>
    <w:rsid w:val="00FB3375"/>
    <w:rsid w:val="00FB36E2"/>
    <w:rsid w:val="00FB4746"/>
    <w:rsid w:val="00FB49C0"/>
    <w:rsid w:val="00FB6B12"/>
    <w:rsid w:val="00FB7C81"/>
    <w:rsid w:val="00FC210F"/>
    <w:rsid w:val="00FC396C"/>
    <w:rsid w:val="00FC3BFB"/>
    <w:rsid w:val="00FC46BA"/>
    <w:rsid w:val="00FC4A3C"/>
    <w:rsid w:val="00FC7891"/>
    <w:rsid w:val="00FC7960"/>
    <w:rsid w:val="00FC7999"/>
    <w:rsid w:val="00FD07C8"/>
    <w:rsid w:val="00FD194B"/>
    <w:rsid w:val="00FD2D38"/>
    <w:rsid w:val="00FD33C5"/>
    <w:rsid w:val="00FD43CA"/>
    <w:rsid w:val="00FD4B18"/>
    <w:rsid w:val="00FD66C2"/>
    <w:rsid w:val="00FE0176"/>
    <w:rsid w:val="00FE0405"/>
    <w:rsid w:val="00FE07EE"/>
    <w:rsid w:val="00FE2265"/>
    <w:rsid w:val="00FE661E"/>
    <w:rsid w:val="00FF1BC9"/>
    <w:rsid w:val="00FF23E0"/>
    <w:rsid w:val="00FF4CE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847DB8"/>
  <w15:docId w15:val="{65CE42AF-E3AD-48E3-B916-7488BF1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2A52"/>
  </w:style>
  <w:style w:type="paragraph" w:styleId="Heading1">
    <w:name w:val="heading 1"/>
    <w:basedOn w:val="Normal"/>
    <w:next w:val="Normal"/>
    <w:qFormat/>
    <w:rsid w:val="003A2A52"/>
    <w:pPr>
      <w:keepNext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A2A5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3A2A52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3A2A52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Heading5">
    <w:name w:val="heading 5"/>
    <w:basedOn w:val="Normal"/>
    <w:next w:val="Normal"/>
    <w:qFormat/>
    <w:rsid w:val="003A2A52"/>
    <w:pPr>
      <w:keepNext/>
      <w:autoSpaceDE w:val="0"/>
      <w:autoSpaceDN w:val="0"/>
      <w:adjustRightInd w:val="0"/>
      <w:outlineLvl w:val="4"/>
    </w:pPr>
    <w:rPr>
      <w:rFonts w:ascii="Geneva" w:hAnsi="Geneva" w:cs="Arial"/>
      <w:b/>
      <w:bCs/>
      <w:i/>
      <w:iCs/>
      <w:color w:val="000000"/>
      <w:sz w:val="18"/>
      <w:szCs w:val="18"/>
      <w:lang w:val="es-ES_tradnl"/>
    </w:rPr>
  </w:style>
  <w:style w:type="paragraph" w:styleId="Heading6">
    <w:name w:val="heading 6"/>
    <w:basedOn w:val="Normal"/>
    <w:next w:val="Normal"/>
    <w:qFormat/>
    <w:rsid w:val="003A2A52"/>
    <w:pPr>
      <w:keepNext/>
      <w:autoSpaceDE w:val="0"/>
      <w:autoSpaceDN w:val="0"/>
      <w:adjustRightInd w:val="0"/>
      <w:outlineLvl w:val="5"/>
    </w:pPr>
    <w:rPr>
      <w:b/>
      <w:bCs/>
      <w:sz w:val="18"/>
      <w:szCs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A52"/>
  </w:style>
  <w:style w:type="paragraph" w:customStyle="1" w:styleId="Textodeglobo2">
    <w:name w:val="Texto de globo2"/>
    <w:basedOn w:val="Normal"/>
    <w:semiHidden/>
    <w:rsid w:val="003A2A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A52"/>
  </w:style>
  <w:style w:type="paragraph" w:customStyle="1" w:styleId="Asuntodelcomentario1">
    <w:name w:val="Asunto del comentario1"/>
    <w:basedOn w:val="CommentText"/>
    <w:next w:val="CommentText"/>
    <w:semiHidden/>
    <w:rsid w:val="003A2A52"/>
    <w:rPr>
      <w:b/>
      <w:bCs/>
    </w:rPr>
  </w:style>
  <w:style w:type="paragraph" w:styleId="BodyText">
    <w:name w:val="Body Text"/>
    <w:basedOn w:val="Normal"/>
    <w:rsid w:val="003A2A5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rsid w:val="003A2A52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rsid w:val="003A2A52"/>
    <w:pPr>
      <w:autoSpaceDE w:val="0"/>
      <w:autoSpaceDN w:val="0"/>
      <w:adjustRightInd w:val="0"/>
    </w:pPr>
    <w:rPr>
      <w:rFonts w:ascii="Geneva" w:hAnsi="Geneva" w:cs="Arial"/>
      <w:b/>
      <w:bCs/>
      <w:i/>
      <w:iCs/>
      <w:color w:val="000000"/>
      <w:sz w:val="18"/>
      <w:szCs w:val="18"/>
      <w:lang w:val="es-ES_tradnl"/>
    </w:rPr>
  </w:style>
  <w:style w:type="paragraph" w:customStyle="1" w:styleId="Textodeglobo1">
    <w:name w:val="Texto de globo1"/>
    <w:basedOn w:val="Normal"/>
    <w:semiHidden/>
    <w:rsid w:val="003A2A52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3A2A52"/>
    <w:pPr>
      <w:numPr>
        <w:numId w:val="3"/>
      </w:numPr>
      <w:tabs>
        <w:tab w:val="left" w:pos="1440"/>
      </w:tabs>
      <w:spacing w:before="240" w:after="240"/>
      <w:jc w:val="center"/>
    </w:pPr>
    <w:rPr>
      <w:b/>
      <w:smallCaps/>
      <w:sz w:val="24"/>
      <w:lang w:val="es-ES"/>
    </w:rPr>
  </w:style>
  <w:style w:type="paragraph" w:customStyle="1" w:styleId="Paragraph">
    <w:name w:val="Paragraph"/>
    <w:basedOn w:val="BodyTextIndent"/>
    <w:rsid w:val="003A2A52"/>
    <w:pPr>
      <w:numPr>
        <w:ilvl w:val="1"/>
        <w:numId w:val="3"/>
      </w:numPr>
      <w:spacing w:before="120"/>
      <w:jc w:val="both"/>
      <w:outlineLvl w:val="1"/>
    </w:pPr>
    <w:rPr>
      <w:sz w:val="24"/>
      <w:lang w:val="es-ES"/>
    </w:rPr>
  </w:style>
  <w:style w:type="paragraph" w:customStyle="1" w:styleId="subpar">
    <w:name w:val="subpar"/>
    <w:basedOn w:val="BodyTextIndent3"/>
    <w:rsid w:val="003A2A52"/>
    <w:pPr>
      <w:numPr>
        <w:ilvl w:val="2"/>
        <w:numId w:val="3"/>
      </w:numPr>
      <w:spacing w:before="120"/>
      <w:jc w:val="both"/>
      <w:outlineLvl w:val="2"/>
    </w:pPr>
    <w:rPr>
      <w:sz w:val="24"/>
      <w:szCs w:val="20"/>
      <w:lang w:val="es-ES_tradnl"/>
    </w:rPr>
  </w:style>
  <w:style w:type="paragraph" w:customStyle="1" w:styleId="SubSubPar">
    <w:name w:val="SubSubPar"/>
    <w:basedOn w:val="subpar"/>
    <w:rsid w:val="003A2A52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rsid w:val="003A2A52"/>
    <w:pPr>
      <w:spacing w:after="120"/>
      <w:ind w:left="360"/>
    </w:pPr>
  </w:style>
  <w:style w:type="paragraph" w:styleId="BodyTextIndent3">
    <w:name w:val="Body Text Indent 3"/>
    <w:basedOn w:val="Normal"/>
    <w:rsid w:val="003A2A52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3A2A52"/>
  </w:style>
  <w:style w:type="character" w:styleId="FootnoteReference">
    <w:name w:val="footnote reference"/>
    <w:basedOn w:val="DefaultParagraphFont"/>
    <w:semiHidden/>
    <w:rsid w:val="003A2A52"/>
    <w:rPr>
      <w:vertAlign w:val="superscript"/>
    </w:rPr>
  </w:style>
  <w:style w:type="paragraph" w:styleId="BalloonText">
    <w:name w:val="Balloon Text"/>
    <w:basedOn w:val="Normal"/>
    <w:semiHidden/>
    <w:rsid w:val="001D16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1D45"/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D36C17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31C52"/>
  </w:style>
  <w:style w:type="table" w:styleId="TableGrid">
    <w:name w:val="Table Grid"/>
    <w:basedOn w:val="TableNormal"/>
    <w:uiPriority w:val="59"/>
    <w:rsid w:val="001F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49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7A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68"/>
  </w:style>
  <w:style w:type="paragraph" w:customStyle="1" w:styleId="Default">
    <w:name w:val="Default"/>
    <w:rsid w:val="00E12168"/>
    <w:pPr>
      <w:autoSpaceDE w:val="0"/>
      <w:autoSpaceDN w:val="0"/>
      <w:adjustRightInd w:val="0"/>
    </w:pPr>
    <w:rPr>
      <w:color w:val="000000"/>
      <w:sz w:val="24"/>
      <w:szCs w:val="24"/>
      <w:lang w:val="es-CO" w:eastAsia="es-CO"/>
    </w:rPr>
  </w:style>
  <w:style w:type="character" w:styleId="Hyperlink">
    <w:name w:val="Hyperlink"/>
    <w:basedOn w:val="DefaultParagraphFont"/>
    <w:rsid w:val="006624D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4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43A3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0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24C29"/>
  </w:style>
  <w:style w:type="character" w:styleId="SubtleReference">
    <w:name w:val="Subtle Reference"/>
    <w:basedOn w:val="DefaultParagraphFont"/>
    <w:uiPriority w:val="31"/>
    <w:qFormat/>
    <w:rsid w:val="00316A8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15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704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4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me.gov.co/Normatividad/Normatividad%20Sectorial/Res.40095_1_febrero_2016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minas.gov.co/documents/10180/674559/PAI+PROURE+2016+-+2021_PRELIMINAR.pdf/6a2e3311-10a3-49ef-937e-cb955e632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F62-51BA-4EB7-8BC9-C0B978CD1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AFF26-1F00-436D-801B-75AB668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PE-L1061</vt:lpstr>
      <vt:lpstr>PE-L1061</vt:lpstr>
    </vt:vector>
  </TitlesOfParts>
  <Company>Inter-American Development Bank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PE-L1061</dc:title>
  <dc:subject>Matriz de Políticas</dc:subject>
  <dc:creator>Administrator</dc:creator>
  <cp:lastModifiedBy>Suber, Stephanie Anne</cp:lastModifiedBy>
  <cp:revision>72</cp:revision>
  <cp:lastPrinted>2017-01-12T19:41:00Z</cp:lastPrinted>
  <dcterms:created xsi:type="dcterms:W3CDTF">2017-01-12T16:05:00Z</dcterms:created>
  <dcterms:modified xsi:type="dcterms:W3CDTF">2017-11-10T17:33:00Z</dcterms:modified>
  <cp:category>Borrador de Trabajo</cp:category>
</cp:coreProperties>
</file>